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widowControl w:val="0"/>
        <w:shd w:val="clear" w:color="auto" w:fill="auto"/>
        <w:bidi w:val="0"/>
        <w:spacing w:before="0" w:after="120" w:line="240" w:lineRule="auto"/>
        <w:ind w:left="0" w:right="0" w:firstLine="520"/>
        <w:jc w:val="left"/>
        <w:rPr>
          <w:rFonts w:hint="eastAsia" w:ascii="仿宋" w:hAnsi="仿宋" w:eastAsia="仿宋" w:cs="仿宋"/>
        </w:rPr>
      </w:pPr>
      <w:bookmarkStart w:id="0" w:name="bookmark31"/>
      <w:bookmarkStart w:id="1" w:name="bookmark30"/>
      <w:bookmarkStart w:id="2" w:name="bookmark32"/>
      <w:r>
        <w:rPr>
          <w:rFonts w:hint="eastAsia" w:ascii="仿宋" w:hAnsi="仿宋" w:eastAsia="仿宋" w:cs="仿宋"/>
          <w:color w:val="000000"/>
          <w:spacing w:val="0"/>
          <w:w w:val="100"/>
          <w:position w:val="0"/>
        </w:rPr>
        <w:t>附件</w:t>
      </w:r>
      <w:r>
        <w:rPr>
          <w:rFonts w:hint="eastAsia" w:ascii="仿宋" w:hAnsi="仿宋" w:eastAsia="仿宋" w:cs="仿宋"/>
          <w:color w:val="000000"/>
          <w:spacing w:val="0"/>
          <w:w w:val="100"/>
          <w:position w:val="0"/>
          <w:sz w:val="30"/>
          <w:szCs w:val="30"/>
          <w:lang w:val="zh-CN" w:eastAsia="zh-CN" w:bidi="zh-CN"/>
        </w:rPr>
        <w:t>1:</w:t>
      </w:r>
      <w:r>
        <w:rPr>
          <w:rFonts w:hint="eastAsia" w:ascii="仿宋" w:hAnsi="仿宋" w:eastAsia="仿宋" w:cs="仿宋"/>
          <w:color w:val="000000"/>
          <w:spacing w:val="0"/>
          <w:w w:val="100"/>
          <w:position w:val="0"/>
        </w:rPr>
        <w:t>政府采购需求书（货物类）</w:t>
      </w:r>
      <w:bookmarkEnd w:id="0"/>
      <w:bookmarkEnd w:id="1"/>
      <w:bookmarkEnd w:id="2"/>
    </w:p>
    <w:tbl>
      <w:tblPr>
        <w:tblStyle w:val="5"/>
        <w:tblW w:w="9721" w:type="dxa"/>
        <w:jc w:val="center"/>
        <w:tblLayout w:type="fixed"/>
        <w:tblCellMar>
          <w:top w:w="0" w:type="dxa"/>
          <w:left w:w="10" w:type="dxa"/>
          <w:bottom w:w="0" w:type="dxa"/>
          <w:right w:w="10" w:type="dxa"/>
        </w:tblCellMar>
      </w:tblPr>
      <w:tblGrid>
        <w:gridCol w:w="706"/>
        <w:gridCol w:w="1544"/>
        <w:gridCol w:w="4"/>
        <w:gridCol w:w="7467"/>
      </w:tblGrid>
      <w:tr>
        <w:tblPrEx>
          <w:tblCellMar>
            <w:top w:w="0" w:type="dxa"/>
            <w:left w:w="10" w:type="dxa"/>
            <w:bottom w:w="0" w:type="dxa"/>
            <w:right w:w="10" w:type="dxa"/>
          </w:tblCellMar>
        </w:tblPrEx>
        <w:trPr>
          <w:trHeight w:val="539"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b/>
                <w:bCs/>
                <w:color w:val="000000"/>
                <w:spacing w:val="0"/>
                <w:w w:val="100"/>
                <w:position w:val="0"/>
                <w:sz w:val="21"/>
                <w:szCs w:val="21"/>
              </w:rPr>
              <w:t>序号</w:t>
            </w:r>
          </w:p>
        </w:tc>
        <w:tc>
          <w:tcPr>
            <w:tcW w:w="154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21"/>
                <w:szCs w:val="21"/>
              </w:rPr>
            </w:pPr>
            <w:r>
              <w:rPr>
                <w:rFonts w:hint="eastAsia" w:ascii="仿宋" w:hAnsi="仿宋" w:eastAsia="仿宋" w:cs="仿宋"/>
                <w:b/>
                <w:bCs/>
                <w:color w:val="000000"/>
                <w:spacing w:val="0"/>
                <w:w w:val="100"/>
                <w:position w:val="0"/>
                <w:sz w:val="21"/>
                <w:szCs w:val="21"/>
              </w:rPr>
              <w:t>关键事项</w:t>
            </w:r>
          </w:p>
        </w:tc>
        <w:tc>
          <w:tcPr>
            <w:tcW w:w="7467"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b/>
                <w:bCs/>
                <w:color w:val="000000"/>
                <w:spacing w:val="0"/>
                <w:w w:val="100"/>
                <w:position w:val="0"/>
                <w:sz w:val="21"/>
                <w:szCs w:val="21"/>
              </w:rPr>
              <w:t>说明和要求</w:t>
            </w:r>
          </w:p>
        </w:tc>
      </w:tr>
      <w:tr>
        <w:tblPrEx>
          <w:tblCellMar>
            <w:top w:w="0" w:type="dxa"/>
            <w:left w:w="10" w:type="dxa"/>
            <w:bottom w:w="0" w:type="dxa"/>
            <w:right w:w="10" w:type="dxa"/>
          </w:tblCellMar>
        </w:tblPrEx>
        <w:trPr>
          <w:trHeight w:val="1428"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w:t>
            </w:r>
          </w:p>
        </w:tc>
        <w:tc>
          <w:tcPr>
            <w:tcW w:w="154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釆购预算</w:t>
            </w:r>
          </w:p>
        </w:tc>
        <w:tc>
          <w:tcPr>
            <w:tcW w:w="7467"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tabs>
                <w:tab w:val="left" w:leader="underscore" w:pos="2034"/>
              </w:tabs>
              <w:bidi w:val="0"/>
              <w:spacing w:before="0" w:after="0" w:line="240" w:lineRule="auto"/>
              <w:ind w:left="0" w:leftChars="0" w:right="245" w:rightChars="102" w:firstLine="240" w:firstLineChars="100"/>
              <w:jc w:val="left"/>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人民币</w:t>
            </w:r>
            <w:r>
              <w:rPr>
                <w:rFonts w:hint="eastAsia" w:ascii="仿宋" w:hAnsi="仿宋" w:eastAsia="仿宋" w:cs="仿宋"/>
                <w:b w:val="0"/>
                <w:bCs w:val="0"/>
                <w:color w:val="000000"/>
                <w:spacing w:val="0"/>
                <w:w w:val="100"/>
                <w:position w:val="0"/>
                <w:sz w:val="24"/>
                <w:szCs w:val="24"/>
                <w:u w:val="single"/>
                <w:lang w:val="en-US" w:eastAsia="zh-CN"/>
              </w:rPr>
              <w:t xml:space="preserve"> 200 </w:t>
            </w:r>
            <w:r>
              <w:rPr>
                <w:rFonts w:hint="eastAsia" w:ascii="仿宋" w:hAnsi="仿宋" w:eastAsia="仿宋" w:cs="仿宋"/>
                <w:b w:val="0"/>
                <w:bCs w:val="0"/>
                <w:color w:val="000000"/>
                <w:spacing w:val="0"/>
                <w:w w:val="100"/>
                <w:position w:val="0"/>
                <w:sz w:val="24"/>
                <w:szCs w:val="24"/>
                <w:lang w:val="en-US" w:eastAsia="zh-CN"/>
              </w:rPr>
              <w:t>万</w:t>
            </w:r>
            <w:r>
              <w:rPr>
                <w:rFonts w:hint="eastAsia" w:ascii="仿宋" w:hAnsi="仿宋" w:eastAsia="仿宋" w:cs="仿宋"/>
                <w:b w:val="0"/>
                <w:bCs w:val="0"/>
                <w:color w:val="000000"/>
                <w:spacing w:val="0"/>
                <w:w w:val="100"/>
                <w:position w:val="0"/>
                <w:sz w:val="24"/>
                <w:szCs w:val="24"/>
              </w:rPr>
              <w:t>元</w:t>
            </w: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b w:val="0"/>
                <w:bCs w:val="0"/>
                <w:sz w:val="21"/>
                <w:szCs w:val="21"/>
              </w:rPr>
            </w:pPr>
            <w:r>
              <w:rPr>
                <w:rFonts w:hint="eastAsia" w:ascii="仿宋" w:hAnsi="仿宋" w:eastAsia="仿宋" w:cs="仿宋"/>
                <w:b w:val="0"/>
                <w:bCs w:val="0"/>
                <w:color w:val="000000"/>
                <w:spacing w:val="0"/>
                <w:w w:val="100"/>
                <w:position w:val="0"/>
                <w:sz w:val="21"/>
                <w:szCs w:val="21"/>
              </w:rPr>
              <w:t>仅指与本次釆购标的直接相关的费用，前期勘察费、设计费等已发生的费用， 以及监理费、接口费等为未来预留费用，不应当包含在本项目采购预算内， 甲方须向本级财政部门经费业务处室申请办理经费剥离手续。</w:t>
            </w:r>
          </w:p>
        </w:tc>
      </w:tr>
      <w:tr>
        <w:tblPrEx>
          <w:tblCellMar>
            <w:top w:w="0" w:type="dxa"/>
            <w:left w:w="10" w:type="dxa"/>
            <w:bottom w:w="0" w:type="dxa"/>
            <w:right w:w="10" w:type="dxa"/>
          </w:tblCellMar>
        </w:tblPrEx>
        <w:trPr>
          <w:trHeight w:val="668"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2</w:t>
            </w:r>
          </w:p>
        </w:tc>
        <w:tc>
          <w:tcPr>
            <w:tcW w:w="154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3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最</w:t>
            </w:r>
            <w:r>
              <w:rPr>
                <w:rFonts w:hint="eastAsia" w:ascii="仿宋" w:hAnsi="仿宋" w:eastAsia="仿宋" w:cs="仿宋"/>
                <w:color w:val="000000"/>
                <w:spacing w:val="0"/>
                <w:w w:val="100"/>
                <w:position w:val="0"/>
                <w:sz w:val="21"/>
                <w:szCs w:val="21"/>
                <w:lang w:eastAsia="zh-CN"/>
              </w:rPr>
              <w:t>高</w:t>
            </w:r>
            <w:r>
              <w:rPr>
                <w:rFonts w:hint="eastAsia" w:ascii="仿宋" w:hAnsi="仿宋" w:eastAsia="仿宋" w:cs="仿宋"/>
                <w:color w:val="000000"/>
                <w:spacing w:val="0"/>
                <w:w w:val="100"/>
                <w:position w:val="0"/>
                <w:sz w:val="21"/>
                <w:szCs w:val="21"/>
              </w:rPr>
              <w:t>限价</w:t>
            </w:r>
          </w:p>
        </w:tc>
        <w:tc>
          <w:tcPr>
            <w:tcW w:w="7467" w:type="dxa"/>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leader="underscore" w:pos="2034"/>
              </w:tabs>
              <w:bidi w:val="0"/>
              <w:spacing w:before="0" w:after="40" w:line="240" w:lineRule="auto"/>
              <w:ind w:left="0" w:leftChars="0" w:right="245" w:rightChars="102" w:firstLine="240" w:firstLineChars="100"/>
              <w:jc w:val="both"/>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人民币</w:t>
            </w:r>
            <w:r>
              <w:rPr>
                <w:rFonts w:hint="eastAsia" w:ascii="仿宋" w:hAnsi="仿宋" w:eastAsia="仿宋" w:cs="仿宋"/>
                <w:b w:val="0"/>
                <w:bCs w:val="0"/>
                <w:color w:val="000000"/>
                <w:spacing w:val="0"/>
                <w:w w:val="100"/>
                <w:position w:val="0"/>
                <w:sz w:val="24"/>
                <w:szCs w:val="24"/>
                <w:u w:val="single"/>
                <w:lang w:val="en-US" w:eastAsia="zh-CN"/>
              </w:rPr>
              <w:t xml:space="preserve"> 200 </w:t>
            </w:r>
            <w:r>
              <w:rPr>
                <w:rFonts w:hint="eastAsia" w:ascii="仿宋" w:hAnsi="仿宋" w:eastAsia="仿宋" w:cs="仿宋"/>
                <w:b w:val="0"/>
                <w:bCs w:val="0"/>
                <w:color w:val="000000"/>
                <w:spacing w:val="0"/>
                <w:w w:val="100"/>
                <w:position w:val="0"/>
                <w:sz w:val="24"/>
                <w:szCs w:val="24"/>
                <w:lang w:val="en-US" w:eastAsia="zh-CN"/>
              </w:rPr>
              <w:t>万</w:t>
            </w:r>
            <w:r>
              <w:rPr>
                <w:rFonts w:hint="eastAsia" w:ascii="仿宋" w:hAnsi="仿宋" w:eastAsia="仿宋" w:cs="仿宋"/>
                <w:b w:val="0"/>
                <w:bCs w:val="0"/>
                <w:color w:val="000000"/>
                <w:spacing w:val="0"/>
                <w:w w:val="100"/>
                <w:position w:val="0"/>
                <w:sz w:val="24"/>
                <w:szCs w:val="24"/>
              </w:rPr>
              <w:t>元</w:t>
            </w: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b w:val="0"/>
                <w:bCs w:val="0"/>
                <w:sz w:val="21"/>
                <w:szCs w:val="21"/>
              </w:rPr>
            </w:pPr>
            <w:r>
              <w:rPr>
                <w:rFonts w:hint="eastAsia" w:ascii="仿宋" w:hAnsi="仿宋" w:eastAsia="仿宋" w:cs="仿宋"/>
                <w:b w:val="0"/>
                <w:bCs w:val="0"/>
                <w:color w:val="000000"/>
                <w:spacing w:val="0"/>
                <w:w w:val="100"/>
                <w:position w:val="0"/>
                <w:sz w:val="21"/>
                <w:szCs w:val="21"/>
              </w:rPr>
              <w:t>供应商投标报价高于最高限价的则其投标文件将按无效投标文件处理。</w:t>
            </w:r>
          </w:p>
        </w:tc>
      </w:tr>
      <w:tr>
        <w:tblPrEx>
          <w:tblCellMar>
            <w:top w:w="0" w:type="dxa"/>
            <w:left w:w="10" w:type="dxa"/>
            <w:bottom w:w="0" w:type="dxa"/>
            <w:right w:w="10" w:type="dxa"/>
          </w:tblCellMar>
        </w:tblPrEx>
        <w:trPr>
          <w:trHeight w:val="1759"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3</w:t>
            </w:r>
          </w:p>
        </w:tc>
        <w:tc>
          <w:tcPr>
            <w:tcW w:w="154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1"/>
                <w:szCs w:val="21"/>
              </w:rPr>
            </w:pPr>
            <w:r>
              <w:rPr>
                <w:rFonts w:hint="eastAsia" w:ascii="仿宋" w:hAnsi="仿宋" w:eastAsia="仿宋" w:cs="仿宋"/>
                <w:b w:val="0"/>
                <w:bCs w:val="0"/>
                <w:color w:val="000000"/>
                <w:spacing w:val="0"/>
                <w:w w:val="100"/>
                <w:position w:val="0"/>
                <w:sz w:val="21"/>
                <w:szCs w:val="21"/>
              </w:rPr>
              <w:t>项目性质</w:t>
            </w:r>
          </w:p>
        </w:tc>
        <w:tc>
          <w:tcPr>
            <w:tcW w:w="7467"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leftChars="0" w:right="245" w:rightChars="102" w:firstLine="240" w:firstLineChars="100"/>
              <w:jc w:val="both"/>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lang w:val="zh-CN" w:eastAsia="zh-CN" w:bidi="zh-CN"/>
              </w:rPr>
              <w:sym w:font="Wingdings" w:char="00FE"/>
            </w:r>
            <w:r>
              <w:rPr>
                <w:rFonts w:hint="eastAsia" w:ascii="仿宋" w:hAnsi="仿宋" w:eastAsia="仿宋" w:cs="仿宋"/>
                <w:b w:val="0"/>
                <w:bCs w:val="0"/>
                <w:color w:val="000000"/>
                <w:spacing w:val="0"/>
                <w:w w:val="100"/>
                <w:position w:val="0"/>
                <w:sz w:val="24"/>
                <w:szCs w:val="24"/>
                <w:lang w:val="zh-CN" w:eastAsia="zh-CN" w:bidi="zh-CN"/>
              </w:rPr>
              <w:t>专</w:t>
            </w:r>
            <w:r>
              <w:rPr>
                <w:rFonts w:hint="eastAsia" w:ascii="仿宋" w:hAnsi="仿宋" w:eastAsia="仿宋" w:cs="仿宋"/>
                <w:b w:val="0"/>
                <w:bCs w:val="0"/>
                <w:color w:val="000000"/>
                <w:spacing w:val="0"/>
                <w:w w:val="100"/>
                <w:position w:val="0"/>
                <w:sz w:val="24"/>
                <w:szCs w:val="24"/>
              </w:rPr>
              <w:t>门面向中小企业采购</w:t>
            </w:r>
          </w:p>
          <w:p>
            <w:pPr>
              <w:pStyle w:val="9"/>
              <w:keepNext w:val="0"/>
              <w:keepLines w:val="0"/>
              <w:widowControl w:val="0"/>
              <w:shd w:val="clear" w:color="auto" w:fill="auto"/>
              <w:bidi w:val="0"/>
              <w:spacing w:before="0" w:after="80" w:line="240" w:lineRule="auto"/>
              <w:ind w:left="0" w:leftChars="0" w:right="245" w:rightChars="102" w:firstLine="210" w:firstLineChars="100"/>
              <w:jc w:val="both"/>
              <w:rPr>
                <w:rFonts w:hint="eastAsia" w:ascii="仿宋" w:hAnsi="仿宋" w:eastAsia="仿宋" w:cs="仿宋"/>
                <w:b w:val="0"/>
                <w:bCs w:val="0"/>
                <w:sz w:val="21"/>
                <w:szCs w:val="21"/>
              </w:rPr>
            </w:pPr>
            <w:r>
              <w:rPr>
                <w:rFonts w:hint="eastAsia" w:ascii="仿宋" w:hAnsi="仿宋" w:eastAsia="仿宋" w:cs="仿宋"/>
                <w:b w:val="0"/>
                <w:bCs w:val="0"/>
                <w:color w:val="000000"/>
                <w:spacing w:val="0"/>
                <w:w w:val="100"/>
                <w:position w:val="0"/>
                <w:sz w:val="21"/>
                <w:szCs w:val="21"/>
              </w:rPr>
              <w:t>仅允许中小企业或小型、微型企业参与投标。</w:t>
            </w:r>
          </w:p>
          <w:p>
            <w:pPr>
              <w:pStyle w:val="9"/>
              <w:keepNext w:val="0"/>
              <w:keepLines w:val="0"/>
              <w:widowControl w:val="0"/>
              <w:shd w:val="clear" w:color="auto" w:fill="auto"/>
              <w:bidi w:val="0"/>
              <w:spacing w:before="0" w:after="0" w:line="240" w:lineRule="auto"/>
              <w:ind w:left="0" w:leftChars="0" w:right="245" w:rightChars="102" w:firstLine="240" w:firstLineChars="100"/>
              <w:jc w:val="both"/>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lang w:val="zh-CN" w:eastAsia="zh-CN" w:bidi="zh-CN"/>
              </w:rPr>
              <w:sym w:font="Wingdings" w:char="00A8"/>
            </w:r>
            <w:r>
              <w:rPr>
                <w:rFonts w:hint="eastAsia" w:ascii="仿宋" w:hAnsi="仿宋" w:eastAsia="仿宋" w:cs="仿宋"/>
                <w:b w:val="0"/>
                <w:bCs w:val="0"/>
                <w:color w:val="000000"/>
                <w:spacing w:val="0"/>
                <w:w w:val="100"/>
                <w:position w:val="0"/>
                <w:sz w:val="24"/>
                <w:szCs w:val="24"/>
                <w:lang w:val="zh-CN" w:eastAsia="zh-CN" w:bidi="zh-CN"/>
              </w:rPr>
              <w:t>非专</w:t>
            </w:r>
            <w:r>
              <w:rPr>
                <w:rFonts w:hint="eastAsia" w:ascii="仿宋" w:hAnsi="仿宋" w:eastAsia="仿宋" w:cs="仿宋"/>
                <w:b w:val="0"/>
                <w:bCs w:val="0"/>
                <w:color w:val="000000"/>
                <w:spacing w:val="0"/>
                <w:w w:val="100"/>
                <w:position w:val="0"/>
                <w:sz w:val="24"/>
                <w:szCs w:val="24"/>
              </w:rPr>
              <w:t>门面向中小企业采购</w:t>
            </w: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b w:val="0"/>
                <w:bCs w:val="0"/>
                <w:sz w:val="21"/>
                <w:szCs w:val="21"/>
              </w:rPr>
            </w:pPr>
            <w:r>
              <w:rPr>
                <w:rFonts w:hint="eastAsia" w:ascii="仿宋" w:hAnsi="仿宋" w:eastAsia="仿宋" w:cs="仿宋"/>
                <w:b w:val="0"/>
                <w:bCs w:val="0"/>
                <w:color w:val="000000"/>
                <w:spacing w:val="0"/>
                <w:w w:val="100"/>
                <w:position w:val="0"/>
                <w:sz w:val="21"/>
                <w:szCs w:val="21"/>
              </w:rPr>
              <w:t>对符合（财库（2020）46号）规定的小微企业（监狱企业视同小型、微型企业）的报价给予―%的扣除，用扣除后的价格参加评审。</w:t>
            </w:r>
          </w:p>
        </w:tc>
      </w:tr>
      <w:tr>
        <w:tblPrEx>
          <w:tblCellMar>
            <w:top w:w="0" w:type="dxa"/>
            <w:left w:w="10" w:type="dxa"/>
            <w:bottom w:w="0" w:type="dxa"/>
            <w:right w:w="10" w:type="dxa"/>
          </w:tblCellMar>
        </w:tblPrEx>
        <w:trPr>
          <w:trHeight w:val="423"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6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4</w:t>
            </w:r>
          </w:p>
        </w:tc>
        <w:tc>
          <w:tcPr>
            <w:tcW w:w="154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对供应商的资格要求</w:t>
            </w:r>
          </w:p>
        </w:tc>
        <w:tc>
          <w:tcPr>
            <w:tcW w:w="7467" w:type="dxa"/>
            <w:tcBorders>
              <w:top w:val="single" w:color="auto" w:sz="4" w:space="0"/>
              <w:left w:val="single" w:color="auto" w:sz="4" w:space="0"/>
              <w:right w:val="single" w:color="auto" w:sz="4" w:space="0"/>
            </w:tcBorders>
            <w:shd w:val="clear" w:color="auto" w:fill="FFFFFF"/>
            <w:vAlign w:val="center"/>
          </w:tcPr>
          <w:p>
            <w:pPr>
              <w:widowControl/>
              <w:adjustRightInd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CN"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1、</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投标人应符合《中华人民共和国政府采购法》第二十二条规定的条件</w:t>
            </w:r>
            <w:r>
              <w:rPr>
                <w:rFonts w:hint="eastAsia" w:ascii="仿宋" w:hAnsi="仿宋" w:eastAsia="仿宋" w:cs="仿宋"/>
                <w:b w:val="0"/>
                <w:bCs w:val="0"/>
                <w:color w:val="000000"/>
                <w:spacing w:val="0"/>
                <w:w w:val="100"/>
                <w:position w:val="0"/>
                <w:sz w:val="24"/>
                <w:szCs w:val="24"/>
                <w:u w:val="none"/>
                <w:shd w:val="clear" w:color="auto" w:fill="auto"/>
                <w:lang w:val="zh-TW" w:eastAsia="zh-CN" w:bidi="zh-TW"/>
              </w:rPr>
              <w:t>；</w:t>
            </w:r>
          </w:p>
          <w:p>
            <w:pPr>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2、</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投标人的营业执照等证明文件，自然人的身份证明；</w:t>
            </w:r>
          </w:p>
          <w:p>
            <w:pPr>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3、</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法定代表人参加投标的，提供本人身份证复印件；法定代表人授权他人参加投标的，提供法定代表人委托授权书并出示被授权代表的身份证复印件；</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4、</w:t>
            </w:r>
            <w:r>
              <w:rPr>
                <w:rFonts w:hint="eastAsia" w:ascii="仿宋" w:hAnsi="仿宋" w:eastAsia="仿宋" w:cs="仿宋"/>
                <w:b w:val="0"/>
                <w:bCs w:val="0"/>
                <w:color w:val="000000"/>
                <w:spacing w:val="0"/>
                <w:w w:val="100"/>
                <w:position w:val="0"/>
                <w:sz w:val="24"/>
                <w:szCs w:val="24"/>
                <w:u w:val="none"/>
                <w:shd w:val="clear" w:color="auto" w:fill="auto"/>
                <w:lang w:val="zh-TW" w:eastAsia="zh-CN" w:bidi="zh-TW"/>
              </w:rPr>
              <w:t>投标产品</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必须在国家发改委或工信部发布的《车辆生产企业及产品》公告内并提供车辆3C认证；</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5、</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财务状况报告：提供投标人20</w:t>
            </w: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20</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或20</w:t>
            </w: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21</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年财务状况报告</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6、</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税收缴纳证明：提供投标人20</w:t>
            </w: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21</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年1月至今任意一个月已缴纳完税凭证或税务机关开具的完税证明（任意税种）；依法免税的应提供相关文件证明；</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7、</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社会保障资金缴纳证明：提供投标人20</w:t>
            </w: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21</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年1月至今任意一个月已缴纳的社会保障资金缴存单据或社保机构开具的社会保险参保缴费情况证明；依法不需要缴纳社会保障资金的应提供相关文件证明；</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8、</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提供投标人具备履行合同所必需的设备和专业技术能力的证明；</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9、</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参加本次招标前3年内，在经营活动中没有重大违法记录的书面声明；</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10、</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保证金</w:t>
            </w:r>
            <w:r>
              <w:rPr>
                <w:rFonts w:hint="eastAsia" w:ascii="仿宋" w:hAnsi="仿宋" w:eastAsia="仿宋" w:cs="仿宋"/>
                <w:b w:val="0"/>
                <w:bCs w:val="0"/>
                <w:color w:val="000000"/>
                <w:spacing w:val="0"/>
                <w:w w:val="100"/>
                <w:position w:val="0"/>
                <w:sz w:val="24"/>
                <w:szCs w:val="24"/>
                <w:u w:val="none"/>
                <w:shd w:val="clear" w:color="auto" w:fill="auto"/>
                <w:lang w:val="zh-TW" w:eastAsia="zh-CN" w:bidi="zh-TW"/>
              </w:rPr>
              <w:t>缴纳凭证</w:t>
            </w:r>
            <w:r>
              <w:rPr>
                <w:rFonts w:hint="eastAsia" w:ascii="仿宋" w:hAnsi="仿宋" w:eastAsia="仿宋" w:cs="仿宋"/>
                <w:b w:val="0"/>
                <w:bCs w:val="0"/>
                <w:color w:val="000000"/>
                <w:spacing w:val="0"/>
                <w:w w:val="100"/>
                <w:position w:val="0"/>
                <w:sz w:val="24"/>
                <w:szCs w:val="24"/>
                <w:u w:val="none"/>
                <w:shd w:val="clear" w:color="auto" w:fill="auto"/>
                <w:lang w:val="zh-TW" w:eastAsia="zh-TW" w:bidi="zh-TW"/>
              </w:rPr>
              <w:t>；</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TW"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11、</w:t>
            </w:r>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本项目不接受联合体投标。单位负责人为同一人或者存在控股、管理关系的不同单位不得同时参加；</w:t>
            </w:r>
          </w:p>
          <w:p>
            <w:pPr>
              <w:shd w:val="clear" w:color="auto" w:fill="auto"/>
              <w:autoSpaceDE w:val="0"/>
              <w:autoSpaceDN w:val="0"/>
              <w:spacing w:line="240" w:lineRule="auto"/>
              <w:ind w:left="0" w:leftChars="0" w:right="245" w:rightChars="102" w:firstLine="240" w:firstLineChars="100"/>
              <w:jc w:val="left"/>
              <w:rPr>
                <w:rFonts w:hint="eastAsia" w:ascii="仿宋" w:hAnsi="仿宋" w:eastAsia="仿宋" w:cs="仿宋"/>
                <w:b w:val="0"/>
                <w:bCs w:val="0"/>
                <w:color w:val="000000"/>
                <w:spacing w:val="0"/>
                <w:w w:val="100"/>
                <w:position w:val="0"/>
                <w:sz w:val="24"/>
                <w:szCs w:val="24"/>
                <w:u w:val="none"/>
                <w:shd w:val="clear" w:color="auto" w:fill="auto"/>
                <w:lang w:val="zh-CN" w:eastAsia="zh-TW" w:bidi="zh-TW"/>
              </w:rPr>
            </w:pPr>
            <w:r>
              <w:rPr>
                <w:rFonts w:hint="eastAsia" w:ascii="仿宋" w:hAnsi="仿宋" w:eastAsia="仿宋" w:cs="仿宋"/>
                <w:b w:val="0"/>
                <w:bCs w:val="0"/>
                <w:color w:val="000000"/>
                <w:spacing w:val="0"/>
                <w:w w:val="100"/>
                <w:position w:val="0"/>
                <w:sz w:val="24"/>
                <w:szCs w:val="24"/>
                <w:u w:val="none"/>
                <w:shd w:val="clear" w:color="auto" w:fill="auto"/>
                <w:lang w:val="en-US" w:eastAsia="zh-CN" w:bidi="zh-TW"/>
              </w:rPr>
              <w:t>12、</w:t>
            </w:r>
            <w:bookmarkStart w:id="31" w:name="_GoBack"/>
            <w:r>
              <w:rPr>
                <w:rFonts w:hint="eastAsia" w:ascii="仿宋" w:hAnsi="仿宋" w:eastAsia="仿宋" w:cs="仿宋"/>
                <w:b w:val="0"/>
                <w:bCs w:val="0"/>
                <w:color w:val="000000"/>
                <w:spacing w:val="0"/>
                <w:w w:val="100"/>
                <w:position w:val="0"/>
                <w:sz w:val="24"/>
                <w:szCs w:val="24"/>
                <w:u w:val="none"/>
                <w:shd w:val="clear" w:color="auto" w:fill="auto"/>
                <w:lang w:val="zh-CN" w:eastAsia="zh-TW" w:bidi="zh-TW"/>
              </w:rPr>
              <w:t>采购代理机构将通过“信用中国”网站（www.creditchina.gov.cn）和中国政府采购网（www.ccgp.gov.cn）查询投标人信用记录，被列入失信被执行人、重大税收违法案件当事人名单、政府采购严重违法失信行为记录名单的法人或其他组织或个人将被拒绝参与本项目投标。</w:t>
            </w:r>
          </w:p>
          <w:bookmarkEnd w:id="31"/>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color w:val="000000"/>
                <w:spacing w:val="0"/>
                <w:w w:val="100"/>
                <w:position w:val="0"/>
                <w:sz w:val="21"/>
                <w:szCs w:val="21"/>
              </w:rPr>
            </w:pP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根据《政府釆购促进中小企业发展管理办法》（财库（2020）46号）的规定，不得以企业注册资本、资产总额、营业收入、从业人员、利润、纳税额等规 模条件和财务指标作为供应商的资格要求或者评审因素，不得在企业股权结 构、经营年限等方面对中小企业实行差别待遇或者歧视待遇。</w:t>
            </w:r>
          </w:p>
        </w:tc>
      </w:tr>
      <w:tr>
        <w:tblPrEx>
          <w:tblCellMar>
            <w:top w:w="0" w:type="dxa"/>
            <w:left w:w="10" w:type="dxa"/>
            <w:bottom w:w="0" w:type="dxa"/>
            <w:right w:w="10" w:type="dxa"/>
          </w:tblCellMar>
        </w:tblPrEx>
        <w:trPr>
          <w:trHeight w:val="1907" w:hRule="atLeast"/>
          <w:jc w:val="center"/>
        </w:trPr>
        <w:tc>
          <w:tcPr>
            <w:tcW w:w="706"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5</w:t>
            </w:r>
          </w:p>
        </w:tc>
        <w:tc>
          <w:tcPr>
            <w:tcW w:w="1548"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000000" w:themeColor="text1"/>
                <w:spacing w:val="0"/>
                <w:w w:val="100"/>
                <w:position w:val="0"/>
                <w:sz w:val="21"/>
                <w:szCs w:val="21"/>
                <w:highlight w:val="none"/>
                <w14:textFill>
                  <w14:solidFill>
                    <w14:schemeClr w14:val="tx1"/>
                  </w14:solidFill>
                </w14:textFill>
              </w:rPr>
            </w:pPr>
            <w:r>
              <w:rPr>
                <w:rFonts w:hint="eastAsia" w:ascii="仿宋" w:hAnsi="仿宋" w:eastAsia="仿宋" w:cs="仿宋"/>
                <w:color w:val="000000" w:themeColor="text1"/>
                <w:spacing w:val="0"/>
                <w:w w:val="100"/>
                <w:position w:val="0"/>
                <w:sz w:val="21"/>
                <w:szCs w:val="21"/>
                <w:highlight w:val="none"/>
                <w14:textFill>
                  <w14:solidFill>
                    <w14:schemeClr w14:val="tx1"/>
                  </w14:solidFill>
                </w14:textFill>
              </w:rPr>
              <w:t>是否允许进口</w:t>
            </w:r>
          </w:p>
          <w:p>
            <w:pPr>
              <w:pStyle w:val="9"/>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FF0000"/>
                <w:sz w:val="21"/>
                <w:szCs w:val="21"/>
              </w:rPr>
            </w:pPr>
            <w:r>
              <w:rPr>
                <w:rFonts w:hint="eastAsia" w:ascii="仿宋" w:hAnsi="仿宋" w:eastAsia="仿宋" w:cs="仿宋"/>
                <w:color w:val="000000" w:themeColor="text1"/>
                <w:spacing w:val="0"/>
                <w:w w:val="100"/>
                <w:position w:val="0"/>
                <w:sz w:val="21"/>
                <w:szCs w:val="21"/>
                <w:highlight w:val="none"/>
                <w14:textFill>
                  <w14:solidFill>
                    <w14:schemeClr w14:val="tx1"/>
                  </w14:solidFill>
                </w14:textFill>
              </w:rPr>
              <w:t>产品</w:t>
            </w:r>
          </w:p>
        </w:tc>
        <w:tc>
          <w:tcPr>
            <w:tcW w:w="7467" w:type="dxa"/>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00" w:after="0" w:line="240" w:lineRule="auto"/>
              <w:ind w:left="0" w:leftChars="0" w:right="245" w:rightChars="102" w:firstLine="240" w:firstLineChars="1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en-US" w:bidi="en-US"/>
                <w14:textFill>
                  <w14:solidFill>
                    <w14:schemeClr w14:val="tx1"/>
                  </w14:solidFill>
                </w14:textFill>
              </w:rPr>
              <w:sym w:font="Wingdings" w:char="00A8"/>
            </w:r>
            <w:r>
              <w:rPr>
                <w:rFonts w:hint="eastAsia" w:ascii="仿宋" w:hAnsi="仿宋" w:eastAsia="仿宋" w:cs="仿宋"/>
                <w:color w:val="000000" w:themeColor="text1"/>
                <w:spacing w:val="0"/>
                <w:w w:val="100"/>
                <w:position w:val="0"/>
                <w:sz w:val="24"/>
                <w:szCs w:val="24"/>
                <w14:textFill>
                  <w14:solidFill>
                    <w14:schemeClr w14:val="tx1"/>
                  </w14:solidFill>
                </w14:textFill>
              </w:rPr>
              <w:t>允许（须提供财政部门审核通过的复印件）</w:t>
            </w: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0"/>
                <w:w w:val="100"/>
                <w:position w:val="0"/>
                <w:sz w:val="21"/>
                <w:szCs w:val="21"/>
                <w14:textFill>
                  <w14:solidFill>
                    <w14:schemeClr w14:val="tx1"/>
                  </w14:solidFill>
                </w14:textFill>
              </w:rPr>
              <w:t>根据《政府采购进口产品管理办法》（财库〔2007） 119号）的规定</w:t>
            </w:r>
            <w:r>
              <w:rPr>
                <w:rFonts w:hint="eastAsia" w:ascii="仿宋" w:hAnsi="仿宋" w:eastAsia="仿宋" w:cs="仿宋"/>
                <w:color w:val="000000" w:themeColor="text1"/>
                <w:spacing w:val="0"/>
                <w:w w:val="100"/>
                <w:position w:val="0"/>
                <w:sz w:val="21"/>
                <w:szCs w:val="21"/>
                <w:lang w:eastAsia="zh-CN"/>
                <w14:textFill>
                  <w14:solidFill>
                    <w14:schemeClr w14:val="tx1"/>
                  </w14:solidFill>
                </w14:textFill>
              </w:rPr>
              <w:t>，</w:t>
            </w:r>
            <w:r>
              <w:rPr>
                <w:rFonts w:hint="eastAsia" w:ascii="仿宋" w:hAnsi="仿宋" w:eastAsia="仿宋" w:cs="仿宋"/>
                <w:color w:val="000000" w:themeColor="text1"/>
                <w:spacing w:val="0"/>
                <w:w w:val="100"/>
                <w:position w:val="0"/>
                <w:sz w:val="21"/>
                <w:szCs w:val="21"/>
                <w14:textFill>
                  <w14:solidFill>
                    <w14:schemeClr w14:val="tx1"/>
                  </w14:solidFill>
                </w14:textFill>
              </w:rPr>
              <w:t>采购人采购进口产品时，必须在采购活动开始前向财政部门提出申请并获得财政部 门审核同意后，才能开展釆购活动。且不得因此排斥国产产品，满足需求的国产产品依然可以参与竞争。</w:t>
            </w:r>
            <w:r>
              <w:rPr>
                <w:rFonts w:hint="eastAsia" w:ascii="仿宋" w:hAnsi="仿宋" w:eastAsia="仿宋" w:cs="仿宋"/>
                <w:color w:val="000000" w:themeColor="text1"/>
                <w:spacing w:val="0"/>
                <w:w w:val="100"/>
                <w:position w:val="0"/>
                <w:sz w:val="21"/>
                <w:szCs w:val="21"/>
                <w:lang w:val="zh-CN" w:eastAsia="zh-CN" w:bidi="zh-CN"/>
                <w14:textFill>
                  <w14:solidFill>
                    <w14:schemeClr w14:val="tx1"/>
                  </w14:solidFill>
                </w14:textFill>
              </w:rPr>
              <w:t>“进口</w:t>
            </w:r>
            <w:r>
              <w:rPr>
                <w:rFonts w:hint="eastAsia" w:ascii="仿宋" w:hAnsi="仿宋" w:eastAsia="仿宋" w:cs="仿宋"/>
                <w:color w:val="000000" w:themeColor="text1"/>
                <w:spacing w:val="0"/>
                <w:w w:val="100"/>
                <w:position w:val="0"/>
                <w:sz w:val="21"/>
                <w:szCs w:val="21"/>
                <w14:textFill>
                  <w14:solidFill>
                    <w14:schemeClr w14:val="tx1"/>
                  </w14:solidFill>
                </w14:textFill>
              </w:rPr>
              <w:t>产品的认定”参见《关于政府釆购进口产品管理有关问题的通知》（财办库（2008）248号）文件有关规定。</w:t>
            </w:r>
          </w:p>
        </w:tc>
      </w:tr>
      <w:tr>
        <w:tblPrEx>
          <w:tblCellMar>
            <w:top w:w="0" w:type="dxa"/>
            <w:left w:w="10" w:type="dxa"/>
            <w:bottom w:w="0" w:type="dxa"/>
            <w:right w:w="10" w:type="dxa"/>
          </w:tblCellMar>
        </w:tblPrEx>
        <w:trPr>
          <w:trHeight w:val="838" w:hRule="atLeast"/>
          <w:jc w:val="center"/>
        </w:trPr>
        <w:tc>
          <w:tcPr>
            <w:tcW w:w="706" w:type="dxa"/>
            <w:vMerge w:val="continue"/>
            <w:tcBorders>
              <w:left w:val="single" w:color="auto" w:sz="4" w:space="0"/>
            </w:tcBorders>
            <w:shd w:val="clear" w:color="auto" w:fill="FFFFFF"/>
            <w:vAlign w:val="center"/>
          </w:tcPr>
          <w:p>
            <w:pPr>
              <w:spacing w:line="240" w:lineRule="auto"/>
              <w:rPr>
                <w:rFonts w:hint="eastAsia" w:ascii="仿宋" w:hAnsi="仿宋" w:eastAsia="仿宋" w:cs="仿宋"/>
                <w:sz w:val="21"/>
                <w:szCs w:val="21"/>
              </w:rPr>
            </w:pPr>
          </w:p>
        </w:tc>
        <w:tc>
          <w:tcPr>
            <w:tcW w:w="1548" w:type="dxa"/>
            <w:gridSpan w:val="2"/>
            <w:vMerge w:val="continue"/>
            <w:tcBorders>
              <w:left w:val="single" w:color="auto" w:sz="4" w:space="0"/>
            </w:tcBorders>
            <w:shd w:val="clear" w:color="auto" w:fill="FFFFFF"/>
            <w:vAlign w:val="center"/>
          </w:tcPr>
          <w:p>
            <w:pPr>
              <w:spacing w:line="240" w:lineRule="auto"/>
              <w:rPr>
                <w:rFonts w:hint="eastAsia" w:ascii="仿宋" w:hAnsi="仿宋" w:eastAsia="仿宋" w:cs="仿宋"/>
                <w:color w:val="FF0000"/>
                <w:sz w:val="21"/>
                <w:szCs w:val="21"/>
              </w:rPr>
            </w:pPr>
          </w:p>
        </w:tc>
        <w:tc>
          <w:tcPr>
            <w:tcW w:w="7467" w:type="dxa"/>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00" w:after="40" w:line="240" w:lineRule="auto"/>
              <w:ind w:left="0" w:leftChars="0" w:right="245" w:rightChars="102" w:firstLine="240" w:firstLineChars="1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en-US" w:bidi="en-US"/>
                <w14:textFill>
                  <w14:solidFill>
                    <w14:schemeClr w14:val="tx1"/>
                  </w14:solidFill>
                </w14:textFill>
              </w:rPr>
              <w:sym w:font="Wingdings" w:char="00FE"/>
            </w:r>
            <w:r>
              <w:rPr>
                <w:rFonts w:hint="eastAsia" w:ascii="仿宋" w:hAnsi="仿宋" w:eastAsia="仿宋" w:cs="仿宋"/>
                <w:color w:val="000000" w:themeColor="text1"/>
                <w:spacing w:val="0"/>
                <w:w w:val="100"/>
                <w:position w:val="0"/>
                <w:sz w:val="24"/>
                <w:szCs w:val="24"/>
                <w14:textFill>
                  <w14:solidFill>
                    <w14:schemeClr w14:val="tx1"/>
                  </w14:solidFill>
                </w14:textFill>
              </w:rPr>
              <w:t>不允许</w:t>
            </w:r>
          </w:p>
          <w:p>
            <w:pPr>
              <w:pStyle w:val="9"/>
              <w:keepNext w:val="0"/>
              <w:keepLines w:val="0"/>
              <w:widowControl w:val="0"/>
              <w:shd w:val="clear" w:color="auto" w:fill="auto"/>
              <w:bidi w:val="0"/>
              <w:spacing w:before="0" w:after="0" w:line="240" w:lineRule="auto"/>
              <w:ind w:left="0" w:leftChars="0" w:right="245" w:rightChars="102" w:firstLine="210" w:firstLineChars="1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0"/>
                <w:w w:val="100"/>
                <w:position w:val="0"/>
                <w:sz w:val="21"/>
                <w:szCs w:val="21"/>
                <w14:textFill>
                  <w14:solidFill>
                    <w14:schemeClr w14:val="tx1"/>
                  </w14:solidFill>
                </w14:textFill>
              </w:rPr>
              <w:t>所投产品为进口产品时，将被视为无效投标。</w:t>
            </w:r>
          </w:p>
        </w:tc>
      </w:tr>
      <w:tr>
        <w:tblPrEx>
          <w:tblCellMar>
            <w:top w:w="0" w:type="dxa"/>
            <w:left w:w="10" w:type="dxa"/>
            <w:bottom w:w="0" w:type="dxa"/>
            <w:right w:w="10" w:type="dxa"/>
          </w:tblCellMar>
        </w:tblPrEx>
        <w:trPr>
          <w:trHeight w:val="1248" w:hRule="atLeast"/>
          <w:jc w:val="center"/>
        </w:trPr>
        <w:tc>
          <w:tcPr>
            <w:tcW w:w="706"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6</w:t>
            </w:r>
          </w:p>
        </w:tc>
        <w:tc>
          <w:tcPr>
            <w:tcW w:w="1548"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是否接受联合体投标</w:t>
            </w:r>
          </w:p>
        </w:tc>
        <w:tc>
          <w:tcPr>
            <w:tcW w:w="7467" w:type="dxa"/>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lang w:val="zh-CN" w:eastAsia="zh-CN" w:bidi="zh-CN"/>
                <w14:textFill>
                  <w14:solidFill>
                    <w14:schemeClr w14:val="tx1"/>
                  </w14:solidFill>
                </w14:textFill>
              </w:rPr>
              <w:sym w:font="Wingdings" w:char="00A8"/>
            </w:r>
            <w:r>
              <w:rPr>
                <w:rFonts w:hint="eastAsia" w:ascii="仿宋" w:hAnsi="仿宋" w:eastAsia="仿宋" w:cs="仿宋"/>
                <w:color w:val="000000" w:themeColor="text1"/>
                <w:spacing w:val="0"/>
                <w:w w:val="100"/>
                <w:position w:val="0"/>
                <w:sz w:val="24"/>
                <w:szCs w:val="24"/>
                <w:lang w:val="zh-CN" w:eastAsia="zh-CN" w:bidi="zh-CN"/>
                <w14:textFill>
                  <w14:solidFill>
                    <w14:schemeClr w14:val="tx1"/>
                  </w14:solidFill>
                </w14:textFill>
              </w:rPr>
              <w:t>接受</w:t>
            </w:r>
          </w:p>
          <w:p>
            <w:pPr>
              <w:pStyle w:val="9"/>
              <w:keepNext w:val="0"/>
              <w:keepLines w:val="0"/>
              <w:widowControl w:val="0"/>
              <w:shd w:val="clear" w:color="auto" w:fill="auto"/>
              <w:bidi w:val="0"/>
              <w:spacing w:before="0" w:after="0" w:line="240" w:lineRule="auto"/>
              <w:ind w:left="0" w:leftChars="0" w:right="245" w:rightChars="102" w:firstLine="210" w:firstLineChars="1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0"/>
                <w:w w:val="100"/>
                <w:position w:val="0"/>
                <w:sz w:val="21"/>
                <w:szCs w:val="21"/>
                <w14:textFill>
                  <w14:solidFill>
                    <w14:schemeClr w14:val="tx1"/>
                  </w14:solidFill>
                </w14:textFill>
              </w:rPr>
              <w:t>对于联合体协议或者分包意向协议约定小微企业的合同份额占到合同总金额 30%以上的，对联合体或者大中型企业的报价给予</w:t>
            </w:r>
            <w:r>
              <w:rPr>
                <w:rFonts w:hint="eastAsia" w:ascii="仿宋" w:hAnsi="仿宋" w:eastAsia="仿宋" w:cs="仿宋"/>
                <w:color w:val="000000" w:themeColor="text1"/>
                <w:spacing w:val="0"/>
                <w:w w:val="100"/>
                <w:position w:val="0"/>
                <w:sz w:val="21"/>
                <w:szCs w:val="21"/>
                <w:u w:val="singl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21"/>
                <w:szCs w:val="21"/>
                <w14:textFill>
                  <w14:solidFill>
                    <w14:schemeClr w14:val="tx1"/>
                  </w14:solidFill>
                </w14:textFill>
              </w:rPr>
              <w:t>% （2%-3%）的扣除，用扣除后的报价参加评审。</w:t>
            </w:r>
          </w:p>
        </w:tc>
      </w:tr>
      <w:tr>
        <w:tblPrEx>
          <w:tblCellMar>
            <w:top w:w="0" w:type="dxa"/>
            <w:left w:w="10" w:type="dxa"/>
            <w:bottom w:w="0" w:type="dxa"/>
            <w:right w:w="10" w:type="dxa"/>
          </w:tblCellMar>
        </w:tblPrEx>
        <w:trPr>
          <w:trHeight w:val="596" w:hRule="atLeast"/>
          <w:jc w:val="center"/>
        </w:trPr>
        <w:tc>
          <w:tcPr>
            <w:tcW w:w="706" w:type="dxa"/>
            <w:vMerge w:val="continue"/>
            <w:tcBorders>
              <w:left w:val="single" w:color="auto" w:sz="4" w:space="0"/>
            </w:tcBorders>
            <w:shd w:val="clear" w:color="auto" w:fill="FFFFFF"/>
            <w:vAlign w:val="center"/>
          </w:tcPr>
          <w:p>
            <w:pPr>
              <w:spacing w:line="240" w:lineRule="auto"/>
              <w:rPr>
                <w:rFonts w:hint="eastAsia" w:ascii="仿宋" w:hAnsi="仿宋" w:eastAsia="仿宋" w:cs="仿宋"/>
                <w:sz w:val="21"/>
                <w:szCs w:val="21"/>
              </w:rPr>
            </w:pPr>
          </w:p>
        </w:tc>
        <w:tc>
          <w:tcPr>
            <w:tcW w:w="1548" w:type="dxa"/>
            <w:gridSpan w:val="2"/>
            <w:vMerge w:val="continue"/>
            <w:tcBorders>
              <w:left w:val="single" w:color="auto" w:sz="4" w:space="0"/>
            </w:tcBorders>
            <w:shd w:val="clear" w:color="auto" w:fill="FFFFFF"/>
            <w:vAlign w:val="center"/>
          </w:tcPr>
          <w:p>
            <w:pPr>
              <w:spacing w:line="240" w:lineRule="auto"/>
              <w:rPr>
                <w:rFonts w:hint="eastAsia" w:ascii="仿宋" w:hAnsi="仿宋" w:eastAsia="仿宋" w:cs="仿宋"/>
                <w:sz w:val="21"/>
                <w:szCs w:val="21"/>
              </w:rPr>
            </w:pPr>
          </w:p>
        </w:tc>
        <w:tc>
          <w:tcPr>
            <w:tcW w:w="7467" w:type="dxa"/>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80" w:after="0" w:line="240" w:lineRule="auto"/>
              <w:ind w:left="0" w:leftChars="0" w:right="245" w:rightChars="102" w:firstLine="240" w:firstLineChars="1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en-US" w:bidi="en-US"/>
                <w14:textFill>
                  <w14:solidFill>
                    <w14:schemeClr w14:val="tx1"/>
                  </w14:solidFill>
                </w14:textFill>
              </w:rPr>
              <w:sym w:font="Wingdings" w:char="00FE"/>
            </w:r>
            <w:r>
              <w:rPr>
                <w:rFonts w:hint="eastAsia" w:ascii="仿宋" w:hAnsi="仿宋" w:eastAsia="仿宋" w:cs="仿宋"/>
                <w:color w:val="000000" w:themeColor="text1"/>
                <w:spacing w:val="0"/>
                <w:w w:val="100"/>
                <w:position w:val="0"/>
                <w:sz w:val="24"/>
                <w:szCs w:val="24"/>
                <w14:textFill>
                  <w14:solidFill>
                    <w14:schemeClr w14:val="tx1"/>
                  </w14:solidFill>
                </w14:textFill>
              </w:rPr>
              <w:t>不接受</w:t>
            </w:r>
          </w:p>
        </w:tc>
      </w:tr>
      <w:tr>
        <w:tblPrEx>
          <w:tblCellMar>
            <w:top w:w="0" w:type="dxa"/>
            <w:left w:w="10" w:type="dxa"/>
            <w:bottom w:w="0" w:type="dxa"/>
            <w:right w:w="10" w:type="dxa"/>
          </w:tblCellMar>
        </w:tblPrEx>
        <w:trPr>
          <w:trHeight w:val="1050" w:hRule="atLeast"/>
          <w:jc w:val="center"/>
        </w:trPr>
        <w:tc>
          <w:tcPr>
            <w:tcW w:w="706"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7</w:t>
            </w:r>
          </w:p>
        </w:tc>
        <w:tc>
          <w:tcPr>
            <w:tcW w:w="1548"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履约保证金</w:t>
            </w:r>
          </w:p>
        </w:tc>
        <w:tc>
          <w:tcPr>
            <w:tcW w:w="7467" w:type="dxa"/>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占政府采购合同金额的</w:t>
            </w:r>
            <w:r>
              <w:rPr>
                <w:rFonts w:hint="eastAsia" w:ascii="仿宋" w:hAnsi="仿宋" w:eastAsia="仿宋" w:cs="仿宋"/>
                <w:color w:val="000000" w:themeColor="text1"/>
                <w:spacing w:val="0"/>
                <w:w w:val="100"/>
                <w:position w:val="0"/>
                <w:sz w:val="24"/>
                <w:szCs w:val="24"/>
                <w:u w:val="single"/>
                <w:lang w:val="en-US" w:eastAsia="zh-CN"/>
                <w14:textFill>
                  <w14:solidFill>
                    <w14:schemeClr w14:val="tx1"/>
                  </w14:solidFill>
                </w14:textFill>
              </w:rPr>
              <w:t xml:space="preserve"> 0 </w:t>
            </w:r>
            <w:r>
              <w:rPr>
                <w:rFonts w:hint="eastAsia" w:ascii="仿宋" w:hAnsi="仿宋" w:eastAsia="仿宋" w:cs="仿宋"/>
                <w:color w:val="000000" w:themeColor="text1"/>
                <w:spacing w:val="0"/>
                <w:w w:val="100"/>
                <w:position w:val="0"/>
                <w:sz w:val="24"/>
                <w:szCs w:val="24"/>
                <w14:textFill>
                  <w14:solidFill>
                    <w14:schemeClr w14:val="tx1"/>
                  </w14:solidFill>
                </w14:textFill>
              </w:rPr>
              <w:t>％</w:t>
            </w:r>
          </w:p>
          <w:p>
            <w:pPr>
              <w:pStyle w:val="9"/>
              <w:keepNext w:val="0"/>
              <w:keepLines w:val="0"/>
              <w:widowControl w:val="0"/>
              <w:shd w:val="clear" w:color="auto" w:fill="auto"/>
              <w:bidi w:val="0"/>
              <w:spacing w:before="0" w:after="0" w:line="240" w:lineRule="auto"/>
              <w:ind w:left="0" w:leftChars="0" w:right="245" w:rightChars="102" w:firstLine="210" w:firstLineChars="1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0"/>
                <w:w w:val="100"/>
                <w:position w:val="0"/>
                <w:sz w:val="21"/>
                <w:szCs w:val="21"/>
                <w14:textFill>
                  <w14:solidFill>
                    <w14:schemeClr w14:val="tx1"/>
                  </w14:solidFill>
                </w14:textFill>
              </w:rPr>
              <w:t>履约保证金的数额不得超过政府采购合同金额的10%；对于单价合同，其数额不得超过釆购预算的10%</w:t>
            </w:r>
          </w:p>
        </w:tc>
      </w:tr>
      <w:tr>
        <w:tblPrEx>
          <w:tblCellMar>
            <w:top w:w="0" w:type="dxa"/>
            <w:left w:w="10" w:type="dxa"/>
            <w:bottom w:w="0" w:type="dxa"/>
            <w:right w:w="10" w:type="dxa"/>
          </w:tblCellMar>
        </w:tblPrEx>
        <w:trPr>
          <w:trHeight w:val="757" w:hRule="atLeast"/>
          <w:jc w:val="center"/>
        </w:trPr>
        <w:tc>
          <w:tcPr>
            <w:tcW w:w="706" w:type="dxa"/>
            <w:vMerge w:val="continue"/>
            <w:tcBorders>
              <w:left w:val="single" w:color="auto" w:sz="4" w:space="0"/>
              <w:bottom w:val="single" w:color="auto" w:sz="4" w:space="0"/>
            </w:tcBorders>
            <w:shd w:val="clear" w:color="auto" w:fill="FFFFFF"/>
            <w:vAlign w:val="center"/>
          </w:tcPr>
          <w:p>
            <w:pPr>
              <w:spacing w:line="240" w:lineRule="auto"/>
              <w:rPr>
                <w:rFonts w:hint="eastAsia" w:ascii="仿宋" w:hAnsi="仿宋" w:eastAsia="仿宋" w:cs="仿宋"/>
                <w:sz w:val="21"/>
                <w:szCs w:val="21"/>
              </w:rPr>
            </w:pPr>
          </w:p>
        </w:tc>
        <w:tc>
          <w:tcPr>
            <w:tcW w:w="1548" w:type="dxa"/>
            <w:gridSpan w:val="2"/>
            <w:vMerge w:val="continue"/>
            <w:tcBorders>
              <w:left w:val="single" w:color="auto" w:sz="4" w:space="0"/>
              <w:bottom w:val="single" w:color="auto" w:sz="4" w:space="0"/>
            </w:tcBorders>
            <w:shd w:val="clear" w:color="auto" w:fill="FFFFFF"/>
            <w:vAlign w:val="center"/>
          </w:tcPr>
          <w:p>
            <w:pPr>
              <w:spacing w:line="240" w:lineRule="auto"/>
              <w:rPr>
                <w:rFonts w:hint="eastAsia" w:ascii="仿宋" w:hAnsi="仿宋" w:eastAsia="仿宋" w:cs="仿宋"/>
                <w:sz w:val="21"/>
                <w:szCs w:val="21"/>
              </w:rPr>
            </w:pPr>
          </w:p>
        </w:tc>
        <w:tc>
          <w:tcPr>
            <w:tcW w:w="7467" w:type="dxa"/>
            <w:tcBorders>
              <w:top w:val="single" w:color="auto" w:sz="4" w:space="0"/>
              <w:left w:val="single" w:color="auto" w:sz="4" w:space="0"/>
              <w:bottom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80" w:after="4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由釆购单位自行收退</w:t>
            </w:r>
          </w:p>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由代理机构负责收退</w:t>
            </w:r>
          </w:p>
        </w:tc>
      </w:tr>
      <w:tr>
        <w:tblPrEx>
          <w:tblCellMar>
            <w:top w:w="0" w:type="dxa"/>
            <w:left w:w="10" w:type="dxa"/>
            <w:bottom w:w="0" w:type="dxa"/>
            <w:right w:w="10" w:type="dxa"/>
          </w:tblCellMar>
        </w:tblPrEx>
        <w:trPr>
          <w:trHeight w:val="693"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8</w:t>
            </w:r>
          </w:p>
        </w:tc>
        <w:tc>
          <w:tcPr>
            <w:tcW w:w="1544" w:type="dxa"/>
            <w:tcBorders>
              <w:top w:val="single" w:color="auto" w:sz="4" w:space="0"/>
              <w:left w:val="single" w:color="auto" w:sz="4" w:space="0"/>
            </w:tcBorders>
            <w:shd w:val="clear" w:color="auto" w:fill="FFFFFF"/>
            <w:vAlign w:val="bottom"/>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现场踏勘和集中答疑</w:t>
            </w:r>
          </w:p>
        </w:tc>
        <w:tc>
          <w:tcPr>
            <w:tcW w:w="7471"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tabs>
                <w:tab w:val="left" w:leader="underscore" w:pos="5159"/>
              </w:tabs>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组织，集结地点为：</w:t>
            </w:r>
            <w:r>
              <w:rPr>
                <w:rFonts w:hint="eastAsia" w:ascii="仿宋" w:hAnsi="仿宋" w:eastAsia="仿宋" w:cs="仿宋"/>
                <w:color w:val="000000"/>
                <w:spacing w:val="0"/>
                <w:w w:val="100"/>
                <w:position w:val="0"/>
                <w:sz w:val="24"/>
                <w:szCs w:val="24"/>
              </w:rPr>
              <w:tab/>
            </w:r>
          </w:p>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4"/>
                <w:szCs w:val="24"/>
                <w:lang w:val="en-US" w:eastAsia="en-US" w:bidi="en-US"/>
              </w:rPr>
              <w:sym w:font="Wingdings" w:char="00FE"/>
            </w:r>
            <w:r>
              <w:rPr>
                <w:rFonts w:hint="eastAsia" w:ascii="仿宋" w:hAnsi="仿宋" w:eastAsia="仿宋" w:cs="仿宋"/>
                <w:color w:val="000000"/>
                <w:spacing w:val="0"/>
                <w:w w:val="100"/>
                <w:position w:val="0"/>
                <w:sz w:val="24"/>
                <w:szCs w:val="24"/>
              </w:rPr>
              <w:t>不组织</w:t>
            </w:r>
          </w:p>
        </w:tc>
      </w:tr>
      <w:tr>
        <w:tblPrEx>
          <w:tblCellMar>
            <w:top w:w="0" w:type="dxa"/>
            <w:left w:w="10" w:type="dxa"/>
            <w:bottom w:w="0" w:type="dxa"/>
            <w:right w:w="10" w:type="dxa"/>
          </w:tblCellMar>
        </w:tblPrEx>
        <w:trPr>
          <w:trHeight w:val="2155"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9</w:t>
            </w:r>
          </w:p>
        </w:tc>
        <w:tc>
          <w:tcPr>
            <w:tcW w:w="1544"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价格分比重</w:t>
            </w:r>
          </w:p>
        </w:tc>
        <w:tc>
          <w:tcPr>
            <w:tcW w:w="7471" w:type="dxa"/>
            <w:gridSpan w:val="2"/>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tabs>
                <w:tab w:val="left" w:leader="underscore" w:pos="1606"/>
              </w:tabs>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占总分值的</w:t>
            </w:r>
            <w:r>
              <w:rPr>
                <w:rFonts w:hint="eastAsia" w:ascii="仿宋" w:hAnsi="仿宋" w:eastAsia="仿宋" w:cs="仿宋"/>
                <w:color w:val="000000"/>
                <w:spacing w:val="0"/>
                <w:w w:val="100"/>
                <w:position w:val="0"/>
                <w:sz w:val="24"/>
                <w:szCs w:val="24"/>
                <w:u w:val="single"/>
                <w:lang w:val="en-US" w:eastAsia="zh-CN"/>
              </w:rPr>
              <w:t xml:space="preserve"> 30 </w:t>
            </w:r>
            <w:r>
              <w:rPr>
                <w:rFonts w:hint="eastAsia" w:ascii="仿宋" w:hAnsi="仿宋" w:eastAsia="仿宋" w:cs="仿宋"/>
                <w:color w:val="000000"/>
                <w:spacing w:val="0"/>
                <w:w w:val="100"/>
                <w:position w:val="0"/>
                <w:sz w:val="24"/>
                <w:szCs w:val="24"/>
              </w:rPr>
              <w:t>%</w:t>
            </w:r>
          </w:p>
          <w:p>
            <w:pPr>
              <w:pStyle w:val="9"/>
              <w:keepNext w:val="0"/>
              <w:keepLines w:val="0"/>
              <w:widowControl w:val="0"/>
              <w:shd w:val="clear" w:color="auto" w:fill="auto"/>
              <w:bidi w:val="0"/>
              <w:spacing w:before="0" w:after="0" w:line="240" w:lineRule="auto"/>
              <w:ind w:left="0" w:leftChars="0" w:right="245" w:rightChars="102" w:firstLine="210" w:firstLineChars="1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［招标］根据《政府釆购货物和服务招标投标管理办法》（财政部87号令）的规定，综合评分法货物项目的价格分值占总分值的比重不得低于30%。执行 国家统一定价标准和釆用固定价格釆购的项目，其价格不列为评审因素。</w:t>
            </w:r>
          </w:p>
          <w:p>
            <w:pPr>
              <w:pStyle w:val="9"/>
              <w:keepNext w:val="0"/>
              <w:keepLines w:val="0"/>
              <w:widowControl w:val="0"/>
              <w:shd w:val="clear" w:color="auto" w:fill="auto"/>
              <w:bidi w:val="0"/>
              <w:spacing w:before="0" w:after="0" w:line="240" w:lineRule="auto"/>
              <w:ind w:left="0" w:leftChars="0" w:right="245" w:rightChars="102" w:firstLine="210" w:firstLineChars="1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［磋商］根据《政府采购竞争性磋商釆购方式管理暂行办法》（财库〔2014） 214号）的规定，货物项目的价格分值占总分值的比重（即权值）为30%-60%。</w:t>
            </w:r>
          </w:p>
          <w:p>
            <w:pPr>
              <w:pStyle w:val="9"/>
              <w:keepNext w:val="0"/>
              <w:keepLines w:val="0"/>
              <w:widowControl w:val="0"/>
              <w:shd w:val="clear" w:color="auto" w:fill="auto"/>
              <w:bidi w:val="0"/>
              <w:spacing w:before="0" w:after="0" w:line="240" w:lineRule="auto"/>
              <w:ind w:left="0" w:leftChars="0" w:right="245" w:rightChars="102" w:firstLine="210" w:firstLineChars="10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［其他釆购方式］无须设置。</w:t>
            </w:r>
          </w:p>
        </w:tc>
      </w:tr>
      <w:tr>
        <w:tblPrEx>
          <w:tblCellMar>
            <w:top w:w="0" w:type="dxa"/>
            <w:left w:w="10" w:type="dxa"/>
            <w:bottom w:w="0" w:type="dxa"/>
            <w:right w:w="10" w:type="dxa"/>
          </w:tblCellMar>
        </w:tblPrEx>
        <w:trPr>
          <w:trHeight w:val="908"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10</w:t>
            </w:r>
          </w:p>
        </w:tc>
        <w:tc>
          <w:tcPr>
            <w:tcW w:w="1544"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合同类型</w:t>
            </w:r>
          </w:p>
        </w:tc>
        <w:tc>
          <w:tcPr>
            <w:tcW w:w="7471"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zh-CN" w:eastAsia="zh-CN" w:bidi="zh-CN"/>
              </w:rPr>
              <w:sym w:font="Wingdings" w:char="00FE"/>
            </w:r>
            <w:r>
              <w:rPr>
                <w:rFonts w:hint="eastAsia" w:ascii="仿宋" w:hAnsi="仿宋" w:eastAsia="仿宋" w:cs="仿宋"/>
                <w:color w:val="000000"/>
                <w:spacing w:val="0"/>
                <w:w w:val="100"/>
                <w:position w:val="0"/>
                <w:sz w:val="24"/>
                <w:szCs w:val="24"/>
                <w:lang w:val="zh-CN" w:eastAsia="zh-CN" w:bidi="zh-CN"/>
              </w:rPr>
              <w:t>固</w:t>
            </w:r>
            <w:r>
              <w:rPr>
                <w:rFonts w:hint="eastAsia" w:ascii="仿宋" w:hAnsi="仿宋" w:eastAsia="仿宋" w:cs="仿宋"/>
                <w:color w:val="000000"/>
                <w:spacing w:val="0"/>
                <w:w w:val="100"/>
                <w:position w:val="0"/>
                <w:sz w:val="24"/>
                <w:szCs w:val="24"/>
              </w:rPr>
              <w:t>定总价</w:t>
            </w:r>
          </w:p>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固定单价（适用于采购数量不定的情形）</w:t>
            </w:r>
          </w:p>
          <w:p>
            <w:pPr>
              <w:pStyle w:val="9"/>
              <w:keepNext w:val="0"/>
              <w:keepLines w:val="0"/>
              <w:widowControl w:val="0"/>
              <w:shd w:val="clear" w:color="auto" w:fill="auto"/>
              <w:tabs>
                <w:tab w:val="left" w:leader="underscore" w:pos="4165"/>
              </w:tabs>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其他：</w:t>
            </w:r>
            <w:r>
              <w:rPr>
                <w:rFonts w:hint="eastAsia" w:ascii="仿宋" w:hAnsi="仿宋" w:eastAsia="仿宋" w:cs="仿宋"/>
                <w:color w:val="000000"/>
                <w:spacing w:val="0"/>
                <w:w w:val="100"/>
                <w:position w:val="0"/>
                <w:sz w:val="24"/>
                <w:szCs w:val="24"/>
              </w:rPr>
              <w:tab/>
            </w:r>
          </w:p>
        </w:tc>
      </w:tr>
      <w:tr>
        <w:tblPrEx>
          <w:tblCellMar>
            <w:top w:w="0" w:type="dxa"/>
            <w:left w:w="10" w:type="dxa"/>
            <w:bottom w:w="0" w:type="dxa"/>
            <w:right w:w="10" w:type="dxa"/>
          </w:tblCellMar>
        </w:tblPrEx>
        <w:trPr>
          <w:trHeight w:val="1098" w:hRule="atLeast"/>
          <w:jc w:val="center"/>
        </w:trPr>
        <w:tc>
          <w:tcPr>
            <w:tcW w:w="706"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11</w:t>
            </w:r>
          </w:p>
        </w:tc>
        <w:tc>
          <w:tcPr>
            <w:tcW w:w="1544"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争议解决途径</w:t>
            </w:r>
          </w:p>
        </w:tc>
        <w:tc>
          <w:tcPr>
            <w:tcW w:w="7471" w:type="dxa"/>
            <w:gridSpan w:val="2"/>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FE"/>
            </w:r>
            <w:r>
              <w:rPr>
                <w:rFonts w:hint="eastAsia" w:ascii="仿宋" w:hAnsi="仿宋" w:eastAsia="仿宋" w:cs="仿宋"/>
                <w:color w:val="000000"/>
                <w:spacing w:val="0"/>
                <w:w w:val="100"/>
                <w:position w:val="0"/>
                <w:sz w:val="24"/>
                <w:szCs w:val="24"/>
              </w:rPr>
              <w:t>向有管辖权的人民法院提起诉讼</w:t>
            </w:r>
          </w:p>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向西安仲裁委员会提请仲裁</w:t>
            </w:r>
          </w:p>
          <w:p>
            <w:pPr>
              <w:pStyle w:val="9"/>
              <w:keepNext w:val="0"/>
              <w:keepLines w:val="0"/>
              <w:widowControl w:val="0"/>
              <w:shd w:val="clear" w:color="auto" w:fill="auto"/>
              <w:bidi w:val="0"/>
              <w:spacing w:before="0" w:after="0" w:line="240" w:lineRule="auto"/>
              <w:ind w:left="0" w:leftChars="0" w:right="245" w:rightChars="102" w:firstLine="240" w:firstLineChars="1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sym w:font="Wingdings" w:char="00A8"/>
            </w:r>
            <w:r>
              <w:rPr>
                <w:rFonts w:hint="eastAsia" w:ascii="仿宋" w:hAnsi="仿宋" w:eastAsia="仿宋" w:cs="仿宋"/>
                <w:color w:val="000000"/>
                <w:spacing w:val="0"/>
                <w:w w:val="100"/>
                <w:position w:val="0"/>
                <w:sz w:val="24"/>
                <w:szCs w:val="24"/>
              </w:rPr>
              <w:t>由供应商做出选择</w:t>
            </w:r>
          </w:p>
        </w:tc>
      </w:tr>
      <w:tr>
        <w:tblPrEx>
          <w:tblCellMar>
            <w:top w:w="0" w:type="dxa"/>
            <w:left w:w="10" w:type="dxa"/>
            <w:bottom w:w="0" w:type="dxa"/>
            <w:right w:w="10" w:type="dxa"/>
          </w:tblCellMar>
        </w:tblPrEx>
        <w:trPr>
          <w:trHeight w:val="1053" w:hRule="atLeast"/>
          <w:jc w:val="center"/>
        </w:trPr>
        <w:tc>
          <w:tcPr>
            <w:tcW w:w="706" w:type="dxa"/>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4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12</w:t>
            </w:r>
          </w:p>
        </w:tc>
        <w:tc>
          <w:tcPr>
            <w:tcW w:w="1544" w:type="dxa"/>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联系方式</w:t>
            </w:r>
          </w:p>
        </w:tc>
        <w:tc>
          <w:tcPr>
            <w:tcW w:w="7471"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pStyle w:val="9"/>
              <w:keepNext w:val="0"/>
              <w:keepLines w:val="0"/>
              <w:widowControl w:val="0"/>
              <w:shd w:val="clear" w:color="auto" w:fill="auto"/>
              <w:tabs>
                <w:tab w:val="left" w:leader="underscore" w:pos="2995"/>
                <w:tab w:val="left" w:leader="underscore" w:pos="3002"/>
                <w:tab w:val="left" w:leader="underscore" w:pos="3010"/>
              </w:tabs>
              <w:bidi w:val="0"/>
              <w:spacing w:before="0" w:after="0" w:line="240" w:lineRule="auto"/>
              <w:ind w:left="0" w:leftChars="0" w:right="245" w:rightChars="102" w:firstLine="240" w:firstLineChars="100"/>
              <w:jc w:val="left"/>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rPr>
              <w:t>项目对接人：</w:t>
            </w:r>
            <w:r>
              <w:rPr>
                <w:rFonts w:hint="eastAsia" w:ascii="仿宋" w:hAnsi="仿宋" w:eastAsia="仿宋" w:cs="仿宋"/>
                <w:color w:val="000000"/>
                <w:spacing w:val="0"/>
                <w:w w:val="100"/>
                <w:position w:val="0"/>
                <w:sz w:val="24"/>
                <w:szCs w:val="24"/>
                <w:lang w:val="en-US" w:eastAsia="zh-CN"/>
              </w:rPr>
              <w:t xml:space="preserve"> </w:t>
            </w:r>
          </w:p>
          <w:p>
            <w:pPr>
              <w:pStyle w:val="9"/>
              <w:keepNext w:val="0"/>
              <w:keepLines w:val="0"/>
              <w:widowControl w:val="0"/>
              <w:shd w:val="clear" w:color="auto" w:fill="auto"/>
              <w:tabs>
                <w:tab w:val="left" w:leader="underscore" w:pos="2995"/>
                <w:tab w:val="left" w:leader="underscore" w:pos="3002"/>
                <w:tab w:val="left" w:leader="underscore" w:pos="3010"/>
              </w:tabs>
              <w:bidi w:val="0"/>
              <w:spacing w:before="0" w:after="0" w:line="240" w:lineRule="auto"/>
              <w:ind w:left="0" w:leftChars="0" w:right="245" w:rightChars="102" w:firstLine="240" w:firstLineChars="100"/>
              <w:jc w:val="left"/>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rPr>
              <w:t>联系电话：</w:t>
            </w:r>
          </w:p>
          <w:p>
            <w:pPr>
              <w:pStyle w:val="9"/>
              <w:keepNext w:val="0"/>
              <w:keepLines w:val="0"/>
              <w:widowControl w:val="0"/>
              <w:shd w:val="clear" w:color="auto" w:fill="auto"/>
              <w:tabs>
                <w:tab w:val="left" w:leader="underscore" w:pos="2995"/>
                <w:tab w:val="left" w:leader="underscore" w:pos="3002"/>
                <w:tab w:val="left" w:leader="underscore" w:pos="3010"/>
              </w:tabs>
              <w:bidi w:val="0"/>
              <w:spacing w:before="0" w:after="0" w:line="240" w:lineRule="auto"/>
              <w:ind w:left="0" w:leftChars="0" w:right="245" w:rightChars="102" w:firstLine="240" w:firstLineChars="100"/>
              <w:jc w:val="left"/>
              <w:rPr>
                <w:rFonts w:hint="default"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rPr>
              <w:t>电子邮箱：</w:t>
            </w:r>
          </w:p>
        </w:tc>
      </w:tr>
    </w:tbl>
    <w:p>
      <w:pPr>
        <w:spacing w:line="240" w:lineRule="auto"/>
        <w:rPr>
          <w:rFonts w:hint="eastAsia" w:ascii="仿宋" w:hAnsi="仿宋" w:eastAsia="仿宋" w:cs="仿宋"/>
          <w:sz w:val="21"/>
          <w:szCs w:val="21"/>
        </w:rPr>
        <w:sectPr>
          <w:footerReference r:id="rId5" w:type="default"/>
          <w:footerReference r:id="rId6" w:type="even"/>
          <w:footnotePr>
            <w:numFmt w:val="decimal"/>
          </w:footnotePr>
          <w:pgSz w:w="11900" w:h="16840"/>
          <w:pgMar w:top="1565" w:right="1330" w:bottom="1495" w:left="1238" w:header="1137" w:footer="1067" w:gutter="0"/>
          <w:cols w:space="720" w:num="1"/>
          <w:rtlGutter w:val="0"/>
          <w:docGrid w:linePitch="360" w:charSpace="0"/>
        </w:sectPr>
      </w:pP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bookmarkStart w:id="3" w:name="bookmark38"/>
      <w:bookmarkStart w:id="4" w:name="bookmark36"/>
      <w:bookmarkStart w:id="5" w:name="bookmark39"/>
      <w:bookmarkStart w:id="6" w:name="bookmark37"/>
      <w:r>
        <w:rPr>
          <w:rFonts w:hint="eastAsia" w:ascii="仿宋" w:hAnsi="仿宋" w:eastAsia="仿宋" w:cs="仿宋"/>
          <w:b w:val="0"/>
          <w:bCs w:val="0"/>
          <w:color w:val="auto"/>
          <w:spacing w:val="0"/>
          <w:w w:val="100"/>
          <w:position w:val="0"/>
          <w:sz w:val="24"/>
          <w:szCs w:val="24"/>
          <w:lang w:eastAsia="zh-CN"/>
        </w:rPr>
        <w:t>一</w:t>
      </w:r>
      <w:bookmarkEnd w:id="3"/>
      <w:r>
        <w:rPr>
          <w:rFonts w:hint="eastAsia" w:ascii="仿宋" w:hAnsi="仿宋" w:eastAsia="仿宋" w:cs="仿宋"/>
          <w:b w:val="0"/>
          <w:bCs w:val="0"/>
          <w:color w:val="auto"/>
          <w:spacing w:val="0"/>
          <w:w w:val="100"/>
          <w:position w:val="0"/>
          <w:sz w:val="24"/>
          <w:szCs w:val="24"/>
          <w:lang w:eastAsia="zh-CN"/>
        </w:rPr>
        <w:t>、</w:t>
      </w:r>
      <w:r>
        <w:rPr>
          <w:rFonts w:hint="eastAsia" w:ascii="仿宋" w:hAnsi="仿宋" w:eastAsia="仿宋" w:cs="仿宋"/>
          <w:b w:val="0"/>
          <w:bCs w:val="0"/>
          <w:color w:val="auto"/>
          <w:spacing w:val="0"/>
          <w:w w:val="100"/>
          <w:position w:val="0"/>
          <w:sz w:val="24"/>
          <w:szCs w:val="24"/>
          <w:lang w:eastAsia="zh-CN"/>
        </w:rPr>
        <w:tab/>
      </w:r>
      <w:r>
        <w:rPr>
          <w:rFonts w:hint="eastAsia" w:ascii="仿宋" w:hAnsi="仿宋" w:eastAsia="仿宋" w:cs="仿宋"/>
          <w:b w:val="0"/>
          <w:bCs w:val="0"/>
          <w:color w:val="auto"/>
          <w:spacing w:val="0"/>
          <w:w w:val="100"/>
          <w:position w:val="0"/>
          <w:sz w:val="24"/>
          <w:szCs w:val="24"/>
          <w:lang w:eastAsia="zh-CN"/>
        </w:rPr>
        <w:t>项目概况</w:t>
      </w:r>
      <w:bookmarkEnd w:id="4"/>
      <w:bookmarkEnd w:id="5"/>
      <w:bookmarkEnd w:id="6"/>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bookmarkStart w:id="7" w:name="bookmark42"/>
      <w:bookmarkStart w:id="8" w:name="bookmark43"/>
      <w:bookmarkStart w:id="9" w:name="bookmark41"/>
      <w:bookmarkStart w:id="10" w:name="bookmark40"/>
      <w:r>
        <w:rPr>
          <w:rFonts w:hint="eastAsia" w:ascii="仿宋" w:hAnsi="仿宋" w:eastAsia="仿宋" w:cs="仿宋"/>
          <w:b w:val="0"/>
          <w:bCs w:val="0"/>
          <w:color w:val="auto"/>
          <w:spacing w:val="0"/>
          <w:w w:val="100"/>
          <w:position w:val="0"/>
          <w:sz w:val="24"/>
          <w:szCs w:val="24"/>
          <w:lang w:eastAsia="zh-CN"/>
        </w:rPr>
        <w:t>根据《西安市生活垃圾分类工作领导小组关于印发西安市保障生活垃圾分类工作推进奖补方案的通知》，现需采购一批</w:t>
      </w:r>
      <w:r>
        <w:rPr>
          <w:rFonts w:hint="eastAsia" w:ascii="仿宋" w:hAnsi="仿宋" w:eastAsia="仿宋" w:cs="仿宋"/>
          <w:b w:val="0"/>
          <w:bCs w:val="0"/>
          <w:color w:val="auto"/>
          <w:spacing w:val="0"/>
          <w:w w:val="100"/>
          <w:position w:val="0"/>
          <w:sz w:val="24"/>
          <w:szCs w:val="24"/>
          <w:lang w:val="en-US" w:eastAsia="zh-CN"/>
        </w:rPr>
        <w:t>可卸式垃圾车</w:t>
      </w:r>
      <w:r>
        <w:rPr>
          <w:rFonts w:hint="eastAsia" w:ascii="仿宋" w:hAnsi="仿宋" w:eastAsia="仿宋" w:cs="仿宋"/>
          <w:b w:val="0"/>
          <w:bCs w:val="0"/>
          <w:color w:val="auto"/>
          <w:spacing w:val="0"/>
          <w:w w:val="100"/>
          <w:position w:val="0"/>
          <w:sz w:val="24"/>
          <w:szCs w:val="24"/>
          <w:lang w:eastAsia="zh-CN"/>
        </w:rPr>
        <w:t>车辆。本项目已具备招标条件，招标方式为公开招标。</w:t>
      </w:r>
    </w:p>
    <w:bookmarkEnd w:id="7"/>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采购内容（包括采购品目、规格和数量）</w:t>
      </w:r>
      <w:bookmarkEnd w:id="8"/>
      <w:bookmarkEnd w:id="9"/>
      <w:bookmarkEnd w:id="10"/>
      <w:bookmarkStart w:id="11" w:name="bookmark46"/>
      <w:bookmarkStart w:id="12" w:name="bookmark44"/>
      <w:bookmarkStart w:id="13" w:name="bookmark47"/>
      <w:bookmarkStart w:id="14" w:name="bookmark45"/>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default"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总质量2800kg以上的车厢可卸式垃圾车19辆及车辆上牌。</w:t>
      </w:r>
    </w:p>
    <w:bookmarkEnd w:id="11"/>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技术要求（包括对产品的认证、检验报告等）</w:t>
      </w:r>
      <w:bookmarkEnd w:id="12"/>
      <w:bookmarkEnd w:id="13"/>
      <w:bookmarkEnd w:id="14"/>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2409" w:firstLineChars="1000"/>
        <w:jc w:val="both"/>
        <w:textAlignment w:val="auto"/>
        <w:rPr>
          <w:rFonts w:hint="eastAsia" w:ascii="仿宋" w:hAnsi="仿宋" w:eastAsia="仿宋" w:cs="仿宋"/>
          <w:b/>
          <w:bCs/>
          <w:color w:val="auto"/>
          <w:spacing w:val="0"/>
          <w:w w:val="100"/>
          <w:position w:val="0"/>
          <w:sz w:val="24"/>
          <w:szCs w:val="24"/>
          <w:lang w:val="en-US" w:eastAsia="zh-CN"/>
        </w:rPr>
      </w:pPr>
      <w:r>
        <w:rPr>
          <w:rFonts w:hint="eastAsia" w:ascii="仿宋" w:hAnsi="仿宋" w:eastAsia="仿宋" w:cs="仿宋"/>
          <w:b/>
          <w:bCs/>
          <w:color w:val="auto"/>
          <w:spacing w:val="0"/>
          <w:w w:val="100"/>
          <w:position w:val="0"/>
          <w:sz w:val="24"/>
          <w:szCs w:val="24"/>
          <w:lang w:val="en-US" w:eastAsia="zh-CN"/>
        </w:rPr>
        <w:t>货物配置参数及技术要求，评分办法</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bCs/>
          <w:color w:val="auto"/>
          <w:spacing w:val="0"/>
          <w:w w:val="100"/>
          <w:position w:val="0"/>
          <w:sz w:val="24"/>
          <w:szCs w:val="24"/>
          <w:lang w:eastAsia="zh-CN"/>
        </w:rPr>
      </w:pPr>
      <w:bookmarkStart w:id="15" w:name="_Toc39670335"/>
      <w:r>
        <w:rPr>
          <w:rFonts w:hint="eastAsia" w:ascii="仿宋" w:hAnsi="仿宋" w:eastAsia="仿宋" w:cs="仿宋"/>
          <w:b/>
          <w:bCs/>
          <w:color w:val="auto"/>
          <w:spacing w:val="0"/>
          <w:w w:val="100"/>
          <w:position w:val="0"/>
          <w:sz w:val="24"/>
          <w:szCs w:val="24"/>
          <w:lang w:val="zh-CN" w:eastAsia="zh-CN"/>
        </w:rPr>
        <w:t>评分标准</w:t>
      </w:r>
      <w:bookmarkEnd w:id="15"/>
    </w:p>
    <w:tbl>
      <w:tblPr>
        <w:tblStyle w:val="5"/>
        <w:tblW w:w="96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944"/>
        <w:gridCol w:w="767"/>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59" w:type="dxa"/>
            <w:gridSpan w:val="2"/>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评分项目</w:t>
            </w:r>
          </w:p>
        </w:tc>
        <w:tc>
          <w:tcPr>
            <w:tcW w:w="767"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分数</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gridSpan w:val="2"/>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报价部份</w:t>
            </w:r>
          </w:p>
        </w:tc>
        <w:tc>
          <w:tcPr>
            <w:tcW w:w="767"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30分</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即满足投标文件要求且价格最低的报价为评标基准价，其价格分为满分。其他供应商的价格分统一按照下列公式计算：</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报价得分=(评标基准价／报价)×30×100%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359" w:type="dxa"/>
            <w:gridSpan w:val="2"/>
            <w:vMerge w:val="restart"/>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技术部分</w:t>
            </w:r>
          </w:p>
        </w:tc>
        <w:tc>
          <w:tcPr>
            <w:tcW w:w="767" w:type="dxa"/>
            <w:vMerge w:val="restart"/>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35分</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zh-CN" w:eastAsia="zh-CN"/>
              </w:rPr>
            </w:pPr>
            <w:r>
              <w:rPr>
                <w:rFonts w:hint="eastAsia" w:ascii="仿宋" w:hAnsi="仿宋" w:eastAsia="仿宋" w:cs="仿宋"/>
                <w:b w:val="0"/>
                <w:bCs w:val="0"/>
                <w:color w:val="auto"/>
                <w:spacing w:val="0"/>
                <w:w w:val="100"/>
                <w:position w:val="0"/>
                <w:sz w:val="24"/>
                <w:szCs w:val="24"/>
                <w:lang w:val="zh-CN" w:eastAsia="zh-CN"/>
              </w:rPr>
              <w:t>产品完全满足本文件技术参数要求得30分，带“</w:t>
            </w:r>
            <w:r>
              <w:rPr>
                <w:rFonts w:hint="eastAsia" w:ascii="仿宋" w:hAnsi="仿宋" w:eastAsia="仿宋" w:cs="仿宋"/>
                <w:b w:val="0"/>
                <w:bCs w:val="0"/>
                <w:color w:val="auto"/>
                <w:spacing w:val="0"/>
                <w:w w:val="100"/>
                <w:position w:val="0"/>
                <w:sz w:val="24"/>
                <w:szCs w:val="24"/>
                <w:lang w:eastAsia="zh-CN"/>
              </w:rPr>
              <w:t>★</w:t>
            </w:r>
            <w:r>
              <w:rPr>
                <w:rFonts w:hint="eastAsia" w:ascii="仿宋" w:hAnsi="仿宋" w:eastAsia="仿宋" w:cs="仿宋"/>
                <w:b w:val="0"/>
                <w:bCs w:val="0"/>
                <w:color w:val="auto"/>
                <w:spacing w:val="0"/>
                <w:w w:val="100"/>
                <w:position w:val="0"/>
                <w:sz w:val="24"/>
                <w:szCs w:val="24"/>
                <w:lang w:val="zh-CN" w:eastAsia="zh-CN"/>
              </w:rPr>
              <w:t>”的每项负偏离扣</w:t>
            </w:r>
            <w:r>
              <w:rPr>
                <w:rFonts w:hint="eastAsia" w:ascii="仿宋" w:hAnsi="仿宋" w:eastAsia="仿宋" w:cs="仿宋"/>
                <w:b w:val="0"/>
                <w:bCs w:val="0"/>
                <w:color w:val="auto"/>
                <w:spacing w:val="0"/>
                <w:w w:val="100"/>
                <w:position w:val="0"/>
                <w:sz w:val="24"/>
                <w:szCs w:val="24"/>
                <w:lang w:val="en-US" w:eastAsia="zh-CN"/>
              </w:rPr>
              <w:t>3</w:t>
            </w:r>
            <w:r>
              <w:rPr>
                <w:rFonts w:hint="eastAsia" w:ascii="仿宋" w:hAnsi="仿宋" w:eastAsia="仿宋" w:cs="仿宋"/>
                <w:b w:val="0"/>
                <w:bCs w:val="0"/>
                <w:color w:val="auto"/>
                <w:spacing w:val="0"/>
                <w:w w:val="100"/>
                <w:position w:val="0"/>
                <w:sz w:val="24"/>
                <w:szCs w:val="24"/>
                <w:lang w:val="zh-CN" w:eastAsia="zh-CN"/>
              </w:rPr>
              <w:t>分，不带“</w:t>
            </w:r>
            <w:r>
              <w:rPr>
                <w:rFonts w:hint="eastAsia" w:ascii="仿宋" w:hAnsi="仿宋" w:eastAsia="仿宋" w:cs="仿宋"/>
                <w:b w:val="0"/>
                <w:bCs w:val="0"/>
                <w:color w:val="auto"/>
                <w:spacing w:val="0"/>
                <w:w w:val="100"/>
                <w:position w:val="0"/>
                <w:sz w:val="24"/>
                <w:szCs w:val="24"/>
                <w:lang w:eastAsia="zh-CN"/>
              </w:rPr>
              <w:t>★</w:t>
            </w:r>
            <w:r>
              <w:rPr>
                <w:rFonts w:hint="eastAsia" w:ascii="仿宋" w:hAnsi="仿宋" w:eastAsia="仿宋" w:cs="仿宋"/>
                <w:b w:val="0"/>
                <w:bCs w:val="0"/>
                <w:color w:val="auto"/>
                <w:spacing w:val="0"/>
                <w:w w:val="100"/>
                <w:position w:val="0"/>
                <w:sz w:val="24"/>
                <w:szCs w:val="24"/>
                <w:lang w:val="zh-CN" w:eastAsia="zh-CN"/>
              </w:rPr>
              <w:t>”的每项负偏离扣</w:t>
            </w:r>
            <w:r>
              <w:rPr>
                <w:rFonts w:hint="eastAsia" w:ascii="仿宋" w:hAnsi="仿宋" w:eastAsia="仿宋" w:cs="仿宋"/>
                <w:b w:val="0"/>
                <w:bCs w:val="0"/>
                <w:color w:val="auto"/>
                <w:spacing w:val="0"/>
                <w:w w:val="100"/>
                <w:position w:val="0"/>
                <w:sz w:val="24"/>
                <w:szCs w:val="24"/>
                <w:lang w:val="en-US" w:eastAsia="zh-CN"/>
              </w:rPr>
              <w:t>2</w:t>
            </w:r>
            <w:r>
              <w:rPr>
                <w:rFonts w:hint="eastAsia" w:ascii="仿宋" w:hAnsi="仿宋" w:eastAsia="仿宋" w:cs="仿宋"/>
                <w:b w:val="0"/>
                <w:bCs w:val="0"/>
                <w:color w:val="auto"/>
                <w:spacing w:val="0"/>
                <w:w w:val="100"/>
                <w:position w:val="0"/>
                <w:sz w:val="24"/>
                <w:szCs w:val="24"/>
                <w:lang w:val="zh-CN" w:eastAsia="zh-CN"/>
              </w:rPr>
              <w:t xml:space="preserve">分。扣完为止。 </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zh-CN" w:eastAsia="zh-CN"/>
              </w:rPr>
              <w:t>（注：（加</w:t>
            </w:r>
            <w:r>
              <w:rPr>
                <w:rFonts w:hint="eastAsia" w:ascii="仿宋" w:hAnsi="仿宋" w:eastAsia="仿宋" w:cs="仿宋"/>
                <w:b w:val="0"/>
                <w:bCs w:val="0"/>
                <w:color w:val="auto"/>
                <w:spacing w:val="0"/>
                <w:w w:val="100"/>
                <w:position w:val="0"/>
                <w:sz w:val="24"/>
                <w:szCs w:val="24"/>
                <w:lang w:eastAsia="zh-CN"/>
              </w:rPr>
              <w:t>★</w:t>
            </w:r>
            <w:r>
              <w:rPr>
                <w:rFonts w:hint="eastAsia" w:ascii="仿宋" w:hAnsi="仿宋" w:eastAsia="仿宋" w:cs="仿宋"/>
                <w:b w:val="0"/>
                <w:bCs w:val="0"/>
                <w:color w:val="auto"/>
                <w:spacing w:val="0"/>
                <w:w w:val="100"/>
                <w:position w:val="0"/>
                <w:sz w:val="24"/>
                <w:szCs w:val="24"/>
                <w:lang w:val="zh-CN" w:eastAsia="zh-CN"/>
              </w:rPr>
              <w:t>号为关键技术参数，须提供国家工信部公告参数页作为证明材料）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59" w:type="dxa"/>
            <w:gridSpan w:val="2"/>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投标人或所投车辆生产厂家提供详细供货组织方案，方案制定全面、可操控性强得3分，方案制定较全面、可操作性不高得1-2分。方案制定不全面、可操作性有缺陷得0分。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59" w:type="dxa"/>
            <w:gridSpan w:val="2"/>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投标人或所投车辆生产厂家培训计划完整性、合理性、对采购人正常使用设备产品的可操作性评审，提供制造商售后服务技术人员名单，方案条理清晰、可操作性强得2分；条理不清晰、可行性不高得1分。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415" w:type="dxa"/>
            <w:vMerge w:val="restart"/>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商务</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部分</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restart"/>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企业实力及荣誉</w:t>
            </w:r>
          </w:p>
        </w:tc>
        <w:tc>
          <w:tcPr>
            <w:tcW w:w="767" w:type="dxa"/>
            <w:vMerge w:val="restart"/>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20分</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1．投标人或所投车辆生产厂家具有ISO9001质量管理体系、ISO14001环境管理体系、ISO45001职业健康安全管理体系认证证书的得3分。（提供证书彩色复印件加盖公章，全部提供得3分，不齐全或未提供不得分）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15" w:type="dxa"/>
            <w:vMerge w:val="continue"/>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 xml:space="preserve">2．投标人或所投车辆生产厂家具有GB/T29490-2013知识产权管理体系认证证书的得2分。（提供证书彩色复印件加盖公章，未提供不得分）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15" w:type="dxa"/>
            <w:vMerge w:val="continue"/>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3．投标人或所投车辆生产厂家具有企业诚信管理体GB/T31950-2015认证证书的得3分，没有的不得分。（提供证书彩色复印件加盖公章，未提供不得分）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15" w:type="dxa"/>
            <w:vMerge w:val="continue"/>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4．投标人或所投车辆生产厂家获得全国百佳质量诚信标杆示范企业的得3分，没有的不得分。（提供证书彩色复印件加盖公章，未提供不得分）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15" w:type="dxa"/>
            <w:vMerge w:val="continue"/>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5．投标人或所投车辆生产厂家具有全国供应商公平交易（诚信）行业十佳企业证书的得3分。（提供证书彩色复印件加盖公章，未提供不得分）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5"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67"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6.产品制造商有较强的设计能力和技术力量，制造设备及检测装备先进，在国内同行业中居于领先地位得4-6分；技术力量较强，制造设备先进，检测装备完善，能够满足生产需要得1-3分；其他得0分。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15"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类似业绩</w:t>
            </w:r>
          </w:p>
        </w:tc>
        <w:tc>
          <w:tcPr>
            <w:tcW w:w="767"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6分</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投标人或所投车辆生产厂家提供近三年（2019年3月至今）所投产品的类似业绩，每提供一个类似业绩得2分，未提供得0分。（本项最高得6分，提供合同及中标通知书彩色复印件，未提供不得分）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415" w:type="dxa"/>
            <w:vMerge w:val="continue"/>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tc>
        <w:tc>
          <w:tcPr>
            <w:tcW w:w="94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售后服务</w:t>
            </w:r>
          </w:p>
        </w:tc>
        <w:tc>
          <w:tcPr>
            <w:tcW w:w="767"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9分</w:t>
            </w:r>
          </w:p>
        </w:tc>
        <w:tc>
          <w:tcPr>
            <w:tcW w:w="7554" w:type="dxa"/>
            <w:shd w:val="clear" w:color="auto" w:fill="auto"/>
            <w:vAlign w:val="center"/>
          </w:tcPr>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1.投标人或所投车辆生产厂家获得七星级售后服务体系完善程度认证证书的得2分。（提供证书原件或证书彩色复印件加盖供应商鲜章，未提供不得分）</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2.投标人或所投车辆生产厂家获得的全国售后服务TOP10证书的得2分。（提供证书原件或证书彩色复印件加盖供应商鲜章，未提供不得分）。</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投标人或所投车辆生产厂家有完善的售后服务方案及相关的售后服务承诺（根据各投标企业提供的售后服务计划的情况，包括具体的售后服务内容、故障响应时间、响应方式、服务保障等）。方案内容明确，合理得4-5分，较合理2-3，一般合理得1，否则不得分。</w:t>
            </w:r>
          </w:p>
        </w:tc>
      </w:tr>
    </w:tbl>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bCs/>
          <w:color w:val="auto"/>
          <w:spacing w:val="0"/>
          <w:w w:val="100"/>
          <w:position w:val="0"/>
          <w:sz w:val="24"/>
          <w:szCs w:val="24"/>
          <w:lang w:val="en-US" w:eastAsia="zh-CN"/>
        </w:rPr>
      </w:pPr>
      <w:r>
        <w:rPr>
          <w:rFonts w:hint="eastAsia" w:ascii="仿宋" w:hAnsi="仿宋" w:eastAsia="仿宋" w:cs="仿宋"/>
          <w:b/>
          <w:bCs/>
          <w:color w:val="auto"/>
          <w:spacing w:val="0"/>
          <w:w w:val="100"/>
          <w:position w:val="0"/>
          <w:sz w:val="24"/>
          <w:szCs w:val="24"/>
          <w:lang w:val="en-US" w:eastAsia="zh-CN"/>
        </w:rPr>
        <w:t>参数</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bookmarkStart w:id="16" w:name="bookmark50"/>
      <w:bookmarkStart w:id="17" w:name="bookmark49"/>
      <w:bookmarkStart w:id="18" w:name="bookmark51"/>
      <w:bookmarkStart w:id="19" w:name="bookmark48"/>
      <w:r>
        <w:rPr>
          <w:rFonts w:hint="eastAsia" w:ascii="仿宋" w:hAnsi="仿宋" w:eastAsia="仿宋" w:cs="仿宋"/>
          <w:b w:val="0"/>
          <w:bCs w:val="0"/>
          <w:color w:val="auto"/>
          <w:spacing w:val="0"/>
          <w:w w:val="100"/>
          <w:position w:val="0"/>
          <w:sz w:val="24"/>
          <w:szCs w:val="24"/>
          <w:lang w:eastAsia="zh-CN"/>
        </w:rPr>
        <w:t>（一）、主要技术参数要求：</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★外形尺寸（长） mm   ≥4260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★外形尺寸（宽） mm   ≥1580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★外形尺寸（高） mm   ≥1920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default"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★发动机额定功率（</w:t>
      </w:r>
      <w:r>
        <w:rPr>
          <w:rFonts w:hint="eastAsia" w:ascii="仿宋" w:hAnsi="仿宋" w:eastAsia="仿宋" w:cs="仿宋"/>
          <w:b w:val="0"/>
          <w:bCs w:val="0"/>
          <w:color w:val="auto"/>
          <w:spacing w:val="0"/>
          <w:w w:val="100"/>
          <w:position w:val="0"/>
          <w:sz w:val="24"/>
          <w:szCs w:val="24"/>
          <w:lang w:val="en-US" w:eastAsia="zh-CN"/>
        </w:rPr>
        <w:t>KW</w:t>
      </w:r>
      <w:r>
        <w:rPr>
          <w:rFonts w:hint="eastAsia" w:ascii="仿宋" w:hAnsi="仿宋" w:eastAsia="仿宋" w:cs="仿宋"/>
          <w:b w:val="0"/>
          <w:bCs w:val="0"/>
          <w:color w:val="auto"/>
          <w:spacing w:val="0"/>
          <w:w w:val="100"/>
          <w:position w:val="0"/>
          <w:sz w:val="24"/>
          <w:szCs w:val="24"/>
          <w:lang w:eastAsia="zh-CN"/>
        </w:rPr>
        <w:t>） ≥</w:t>
      </w:r>
      <w:r>
        <w:rPr>
          <w:rFonts w:hint="eastAsia" w:ascii="仿宋" w:hAnsi="仿宋" w:eastAsia="仿宋" w:cs="仿宋"/>
          <w:b w:val="0"/>
          <w:bCs w:val="0"/>
          <w:color w:val="auto"/>
          <w:spacing w:val="0"/>
          <w:w w:val="100"/>
          <w:position w:val="0"/>
          <w:sz w:val="24"/>
          <w:szCs w:val="24"/>
          <w:lang w:val="en-US" w:eastAsia="zh-CN"/>
        </w:rPr>
        <w:t>82</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★总质量 kg   ≥2840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★额定载质量 kg   ≥1390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轴距 mm   ≤2700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default"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w:t>
      </w:r>
      <w:r>
        <w:rPr>
          <w:rFonts w:hint="default" w:ascii="仿宋" w:hAnsi="仿宋" w:eastAsia="仿宋" w:cs="仿宋"/>
          <w:b w:val="0"/>
          <w:bCs w:val="0"/>
          <w:color w:val="auto"/>
          <w:spacing w:val="0"/>
          <w:w w:val="100"/>
          <w:position w:val="0"/>
          <w:sz w:val="24"/>
          <w:szCs w:val="24"/>
          <w:lang w:val="en-US" w:eastAsia="zh-CN"/>
        </w:rPr>
        <w:t>接近角/离去角（°）≥40/18</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w:t>
      </w:r>
      <w:r>
        <w:rPr>
          <w:rFonts w:hint="eastAsia" w:ascii="仿宋" w:hAnsi="仿宋" w:eastAsia="仿宋" w:cs="仿宋"/>
          <w:b w:val="0"/>
          <w:bCs w:val="0"/>
          <w:color w:val="auto"/>
          <w:spacing w:val="0"/>
          <w:w w:val="100"/>
          <w:position w:val="0"/>
          <w:sz w:val="24"/>
          <w:szCs w:val="24"/>
          <w:lang w:val="en-US" w:eastAsia="zh-CN"/>
        </w:rPr>
        <w:t>前悬/后悬（mm）≤720/880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最高车速（km/h）≥100</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钩臂系统最大起重能力（t）</w:t>
      </w:r>
      <w:r>
        <w:rPr>
          <w:rFonts w:hint="eastAsia" w:ascii="仿宋" w:hAnsi="仿宋" w:eastAsia="仿宋" w:cs="仿宋"/>
          <w:b w:val="0"/>
          <w:bCs w:val="0"/>
          <w:color w:val="auto"/>
          <w:spacing w:val="0"/>
          <w:w w:val="100"/>
          <w:position w:val="0"/>
          <w:sz w:val="24"/>
          <w:szCs w:val="24"/>
          <w:lang w:val="en-US" w:eastAsia="zh-CN"/>
        </w:rPr>
        <w:t xml:space="preserve"> ≥1</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最大自卸角度（°）</w:t>
      </w:r>
      <w:r>
        <w:rPr>
          <w:rFonts w:hint="eastAsia" w:ascii="仿宋" w:hAnsi="仿宋" w:eastAsia="仿宋" w:cs="仿宋"/>
          <w:b w:val="0"/>
          <w:bCs w:val="0"/>
          <w:color w:val="auto"/>
          <w:spacing w:val="0"/>
          <w:w w:val="100"/>
          <w:position w:val="0"/>
          <w:sz w:val="24"/>
          <w:szCs w:val="24"/>
          <w:lang w:val="en-US" w:eastAsia="zh-CN"/>
        </w:rPr>
        <w:t xml:space="preserve"> </w:t>
      </w:r>
      <w:r>
        <w:rPr>
          <w:rFonts w:hint="eastAsia" w:ascii="仿宋" w:hAnsi="仿宋" w:eastAsia="仿宋" w:cs="仿宋"/>
          <w:b w:val="0"/>
          <w:bCs w:val="0"/>
          <w:color w:val="auto"/>
          <w:spacing w:val="0"/>
          <w:w w:val="100"/>
          <w:position w:val="0"/>
          <w:sz w:val="24"/>
          <w:szCs w:val="24"/>
          <w:lang w:eastAsia="zh-CN"/>
        </w:rPr>
        <w:t>≥48</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液压系统工作压力（MPa）≤16</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13.装箱工作时间（s）</w:t>
      </w:r>
      <w:r>
        <w:rPr>
          <w:rFonts w:hint="eastAsia" w:ascii="仿宋" w:hAnsi="仿宋" w:eastAsia="仿宋" w:cs="仿宋"/>
          <w:b w:val="0"/>
          <w:bCs w:val="0"/>
          <w:color w:val="auto"/>
          <w:spacing w:val="0"/>
          <w:w w:val="100"/>
          <w:position w:val="0"/>
          <w:sz w:val="24"/>
          <w:szCs w:val="24"/>
          <w:lang w:val="en-US" w:eastAsia="zh-CN"/>
        </w:rPr>
        <w:tab/>
      </w:r>
      <w:r>
        <w:rPr>
          <w:rFonts w:hint="eastAsia" w:ascii="仿宋" w:hAnsi="仿宋" w:eastAsia="仿宋" w:cs="仿宋"/>
          <w:b w:val="0"/>
          <w:bCs w:val="0"/>
          <w:color w:val="auto"/>
          <w:spacing w:val="0"/>
          <w:w w:val="100"/>
          <w:position w:val="0"/>
          <w:sz w:val="24"/>
          <w:szCs w:val="24"/>
          <w:lang w:val="en-US" w:eastAsia="zh-CN"/>
        </w:rPr>
        <w:t>≤35</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14.卸箱工作时间（s）</w:t>
      </w:r>
      <w:r>
        <w:rPr>
          <w:rFonts w:hint="eastAsia" w:ascii="仿宋" w:hAnsi="仿宋" w:eastAsia="仿宋" w:cs="仿宋"/>
          <w:b w:val="0"/>
          <w:bCs w:val="0"/>
          <w:color w:val="auto"/>
          <w:spacing w:val="0"/>
          <w:w w:val="100"/>
          <w:position w:val="0"/>
          <w:sz w:val="24"/>
          <w:szCs w:val="24"/>
          <w:lang w:val="en-US" w:eastAsia="zh-CN"/>
        </w:rPr>
        <w:tab/>
      </w:r>
      <w:r>
        <w:rPr>
          <w:rFonts w:hint="eastAsia" w:ascii="仿宋" w:hAnsi="仿宋" w:eastAsia="仿宋" w:cs="仿宋"/>
          <w:b w:val="0"/>
          <w:bCs w:val="0"/>
          <w:color w:val="auto"/>
          <w:spacing w:val="0"/>
          <w:w w:val="100"/>
          <w:position w:val="0"/>
          <w:sz w:val="24"/>
          <w:szCs w:val="24"/>
          <w:lang w:val="en-US" w:eastAsia="zh-CN"/>
        </w:rPr>
        <w:t>≤45</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15.驾驶室配原厂冷暖空调</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二、主要性能要求</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1、要求钩臂采用优质钢板制作，具有高耐磨性、耐久性的特性；安全提升钩采用高强度耐磨钢制成；</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2、所有操作均可在驾驶室内完成；</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3、箱体安全锁，当车辆在行驶过程中，车箱不会发生抖动现象；</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4、钩臂装置采用联动结构，集作业模式切换、锁箱和翻转架限位为一体，简化操作控制系统，保护举升油缸，降低钩臂故障率，延长钩臂使用寿命。</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eastAsia="zh-CN"/>
        </w:rPr>
        <w:t>其他技术资料要求</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提供所投车辆及生产厂家在国家发改委或工业和信息化产业部发布的《车辆生产企业及产品》或《道路机动车辆生产企业及产品公告》目录内的证明；</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提供专业机构出具的产品检验检测报告；</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en-US" w:eastAsia="zh-CN"/>
        </w:rPr>
        <w:t>提供机动车及安全附件类强制性产品认证。</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四</w:t>
      </w:r>
      <w:bookmarkEnd w:id="16"/>
      <w:r>
        <w:rPr>
          <w:rFonts w:hint="eastAsia" w:ascii="仿宋" w:hAnsi="仿宋" w:eastAsia="仿宋" w:cs="仿宋"/>
          <w:b w:val="0"/>
          <w:bCs w:val="0"/>
          <w:color w:val="auto"/>
          <w:spacing w:val="0"/>
          <w:w w:val="100"/>
          <w:position w:val="0"/>
          <w:sz w:val="24"/>
          <w:szCs w:val="24"/>
          <w:lang w:eastAsia="zh-CN"/>
        </w:rPr>
        <w:t>、服务要求</w:t>
      </w:r>
      <w:bookmarkEnd w:id="17"/>
      <w:bookmarkEnd w:id="18"/>
      <w:bookmarkEnd w:id="19"/>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bookmarkStart w:id="20" w:name="bookmark54"/>
      <w:bookmarkStart w:id="21" w:name="bookmark53"/>
      <w:bookmarkStart w:id="22" w:name="bookmark55"/>
      <w:bookmarkStart w:id="23" w:name="bookmark52"/>
      <w:r>
        <w:rPr>
          <w:rFonts w:hint="eastAsia" w:ascii="仿宋" w:hAnsi="仿宋" w:eastAsia="仿宋" w:cs="仿宋"/>
          <w:b w:val="0"/>
          <w:bCs w:val="0"/>
          <w:color w:val="auto"/>
          <w:spacing w:val="0"/>
          <w:w w:val="100"/>
          <w:position w:val="0"/>
          <w:sz w:val="24"/>
          <w:szCs w:val="24"/>
          <w:lang w:val="en-US" w:eastAsia="zh-CN"/>
        </w:rPr>
        <w:t>1、</w:t>
      </w:r>
      <w:r>
        <w:rPr>
          <w:rFonts w:hint="eastAsia" w:ascii="仿宋" w:hAnsi="仿宋" w:eastAsia="仿宋" w:cs="仿宋"/>
          <w:b w:val="0"/>
          <w:bCs w:val="0"/>
          <w:color w:val="auto"/>
          <w:spacing w:val="0"/>
          <w:w w:val="100"/>
          <w:position w:val="0"/>
          <w:sz w:val="24"/>
          <w:szCs w:val="24"/>
          <w:lang w:eastAsia="zh-CN"/>
        </w:rPr>
        <w:t>项目实施安排合理，能够在承诺的时间内按期交货，</w:t>
      </w:r>
      <w:r>
        <w:rPr>
          <w:rFonts w:hint="eastAsia" w:ascii="仿宋" w:hAnsi="仿宋" w:eastAsia="仿宋" w:cs="仿宋"/>
          <w:b w:val="0"/>
          <w:bCs w:val="0"/>
          <w:color w:val="auto"/>
          <w:spacing w:val="0"/>
          <w:w w:val="100"/>
          <w:position w:val="0"/>
          <w:sz w:val="24"/>
          <w:szCs w:val="24"/>
          <w:lang w:val="en-US" w:eastAsia="zh-CN"/>
        </w:rPr>
        <w:t>有切实可行的</w:t>
      </w:r>
      <w:r>
        <w:rPr>
          <w:rFonts w:hint="eastAsia" w:ascii="仿宋" w:hAnsi="仿宋" w:eastAsia="仿宋" w:cs="仿宋"/>
          <w:b w:val="0"/>
          <w:bCs w:val="0"/>
          <w:color w:val="auto"/>
          <w:spacing w:val="0"/>
          <w:w w:val="100"/>
          <w:position w:val="0"/>
          <w:sz w:val="24"/>
          <w:szCs w:val="24"/>
          <w:lang w:eastAsia="zh-CN"/>
        </w:rPr>
        <w:t>备货、供货进度及保证措施，财力调配、运输等说明</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en-US" w:eastAsia="zh-CN"/>
        </w:rPr>
        <w:t>2、具有</w:t>
      </w:r>
      <w:r>
        <w:rPr>
          <w:rFonts w:hint="eastAsia" w:ascii="仿宋" w:hAnsi="仿宋" w:eastAsia="仿宋" w:cs="仿宋"/>
          <w:b w:val="0"/>
          <w:bCs w:val="0"/>
          <w:color w:val="auto"/>
          <w:spacing w:val="0"/>
          <w:w w:val="100"/>
          <w:position w:val="0"/>
          <w:sz w:val="24"/>
          <w:szCs w:val="24"/>
          <w:lang w:eastAsia="zh-CN"/>
        </w:rPr>
        <w:t>拟投入本项目的人员安排及责任制度，安装、检测、调试措施，安全保障措施，应急处理措施。</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en-US" w:eastAsia="zh-CN"/>
        </w:rPr>
        <w:t>3、投标人具有本地化的售后服务能力，具有专业售后服务人员及维修设备，提供有详尽的配送、调试、验收、培训等计划或预案、承诺，能有效保障本地化技术服务及售后服务的协调性、及时性。</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五</w:t>
      </w:r>
      <w:bookmarkEnd w:id="20"/>
      <w:r>
        <w:rPr>
          <w:rFonts w:hint="eastAsia" w:ascii="仿宋" w:hAnsi="仿宋" w:eastAsia="仿宋" w:cs="仿宋"/>
          <w:b w:val="0"/>
          <w:bCs w:val="0"/>
          <w:color w:val="auto"/>
          <w:spacing w:val="0"/>
          <w:w w:val="100"/>
          <w:position w:val="0"/>
          <w:sz w:val="24"/>
          <w:szCs w:val="24"/>
          <w:lang w:eastAsia="zh-CN"/>
        </w:rPr>
        <w:t>、商务要求</w:t>
      </w:r>
      <w:bookmarkEnd w:id="21"/>
      <w:bookmarkEnd w:id="22"/>
      <w:bookmarkEnd w:id="23"/>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bookmarkStart w:id="24" w:name="bookmark66"/>
      <w:bookmarkStart w:id="25" w:name="bookmark64"/>
      <w:bookmarkStart w:id="26" w:name="bookmark65"/>
      <w:bookmarkStart w:id="27" w:name="bookmark67"/>
      <w:r>
        <w:rPr>
          <w:rFonts w:hint="eastAsia" w:ascii="仿宋" w:hAnsi="仿宋" w:eastAsia="仿宋" w:cs="仿宋"/>
          <w:b w:val="0"/>
          <w:bCs w:val="0"/>
          <w:color w:val="auto"/>
          <w:spacing w:val="0"/>
          <w:w w:val="100"/>
          <w:position w:val="0"/>
          <w:sz w:val="24"/>
          <w:szCs w:val="24"/>
          <w:lang w:val="en-US" w:eastAsia="zh-CN"/>
        </w:rPr>
        <w:t>1、交货地点：采购人指定地点。</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2、交货期： 30日历天，全部采购内容应在合同约定的交货期内安装、调试、检测完毕并经验收、交付正常使用，逾期按违约处理。</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3、采购人不提供食宿、办公、库房等条件，所有事宜均由中标人承担，发生的费用在报价中综合考虑。</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4、合同价款</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本次招标项目为运至采购人指定地点并经安装、调试（或试运转）、验收合格、交付正常使用价格。</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合同价款中包含但不仅限于：货物的设计、采购、制造、供货、标准附件（含为完成安装及交付使用所必须增加的附件或配件）、备品备件 、易损件、工具、厂家赠品、原材料及生产制造、检验（包括海关、商检、技术监督局检验等）、包装、运输、强制保险（不含商业险）、海关手续费、附加税、利润、关税、购置税、车船使用税和费、牌照费、印花税、消费税、增值税、仓储费、附加费、各项费用成本、管理费、运杂费、装卸费、手续费、生产、销售过程中的税费、合理利润及风险、安装、调试、检测、验收（含第三方验收）、技术服务、培训、售后服务、采购代理服务费及招标文件明示或暗示的全部费用，同时还应充分考虑为完成本项目所需的一切成本、利润、税金和风险。</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5、款项结算</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w:t>
      </w:r>
      <w:r>
        <w:rPr>
          <w:rFonts w:hint="eastAsia" w:ascii="仿宋" w:hAnsi="仿宋" w:eastAsia="仿宋" w:cs="仿宋"/>
          <w:b w:val="0"/>
          <w:bCs w:val="0"/>
          <w:color w:val="auto"/>
          <w:spacing w:val="0"/>
          <w:w w:val="100"/>
          <w:position w:val="0"/>
          <w:sz w:val="24"/>
          <w:szCs w:val="24"/>
          <w:lang w:eastAsia="zh-CN"/>
        </w:rPr>
        <w:t>车辆验收合格交付使用后，乙方向甲方开具国家正规的车辆销售发票，在10个工作日内甲方支付</w:t>
      </w:r>
      <w:r>
        <w:rPr>
          <w:rFonts w:hint="eastAsia" w:ascii="仿宋" w:hAnsi="仿宋" w:eastAsia="仿宋" w:cs="仿宋"/>
          <w:b w:val="0"/>
          <w:bCs w:val="0"/>
          <w:color w:val="auto"/>
          <w:spacing w:val="0"/>
          <w:w w:val="100"/>
          <w:position w:val="0"/>
          <w:sz w:val="24"/>
          <w:szCs w:val="24"/>
          <w:lang w:val="en-US" w:eastAsia="zh-CN"/>
        </w:rPr>
        <w:t xml:space="preserve"> 100</w:t>
      </w:r>
      <w:r>
        <w:rPr>
          <w:rFonts w:hint="eastAsia" w:ascii="仿宋" w:hAnsi="仿宋" w:eastAsia="仿宋" w:cs="仿宋"/>
          <w:b w:val="0"/>
          <w:bCs w:val="0"/>
          <w:color w:val="auto"/>
          <w:spacing w:val="0"/>
          <w:w w:val="100"/>
          <w:position w:val="0"/>
          <w:sz w:val="24"/>
          <w:szCs w:val="24"/>
          <w:lang w:eastAsia="zh-CN"/>
        </w:rPr>
        <w:t>%的总合同货款给乙方</w:t>
      </w:r>
      <w:r>
        <w:rPr>
          <w:rFonts w:hint="eastAsia" w:ascii="仿宋" w:hAnsi="仿宋" w:eastAsia="仿宋" w:cs="仿宋"/>
          <w:b w:val="0"/>
          <w:bCs w:val="0"/>
          <w:color w:val="auto"/>
          <w:spacing w:val="0"/>
          <w:w w:val="100"/>
          <w:position w:val="0"/>
          <w:sz w:val="24"/>
          <w:szCs w:val="24"/>
          <w:lang w:val="en-US" w:eastAsia="zh-CN"/>
        </w:rPr>
        <w:t>(不收取质保金，中标单位必须提供质保函)。</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（2）结算方式：银行转账。</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6、运输</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中标人负责所有产品的运输。确保产品安全、完整到达使用地点，运杂费用包含在总价内，包括产品从供货地点到使用地点的运输费、保险费、搬运费、装卸费、仓储费等。</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 xml:space="preserve">    7、质量保证</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（1）选用的产品必须保证技术指标先进、质量可靠、供货渠道正常，配置合理，满足招标文件要求。</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（2）所有产品符合国家有关规范，确保产品达到最佳运行状态。</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8、技术服务</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（1）技术资料：</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1）产品合格证；</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2）商检证、报关单（适用于进口产品）；</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3）产品使用说明书；</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4）其它相关资料。</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（2）售后服务承诺：投标文件中有明确的售后服务承诺。应向采购人提供全方位、有效而及时的技术支持和售后服务；且必须保证货物维修保养所需备品备件的及时供应；</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（3）人员培训：为使用单位免费培训技术人员。</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en-US" w:eastAsia="zh-CN"/>
        </w:rPr>
        <w:t>（4）招标文件明确需要提供的其他内容。</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六</w:t>
      </w:r>
      <w:bookmarkEnd w:id="24"/>
      <w:r>
        <w:rPr>
          <w:rFonts w:hint="eastAsia" w:ascii="仿宋" w:hAnsi="仿宋" w:eastAsia="仿宋" w:cs="仿宋"/>
          <w:b w:val="0"/>
          <w:bCs w:val="0"/>
          <w:color w:val="auto"/>
          <w:spacing w:val="0"/>
          <w:w w:val="100"/>
          <w:position w:val="0"/>
          <w:sz w:val="24"/>
          <w:szCs w:val="24"/>
          <w:lang w:eastAsia="zh-CN"/>
        </w:rPr>
        <w:t>、其他</w:t>
      </w:r>
      <w:bookmarkEnd w:id="25"/>
      <w:bookmarkEnd w:id="26"/>
      <w:bookmarkEnd w:id="27"/>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（一）、对供应商业绩的要求。</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bookmarkStart w:id="28" w:name="bookmark68"/>
      <w:r>
        <w:rPr>
          <w:rFonts w:hint="eastAsia" w:ascii="仿宋" w:hAnsi="仿宋" w:eastAsia="仿宋" w:cs="仿宋"/>
          <w:b w:val="0"/>
          <w:bCs w:val="0"/>
          <w:color w:val="auto"/>
          <w:spacing w:val="0"/>
          <w:w w:val="100"/>
          <w:position w:val="0"/>
          <w:sz w:val="24"/>
          <w:szCs w:val="24"/>
          <w:lang w:val="zh-CN" w:eastAsia="zh-CN"/>
        </w:rPr>
        <w:t>供应商具有2</w:t>
      </w:r>
      <w:r>
        <w:rPr>
          <w:rFonts w:hint="eastAsia" w:ascii="仿宋" w:hAnsi="仿宋" w:eastAsia="仿宋" w:cs="仿宋"/>
          <w:b w:val="0"/>
          <w:bCs w:val="0"/>
          <w:color w:val="auto"/>
          <w:spacing w:val="0"/>
          <w:w w:val="100"/>
          <w:position w:val="0"/>
          <w:sz w:val="24"/>
          <w:szCs w:val="24"/>
          <w:lang w:val="en-US" w:eastAsia="zh-CN"/>
        </w:rPr>
        <w:t>019</w:t>
      </w:r>
      <w:r>
        <w:rPr>
          <w:rFonts w:hint="eastAsia" w:ascii="仿宋" w:hAnsi="仿宋" w:eastAsia="仿宋" w:cs="仿宋"/>
          <w:b w:val="0"/>
          <w:bCs w:val="0"/>
          <w:color w:val="auto"/>
          <w:spacing w:val="0"/>
          <w:w w:val="100"/>
          <w:position w:val="0"/>
          <w:sz w:val="24"/>
          <w:szCs w:val="24"/>
          <w:lang w:val="zh-CN" w:eastAsia="zh-CN"/>
        </w:rPr>
        <w:t>年</w:t>
      </w:r>
      <w:r>
        <w:rPr>
          <w:rFonts w:hint="eastAsia" w:ascii="仿宋" w:hAnsi="仿宋" w:eastAsia="仿宋" w:cs="仿宋"/>
          <w:b w:val="0"/>
          <w:bCs w:val="0"/>
          <w:color w:val="auto"/>
          <w:spacing w:val="0"/>
          <w:w w:val="100"/>
          <w:position w:val="0"/>
          <w:sz w:val="24"/>
          <w:szCs w:val="24"/>
          <w:lang w:val="en-US" w:eastAsia="zh-CN"/>
        </w:rPr>
        <w:t>1月1日</w:t>
      </w:r>
      <w:r>
        <w:rPr>
          <w:rFonts w:hint="eastAsia" w:ascii="仿宋" w:hAnsi="仿宋" w:eastAsia="仿宋" w:cs="仿宋"/>
          <w:b w:val="0"/>
          <w:bCs w:val="0"/>
          <w:color w:val="auto"/>
          <w:spacing w:val="0"/>
          <w:w w:val="100"/>
          <w:position w:val="0"/>
          <w:sz w:val="24"/>
          <w:szCs w:val="24"/>
          <w:lang w:val="zh-CN" w:eastAsia="zh-CN"/>
        </w:rPr>
        <w:t>至今（以合同签订时间为准）的</w:t>
      </w:r>
      <w:r>
        <w:rPr>
          <w:rFonts w:hint="eastAsia" w:ascii="仿宋" w:hAnsi="仿宋" w:eastAsia="仿宋" w:cs="仿宋"/>
          <w:b w:val="0"/>
          <w:bCs w:val="0"/>
          <w:color w:val="auto"/>
          <w:spacing w:val="0"/>
          <w:w w:val="100"/>
          <w:position w:val="0"/>
          <w:sz w:val="24"/>
          <w:szCs w:val="24"/>
          <w:lang w:val="en-US" w:eastAsia="zh-CN"/>
        </w:rPr>
        <w:t>类似</w:t>
      </w:r>
      <w:r>
        <w:rPr>
          <w:rFonts w:hint="eastAsia" w:ascii="仿宋" w:hAnsi="仿宋" w:eastAsia="仿宋" w:cs="仿宋"/>
          <w:b w:val="0"/>
          <w:bCs w:val="0"/>
          <w:color w:val="auto"/>
          <w:spacing w:val="0"/>
          <w:w w:val="100"/>
          <w:position w:val="0"/>
          <w:sz w:val="24"/>
          <w:szCs w:val="24"/>
          <w:lang w:val="zh-CN" w:eastAsia="zh-CN"/>
        </w:rPr>
        <w:t>项目业绩</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w:t>
      </w:r>
      <w:bookmarkEnd w:id="28"/>
      <w:r>
        <w:rPr>
          <w:rFonts w:hint="eastAsia" w:ascii="仿宋" w:hAnsi="仿宋" w:eastAsia="仿宋" w:cs="仿宋"/>
          <w:b w:val="0"/>
          <w:bCs w:val="0"/>
          <w:color w:val="auto"/>
          <w:spacing w:val="0"/>
          <w:w w:val="100"/>
          <w:position w:val="0"/>
          <w:sz w:val="24"/>
          <w:szCs w:val="24"/>
          <w:lang w:eastAsia="zh-CN"/>
        </w:rPr>
        <w:t>二）、质量验收标准或规范</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en-US" w:eastAsia="zh-CN"/>
        </w:rPr>
      </w:pPr>
      <w:bookmarkStart w:id="29" w:name="bookmark69"/>
      <w:r>
        <w:rPr>
          <w:rFonts w:hint="eastAsia" w:ascii="仿宋" w:hAnsi="仿宋" w:eastAsia="仿宋" w:cs="仿宋"/>
          <w:b w:val="0"/>
          <w:bCs w:val="0"/>
          <w:color w:val="auto"/>
          <w:spacing w:val="0"/>
          <w:w w:val="100"/>
          <w:position w:val="0"/>
          <w:sz w:val="24"/>
          <w:szCs w:val="24"/>
          <w:lang w:val="en-US" w:eastAsia="zh-CN"/>
        </w:rPr>
        <w:t>1、依次序对照适用标准为：①符合中华人民共和国国家安全质量标准、环保标准或行业标准；②符合采购文件和响应承诺中采购人认可的合理最佳配置、参数及各项要求；③货物来源国官方标准。上述标准必须是有关官方机构发布的最新版本的标准。</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val="en-US" w:eastAsia="zh-CN"/>
        </w:rPr>
        <w:t>2、验收由中标人、采购人依国家有关标准、合同及有关附件要求进行。中标人须为验收提供符合验收标准的相关条件。</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w:t>
      </w:r>
      <w:bookmarkEnd w:id="29"/>
      <w:r>
        <w:rPr>
          <w:rFonts w:hint="eastAsia" w:ascii="仿宋" w:hAnsi="仿宋" w:eastAsia="仿宋" w:cs="仿宋"/>
          <w:b w:val="0"/>
          <w:bCs w:val="0"/>
          <w:color w:val="auto"/>
          <w:spacing w:val="0"/>
          <w:w w:val="100"/>
          <w:position w:val="0"/>
          <w:sz w:val="24"/>
          <w:szCs w:val="24"/>
          <w:lang w:eastAsia="zh-CN"/>
        </w:rPr>
        <w:t>三）、产品质保期</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val="zh-TW" w:eastAsia="zh-CN"/>
        </w:rPr>
      </w:pPr>
      <w:bookmarkStart w:id="30" w:name="bookmark72"/>
      <w:r>
        <w:rPr>
          <w:rFonts w:hint="eastAsia" w:ascii="仿宋" w:hAnsi="仿宋" w:eastAsia="仿宋" w:cs="仿宋"/>
          <w:b w:val="0"/>
          <w:bCs w:val="0"/>
          <w:color w:val="auto"/>
          <w:spacing w:val="0"/>
          <w:w w:val="100"/>
          <w:position w:val="0"/>
          <w:sz w:val="24"/>
          <w:szCs w:val="24"/>
          <w:lang w:val="zh-TW" w:eastAsia="zh-TW"/>
        </w:rPr>
        <w:t>全部货物自验收合格交付使用之日起</w:t>
      </w:r>
      <w:r>
        <w:rPr>
          <w:rFonts w:hint="eastAsia" w:ascii="仿宋" w:hAnsi="仿宋" w:eastAsia="仿宋" w:cs="仿宋"/>
          <w:b w:val="0"/>
          <w:bCs w:val="0"/>
          <w:color w:val="auto"/>
          <w:spacing w:val="0"/>
          <w:w w:val="100"/>
          <w:position w:val="0"/>
          <w:sz w:val="24"/>
          <w:szCs w:val="24"/>
          <w:lang w:val="zh-TW" w:eastAsia="zh-CN"/>
        </w:rPr>
        <w:t>整车质保</w:t>
      </w:r>
      <w:r>
        <w:rPr>
          <w:rFonts w:hint="eastAsia" w:ascii="仿宋" w:hAnsi="仿宋" w:eastAsia="仿宋" w:cs="仿宋"/>
          <w:b w:val="0"/>
          <w:bCs w:val="0"/>
          <w:color w:val="auto"/>
          <w:spacing w:val="0"/>
          <w:w w:val="100"/>
          <w:position w:val="0"/>
          <w:sz w:val="24"/>
          <w:szCs w:val="24"/>
          <w:lang w:val="en-US" w:eastAsia="zh-CN"/>
        </w:rPr>
        <w:t>12个月（易损易耗件除外）</w:t>
      </w:r>
      <w:r>
        <w:rPr>
          <w:rFonts w:hint="eastAsia" w:ascii="仿宋" w:hAnsi="仿宋" w:eastAsia="仿宋" w:cs="仿宋"/>
          <w:b w:val="0"/>
          <w:bCs w:val="0"/>
          <w:color w:val="auto"/>
          <w:spacing w:val="0"/>
          <w:w w:val="100"/>
          <w:position w:val="0"/>
          <w:sz w:val="24"/>
          <w:szCs w:val="24"/>
          <w:lang w:val="zh-TW" w:eastAsia="zh-CN"/>
        </w:rPr>
        <w:t>。</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w:t>
      </w:r>
      <w:bookmarkEnd w:id="30"/>
      <w:r>
        <w:rPr>
          <w:rFonts w:hint="eastAsia" w:ascii="仿宋" w:hAnsi="仿宋" w:eastAsia="仿宋" w:cs="仿宋"/>
          <w:b w:val="0"/>
          <w:bCs w:val="0"/>
          <w:color w:val="auto"/>
          <w:spacing w:val="0"/>
          <w:w w:val="100"/>
          <w:position w:val="0"/>
          <w:sz w:val="24"/>
          <w:szCs w:val="24"/>
          <w:lang w:eastAsia="zh-CN"/>
        </w:rPr>
        <w:t>四）、违约责任</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1、乙方的违约责任</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乙方逾期交货的，按逾期交货部分的设备金额每日向甲方支付1‰的违约金。逾期交货超过</w:t>
      </w:r>
      <w:r>
        <w:rPr>
          <w:rFonts w:hint="eastAsia" w:ascii="仿宋" w:hAnsi="仿宋" w:eastAsia="仿宋" w:cs="仿宋"/>
          <w:b w:val="0"/>
          <w:bCs w:val="0"/>
          <w:color w:val="auto"/>
          <w:spacing w:val="0"/>
          <w:w w:val="100"/>
          <w:position w:val="0"/>
          <w:sz w:val="24"/>
          <w:szCs w:val="24"/>
          <w:lang w:val="en-US" w:eastAsia="zh-CN"/>
        </w:rPr>
        <w:t>15</w:t>
      </w:r>
      <w:r>
        <w:rPr>
          <w:rFonts w:hint="eastAsia" w:ascii="仿宋" w:hAnsi="仿宋" w:eastAsia="仿宋" w:cs="仿宋"/>
          <w:b w:val="0"/>
          <w:bCs w:val="0"/>
          <w:color w:val="auto"/>
          <w:spacing w:val="0"/>
          <w:w w:val="100"/>
          <w:position w:val="0"/>
          <w:sz w:val="24"/>
          <w:szCs w:val="24"/>
          <w:lang w:eastAsia="zh-CN"/>
        </w:rPr>
        <w:t>日的，甲方有权解除本合同，并要求乙方承担赔偿责任。</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2、甲方的违约责任</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甲方未按规定支付乙方货款的，按逾期支付货款金额每日向乙方支付1‰的违约金。</w:t>
      </w:r>
    </w:p>
    <w:p>
      <w:pPr>
        <w:pStyle w:val="11"/>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60" w:lineRule="exact"/>
        <w:ind w:left="0" w:right="0" w:firstLine="480"/>
        <w:jc w:val="both"/>
        <w:textAlignment w:val="auto"/>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b w:val="0"/>
          <w:bCs w:val="0"/>
          <w:color w:val="auto"/>
          <w:spacing w:val="0"/>
          <w:w w:val="100"/>
          <w:position w:val="0"/>
          <w:sz w:val="24"/>
          <w:szCs w:val="24"/>
          <w:lang w:eastAsia="zh-CN"/>
        </w:rPr>
        <w:t>3、任何一方因不可抗力致使合同不能履行时，遭受不可抗力的一方于该不可抗力发生后，2日内通知对方，并出具有法律效力的证明文件，合同履行期可按该不可抗力因素影响时间顺延。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ZmFkYTY3ODUzYzY5OGZlMWUzYjVlOWVkOWE3M2MifQ=="/>
  </w:docVars>
  <w:rsids>
    <w:rsidRoot w:val="00000000"/>
    <w:rsid w:val="00C7541B"/>
    <w:rsid w:val="08BD3E09"/>
    <w:rsid w:val="08F30149"/>
    <w:rsid w:val="091E5378"/>
    <w:rsid w:val="0E140975"/>
    <w:rsid w:val="0EA4712F"/>
    <w:rsid w:val="0F187154"/>
    <w:rsid w:val="0F4D2EB1"/>
    <w:rsid w:val="10E50BB0"/>
    <w:rsid w:val="124C6864"/>
    <w:rsid w:val="15283485"/>
    <w:rsid w:val="169F3BAB"/>
    <w:rsid w:val="19EE7534"/>
    <w:rsid w:val="1C570195"/>
    <w:rsid w:val="1E8660F3"/>
    <w:rsid w:val="21487A09"/>
    <w:rsid w:val="22631DD1"/>
    <w:rsid w:val="226A47A4"/>
    <w:rsid w:val="22E42A38"/>
    <w:rsid w:val="2543589F"/>
    <w:rsid w:val="274A17B5"/>
    <w:rsid w:val="29DE0709"/>
    <w:rsid w:val="2B804070"/>
    <w:rsid w:val="2BD25C70"/>
    <w:rsid w:val="2C195538"/>
    <w:rsid w:val="2E9E746C"/>
    <w:rsid w:val="2F5C2CD3"/>
    <w:rsid w:val="30C86DE9"/>
    <w:rsid w:val="33B20BF2"/>
    <w:rsid w:val="340F089E"/>
    <w:rsid w:val="34E9101B"/>
    <w:rsid w:val="35C73A8A"/>
    <w:rsid w:val="38456A5D"/>
    <w:rsid w:val="3900078C"/>
    <w:rsid w:val="3AA57226"/>
    <w:rsid w:val="3AC91AC9"/>
    <w:rsid w:val="3F2B6A9D"/>
    <w:rsid w:val="40F7249B"/>
    <w:rsid w:val="411F0FD8"/>
    <w:rsid w:val="412C06C1"/>
    <w:rsid w:val="427A6929"/>
    <w:rsid w:val="47583847"/>
    <w:rsid w:val="4ECE1701"/>
    <w:rsid w:val="53467C96"/>
    <w:rsid w:val="57346FE0"/>
    <w:rsid w:val="58D94320"/>
    <w:rsid w:val="5AD04259"/>
    <w:rsid w:val="5CD04C32"/>
    <w:rsid w:val="5F97635E"/>
    <w:rsid w:val="61AD3294"/>
    <w:rsid w:val="61B3007E"/>
    <w:rsid w:val="63E60A96"/>
    <w:rsid w:val="6B054AC4"/>
    <w:rsid w:val="733A1CB0"/>
    <w:rsid w:val="75643AD3"/>
    <w:rsid w:val="77646A51"/>
    <w:rsid w:val="7C423383"/>
    <w:rsid w:val="7CC33DD4"/>
    <w:rsid w:val="7ED6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9"/>
    <w:pPr>
      <w:keepNext/>
      <w:keepLines/>
      <w:spacing w:line="576" w:lineRule="auto"/>
      <w:outlineLvl w:val="0"/>
    </w:pPr>
    <w:rPr>
      <w:b/>
      <w:kern w:val="44"/>
      <w:sz w:val="44"/>
    </w:rPr>
  </w:style>
  <w:style w:type="paragraph" w:styleId="4">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napToGrid w:val="0"/>
      <w:spacing w:beforeLines="50" w:afterLines="50"/>
      <w:ind w:left="406"/>
    </w:pPr>
    <w:rPr>
      <w:rFonts w:ascii="宋体" w:hAnsi="宋体" w:cs="Arial"/>
      <w:szCs w:val="2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3|1"/>
    <w:basedOn w:val="1"/>
    <w:qFormat/>
    <w:uiPriority w:val="0"/>
    <w:pPr>
      <w:widowControl w:val="0"/>
      <w:shd w:val="clear" w:color="auto" w:fill="auto"/>
      <w:spacing w:after="310"/>
      <w:ind w:firstLine="260"/>
      <w:outlineLvl w:val="2"/>
    </w:pPr>
    <w:rPr>
      <w:rFonts w:ascii="宋体" w:hAnsi="宋体" w:eastAsia="宋体" w:cs="宋体"/>
      <w:sz w:val="32"/>
      <w:szCs w:val="32"/>
      <w:u w:val="none"/>
      <w:shd w:val="clear" w:color="auto" w:fill="auto"/>
      <w:lang w:val="zh-TW" w:eastAsia="zh-TW" w:bidi="zh-TW"/>
    </w:rPr>
  </w:style>
  <w:style w:type="paragraph" w:customStyle="1" w:styleId="9">
    <w:name w:val="Other|1"/>
    <w:basedOn w:val="1"/>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rPr>
  </w:style>
  <w:style w:type="paragraph" w:customStyle="1" w:styleId="11">
    <w:name w:val="Heading #4|1"/>
    <w:basedOn w:val="1"/>
    <w:qFormat/>
    <w:uiPriority w:val="0"/>
    <w:pPr>
      <w:widowControl w:val="0"/>
      <w:shd w:val="clear" w:color="auto" w:fill="auto"/>
      <w:spacing w:after="150" w:line="397" w:lineRule="exact"/>
      <w:ind w:firstLine="510"/>
      <w:outlineLvl w:val="3"/>
    </w:pPr>
    <w:rPr>
      <w:rFonts w:ascii="宋体" w:hAnsi="宋体" w:eastAsia="宋体" w:cs="宋体"/>
      <w:b/>
      <w:bCs/>
      <w:sz w:val="26"/>
      <w:szCs w:val="26"/>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after="200" w:line="305" w:lineRule="exact"/>
      <w:ind w:left="500" w:firstLine="480"/>
    </w:pPr>
    <w:rPr>
      <w:rFonts w:ascii="宋体" w:hAnsi="宋体" w:eastAsia="宋体" w:cs="宋体"/>
      <w:color w:val="CB9A8B"/>
      <w:sz w:val="20"/>
      <w:szCs w:val="20"/>
      <w:u w:val="none"/>
      <w:shd w:val="clear" w:color="auto" w:fill="auto"/>
      <w:lang w:val="zh-TW" w:eastAsia="zh-TW" w:bidi="zh-TW"/>
    </w:rPr>
  </w:style>
  <w:style w:type="paragraph" w:customStyle="1" w:styleId="14">
    <w:name w:val="Table caption|1"/>
    <w:basedOn w:val="1"/>
    <w:qFormat/>
    <w:uiPriority w:val="0"/>
    <w:pPr>
      <w:widowControl w:val="0"/>
      <w:shd w:val="clear" w:color="auto" w:fill="auto"/>
      <w:spacing w:after="30"/>
      <w:ind w:firstLine="240"/>
    </w:pPr>
    <w:rPr>
      <w:rFonts w:ascii="宋体" w:hAnsi="宋体" w:eastAsia="宋体" w:cs="宋体"/>
      <w:color w:val="CB9A8B"/>
      <w:sz w:val="20"/>
      <w:szCs w:val="20"/>
      <w:u w:val="none"/>
      <w:shd w:val="clear" w:color="auto" w:fill="auto"/>
      <w:lang w:val="zh-TW" w:eastAsia="zh-TW" w:bidi="zh-TW"/>
    </w:rPr>
  </w:style>
  <w:style w:type="paragraph" w:customStyle="1" w:styleId="15">
    <w:name w:val="Body text|3"/>
    <w:basedOn w:val="1"/>
    <w:qFormat/>
    <w:uiPriority w:val="0"/>
    <w:pPr>
      <w:widowControl w:val="0"/>
      <w:shd w:val="clear" w:color="auto" w:fill="auto"/>
      <w:spacing w:after="1360" w:line="320" w:lineRule="exact"/>
      <w:ind w:left="960" w:firstLine="40"/>
    </w:pPr>
    <w:rPr>
      <w:color w:val="F65E51"/>
      <w:sz w:val="20"/>
      <w:szCs w:val="20"/>
      <w:u w:val="none"/>
      <w:shd w:val="clear" w:color="auto" w:fill="auto"/>
      <w:lang w:val="zh-TW" w:eastAsia="zh-TW" w:bidi="zh-TW"/>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5141</Words>
  <Characters>5389</Characters>
  <Lines>0</Lines>
  <Paragraphs>0</Paragraphs>
  <TotalTime>14</TotalTime>
  <ScaleCrop>false</ScaleCrop>
  <LinksUpToDate>false</LinksUpToDate>
  <CharactersWithSpaces>5452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2021-07-09T04:03:00Z</dcterms:created>
  <dc:creator>Administrator</dc:creator>
  <cp:lastModifiedBy>WPS_1636424151</cp:lastModifiedBy>
  <cp:lastPrinted>2021-07-22T07:23:00Z</cp:lastPrinted>
  <dcterms:modified xsi:type="dcterms:W3CDTF">2022-09-28T06:59:59Z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264DF173E3E745AC81BAF046061062F2</vt:lpwstr>
  </property>
</Properties>
</file>