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蓝田县三官庙镇秦保驿站项目政府采购需求书</w:t>
      </w:r>
    </w:p>
    <w:p>
      <w:pPr>
        <w:pStyle w:val="4"/>
        <w:jc w:val="center"/>
        <w:rPr>
          <w:rFonts w:hint="eastAsia" w:ascii="仿宋" w:hAnsi="仿宋" w:eastAsia="仿宋" w:cs="仿宋"/>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工程类</w:t>
      </w:r>
      <w:r>
        <w:rPr>
          <w:rFonts w:hint="eastAsia" w:ascii="仿宋" w:hAnsi="仿宋" w:eastAsia="仿宋" w:cs="仿宋"/>
          <w:b/>
          <w:bCs/>
          <w:sz w:val="30"/>
          <w:szCs w:val="30"/>
          <w:lang w:eastAsia="zh-CN"/>
        </w:rPr>
        <w:t>）</w:t>
      </w:r>
    </w:p>
    <w:tbl>
      <w:tblPr>
        <w:tblStyle w:val="11"/>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77"/>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77" w:type="dxa"/>
            <w:vAlign w:val="top"/>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关键事项</w:t>
            </w:r>
          </w:p>
        </w:tc>
        <w:tc>
          <w:tcPr>
            <w:tcW w:w="7138" w:type="dxa"/>
            <w:vAlign w:val="top"/>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9" w:type="dxa"/>
            <w:vAlign w:val="top"/>
          </w:tcPr>
          <w:p>
            <w:pPr>
              <w:jc w:val="both"/>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277"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采购预算</w:t>
            </w:r>
          </w:p>
        </w:tc>
        <w:tc>
          <w:tcPr>
            <w:tcW w:w="7138" w:type="dxa"/>
            <w:vAlign w:val="top"/>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人民币</w:t>
            </w:r>
            <w:r>
              <w:rPr>
                <w:rFonts w:hint="eastAsia" w:ascii="仿宋" w:hAnsi="仿宋" w:eastAsia="仿宋" w:cs="仿宋"/>
                <w:sz w:val="21"/>
                <w:szCs w:val="21"/>
                <w:u w:val="single"/>
                <w:vertAlign w:val="baseline"/>
                <w:lang w:val="en-US" w:eastAsia="zh-CN"/>
              </w:rPr>
              <w:t xml:space="preserve">    1538008.52   </w:t>
            </w:r>
            <w:r>
              <w:rPr>
                <w:rFonts w:hint="eastAsia" w:ascii="仿宋" w:hAnsi="仿宋" w:eastAsia="仿宋" w:cs="仿宋"/>
                <w:sz w:val="21"/>
                <w:szCs w:val="21"/>
                <w:u w:val="none"/>
                <w:vertAlign w:val="baseline"/>
                <w:lang w:val="en-US" w:eastAsia="zh-CN"/>
              </w:rPr>
              <w:t>元</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仅指与本次采购标的直接相关的费用，前期勘察费、设计费等已发生的费用，以及监理费、接口费等未来预留费用，不应当包含在本项目采购预算内，甲方须向本级财政部门经费业务处室申请办理经费剥离手续。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2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最高限价</w:t>
            </w:r>
          </w:p>
        </w:tc>
        <w:tc>
          <w:tcPr>
            <w:tcW w:w="7138" w:type="dxa"/>
            <w:vAlign w:val="top"/>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人民币</w:t>
            </w:r>
            <w:r>
              <w:rPr>
                <w:rFonts w:hint="eastAsia" w:ascii="仿宋" w:hAnsi="仿宋" w:eastAsia="仿宋" w:cs="仿宋"/>
                <w:sz w:val="21"/>
                <w:szCs w:val="21"/>
                <w:u w:val="single"/>
                <w:vertAlign w:val="baseline"/>
                <w:lang w:val="en-US" w:eastAsia="zh-CN"/>
              </w:rPr>
              <w:t xml:space="preserve">    1538008.52   </w:t>
            </w:r>
            <w:r>
              <w:rPr>
                <w:rFonts w:hint="eastAsia" w:ascii="仿宋" w:hAnsi="仿宋" w:eastAsia="仿宋" w:cs="仿宋"/>
                <w:sz w:val="21"/>
                <w:szCs w:val="21"/>
                <w:u w:val="none"/>
                <w:vertAlign w:val="baseline"/>
                <w:lang w:val="en-US" w:eastAsia="zh-CN"/>
              </w:rPr>
              <w:t>元</w:t>
            </w:r>
          </w:p>
          <w:p>
            <w:pPr>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u w:val="none"/>
                <w:vertAlign w:val="baseline"/>
                <w:lang w:val="en-US" w:eastAsia="zh-CN"/>
              </w:rPr>
              <w:t>供应商投标报价高于最高限额价的则其投标文件将按无效投标文件处理。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79"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w:t>
            </w: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277"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项目性质</w:t>
            </w: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专门面向小微企业采购</w:t>
            </w:r>
            <w:bookmarkStart w:id="0" w:name="_GoBack"/>
            <w:bookmarkEnd w:id="0"/>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top"/>
          </w:tcPr>
          <w:p>
            <w:pPr>
              <w:jc w:val="center"/>
              <w:rPr>
                <w:rFonts w:hint="eastAsia" w:ascii="仿宋" w:hAnsi="仿宋" w:eastAsia="仿宋" w:cs="仿宋"/>
                <w:sz w:val="21"/>
                <w:szCs w:val="21"/>
                <w:vertAlign w:val="baseline"/>
              </w:rPr>
            </w:pPr>
          </w:p>
        </w:tc>
        <w:tc>
          <w:tcPr>
            <w:tcW w:w="1277" w:type="dxa"/>
            <w:vMerge w:val="continue"/>
            <w:vAlign w:val="top"/>
          </w:tcPr>
          <w:p>
            <w:pPr>
              <w:jc w:val="center"/>
              <w:rPr>
                <w:rFonts w:hint="eastAsia" w:ascii="仿宋" w:hAnsi="仿宋" w:eastAsia="仿宋" w:cs="仿宋"/>
                <w:sz w:val="21"/>
                <w:szCs w:val="21"/>
                <w:vertAlign w:val="baseline"/>
              </w:rPr>
            </w:pP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非专门面向中小企业采购</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对符合《政府采购促进中小企业发展管理办法》（财库{2020}46号）规定的小微企业（监狱企业视同小型、微型企业）的报价在评标时在采用原报价进行评分的基础上增加其价格得分的3%作为其价格分</w:t>
            </w:r>
            <w:r>
              <w:rPr>
                <w:rFonts w:hint="eastAsia" w:ascii="仿宋" w:hAnsi="仿宋" w:eastAsia="仿宋" w:cs="仿宋"/>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277"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对供应商的</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资格要求</w:t>
            </w:r>
          </w:p>
        </w:tc>
        <w:tc>
          <w:tcPr>
            <w:tcW w:w="7138" w:type="dxa"/>
            <w:vAlign w:val="top"/>
          </w:tcPr>
          <w:p>
            <w:pPr>
              <w:numPr>
                <w:ilvl w:val="0"/>
                <w:numId w:val="0"/>
              </w:numPr>
              <w:jc w:val="both"/>
              <w:rPr>
                <w:rFonts w:hint="eastAsia" w:ascii="仿宋" w:hAnsi="仿宋" w:eastAsia="仿宋" w:cs="仿宋"/>
                <w:color w:val="auto"/>
                <w:sz w:val="21"/>
                <w:szCs w:val="21"/>
                <w:u w:val="single"/>
                <w:vertAlign w:val="baseline"/>
                <w:lang w:val="en-US" w:eastAsia="zh-CN"/>
              </w:rPr>
            </w:pPr>
            <w:r>
              <w:rPr>
                <w:rFonts w:hint="eastAsia" w:ascii="仿宋" w:hAnsi="仿宋" w:eastAsia="仿宋" w:cs="仿宋"/>
                <w:sz w:val="21"/>
                <w:szCs w:val="21"/>
                <w:u w:val="none"/>
                <w:vertAlign w:val="baseline"/>
                <w:lang w:val="en-US" w:eastAsia="zh-CN"/>
              </w:rPr>
              <w:t>1、</w:t>
            </w:r>
            <w:r>
              <w:rPr>
                <w:rFonts w:hint="eastAsia" w:ascii="仿宋" w:hAnsi="仿宋" w:eastAsia="仿宋" w:cs="仿宋"/>
                <w:sz w:val="21"/>
                <w:szCs w:val="21"/>
                <w:u w:val="single"/>
                <w:vertAlign w:val="baseline"/>
                <w:lang w:val="en-US" w:eastAsia="zh-CN"/>
              </w:rPr>
              <w:t>具备建设行政主管部门颁发的建筑工程施工总承包三级及以上资质证书，同时具有合格有效的安全生产许可证</w:t>
            </w:r>
            <w:r>
              <w:rPr>
                <w:rFonts w:hint="eastAsia" w:ascii="仿宋" w:hAnsi="仿宋" w:eastAsia="仿宋" w:cs="仿宋"/>
                <w:color w:val="auto"/>
                <w:sz w:val="21"/>
                <w:szCs w:val="21"/>
                <w:u w:val="single"/>
                <w:vertAlign w:val="baseline"/>
                <w:lang w:val="en-US" w:eastAsia="zh-CN"/>
              </w:rPr>
              <w:t>。</w:t>
            </w:r>
          </w:p>
          <w:p>
            <w:pPr>
              <w:numPr>
                <w:ilvl w:val="0"/>
                <w:numId w:val="0"/>
              </w:numPr>
              <w:jc w:val="both"/>
              <w:rPr>
                <w:rFonts w:hint="eastAsia" w:ascii="仿宋" w:hAnsi="仿宋" w:eastAsia="仿宋" w:cs="仿宋"/>
                <w:color w:val="auto"/>
                <w:sz w:val="21"/>
                <w:szCs w:val="21"/>
                <w:u w:val="single"/>
                <w:vertAlign w:val="baseline"/>
                <w:lang w:val="en-US" w:eastAsia="zh-CN"/>
              </w:rPr>
            </w:pPr>
            <w:r>
              <w:rPr>
                <w:rFonts w:hint="eastAsia" w:ascii="仿宋" w:hAnsi="仿宋" w:eastAsia="仿宋" w:cs="仿宋"/>
                <w:color w:val="auto"/>
                <w:sz w:val="21"/>
                <w:szCs w:val="21"/>
                <w:u w:val="none"/>
                <w:vertAlign w:val="baseline"/>
                <w:lang w:val="en-US" w:eastAsia="zh-CN"/>
              </w:rPr>
              <w:t>2、</w:t>
            </w:r>
            <w:r>
              <w:rPr>
                <w:rFonts w:hint="eastAsia" w:ascii="仿宋" w:hAnsi="仿宋" w:eastAsia="仿宋" w:cs="仿宋"/>
                <w:color w:val="auto"/>
                <w:sz w:val="21"/>
                <w:szCs w:val="21"/>
                <w:u w:val="single"/>
                <w:vertAlign w:val="baseline"/>
                <w:lang w:val="en-US" w:eastAsia="zh-CN"/>
              </w:rPr>
              <w:t>拟派项目经理须具有建筑工程专业二级及以上注册建造师证书和有效的安全生产考核证书（B证）且无在建工程、无不良记录（提供无在建工程、无不良记录承诺书）</w:t>
            </w:r>
            <w:r>
              <w:rPr>
                <w:rFonts w:hint="eastAsia" w:ascii="仿宋" w:hAnsi="仿宋" w:eastAsia="仿宋" w:cs="仿宋"/>
                <w:color w:val="auto"/>
                <w:sz w:val="21"/>
                <w:szCs w:val="21"/>
                <w:u w:val="single"/>
                <w:lang w:eastAsia="zh-CN"/>
              </w:rPr>
              <w:t>。</w:t>
            </w:r>
          </w:p>
          <w:p>
            <w:pPr>
              <w:numPr>
                <w:ilvl w:val="0"/>
                <w:numId w:val="0"/>
              </w:numPr>
              <w:ind w:left="0" w:leftChars="0" w:firstLine="0" w:firstLineChars="0"/>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u w:val="none"/>
                <w:vertAlign w:val="baseline"/>
                <w:lang w:val="en-US" w:eastAsia="zh-CN"/>
              </w:rPr>
              <w:t>根据《政府采购促进中小企业发展管理办法》（财库{2020}46号）的规定，不得以企业注册资本、资产总额、营业收入、从业人员、利润、纳税额等规模条件和财务指标作为供应商的资格要求或者评审因素，不得财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277"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是否接受</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联合体投标</w:t>
            </w: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接受</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对于联合体协议或者分包意向协议约定小微企业的合同份额占到合同总金额30%以上的，对联合体或者大中型企业的原报价进行评分的基础上增加其价格得分的1%作为其价格分</w:t>
            </w:r>
            <w:r>
              <w:rPr>
                <w:rFonts w:hint="eastAsia" w:ascii="仿宋" w:hAnsi="仿宋" w:eastAsia="仿宋" w:cs="仿宋"/>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top"/>
          </w:tcPr>
          <w:p>
            <w:pPr>
              <w:jc w:val="center"/>
              <w:rPr>
                <w:rFonts w:hint="eastAsia" w:ascii="仿宋" w:hAnsi="仿宋" w:eastAsia="仿宋" w:cs="仿宋"/>
                <w:sz w:val="21"/>
                <w:szCs w:val="21"/>
                <w:vertAlign w:val="baseline"/>
              </w:rPr>
            </w:pPr>
          </w:p>
        </w:tc>
        <w:tc>
          <w:tcPr>
            <w:tcW w:w="1277" w:type="dxa"/>
            <w:vMerge w:val="continue"/>
            <w:vAlign w:val="top"/>
          </w:tcPr>
          <w:p>
            <w:pPr>
              <w:jc w:val="center"/>
              <w:rPr>
                <w:rFonts w:hint="eastAsia" w:ascii="仿宋" w:hAnsi="仿宋" w:eastAsia="仿宋" w:cs="仿宋"/>
                <w:sz w:val="21"/>
                <w:szCs w:val="21"/>
                <w:vertAlign w:val="baseline"/>
              </w:rPr>
            </w:pP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277" w:type="dxa"/>
            <w:vMerge w:val="restart"/>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履约保证金</w:t>
            </w:r>
          </w:p>
        </w:tc>
        <w:tc>
          <w:tcPr>
            <w:tcW w:w="7138" w:type="dxa"/>
            <w:vAlign w:val="top"/>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占政府采购合同金额的</w:t>
            </w:r>
            <w:r>
              <w:rPr>
                <w:rFonts w:hint="eastAsia" w:ascii="仿宋" w:hAnsi="仿宋" w:eastAsia="仿宋" w:cs="仿宋"/>
                <w:sz w:val="21"/>
                <w:szCs w:val="21"/>
                <w:u w:val="single"/>
                <w:vertAlign w:val="baseline"/>
                <w:lang w:val="en-US" w:eastAsia="zh-CN"/>
              </w:rPr>
              <w:t xml:space="preserve">   </w:t>
            </w:r>
            <w:r>
              <w:rPr>
                <w:rFonts w:hint="eastAsia" w:ascii="仿宋" w:hAnsi="仿宋" w:eastAsia="仿宋" w:cs="仿宋"/>
                <w:sz w:val="21"/>
                <w:szCs w:val="21"/>
                <w:u w:val="none"/>
                <w:vertAlign w:val="baseline"/>
                <w:lang w:val="en-US" w:eastAsia="zh-CN"/>
              </w:rPr>
              <w:t>%</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9" w:type="dxa"/>
            <w:vMerge w:val="continue"/>
            <w:vAlign w:val="top"/>
          </w:tcPr>
          <w:p>
            <w:pPr>
              <w:jc w:val="center"/>
              <w:rPr>
                <w:rFonts w:hint="eastAsia" w:ascii="仿宋" w:hAnsi="仿宋" w:eastAsia="仿宋" w:cs="仿宋"/>
                <w:sz w:val="21"/>
                <w:szCs w:val="21"/>
                <w:vertAlign w:val="baseline"/>
              </w:rPr>
            </w:pPr>
          </w:p>
        </w:tc>
        <w:tc>
          <w:tcPr>
            <w:tcW w:w="1277" w:type="dxa"/>
            <w:vMerge w:val="continue"/>
            <w:vAlign w:val="top"/>
          </w:tcPr>
          <w:p>
            <w:pPr>
              <w:jc w:val="center"/>
              <w:rPr>
                <w:rFonts w:hint="eastAsia" w:ascii="仿宋" w:hAnsi="仿宋" w:eastAsia="仿宋" w:cs="仿宋"/>
                <w:sz w:val="21"/>
                <w:szCs w:val="21"/>
                <w:vertAlign w:val="baseline"/>
                <w:lang w:val="en-US"/>
              </w:rPr>
            </w:pP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由采购单位自行收退</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由代理机构负责收退</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9" w:type="dxa"/>
            <w:vAlign w:val="top"/>
          </w:tcPr>
          <w:p>
            <w:pPr>
              <w:ind w:firstLine="210" w:firstLineChars="10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277"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现场踏勘和集中答疑</w:t>
            </w:r>
          </w:p>
        </w:tc>
        <w:tc>
          <w:tcPr>
            <w:tcW w:w="7138" w:type="dxa"/>
            <w:vAlign w:val="top"/>
          </w:tcPr>
          <w:p>
            <w:pPr>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组织，答疑地点为：</w:t>
            </w:r>
            <w:r>
              <w:rPr>
                <w:rFonts w:hint="eastAsia" w:ascii="仿宋" w:hAnsi="仿宋" w:eastAsia="仿宋" w:cs="仿宋"/>
                <w:sz w:val="21"/>
                <w:szCs w:val="21"/>
                <w:u w:val="single"/>
                <w:vertAlign w:val="baseline"/>
                <w:lang w:val="en-US" w:eastAsia="zh-CN"/>
              </w:rPr>
              <w:t xml:space="preserve">                     </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u w:val="none"/>
                <w:vertAlign w:val="baseli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79"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2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价格分比重</w:t>
            </w:r>
          </w:p>
        </w:tc>
        <w:tc>
          <w:tcPr>
            <w:tcW w:w="7138" w:type="dxa"/>
            <w:vAlign w:val="top"/>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占总分值的</w:t>
            </w:r>
            <w:r>
              <w:rPr>
                <w:rFonts w:hint="eastAsia" w:ascii="仿宋" w:hAnsi="仿宋" w:eastAsia="仿宋" w:cs="仿宋"/>
                <w:sz w:val="21"/>
                <w:szCs w:val="21"/>
                <w:u w:val="single"/>
                <w:vertAlign w:val="baseline"/>
                <w:lang w:val="en-US" w:eastAsia="zh-CN"/>
              </w:rPr>
              <w:t xml:space="preserve">  30 </w:t>
            </w:r>
            <w:r>
              <w:rPr>
                <w:rFonts w:hint="eastAsia" w:ascii="仿宋" w:hAnsi="仿宋" w:eastAsia="仿宋" w:cs="仿宋"/>
                <w:sz w:val="21"/>
                <w:szCs w:val="21"/>
                <w:u w:val="none"/>
                <w:vertAlign w:val="baseline"/>
                <w:lang w:val="en-US" w:eastAsia="zh-CN"/>
              </w:rPr>
              <w:t>%</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政府采购法律法规未有明确限制。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9"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277" w:type="dxa"/>
            <w:vAlign w:val="top"/>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合同类型</w:t>
            </w: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固定总价</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固定单价（适用于工程数量不定的情形）</w:t>
            </w:r>
          </w:p>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vertAlign w:val="baseline"/>
                <w:lang w:val="en-US" w:eastAsia="zh-CN"/>
              </w:rPr>
              <w:t>○其他：</w:t>
            </w:r>
            <w:r>
              <w:rPr>
                <w:rFonts w:hint="eastAsia" w:ascii="仿宋" w:hAnsi="仿宋" w:eastAsia="仿宋" w:cs="仿宋"/>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9"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277" w:type="dxa"/>
            <w:vAlign w:val="top"/>
          </w:tcPr>
          <w:p>
            <w:pPr>
              <w:jc w:val="both"/>
              <w:rPr>
                <w:rFonts w:hint="eastAsia" w:ascii="仿宋" w:hAnsi="仿宋" w:eastAsia="仿宋" w:cs="仿宋"/>
                <w:sz w:val="21"/>
                <w:szCs w:val="21"/>
                <w:vertAlign w:val="baseline"/>
                <w:lang w:val="en-US" w:eastAsia="zh-CN"/>
              </w:rPr>
            </w:pP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争议解决</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途径</w:t>
            </w:r>
          </w:p>
        </w:tc>
        <w:tc>
          <w:tcPr>
            <w:tcW w:w="7138" w:type="dxa"/>
            <w:vAlign w:val="top"/>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w:t>
            </w:r>
            <w:r>
              <w:rPr>
                <w:rFonts w:hint="eastAsia" w:ascii="仿宋" w:hAnsi="仿宋" w:eastAsia="仿宋" w:cs="仿宋"/>
                <w:sz w:val="21"/>
                <w:szCs w:val="21"/>
                <w:vertAlign w:val="baseline"/>
                <w:lang w:val="en-US" w:eastAsia="zh-CN"/>
              </w:rPr>
              <w:t>向有管辖权的人民法院提起诉讼</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○向西安仲裁委员会提请仲裁</w:t>
            </w:r>
          </w:p>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○由供应商作出选择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277" w:type="dxa"/>
            <w:vAlign w:val="top"/>
          </w:tcPr>
          <w:p>
            <w:pPr>
              <w:jc w:val="center"/>
              <w:rPr>
                <w:rFonts w:hint="eastAsia" w:ascii="仿宋" w:hAnsi="仿宋" w:eastAsia="仿宋" w:cs="仿宋"/>
                <w:sz w:val="21"/>
                <w:szCs w:val="21"/>
                <w:vertAlign w:val="baseline"/>
                <w:lang w:val="en-US" w:eastAsia="zh-CN"/>
              </w:rPr>
            </w:pP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联系方式</w:t>
            </w:r>
          </w:p>
        </w:tc>
        <w:tc>
          <w:tcPr>
            <w:tcW w:w="7138" w:type="dxa"/>
            <w:vAlign w:val="top"/>
          </w:tcPr>
          <w:p>
            <w:pPr>
              <w:jc w:val="both"/>
              <w:rPr>
                <w:rFonts w:hint="eastAsia" w:ascii="仿宋" w:hAnsi="仿宋" w:eastAsia="仿宋" w:cs="仿宋"/>
                <w:sz w:val="21"/>
                <w:szCs w:val="21"/>
                <w:highlight w:val="none"/>
                <w:u w:val="none"/>
                <w:vertAlign w:val="baseline"/>
                <w:lang w:val="en-US" w:eastAsia="zh-CN"/>
              </w:rPr>
            </w:pPr>
            <w:r>
              <w:rPr>
                <w:rFonts w:hint="eastAsia" w:ascii="仿宋" w:hAnsi="仿宋" w:eastAsia="仿宋" w:cs="仿宋"/>
                <w:sz w:val="21"/>
                <w:szCs w:val="21"/>
                <w:highlight w:val="none"/>
                <w:vertAlign w:val="baseline"/>
                <w:lang w:val="en-US" w:eastAsia="zh-CN"/>
              </w:rPr>
              <w:t>项目对接人：</w:t>
            </w:r>
            <w:r>
              <w:rPr>
                <w:rFonts w:hint="eastAsia" w:ascii="仿宋" w:hAnsi="仿宋" w:eastAsia="仿宋" w:cs="仿宋"/>
                <w:sz w:val="21"/>
                <w:szCs w:val="21"/>
                <w:highlight w:val="none"/>
                <w:u w:val="single"/>
                <w:vertAlign w:val="baseline"/>
                <w:lang w:val="en-US" w:eastAsia="zh-CN"/>
              </w:rPr>
              <w:t xml:space="preserve"> 程老师 </w:t>
            </w:r>
          </w:p>
          <w:p>
            <w:pPr>
              <w:jc w:val="both"/>
              <w:rPr>
                <w:rFonts w:hint="eastAsia" w:ascii="仿宋" w:hAnsi="仿宋" w:eastAsia="仿宋" w:cs="仿宋"/>
                <w:i w:val="0"/>
                <w:iCs w:val="0"/>
                <w:sz w:val="21"/>
                <w:szCs w:val="21"/>
                <w:highlight w:val="none"/>
                <w:u w:val="single"/>
                <w:vertAlign w:val="baseline"/>
                <w:lang w:val="en-US" w:eastAsia="zh-CN"/>
              </w:rPr>
            </w:pPr>
            <w:r>
              <w:rPr>
                <w:rFonts w:hint="eastAsia" w:ascii="仿宋" w:hAnsi="仿宋" w:eastAsia="仿宋" w:cs="仿宋"/>
                <w:sz w:val="21"/>
                <w:szCs w:val="21"/>
                <w:highlight w:val="none"/>
                <w:vertAlign w:val="baseline"/>
                <w:lang w:val="en-US" w:eastAsia="zh-CN"/>
              </w:rPr>
              <w:t>联系电话：</w:t>
            </w:r>
            <w:r>
              <w:rPr>
                <w:rFonts w:hint="eastAsia" w:ascii="仿宋" w:hAnsi="仿宋" w:eastAsia="仿宋" w:cs="仿宋"/>
                <w:i w:val="0"/>
                <w:iCs w:val="0"/>
                <w:sz w:val="21"/>
                <w:szCs w:val="21"/>
                <w:highlight w:val="none"/>
                <w:u w:val="single"/>
                <w:vertAlign w:val="baseline"/>
                <w:lang w:val="en-US" w:eastAsia="zh-CN"/>
              </w:rPr>
              <w:t xml:space="preserve"> 029-82751244 </w:t>
            </w:r>
          </w:p>
          <w:p>
            <w:pPr>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highlight w:val="none"/>
                <w:vertAlign w:val="baseline"/>
                <w:lang w:val="en-US" w:eastAsia="zh-CN"/>
              </w:rPr>
              <w:t>电子邮箱：</w:t>
            </w:r>
            <w:r>
              <w:rPr>
                <w:rFonts w:hint="eastAsia" w:ascii="仿宋" w:hAnsi="仿宋" w:eastAsia="仿宋" w:cs="仿宋"/>
                <w:sz w:val="21"/>
                <w:szCs w:val="21"/>
                <w:highlight w:val="none"/>
                <w:u w:val="single"/>
                <w:vertAlign w:val="baseline"/>
                <w:lang w:val="en-US" w:eastAsia="zh-CN"/>
              </w:rPr>
              <w:t xml:space="preserve">    /          </w:t>
            </w:r>
          </w:p>
        </w:tc>
      </w:tr>
    </w:tbl>
    <w:p>
      <w:pPr>
        <w:jc w:val="center"/>
        <w:rPr>
          <w:rFonts w:hint="eastAsia" w:ascii="仿宋" w:hAnsi="仿宋" w:eastAsia="仿宋" w:cs="仿宋"/>
          <w:sz w:val="21"/>
          <w:szCs w:val="21"/>
        </w:rPr>
      </w:pPr>
    </w:p>
    <w:p>
      <w:pPr>
        <w:widowControl/>
        <w:jc w:val="center"/>
        <w:rPr>
          <w:rFonts w:hint="eastAsia" w:ascii="仿宋" w:hAnsi="仿宋" w:eastAsia="仿宋" w:cs="仿宋"/>
          <w:b/>
          <w:sz w:val="32"/>
          <w:szCs w:val="32"/>
        </w:rPr>
      </w:pPr>
      <w:r>
        <w:rPr>
          <w:rFonts w:hint="eastAsia" w:ascii="仿宋" w:hAnsi="仿宋" w:eastAsia="仿宋" w:cs="仿宋"/>
          <w:b/>
          <w:sz w:val="32"/>
          <w:szCs w:val="32"/>
        </w:rPr>
        <w:t>需求框架（工程类）</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一、项目概况</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1.项目基本情况</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本工程为蓝田县三官庙镇秦保驿站项目，主要包含土建工程、电气工程、给排水工程、室外工程；</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建设内容概况：</w:t>
      </w:r>
    </w:p>
    <w:p>
      <w:pPr>
        <w:pStyle w:val="4"/>
        <w:ind w:firstLine="560" w:firstLineChars="200"/>
        <w:jc w:val="both"/>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建设内容包含：秦保驿站土建工程、电气工程、给排水工程、室外工程、绿化工程</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2.项目投资规模</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（1）项目名称：蓝田县三官庙镇秦保驿站项目</w:t>
      </w:r>
    </w:p>
    <w:p>
      <w:pPr>
        <w:pStyle w:val="4"/>
        <w:ind w:firstLine="560" w:firstLineChars="200"/>
        <w:jc w:val="both"/>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（2）项目建设地点：陕西省西安市蓝田县三官庙镇</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（3）项目建设规模：土建工程、电气工程、给排水工程、室外工程等。</w:t>
      </w:r>
    </w:p>
    <w:p>
      <w:pPr>
        <w:pStyle w:val="4"/>
        <w:ind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（4）项目建设资金：项目建设总投资金1538008.52 元。</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二、工程内容和</w:t>
      </w:r>
      <w:r>
        <w:rPr>
          <w:rFonts w:hint="eastAsia" w:ascii="仿宋" w:hAnsi="仿宋" w:eastAsia="仿宋" w:cs="仿宋"/>
          <w:b/>
          <w:sz w:val="28"/>
          <w:szCs w:val="28"/>
          <w:lang w:val="en-US" w:eastAsia="zh-CN"/>
        </w:rPr>
        <w:t>工程</w:t>
      </w:r>
      <w:r>
        <w:rPr>
          <w:rFonts w:hint="eastAsia" w:ascii="仿宋" w:hAnsi="仿宋" w:eastAsia="仿宋" w:cs="仿宋"/>
          <w:b/>
          <w:sz w:val="28"/>
          <w:szCs w:val="28"/>
        </w:rPr>
        <w:t>地点、计划工期、缺陷责任期、质量保修期</w:t>
      </w:r>
    </w:p>
    <w:p>
      <w:pPr>
        <w:pStyle w:val="13"/>
        <w:spacing w:line="400" w:lineRule="exact"/>
        <w:ind w:firstLine="48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（一）工程内容：</w:t>
      </w:r>
    </w:p>
    <w:p>
      <w:pPr>
        <w:pStyle w:val="13"/>
        <w:spacing w:line="400" w:lineRule="exact"/>
        <w:ind w:firstLine="48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详见工程量清单</w:t>
      </w:r>
    </w:p>
    <w:p>
      <w:pPr>
        <w:pStyle w:val="13"/>
        <w:spacing w:line="400" w:lineRule="exact"/>
        <w:ind w:firstLine="48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（二）工程地点：陕西省西安市蓝田县三官庙镇</w:t>
      </w:r>
    </w:p>
    <w:p>
      <w:pPr>
        <w:pStyle w:val="13"/>
        <w:spacing w:line="400" w:lineRule="exact"/>
        <w:ind w:firstLine="48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（三）计划工期：自合同签订之日起90日历天</w:t>
      </w:r>
    </w:p>
    <w:p>
      <w:pPr>
        <w:pStyle w:val="13"/>
        <w:spacing w:line="400" w:lineRule="exact"/>
        <w:ind w:firstLine="48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（四）缺陷责任期：自本项目竣工验收合格之日起一年。</w:t>
      </w:r>
    </w:p>
    <w:p>
      <w:pPr>
        <w:pStyle w:val="13"/>
        <w:spacing w:line="400" w:lineRule="exact"/>
        <w:ind w:firstLine="48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（五）质量保修期（与质保金的退还无关）：工程项目质量保修期按有关文件规定执行，见《建设工程质量管理规定》。</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三、工程量清单和计价依据</w:t>
      </w:r>
    </w:p>
    <w:p>
      <w:pPr>
        <w:pStyle w:val="13"/>
        <w:spacing w:line="360" w:lineRule="auto"/>
        <w:ind w:left="0" w:leftChars="0"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（一）计价依据：</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1.《陕西省建设工程工程量清单计价规则》（2009）、《陕西省建设工程工程量清单计价费率》（2009）及其配套文件中工程量计算办法；</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2.本工程措施费执行陕建发【2017】270号文，关于增加建设工程扬尘治理专项措施费及综合人工单价调整的通知；</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3.陕建发【2019】45号文，关于调整陕西省建设工程计价依据的通知；</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4.陕建发【2019】1246号文，关于发布我省落实建筑工人实名制管理计价依据的通知；</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5.陕建发【2020】1097号文，关于发布建筑施工安全责任保险费用计价的通知；</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6.陕建发【2021】1021号文，关于全省统一停止收缴建筑业劳保费用的通知；</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7.施工图纸；</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8.常规的施工组织设计及施工方法；</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9.施工图中采用的相关标准图集、施工规范及验收规范；</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10.招标技术要求及其他相关资料；</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11.施工现场情况、工程特点及常规施工方案。</w:t>
      </w:r>
    </w:p>
    <w:p>
      <w:p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12.编制使用软件：广联达云计价平台GCCP6.0版本6.3000.23.110。</w:t>
      </w:r>
    </w:p>
    <w:p>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（二）工程量清单：</w:t>
      </w: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土建工程</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462"/>
        <w:gridCol w:w="3424"/>
        <w:gridCol w:w="919"/>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4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8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项目编码</w:t>
            </w:r>
          </w:p>
        </w:tc>
        <w:tc>
          <w:tcPr>
            <w:tcW w:w="200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53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计量单位</w:t>
            </w:r>
          </w:p>
        </w:tc>
        <w:tc>
          <w:tcPr>
            <w:tcW w:w="114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DB001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整体拆除房屋</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1.拆除砖混结构 现浇板顶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2.垃圾外运</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基础部分</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010101003002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挖基础土方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1.土壤类别:二类土壤</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2.基础类型:机械开挖</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010103001001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土(石)方回填</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1.土质要求:3：7灰土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2.密实度要求:0.96上</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3.夯填(碾压):蛙式夯回填</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010103001002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土(石)方回填</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1.土质要求:素土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2.密实度要求:0.96上</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3.夯填(碾压):压路机压实</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010401006001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垫层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1.混凝土强度等级:C30商品砼</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010401002001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独立基础</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1.混凝土强度等级:C30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2.混凝土拌和料要求:商品砼</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010403001001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基础梁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1.梁底标高:-0.25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2.梁截面:300*600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3.混凝土强度等级:C30商品砼</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010402001001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矩形柱</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1.柱高度:1.5M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2.柱截面尺寸:650*650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3.混凝土强度等级:C30商品砼</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010416001001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现浇混凝土钢筋</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1.钢筋种类、规格:园钢</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010417002001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预埋铁件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1.钢材种类、规格:8厚钢板及12钢筋</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地上部分</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010603001001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实腹柱</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1.钢材品种、规格:Q345-B H200*200*8*12</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2.运距:15公里</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3.探伤要求:制作安装</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4.油漆品种、刷漆遍数:防锈漆2遍调和漆两遍</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010604001001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1.钢材品种、规格:</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2.运距:15公里</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3.探伤要求:制作安装</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4.油漆品种、刷漆遍数:防锈漆2遍调和漆两遍</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6" w:hRule="atLeast"/>
        </w:trPr>
        <w:tc>
          <w:tcPr>
            <w:tcW w:w="447"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58"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010304001004</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空心砖墙、砌块墙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1.墙体类型:外墙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2.墙体厚度:240mm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3.空心砖、砌块品种、规格、强度等级:MU5加气砼砌块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4.砂浆强度等级、配合比:M10混合砂浆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1.砂浆制作、运输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2.砌砖、砌块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3.勾缝</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4.材料运输</w:t>
            </w:r>
          </w:p>
        </w:tc>
        <w:tc>
          <w:tcPr>
            <w:tcW w:w="53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020102002005</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块料楼地面 地29</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1、铺8～10厚地砖地面，干水泥擦缝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2、撒素水泥面（洒适量清水）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3、30厚1：3干硬性水泥砂浆结合层（内掺建筑胶）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4、1.5厚合成高分子涂抹结合层，四周翻起150高 5、1:3水泥砂浆找坡层最薄处20厚，坡向地漏，一次抹平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6、60厚C15混凝土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7、素土夯实</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020102002006</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块料楼地面地28</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1.铺6～10厚地砖地面，干水泥擦缝</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2.5厚1:2.5水泥砂浆粘结层（内掺建筑胶）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3.20厚1：3干硬性水泥砂浆结合层（内掺建筑胶）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4.水泥浆一道（内掺建筑胶）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5.60厚C15混凝土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6.150厚3：7灰土</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7.素土夯实</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020102002007</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块料楼地面楼39</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1、铺防滑地砖楼面，干水泥檫缝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2、5厚1：2.5水泥砂浆粘结层（内掺建筑胶）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3、20厚1：3干硬性水泥砂浆结合层（内掺建筑胶）                   4、水泥浆一道（内掺建筑胶）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5、现浇钢筋混凝土楼板或预制楼板现浇叠合层，随打随抹光</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020102002008</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块料楼面 楼41</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1、铺8～10厚地砖楼面，干水泥檫缝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2、撒素水泥面（洒适量清水）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3、30厚1：3干硬性水泥砂浆结合层（内掺建筑胶）4、1.5厚合成高分子涂膜防水层，四周翻起150高</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5、1：3水泥砂浆找坡层，最薄处20厚。坡向地漏，一次抹平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6、现浇钢筋混凝土楼板或预制楼板现浇叠合层</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447"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58"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020105005001</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塑料板踢脚线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1.踢脚线高度:100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2.粘结层厚度、材料种类:粘结剂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3.面层材料种类、规格、品牌、颜色:塑料板踢脚线</w:t>
            </w:r>
          </w:p>
        </w:tc>
        <w:tc>
          <w:tcPr>
            <w:tcW w:w="53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010405003001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平板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1.板厚度:100以上</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2.混凝土强度等级:C25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3.混凝土拌和料要求:商品混凝土</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1.混凝土制作、运输、浇筑、振捣、养护</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010416001003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现浇混凝土钢筋</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1.钢筋种类、规格:三级钢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1.钢筋（网、笼）制作、运输</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2.钢筋（网、笼）安装</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010605001001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压型钢板楼板</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1.压型钢板楼板安装</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010702001002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屋面卷材防水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1.4厚聚酯胎SBS改性防水卷材一道S=263.15㎡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2.25厚1：3水泥砂浆找平层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3.保温层(单列)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4.1：6水泥陶粒或焦渣找坡，最薄处30厚（或结构找坡）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5.钢筋混凝土屋面板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6.做法详见陕09J01 屋Ⅲ4</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1.基层处理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2.抹找平层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3.刷底油</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010702004002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屋面排水管</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1.排水管:白色UPVC管，DN100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2.水落斗:4处</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3.横式水落口:4处</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4.做法详见陕09J02 1、S/22 1/17</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1.排水管及配件安装、固定</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2.雨水斗、雨水箅子安装</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3.接缝、嵌缝</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4" w:hRule="atLeast"/>
        </w:trPr>
        <w:tc>
          <w:tcPr>
            <w:tcW w:w="447"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58"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020201001002</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水泥砂浆墙面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1.6mm厚水泥砂浆 1:2.5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2.10厚1∶3水泥砂浆打底</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3.做法详见陕09J01 内1</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1.基层清理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2.砂浆制作、运输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3.底层抹灰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4.抹面层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5.抹装饰面</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6.勾分格缝</w:t>
            </w:r>
          </w:p>
        </w:tc>
        <w:tc>
          <w:tcPr>
            <w:tcW w:w="53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020207001003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装饰板墙面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1.墙体类型:内墙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2.龙骨材料种类、规格、中距:轻钢龙骨75系列间距600mm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3.基层材料种类、规格:双面贴木工板</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4.面层材料品种、规格、品牌、颜色:面层另列</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020207001004</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装饰板墙面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1.基层材料种类、规格:木工板（另列）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2.面层材料品种、规格、品牌、颜色:竹木纤维墙板安装</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020201001003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墙面一般抹灰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1.外墙真石漆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2.6厚1：2水泥砂浆抹平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3.12厚1：3水泥砂浆打底扫毛</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4.部位：外砖砌筑墙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5.做法详见陕09J01 外10</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1.基层清理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2.砂浆制作、运输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3.底层抹灰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4.抹面层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5.抹装饰面</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6.勾分格缝</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010803003001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外墙100厚EPS聚苯板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1.100厚EPS聚苯板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2.挂网抹3厚聚合物砂浆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1.基层清理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2.底层抹灰</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3.填贴保温材料</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447"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8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020201001004</w:t>
            </w:r>
          </w:p>
        </w:tc>
        <w:tc>
          <w:tcPr>
            <w:tcW w:w="200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墙面一般抹灰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部位：女儿墙内侧及后背墙  </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1.8厚1：2.5水泥砂浆抹面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2.12厚1：3水泥砂浆打底扫毛</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3.做法详见陕09J01 外4A</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1.基层清理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2.砂浆制作、运输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3.底层抹灰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4.抹面层</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5.抹装饰面</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6.勾分格缝</w:t>
            </w:r>
          </w:p>
        </w:tc>
        <w:tc>
          <w:tcPr>
            <w:tcW w:w="53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020302001001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天棚吊顶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1.吊顶形式:不上人</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2.龙骨类型、材料种类、规格、中距:轻钢龙骨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3.面层材料品种、规格、品牌、颜色:竹碳纤维板</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020209001001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大便隔断</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1.做法参照陕09J05图集24页详图3</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2.材质：胶合板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3.高度：1950mm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1.骨架及边框制作、运输、安装</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2.隔板制作、运输、安装</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3.嵌缝、塞口</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4.装钉压条</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5.刷防护材料、油漆</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020402006002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防盗门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1.门类型:平开门成品防盗门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2.框材质、外围尺寸:900*2100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020402006003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防盗门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1.门类型:平开门成品防盗门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2.框材质、外围尺寸:1200*2100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020406007001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塑钢窗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1.窗类型:塑钢推拉窗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2.框材质、外围尺寸:塑钢3000*1500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020406007003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塑钢窗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1.窗类型:塑钢推拉窗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2.框材质、外围尺寸:塑钢1500*1500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020406007002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塑钢窗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1.窗类型:塑钢推拉窗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2.框材质、外围尺寸:塑钢1200*1500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020406007004</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塑钢窗（传递窗）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1.窗类型:塑钢推拉窗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2.框材质、外围尺寸:塑钢1200*1500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020107001002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金属扶手带栏杆、栏板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1.扶手材料种类、规格、品牌、颜色:不锈钢管 Φ89*2.5</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2.栏杆材料种类、规格、品牌、颜色:不锈钢管</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447"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858"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010606008001</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钢梯</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1.钢材品种、规格:Q345B</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3.油漆品种、刷漆遍数:水性无机富锌底漆100μm(2*50),环氧云铁中间漆70μm(2*35)</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4.防火涂料品种：GJ-1薄涂型钢结构膨胀型防火涂料，耐火极限2h</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1.制作</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2.运输</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3.安装</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4.探伤</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5.刷油漆</w:t>
            </w:r>
          </w:p>
        </w:tc>
        <w:tc>
          <w:tcPr>
            <w:tcW w:w="53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4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020607001001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泡沫塑料字</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1.基层类型:砖墙面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2.镌字材料品种、颜色:发光字红色</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3.字体规格:800*800</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4.固定方式:粘接</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14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bl>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电气设备安装工程</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464"/>
        <w:gridCol w:w="3424"/>
        <w:gridCol w:w="924"/>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85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项目编码</w:t>
            </w:r>
          </w:p>
        </w:tc>
        <w:tc>
          <w:tcPr>
            <w:tcW w:w="200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54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计量单位</w:t>
            </w:r>
          </w:p>
        </w:tc>
        <w:tc>
          <w:tcPr>
            <w:tcW w:w="112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强电工程</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030213001004</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普通吸顶灯及其他灯具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1.名称、型号:Φ300 LED吸顶灯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2.规格:40W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030204031006</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小电器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1.名称:排气扇</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030213001005</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普通吸顶灯及其他灯具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1.名称:防水防潮型吸顶灯 13W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2.安装方式:吸顶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030213001003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普通吸顶灯及其他灯具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1.名称、型号:600*600 LED吸顶灯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2.规格:40W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030212001002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电气配管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1.名称:穿阻燃型重型硬塑管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2.规格:PC20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3.配置形式及部位:砖、混凝土结构暗配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1.电线管路敷设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2.接线盒（箱）、灯头盒、开关盒、插座盒安装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3.防腐油漆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4.接地</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030212003001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1.配线形式:管内穿线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2.导线型号、材质、规格:BV-2.5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030212003002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1.配线形式:管内穿线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2.导线型号、材质、规格:BV-4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465"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5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030204031002</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小电器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1.名称:单极单联开关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2.型号:KP86K11-10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3.安装方式:距地1.3m，暗装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030204031003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小电器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1.名称:单相二、三极插座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3.安装方式:距地0.3m明装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030204031005</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小电器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1.名称:空调插座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3.规格:距地2.1暗装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030212001001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电气配管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1.名称:刚性阻燃管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2.规格:PC25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3.配置形式及部位:砖混结构明配</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030212003003</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1.配线形式:管内穿线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2.导线型号、材质、规格:BV-16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1.配线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2.管内穿线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030901004001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1.形式:方形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2.质量:2匹空调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3.安装位置:墙上式</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030204018001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1.名称、型号:配电箱 AL1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1.箱体安装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2.端子板外部接线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030204018002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1.名称、型号:配电箱 AL2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1.箱体安装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2.端子板外部接线</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65"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5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031208008001</w:t>
            </w:r>
          </w:p>
        </w:tc>
        <w:tc>
          <w:tcPr>
            <w:tcW w:w="2009"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电视监控摄像设备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1.名称:摄像头</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2.类型:海康牌</w:t>
            </w:r>
          </w:p>
        </w:tc>
        <w:tc>
          <w:tcPr>
            <w:tcW w:w="542"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031202006001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031208008002</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电视监控摄像设备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1.名称:摄像机</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030705008001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显示器</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BB001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机柜及硬盘</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2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pPr>
        <w:pStyle w:val="2"/>
        <w:rPr>
          <w:rFonts w:hint="eastAsia" w:ascii="仿宋" w:hAnsi="仿宋" w:eastAsia="仿宋" w:cs="仿宋"/>
          <w:kern w:val="2"/>
          <w:sz w:val="24"/>
          <w:szCs w:val="24"/>
          <w:lang w:val="en-US" w:eastAsia="zh-CN" w:bidi="ar-SA"/>
        </w:rPr>
      </w:pP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给排水、采暖、燃气工程</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467"/>
        <w:gridCol w:w="3424"/>
        <w:gridCol w:w="924"/>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给水</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030801005005</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塑料管UPVC、PVC、PP-C、PP-R、PE管等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1.安装部位（室内、外）:室内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2.输送介质（给水、排水、热媒体、燃气、雨水）:冷热水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3.材质:PP-R管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4.规格:de25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5.连接形式:粘接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1.管道、管件及弯管的制作安装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2.给水管道消毒、冲洗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3.水压及泄漏试验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030801005006</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塑料管UPVC、PVC、PP-C、PP-R、PE管等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1.安装部位）:室内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2.输送介质:给水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3.材质:PP-R管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4.规格:de20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5.连接形式:粘接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1.管道、管件及弯管的制作安装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2.给水管道消毒、冲洗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3.水压及泄漏试验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030803001001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螺纹阀门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1.类型:截止阀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2.型号、规格:DN15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030803001002</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螺纹阀门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1.类型:截止阀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2.型号、规格:DN20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69"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6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030801005008</w:t>
            </w:r>
          </w:p>
        </w:tc>
        <w:tc>
          <w:tcPr>
            <w:tcW w:w="200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塑料管UPVC、PVC、PP-C、PP-R、PE管等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1.安装部位（室内、外）:室内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2.输送介质（给水、排水、热媒体、燃气、雨水）:雨水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3.材质:UPVC管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4.规格:DN100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5.连接形式:承插连接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1.管道、管件安装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2.水压及泄露试验</w:t>
            </w:r>
          </w:p>
        </w:tc>
        <w:tc>
          <w:tcPr>
            <w:tcW w:w="54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030801005009</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塑料管UPVC、PVC、PP-C、PP-R、PE管等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1.安装部位（室内、外）:室内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2.输送介质（给水、排水、热媒体、燃气、雨水）:污水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3.材质:U-PVC管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4.规格:DN50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5.连接形式:粘接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1.管道、管件安装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2.水压及泄露试验</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030804017003</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1.名称:圆地漏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2.规格:DN50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030804012001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大便器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1.名称:坐便器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030804007001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淋浴器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1.型号、规格:沐浴器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030804013001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小便器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1.材质:小便斗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030804003001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洗脸盆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1.名称:洗脸盆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030804005001</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洗涤盆（洗菜盆）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1.名称:不锈钢洗涤双盆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2.组装形式:冷水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3.型号:洗涤盆双槽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469" w:type="pct"/>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60"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030804016001</w:t>
            </w:r>
          </w:p>
        </w:tc>
        <w:tc>
          <w:tcPr>
            <w:tcW w:w="2008"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水龙头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1.名称:水龙头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2.规格:dn20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6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030804005002</w:t>
            </w:r>
          </w:p>
        </w:tc>
        <w:tc>
          <w:tcPr>
            <w:tcW w:w="20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拖布池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1.名称:陶瓷拖布池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2.组装形式:冷水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1.器具、附件安装</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111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bl>
    <w:p>
      <w:pPr>
        <w:rPr>
          <w:rFonts w:hint="eastAsia" w:ascii="仿宋" w:hAnsi="仿宋" w:eastAsia="仿宋" w:cs="仿宋"/>
          <w:kern w:val="2"/>
          <w:sz w:val="24"/>
          <w:szCs w:val="24"/>
          <w:lang w:val="en-US" w:eastAsia="zh-CN" w:bidi="ar-SA"/>
        </w:rPr>
      </w:pP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景观工程</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467"/>
        <w:gridCol w:w="3426"/>
        <w:gridCol w:w="926"/>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地面硬化</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020102001001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石材楼地面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 100厚花岗石板面层，缝宽5，干石灰拌粗砂扫缝，洒水封缝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30厚1：3干硬性水泥砂浆粘结层，上撒素水泥（洒适量清水）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150厚C20混凝土，按4~6m分仓跳格浇筑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300厚3：7灰土分两层碾压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素土碾压</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050201002001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路牙铺设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1、花岗石道牙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1.基层清理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2.垫层铺设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3.路牙铺设</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0"/>
                <w:szCs w:val="20"/>
                <w:u w:val="none"/>
              </w:rPr>
            </w:pP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铁艺栏杆及大门</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040101002001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挖沟槽土方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1.土壤类别:综合土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2.弃土运距：自行考虑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3.挖土深度：1.5m</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010404001001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直形墙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1.墙类型:栏杆下矮墙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2.墙厚度:250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3.混凝土强度等级:C25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4.混凝土拌和料要求:商品砼</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m3</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050306005001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1.8米高铁艺栏杆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1.混凝土墙上1800高铁艺栏杆、50*50*3镀锌钢管栏杆横梁、25*25*1.5镀锌钢管立柱间距110mm，黑色氟碳漆饰面。</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010501003001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铁艺大门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1.2500高铁艺大门、200*200*4镀锌钢管栏杆立柱。外50*50*3镀锌钢管栏杆横梁内40*40*2镀锌钢管栏杆横梁、25*25*1.5镀锌钢管立柱间距110mm，黑色氟碳漆饰面。</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r>
    </w:tbl>
    <w:p>
      <w:pPr>
        <w:pStyle w:val="2"/>
        <w:rPr>
          <w:rFonts w:hint="eastAsia" w:ascii="仿宋" w:hAnsi="仿宋" w:eastAsia="仿宋" w:cs="仿宋"/>
          <w:kern w:val="2"/>
          <w:sz w:val="24"/>
          <w:szCs w:val="24"/>
          <w:lang w:val="en-US" w:eastAsia="zh-CN" w:bidi="ar-SA"/>
        </w:rPr>
      </w:pPr>
    </w:p>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绿化工程</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467"/>
        <w:gridCol w:w="3426"/>
        <w:gridCol w:w="926"/>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050101006001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整理绿化用地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1.土壤类别:种植土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2.土质要求: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3.取土运距:自行考虑</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7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050102010001</w:t>
            </w:r>
          </w:p>
        </w:tc>
        <w:tc>
          <w:tcPr>
            <w:tcW w:w="20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铺种草皮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1.草皮种类:麦冬草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2.养护期:1年</w:t>
            </w:r>
          </w:p>
        </w:tc>
        <w:tc>
          <w:tcPr>
            <w:tcW w:w="54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111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434.79</w:t>
            </w:r>
          </w:p>
        </w:tc>
      </w:tr>
    </w:tbl>
    <w:p>
      <w:pPr>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四、施工要求（可选）</w:t>
      </w:r>
    </w:p>
    <w:p>
      <w:pPr>
        <w:pStyle w:val="13"/>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在施工期间，中标供应商必须注意现场人员安全，加强安全措施，并对施工人员进行安全教育。施工人员必须持证上岗；要求中标供应商在施工中做到封闭性施工。</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五、商务要求（如合同价款及结算方式等）</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工程项目的质保金不得超过合同金额的3%。</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1、工程款项结算：</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（1）合同签订后10个工作日内支付合同价款的30%；</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（2）项目完成50%后10个工作日内支付合同价款的30%；</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（3）待工程完工后10个工作日内支付合同价款的30%；</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（4）验收合格、经审计部门审定后支付剩余合同价款。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（5）每次付款前中标单位须提供等额正规发票，最后一次付款时应提供剩余款项全额正规发票。</w:t>
      </w:r>
    </w:p>
    <w:p>
      <w:pPr>
        <w:pBdr>
          <w:bottom w:val="single" w:color="auto" w:sz="4" w:space="1"/>
        </w:pBdr>
        <w:spacing w:before="312" w:beforeLines="100"/>
        <w:ind w:left="420" w:hanging="420"/>
        <w:rPr>
          <w:rFonts w:hint="eastAsia" w:ascii="仿宋" w:hAnsi="仿宋" w:eastAsia="仿宋" w:cs="仿宋"/>
          <w:b/>
          <w:sz w:val="28"/>
          <w:szCs w:val="28"/>
        </w:rPr>
      </w:pPr>
      <w:r>
        <w:rPr>
          <w:rFonts w:hint="eastAsia" w:ascii="仿宋" w:hAnsi="仿宋" w:eastAsia="仿宋" w:cs="仿宋"/>
          <w:b/>
          <w:sz w:val="28"/>
          <w:szCs w:val="28"/>
        </w:rPr>
        <w:t>六、其他</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（一）对供应商的业绩要求。</w:t>
      </w:r>
    </w:p>
    <w:p>
      <w:pPr>
        <w:keepNext w:val="0"/>
        <w:keepLines w:val="0"/>
        <w:pageBreakBefore w:val="0"/>
        <w:widowControl w:val="0"/>
        <w:kinsoku/>
        <w:wordWrap/>
        <w:overflowPunct/>
        <w:topLinePunct w:val="0"/>
        <w:autoSpaceDE/>
        <w:autoSpaceDN/>
        <w:bidi w:val="0"/>
        <w:adjustRightInd/>
        <w:snapToGrid/>
        <w:spacing w:line="240" w:lineRule="auto"/>
        <w:ind w:left="397" w:leftChars="0" w:hanging="397" w:hangingChars="142"/>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投标人近三年同类项目业绩。</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rPr>
      </w:pPr>
      <w:r>
        <w:rPr>
          <w:rFonts w:hint="eastAsia" w:ascii="仿宋" w:hAnsi="仿宋" w:eastAsia="仿宋" w:cs="仿宋"/>
          <w:sz w:val="28"/>
          <w:szCs w:val="28"/>
        </w:rPr>
        <w:t>（二）质量验收标准或规范</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lang w:val="zh-CN"/>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zh-CN"/>
        </w:rPr>
        <w:t>乙方工程完工后，进行自检，合格后准备验收文件，并书面通知甲方。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）甲方确认乙方的自检内容，验收合格作为工程的最终认可。</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）验收依据：</w:t>
      </w:r>
    </w:p>
    <w:p>
      <w:pPr>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-1、合同、招标文件、投标文件及承诺。</w:t>
      </w:r>
    </w:p>
    <w:p>
      <w:pPr>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-2、国家相关标准、规范及有关技术文件。</w:t>
      </w:r>
    </w:p>
    <w:p>
      <w:pPr>
        <w:rPr>
          <w:rFonts w:hint="eastAsia" w:ascii="仿宋" w:hAnsi="仿宋" w:eastAsia="仿宋" w:cs="仿宋"/>
          <w:sz w:val="28"/>
          <w:szCs w:val="28"/>
        </w:rPr>
      </w:pPr>
      <w:r>
        <w:rPr>
          <w:rFonts w:hint="eastAsia" w:ascii="仿宋" w:hAnsi="仿宋" w:eastAsia="仿宋" w:cs="仿宋"/>
          <w:sz w:val="28"/>
          <w:szCs w:val="28"/>
        </w:rPr>
        <w:t>（三）违约责任</w:t>
      </w:r>
    </w:p>
    <w:p>
      <w:pPr>
        <w:rPr>
          <w:rFonts w:hint="eastAsia" w:ascii="仿宋" w:hAnsi="仿宋" w:eastAsia="仿宋" w:cs="仿宋"/>
          <w:sz w:val="28"/>
          <w:szCs w:val="28"/>
        </w:rPr>
      </w:pPr>
      <w:r>
        <w:rPr>
          <w:rFonts w:hint="eastAsia" w:ascii="仿宋" w:hAnsi="仿宋" w:eastAsia="仿宋" w:cs="仿宋"/>
          <w:sz w:val="28"/>
          <w:szCs w:val="28"/>
        </w:rPr>
        <w:t>合同执行过程中如发生争议，双方应及时协商解决，协商不成，双方均可向项目所在地人民法院起诉。</w:t>
      </w:r>
    </w:p>
    <w:p>
      <w:pPr>
        <w:rPr>
          <w:rFonts w:hint="eastAsia" w:ascii="仿宋" w:hAnsi="仿宋" w:eastAsia="仿宋" w:cs="仿宋"/>
          <w:sz w:val="28"/>
          <w:szCs w:val="28"/>
          <w:lang w:val="en-US" w:eastAsia="zh-CN"/>
        </w:rPr>
      </w:pPr>
      <w:r>
        <w:rPr>
          <w:rFonts w:hint="eastAsia" w:ascii="仿宋" w:hAnsi="仿宋" w:eastAsia="仿宋" w:cs="仿宋"/>
          <w:sz w:val="28"/>
          <w:szCs w:val="28"/>
        </w:rPr>
        <w:t>（四）与本工程相关的特别说明：</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0000000"/>
    <w:rsid w:val="02E27806"/>
    <w:rsid w:val="033162BF"/>
    <w:rsid w:val="044E498E"/>
    <w:rsid w:val="052F0412"/>
    <w:rsid w:val="05AA7E44"/>
    <w:rsid w:val="05F000AA"/>
    <w:rsid w:val="069749F0"/>
    <w:rsid w:val="07233A52"/>
    <w:rsid w:val="09F04548"/>
    <w:rsid w:val="0A7D399F"/>
    <w:rsid w:val="0D4E4350"/>
    <w:rsid w:val="0E213DEB"/>
    <w:rsid w:val="10B40097"/>
    <w:rsid w:val="119F69EB"/>
    <w:rsid w:val="11A42149"/>
    <w:rsid w:val="122161CC"/>
    <w:rsid w:val="198E6151"/>
    <w:rsid w:val="1AB32372"/>
    <w:rsid w:val="1C20736E"/>
    <w:rsid w:val="1C8454B4"/>
    <w:rsid w:val="218066B0"/>
    <w:rsid w:val="21914049"/>
    <w:rsid w:val="22B246FF"/>
    <w:rsid w:val="23545210"/>
    <w:rsid w:val="24852176"/>
    <w:rsid w:val="25BC21A1"/>
    <w:rsid w:val="268623D2"/>
    <w:rsid w:val="27932E0C"/>
    <w:rsid w:val="28904F27"/>
    <w:rsid w:val="28AE05D1"/>
    <w:rsid w:val="292D29BD"/>
    <w:rsid w:val="2BED27E2"/>
    <w:rsid w:val="2D586752"/>
    <w:rsid w:val="306E16A9"/>
    <w:rsid w:val="34AC5467"/>
    <w:rsid w:val="34BA2346"/>
    <w:rsid w:val="351064C5"/>
    <w:rsid w:val="3627104F"/>
    <w:rsid w:val="36F033AD"/>
    <w:rsid w:val="38F3080B"/>
    <w:rsid w:val="3985507F"/>
    <w:rsid w:val="3B926BD1"/>
    <w:rsid w:val="3BA26ED6"/>
    <w:rsid w:val="3D9F71EE"/>
    <w:rsid w:val="3ED468D0"/>
    <w:rsid w:val="429535BC"/>
    <w:rsid w:val="444133DF"/>
    <w:rsid w:val="461F1684"/>
    <w:rsid w:val="47BA3E04"/>
    <w:rsid w:val="4A121587"/>
    <w:rsid w:val="4AA41984"/>
    <w:rsid w:val="4C23620E"/>
    <w:rsid w:val="50F17518"/>
    <w:rsid w:val="51295B34"/>
    <w:rsid w:val="51522462"/>
    <w:rsid w:val="53581C37"/>
    <w:rsid w:val="559E7BCC"/>
    <w:rsid w:val="55D570CF"/>
    <w:rsid w:val="577D45C6"/>
    <w:rsid w:val="57A65C69"/>
    <w:rsid w:val="59E905C9"/>
    <w:rsid w:val="5A1924BD"/>
    <w:rsid w:val="5AF04006"/>
    <w:rsid w:val="5D2821E9"/>
    <w:rsid w:val="5D306F15"/>
    <w:rsid w:val="623E66EE"/>
    <w:rsid w:val="6271456D"/>
    <w:rsid w:val="65652EFE"/>
    <w:rsid w:val="673F6082"/>
    <w:rsid w:val="67462489"/>
    <w:rsid w:val="67CC0633"/>
    <w:rsid w:val="68243D47"/>
    <w:rsid w:val="6EA12D56"/>
    <w:rsid w:val="6F9D176F"/>
    <w:rsid w:val="737733D7"/>
    <w:rsid w:val="73C30897"/>
    <w:rsid w:val="77E04233"/>
    <w:rsid w:val="7803251B"/>
    <w:rsid w:val="789F3041"/>
    <w:rsid w:val="7984554A"/>
    <w:rsid w:val="79C45D45"/>
    <w:rsid w:val="7E3B6A12"/>
    <w:rsid w:val="7FE1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宋体" w:hAnsi="宋体" w:eastAsia="宋体" w:cs="Times New Roman"/>
      <w:kern w:val="0"/>
      <w:sz w:val="30"/>
      <w:szCs w:val="20"/>
      <w:lang w:val="en-US" w:eastAsia="zh-CN" w:bidi="ar-SA"/>
    </w:rPr>
  </w:style>
  <w:style w:type="paragraph" w:styleId="4">
    <w:name w:val="caption"/>
    <w:basedOn w:val="1"/>
    <w:next w:val="1"/>
    <w:semiHidden/>
    <w:unhideWhenUsed/>
    <w:qFormat/>
    <w:uiPriority w:val="0"/>
    <w:rPr>
      <w:rFonts w:ascii="Arial" w:hAnsi="Arial" w:eastAsia="黑体"/>
      <w:sz w:val="20"/>
    </w:rPr>
  </w:style>
  <w:style w:type="paragraph" w:styleId="5">
    <w:name w:val="Body Text Indent"/>
    <w:basedOn w:val="1"/>
    <w:qFormat/>
    <w:uiPriority w:val="99"/>
    <w:pPr>
      <w:spacing w:line="360" w:lineRule="auto"/>
      <w:ind w:left="424" w:leftChars="202" w:firstLine="567"/>
    </w:pPr>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next w:val="9"/>
    <w:unhideWhenUsed/>
    <w:qFormat/>
    <w:uiPriority w:val="99"/>
    <w:pPr>
      <w:widowControl w:val="0"/>
      <w:adjustRightInd w:val="0"/>
      <w:ind w:firstLine="420"/>
      <w:jc w:val="left"/>
      <w:textAlignment w:val="baseline"/>
    </w:pPr>
    <w:rPr>
      <w:rFonts w:ascii="宋体" w:hAnsi="宋体" w:eastAsia="宋体" w:cs="Times New Roman"/>
      <w:kern w:val="0"/>
      <w:sz w:val="21"/>
      <w:szCs w:val="20"/>
      <w:lang w:val="en-US" w:eastAsia="zh-CN" w:bidi="ar-SA"/>
    </w:rPr>
  </w:style>
  <w:style w:type="paragraph" w:styleId="9">
    <w:name w:val="Body Text First Indent 2"/>
    <w:basedOn w:val="5"/>
    <w:next w:val="8"/>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rPr>
      <w:rFonts w:asciiTheme="minorHAnsi" w:hAnsiTheme="minorHAnsi" w:eastAsiaTheme="minorEastAsia" w:cstheme="minorBidi"/>
    </w:rPr>
  </w:style>
  <w:style w:type="character" w:customStyle="1" w:styleId="14">
    <w:name w:val="font01"/>
    <w:basedOn w:val="12"/>
    <w:qFormat/>
    <w:uiPriority w:val="0"/>
    <w:rPr>
      <w:rFonts w:hint="eastAsia" w:ascii="宋体" w:hAnsi="宋体" w:eastAsia="宋体" w:cs="宋体"/>
      <w:color w:val="000000"/>
      <w:sz w:val="18"/>
      <w:szCs w:val="18"/>
      <w:u w:val="none"/>
    </w:rPr>
  </w:style>
  <w:style w:type="paragraph" w:customStyle="1" w:styleId="15">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6643</Words>
  <Characters>8790</Characters>
  <Lines>0</Lines>
  <Paragraphs>0</Paragraphs>
  <TotalTime>1</TotalTime>
  <ScaleCrop>false</ScaleCrop>
  <LinksUpToDate>false</LinksUpToDate>
  <CharactersWithSpaces>8935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依依</cp:lastModifiedBy>
  <dcterms:modified xsi:type="dcterms:W3CDTF">2022-11-14T04:50:21Z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E26DB5A1B9D049B7A9E6717555DEB63E</vt:lpwstr>
  </property>
</Properties>
</file>