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6257"/>
      <w:r>
        <w:drawing>
          <wp:inline distT="0" distB="0" distL="0" distR="0">
            <wp:extent cx="6198235" cy="8686800"/>
            <wp:effectExtent l="0" t="0" r="1206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6205298" cy="8696315"/>
                    </a:xfrm>
                    <a:prstGeom prst="rect">
                      <a:avLst/>
                    </a:prstGeom>
                  </pic:spPr>
                </pic:pic>
              </a:graphicData>
            </a:graphic>
          </wp:inline>
        </w:drawing>
      </w:r>
    </w:p>
    <w:p/>
    <w:p/>
    <w:p/>
    <w:p>
      <w:r>
        <w:t>项目编号：</w:t>
      </w:r>
      <w:bookmarkStart w:id="1" w:name="_Hlk120090505"/>
      <w:r>
        <w:rPr>
          <w:rFonts w:hint="eastAsia"/>
        </w:rPr>
        <w:t>ZHZB202</w:t>
      </w:r>
      <w:r>
        <w:t>2</w:t>
      </w:r>
      <w:r>
        <w:rPr>
          <w:rFonts w:hint="eastAsia"/>
        </w:rPr>
        <w:t>-HW-11</w:t>
      </w:r>
      <w:bookmarkEnd w:id="0"/>
      <w:r>
        <w:t>2</w:t>
      </w:r>
      <w:r>
        <w:rPr>
          <w:rFonts w:hint="eastAsia"/>
        </w:rPr>
        <w:t>1</w:t>
      </w:r>
    </w:p>
    <w:bookmarkEnd w:id="1"/>
    <w:p>
      <w:pPr>
        <w:jc w:val="center"/>
        <w:rPr>
          <w:rFonts w:ascii="宋体" w:hAnsi="宋体" w:eastAsia="宋体"/>
          <w:sz w:val="44"/>
          <w:szCs w:val="44"/>
        </w:rPr>
      </w:pPr>
    </w:p>
    <w:p>
      <w:pPr>
        <w:jc w:val="center"/>
        <w:rPr>
          <w:rFonts w:ascii="宋体" w:hAnsi="宋体" w:eastAsia="宋体"/>
          <w:sz w:val="44"/>
          <w:szCs w:val="44"/>
        </w:rPr>
      </w:pPr>
    </w:p>
    <w:p>
      <w:pPr>
        <w:jc w:val="center"/>
        <w:rPr>
          <w:rFonts w:ascii="宋体" w:hAnsi="宋体" w:eastAsia="宋体"/>
          <w:sz w:val="44"/>
          <w:szCs w:val="44"/>
        </w:rPr>
      </w:pPr>
    </w:p>
    <w:p>
      <w:pPr>
        <w:jc w:val="center"/>
        <w:rPr>
          <w:rFonts w:ascii="宋体" w:hAnsi="宋体" w:eastAsia="宋体"/>
          <w:sz w:val="44"/>
          <w:szCs w:val="44"/>
        </w:rPr>
      </w:pPr>
    </w:p>
    <w:p>
      <w:pPr>
        <w:jc w:val="center"/>
        <w:rPr>
          <w:rFonts w:hint="eastAsia" w:ascii="宋体" w:hAnsi="宋体" w:eastAsia="宋体" w:cs="仿宋"/>
          <w:b/>
          <w:color w:val="000000"/>
          <w:sz w:val="52"/>
          <w:szCs w:val="52"/>
          <w:lang w:bidi="zh-CN"/>
        </w:rPr>
      </w:pPr>
      <w:r>
        <w:rPr>
          <w:rFonts w:hint="eastAsia" w:ascii="宋体" w:hAnsi="宋体" w:eastAsia="宋体" w:cs="仿宋"/>
          <w:b/>
          <w:color w:val="000000"/>
          <w:sz w:val="52"/>
          <w:szCs w:val="52"/>
          <w:lang w:bidi="zh-CN"/>
        </w:rPr>
        <w:t>蓝田县融媒体中心（蓝田县广播电视台）</w:t>
      </w:r>
    </w:p>
    <w:p>
      <w:pPr>
        <w:jc w:val="center"/>
        <w:rPr>
          <w:rFonts w:ascii="宋体" w:hAnsi="宋体" w:eastAsia="宋体"/>
          <w:sz w:val="52"/>
          <w:szCs w:val="52"/>
        </w:rPr>
      </w:pPr>
      <w:r>
        <w:rPr>
          <w:rFonts w:hint="eastAsia" w:ascii="宋体" w:hAnsi="宋体" w:eastAsia="宋体" w:cs="仿宋"/>
          <w:b/>
          <w:color w:val="000000"/>
          <w:sz w:val="52"/>
          <w:szCs w:val="52"/>
          <w:lang w:val="zh-CN" w:bidi="zh-CN"/>
        </w:rPr>
        <w:t>2022年陕西省县级应急广播体系建设</w:t>
      </w:r>
    </w:p>
    <w:p>
      <w:pPr>
        <w:jc w:val="center"/>
        <w:rPr>
          <w:rFonts w:ascii="宋体" w:hAnsi="宋体" w:eastAsia="宋体"/>
          <w:sz w:val="52"/>
          <w:szCs w:val="52"/>
        </w:rPr>
      </w:pPr>
    </w:p>
    <w:p>
      <w:pPr>
        <w:jc w:val="center"/>
        <w:rPr>
          <w:rFonts w:ascii="宋体" w:hAnsi="宋体" w:eastAsia="宋体"/>
          <w:sz w:val="52"/>
          <w:szCs w:val="52"/>
        </w:rPr>
      </w:pPr>
    </w:p>
    <w:p>
      <w:pPr>
        <w:jc w:val="center"/>
        <w:rPr>
          <w:rFonts w:ascii="宋体" w:hAnsi="宋体" w:eastAsia="宋体"/>
          <w:sz w:val="52"/>
          <w:szCs w:val="52"/>
        </w:rPr>
      </w:pPr>
    </w:p>
    <w:p>
      <w:pPr>
        <w:jc w:val="center"/>
        <w:rPr>
          <w:rFonts w:ascii="宋体" w:hAnsi="宋体" w:eastAsia="宋体"/>
          <w:sz w:val="52"/>
          <w:szCs w:val="52"/>
        </w:rPr>
      </w:pPr>
    </w:p>
    <w:p>
      <w:pPr>
        <w:jc w:val="center"/>
        <w:rPr>
          <w:rFonts w:ascii="宋体" w:hAnsi="宋体" w:eastAsia="宋体"/>
          <w:sz w:val="72"/>
          <w:szCs w:val="72"/>
        </w:rPr>
      </w:pPr>
      <w:r>
        <w:rPr>
          <w:rFonts w:hint="eastAsia" w:ascii="宋体" w:hAnsi="宋体" w:eastAsia="宋体"/>
          <w:sz w:val="72"/>
          <w:szCs w:val="72"/>
        </w:rPr>
        <w:t>招标文件</w:t>
      </w:r>
    </w:p>
    <w:p>
      <w:pPr>
        <w:spacing w:line="560" w:lineRule="exact"/>
        <w:ind w:firstLine="800" w:firstLineChars="200"/>
        <w:jc w:val="both"/>
        <w:rPr>
          <w:rFonts w:ascii="宋体" w:hAnsi="宋体" w:eastAsia="宋体"/>
          <w:sz w:val="40"/>
          <w:szCs w:val="40"/>
        </w:rPr>
      </w:pPr>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p>
    <w:p>
      <w:pPr>
        <w:spacing w:line="560" w:lineRule="exact"/>
        <w:ind w:firstLine="640" w:firstLineChars="200"/>
        <w:jc w:val="center"/>
        <w:rPr>
          <w:rFonts w:ascii="宋体" w:hAnsi="宋体" w:eastAsia="宋体"/>
          <w:sz w:val="32"/>
          <w:szCs w:val="32"/>
        </w:rPr>
      </w:pPr>
    </w:p>
    <w:p>
      <w:pPr>
        <w:ind w:right="297"/>
        <w:jc w:val="center"/>
        <w:rPr>
          <w:rFonts w:ascii="宋体" w:hAnsi="宋体" w:eastAsia="宋体"/>
          <w:b/>
          <w:sz w:val="32"/>
        </w:rPr>
      </w:pPr>
      <w:r>
        <w:rPr>
          <w:rFonts w:ascii="宋体" w:hAnsi="宋体" w:eastAsia="宋体"/>
          <w:b/>
          <w:sz w:val="32"/>
        </w:rPr>
        <w:t>采购代理机构：陕西中海招标有限公司</w:t>
      </w:r>
    </w:p>
    <w:p>
      <w:pPr>
        <w:pStyle w:val="17"/>
        <w:ind w:left="0"/>
        <w:rPr>
          <w:b/>
          <w:sz w:val="32"/>
        </w:rPr>
      </w:pPr>
    </w:p>
    <w:p>
      <w:pPr>
        <w:pStyle w:val="17"/>
        <w:spacing w:before="3"/>
        <w:ind w:left="0"/>
        <w:rPr>
          <w:b/>
          <w:sz w:val="33"/>
        </w:rPr>
      </w:pPr>
    </w:p>
    <w:p>
      <w:pPr>
        <w:ind w:right="301"/>
        <w:jc w:val="center"/>
        <w:rPr>
          <w:rFonts w:ascii="宋体" w:hAnsi="宋体" w:eastAsia="宋体"/>
          <w:b/>
          <w:sz w:val="32"/>
        </w:rPr>
      </w:pPr>
      <w:r>
        <w:rPr>
          <w:rFonts w:ascii="宋体" w:hAnsi="宋体" w:eastAsia="宋体"/>
          <w:b/>
          <w:sz w:val="32"/>
        </w:rPr>
        <w:t>二 0 二</w:t>
      </w:r>
      <w:r>
        <w:rPr>
          <w:rFonts w:hint="eastAsia" w:ascii="宋体" w:hAnsi="宋体" w:eastAsia="宋体"/>
          <w:b/>
          <w:sz w:val="32"/>
        </w:rPr>
        <w:t>二</w:t>
      </w:r>
      <w:r>
        <w:rPr>
          <w:rFonts w:ascii="宋体" w:hAnsi="宋体" w:eastAsia="宋体"/>
          <w:b/>
          <w:sz w:val="32"/>
        </w:rPr>
        <w:t>年</w:t>
      </w:r>
      <w:r>
        <w:rPr>
          <w:rFonts w:hint="eastAsia" w:ascii="宋体" w:hAnsi="宋体" w:eastAsia="宋体"/>
          <w:b/>
          <w:sz w:val="32"/>
        </w:rPr>
        <w:t>十一</w:t>
      </w:r>
      <w:r>
        <w:rPr>
          <w:rFonts w:ascii="宋体" w:hAnsi="宋体" w:eastAsia="宋体"/>
          <w:b/>
          <w:sz w:val="32"/>
        </w:rPr>
        <w:t>月</w:t>
      </w:r>
    </w:p>
    <w:p>
      <w:pPr>
        <w:spacing w:line="560" w:lineRule="exact"/>
        <w:ind w:firstLine="640" w:firstLineChars="200"/>
        <w:jc w:val="center"/>
        <w:rPr>
          <w:rFonts w:ascii="宋体" w:hAnsi="宋体" w:eastAsia="宋体"/>
          <w:sz w:val="32"/>
          <w:szCs w:val="32"/>
        </w:rPr>
      </w:pPr>
    </w:p>
    <w:p>
      <w:pPr>
        <w:spacing w:line="560" w:lineRule="exact"/>
        <w:rPr>
          <w:rFonts w:ascii="宋体" w:hAnsi="宋体" w:eastAsia="宋体"/>
          <w:sz w:val="32"/>
          <w:szCs w:val="32"/>
        </w:rPr>
      </w:pPr>
    </w:p>
    <w:p>
      <w:pPr>
        <w:spacing w:line="560" w:lineRule="exact"/>
        <w:rPr>
          <w:rFonts w:ascii="宋体" w:hAnsi="宋体" w:eastAsia="宋体"/>
          <w:sz w:val="32"/>
          <w:szCs w:val="32"/>
        </w:rPr>
      </w:pPr>
    </w:p>
    <w:sdt>
      <w:sdtPr>
        <w:rPr>
          <w:lang w:val="zh-CN"/>
        </w:rPr>
        <w:id w:val="-29885046"/>
        <w:docPartObj>
          <w:docPartGallery w:val="Table of Contents"/>
          <w:docPartUnique/>
        </w:docPartObj>
      </w:sdtPr>
      <w:sdtEndPr>
        <w:rPr>
          <w:b/>
          <w:bCs/>
          <w:lang w:val="zh-CN"/>
        </w:rPr>
      </w:sdtEndPr>
      <w:sdtContent>
        <w:p>
          <w:pPr>
            <w:spacing w:line="560" w:lineRule="exact"/>
            <w:jc w:val="center"/>
            <w:rPr>
              <w:rFonts w:ascii="宋体" w:hAnsi="宋体" w:eastAsia="宋体"/>
              <w:sz w:val="32"/>
              <w:szCs w:val="32"/>
            </w:rPr>
          </w:pPr>
          <w:r>
            <w:rPr>
              <w:rFonts w:ascii="宋体" w:hAnsi="宋体" w:eastAsia="宋体"/>
              <w:sz w:val="28"/>
              <w:szCs w:val="28"/>
              <w:lang w:val="zh-CN"/>
            </w:rPr>
            <w:t>目录</w:t>
          </w:r>
        </w:p>
        <w:p>
          <w:pPr>
            <w:pStyle w:val="27"/>
            <w:tabs>
              <w:tab w:val="right" w:leader="dot" w:pos="9920"/>
            </w:tabs>
            <w:spacing w:before="240" w:after="240"/>
            <w:rPr>
              <w:rFonts w:ascii="宋体" w:hAnsi="宋体" w:cstheme="minorBidi"/>
              <w:kern w:val="2"/>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"_Toc120103807" </w:instrText>
          </w:r>
          <w:r>
            <w:fldChar w:fldCharType="separate"/>
          </w:r>
          <w:r>
            <w:rPr>
              <w:rStyle w:val="46"/>
              <w:rFonts w:ascii="宋体" w:hAnsi="宋体"/>
              <w:sz w:val="28"/>
              <w:szCs w:val="28"/>
            </w:rPr>
            <w:t>第一章  招标公告</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_Toc120103807 \h </w:instrText>
          </w:r>
          <w:r>
            <w:rPr>
              <w:rFonts w:ascii="宋体" w:hAnsi="宋体"/>
              <w:sz w:val="28"/>
              <w:szCs w:val="28"/>
            </w:rPr>
            <w:fldChar w:fldCharType="separate"/>
          </w:r>
          <w:r>
            <w:rPr>
              <w:rFonts w:ascii="宋体" w:hAnsi="宋体"/>
              <w:sz w:val="28"/>
              <w:szCs w:val="28"/>
            </w:rPr>
            <w:t>4</w:t>
          </w:r>
          <w:r>
            <w:rPr>
              <w:rFonts w:ascii="宋体" w:hAnsi="宋体"/>
              <w:sz w:val="28"/>
              <w:szCs w:val="28"/>
            </w:rPr>
            <w:fldChar w:fldCharType="end"/>
          </w:r>
          <w:r>
            <w:rPr>
              <w:rFonts w:ascii="宋体" w:hAnsi="宋体"/>
              <w:sz w:val="28"/>
              <w:szCs w:val="28"/>
            </w:rPr>
            <w:fldChar w:fldCharType="end"/>
          </w:r>
        </w:p>
        <w:p>
          <w:pPr>
            <w:pStyle w:val="27"/>
            <w:tabs>
              <w:tab w:val="right" w:leader="dot" w:pos="9920"/>
            </w:tabs>
            <w:spacing w:before="240" w:after="240"/>
            <w:rPr>
              <w:rFonts w:ascii="宋体" w:hAnsi="宋体" w:cstheme="minorBidi"/>
              <w:kern w:val="2"/>
              <w:sz w:val="28"/>
              <w:szCs w:val="28"/>
            </w:rPr>
          </w:pPr>
          <w:r>
            <w:fldChar w:fldCharType="begin"/>
          </w:r>
          <w:r>
            <w:instrText xml:space="preserve"> HYPERLINK \l "_Toc120103808" </w:instrText>
          </w:r>
          <w:r>
            <w:fldChar w:fldCharType="separate"/>
          </w:r>
          <w:r>
            <w:rPr>
              <w:rStyle w:val="46"/>
              <w:rFonts w:ascii="宋体" w:hAnsi="宋体"/>
              <w:sz w:val="28"/>
              <w:szCs w:val="28"/>
            </w:rPr>
            <w:t>第二章  供应商须知</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_Toc120103808 \h </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Fonts w:ascii="宋体" w:hAnsi="宋体"/>
              <w:sz w:val="28"/>
              <w:szCs w:val="28"/>
            </w:rPr>
            <w:fldChar w:fldCharType="end"/>
          </w:r>
        </w:p>
        <w:p>
          <w:pPr>
            <w:pStyle w:val="27"/>
            <w:tabs>
              <w:tab w:val="right" w:leader="dot" w:pos="9920"/>
            </w:tabs>
            <w:spacing w:before="240" w:after="240"/>
            <w:rPr>
              <w:rFonts w:ascii="宋体" w:hAnsi="宋体" w:cstheme="minorBidi"/>
              <w:kern w:val="2"/>
              <w:sz w:val="28"/>
              <w:szCs w:val="28"/>
            </w:rPr>
          </w:pPr>
          <w:r>
            <w:fldChar w:fldCharType="begin"/>
          </w:r>
          <w:r>
            <w:instrText xml:space="preserve"> HYPERLINK \l "_Toc120103858" </w:instrText>
          </w:r>
          <w:r>
            <w:fldChar w:fldCharType="separate"/>
          </w:r>
          <w:r>
            <w:rPr>
              <w:rStyle w:val="46"/>
              <w:rFonts w:ascii="宋体" w:hAnsi="宋体"/>
              <w:sz w:val="28"/>
              <w:szCs w:val="28"/>
            </w:rPr>
            <w:t>第三章  招标内容及要求</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_Toc120103858 \h </w:instrText>
          </w:r>
          <w:r>
            <w:rPr>
              <w:rFonts w:ascii="宋体" w:hAnsi="宋体"/>
              <w:sz w:val="28"/>
              <w:szCs w:val="28"/>
            </w:rPr>
            <w:fldChar w:fldCharType="separate"/>
          </w:r>
          <w:r>
            <w:rPr>
              <w:rFonts w:ascii="宋体" w:hAnsi="宋体"/>
              <w:sz w:val="28"/>
              <w:szCs w:val="28"/>
            </w:rPr>
            <w:t>39</w:t>
          </w:r>
          <w:r>
            <w:rPr>
              <w:rFonts w:ascii="宋体" w:hAnsi="宋体"/>
              <w:sz w:val="28"/>
              <w:szCs w:val="28"/>
            </w:rPr>
            <w:fldChar w:fldCharType="end"/>
          </w:r>
          <w:r>
            <w:rPr>
              <w:rFonts w:ascii="宋体" w:hAnsi="宋体"/>
              <w:sz w:val="28"/>
              <w:szCs w:val="28"/>
            </w:rPr>
            <w:fldChar w:fldCharType="end"/>
          </w:r>
        </w:p>
        <w:p>
          <w:pPr>
            <w:pStyle w:val="27"/>
            <w:tabs>
              <w:tab w:val="right" w:leader="dot" w:pos="9920"/>
            </w:tabs>
            <w:spacing w:before="240" w:after="240"/>
            <w:rPr>
              <w:rFonts w:ascii="宋体" w:hAnsi="宋体" w:cstheme="minorBidi"/>
              <w:kern w:val="2"/>
              <w:sz w:val="28"/>
              <w:szCs w:val="28"/>
            </w:rPr>
          </w:pPr>
          <w:r>
            <w:fldChar w:fldCharType="begin"/>
          </w:r>
          <w:r>
            <w:instrText xml:space="preserve"> HYPERLINK \l "_Toc120103966" </w:instrText>
          </w:r>
          <w:r>
            <w:fldChar w:fldCharType="separate"/>
          </w:r>
          <w:r>
            <w:rPr>
              <w:rStyle w:val="46"/>
              <w:rFonts w:ascii="宋体" w:hAnsi="宋体"/>
              <w:sz w:val="28"/>
              <w:szCs w:val="28"/>
            </w:rPr>
            <w:t>第四章  合同文本</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_Toc120103966 \h </w:instrText>
          </w:r>
          <w:r>
            <w:rPr>
              <w:rFonts w:ascii="宋体" w:hAnsi="宋体"/>
              <w:sz w:val="28"/>
              <w:szCs w:val="28"/>
            </w:rPr>
            <w:fldChar w:fldCharType="separate"/>
          </w:r>
          <w:r>
            <w:rPr>
              <w:rFonts w:ascii="宋体" w:hAnsi="宋体"/>
              <w:sz w:val="28"/>
              <w:szCs w:val="28"/>
            </w:rPr>
            <w:t>91</w:t>
          </w:r>
          <w:r>
            <w:rPr>
              <w:rFonts w:ascii="宋体" w:hAnsi="宋体"/>
              <w:sz w:val="28"/>
              <w:szCs w:val="28"/>
            </w:rPr>
            <w:fldChar w:fldCharType="end"/>
          </w:r>
          <w:r>
            <w:rPr>
              <w:rFonts w:ascii="宋体" w:hAnsi="宋体"/>
              <w:sz w:val="28"/>
              <w:szCs w:val="28"/>
            </w:rPr>
            <w:fldChar w:fldCharType="end"/>
          </w:r>
        </w:p>
        <w:p>
          <w:pPr>
            <w:pStyle w:val="27"/>
            <w:tabs>
              <w:tab w:val="right" w:leader="dot" w:pos="9920"/>
            </w:tabs>
            <w:spacing w:before="240" w:after="240"/>
            <w:rPr>
              <w:rFonts w:ascii="宋体" w:hAnsi="宋体" w:cstheme="minorBidi"/>
              <w:kern w:val="2"/>
              <w:sz w:val="28"/>
              <w:szCs w:val="28"/>
            </w:rPr>
          </w:pPr>
          <w:r>
            <w:fldChar w:fldCharType="begin"/>
          </w:r>
          <w:r>
            <w:instrText xml:space="preserve"> HYPERLINK \l "_Toc120103976" </w:instrText>
          </w:r>
          <w:r>
            <w:fldChar w:fldCharType="separate"/>
          </w:r>
          <w:r>
            <w:rPr>
              <w:rStyle w:val="46"/>
              <w:rFonts w:ascii="宋体" w:hAnsi="宋体"/>
              <w:sz w:val="28"/>
              <w:szCs w:val="28"/>
            </w:rPr>
            <w:t>第五章  投标文件构成及格式</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_Toc120103976 \h </w:instrText>
          </w:r>
          <w:r>
            <w:rPr>
              <w:rFonts w:ascii="宋体" w:hAnsi="宋体"/>
              <w:sz w:val="28"/>
              <w:szCs w:val="28"/>
            </w:rPr>
            <w:fldChar w:fldCharType="separate"/>
          </w:r>
          <w:r>
            <w:rPr>
              <w:rFonts w:ascii="宋体" w:hAnsi="宋体"/>
              <w:sz w:val="28"/>
              <w:szCs w:val="28"/>
            </w:rPr>
            <w:t>103</w:t>
          </w:r>
          <w:r>
            <w:rPr>
              <w:rFonts w:ascii="宋体" w:hAnsi="宋体"/>
              <w:sz w:val="28"/>
              <w:szCs w:val="28"/>
            </w:rPr>
            <w:fldChar w:fldCharType="end"/>
          </w:r>
          <w:r>
            <w:rPr>
              <w:rFonts w:ascii="宋体" w:hAnsi="宋体"/>
              <w:sz w:val="28"/>
              <w:szCs w:val="28"/>
            </w:rPr>
            <w:fldChar w:fldCharType="end"/>
          </w:r>
        </w:p>
        <w:p>
          <w:pPr>
            <w:pStyle w:val="32"/>
            <w:tabs>
              <w:tab w:val="right" w:leader="dot" w:pos="9920"/>
            </w:tabs>
            <w:ind w:left="480"/>
            <w:rPr>
              <w:rFonts w:ascii="宋体" w:hAnsi="宋体" w:eastAsia="宋体" w:cstheme="minorBidi"/>
              <w:kern w:val="2"/>
              <w:sz w:val="28"/>
              <w:szCs w:val="28"/>
            </w:rPr>
          </w:pPr>
          <w:r>
            <w:fldChar w:fldCharType="begin"/>
          </w:r>
          <w:r>
            <w:instrText xml:space="preserve"> HYPERLINK \l "_Toc120103980" </w:instrText>
          </w:r>
          <w:r>
            <w:fldChar w:fldCharType="separate"/>
          </w:r>
          <w:r>
            <w:rPr>
              <w:rStyle w:val="46"/>
              <w:rFonts w:ascii="宋体" w:hAnsi="宋体" w:eastAsia="宋体"/>
              <w:sz w:val="28"/>
              <w:szCs w:val="28"/>
            </w:rPr>
            <w:t>第一部分  投标函</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_Toc120103980 \h </w:instrText>
          </w:r>
          <w:r>
            <w:rPr>
              <w:rFonts w:ascii="宋体" w:hAnsi="宋体" w:eastAsia="宋体"/>
              <w:sz w:val="28"/>
              <w:szCs w:val="28"/>
            </w:rPr>
            <w:fldChar w:fldCharType="separate"/>
          </w:r>
          <w:r>
            <w:rPr>
              <w:rFonts w:ascii="宋体" w:hAnsi="宋体" w:eastAsia="宋体"/>
              <w:sz w:val="28"/>
              <w:szCs w:val="28"/>
            </w:rPr>
            <w:t>105</w:t>
          </w:r>
          <w:r>
            <w:rPr>
              <w:rFonts w:ascii="宋体" w:hAnsi="宋体" w:eastAsia="宋体"/>
              <w:sz w:val="28"/>
              <w:szCs w:val="28"/>
            </w:rPr>
            <w:fldChar w:fldCharType="end"/>
          </w:r>
          <w:r>
            <w:rPr>
              <w:rFonts w:ascii="宋体" w:hAnsi="宋体" w:eastAsia="宋体"/>
              <w:sz w:val="28"/>
              <w:szCs w:val="28"/>
            </w:rPr>
            <w:fldChar w:fldCharType="end"/>
          </w:r>
        </w:p>
        <w:p>
          <w:pPr>
            <w:pStyle w:val="32"/>
            <w:tabs>
              <w:tab w:val="right" w:leader="dot" w:pos="9920"/>
            </w:tabs>
            <w:ind w:left="480"/>
            <w:rPr>
              <w:rFonts w:ascii="宋体" w:hAnsi="宋体" w:eastAsia="宋体" w:cstheme="minorBidi"/>
              <w:kern w:val="2"/>
              <w:sz w:val="28"/>
              <w:szCs w:val="28"/>
            </w:rPr>
          </w:pPr>
          <w:r>
            <w:fldChar w:fldCharType="begin"/>
          </w:r>
          <w:r>
            <w:instrText xml:space="preserve"> HYPERLINK \l "_Toc120103981" </w:instrText>
          </w:r>
          <w:r>
            <w:fldChar w:fldCharType="separate"/>
          </w:r>
          <w:r>
            <w:rPr>
              <w:rStyle w:val="46"/>
              <w:rFonts w:ascii="宋体" w:hAnsi="宋体" w:eastAsia="宋体"/>
              <w:sz w:val="28"/>
              <w:szCs w:val="28"/>
            </w:rPr>
            <w:t>第二部分  开标一览表</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_Toc120103981 \h </w:instrText>
          </w:r>
          <w:r>
            <w:rPr>
              <w:rFonts w:ascii="宋体" w:hAnsi="宋体" w:eastAsia="宋体"/>
              <w:sz w:val="28"/>
              <w:szCs w:val="28"/>
            </w:rPr>
            <w:fldChar w:fldCharType="separate"/>
          </w:r>
          <w:r>
            <w:rPr>
              <w:rFonts w:ascii="宋体" w:hAnsi="宋体" w:eastAsia="宋体"/>
              <w:sz w:val="28"/>
              <w:szCs w:val="28"/>
            </w:rPr>
            <w:t>106</w:t>
          </w:r>
          <w:r>
            <w:rPr>
              <w:rFonts w:ascii="宋体" w:hAnsi="宋体" w:eastAsia="宋体"/>
              <w:sz w:val="28"/>
              <w:szCs w:val="28"/>
            </w:rPr>
            <w:fldChar w:fldCharType="end"/>
          </w:r>
          <w:r>
            <w:rPr>
              <w:rFonts w:ascii="宋体" w:hAnsi="宋体" w:eastAsia="宋体"/>
              <w:sz w:val="28"/>
              <w:szCs w:val="28"/>
            </w:rPr>
            <w:fldChar w:fldCharType="end"/>
          </w:r>
        </w:p>
        <w:p>
          <w:pPr>
            <w:pStyle w:val="32"/>
            <w:tabs>
              <w:tab w:val="right" w:leader="dot" w:pos="9920"/>
            </w:tabs>
            <w:ind w:left="480"/>
            <w:rPr>
              <w:rFonts w:ascii="宋体" w:hAnsi="宋体" w:eastAsia="宋体" w:cstheme="minorBidi"/>
              <w:kern w:val="2"/>
              <w:sz w:val="28"/>
              <w:szCs w:val="28"/>
            </w:rPr>
          </w:pPr>
          <w:r>
            <w:fldChar w:fldCharType="begin"/>
          </w:r>
          <w:r>
            <w:instrText xml:space="preserve"> HYPERLINK \l "_Toc120103982" </w:instrText>
          </w:r>
          <w:r>
            <w:fldChar w:fldCharType="separate"/>
          </w:r>
          <w:r>
            <w:rPr>
              <w:rStyle w:val="46"/>
              <w:rFonts w:ascii="宋体" w:hAnsi="宋体" w:eastAsia="宋体"/>
              <w:sz w:val="28"/>
              <w:szCs w:val="28"/>
            </w:rPr>
            <w:t>第三部分  资格证明文件</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_Toc120103982 \h </w:instrText>
          </w:r>
          <w:r>
            <w:rPr>
              <w:rFonts w:ascii="宋体" w:hAnsi="宋体" w:eastAsia="宋体"/>
              <w:sz w:val="28"/>
              <w:szCs w:val="28"/>
            </w:rPr>
            <w:fldChar w:fldCharType="separate"/>
          </w:r>
          <w:r>
            <w:rPr>
              <w:rFonts w:ascii="宋体" w:hAnsi="宋体" w:eastAsia="宋体"/>
              <w:sz w:val="28"/>
              <w:szCs w:val="28"/>
            </w:rPr>
            <w:t>108</w:t>
          </w:r>
          <w:r>
            <w:rPr>
              <w:rFonts w:ascii="宋体" w:hAnsi="宋体" w:eastAsia="宋体"/>
              <w:sz w:val="28"/>
              <w:szCs w:val="28"/>
            </w:rPr>
            <w:fldChar w:fldCharType="end"/>
          </w:r>
          <w:r>
            <w:rPr>
              <w:rFonts w:ascii="宋体" w:hAnsi="宋体" w:eastAsia="宋体"/>
              <w:sz w:val="28"/>
              <w:szCs w:val="28"/>
            </w:rPr>
            <w:fldChar w:fldCharType="end"/>
          </w:r>
        </w:p>
        <w:p>
          <w:pPr>
            <w:pStyle w:val="32"/>
            <w:tabs>
              <w:tab w:val="right" w:leader="dot" w:pos="9920"/>
            </w:tabs>
            <w:ind w:left="480"/>
            <w:rPr>
              <w:rFonts w:ascii="宋体" w:hAnsi="宋体" w:eastAsia="宋体" w:cstheme="minorBidi"/>
              <w:kern w:val="2"/>
              <w:sz w:val="28"/>
              <w:szCs w:val="28"/>
            </w:rPr>
          </w:pPr>
          <w:r>
            <w:fldChar w:fldCharType="begin"/>
          </w:r>
          <w:r>
            <w:instrText xml:space="preserve"> HYPERLINK \l "_Toc120103989" </w:instrText>
          </w:r>
          <w:r>
            <w:fldChar w:fldCharType="separate"/>
          </w:r>
          <w:r>
            <w:rPr>
              <w:rStyle w:val="46"/>
              <w:rFonts w:ascii="宋体" w:hAnsi="宋体" w:eastAsia="宋体"/>
              <w:sz w:val="28"/>
              <w:szCs w:val="28"/>
            </w:rPr>
            <w:t>第四部分  供应商概况</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_Toc120103989 \h </w:instrText>
          </w:r>
          <w:r>
            <w:rPr>
              <w:rFonts w:ascii="宋体" w:hAnsi="宋体" w:eastAsia="宋体"/>
              <w:sz w:val="28"/>
              <w:szCs w:val="28"/>
            </w:rPr>
            <w:fldChar w:fldCharType="separate"/>
          </w:r>
          <w:r>
            <w:rPr>
              <w:rFonts w:ascii="宋体" w:hAnsi="宋体" w:eastAsia="宋体"/>
              <w:sz w:val="28"/>
              <w:szCs w:val="28"/>
            </w:rPr>
            <w:t>115</w:t>
          </w:r>
          <w:r>
            <w:rPr>
              <w:rFonts w:ascii="宋体" w:hAnsi="宋体" w:eastAsia="宋体"/>
              <w:sz w:val="28"/>
              <w:szCs w:val="28"/>
            </w:rPr>
            <w:fldChar w:fldCharType="end"/>
          </w:r>
          <w:r>
            <w:rPr>
              <w:rFonts w:ascii="宋体" w:hAnsi="宋体" w:eastAsia="宋体"/>
              <w:sz w:val="28"/>
              <w:szCs w:val="28"/>
            </w:rPr>
            <w:fldChar w:fldCharType="end"/>
          </w:r>
        </w:p>
        <w:p>
          <w:pPr>
            <w:pStyle w:val="32"/>
            <w:tabs>
              <w:tab w:val="right" w:leader="dot" w:pos="9920"/>
            </w:tabs>
            <w:ind w:left="480"/>
            <w:rPr>
              <w:rFonts w:ascii="宋体" w:hAnsi="宋体" w:eastAsia="宋体" w:cstheme="minorBidi"/>
              <w:kern w:val="2"/>
              <w:sz w:val="28"/>
              <w:szCs w:val="28"/>
            </w:rPr>
          </w:pPr>
          <w:r>
            <w:fldChar w:fldCharType="begin"/>
          </w:r>
          <w:r>
            <w:instrText xml:space="preserve"> HYPERLINK \l "_Toc120103995" </w:instrText>
          </w:r>
          <w:r>
            <w:fldChar w:fldCharType="separate"/>
          </w:r>
          <w:r>
            <w:rPr>
              <w:rStyle w:val="46"/>
              <w:rFonts w:ascii="宋体" w:hAnsi="宋体" w:eastAsia="宋体"/>
              <w:sz w:val="28"/>
              <w:szCs w:val="28"/>
            </w:rPr>
            <w:t>第五部分  供应商参加政府采购活动承诺书</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_Toc120103995 \h </w:instrText>
          </w:r>
          <w:r>
            <w:rPr>
              <w:rFonts w:ascii="宋体" w:hAnsi="宋体" w:eastAsia="宋体"/>
              <w:sz w:val="28"/>
              <w:szCs w:val="28"/>
            </w:rPr>
            <w:fldChar w:fldCharType="separate"/>
          </w:r>
          <w:r>
            <w:rPr>
              <w:rFonts w:ascii="宋体" w:hAnsi="宋体" w:eastAsia="宋体"/>
              <w:sz w:val="28"/>
              <w:szCs w:val="28"/>
            </w:rPr>
            <w:t>121</w:t>
          </w:r>
          <w:r>
            <w:rPr>
              <w:rFonts w:ascii="宋体" w:hAnsi="宋体" w:eastAsia="宋体"/>
              <w:sz w:val="28"/>
              <w:szCs w:val="28"/>
            </w:rPr>
            <w:fldChar w:fldCharType="end"/>
          </w:r>
          <w:r>
            <w:rPr>
              <w:rFonts w:ascii="宋体" w:hAnsi="宋体" w:eastAsia="宋体"/>
              <w:sz w:val="28"/>
              <w:szCs w:val="28"/>
            </w:rPr>
            <w:fldChar w:fldCharType="end"/>
          </w:r>
        </w:p>
        <w:p>
          <w:pPr>
            <w:pStyle w:val="32"/>
            <w:tabs>
              <w:tab w:val="right" w:leader="dot" w:pos="9920"/>
            </w:tabs>
            <w:ind w:left="480"/>
            <w:rPr>
              <w:rFonts w:ascii="宋体" w:hAnsi="宋体" w:eastAsia="宋体" w:cstheme="minorBidi"/>
              <w:kern w:val="2"/>
              <w:sz w:val="28"/>
              <w:szCs w:val="28"/>
            </w:rPr>
          </w:pPr>
          <w:r>
            <w:fldChar w:fldCharType="begin"/>
          </w:r>
          <w:r>
            <w:instrText xml:space="preserve"> HYPERLINK \l "_Toc120103998" </w:instrText>
          </w:r>
          <w:r>
            <w:fldChar w:fldCharType="separate"/>
          </w:r>
          <w:r>
            <w:rPr>
              <w:rStyle w:val="46"/>
              <w:rFonts w:ascii="宋体" w:hAnsi="宋体" w:eastAsia="宋体"/>
              <w:sz w:val="28"/>
              <w:szCs w:val="28"/>
            </w:rPr>
            <w:t>第六部分  投标方案</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_Toc120103998 \h </w:instrText>
          </w:r>
          <w:r>
            <w:rPr>
              <w:rFonts w:ascii="宋体" w:hAnsi="宋体" w:eastAsia="宋体"/>
              <w:sz w:val="28"/>
              <w:szCs w:val="28"/>
            </w:rPr>
            <w:fldChar w:fldCharType="separate"/>
          </w:r>
          <w:r>
            <w:rPr>
              <w:rFonts w:ascii="宋体" w:hAnsi="宋体" w:eastAsia="宋体"/>
              <w:sz w:val="28"/>
              <w:szCs w:val="28"/>
            </w:rPr>
            <w:t>123</w:t>
          </w:r>
          <w:r>
            <w:rPr>
              <w:rFonts w:ascii="宋体" w:hAnsi="宋体" w:eastAsia="宋体"/>
              <w:sz w:val="28"/>
              <w:szCs w:val="28"/>
            </w:rPr>
            <w:fldChar w:fldCharType="end"/>
          </w:r>
          <w:r>
            <w:rPr>
              <w:rFonts w:ascii="宋体" w:hAnsi="宋体" w:eastAsia="宋体"/>
              <w:sz w:val="28"/>
              <w:szCs w:val="28"/>
            </w:rPr>
            <w:fldChar w:fldCharType="end"/>
          </w:r>
        </w:p>
        <w:p>
          <w:r>
            <w:rPr>
              <w:rFonts w:ascii="宋体" w:hAnsi="宋体" w:eastAsia="宋体"/>
              <w:sz w:val="28"/>
              <w:szCs w:val="28"/>
              <w:lang w:val="zh-CN"/>
            </w:rPr>
            <w:fldChar w:fldCharType="end"/>
          </w:r>
        </w:p>
      </w:sdtContent>
    </w:sdt>
    <w:p>
      <w:pPr>
        <w:spacing w:line="560" w:lineRule="exact"/>
        <w:rPr>
          <w:rFonts w:ascii="宋体" w:hAnsi="宋体" w:eastAsia="宋体"/>
          <w:sz w:val="32"/>
          <w:szCs w:val="32"/>
        </w:rPr>
      </w:pPr>
    </w:p>
    <w:p>
      <w:pPr>
        <w:spacing w:line="560" w:lineRule="exact"/>
        <w:rPr>
          <w:rFonts w:ascii="宋体" w:hAnsi="宋体" w:eastAsia="宋体"/>
          <w:sz w:val="32"/>
          <w:szCs w:val="32"/>
        </w:rPr>
      </w:pPr>
    </w:p>
    <w:p>
      <w:pPr>
        <w:spacing w:line="560" w:lineRule="exact"/>
        <w:rPr>
          <w:rFonts w:ascii="宋体" w:hAnsi="宋体" w:eastAsia="宋体"/>
          <w:sz w:val="32"/>
          <w:szCs w:val="32"/>
        </w:rPr>
      </w:pPr>
    </w:p>
    <w:p>
      <w:pPr>
        <w:spacing w:line="560" w:lineRule="exact"/>
        <w:rPr>
          <w:rFonts w:ascii="宋体" w:hAnsi="宋体" w:eastAsia="宋体"/>
          <w:sz w:val="32"/>
          <w:szCs w:val="32"/>
        </w:rPr>
      </w:pPr>
    </w:p>
    <w:p>
      <w:pPr>
        <w:spacing w:line="560" w:lineRule="exact"/>
        <w:rPr>
          <w:rFonts w:ascii="宋体" w:hAnsi="宋体" w:eastAsia="宋体"/>
          <w:sz w:val="32"/>
          <w:szCs w:val="32"/>
        </w:rPr>
      </w:pPr>
    </w:p>
    <w:p>
      <w:pPr>
        <w:spacing w:line="560" w:lineRule="exact"/>
        <w:rPr>
          <w:rFonts w:ascii="宋体" w:hAnsi="宋体" w:eastAsia="宋体"/>
          <w:sz w:val="32"/>
          <w:szCs w:val="32"/>
        </w:rPr>
      </w:pPr>
    </w:p>
    <w:p>
      <w:pPr>
        <w:spacing w:line="560" w:lineRule="exact"/>
        <w:rPr>
          <w:rFonts w:ascii="宋体" w:hAnsi="宋体" w:eastAsia="宋体"/>
          <w:sz w:val="32"/>
          <w:szCs w:val="32"/>
        </w:rPr>
      </w:pPr>
    </w:p>
    <w:p>
      <w:pPr>
        <w:spacing w:line="560" w:lineRule="exact"/>
        <w:rPr>
          <w:rFonts w:ascii="宋体" w:hAnsi="宋体" w:eastAsia="宋体"/>
          <w:sz w:val="32"/>
          <w:szCs w:val="32"/>
        </w:rPr>
      </w:pPr>
    </w:p>
    <w:p>
      <w:pPr>
        <w:spacing w:line="560" w:lineRule="exact"/>
        <w:rPr>
          <w:rFonts w:ascii="宋体" w:hAnsi="宋体" w:eastAsia="宋体"/>
          <w:sz w:val="32"/>
          <w:szCs w:val="32"/>
        </w:rPr>
      </w:pPr>
    </w:p>
    <w:p>
      <w:pPr>
        <w:spacing w:line="560" w:lineRule="exact"/>
        <w:rPr>
          <w:rFonts w:ascii="宋体" w:hAnsi="宋体" w:eastAsia="宋体"/>
          <w:sz w:val="32"/>
          <w:szCs w:val="32"/>
        </w:rPr>
      </w:pPr>
    </w:p>
    <w:p>
      <w:pPr>
        <w:spacing w:line="560" w:lineRule="exact"/>
        <w:rPr>
          <w:rFonts w:ascii="宋体" w:hAnsi="宋体" w:eastAsia="宋体"/>
          <w:sz w:val="32"/>
          <w:szCs w:val="32"/>
        </w:rPr>
      </w:pPr>
    </w:p>
    <w:p>
      <w:pPr>
        <w:spacing w:line="560" w:lineRule="exact"/>
        <w:rPr>
          <w:rFonts w:ascii="宋体" w:hAnsi="宋体" w:eastAsia="宋体"/>
          <w:sz w:val="32"/>
          <w:szCs w:val="32"/>
        </w:rPr>
      </w:pPr>
    </w:p>
    <w:p>
      <w:pPr>
        <w:spacing w:line="560" w:lineRule="exact"/>
        <w:rPr>
          <w:rFonts w:ascii="宋体" w:hAnsi="宋体" w:eastAsia="宋体"/>
          <w:sz w:val="32"/>
          <w:szCs w:val="32"/>
        </w:rPr>
      </w:pPr>
    </w:p>
    <w:p>
      <w:pPr>
        <w:pStyle w:val="3"/>
        <w:rPr>
          <w:rFonts w:ascii="宋体" w:hAnsi="宋体" w:eastAsia="宋体"/>
        </w:rPr>
      </w:pPr>
      <w:bookmarkStart w:id="2" w:name="_Toc100219612"/>
      <w:bookmarkStart w:id="3" w:name="_Toc120103807"/>
      <w:r>
        <w:rPr>
          <w:rFonts w:hint="eastAsia" w:ascii="宋体" w:hAnsi="宋体" w:eastAsia="宋体"/>
        </w:rPr>
        <w:t xml:space="preserve">第一章 </w:t>
      </w:r>
      <w:r>
        <w:rPr>
          <w:rFonts w:ascii="宋体" w:hAnsi="宋体" w:eastAsia="宋体"/>
        </w:rPr>
        <w:t xml:space="preserve"> </w:t>
      </w:r>
      <w:bookmarkEnd w:id="2"/>
      <w:r>
        <w:rPr>
          <w:rFonts w:hint="eastAsia" w:ascii="宋体" w:hAnsi="宋体" w:eastAsia="宋体"/>
        </w:rPr>
        <w:t>招标公告</w:t>
      </w:r>
      <w:bookmarkEnd w:id="3"/>
    </w:p>
    <w:p>
      <w:pPr>
        <w:spacing w:line="440" w:lineRule="exact"/>
        <w:jc w:val="center"/>
        <w:rPr>
          <w:b/>
          <w:bCs/>
        </w:rPr>
      </w:pPr>
      <w:bookmarkStart w:id="4" w:name="_Toc498349068"/>
      <w:bookmarkStart w:id="5" w:name="_Toc100219613"/>
      <w:bookmarkStart w:id="6" w:name="_Toc534656409"/>
      <w:bookmarkStart w:id="7" w:name="_Toc97563329"/>
      <w:bookmarkStart w:id="8" w:name="_Toc445407251"/>
      <w:bookmarkStart w:id="9" w:name="_Toc534656414"/>
      <w:bookmarkStart w:id="10" w:name="_Toc533363262"/>
      <w:bookmarkStart w:id="11" w:name="_Toc533363235"/>
      <w:r>
        <w:rPr>
          <w:rFonts w:hint="eastAsia"/>
          <w:b/>
          <w:bCs/>
        </w:rPr>
        <w:t>蓝田县融媒体中心（蓝田县广播电视台）2022年陕西省县级应急广播体系建设招标公告</w:t>
      </w:r>
    </w:p>
    <w:p>
      <w:pPr>
        <w:spacing w:line="440" w:lineRule="exact"/>
        <w:rPr>
          <w:rFonts w:ascii="微软雅黑" w:hAnsi="微软雅黑"/>
          <w:b/>
          <w:bCs/>
        </w:rPr>
      </w:pPr>
      <w:r>
        <w:rPr>
          <w:b/>
          <w:bCs/>
        </w:rPr>
        <w:t>项目概况</w:t>
      </w:r>
    </w:p>
    <w:p>
      <w:pPr>
        <w:spacing w:line="440" w:lineRule="exact"/>
        <w:rPr>
          <w:rFonts w:ascii="微软雅黑" w:hAnsi="微软雅黑"/>
        </w:rPr>
      </w:pPr>
      <w:r>
        <w:rPr>
          <w:rFonts w:hint="eastAsia" w:ascii="微软雅黑" w:hAnsi="微软雅黑"/>
        </w:rPr>
        <w:t>2022年陕西省县级应急广播体系建设的潜在投标人应在</w:t>
      </w:r>
      <w:r>
        <w:t>全国公共资源交易平台（陕西省·西安市）网站〖首页〉电子交易平台〉陕西政府采购交易系统〉企业端〗</w:t>
      </w:r>
      <w:r>
        <w:rPr>
          <w:rFonts w:hint="eastAsia" w:ascii="微软雅黑" w:hAnsi="微软雅黑"/>
        </w:rPr>
        <w:t>获取招标文件，并于</w:t>
      </w:r>
      <w:r>
        <w:t> 2022年12月20 日 9 时</w:t>
      </w:r>
      <w:r>
        <w:rPr>
          <w:rFonts w:hint="eastAsia"/>
        </w:rPr>
        <w:t xml:space="preserve"> </w:t>
      </w:r>
      <w:r>
        <w:t>30 分 </w:t>
      </w:r>
      <w:r>
        <w:rPr>
          <w:rFonts w:hint="eastAsia" w:ascii="微软雅黑" w:hAnsi="微软雅黑"/>
        </w:rPr>
        <w:t>（北京时间）前递交投标文件。</w:t>
      </w:r>
    </w:p>
    <w:p>
      <w:pPr>
        <w:spacing w:line="440" w:lineRule="exact"/>
        <w:rPr>
          <w:rFonts w:ascii="微软雅黑" w:hAnsi="微软雅黑"/>
          <w:b/>
          <w:bCs/>
        </w:rPr>
      </w:pPr>
      <w:r>
        <w:rPr>
          <w:b/>
          <w:bCs/>
        </w:rPr>
        <w:t>一、项目基本情况</w:t>
      </w:r>
    </w:p>
    <w:p>
      <w:pPr>
        <w:spacing w:line="440" w:lineRule="exact"/>
        <w:rPr>
          <w:rFonts w:ascii="微软雅黑" w:hAnsi="微软雅黑"/>
          <w:lang w:bidi="zh-CN"/>
        </w:rPr>
      </w:pPr>
      <w:r>
        <w:rPr>
          <w:rFonts w:hint="eastAsia" w:ascii="微软雅黑" w:hAnsi="微软雅黑"/>
        </w:rPr>
        <w:t>项目编号：ZHZB202</w:t>
      </w:r>
      <w:r>
        <w:rPr>
          <w:rFonts w:ascii="微软雅黑" w:hAnsi="微软雅黑"/>
        </w:rPr>
        <w:t>2</w:t>
      </w:r>
      <w:r>
        <w:rPr>
          <w:rFonts w:hint="eastAsia" w:ascii="微软雅黑" w:hAnsi="微软雅黑"/>
        </w:rPr>
        <w:t>-HW-11</w:t>
      </w:r>
      <w:r>
        <w:rPr>
          <w:rFonts w:ascii="微软雅黑" w:hAnsi="微软雅黑"/>
        </w:rPr>
        <w:t>2</w:t>
      </w:r>
      <w:r>
        <w:rPr>
          <w:rFonts w:hint="eastAsia" w:ascii="微软雅黑" w:hAnsi="微软雅黑"/>
        </w:rPr>
        <w:t>1</w:t>
      </w:r>
    </w:p>
    <w:p>
      <w:pPr>
        <w:spacing w:line="440" w:lineRule="exact"/>
        <w:rPr>
          <w:rFonts w:ascii="微软雅黑" w:hAnsi="微软雅黑"/>
        </w:rPr>
      </w:pPr>
      <w:r>
        <w:rPr>
          <w:rFonts w:hint="eastAsia" w:ascii="微软雅黑" w:hAnsi="微软雅黑"/>
        </w:rPr>
        <w:t>项目名称：2022年陕西省县级应急广播体系建设</w:t>
      </w:r>
    </w:p>
    <w:p>
      <w:pPr>
        <w:spacing w:line="440" w:lineRule="exact"/>
        <w:rPr>
          <w:rFonts w:ascii="微软雅黑" w:hAnsi="微软雅黑"/>
        </w:rPr>
      </w:pPr>
      <w:r>
        <w:rPr>
          <w:rFonts w:hint="eastAsia" w:ascii="微软雅黑" w:hAnsi="微软雅黑"/>
        </w:rPr>
        <w:t>采购方式：公开招标</w:t>
      </w:r>
    </w:p>
    <w:p>
      <w:pPr>
        <w:spacing w:line="440" w:lineRule="exact"/>
        <w:rPr>
          <w:rFonts w:ascii="微软雅黑" w:hAnsi="微软雅黑"/>
        </w:rPr>
      </w:pPr>
      <w:r>
        <w:rPr>
          <w:rFonts w:hint="eastAsia" w:ascii="微软雅黑" w:hAnsi="微软雅黑"/>
        </w:rPr>
        <w:t>预算金额：357</w:t>
      </w:r>
      <w:r>
        <w:rPr>
          <w:rFonts w:ascii="微软雅黑" w:hAnsi="微软雅黑"/>
        </w:rPr>
        <w:t>0000.00</w:t>
      </w:r>
      <w:r>
        <w:rPr>
          <w:rFonts w:hint="eastAsia" w:ascii="微软雅黑" w:hAnsi="微软雅黑"/>
        </w:rPr>
        <w:t>元</w:t>
      </w:r>
    </w:p>
    <w:p>
      <w:pPr>
        <w:spacing w:line="440" w:lineRule="exact"/>
        <w:rPr>
          <w:rFonts w:ascii="微软雅黑" w:hAnsi="微软雅黑"/>
        </w:rPr>
      </w:pPr>
      <w:r>
        <w:rPr>
          <w:rFonts w:hint="eastAsia" w:ascii="微软雅黑" w:hAnsi="微软雅黑"/>
        </w:rPr>
        <w:t>采购需求：</w:t>
      </w:r>
    </w:p>
    <w:p>
      <w:pPr>
        <w:spacing w:line="440" w:lineRule="exact"/>
        <w:rPr>
          <w:rFonts w:ascii="微软雅黑" w:hAnsi="微软雅黑"/>
        </w:rPr>
      </w:pPr>
      <w:r>
        <w:rPr>
          <w:rFonts w:ascii="微软雅黑" w:hAnsi="微软雅黑"/>
        </w:rPr>
        <w:t>合同包1(</w:t>
      </w:r>
      <w:r>
        <w:rPr>
          <w:rFonts w:hint="eastAsia" w:ascii="微软雅黑" w:hAnsi="微软雅黑"/>
        </w:rPr>
        <w:t>2022年陕西省县级应急广播体系建设</w:t>
      </w:r>
      <w:r>
        <w:rPr>
          <w:rFonts w:ascii="微软雅黑" w:hAnsi="微软雅黑"/>
        </w:rPr>
        <w:t>):</w:t>
      </w:r>
    </w:p>
    <w:p>
      <w:pPr>
        <w:spacing w:line="440" w:lineRule="exact"/>
        <w:rPr>
          <w:rFonts w:ascii="微软雅黑" w:hAnsi="微软雅黑"/>
        </w:rPr>
      </w:pPr>
      <w:r>
        <w:rPr>
          <w:rFonts w:ascii="微软雅黑" w:hAnsi="微软雅黑"/>
        </w:rPr>
        <w:t>合同包预算金额：</w:t>
      </w:r>
      <w:r>
        <w:rPr>
          <w:rFonts w:hint="eastAsia" w:ascii="微软雅黑" w:hAnsi="微软雅黑"/>
        </w:rPr>
        <w:t>357</w:t>
      </w:r>
      <w:r>
        <w:rPr>
          <w:rFonts w:ascii="微软雅黑" w:hAnsi="微软雅黑"/>
        </w:rPr>
        <w:t>0000.00元</w:t>
      </w:r>
    </w:p>
    <w:p>
      <w:pPr>
        <w:spacing w:line="440" w:lineRule="exact"/>
        <w:rPr>
          <w:rFonts w:ascii="微软雅黑" w:hAnsi="微软雅黑"/>
        </w:rPr>
      </w:pPr>
      <w:r>
        <w:rPr>
          <w:rFonts w:ascii="微软雅黑" w:hAnsi="微软雅黑"/>
        </w:rPr>
        <w:t>合同包最高限价：</w:t>
      </w:r>
      <w:r>
        <w:rPr>
          <w:rFonts w:hint="eastAsia" w:ascii="微软雅黑" w:hAnsi="微软雅黑"/>
        </w:rPr>
        <w:t>357</w:t>
      </w:r>
      <w:r>
        <w:rPr>
          <w:rFonts w:ascii="微软雅黑" w:hAnsi="微软雅黑"/>
        </w:rPr>
        <w:t>0000.00元</w:t>
      </w:r>
    </w:p>
    <w:tbl>
      <w:tblPr>
        <w:tblStyle w:val="39"/>
        <w:tblW w:w="5096"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62"/>
        <w:gridCol w:w="1749"/>
        <w:gridCol w:w="1508"/>
        <w:gridCol w:w="1299"/>
        <w:gridCol w:w="1486"/>
        <w:gridCol w:w="1680"/>
        <w:gridCol w:w="168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jc w:val="center"/>
        </w:trPr>
        <w:tc>
          <w:tcPr>
            <w:tcW w:w="8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440" w:lineRule="exact"/>
              <w:rPr>
                <w:rFonts w:eastAsia="宋体"/>
              </w:rPr>
            </w:pPr>
            <w:r>
              <w:rPr>
                <w:rFonts w:eastAsia="宋体"/>
              </w:rPr>
              <w:t>品目号</w:t>
            </w:r>
          </w:p>
        </w:tc>
        <w:tc>
          <w:tcPr>
            <w:tcW w:w="14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440" w:lineRule="exact"/>
              <w:rPr>
                <w:rFonts w:eastAsia="宋体"/>
              </w:rPr>
            </w:pPr>
            <w:r>
              <w:rPr>
                <w:rFonts w:eastAsia="宋体"/>
              </w:rPr>
              <w:t>品目名称</w:t>
            </w:r>
          </w:p>
        </w:tc>
        <w:tc>
          <w:tcPr>
            <w:tcW w:w="12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440" w:lineRule="exact"/>
              <w:rPr>
                <w:rFonts w:eastAsia="宋体"/>
              </w:rPr>
            </w:pPr>
            <w:r>
              <w:rPr>
                <w:rFonts w:eastAsia="宋体"/>
              </w:rPr>
              <w:t>采购标的</w:t>
            </w:r>
          </w:p>
        </w:tc>
        <w:tc>
          <w:tcPr>
            <w:tcW w:w="10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440" w:lineRule="exact"/>
              <w:rPr>
                <w:rFonts w:eastAsia="宋体"/>
              </w:rPr>
            </w:pPr>
            <w:r>
              <w:rPr>
                <w:rFonts w:eastAsia="宋体"/>
              </w:rPr>
              <w:t>数量</w:t>
            </w:r>
          </w:p>
          <w:p>
            <w:pPr>
              <w:spacing w:line="440" w:lineRule="exact"/>
              <w:rPr>
                <w:rFonts w:eastAsia="宋体"/>
              </w:rPr>
            </w:pPr>
            <w:r>
              <w:rPr>
                <w:rFonts w:hint="eastAsia" w:eastAsia="宋体"/>
              </w:rPr>
              <w:t>（</w:t>
            </w:r>
            <w:r>
              <w:rPr>
                <w:rFonts w:eastAsia="宋体"/>
              </w:rPr>
              <w:t>单位）</w:t>
            </w:r>
          </w:p>
        </w:tc>
        <w:tc>
          <w:tcPr>
            <w:tcW w:w="12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440" w:lineRule="exact"/>
              <w:rPr>
                <w:rFonts w:eastAsia="宋体"/>
              </w:rPr>
            </w:pPr>
            <w:r>
              <w:rPr>
                <w:rFonts w:eastAsia="宋体"/>
              </w:rPr>
              <w:t>技术规格、参数及要求</w:t>
            </w:r>
          </w:p>
        </w:tc>
        <w:tc>
          <w:tcPr>
            <w:tcW w:w="14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440" w:lineRule="exact"/>
              <w:rPr>
                <w:rFonts w:eastAsia="宋体"/>
              </w:rPr>
            </w:pPr>
            <w:r>
              <w:rPr>
                <w:rFonts w:eastAsia="宋体"/>
              </w:rPr>
              <w:t>品目预算(元)</w:t>
            </w:r>
          </w:p>
        </w:tc>
        <w:tc>
          <w:tcPr>
            <w:tcW w:w="14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440" w:lineRule="exact"/>
              <w:rPr>
                <w:rFonts w:eastAsia="宋体"/>
              </w:rPr>
            </w:pPr>
            <w:r>
              <w:rPr>
                <w:rFonts w:eastAsia="宋体"/>
              </w:rPr>
              <w:t>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440" w:lineRule="exact"/>
              <w:rPr>
                <w:rFonts w:eastAsia="宋体"/>
              </w:rPr>
            </w:pPr>
            <w:r>
              <w:rPr>
                <w:rFonts w:eastAsia="宋体"/>
              </w:rPr>
              <w:t>1-1</w:t>
            </w:r>
          </w:p>
        </w:tc>
        <w:tc>
          <w:tcPr>
            <w:tcW w:w="14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440" w:lineRule="exact"/>
              <w:rPr>
                <w:rFonts w:eastAsia="宋体"/>
              </w:rPr>
            </w:pPr>
            <w:r>
              <w:rPr>
                <w:rFonts w:eastAsia="宋体"/>
              </w:rPr>
              <w:t>广播和电视接 收设备</w:t>
            </w:r>
          </w:p>
        </w:tc>
        <w:tc>
          <w:tcPr>
            <w:tcW w:w="12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440" w:lineRule="exact"/>
              <w:rPr>
                <w:rFonts w:eastAsia="宋体"/>
              </w:rPr>
            </w:pPr>
            <w:r>
              <w:rPr>
                <w:rFonts w:eastAsia="宋体"/>
              </w:rPr>
              <w:t>广播设备</w:t>
            </w:r>
          </w:p>
        </w:tc>
        <w:tc>
          <w:tcPr>
            <w:tcW w:w="10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440" w:lineRule="exact"/>
              <w:rPr>
                <w:rFonts w:eastAsia="宋体"/>
              </w:rPr>
            </w:pPr>
            <w:r>
              <w:rPr>
                <w:rFonts w:eastAsia="宋体"/>
              </w:rPr>
              <w:t>1(项)</w:t>
            </w:r>
          </w:p>
        </w:tc>
        <w:tc>
          <w:tcPr>
            <w:tcW w:w="12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440" w:lineRule="exact"/>
              <w:rPr>
                <w:rFonts w:eastAsia="宋体"/>
              </w:rPr>
            </w:pPr>
            <w:r>
              <w:rPr>
                <w:rFonts w:eastAsia="宋体"/>
              </w:rPr>
              <w:t>详见采购文件</w:t>
            </w:r>
          </w:p>
        </w:tc>
        <w:tc>
          <w:tcPr>
            <w:tcW w:w="14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440" w:lineRule="exact"/>
              <w:rPr>
                <w:rFonts w:eastAsia="宋体"/>
              </w:rPr>
            </w:pPr>
            <w:r>
              <w:rPr>
                <w:rFonts w:hint="eastAsia" w:eastAsia="宋体"/>
              </w:rPr>
              <w:t>357</w:t>
            </w:r>
            <w:r>
              <w:rPr>
                <w:rFonts w:eastAsia="宋体"/>
              </w:rPr>
              <w:t>0000.00</w:t>
            </w:r>
          </w:p>
        </w:tc>
        <w:tc>
          <w:tcPr>
            <w:tcW w:w="14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440" w:lineRule="exact"/>
              <w:rPr>
                <w:rFonts w:eastAsia="宋体"/>
              </w:rPr>
            </w:pPr>
            <w:r>
              <w:rPr>
                <w:rFonts w:hint="eastAsia" w:eastAsia="宋体"/>
              </w:rPr>
              <w:t>357</w:t>
            </w:r>
            <w:r>
              <w:rPr>
                <w:rFonts w:eastAsia="宋体"/>
              </w:rPr>
              <w:t>0000.00</w:t>
            </w:r>
          </w:p>
        </w:tc>
      </w:tr>
    </w:tbl>
    <w:p>
      <w:pPr>
        <w:spacing w:line="440" w:lineRule="exact"/>
      </w:pPr>
      <w:r>
        <w:t>本合同包不接受联合体投标</w:t>
      </w:r>
    </w:p>
    <w:p>
      <w:pPr>
        <w:spacing w:line="440" w:lineRule="exact"/>
      </w:pPr>
      <w:r>
        <w:t>合同履行期限：</w:t>
      </w:r>
      <w:r>
        <w:rPr>
          <w:rFonts w:hint="eastAsia"/>
        </w:rPr>
        <w:t>无</w:t>
      </w:r>
    </w:p>
    <w:p>
      <w:pPr>
        <w:spacing w:line="440" w:lineRule="exact"/>
        <w:rPr>
          <w:rFonts w:ascii="微软雅黑" w:hAnsi="微软雅黑"/>
          <w:b/>
          <w:bCs/>
        </w:rPr>
      </w:pPr>
      <w:r>
        <w:rPr>
          <w:b/>
          <w:bCs/>
        </w:rPr>
        <w:t>二、申请人的资格要求：</w:t>
      </w:r>
    </w:p>
    <w:p>
      <w:pPr>
        <w:spacing w:line="440" w:lineRule="exact"/>
      </w:pPr>
      <w:r>
        <w:t>1.满足《中华人民共和国政府采购法》第二十二条规定;</w:t>
      </w:r>
    </w:p>
    <w:p>
      <w:pPr>
        <w:spacing w:line="440" w:lineRule="exact"/>
      </w:pPr>
      <w:r>
        <w:t>2.落实政府采购政策需满足的资格要求：</w:t>
      </w:r>
    </w:p>
    <w:p>
      <w:pPr>
        <w:spacing w:line="440" w:lineRule="exact"/>
      </w:pPr>
      <w:r>
        <w:t>合同包1(</w:t>
      </w:r>
      <w:r>
        <w:rPr>
          <w:rFonts w:hint="eastAsia"/>
        </w:rPr>
        <w:t>2022年陕西省县级应急广播体系建设</w:t>
      </w:r>
      <w:r>
        <w:t>)落实政府采购政策需满足的资格要求如下:</w:t>
      </w:r>
    </w:p>
    <w:p>
      <w:pPr>
        <w:spacing w:line="440" w:lineRule="exact"/>
      </w:pPr>
      <w:r>
        <w:rPr>
          <w:rFonts w:hint="eastAsia" w:ascii="宋体" w:hAnsi="宋体" w:eastAsia="宋体"/>
          <w:shd w:val="clear" w:color="auto" w:fill="FFFFFF"/>
        </w:rPr>
        <w:t>（1）《政府采购促进中小企业发展管理办法》（财库〔2020〕46号）；（2）《财政部司法部关于政府采购支持监狱企业发展有关问题的通知》（财库〔2014〕68号）；（3）《财政部民政部中国残疾人联合会关于促进残疾人就业政府采购政策的通知》（财库〔2017〕141号）；（4）《财政部 国家发展改革委关于印发(节能产品政府采购实施意见)的通知》(财库〔2004〕185号)；（5）《国务院办公厅关于建立政府强制采购节能产品制度的通知》(国办发〔2007〕51号)；（6）《财政部环保总局关于环境标志产品政府采购实施的意见》(财库〔2006〕180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关于进一步加大政府采购支持中小企业力度的通知》（财库〔2022〕19号）。（14）《西安市财政局关于促进政府采购公平竞争优化营商环境的通知》（市财函[2021]431号）；（15）西安市财政局关于印发《关于调整西安市政府采购信用担保及信用融资合作机构联系名单的通知》（市财发〔2015〕4号）。</w:t>
      </w:r>
    </w:p>
    <w:p>
      <w:pPr>
        <w:spacing w:line="440" w:lineRule="exact"/>
      </w:pPr>
      <w:r>
        <w:t>3.本项目的特定资格要求：</w:t>
      </w:r>
    </w:p>
    <w:p>
      <w:pPr>
        <w:spacing w:line="440" w:lineRule="exact"/>
      </w:pPr>
      <w:r>
        <w:t>合同包1(</w:t>
      </w:r>
      <w:r>
        <w:rPr>
          <w:rFonts w:hint="eastAsia"/>
        </w:rPr>
        <w:t>2022年陕西省县级应急广播体系建设</w:t>
      </w:r>
      <w:r>
        <w:t>)特定资格要求如下:</w:t>
      </w:r>
    </w:p>
    <w:p>
      <w:pPr>
        <w:spacing w:line="440" w:lineRule="exact"/>
        <w:rPr>
          <w:rFonts w:ascii="宋体" w:hAnsi="宋体" w:eastAsia="宋体"/>
          <w:shd w:val="clear" w:color="auto" w:fill="FFFFFF"/>
        </w:rPr>
      </w:pPr>
      <w:r>
        <w:rPr>
          <w:rFonts w:hint="eastAsia" w:ascii="宋体" w:hAnsi="宋体" w:eastAsia="宋体"/>
          <w:shd w:val="clear" w:color="auto" w:fill="FFFFFF"/>
        </w:rPr>
        <w:t xml:space="preserve">1）供应商应具有独立承担民事责任的能力且具备向采购人提供相关服务的企业法人或负责人、事业法人、其他组织或自然人，企业法人或负责人应提供统一社会信用代码的营业执照证明文件；事业法人应提供事业单位法人证明文件；其他组织应提供合法证明文件；自然人提供身份证； </w:t>
      </w:r>
    </w:p>
    <w:p>
      <w:pPr>
        <w:spacing w:line="440" w:lineRule="exact"/>
        <w:rPr>
          <w:rFonts w:ascii="宋体" w:hAnsi="宋体" w:eastAsia="宋体"/>
          <w:shd w:val="clear" w:color="auto" w:fill="FFFFFF"/>
        </w:rPr>
      </w:pPr>
      <w:r>
        <w:rPr>
          <w:rFonts w:hint="eastAsia" w:ascii="宋体" w:hAnsi="宋体" w:eastAsia="宋体"/>
          <w:shd w:val="clear" w:color="auto" w:fill="FFFFFF"/>
        </w:rPr>
        <w:t xml:space="preserve">2）法定代表人（单位负责人）授权委托书、被授权人身份证（法定代表人（单位负责人）参加投标时,只需提供法定代表人（单位负责人）身份证； </w:t>
      </w:r>
    </w:p>
    <w:p>
      <w:pPr>
        <w:spacing w:line="440" w:lineRule="exact"/>
        <w:rPr>
          <w:rFonts w:ascii="宋体" w:hAnsi="宋体" w:eastAsia="宋体"/>
          <w:shd w:val="clear" w:color="auto" w:fill="FFFFFF"/>
        </w:rPr>
      </w:pPr>
      <w:r>
        <w:rPr>
          <w:rFonts w:hint="eastAsia" w:ascii="宋体" w:hAnsi="宋体" w:eastAsia="宋体"/>
          <w:shd w:val="clear" w:color="auto" w:fill="FFFFFF"/>
        </w:rPr>
        <w:t>3）财务状况报告：法人提供经审计的202</w:t>
      </w:r>
      <w:r>
        <w:rPr>
          <w:rFonts w:ascii="宋体" w:hAnsi="宋体" w:eastAsia="宋体"/>
          <w:shd w:val="clear" w:color="auto" w:fill="FFFFFF"/>
        </w:rPr>
        <w:t>1</w:t>
      </w:r>
      <w:r>
        <w:rPr>
          <w:rFonts w:hint="eastAsia" w:ascii="宋体" w:hAnsi="宋体" w:eastAsia="宋体"/>
          <w:shd w:val="clear" w:color="auto" w:fill="FFFFFF"/>
        </w:rPr>
        <w:t xml:space="preserve">年度的财务报告或提交响应文件截止时间前六个月内其基本账户开户银行出具的资信证明；其他组织和自然人提供银行出具的资信证明或财务报表； </w:t>
      </w:r>
    </w:p>
    <w:p>
      <w:pPr>
        <w:spacing w:line="440" w:lineRule="exact"/>
        <w:rPr>
          <w:rFonts w:ascii="宋体" w:hAnsi="宋体" w:eastAsia="宋体"/>
          <w:shd w:val="clear" w:color="auto" w:fill="FFFFFF"/>
        </w:rPr>
      </w:pPr>
      <w:r>
        <w:rPr>
          <w:rFonts w:hint="eastAsia" w:ascii="宋体" w:hAnsi="宋体" w:eastAsia="宋体"/>
          <w:shd w:val="clear" w:color="auto" w:fill="FFFFFF"/>
        </w:rPr>
        <w:t xml:space="preserve">4）税收缴纳证明：提交投标文件截止时间前一年内至少一个月的纳税证明或完税证明（增值税、营业税、企业所得税至少提供一种），纳税证明或完税证明上应有代收机构或税务机关的公章或业务专用章； </w:t>
      </w:r>
    </w:p>
    <w:p>
      <w:pPr>
        <w:spacing w:line="440" w:lineRule="exact"/>
        <w:rPr>
          <w:rFonts w:ascii="宋体" w:hAnsi="宋体" w:eastAsia="宋体"/>
          <w:shd w:val="clear" w:color="auto" w:fill="FFFFFF"/>
        </w:rPr>
      </w:pPr>
      <w:r>
        <w:rPr>
          <w:rFonts w:hint="eastAsia" w:ascii="宋体" w:hAnsi="宋体" w:eastAsia="宋体"/>
          <w:shd w:val="clear" w:color="auto" w:fill="FFFFFF"/>
        </w:rPr>
        <w:t xml:space="preserve">5）社会保障资金缴纳证明：提交投标文件截止时间前一年内至少一个月的社会保障资金缴存单据或社保机构开具的社会保险参保缴费情况证明，单据或证明上应有社保机构或代收机构的公章或业务专用章； </w:t>
      </w:r>
    </w:p>
    <w:p>
      <w:pPr>
        <w:spacing w:line="440" w:lineRule="exact"/>
        <w:rPr>
          <w:rFonts w:ascii="宋体" w:hAnsi="宋体" w:eastAsia="宋体"/>
          <w:shd w:val="clear" w:color="auto" w:fill="FFFFFF"/>
        </w:rPr>
      </w:pPr>
      <w:r>
        <w:rPr>
          <w:rFonts w:hint="eastAsia" w:ascii="宋体" w:hAnsi="宋体" w:eastAsia="宋体"/>
          <w:shd w:val="clear" w:color="auto" w:fill="FFFFFF"/>
        </w:rPr>
        <w:t>6）供应商在递交投标文件截止时间前在“信用中国”网站（www.creditchina.gov.cn）和中国政府采购网（www.ccgp.gov.cn）上被列入失信被执行人、重大税收违法失信主体、政府采购严重违法失信行为记录名单的，不得参加投标；</w:t>
      </w:r>
    </w:p>
    <w:p>
      <w:pPr>
        <w:spacing w:line="440" w:lineRule="exact"/>
        <w:rPr>
          <w:rFonts w:ascii="宋体" w:hAnsi="宋体" w:eastAsia="宋体"/>
          <w:shd w:val="clear" w:color="auto" w:fill="FFFFFF"/>
        </w:rPr>
      </w:pPr>
      <w:r>
        <w:rPr>
          <w:rFonts w:hint="eastAsia" w:ascii="宋体" w:hAnsi="宋体" w:eastAsia="宋体"/>
          <w:shd w:val="clear" w:color="auto" w:fill="FFFFFF"/>
        </w:rPr>
        <w:t xml:space="preserve">7）参加政府采购活动前3年内在经营活动中没有重大违法记录的书面声明； </w:t>
      </w:r>
    </w:p>
    <w:p>
      <w:pPr>
        <w:spacing w:line="440" w:lineRule="exact"/>
        <w:rPr>
          <w:rFonts w:ascii="宋体" w:hAnsi="宋体" w:eastAsia="宋体"/>
          <w:shd w:val="clear" w:color="auto" w:fill="FFFFFF"/>
        </w:rPr>
      </w:pPr>
      <w:r>
        <w:rPr>
          <w:rFonts w:hint="eastAsia" w:ascii="宋体" w:hAnsi="宋体" w:eastAsia="宋体"/>
          <w:shd w:val="clear" w:color="auto" w:fill="FFFFFF"/>
        </w:rPr>
        <w:t>8</w:t>
      </w:r>
      <w:r>
        <w:rPr>
          <w:rFonts w:ascii="宋体" w:hAnsi="宋体" w:eastAsia="宋体"/>
          <w:shd w:val="clear" w:color="auto" w:fill="FFFFFF"/>
        </w:rPr>
        <w:t>)提供书面声明，包括声明具有履行合同所必需的设备和专业技术能力</w:t>
      </w:r>
      <w:r>
        <w:rPr>
          <w:rFonts w:hint="eastAsia" w:ascii="宋体" w:hAnsi="宋体" w:eastAsia="宋体"/>
          <w:shd w:val="clear" w:color="auto" w:fill="FFFFFF"/>
        </w:rPr>
        <w:t>；</w:t>
      </w:r>
    </w:p>
    <w:p>
      <w:pPr>
        <w:spacing w:line="440" w:lineRule="exact"/>
        <w:rPr>
          <w:rFonts w:ascii="宋体" w:hAnsi="宋体" w:eastAsia="宋体"/>
          <w:shd w:val="clear" w:color="auto" w:fill="FFFFFF"/>
        </w:rPr>
      </w:pPr>
      <w:r>
        <w:rPr>
          <w:rFonts w:ascii="宋体" w:hAnsi="宋体" w:eastAsia="宋体"/>
          <w:shd w:val="clear" w:color="auto" w:fill="FFFFFF"/>
        </w:rPr>
        <w:t>9</w:t>
      </w:r>
      <w:r>
        <w:rPr>
          <w:rFonts w:hint="eastAsia" w:ascii="宋体" w:hAnsi="宋体" w:eastAsia="宋体"/>
          <w:shd w:val="clear" w:color="auto" w:fill="FFFFFF"/>
        </w:rPr>
        <w:t>）单位负责人为同一人或者存在直接控股、管理关系的不同供应商，不得参加同一合同项下的政府采购活动；为本招标项目提供整体设计、规范编制或者项目管理、监理、检测等服务的供应商，不得再参加本项目的投标；</w:t>
      </w:r>
    </w:p>
    <w:p>
      <w:pPr>
        <w:spacing w:line="440" w:lineRule="exact"/>
        <w:rPr>
          <w:rFonts w:ascii="宋体" w:hAnsi="宋体" w:eastAsia="宋体"/>
          <w:shd w:val="clear" w:color="auto" w:fill="FFFFFF"/>
        </w:rPr>
      </w:pPr>
      <w:r>
        <w:rPr>
          <w:rFonts w:ascii="宋体" w:hAnsi="宋体" w:eastAsia="宋体"/>
          <w:shd w:val="clear" w:color="auto" w:fill="FFFFFF"/>
        </w:rPr>
        <w:t>10</w:t>
      </w:r>
      <w:r>
        <w:rPr>
          <w:rFonts w:hint="eastAsia" w:ascii="宋体" w:hAnsi="宋体" w:eastAsia="宋体"/>
          <w:shd w:val="clear" w:color="auto" w:fill="FFFFFF"/>
        </w:rPr>
        <w:t>）本项目不接受联合体投标，不允许转包。</w:t>
      </w:r>
    </w:p>
    <w:p>
      <w:pPr>
        <w:spacing w:line="440" w:lineRule="exact"/>
        <w:rPr>
          <w:rFonts w:ascii="微软雅黑" w:hAnsi="微软雅黑"/>
          <w:b/>
          <w:bCs/>
        </w:rPr>
      </w:pPr>
      <w:r>
        <w:rPr>
          <w:b/>
          <w:bCs/>
        </w:rPr>
        <w:t>三、获取招标文件</w:t>
      </w:r>
    </w:p>
    <w:p>
      <w:pPr>
        <w:spacing w:line="440" w:lineRule="exact"/>
        <w:rPr>
          <w:rFonts w:ascii="微软雅黑" w:hAnsi="微软雅黑"/>
        </w:rPr>
      </w:pPr>
      <w:r>
        <w:rPr>
          <w:rFonts w:hint="eastAsia" w:ascii="微软雅黑" w:hAnsi="微软雅黑"/>
        </w:rPr>
        <w:t>时间：</w:t>
      </w:r>
      <w:r>
        <w:t> 2022年</w:t>
      </w:r>
      <w:r>
        <w:rPr>
          <w:rFonts w:hint="eastAsia"/>
        </w:rPr>
        <w:t>11</w:t>
      </w:r>
      <w:r>
        <w:t>月</w:t>
      </w:r>
      <w:r>
        <w:rPr>
          <w:rFonts w:hint="eastAsia"/>
        </w:rPr>
        <w:t>2</w:t>
      </w:r>
      <w:r>
        <w:t>8日 至 2022年</w:t>
      </w:r>
      <w:r>
        <w:rPr>
          <w:rFonts w:hint="eastAsia"/>
        </w:rPr>
        <w:t>1</w:t>
      </w:r>
      <w:r>
        <w:t>2月</w:t>
      </w:r>
      <w:r>
        <w:rPr>
          <w:rFonts w:hint="eastAsia"/>
        </w:rPr>
        <w:t>0</w:t>
      </w:r>
      <w:r>
        <w:t>2日 ，每天上午 00:00:00 至 12:00:00 ，下午 12:00:00 至 23:59:59 （北京时间）</w:t>
      </w:r>
    </w:p>
    <w:p>
      <w:pPr>
        <w:spacing w:line="440" w:lineRule="exact"/>
        <w:rPr>
          <w:rFonts w:ascii="微软雅黑" w:hAnsi="微软雅黑"/>
        </w:rPr>
      </w:pPr>
      <w:r>
        <w:rPr>
          <w:rFonts w:hint="eastAsia" w:ascii="微软雅黑" w:hAnsi="微软雅黑"/>
        </w:rPr>
        <w:t>途径：</w:t>
      </w:r>
      <w:r>
        <w:t>全国公共资源交易平台（陕西省·西安市）网站〖首页〉电子交易平台〉陕西政府采购交易系统〉企业端〗</w:t>
      </w:r>
    </w:p>
    <w:p>
      <w:pPr>
        <w:spacing w:line="440" w:lineRule="exact"/>
        <w:rPr>
          <w:rFonts w:ascii="微软雅黑" w:hAnsi="微软雅黑"/>
        </w:rPr>
      </w:pPr>
      <w:r>
        <w:rPr>
          <w:rFonts w:hint="eastAsia" w:ascii="微软雅黑" w:hAnsi="微软雅黑"/>
        </w:rPr>
        <w:t>方式：</w:t>
      </w:r>
      <w:r>
        <w:t>在线获取</w:t>
      </w:r>
    </w:p>
    <w:p>
      <w:pPr>
        <w:spacing w:line="440" w:lineRule="exact"/>
        <w:rPr>
          <w:rFonts w:ascii="微软雅黑" w:hAnsi="微软雅黑"/>
        </w:rPr>
      </w:pPr>
      <w:r>
        <w:rPr>
          <w:rFonts w:hint="eastAsia" w:ascii="微软雅黑" w:hAnsi="微软雅黑"/>
        </w:rPr>
        <w:t>售价：</w:t>
      </w:r>
      <w:r>
        <w:t> 0元</w:t>
      </w:r>
    </w:p>
    <w:p>
      <w:pPr>
        <w:spacing w:line="440" w:lineRule="exact"/>
        <w:rPr>
          <w:rFonts w:ascii="微软雅黑" w:hAnsi="微软雅黑"/>
          <w:b/>
          <w:bCs/>
        </w:rPr>
      </w:pPr>
      <w:r>
        <w:rPr>
          <w:b/>
          <w:bCs/>
        </w:rPr>
        <w:t>四、提交投标文件截止时间、开标时间和地点</w:t>
      </w:r>
    </w:p>
    <w:p>
      <w:pPr>
        <w:spacing w:line="440" w:lineRule="exact"/>
        <w:rPr>
          <w:rFonts w:ascii="微软雅黑" w:hAnsi="微软雅黑"/>
          <w:color w:val="9DC3E6" w:themeColor="accent1" w:themeTint="99"/>
          <w14:textFill>
            <w14:solidFill>
              <w14:schemeClr w14:val="accent1">
                <w14:lumMod w14:val="60000"/>
                <w14:lumOff w14:val="40000"/>
              </w14:schemeClr>
            </w14:solidFill>
          </w14:textFill>
        </w:rPr>
      </w:pPr>
      <w:r>
        <w:rPr>
          <w:rFonts w:hint="eastAsia" w:ascii="微软雅黑" w:hAnsi="微软雅黑"/>
        </w:rPr>
        <w:t>时间：</w:t>
      </w:r>
      <w:r>
        <w:t> 2022年12月20 日9 时 30 分00秒 </w:t>
      </w:r>
      <w:r>
        <w:rPr>
          <w:rFonts w:hint="eastAsia" w:ascii="微软雅黑" w:hAnsi="微软雅黑"/>
        </w:rPr>
        <w:t>（北京时间</w:t>
      </w:r>
      <w:r>
        <w:rPr>
          <w:rFonts w:hint="eastAsia" w:ascii="微软雅黑" w:hAnsi="微软雅黑"/>
          <w:color w:val="9DC3E6" w:themeColor="accent1" w:themeTint="99"/>
          <w14:textFill>
            <w14:solidFill>
              <w14:schemeClr w14:val="accent1">
                <w14:lumMod w14:val="60000"/>
                <w14:lumOff w14:val="40000"/>
              </w14:schemeClr>
            </w14:solidFill>
          </w14:textFill>
        </w:rPr>
        <w:t>）</w:t>
      </w:r>
    </w:p>
    <w:p>
      <w:pPr>
        <w:spacing w:line="440" w:lineRule="exact"/>
        <w:rPr>
          <w:rFonts w:ascii="微软雅黑" w:hAnsi="微软雅黑"/>
        </w:rPr>
      </w:pPr>
      <w:r>
        <w:rPr>
          <w:rFonts w:hint="eastAsia" w:ascii="微软雅黑" w:hAnsi="微软雅黑"/>
        </w:rPr>
        <w:t>提交投标文件地点：</w:t>
      </w:r>
      <w:r>
        <w:t>全国公共资源交易平台（陕西省</w:t>
      </w:r>
      <w:r>
        <w:rPr>
          <w:rFonts w:hint="eastAsia"/>
        </w:rPr>
        <w:t>·</w:t>
      </w:r>
      <w:r>
        <w:t>西安市）网站〖首页〉电子交易平台〉陕西政府采购交易系统〉企业端〗，在线提交</w:t>
      </w:r>
    </w:p>
    <w:p>
      <w:pPr>
        <w:spacing w:line="440" w:lineRule="exact"/>
        <w:rPr>
          <w:rFonts w:ascii="微软雅黑" w:hAnsi="微软雅黑"/>
        </w:rPr>
      </w:pPr>
      <w:r>
        <w:rPr>
          <w:rFonts w:hint="eastAsia" w:ascii="微软雅黑" w:hAnsi="微软雅黑"/>
        </w:rPr>
        <w:t>开标地点：</w:t>
      </w:r>
      <w:r>
        <w:t>本项目将采用“不见面开标”形式。操作说明详见平台〖首页·〉服务指南·〉下载专区〗中的《西安公共资源交易不见面开标大厅供应商操作手册》</w:t>
      </w:r>
    </w:p>
    <w:p>
      <w:pPr>
        <w:spacing w:line="440" w:lineRule="exact"/>
        <w:rPr>
          <w:rFonts w:ascii="微软雅黑" w:hAnsi="微软雅黑"/>
          <w:b/>
          <w:bCs/>
        </w:rPr>
      </w:pPr>
      <w:r>
        <w:rPr>
          <w:b/>
          <w:bCs/>
        </w:rPr>
        <w:t>五、公告期限</w:t>
      </w:r>
    </w:p>
    <w:p>
      <w:pPr>
        <w:spacing w:line="440" w:lineRule="exact"/>
        <w:rPr>
          <w:rFonts w:ascii="微软雅黑" w:hAnsi="微软雅黑"/>
        </w:rPr>
      </w:pPr>
      <w:r>
        <w:rPr>
          <w:rFonts w:hint="eastAsia" w:ascii="微软雅黑" w:hAnsi="微软雅黑"/>
        </w:rPr>
        <w:t>自本公告发布之日起</w:t>
      </w:r>
      <w:r>
        <w:t>5</w:t>
      </w:r>
      <w:r>
        <w:rPr>
          <w:rFonts w:hint="eastAsia" w:ascii="微软雅黑" w:hAnsi="微软雅黑"/>
        </w:rPr>
        <w:t>个工作日。</w:t>
      </w:r>
    </w:p>
    <w:p>
      <w:pPr>
        <w:spacing w:line="440" w:lineRule="exact"/>
        <w:rPr>
          <w:rFonts w:ascii="微软雅黑" w:hAnsi="微软雅黑"/>
          <w:b/>
          <w:bCs/>
        </w:rPr>
      </w:pPr>
      <w:r>
        <w:rPr>
          <w:b/>
          <w:bCs/>
        </w:rPr>
        <w:t>六、其他补充事宜</w:t>
      </w:r>
    </w:p>
    <w:p>
      <w:pPr>
        <w:spacing w:line="440" w:lineRule="exact"/>
      </w:pPr>
      <w:r>
        <w:rPr>
          <w:rFonts w:hint="eastAsia" w:ascii="宋体" w:hAnsi="宋体" w:eastAsia="宋体"/>
          <w:shd w:val="clear" w:color="auto" w:fill="FFFFFF"/>
        </w:rPr>
        <w:t>1.友情提示：</w:t>
      </w:r>
    </w:p>
    <w:p>
      <w:pPr>
        <w:spacing w:line="440" w:lineRule="exact"/>
      </w:pPr>
      <w:r>
        <w:rPr>
          <w:rFonts w:hint="eastAsia" w:ascii="宋体" w:hAnsi="宋体" w:eastAsia="宋体"/>
          <w:shd w:val="clear" w:color="auto" w:fill="FFFFFF"/>
        </w:rPr>
        <w:t>（1）本项目为电子化政府采购项目，供应商初次登录西安市公共资源交易平台前应先完成诚信入库登记、CA认证和企业信息绑定。详见西安市公共资源交易平台〖首页·〉服务指南·〉下载专区〗中的《西安市市级单位电子化政府采购项目投标指南》。</w:t>
      </w:r>
    </w:p>
    <w:p>
      <w:pPr>
        <w:spacing w:line="440" w:lineRule="exact"/>
      </w:pPr>
      <w:r>
        <w:rPr>
          <w:rFonts w:hint="eastAsia" w:ascii="宋体" w:hAnsi="宋体" w:eastAsia="宋体"/>
          <w:shd w:val="clear" w:color="auto" w:fill="FFFFFF"/>
        </w:rPr>
        <w:t>（2）获取招标文件方式：投标人于文件发售时间内登录【全国公共资源交易平台（陕西省·西安市）】网站（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spacing w:line="440" w:lineRule="exact"/>
      </w:pPr>
      <w:r>
        <w:rPr>
          <w:rFonts w:hint="eastAsia" w:ascii="宋体" w:hAnsi="宋体" w:eastAsia="宋体"/>
          <w:shd w:val="clear" w:color="auto" w:fill="FFFFFF"/>
        </w:rPr>
        <w:t>（3）制作电子投标文件（*.SXSTF）需要使用专用制作工具。软件下载及操作说明详见西安市公共资源交易平台〖首页·〉服务指南·〉下载专区〗中的《政府采购项目投标文件制作软件及操作手册》。</w:t>
      </w:r>
    </w:p>
    <w:p>
      <w:pPr>
        <w:spacing w:line="440" w:lineRule="exact"/>
      </w:pPr>
      <w:r>
        <w:rPr>
          <w:rFonts w:hint="eastAsia" w:ascii="宋体" w:hAnsi="宋体" w:eastAsia="宋体"/>
          <w:shd w:val="clear" w:color="auto" w:fill="FFFFFF"/>
        </w:rPr>
        <w:t>（4）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spacing w:line="440" w:lineRule="exact"/>
      </w:pPr>
      <w:r>
        <w:rPr>
          <w:rFonts w:hint="eastAsia" w:ascii="宋体" w:hAnsi="宋体" w:eastAsia="宋体"/>
          <w:shd w:val="clear" w:color="auto" w:fill="FFFFFF"/>
        </w:rPr>
        <w:t>（5）开标形式：本项目采用“不见面开标”形式,供应商可登录全国公共资源交易平台 (陕西省·西安市)网站〖首页〉不见面开标〗系统,在线参加开标过程。操作手册详见〖首页·〉服务指南·〉下载专区〗中的《西安公共资源交易不见面开标大厅供应商操作手册》。</w:t>
      </w:r>
    </w:p>
    <w:p>
      <w:pPr>
        <w:spacing w:line="440" w:lineRule="exact"/>
      </w:pPr>
      <w:r>
        <w:rPr>
          <w:rFonts w:hint="eastAsia" w:ascii="宋体" w:hAnsi="宋体" w:eastAsia="宋体"/>
          <w:shd w:val="clear" w:color="auto" w:fill="FFFFFF"/>
        </w:rPr>
        <w:t>2.按照陕西省财政厅《关于政府采购供应商注册登记有关事项的通知》中的要求,供应商应通过陕西省政府采购网(http://www.ccgp shaanxi.gov.cn/)注册登记,加入陕西省政府采购供应商库。</w:t>
      </w:r>
    </w:p>
    <w:p>
      <w:pPr>
        <w:spacing w:line="440" w:lineRule="exact"/>
        <w:rPr>
          <w:rFonts w:ascii="微软雅黑" w:hAnsi="微软雅黑"/>
          <w:b/>
          <w:bCs/>
        </w:rPr>
      </w:pPr>
      <w:r>
        <w:rPr>
          <w:b/>
          <w:bCs/>
        </w:rPr>
        <w:t>七、对本次招标提出询问，请按以下方式联系。</w:t>
      </w:r>
    </w:p>
    <w:p>
      <w:pPr>
        <w:spacing w:line="440" w:lineRule="exact"/>
      </w:pPr>
      <w:r>
        <w:t>1.采购人信息</w:t>
      </w:r>
    </w:p>
    <w:p>
      <w:pPr>
        <w:spacing w:line="440" w:lineRule="exact"/>
      </w:pPr>
      <w:r>
        <w:t>名称：</w:t>
      </w:r>
      <w:r>
        <w:rPr>
          <w:rFonts w:hint="eastAsia"/>
        </w:rPr>
        <w:t>蓝田县融媒体中心（蓝田县广播电视台）</w:t>
      </w:r>
    </w:p>
    <w:p>
      <w:pPr>
        <w:spacing w:line="440" w:lineRule="exact"/>
      </w:pPr>
      <w:r>
        <w:t>地址：陕西省西安市</w:t>
      </w:r>
      <w:r>
        <w:rPr>
          <w:rFonts w:hint="eastAsia"/>
        </w:rPr>
        <w:t>蓝田县三里镇文姬路2号</w:t>
      </w:r>
    </w:p>
    <w:p>
      <w:pPr>
        <w:spacing w:line="440" w:lineRule="exact"/>
      </w:pPr>
      <w:r>
        <w:rPr>
          <w:rFonts w:hint="eastAsia"/>
        </w:rPr>
        <w:t xml:space="preserve">联系方式：13679222018 </w:t>
      </w:r>
    </w:p>
    <w:p>
      <w:pPr>
        <w:spacing w:line="440" w:lineRule="exact"/>
      </w:pPr>
      <w:r>
        <w:t>2.采购代理机构信息</w:t>
      </w:r>
    </w:p>
    <w:p>
      <w:pPr>
        <w:spacing w:line="440" w:lineRule="exact"/>
      </w:pPr>
      <w:r>
        <w:t>名称：</w:t>
      </w:r>
      <w:r>
        <w:rPr>
          <w:rFonts w:hint="eastAsia" w:ascii="宋体" w:hAnsi="宋体" w:eastAsia="宋体" w:cs="宋体"/>
          <w:lang w:val="zh-CN" w:bidi="zh-CN"/>
        </w:rPr>
        <w:t>陕西中海招标有限公司</w:t>
      </w:r>
    </w:p>
    <w:p>
      <w:pPr>
        <w:spacing w:line="440" w:lineRule="exact"/>
        <w:rPr>
          <w:lang w:bidi="zh-CN"/>
        </w:rPr>
      </w:pPr>
      <w:r>
        <w:t>地址：</w:t>
      </w:r>
      <w:r>
        <w:rPr>
          <w:rFonts w:hint="eastAsia"/>
          <w:lang w:bidi="zh-CN"/>
        </w:rPr>
        <w:t>西安市莲湖区西关正街英达大厦 809 室</w:t>
      </w:r>
    </w:p>
    <w:p>
      <w:pPr>
        <w:spacing w:line="440" w:lineRule="exact"/>
      </w:pPr>
      <w:r>
        <w:t>联系方式：029-89351688-608</w:t>
      </w:r>
    </w:p>
    <w:p>
      <w:pPr>
        <w:spacing w:line="440" w:lineRule="exact"/>
      </w:pPr>
      <w:r>
        <w:t>3.项目联系方式</w:t>
      </w:r>
    </w:p>
    <w:p>
      <w:pPr>
        <w:spacing w:line="440" w:lineRule="exact"/>
      </w:pPr>
      <w:r>
        <w:t>项目联系人：</w:t>
      </w:r>
      <w:r>
        <w:rPr>
          <w:rFonts w:hint="eastAsia"/>
        </w:rPr>
        <w:t>樊静</w:t>
      </w:r>
    </w:p>
    <w:p>
      <w:pPr>
        <w:spacing w:line="440" w:lineRule="exact"/>
      </w:pPr>
      <w:r>
        <w:t>电话：029-89351688-608</w:t>
      </w:r>
    </w:p>
    <w:p>
      <w:pPr>
        <w:spacing w:line="440" w:lineRule="exact"/>
        <w:rPr>
          <w:rFonts w:ascii="宋体" w:hAnsi="宋体" w:eastAsia="宋体"/>
        </w:rPr>
      </w:pPr>
    </w:p>
    <w:p>
      <w:pPr>
        <w:spacing w:line="440" w:lineRule="exact"/>
        <w:rPr>
          <w:rFonts w:ascii="宋体" w:hAnsi="宋体" w:eastAsia="宋体"/>
        </w:rPr>
      </w:pPr>
    </w:p>
    <w:p>
      <w:pPr>
        <w:spacing w:line="440" w:lineRule="exact"/>
        <w:rPr>
          <w:rFonts w:ascii="宋体" w:hAnsi="宋体" w:eastAsia="宋体"/>
        </w:rPr>
      </w:pPr>
    </w:p>
    <w:p>
      <w:pPr>
        <w:spacing w:line="440" w:lineRule="exact"/>
        <w:rPr>
          <w:rFonts w:ascii="宋体" w:hAnsi="宋体" w:eastAsia="宋体"/>
        </w:rPr>
      </w:pPr>
    </w:p>
    <w:p>
      <w:pPr>
        <w:spacing w:line="440" w:lineRule="exact"/>
        <w:rPr>
          <w:rFonts w:ascii="宋体" w:hAnsi="宋体" w:eastAsia="宋体"/>
        </w:rPr>
      </w:pPr>
    </w:p>
    <w:p>
      <w:pPr>
        <w:spacing w:line="440" w:lineRule="exact"/>
        <w:rPr>
          <w:rFonts w:ascii="宋体" w:hAnsi="宋体" w:eastAsia="宋体"/>
        </w:rPr>
      </w:pPr>
    </w:p>
    <w:p>
      <w:pPr>
        <w:pStyle w:val="3"/>
        <w:spacing w:line="240" w:lineRule="auto"/>
        <w:rPr>
          <w:rFonts w:ascii="宋体" w:hAnsi="宋体" w:eastAsia="宋体"/>
        </w:rPr>
      </w:pPr>
      <w:bookmarkStart w:id="12" w:name="_Toc120103808"/>
      <w:r>
        <w:rPr>
          <w:rFonts w:ascii="宋体" w:hAnsi="宋体" w:eastAsia="宋体"/>
        </w:rPr>
        <w:t>第二章</w:t>
      </w:r>
      <w:r>
        <w:rPr>
          <w:rFonts w:hint="eastAsia" w:ascii="宋体" w:hAnsi="宋体" w:eastAsia="宋体"/>
        </w:rPr>
        <w:t xml:space="preserve"> </w:t>
      </w:r>
      <w:r>
        <w:rPr>
          <w:rFonts w:ascii="宋体" w:hAnsi="宋体" w:eastAsia="宋体"/>
        </w:rPr>
        <w:t xml:space="preserve"> 供应商须知</w:t>
      </w:r>
      <w:bookmarkEnd w:id="4"/>
      <w:bookmarkEnd w:id="5"/>
      <w:bookmarkEnd w:id="6"/>
      <w:bookmarkEnd w:id="7"/>
      <w:bookmarkEnd w:id="8"/>
      <w:bookmarkEnd w:id="9"/>
      <w:bookmarkEnd w:id="10"/>
      <w:bookmarkEnd w:id="11"/>
      <w:bookmarkEnd w:id="12"/>
    </w:p>
    <w:p>
      <w:pPr>
        <w:rPr>
          <w:sz w:val="28"/>
          <w:szCs w:val="28"/>
        </w:rPr>
      </w:pPr>
      <w:r>
        <w:rPr>
          <w:rFonts w:hint="eastAsia"/>
          <w:sz w:val="28"/>
          <w:szCs w:val="28"/>
        </w:rPr>
        <w:t>〖前附表〗</w:t>
      </w:r>
    </w:p>
    <w:tbl>
      <w:tblPr>
        <w:tblStyle w:val="40"/>
        <w:tblW w:w="948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3118"/>
        <w:gridCol w:w="538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b/>
                <w:bCs/>
                <w:sz w:val="28"/>
                <w:szCs w:val="28"/>
              </w:rPr>
            </w:pPr>
            <w:r>
              <w:rPr>
                <w:rFonts w:hint="eastAsia" w:ascii="宋体" w:hAnsi="宋体" w:eastAsia="宋体"/>
                <w:b/>
                <w:bCs/>
                <w:sz w:val="28"/>
                <w:szCs w:val="28"/>
              </w:rPr>
              <w:t>序号</w:t>
            </w:r>
          </w:p>
        </w:tc>
        <w:tc>
          <w:tcPr>
            <w:tcW w:w="3118"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b/>
                <w:bCs/>
                <w:sz w:val="28"/>
                <w:szCs w:val="28"/>
              </w:rPr>
            </w:pPr>
            <w:r>
              <w:rPr>
                <w:rFonts w:hint="eastAsia" w:ascii="宋体" w:hAnsi="宋体" w:eastAsia="宋体"/>
                <w:b/>
                <w:bCs/>
                <w:sz w:val="28"/>
                <w:szCs w:val="28"/>
              </w:rPr>
              <w:t>内容</w:t>
            </w:r>
          </w:p>
        </w:tc>
        <w:tc>
          <w:tcPr>
            <w:tcW w:w="5387"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b/>
                <w:bCs/>
                <w:sz w:val="28"/>
                <w:szCs w:val="28"/>
              </w:rPr>
            </w:pPr>
            <w:r>
              <w:rPr>
                <w:rFonts w:hint="eastAsia" w:ascii="宋体" w:hAnsi="宋体" w:eastAsia="宋体"/>
                <w:b/>
                <w:bCs/>
                <w:sz w:val="28"/>
                <w:szCs w:val="28"/>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pPr>
              <w:jc w:val="center"/>
              <w:rPr>
                <w:rFonts w:ascii="宋体" w:hAnsi="宋体" w:eastAsia="宋体"/>
                <w:sz w:val="28"/>
                <w:szCs w:val="28"/>
              </w:rPr>
            </w:pPr>
            <w:r>
              <w:rPr>
                <w:rFonts w:hint="eastAsia" w:ascii="宋体" w:hAnsi="宋体" w:eastAsia="宋体"/>
                <w:sz w:val="28"/>
                <w:szCs w:val="28"/>
              </w:rPr>
              <w:t>1</w:t>
            </w:r>
          </w:p>
        </w:tc>
        <w:tc>
          <w:tcPr>
            <w:tcW w:w="3118" w:type="dxa"/>
            <w:tcBorders>
              <w:top w:val="single" w:color="auto" w:sz="2" w:space="0"/>
            </w:tcBorders>
            <w:shd w:val="clear" w:color="auto" w:fill="auto"/>
            <w:vAlign w:val="center"/>
          </w:tcPr>
          <w:p>
            <w:pPr>
              <w:jc w:val="center"/>
              <w:rPr>
                <w:rFonts w:ascii="宋体" w:hAnsi="宋体" w:eastAsia="宋体"/>
                <w:sz w:val="28"/>
                <w:szCs w:val="28"/>
              </w:rPr>
            </w:pPr>
            <w:r>
              <w:rPr>
                <w:rFonts w:hint="eastAsia" w:ascii="宋体" w:hAnsi="宋体" w:eastAsia="宋体"/>
                <w:sz w:val="28"/>
                <w:szCs w:val="28"/>
              </w:rPr>
              <w:t>项目名称</w:t>
            </w:r>
          </w:p>
        </w:tc>
        <w:tc>
          <w:tcPr>
            <w:tcW w:w="5387" w:type="dxa"/>
            <w:tcBorders>
              <w:top w:val="single" w:color="auto" w:sz="2" w:space="0"/>
            </w:tcBorders>
            <w:shd w:val="clear" w:color="auto" w:fill="auto"/>
            <w:vAlign w:val="center"/>
          </w:tcPr>
          <w:p>
            <w:pPr>
              <w:jc w:val="center"/>
              <w:rPr>
                <w:rFonts w:ascii="宋体" w:hAnsi="宋体" w:eastAsia="宋体"/>
                <w:sz w:val="28"/>
                <w:szCs w:val="28"/>
              </w:rPr>
            </w:pPr>
            <w:r>
              <w:rPr>
                <w:rFonts w:hint="eastAsia" w:ascii="宋体" w:hAnsi="宋体" w:eastAsia="宋体"/>
                <w:sz w:val="28"/>
                <w:szCs w:val="28"/>
              </w:rPr>
              <w:t>蓝田县融媒体中心（蓝田县广播电视台）2022年陕西省县级应急广播体系建设</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2</w:t>
            </w:r>
          </w:p>
        </w:tc>
        <w:tc>
          <w:tcPr>
            <w:tcW w:w="311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项目编号</w:t>
            </w:r>
          </w:p>
        </w:tc>
        <w:tc>
          <w:tcPr>
            <w:tcW w:w="5387"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ZHZB202</w:t>
            </w:r>
            <w:r>
              <w:rPr>
                <w:rFonts w:ascii="宋体" w:hAnsi="宋体" w:eastAsia="宋体"/>
                <w:sz w:val="28"/>
                <w:szCs w:val="28"/>
              </w:rPr>
              <w:t>2</w:t>
            </w:r>
            <w:r>
              <w:rPr>
                <w:rFonts w:hint="eastAsia" w:ascii="宋体" w:hAnsi="宋体" w:eastAsia="宋体"/>
                <w:sz w:val="28"/>
                <w:szCs w:val="28"/>
              </w:rPr>
              <w:t>-HW-11</w:t>
            </w:r>
            <w:r>
              <w:rPr>
                <w:rFonts w:ascii="宋体" w:hAnsi="宋体" w:eastAsia="宋体"/>
                <w:sz w:val="28"/>
                <w:szCs w:val="28"/>
              </w:rPr>
              <w:t>2</w:t>
            </w:r>
            <w:r>
              <w:rPr>
                <w:rFonts w:hint="eastAsia" w:ascii="宋体" w:hAnsi="宋体" w:eastAsia="宋体"/>
                <w:sz w:val="28"/>
                <w:szCs w:val="28"/>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3</w:t>
            </w:r>
          </w:p>
        </w:tc>
        <w:tc>
          <w:tcPr>
            <w:tcW w:w="311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采购人</w:t>
            </w:r>
          </w:p>
        </w:tc>
        <w:tc>
          <w:tcPr>
            <w:tcW w:w="5387"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蓝田县融媒体中心（蓝田县广播电视台）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4</w:t>
            </w:r>
          </w:p>
        </w:tc>
        <w:tc>
          <w:tcPr>
            <w:tcW w:w="311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采购代理机构</w:t>
            </w:r>
          </w:p>
        </w:tc>
        <w:tc>
          <w:tcPr>
            <w:tcW w:w="5387"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lang w:bidi="zh-CN"/>
              </w:rPr>
              <w:t>陕西中海招标有限公司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5</w:t>
            </w:r>
          </w:p>
        </w:tc>
        <w:tc>
          <w:tcPr>
            <w:tcW w:w="311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交货期</w:t>
            </w:r>
          </w:p>
        </w:tc>
        <w:tc>
          <w:tcPr>
            <w:tcW w:w="5387"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lang w:bidi="zh-CN"/>
              </w:rPr>
              <w:t>自合同签订后60个日历日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6</w:t>
            </w:r>
          </w:p>
        </w:tc>
        <w:tc>
          <w:tcPr>
            <w:tcW w:w="311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质保期</w:t>
            </w:r>
          </w:p>
        </w:tc>
        <w:tc>
          <w:tcPr>
            <w:tcW w:w="5387"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一年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7</w:t>
            </w:r>
          </w:p>
        </w:tc>
        <w:tc>
          <w:tcPr>
            <w:tcW w:w="311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是否预留份额</w:t>
            </w:r>
          </w:p>
          <w:p>
            <w:pPr>
              <w:jc w:val="center"/>
              <w:rPr>
                <w:rFonts w:ascii="宋体" w:hAnsi="宋体" w:eastAsia="宋体"/>
                <w:sz w:val="28"/>
                <w:szCs w:val="28"/>
              </w:rPr>
            </w:pPr>
            <w:r>
              <w:rPr>
                <w:rFonts w:hint="eastAsia" w:ascii="宋体" w:hAnsi="宋体" w:eastAsia="宋体"/>
                <w:sz w:val="28"/>
                <w:szCs w:val="28"/>
              </w:rPr>
              <w:t>专门面向中小企业采购</w:t>
            </w:r>
          </w:p>
        </w:tc>
        <w:tc>
          <w:tcPr>
            <w:tcW w:w="5387" w:type="dxa"/>
            <w:shd w:val="clear" w:color="auto" w:fill="auto"/>
            <w:vAlign w:val="center"/>
          </w:tcPr>
          <w:p>
            <w:pPr>
              <w:jc w:val="center"/>
              <w:rPr>
                <w:rFonts w:ascii="宋体" w:hAnsi="宋体" w:eastAsia="宋体"/>
                <w:sz w:val="28"/>
                <w:szCs w:val="28"/>
              </w:rPr>
            </w:pPr>
            <w:sdt>
              <w:sdtPr>
                <w:rPr>
                  <w:rFonts w:hint="eastAsia" w:ascii="宋体" w:hAnsi="宋体" w:eastAsia="宋体"/>
                  <w:sz w:val="28"/>
                  <w:szCs w:val="28"/>
                </w:rPr>
                <w:id w:val="2139916130"/>
                <w14:checkbox>
                  <w14:checked w14:val="0"/>
                  <w14:checkedState w14:val="2611" w14:font="MS Gothic"/>
                  <w14:uncheckedState w14:val="2610" w14:font="MS Gothic"/>
                </w14:checkbox>
              </w:sdtPr>
              <w:sdtEndPr>
                <w:rPr>
                  <w:rFonts w:hint="eastAsia" w:ascii="宋体" w:hAnsi="宋体" w:eastAsia="宋体"/>
                  <w:sz w:val="28"/>
                  <w:szCs w:val="28"/>
                </w:rPr>
              </w:sdtEndPr>
              <w:sdtContent>
                <w:r>
                  <w:rPr>
                    <w:rFonts w:hint="eastAsia" w:ascii="MS Gothic" w:hAnsi="MS Gothic" w:eastAsia="MS Gothic"/>
                    <w:sz w:val="28"/>
                    <w:szCs w:val="28"/>
                  </w:rPr>
                  <w:t>☐</w:t>
                </w:r>
              </w:sdtContent>
            </w:sdt>
            <w:r>
              <w:rPr>
                <w:rFonts w:hint="eastAsia" w:ascii="宋体" w:hAnsi="宋体" w:eastAsia="宋体"/>
                <w:sz w:val="28"/>
                <w:szCs w:val="28"/>
              </w:rPr>
              <w:t xml:space="preserve">是  </w:t>
            </w:r>
            <w:sdt>
              <w:sdtPr>
                <w:rPr>
                  <w:rFonts w:hint="eastAsia" w:ascii="宋体" w:hAnsi="宋体" w:eastAsia="宋体"/>
                  <w:sz w:val="28"/>
                  <w:szCs w:val="28"/>
                </w:rPr>
                <w:id w:val="-2072024220"/>
                <w14:checkbox>
                  <w14:checked w14:val="1"/>
                  <w14:checkedState w14:val="2611" w14:font="MS Gothic"/>
                  <w14:uncheckedState w14:val="2610" w14:font="MS Gothic"/>
                </w14:checkbox>
              </w:sdtPr>
              <w:sdtEndPr>
                <w:rPr>
                  <w:rFonts w:hint="eastAsia" w:ascii="宋体" w:hAnsi="宋体" w:eastAsia="宋体"/>
                  <w:sz w:val="28"/>
                  <w:szCs w:val="28"/>
                </w:rPr>
              </w:sdtEndPr>
              <w:sdtContent>
                <w:r>
                  <w:rPr>
                    <w:rFonts w:hint="eastAsia" w:ascii="MS Gothic" w:hAnsi="MS Gothic" w:eastAsia="MS Gothic"/>
                    <w:sz w:val="28"/>
                    <w:szCs w:val="28"/>
                  </w:rPr>
                  <w:t>☑</w:t>
                </w:r>
              </w:sdtContent>
            </w:sdt>
            <w:r>
              <w:rPr>
                <w:rFonts w:hint="eastAsia" w:ascii="宋体" w:hAnsi="宋体" w:eastAsia="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restart"/>
            <w:shd w:val="clear" w:color="auto" w:fill="auto"/>
            <w:vAlign w:val="center"/>
          </w:tcPr>
          <w:p>
            <w:pPr>
              <w:jc w:val="center"/>
              <w:rPr>
                <w:rFonts w:ascii="宋体" w:hAnsi="宋体" w:eastAsia="宋体"/>
                <w:sz w:val="28"/>
                <w:szCs w:val="28"/>
              </w:rPr>
            </w:pPr>
            <w:r>
              <w:rPr>
                <w:rFonts w:hint="eastAsia" w:ascii="宋体" w:hAnsi="宋体" w:eastAsia="宋体"/>
                <w:sz w:val="28"/>
                <w:szCs w:val="28"/>
              </w:rPr>
              <w:t>8</w:t>
            </w:r>
          </w:p>
        </w:tc>
        <w:tc>
          <w:tcPr>
            <w:tcW w:w="311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预算金额</w:t>
            </w:r>
          </w:p>
        </w:tc>
        <w:tc>
          <w:tcPr>
            <w:tcW w:w="5387" w:type="dxa"/>
            <w:shd w:val="clear" w:color="auto" w:fill="auto"/>
            <w:vAlign w:val="center"/>
          </w:tcPr>
          <w:p>
            <w:pPr>
              <w:jc w:val="center"/>
              <w:rPr>
                <w:rFonts w:ascii="宋体" w:hAnsi="宋体" w:eastAsia="宋体"/>
                <w:sz w:val="28"/>
                <w:szCs w:val="28"/>
                <w:lang w:bidi="zh-CN"/>
              </w:rPr>
            </w:pPr>
            <w:r>
              <w:rPr>
                <w:rFonts w:hint="eastAsia" w:ascii="宋体" w:hAnsi="宋体" w:eastAsia="宋体"/>
                <w:sz w:val="28"/>
                <w:szCs w:val="28"/>
                <w:lang w:bidi="zh-CN"/>
              </w:rPr>
              <w:t>￥357</w:t>
            </w:r>
            <w:r>
              <w:rPr>
                <w:rFonts w:ascii="宋体" w:hAnsi="宋体" w:eastAsia="宋体"/>
                <w:sz w:val="28"/>
                <w:szCs w:val="28"/>
                <w:lang w:bidi="zh-CN"/>
              </w:rPr>
              <w:t>0000.00</w:t>
            </w:r>
            <w:r>
              <w:rPr>
                <w:rFonts w:hint="eastAsia" w:ascii="宋体" w:hAnsi="宋体" w:eastAsia="宋体"/>
                <w:sz w:val="28"/>
                <w:szCs w:val="28"/>
                <w:lang w:bidi="zh-CN"/>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pPr>
              <w:jc w:val="center"/>
              <w:rPr>
                <w:rFonts w:ascii="宋体" w:hAnsi="宋体" w:eastAsia="宋体"/>
                <w:sz w:val="28"/>
                <w:szCs w:val="28"/>
              </w:rPr>
            </w:pPr>
          </w:p>
        </w:tc>
        <w:tc>
          <w:tcPr>
            <w:tcW w:w="311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最高限价</w:t>
            </w:r>
          </w:p>
        </w:tc>
        <w:tc>
          <w:tcPr>
            <w:tcW w:w="5387" w:type="dxa"/>
            <w:shd w:val="clear" w:color="auto" w:fill="auto"/>
            <w:vAlign w:val="center"/>
          </w:tcPr>
          <w:p>
            <w:pPr>
              <w:jc w:val="center"/>
              <w:rPr>
                <w:rFonts w:ascii="宋体" w:hAnsi="宋体" w:eastAsia="宋体"/>
                <w:sz w:val="28"/>
                <w:szCs w:val="28"/>
                <w:lang w:bidi="zh-CN"/>
              </w:rPr>
            </w:pPr>
            <w:r>
              <w:rPr>
                <w:rFonts w:hint="eastAsia" w:ascii="宋体" w:hAnsi="宋体" w:eastAsia="宋体"/>
                <w:sz w:val="28"/>
                <w:szCs w:val="28"/>
                <w:lang w:bidi="zh-CN"/>
              </w:rPr>
              <w:t>￥357</w:t>
            </w:r>
            <w:r>
              <w:rPr>
                <w:rFonts w:ascii="宋体" w:hAnsi="宋体" w:eastAsia="宋体"/>
                <w:sz w:val="28"/>
                <w:szCs w:val="28"/>
                <w:lang w:bidi="zh-CN"/>
              </w:rPr>
              <w:t>0000.00</w:t>
            </w:r>
            <w:r>
              <w:rPr>
                <w:rFonts w:hint="eastAsia" w:ascii="宋体" w:hAnsi="宋体" w:eastAsia="宋体"/>
                <w:sz w:val="28"/>
                <w:szCs w:val="28"/>
                <w:lang w:bidi="zh-CN"/>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9</w:t>
            </w:r>
          </w:p>
        </w:tc>
        <w:tc>
          <w:tcPr>
            <w:tcW w:w="311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是否接受联合体</w:t>
            </w:r>
          </w:p>
        </w:tc>
        <w:tc>
          <w:tcPr>
            <w:tcW w:w="5387" w:type="dxa"/>
            <w:shd w:val="clear" w:color="auto" w:fill="auto"/>
            <w:vAlign w:val="center"/>
          </w:tcPr>
          <w:p>
            <w:pPr>
              <w:jc w:val="center"/>
              <w:rPr>
                <w:rFonts w:ascii="宋体" w:hAnsi="宋体" w:eastAsia="宋体"/>
                <w:sz w:val="28"/>
                <w:szCs w:val="28"/>
              </w:rPr>
            </w:pPr>
            <w:sdt>
              <w:sdtPr>
                <w:rPr>
                  <w:rFonts w:hint="eastAsia" w:ascii="宋体" w:hAnsi="宋体" w:eastAsia="宋体"/>
                  <w:sz w:val="28"/>
                  <w:szCs w:val="28"/>
                </w:rPr>
                <w:id w:val="608160193"/>
                <w14:checkbox>
                  <w14:checked w14:val="0"/>
                  <w14:checkedState w14:val="2611" w14:font="MS Gothic"/>
                  <w14:uncheckedState w14:val="2610" w14:font="MS Gothic"/>
                </w14:checkbox>
              </w:sdtPr>
              <w:sdtEndPr>
                <w:rPr>
                  <w:rFonts w:hint="eastAsia" w:ascii="宋体" w:hAnsi="宋体" w:eastAsia="宋体"/>
                  <w:sz w:val="28"/>
                  <w:szCs w:val="28"/>
                </w:rPr>
              </w:sdtEndPr>
              <w:sdtContent>
                <w:r>
                  <w:rPr>
                    <w:rFonts w:ascii="Segoe UI Symbol" w:hAnsi="Segoe UI Symbol" w:eastAsia="宋体" w:cs="Segoe UI Symbol"/>
                    <w:sz w:val="28"/>
                    <w:szCs w:val="28"/>
                  </w:rPr>
                  <w:t>☐</w:t>
                </w:r>
              </w:sdtContent>
            </w:sdt>
            <w:r>
              <w:rPr>
                <w:rFonts w:hint="eastAsia" w:ascii="宋体" w:hAnsi="宋体" w:eastAsia="宋体"/>
                <w:sz w:val="28"/>
                <w:szCs w:val="28"/>
              </w:rPr>
              <w:t xml:space="preserve">是  </w:t>
            </w:r>
            <w:sdt>
              <w:sdtPr>
                <w:rPr>
                  <w:rFonts w:hint="eastAsia" w:ascii="宋体" w:hAnsi="宋体" w:eastAsia="宋体"/>
                  <w:sz w:val="28"/>
                  <w:szCs w:val="28"/>
                </w:rPr>
                <w:id w:val="1317929335"/>
                <w14:checkbox>
                  <w14:checked w14:val="1"/>
                  <w14:checkedState w14:val="2611" w14:font="MS Gothic"/>
                  <w14:uncheckedState w14:val="2610" w14:font="MS Gothic"/>
                </w14:checkbox>
              </w:sdtPr>
              <w:sdtEndPr>
                <w:rPr>
                  <w:rFonts w:hint="eastAsia" w:ascii="宋体" w:hAnsi="宋体" w:eastAsia="宋体"/>
                  <w:sz w:val="28"/>
                  <w:szCs w:val="28"/>
                </w:rPr>
              </w:sdtEndPr>
              <w:sdtContent>
                <w:r>
                  <w:rPr>
                    <w:rFonts w:hint="eastAsia" w:ascii="MS Gothic" w:hAnsi="MS Gothic" w:eastAsia="MS Gothic"/>
                    <w:sz w:val="28"/>
                    <w:szCs w:val="28"/>
                  </w:rPr>
                  <w:t>☑</w:t>
                </w:r>
              </w:sdtContent>
            </w:sdt>
            <w:r>
              <w:rPr>
                <w:rFonts w:hint="eastAsia" w:ascii="宋体" w:hAnsi="宋体" w:eastAsia="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0</w:t>
            </w:r>
          </w:p>
        </w:tc>
        <w:tc>
          <w:tcPr>
            <w:tcW w:w="311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是否允许进口产品</w:t>
            </w:r>
          </w:p>
        </w:tc>
        <w:tc>
          <w:tcPr>
            <w:tcW w:w="5387" w:type="dxa"/>
            <w:shd w:val="clear" w:color="auto" w:fill="auto"/>
            <w:vAlign w:val="center"/>
          </w:tcPr>
          <w:p>
            <w:pPr>
              <w:jc w:val="center"/>
              <w:rPr>
                <w:rFonts w:ascii="宋体" w:hAnsi="宋体" w:eastAsia="宋体"/>
                <w:sz w:val="28"/>
                <w:szCs w:val="28"/>
              </w:rPr>
            </w:pPr>
            <w:sdt>
              <w:sdtPr>
                <w:rPr>
                  <w:rFonts w:hint="eastAsia" w:ascii="宋体" w:hAnsi="宋体" w:eastAsia="宋体"/>
                  <w:sz w:val="28"/>
                  <w:szCs w:val="28"/>
                </w:rPr>
                <w:id w:val="148570254"/>
                <w14:checkbox>
                  <w14:checked w14:val="0"/>
                  <w14:checkedState w14:val="2611" w14:font="MS Gothic"/>
                  <w14:uncheckedState w14:val="2610" w14:font="MS Gothic"/>
                </w14:checkbox>
              </w:sdtPr>
              <w:sdtEndPr>
                <w:rPr>
                  <w:rFonts w:hint="eastAsia" w:ascii="宋体" w:hAnsi="宋体" w:eastAsia="宋体"/>
                  <w:sz w:val="28"/>
                  <w:szCs w:val="28"/>
                </w:rPr>
              </w:sdtEndPr>
              <w:sdtContent>
                <w:r>
                  <w:rPr>
                    <w:rFonts w:ascii="Segoe UI Symbol" w:hAnsi="Segoe UI Symbol" w:eastAsia="宋体" w:cs="Segoe UI Symbol"/>
                    <w:sz w:val="28"/>
                    <w:szCs w:val="28"/>
                  </w:rPr>
                  <w:t>☐</w:t>
                </w:r>
              </w:sdtContent>
            </w:sdt>
            <w:r>
              <w:rPr>
                <w:rFonts w:hint="eastAsia" w:ascii="宋体" w:hAnsi="宋体" w:eastAsia="宋体"/>
                <w:sz w:val="28"/>
                <w:szCs w:val="28"/>
              </w:rPr>
              <w:t xml:space="preserve">是  </w:t>
            </w:r>
            <w:sdt>
              <w:sdtPr>
                <w:rPr>
                  <w:rFonts w:hint="eastAsia" w:ascii="宋体" w:hAnsi="宋体" w:eastAsia="宋体"/>
                  <w:sz w:val="28"/>
                  <w:szCs w:val="28"/>
                </w:rPr>
                <w:id w:val="-1689594843"/>
                <w14:checkbox>
                  <w14:checked w14:val="1"/>
                  <w14:checkedState w14:val="2611" w14:font="MS Gothic"/>
                  <w14:uncheckedState w14:val="2610" w14:font="MS Gothic"/>
                </w14:checkbox>
              </w:sdtPr>
              <w:sdtEndPr>
                <w:rPr>
                  <w:rFonts w:hint="eastAsia" w:ascii="宋体" w:hAnsi="宋体" w:eastAsia="宋体"/>
                  <w:sz w:val="28"/>
                  <w:szCs w:val="28"/>
                </w:rPr>
              </w:sdtEndPr>
              <w:sdtContent>
                <w:r>
                  <w:rPr>
                    <w:rFonts w:hint="eastAsia" w:ascii="MS Gothic" w:hAnsi="MS Gothic" w:eastAsia="MS Gothic"/>
                    <w:sz w:val="28"/>
                    <w:szCs w:val="28"/>
                  </w:rPr>
                  <w:t>☑</w:t>
                </w:r>
              </w:sdtContent>
            </w:sdt>
            <w:r>
              <w:rPr>
                <w:rFonts w:hint="eastAsia" w:ascii="宋体" w:hAnsi="宋体" w:eastAsia="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1</w:t>
            </w:r>
          </w:p>
        </w:tc>
        <w:tc>
          <w:tcPr>
            <w:tcW w:w="311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是否允许大中企业</w:t>
            </w:r>
          </w:p>
          <w:p>
            <w:pPr>
              <w:jc w:val="center"/>
              <w:rPr>
                <w:rFonts w:ascii="宋体" w:hAnsi="宋体" w:eastAsia="宋体"/>
                <w:sz w:val="28"/>
                <w:szCs w:val="28"/>
              </w:rPr>
            </w:pPr>
            <w:r>
              <w:rPr>
                <w:rFonts w:hint="eastAsia" w:ascii="宋体" w:hAnsi="宋体" w:eastAsia="宋体"/>
                <w:sz w:val="28"/>
                <w:szCs w:val="28"/>
              </w:rPr>
              <w:t>向小微企业分包</w:t>
            </w:r>
          </w:p>
        </w:tc>
        <w:tc>
          <w:tcPr>
            <w:tcW w:w="5387" w:type="dxa"/>
            <w:shd w:val="clear" w:color="auto" w:fill="auto"/>
            <w:vAlign w:val="center"/>
          </w:tcPr>
          <w:p>
            <w:pPr>
              <w:jc w:val="center"/>
              <w:rPr>
                <w:rFonts w:ascii="宋体" w:hAnsi="宋体" w:eastAsia="宋体"/>
                <w:sz w:val="28"/>
                <w:szCs w:val="28"/>
              </w:rPr>
            </w:pPr>
            <w:sdt>
              <w:sdtPr>
                <w:rPr>
                  <w:rFonts w:hint="eastAsia" w:ascii="宋体" w:hAnsi="宋体" w:eastAsia="宋体"/>
                  <w:sz w:val="28"/>
                  <w:szCs w:val="28"/>
                </w:rPr>
                <w:id w:val="365725084"/>
                <w14:checkbox>
                  <w14:checked w14:val="0"/>
                  <w14:checkedState w14:val="2611" w14:font="MS Gothic"/>
                  <w14:uncheckedState w14:val="2610" w14:font="MS Gothic"/>
                </w14:checkbox>
              </w:sdtPr>
              <w:sdtEndPr>
                <w:rPr>
                  <w:rFonts w:hint="eastAsia" w:ascii="宋体" w:hAnsi="宋体" w:eastAsia="宋体"/>
                  <w:sz w:val="28"/>
                  <w:szCs w:val="28"/>
                </w:rPr>
              </w:sdtEndPr>
              <w:sdtContent>
                <w:r>
                  <w:rPr>
                    <w:rFonts w:hint="eastAsia" w:ascii="MS Gothic" w:hAnsi="MS Gothic" w:eastAsia="MS Gothic"/>
                    <w:sz w:val="28"/>
                    <w:szCs w:val="28"/>
                  </w:rPr>
                  <w:t>☐</w:t>
                </w:r>
              </w:sdtContent>
            </w:sdt>
            <w:r>
              <w:rPr>
                <w:rFonts w:hint="eastAsia" w:ascii="宋体" w:hAnsi="宋体" w:eastAsia="宋体"/>
                <w:sz w:val="28"/>
                <w:szCs w:val="28"/>
              </w:rPr>
              <w:t xml:space="preserve">是  </w:t>
            </w:r>
            <w:sdt>
              <w:sdtPr>
                <w:rPr>
                  <w:rFonts w:hint="eastAsia" w:ascii="宋体" w:hAnsi="宋体" w:eastAsia="宋体"/>
                  <w:sz w:val="28"/>
                  <w:szCs w:val="28"/>
                </w:rPr>
                <w:id w:val="-54473539"/>
                <w14:checkbox>
                  <w14:checked w14:val="1"/>
                  <w14:checkedState w14:val="2611" w14:font="MS Gothic"/>
                  <w14:uncheckedState w14:val="2610" w14:font="MS Gothic"/>
                </w14:checkbox>
              </w:sdtPr>
              <w:sdtEndPr>
                <w:rPr>
                  <w:rFonts w:hint="eastAsia" w:ascii="宋体" w:hAnsi="宋体" w:eastAsia="宋体"/>
                  <w:sz w:val="28"/>
                  <w:szCs w:val="28"/>
                </w:rPr>
              </w:sdtEndPr>
              <w:sdtContent>
                <w:r>
                  <w:rPr>
                    <w:rFonts w:hint="eastAsia" w:ascii="MS Gothic" w:hAnsi="MS Gothic" w:eastAsia="MS Gothic"/>
                    <w:sz w:val="28"/>
                    <w:szCs w:val="28"/>
                  </w:rPr>
                  <w:t>☑</w:t>
                </w:r>
              </w:sdtContent>
            </w:sdt>
            <w:r>
              <w:rPr>
                <w:rFonts w:hint="eastAsia" w:ascii="宋体" w:hAnsi="宋体" w:eastAsia="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2</w:t>
            </w:r>
          </w:p>
        </w:tc>
        <w:tc>
          <w:tcPr>
            <w:tcW w:w="311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投标保证金</w:t>
            </w:r>
          </w:p>
        </w:tc>
        <w:tc>
          <w:tcPr>
            <w:tcW w:w="5387" w:type="dxa"/>
            <w:shd w:val="clear" w:color="auto" w:fill="auto"/>
            <w:vAlign w:val="center"/>
          </w:tcPr>
          <w:p>
            <w:pPr>
              <w:spacing w:line="240" w:lineRule="atLeast"/>
              <w:jc w:val="center"/>
              <w:rPr>
                <w:rFonts w:ascii="宋体" w:hAnsi="宋体" w:eastAsia="宋体"/>
                <w:sz w:val="28"/>
                <w:szCs w:val="28"/>
              </w:rPr>
            </w:pPr>
            <w:r>
              <w:rPr>
                <w:rFonts w:hint="eastAsia" w:ascii="宋体" w:hAnsi="宋体" w:eastAsia="宋体"/>
                <w:sz w:val="28"/>
                <w:szCs w:val="28"/>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3</w:t>
            </w:r>
          </w:p>
        </w:tc>
        <w:tc>
          <w:tcPr>
            <w:tcW w:w="311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履约保证金</w:t>
            </w:r>
          </w:p>
        </w:tc>
        <w:tc>
          <w:tcPr>
            <w:tcW w:w="5387"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4</w:t>
            </w:r>
          </w:p>
        </w:tc>
        <w:tc>
          <w:tcPr>
            <w:tcW w:w="311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投标报价</w:t>
            </w:r>
          </w:p>
        </w:tc>
        <w:tc>
          <w:tcPr>
            <w:tcW w:w="5387"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投标总价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5</w:t>
            </w:r>
          </w:p>
        </w:tc>
        <w:tc>
          <w:tcPr>
            <w:tcW w:w="311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投标文件份数</w:t>
            </w:r>
          </w:p>
        </w:tc>
        <w:tc>
          <w:tcPr>
            <w:tcW w:w="5387" w:type="dxa"/>
            <w:shd w:val="clear" w:color="auto" w:fill="auto"/>
            <w:vAlign w:val="center"/>
          </w:tcPr>
          <w:p>
            <w:pPr>
              <w:jc w:val="both"/>
              <w:rPr>
                <w:rFonts w:ascii="宋体" w:hAnsi="宋体" w:eastAsia="宋体"/>
                <w:sz w:val="28"/>
                <w:szCs w:val="28"/>
              </w:rPr>
            </w:pPr>
            <w:r>
              <w:rPr>
                <w:rFonts w:ascii="宋体" w:hAnsi="宋体" w:eastAsia="宋体"/>
                <w:sz w:val="28"/>
                <w:szCs w:val="28"/>
              </w:rPr>
              <w:t>投标供应商无需提供； 中标供应商在领取中标通知书时提供一正两副纸质 投标文件及电子投标文件一份（U 盘或移动硬盘； 电子投标文件为 Word 版本和 PDF 版本，PDF 文件为 签字、盖章的完整正本扫描件）。 装订：纸质投标文件采用书籍（胶装）方式装订成 册，与电子投标文件一致的签字、盖章的完整版本。</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6</w:t>
            </w:r>
          </w:p>
        </w:tc>
        <w:tc>
          <w:tcPr>
            <w:tcW w:w="311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现场踏勘和集中答疑</w:t>
            </w:r>
          </w:p>
        </w:tc>
        <w:tc>
          <w:tcPr>
            <w:tcW w:w="5387" w:type="dxa"/>
            <w:shd w:val="clear" w:color="auto" w:fill="auto"/>
            <w:vAlign w:val="center"/>
          </w:tcPr>
          <w:p>
            <w:pPr>
              <w:jc w:val="both"/>
              <w:rPr>
                <w:rFonts w:ascii="宋体" w:hAnsi="宋体" w:eastAsia="宋体"/>
                <w:sz w:val="28"/>
                <w:szCs w:val="28"/>
              </w:rPr>
            </w:pPr>
            <w:r>
              <w:rPr>
                <w:rFonts w:hint="eastAsia" w:ascii="宋体" w:hAnsi="宋体" w:eastAsia="宋体"/>
                <w:sz w:val="28"/>
                <w:szCs w:val="28"/>
              </w:rPr>
              <w:t>不组织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sz w:val="28"/>
                <w:szCs w:val="28"/>
              </w:rPr>
            </w:pPr>
            <w:r>
              <w:rPr>
                <w:rFonts w:ascii="宋体" w:hAnsi="宋体" w:eastAsia="宋体"/>
                <w:sz w:val="28"/>
                <w:szCs w:val="28"/>
              </w:rPr>
              <w:t>17</w:t>
            </w:r>
          </w:p>
        </w:tc>
        <w:tc>
          <w:tcPr>
            <w:tcW w:w="3118" w:type="dxa"/>
            <w:shd w:val="clear" w:color="auto" w:fill="auto"/>
            <w:vAlign w:val="center"/>
          </w:tcPr>
          <w:p>
            <w:pPr>
              <w:jc w:val="center"/>
              <w:rPr>
                <w:rFonts w:ascii="宋体" w:hAnsi="宋体" w:eastAsia="宋体"/>
                <w:sz w:val="28"/>
                <w:szCs w:val="28"/>
              </w:rPr>
            </w:pPr>
            <w:r>
              <w:rPr>
                <w:sz w:val="28"/>
                <w:szCs w:val="28"/>
              </w:rPr>
              <w:t>其它事项</w:t>
            </w:r>
          </w:p>
        </w:tc>
        <w:tc>
          <w:tcPr>
            <w:tcW w:w="5387" w:type="dxa"/>
            <w:shd w:val="clear" w:color="auto" w:fill="auto"/>
            <w:vAlign w:val="center"/>
          </w:tcPr>
          <w:p>
            <w:pPr>
              <w:jc w:val="both"/>
              <w:rPr>
                <w:rFonts w:ascii="宋体" w:hAnsi="宋体" w:eastAsia="宋体"/>
                <w:sz w:val="28"/>
                <w:szCs w:val="28"/>
              </w:rPr>
            </w:pPr>
            <w:r>
              <w:rPr>
                <w:rFonts w:ascii="宋体" w:hAnsi="宋体" w:eastAsia="宋体"/>
                <w:sz w:val="28"/>
                <w:szCs w:val="28"/>
              </w:rPr>
              <w:t>本次采购、投标报价、评审和合同授予均以项目为 单位，投标人必须就一个完整项目进行响应。中标 投标人与采购人在中标通知书发出 30 天内签订合 同，不及时签订视为自动放弃。本项目不允许中标 后另行转包或者分包履行。因自身原因拒绝签订政 府采购合同的或者未按合同约定进行履约的，中标 人不得参加对该项目重新开展的招标活动。 已免费领取招标文件的投标人，如不参与项目投标 活动，应在递交投标文件截止时间前一天以书面形 式告知采购代理机构。否则，采购代理机构可以向 财政部门反应情况并提供相应佐证。投标人一年内累计出现三次该情形，将被监管部门记录为失信行为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8</w:t>
            </w:r>
          </w:p>
        </w:tc>
        <w:tc>
          <w:tcPr>
            <w:tcW w:w="311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政府采购信息发布媒体</w:t>
            </w:r>
          </w:p>
          <w:p>
            <w:pPr>
              <w:jc w:val="center"/>
              <w:rPr>
                <w:rFonts w:ascii="宋体" w:hAnsi="宋体" w:eastAsia="宋体"/>
                <w:sz w:val="28"/>
                <w:szCs w:val="28"/>
              </w:rPr>
            </w:pPr>
            <w:r>
              <w:rPr>
                <w:rFonts w:ascii="宋体" w:hAnsi="宋体" w:eastAsia="宋体"/>
                <w:sz w:val="28"/>
                <w:szCs w:val="28"/>
              </w:rPr>
              <w:t>（采购公告、采购结果公告、变更公告）</w:t>
            </w:r>
          </w:p>
        </w:tc>
        <w:tc>
          <w:tcPr>
            <w:tcW w:w="5387" w:type="dxa"/>
            <w:shd w:val="clear" w:color="auto" w:fill="auto"/>
            <w:vAlign w:val="center"/>
          </w:tcPr>
          <w:p>
            <w:pPr>
              <w:rPr>
                <w:rFonts w:ascii="宋体" w:hAnsi="宋体" w:eastAsia="宋体"/>
                <w:sz w:val="28"/>
                <w:szCs w:val="28"/>
              </w:rPr>
            </w:pPr>
            <w:r>
              <w:rPr>
                <w:rFonts w:hint="eastAsia" w:ascii="宋体" w:hAnsi="宋体" w:eastAsia="宋体"/>
                <w:sz w:val="28"/>
                <w:szCs w:val="28"/>
              </w:rPr>
              <w:t>1．陕西省政府采购网：仅提供项目公告，官网地址：http://ccgp-shaanxi.gov.cn/。</w:t>
            </w:r>
          </w:p>
          <w:p>
            <w:pPr>
              <w:rPr>
                <w:rFonts w:ascii="宋体" w:hAnsi="宋体" w:eastAsia="宋体"/>
                <w:sz w:val="28"/>
                <w:szCs w:val="28"/>
              </w:rPr>
            </w:pPr>
            <w:r>
              <w:rPr>
                <w:rFonts w:hint="eastAsia" w:ascii="宋体" w:hAnsi="宋体" w:eastAsia="宋体"/>
                <w:sz w:val="28"/>
                <w:szCs w:val="28"/>
              </w:rPr>
              <w:t>2．全国公共资源交易平台（陕西省</w:t>
            </w:r>
            <w:r>
              <w:rPr>
                <w:rFonts w:ascii="宋体" w:hAnsi="宋体" w:eastAsia="宋体"/>
                <w:sz w:val="28"/>
                <w:szCs w:val="28"/>
              </w:rPr>
              <w:t>·</w:t>
            </w:r>
            <w:r>
              <w:rPr>
                <w:rFonts w:hint="eastAsia" w:ascii="宋体" w:hAnsi="宋体" w:eastAsia="宋体"/>
                <w:sz w:val="28"/>
                <w:szCs w:val="28"/>
              </w:rPr>
              <w:t>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9</w:t>
            </w:r>
          </w:p>
        </w:tc>
        <w:tc>
          <w:tcPr>
            <w:tcW w:w="311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询问和质疑</w:t>
            </w:r>
          </w:p>
        </w:tc>
        <w:tc>
          <w:tcPr>
            <w:tcW w:w="5387" w:type="dxa"/>
            <w:shd w:val="clear" w:color="auto" w:fill="auto"/>
            <w:vAlign w:val="center"/>
          </w:tcPr>
          <w:p>
            <w:pPr>
              <w:jc w:val="both"/>
              <w:rPr>
                <w:rFonts w:ascii="宋体" w:hAnsi="宋体" w:eastAsia="宋体"/>
                <w:sz w:val="28"/>
                <w:szCs w:val="28"/>
              </w:rPr>
            </w:pPr>
            <w:r>
              <w:rPr>
                <w:rFonts w:hint="eastAsia" w:ascii="宋体" w:hAnsi="宋体" w:eastAsia="宋体"/>
                <w:sz w:val="28"/>
                <w:szCs w:val="28"/>
              </w:rPr>
              <w:t>见招标公告中的“联系方式”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w:t>
            </w:r>
          </w:p>
        </w:tc>
        <w:tc>
          <w:tcPr>
            <w:tcW w:w="311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投诉受理</w:t>
            </w:r>
          </w:p>
        </w:tc>
        <w:tc>
          <w:tcPr>
            <w:tcW w:w="5387" w:type="dxa"/>
            <w:shd w:val="clear" w:color="auto" w:fill="auto"/>
            <w:vAlign w:val="center"/>
          </w:tcPr>
          <w:p>
            <w:pPr>
              <w:jc w:val="both"/>
              <w:rPr>
                <w:rFonts w:ascii="宋体" w:hAnsi="宋体" w:eastAsia="宋体"/>
                <w:sz w:val="28"/>
                <w:szCs w:val="28"/>
              </w:rPr>
            </w:pPr>
            <w:r>
              <w:rPr>
                <w:rFonts w:hint="eastAsia" w:ascii="宋体" w:hAnsi="宋体" w:eastAsia="宋体"/>
                <w:sz w:val="28"/>
                <w:szCs w:val="28"/>
              </w:rPr>
              <w:t>1．受理单位：西安市财政局政府采购管理处</w:t>
            </w:r>
          </w:p>
          <w:p>
            <w:pPr>
              <w:jc w:val="both"/>
              <w:rPr>
                <w:rFonts w:ascii="宋体" w:hAnsi="宋体" w:eastAsia="宋体"/>
                <w:sz w:val="28"/>
                <w:szCs w:val="28"/>
              </w:rPr>
            </w:pPr>
            <w:r>
              <w:rPr>
                <w:rFonts w:hint="eastAsia" w:ascii="宋体" w:hAnsi="宋体" w:eastAsia="宋体"/>
                <w:sz w:val="28"/>
                <w:szCs w:val="28"/>
              </w:rPr>
              <w:t>2．联系电话：029-89821846</w:t>
            </w:r>
          </w:p>
          <w:p>
            <w:pPr>
              <w:jc w:val="both"/>
              <w:rPr>
                <w:rFonts w:ascii="宋体" w:hAnsi="宋体" w:eastAsia="宋体"/>
                <w:sz w:val="28"/>
                <w:szCs w:val="28"/>
              </w:rPr>
            </w:pPr>
            <w:r>
              <w:rPr>
                <w:rFonts w:hint="eastAsia" w:ascii="宋体" w:hAnsi="宋体" w:eastAsia="宋体"/>
                <w:sz w:val="28"/>
                <w:szCs w:val="28"/>
              </w:rPr>
              <w:t>3．地址：西安市未央区西北国金中心A座18层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1</w:t>
            </w:r>
          </w:p>
        </w:tc>
        <w:tc>
          <w:tcPr>
            <w:tcW w:w="311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信用信息查询截至时点</w:t>
            </w:r>
          </w:p>
        </w:tc>
        <w:tc>
          <w:tcPr>
            <w:tcW w:w="5387" w:type="dxa"/>
            <w:shd w:val="clear" w:color="auto" w:fill="auto"/>
            <w:vAlign w:val="center"/>
          </w:tcPr>
          <w:p>
            <w:pPr>
              <w:jc w:val="both"/>
              <w:rPr>
                <w:rFonts w:ascii="宋体" w:hAnsi="宋体" w:eastAsia="宋体"/>
                <w:sz w:val="28"/>
                <w:szCs w:val="28"/>
              </w:rPr>
            </w:pPr>
            <w:r>
              <w:rPr>
                <w:rFonts w:ascii="宋体" w:hAnsi="宋体" w:eastAsia="宋体"/>
                <w:sz w:val="28"/>
                <w:szCs w:val="28"/>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2</w:t>
            </w:r>
          </w:p>
        </w:tc>
        <w:tc>
          <w:tcPr>
            <w:tcW w:w="311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开标形式</w:t>
            </w:r>
          </w:p>
        </w:tc>
        <w:tc>
          <w:tcPr>
            <w:tcW w:w="5387" w:type="dxa"/>
            <w:shd w:val="clear" w:color="auto" w:fill="auto"/>
            <w:vAlign w:val="center"/>
          </w:tcPr>
          <w:p>
            <w:pPr>
              <w:jc w:val="both"/>
              <w:rPr>
                <w:rFonts w:ascii="宋体" w:hAnsi="宋体" w:eastAsia="宋体"/>
                <w:sz w:val="28"/>
                <w:szCs w:val="28"/>
              </w:rPr>
            </w:pPr>
            <w:sdt>
              <w:sdtPr>
                <w:rPr>
                  <w:rFonts w:hint="eastAsia" w:ascii="宋体" w:hAnsi="宋体" w:eastAsia="宋体"/>
                  <w:sz w:val="28"/>
                  <w:szCs w:val="28"/>
                </w:rPr>
                <w:id w:val="1077786224"/>
                <w14:checkbox>
                  <w14:checked w14:val="1"/>
                  <w14:checkedState w14:val="2611" w14:font="MS Gothic"/>
                  <w14:uncheckedState w14:val="2610" w14:font="MS Gothic"/>
                </w14:checkbox>
              </w:sdtPr>
              <w:sdtEndPr>
                <w:rPr>
                  <w:rFonts w:hint="eastAsia" w:ascii="宋体" w:hAnsi="宋体" w:eastAsia="宋体"/>
                  <w:sz w:val="28"/>
                  <w:szCs w:val="28"/>
                </w:rPr>
              </w:sdtEndPr>
              <w:sdtContent>
                <w:r>
                  <w:rPr>
                    <w:rFonts w:hint="eastAsia" w:ascii="MS Gothic" w:hAnsi="MS Gothic" w:eastAsia="MS Gothic"/>
                    <w:sz w:val="28"/>
                    <w:szCs w:val="28"/>
                  </w:rPr>
                  <w:t>☑</w:t>
                </w:r>
              </w:sdtContent>
            </w:sdt>
            <w:r>
              <w:rPr>
                <w:rFonts w:hint="eastAsia" w:ascii="宋体" w:hAnsi="宋体" w:eastAsia="宋体"/>
                <w:sz w:val="28"/>
                <w:szCs w:val="28"/>
              </w:rPr>
              <w:t xml:space="preserve">不见面开标  </w:t>
            </w:r>
            <w:sdt>
              <w:sdtPr>
                <w:rPr>
                  <w:rFonts w:hint="eastAsia" w:ascii="宋体" w:hAnsi="宋体" w:eastAsia="宋体"/>
                  <w:sz w:val="28"/>
                  <w:szCs w:val="28"/>
                </w:rPr>
                <w:id w:val="1553575034"/>
                <w14:checkbox>
                  <w14:checked w14:val="0"/>
                  <w14:checkedState w14:val="2611" w14:font="MS Gothic"/>
                  <w14:uncheckedState w14:val="2610" w14:font="MS Gothic"/>
                </w14:checkbox>
              </w:sdtPr>
              <w:sdtEndPr>
                <w:rPr>
                  <w:rFonts w:hint="eastAsia" w:ascii="宋体" w:hAnsi="宋体" w:eastAsia="宋体"/>
                  <w:sz w:val="28"/>
                  <w:szCs w:val="28"/>
                </w:rPr>
              </w:sdtEndPr>
              <w:sdtContent>
                <w:r>
                  <w:rPr>
                    <w:rFonts w:ascii="Segoe UI Symbol" w:hAnsi="Segoe UI Symbol" w:eastAsia="宋体" w:cs="Segoe UI Symbol"/>
                    <w:sz w:val="28"/>
                    <w:szCs w:val="28"/>
                  </w:rPr>
                  <w:t>☐</w:t>
                </w:r>
              </w:sdtContent>
            </w:sdt>
            <w:r>
              <w:rPr>
                <w:rFonts w:hint="eastAsia" w:ascii="宋体" w:hAnsi="宋体" w:eastAsia="宋体"/>
                <w:sz w:val="28"/>
                <w:szCs w:val="28"/>
              </w:rPr>
              <w:t>见面开标</w:t>
            </w:r>
          </w:p>
          <w:p>
            <w:pPr>
              <w:jc w:val="both"/>
              <w:rPr>
                <w:rFonts w:ascii="宋体" w:hAnsi="宋体" w:eastAsia="宋体"/>
                <w:sz w:val="28"/>
                <w:szCs w:val="28"/>
              </w:rPr>
            </w:pPr>
            <w:r>
              <w:rPr>
                <w:rFonts w:ascii="宋体" w:hAnsi="宋体" w:eastAsia="宋体"/>
                <w:sz w:val="28"/>
                <w:szCs w:val="28"/>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3</w:t>
            </w:r>
          </w:p>
        </w:tc>
        <w:tc>
          <w:tcPr>
            <w:tcW w:w="311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是否允许递交多个备选投标方案</w:t>
            </w:r>
          </w:p>
        </w:tc>
        <w:tc>
          <w:tcPr>
            <w:tcW w:w="5387" w:type="dxa"/>
            <w:shd w:val="clear" w:color="auto" w:fill="auto"/>
            <w:vAlign w:val="center"/>
          </w:tcPr>
          <w:p>
            <w:pPr>
              <w:jc w:val="both"/>
              <w:rPr>
                <w:rFonts w:ascii="宋体" w:hAnsi="宋体" w:eastAsia="宋体"/>
                <w:sz w:val="28"/>
                <w:szCs w:val="28"/>
              </w:rPr>
            </w:pPr>
            <w:sdt>
              <w:sdtPr>
                <w:rPr>
                  <w:rFonts w:hint="eastAsia" w:ascii="宋体" w:hAnsi="宋体" w:eastAsia="宋体"/>
                  <w:sz w:val="28"/>
                  <w:szCs w:val="28"/>
                </w:rPr>
                <w:id w:val="1608857843"/>
                <w14:checkbox>
                  <w14:checked w14:val="0"/>
                  <w14:checkedState w14:val="2611" w14:font="MS Gothic"/>
                  <w14:uncheckedState w14:val="2610" w14:font="MS Gothic"/>
                </w14:checkbox>
              </w:sdtPr>
              <w:sdtEndPr>
                <w:rPr>
                  <w:rFonts w:hint="eastAsia" w:ascii="宋体" w:hAnsi="宋体" w:eastAsia="宋体"/>
                  <w:sz w:val="28"/>
                  <w:szCs w:val="28"/>
                </w:rPr>
              </w:sdtEndPr>
              <w:sdtContent>
                <w:r>
                  <w:rPr>
                    <w:rFonts w:ascii="Segoe UI Symbol" w:hAnsi="Segoe UI Symbol" w:eastAsia="宋体" w:cs="Segoe UI Symbol"/>
                    <w:sz w:val="28"/>
                    <w:szCs w:val="28"/>
                  </w:rPr>
                  <w:t>☐</w:t>
                </w:r>
              </w:sdtContent>
            </w:sdt>
            <w:r>
              <w:rPr>
                <w:rFonts w:hint="eastAsia" w:ascii="宋体" w:hAnsi="宋体" w:eastAsia="宋体"/>
                <w:sz w:val="28"/>
                <w:szCs w:val="28"/>
              </w:rPr>
              <w:t xml:space="preserve">是  </w:t>
            </w:r>
            <w:sdt>
              <w:sdtPr>
                <w:rPr>
                  <w:rFonts w:hint="eastAsia" w:ascii="宋体" w:hAnsi="宋体" w:eastAsia="宋体"/>
                  <w:sz w:val="28"/>
                  <w:szCs w:val="28"/>
                </w:rPr>
                <w:id w:val="618331253"/>
                <w14:checkbox>
                  <w14:checked w14:val="1"/>
                  <w14:checkedState w14:val="2611" w14:font="MS Gothic"/>
                  <w14:uncheckedState w14:val="2610" w14:font="MS Gothic"/>
                </w14:checkbox>
              </w:sdtPr>
              <w:sdtEndPr>
                <w:rPr>
                  <w:rFonts w:hint="eastAsia" w:ascii="宋体" w:hAnsi="宋体" w:eastAsia="宋体"/>
                  <w:sz w:val="28"/>
                  <w:szCs w:val="28"/>
                </w:rPr>
              </w:sdtEndPr>
              <w:sdtContent>
                <w:r>
                  <w:rPr>
                    <w:rFonts w:hint="eastAsia" w:ascii="MS Gothic" w:hAnsi="MS Gothic" w:eastAsia="MS Gothic"/>
                    <w:sz w:val="28"/>
                    <w:szCs w:val="28"/>
                  </w:rPr>
                  <w:t>☑</w:t>
                </w:r>
              </w:sdtContent>
            </w:sdt>
            <w:r>
              <w:rPr>
                <w:rFonts w:hint="eastAsia" w:ascii="宋体" w:hAnsi="宋体" w:eastAsia="宋体"/>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4</w:t>
            </w:r>
          </w:p>
        </w:tc>
        <w:tc>
          <w:tcPr>
            <w:tcW w:w="311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西安市公共资源交易中心电子化政府采购系统技术支持</w:t>
            </w:r>
            <w:r>
              <w:rPr>
                <w:rFonts w:ascii="宋体" w:hAnsi="宋体" w:eastAsia="宋体"/>
                <w:sz w:val="28"/>
                <w:szCs w:val="28"/>
              </w:rPr>
              <w:t>（软件开发商）</w:t>
            </w:r>
          </w:p>
        </w:tc>
        <w:tc>
          <w:tcPr>
            <w:tcW w:w="5387" w:type="dxa"/>
            <w:shd w:val="clear" w:color="auto" w:fill="auto"/>
            <w:vAlign w:val="center"/>
          </w:tcPr>
          <w:p>
            <w:pPr>
              <w:jc w:val="both"/>
              <w:rPr>
                <w:rFonts w:ascii="宋体" w:hAnsi="宋体" w:eastAsia="宋体"/>
                <w:sz w:val="28"/>
                <w:szCs w:val="28"/>
              </w:rPr>
            </w:pPr>
            <w:r>
              <w:rPr>
                <w:rFonts w:hint="eastAsia" w:ascii="宋体" w:hAnsi="宋体" w:eastAsia="宋体"/>
                <w:sz w:val="28"/>
                <w:szCs w:val="28"/>
              </w:rPr>
              <w:t>国泰新点软件股份有限公司</w:t>
            </w:r>
          </w:p>
          <w:p>
            <w:pPr>
              <w:ind w:right="-384" w:rightChars="-160"/>
              <w:rPr>
                <w:rFonts w:ascii="宋体" w:hAnsi="宋体" w:eastAsia="宋体"/>
                <w:sz w:val="28"/>
                <w:szCs w:val="28"/>
              </w:rPr>
            </w:pPr>
            <w:r>
              <w:rPr>
                <w:rFonts w:hint="eastAsia" w:ascii="宋体" w:hAnsi="宋体" w:eastAsia="宋体"/>
                <w:sz w:val="28"/>
                <w:szCs w:val="28"/>
              </w:rPr>
              <w:t>1．技术</w:t>
            </w:r>
            <w:r>
              <w:rPr>
                <w:rFonts w:ascii="宋体" w:hAnsi="宋体" w:eastAsia="宋体"/>
                <w:sz w:val="28"/>
                <w:szCs w:val="28"/>
              </w:rPr>
              <w:t>支持</w:t>
            </w:r>
            <w:r>
              <w:rPr>
                <w:rFonts w:hint="eastAsia" w:ascii="宋体" w:hAnsi="宋体" w:eastAsia="宋体"/>
                <w:sz w:val="28"/>
                <w:szCs w:val="28"/>
              </w:rPr>
              <w:t>热线</w:t>
            </w:r>
            <w:r>
              <w:rPr>
                <w:rFonts w:ascii="宋体" w:hAnsi="宋体" w:eastAsia="宋体"/>
                <w:sz w:val="28"/>
                <w:szCs w:val="28"/>
              </w:rPr>
              <w:t>：</w:t>
            </w:r>
            <w:r>
              <w:rPr>
                <w:rFonts w:hint="eastAsia" w:ascii="宋体" w:hAnsi="宋体" w:eastAsia="宋体"/>
                <w:sz w:val="28"/>
                <w:szCs w:val="28"/>
              </w:rPr>
              <w:t>400-998-0000/400-928-0095</w:t>
            </w:r>
          </w:p>
          <w:p>
            <w:pPr>
              <w:ind w:right="-667" w:rightChars="-278"/>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25</w:t>
            </w:r>
          </w:p>
        </w:tc>
        <w:tc>
          <w:tcPr>
            <w:tcW w:w="3118"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CA业务网点</w:t>
            </w:r>
          </w:p>
        </w:tc>
        <w:tc>
          <w:tcPr>
            <w:tcW w:w="5387" w:type="dxa"/>
            <w:shd w:val="clear" w:color="auto" w:fill="auto"/>
            <w:vAlign w:val="center"/>
          </w:tcPr>
          <w:p>
            <w:pPr>
              <w:jc w:val="both"/>
              <w:rPr>
                <w:rFonts w:ascii="宋体" w:hAnsi="宋体" w:eastAsia="宋体"/>
                <w:sz w:val="28"/>
                <w:szCs w:val="28"/>
              </w:rPr>
            </w:pPr>
            <w:r>
              <w:rPr>
                <w:rFonts w:hint="eastAsia" w:ascii="宋体" w:hAnsi="宋体" w:eastAsia="宋体"/>
                <w:sz w:val="28"/>
                <w:szCs w:val="28"/>
              </w:rPr>
              <w:t>陕西省数字证书认证中心股份有限公司</w:t>
            </w:r>
          </w:p>
          <w:p>
            <w:pPr>
              <w:jc w:val="both"/>
              <w:rPr>
                <w:rFonts w:ascii="宋体" w:hAnsi="宋体" w:eastAsia="宋体"/>
                <w:sz w:val="28"/>
                <w:szCs w:val="28"/>
              </w:rPr>
            </w:pPr>
            <w:r>
              <w:rPr>
                <w:rFonts w:hint="eastAsia" w:ascii="宋体" w:hAnsi="宋体" w:eastAsia="宋体"/>
                <w:sz w:val="28"/>
                <w:szCs w:val="28"/>
              </w:rPr>
              <w:t>网点1：西安市高新三路信息港大厦1楼客服中心</w:t>
            </w:r>
          </w:p>
          <w:p>
            <w:pPr>
              <w:jc w:val="both"/>
              <w:rPr>
                <w:rFonts w:ascii="宋体" w:hAnsi="宋体" w:eastAsia="宋体"/>
                <w:sz w:val="28"/>
                <w:szCs w:val="28"/>
              </w:rPr>
            </w:pPr>
            <w:r>
              <w:rPr>
                <w:rFonts w:hint="eastAsia" w:ascii="宋体" w:hAnsi="宋体" w:eastAsia="宋体"/>
                <w:sz w:val="28"/>
                <w:szCs w:val="28"/>
              </w:rPr>
              <w:t>客服电话：4006-369-888</w:t>
            </w:r>
          </w:p>
          <w:p>
            <w:pPr>
              <w:jc w:val="both"/>
              <w:rPr>
                <w:rFonts w:ascii="宋体" w:hAnsi="宋体" w:eastAsia="宋体"/>
                <w:sz w:val="28"/>
                <w:szCs w:val="28"/>
              </w:rPr>
            </w:pPr>
            <w:r>
              <w:rPr>
                <w:rFonts w:hint="eastAsia" w:ascii="宋体" w:hAnsi="宋体" w:eastAsia="宋体"/>
                <w:sz w:val="28"/>
                <w:szCs w:val="28"/>
              </w:rPr>
              <w:t>网点2：西安市长安北路14号省体育公寓B座一楼</w:t>
            </w:r>
          </w:p>
          <w:p>
            <w:pPr>
              <w:jc w:val="both"/>
              <w:rPr>
                <w:rFonts w:ascii="宋体" w:hAnsi="宋体" w:eastAsia="宋体"/>
                <w:sz w:val="28"/>
                <w:szCs w:val="28"/>
              </w:rPr>
            </w:pPr>
            <w:r>
              <w:rPr>
                <w:rFonts w:hint="eastAsia" w:ascii="宋体" w:hAnsi="宋体" w:eastAsia="宋体"/>
                <w:sz w:val="28"/>
                <w:szCs w:val="28"/>
              </w:rPr>
              <w:t>咨询电话：029-88661241</w:t>
            </w:r>
          </w:p>
          <w:p>
            <w:pPr>
              <w:jc w:val="both"/>
              <w:rPr>
                <w:rFonts w:ascii="宋体" w:hAnsi="宋体" w:eastAsia="宋体"/>
                <w:sz w:val="28"/>
                <w:szCs w:val="28"/>
              </w:rPr>
            </w:pPr>
            <w:r>
              <w:rPr>
                <w:rFonts w:hint="eastAsia" w:ascii="宋体" w:hAnsi="宋体" w:eastAsia="宋体"/>
                <w:sz w:val="28"/>
                <w:szCs w:val="28"/>
              </w:rPr>
              <w:t>网点3：西安市文景北路16号白桦林国际B座2楼11#窗口</w:t>
            </w:r>
          </w:p>
          <w:p>
            <w:pPr>
              <w:jc w:val="both"/>
              <w:rPr>
                <w:rFonts w:ascii="宋体" w:hAnsi="宋体" w:eastAsia="宋体"/>
                <w:sz w:val="28"/>
                <w:szCs w:val="28"/>
              </w:rPr>
            </w:pPr>
            <w:r>
              <w:rPr>
                <w:rFonts w:hint="eastAsia" w:ascii="宋体" w:hAnsi="宋体" w:eastAsia="宋体"/>
                <w:sz w:val="28"/>
                <w:szCs w:val="28"/>
              </w:rPr>
              <w:t>咨询电话：029-86510073转80211</w:t>
            </w:r>
          </w:p>
        </w:tc>
      </w:tr>
    </w:tbl>
    <w:p>
      <w:pPr>
        <w:spacing w:line="560" w:lineRule="exact"/>
        <w:ind w:firstLine="640" w:firstLineChars="200"/>
        <w:jc w:val="both"/>
        <w:rPr>
          <w:rFonts w:ascii="宋体" w:hAnsi="宋体" w:eastAsia="宋体"/>
          <w:sz w:val="32"/>
          <w:szCs w:val="32"/>
        </w:rPr>
      </w:pPr>
      <w:r>
        <w:rPr>
          <w:rFonts w:ascii="宋体" w:hAnsi="宋体" w:eastAsia="宋体"/>
          <w:sz w:val="32"/>
          <w:szCs w:val="32"/>
        </w:rPr>
        <w:br w:type="page"/>
      </w:r>
    </w:p>
    <w:p>
      <w:pPr>
        <w:spacing w:line="560" w:lineRule="exact"/>
        <w:ind w:firstLine="560" w:firstLineChars="200"/>
        <w:jc w:val="both"/>
        <w:rPr>
          <w:rFonts w:ascii="宋体" w:hAnsi="宋体" w:eastAsia="宋体"/>
          <w:sz w:val="28"/>
          <w:szCs w:val="28"/>
        </w:rPr>
      </w:pPr>
      <w:r>
        <w:rPr>
          <w:rFonts w:ascii="宋体" w:hAnsi="宋体" w:eastAsia="宋体"/>
          <w:sz w:val="28"/>
          <w:szCs w:val="28"/>
        </w:rPr>
        <w:t>一、有关定义</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1．采购人：依法进行政府采购的西安市市级机关、事业单位或团体组织。</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2．供应商：指向采购人提供货物、工程或者服务的法人、其他组织或者自然人。</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3．同级政府采购监管部门：西安市财政局政府采购管理处。</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4．西安市公共资源交易平台：即【全国公共资源交易平台（陕西省·西安市）】的简称，官网地址</w:t>
      </w:r>
      <w:r>
        <w:fldChar w:fldCharType="begin"/>
      </w:r>
      <w:r>
        <w:rPr>
          <w:rFonts w:ascii="宋体" w:hAnsi="宋体" w:eastAsia="宋体"/>
          <w:sz w:val="28"/>
          <w:szCs w:val="28"/>
        </w:rPr>
        <w:instrText xml:space="preserve">HYPERLINK "http://sxggzyjy.xa.gov.cn/"</w:instrText>
      </w:r>
      <w:r>
        <w:fldChar w:fldCharType="separate"/>
      </w:r>
      <w:r>
        <w:rPr>
          <w:rStyle w:val="46"/>
          <w:rFonts w:hint="eastAsia" w:ascii="宋体" w:hAnsi="宋体" w:eastAsia="宋体"/>
          <w:color w:val="auto"/>
          <w:sz w:val="28"/>
          <w:szCs w:val="28"/>
          <w:u w:val="none"/>
        </w:rPr>
        <w:t>http://sxggzyjy.xa.gov.cn/</w:t>
      </w:r>
      <w:r>
        <w:rPr>
          <w:rStyle w:val="46"/>
          <w:rFonts w:ascii="宋体" w:hAnsi="宋体" w:eastAsia="宋体"/>
          <w:color w:val="auto"/>
          <w:sz w:val="28"/>
          <w:szCs w:val="28"/>
          <w:u w:val="none"/>
        </w:rPr>
        <w:fldChar w:fldCharType="end"/>
      </w:r>
      <w:r>
        <w:rPr>
          <w:rFonts w:hint="eastAsia" w:ascii="宋体" w:hAnsi="宋体" w:eastAsia="宋体"/>
          <w:sz w:val="28"/>
          <w:szCs w:val="28"/>
        </w:rPr>
        <w:t>。</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5．企业端：指西安市公共资源交易平台〖首页·〉电子交易平台·〉陕西政府采购交易系统·〉企业端〗，快捷登录网址</w:t>
      </w:r>
      <w:r>
        <w:rPr>
          <w:rFonts w:hint="eastAsia"/>
        </w:rPr>
        <w:fldChar w:fldCharType="begin"/>
      </w:r>
      <w:r>
        <w:instrText xml:space="preserve"> HYPERLINK "http://www.sxggzyjy.cn:9002/TPBidder/memberLogin" </w:instrText>
      </w:r>
      <w:r>
        <w:rPr>
          <w:rFonts w:hint="eastAsia"/>
        </w:rPr>
        <w:fldChar w:fldCharType="separate"/>
      </w:r>
      <w:r>
        <w:rPr>
          <w:rStyle w:val="46"/>
          <w:rFonts w:hint="eastAsia" w:ascii="宋体" w:hAnsi="宋体" w:eastAsia="宋体"/>
          <w:color w:val="auto"/>
          <w:sz w:val="28"/>
          <w:szCs w:val="28"/>
          <w:u w:val="none"/>
        </w:rPr>
        <w:t>http://www.sxggzyjy.cn:9002/TPBidder/memberLogin</w:t>
      </w:r>
      <w:r>
        <w:rPr>
          <w:rStyle w:val="46"/>
          <w:rFonts w:hint="eastAsia" w:ascii="宋体" w:hAnsi="宋体" w:eastAsia="宋体"/>
          <w:color w:val="auto"/>
          <w:sz w:val="28"/>
          <w:szCs w:val="28"/>
          <w:u w:val="none"/>
        </w:rPr>
        <w:fldChar w:fldCharType="end"/>
      </w:r>
      <w:r>
        <w:rPr>
          <w:rFonts w:hint="eastAsia" w:ascii="宋体" w:hAnsi="宋体" w:eastAsia="宋体"/>
          <w:sz w:val="28"/>
          <w:szCs w:val="28"/>
        </w:rPr>
        <w:t>。</w:t>
      </w:r>
    </w:p>
    <w:p>
      <w:pPr>
        <w:spacing w:line="560" w:lineRule="exact"/>
        <w:ind w:firstLine="560" w:firstLineChars="200"/>
        <w:rPr>
          <w:rFonts w:ascii="宋体" w:hAnsi="宋体" w:eastAsia="宋体"/>
          <w:sz w:val="28"/>
          <w:szCs w:val="28"/>
        </w:rPr>
      </w:pPr>
      <w:r>
        <w:rPr>
          <w:rFonts w:ascii="宋体" w:hAnsi="宋体" w:eastAsia="宋体"/>
          <w:sz w:val="28"/>
          <w:szCs w:val="28"/>
        </w:rPr>
        <w:t>二、供应商注意事项</w:t>
      </w:r>
    </w:p>
    <w:p>
      <w:pPr>
        <w:rPr>
          <w:b/>
          <w:bCs/>
          <w:sz w:val="28"/>
          <w:szCs w:val="28"/>
        </w:rPr>
      </w:pPr>
      <w:r>
        <w:rPr>
          <w:rFonts w:hint="eastAsia"/>
          <w:b/>
          <w:bCs/>
          <w:sz w:val="28"/>
          <w:szCs w:val="28"/>
        </w:rPr>
        <w:t>（一）供应商投标流程</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使用电子交易系统的采购项目（即线上项目），将同时提供WORD\PDF格式（仅用于预览）和SXSZF格式（用于制作电子投标文件）两个版本，文件内容一致。</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1．预览采购文件：打开西安市公共资源交易平台〖首页·〉交易大厅·〉政府采购〗栏目，下载和阅读本项目采购文件的预览版本（WORD\PDF格式）；</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2．办理注册登记（针对初次使用电子交易系统的用户）：</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（1）办理诚信入库注册：在决定参加本项目采购活动后，供应商应先在西安市公共资源交易平台上完成“诚信入库登记”；</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widowControl w:val="0"/>
        <w:spacing w:line="560" w:lineRule="exact"/>
        <w:ind w:firstLine="560" w:firstLineChars="200"/>
        <w:jc w:val="both"/>
        <w:rPr>
          <w:rFonts w:ascii="宋体" w:hAnsi="宋体" w:eastAsia="宋体"/>
          <w:sz w:val="28"/>
          <w:szCs w:val="28"/>
        </w:rPr>
      </w:pPr>
      <w:r>
        <w:rPr>
          <w:rFonts w:hint="eastAsia" w:ascii="宋体" w:hAnsi="宋体" w:eastAsia="宋体"/>
          <w:sz w:val="28"/>
          <w:szCs w:val="28"/>
        </w:rPr>
        <w:t>办理须知：</w:t>
      </w:r>
    </w:p>
    <w:p>
      <w:pPr>
        <w:widowControl w:val="0"/>
        <w:spacing w:line="560" w:lineRule="exact"/>
        <w:ind w:firstLine="560" w:firstLineChars="200"/>
        <w:jc w:val="both"/>
        <w:rPr>
          <w:rFonts w:ascii="宋体" w:hAnsi="宋体" w:eastAsia="宋体"/>
          <w:sz w:val="28"/>
          <w:szCs w:val="28"/>
        </w:rPr>
      </w:pPr>
      <w:r>
        <w:rPr>
          <w:rFonts w:hint="eastAsia" w:ascii="宋体" w:hAnsi="宋体" w:eastAsia="宋体"/>
          <w:sz w:val="28"/>
          <w:szCs w:val="28"/>
        </w:rPr>
        <w:t>http://</w:t>
      </w:r>
      <w:r>
        <w:fldChar w:fldCharType="begin"/>
      </w:r>
      <w:r>
        <w:instrText xml:space="preserve"> HYPERLINK "http://www.snca.com.cn/channel/show/27.html" </w:instrText>
      </w:r>
      <w:r>
        <w:fldChar w:fldCharType="separate"/>
      </w:r>
      <w:r>
        <w:rPr>
          <w:rStyle w:val="46"/>
          <w:rFonts w:hint="eastAsia" w:ascii="宋体" w:hAnsi="宋体" w:eastAsia="宋体"/>
          <w:color w:val="auto"/>
          <w:sz w:val="28"/>
          <w:szCs w:val="28"/>
          <w:u w:val="none"/>
        </w:rPr>
        <w:t>www.snca.com.cn/channel/show/27.html</w:t>
      </w:r>
      <w:r>
        <w:rPr>
          <w:rStyle w:val="46"/>
          <w:rFonts w:hint="eastAsia" w:ascii="宋体" w:hAnsi="宋体" w:eastAsia="宋体"/>
          <w:color w:val="auto"/>
          <w:sz w:val="28"/>
          <w:szCs w:val="28"/>
          <w:u w:val="none"/>
        </w:rPr>
        <w:fldChar w:fldCharType="end"/>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（3）绑定和激活CA：将数字证书与诚信库中的供应商账户进行绑定。</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4．制作电子投标文件：需要使用专用制作软件“新点投 标文件制作软件（陕西公共资源）”进行编制，编制完成后使用CA锁对电子投标文件进行签章、加密。详见本章中的“投标文件”相关内容。</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5．提交电子投标文件：在提交投标文件截止时间前及时提交加密后电子投标文件，逾期提交的，系统将会拒收；</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[适用于不见面开标项目]6．在线参加开标大会：开标当日，供应商法定代表人或其授权代表需提前登录“不见面开 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适用于见面开标项目]6．现场参加开标大会：开标当日，供应商法定代表人或其授权代表需到达开标现场。收到主持人“开始解密”指令后，使用CA锁（必须与加密文件时的CA锁为同一把锁）在开标室专用解密机上对电子投标文件进行解密。相关技术问题，请咨询软件开发商。</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7．等待专家评审：评审期间，可能需要对评审专家提出的问题进行澄清或答复。在主持人宣布评审结束前，供应商请勿擅自离席，否则由此造成的不利后果，由供应商自行承担。</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8．中标供应商注册：按照陕西省政府采购监管部门的要求，采购代理机构在发布中标公告前，应由中标供应商在陕西省政府采购网上完成注册。</w:t>
      </w:r>
    </w:p>
    <w:p>
      <w:pPr>
        <w:rPr>
          <w:b/>
          <w:bCs/>
          <w:sz w:val="28"/>
          <w:szCs w:val="28"/>
        </w:rPr>
      </w:pPr>
      <w:r>
        <w:rPr>
          <w:rFonts w:hint="eastAsia"/>
          <w:b/>
          <w:bCs/>
          <w:sz w:val="28"/>
          <w:szCs w:val="28"/>
        </w:rPr>
        <w:t>（二）关于询问、质疑和投诉</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1．询问</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供应商对政府采购活动事项有疑问的，可以向采购人或采购代理机构提出询问。采购人或采购代理机构将在3个工作日内对供应商依法提出的询问作出答复。</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根据采购人和采购代理机构签订的《政府采购委托代理协议》，针对采购需求（包括采购内容、技术或服务要求、商务要求、合同条款、供应商资格条件、评审要素及分值一览表）的询问请向采购人提出。</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2．质疑</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（1）供应商认为采购文件、采购过程、成交结果使自己的权益受到损害的，可以在知道或应知其权益受到损害之日起7个工作日内以书面形式向采购人、采购代理机构提出。</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（2）质疑方式：</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① 在线质疑：</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登录西安市公共资源交易平台〖首页·〉电子交易平台·〉企业端〗，在〖我的项目〗中点击“项目流程·〉提出质疑”，填写表单并提交质疑。</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② 书面质疑：</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书面质疑函应按照财政部国库司制定的《政府采购供应商质疑函范本》（见下方链接）进行填写，签字、盖章后提交至采购人、采购代理机构。</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质疑函范本地址：</w:t>
      </w:r>
      <w:r>
        <w:fldChar w:fldCharType="begin"/>
      </w:r>
      <w:r>
        <w:instrText xml:space="preserve"> HYPERLINK "http://download.ccgp.gov.cn/2018/zhiyihanfanben.zip" </w:instrText>
      </w:r>
      <w:r>
        <w:fldChar w:fldCharType="separate"/>
      </w:r>
      <w:r>
        <w:rPr>
          <w:rStyle w:val="46"/>
          <w:rFonts w:hint="eastAsia" w:ascii="宋体" w:hAnsi="宋体" w:eastAsia="宋体"/>
          <w:color w:val="auto"/>
          <w:sz w:val="28"/>
          <w:szCs w:val="28"/>
          <w:u w:val="none"/>
        </w:rPr>
        <w:t>http://download.ccgp.gov.cn/2018/zhiyihanfanben.zip</w:t>
      </w:r>
      <w:r>
        <w:rPr>
          <w:rStyle w:val="46"/>
          <w:rFonts w:hint="eastAsia" w:ascii="宋体" w:hAnsi="宋体" w:eastAsia="宋体"/>
          <w:color w:val="auto"/>
          <w:sz w:val="28"/>
          <w:szCs w:val="28"/>
          <w:u w:val="none"/>
        </w:rPr>
        <w:fldChar w:fldCharType="end"/>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（4）在法定质疑期内，针对同一采购程序环节的质疑应当一次性提出。采购人、采购代理机构将在收到书面质疑后7个工作日内做出答复，并以书面形式通知质疑人和其他有关供应商。</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（5）有下列情形之一的，属于无效质疑：</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① 对采购文件提出质疑的质疑人不是依法获取采购文件的潜在供应商；对采购过程、中标结果提出质疑的质疑人不是参与本次政府采购项目的供应商；</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② 超过法定期限或未以书面形式提出的；</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③ 缺乏必要的证明材料，或捏造事实、提供虚假材料，或以非法手段取得证明材料的；</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④ 质疑函没有合法有效的签字、盖章或委托授权书的（代理人提出质疑和投诉，应当提交供应商签署的授权委托书）；</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⑤ 针对同一采购程序环节又提出其他质疑事项的，或质疑答复后就同一事项再次提出质疑的；</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⑥ 不符合法律、法规、规章和政府采购监管机构规定的其他条件的。</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3．投诉</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（2）供应商投诉的事项不得超出已质疑事项的范围。供应商提出投诉时，应当提交投诉书和必要的证明材料，并按财政部《投诉书范本》给定的格式进行填写。</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投诉书范本地址：</w:t>
      </w:r>
    </w:p>
    <w:p>
      <w:pPr>
        <w:spacing w:line="560" w:lineRule="exact"/>
        <w:ind w:firstLine="480" w:firstLineChars="200"/>
        <w:jc w:val="both"/>
        <w:rPr>
          <w:rFonts w:ascii="宋体" w:hAnsi="宋体" w:eastAsia="宋体"/>
          <w:sz w:val="28"/>
          <w:szCs w:val="28"/>
        </w:rPr>
      </w:pPr>
      <w:r>
        <w:fldChar w:fldCharType="begin"/>
      </w:r>
      <w:r>
        <w:instrText xml:space="preserve"> HYPERLINK "http://download.ccgp.gov.cn/2018/tousushufanben.zip" </w:instrText>
      </w:r>
      <w:r>
        <w:fldChar w:fldCharType="separate"/>
      </w:r>
      <w:r>
        <w:rPr>
          <w:rStyle w:val="46"/>
          <w:rFonts w:hint="eastAsia" w:ascii="宋体" w:hAnsi="宋体" w:eastAsia="宋体"/>
          <w:color w:val="auto"/>
          <w:sz w:val="28"/>
          <w:szCs w:val="28"/>
        </w:rPr>
        <w:t>http://download.ccgp.gov.cn/2018/tousushufanben.zip</w:t>
      </w:r>
      <w:r>
        <w:rPr>
          <w:rStyle w:val="46"/>
          <w:rFonts w:hint="eastAsia" w:ascii="宋体" w:hAnsi="宋体" w:eastAsia="宋体"/>
          <w:color w:val="auto"/>
          <w:sz w:val="28"/>
          <w:szCs w:val="28"/>
        </w:rPr>
        <w:fldChar w:fldCharType="end"/>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4．恶意质疑、投诉的法律后果</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（1）对捏造事实、提供虚假材料进行质疑、投诉的行为予以严肃处理：</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（2）对捏造事实诬告陷害他人、诽谤他人的法律适用：</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《中华人民共和国刑法》第243条【诬告陷害罪】捏造事实诬告陷害他人，意图使他人受刑事追究，情节严重的，处三年以下有期徒刑、拘役或者管制；造成严重后果的，处三年以上十年以下有期徒刑。</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《中华人民共和国刑法》第246条【侮辱罪、诽谤罪】以暴力或者其他方法公然侮辱他人或者捏造事实诽谤他人，情节严重的，处三年以下有期徒刑、拘役、管制或者剥夺政治权利。</w:t>
      </w:r>
    </w:p>
    <w:p>
      <w:pPr>
        <w:pStyle w:val="108"/>
        <w:spacing w:before="120" w:after="120"/>
        <w:ind w:firstLine="562"/>
        <w:rPr>
          <w:rFonts w:ascii="宋体" w:hAnsi="宋体" w:eastAsia="宋体"/>
          <w:sz w:val="28"/>
          <w:szCs w:val="28"/>
        </w:rPr>
      </w:pPr>
      <w:bookmarkStart w:id="13" w:name="_Toc120103809"/>
      <w:r>
        <w:rPr>
          <w:rFonts w:hint="eastAsia" w:ascii="宋体" w:hAnsi="宋体" w:eastAsia="宋体"/>
          <w:sz w:val="28"/>
          <w:szCs w:val="28"/>
        </w:rPr>
        <w:t>（三）关于保证金</w:t>
      </w:r>
      <w:bookmarkEnd w:id="13"/>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按照西安市财政局《关于促进政府采购公平竞争优化营商环境的通知》第三条规定，供应商参与西安市政府采购活动时，免交投标保证金。</w:t>
      </w:r>
    </w:p>
    <w:p>
      <w:pPr>
        <w:pStyle w:val="108"/>
        <w:spacing w:before="120" w:after="120"/>
        <w:ind w:firstLine="562"/>
        <w:rPr>
          <w:rFonts w:ascii="宋体" w:hAnsi="宋体" w:eastAsia="宋体"/>
          <w:sz w:val="28"/>
          <w:szCs w:val="28"/>
        </w:rPr>
      </w:pPr>
      <w:bookmarkStart w:id="14" w:name="_Toc120103810"/>
      <w:r>
        <w:rPr>
          <w:rFonts w:hint="eastAsia" w:ascii="宋体" w:hAnsi="宋体" w:eastAsia="宋体"/>
          <w:sz w:val="28"/>
          <w:szCs w:val="28"/>
        </w:rPr>
        <w:t>（四）关于联合体</w:t>
      </w:r>
      <w:bookmarkEnd w:id="14"/>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本次项目不接受联合体</w:t>
      </w:r>
    </w:p>
    <w:p>
      <w:pPr>
        <w:pStyle w:val="108"/>
        <w:spacing w:before="120" w:after="120"/>
        <w:ind w:firstLine="562"/>
        <w:rPr>
          <w:rFonts w:ascii="宋体" w:hAnsi="宋体" w:eastAsia="宋体"/>
          <w:sz w:val="28"/>
          <w:szCs w:val="28"/>
        </w:rPr>
      </w:pPr>
      <w:bookmarkStart w:id="15" w:name="_Toc120103811"/>
      <w:r>
        <w:rPr>
          <w:rFonts w:hint="eastAsia" w:ascii="宋体" w:hAnsi="宋体" w:eastAsia="宋体"/>
          <w:sz w:val="28"/>
          <w:szCs w:val="28"/>
        </w:rPr>
        <w:t>（五）关于进口产品</w:t>
      </w:r>
      <w:bookmarkEnd w:id="15"/>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根据《关于政府采购进口产品管理有关问题的通知》（财办库〔2008〕248号）有关规定，财政部门审核同意购买进口产品的，投标邀请函将明确载明“允许进口产品参与”，此时满足招标文件要求的国产产品仍然可以参与竞争；否则，视为拒绝进口产品参与，供应商以进口产品参与投标时，将作无效投标处理。</w:t>
      </w:r>
    </w:p>
    <w:p>
      <w:pPr>
        <w:pStyle w:val="108"/>
        <w:spacing w:before="120" w:after="120"/>
        <w:ind w:firstLine="562"/>
        <w:rPr>
          <w:rFonts w:ascii="宋体" w:hAnsi="宋体" w:eastAsia="宋体"/>
          <w:sz w:val="28"/>
          <w:szCs w:val="28"/>
        </w:rPr>
      </w:pPr>
      <w:bookmarkStart w:id="16" w:name="_Toc120103812"/>
      <w:r>
        <w:rPr>
          <w:rFonts w:hint="eastAsia" w:ascii="宋体" w:hAnsi="宋体" w:eastAsia="宋体"/>
          <w:sz w:val="28"/>
          <w:szCs w:val="28"/>
        </w:rPr>
        <w:t>（六）关于政府采购政策</w:t>
      </w:r>
      <w:bookmarkEnd w:id="16"/>
    </w:p>
    <w:p>
      <w:pPr>
        <w:pStyle w:val="107"/>
        <w:rPr>
          <w:rFonts w:ascii="宋体" w:hAnsi="宋体" w:eastAsia="宋体"/>
          <w:sz w:val="28"/>
          <w:szCs w:val="28"/>
        </w:rPr>
      </w:pPr>
      <w:bookmarkStart w:id="17" w:name="_Toc120103813"/>
      <w:r>
        <w:rPr>
          <w:rFonts w:hint="eastAsia" w:ascii="宋体" w:hAnsi="宋体" w:eastAsia="宋体"/>
          <w:sz w:val="28"/>
          <w:szCs w:val="28"/>
        </w:rPr>
        <w:t>1．对中小企业、监狱企业、残疾人福利性单位的优惠政策</w:t>
      </w:r>
      <w:bookmarkEnd w:id="17"/>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1</w:t>
      </w:r>
      <w:r>
        <w:rPr>
          <w:rFonts w:ascii="宋体" w:hAnsi="宋体" w:eastAsia="宋体"/>
          <w:sz w:val="28"/>
          <w:szCs w:val="28"/>
        </w:rPr>
        <w:t>0</w:t>
      </w:r>
      <w:r>
        <w:rPr>
          <w:rFonts w:hint="eastAsia" w:ascii="宋体" w:hAnsi="宋体" w:eastAsia="宋体"/>
          <w:sz w:val="28"/>
          <w:szCs w:val="28"/>
        </w:rPr>
        <w:t>%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（2）根据财政部、司法部联合下发的《关于政府采购支持监狱企业发展有关问题的通知》（财库〔2014〕68号）的规定，监狱企业视同小型、微型企业。</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pStyle w:val="107"/>
        <w:rPr>
          <w:rFonts w:ascii="宋体" w:hAnsi="宋体" w:eastAsia="宋体"/>
          <w:sz w:val="28"/>
          <w:szCs w:val="28"/>
        </w:rPr>
      </w:pPr>
      <w:bookmarkStart w:id="18" w:name="_Toc120103814"/>
      <w:r>
        <w:rPr>
          <w:rFonts w:hint="eastAsia" w:ascii="宋体" w:hAnsi="宋体" w:eastAsia="宋体"/>
          <w:sz w:val="28"/>
          <w:szCs w:val="28"/>
        </w:rPr>
        <w:t>2．节能、环保产品采购政策</w:t>
      </w:r>
      <w:bookmarkEnd w:id="18"/>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（3）《节能产品政府采购品目清单》见财政部、发展改革委《关于印发节能产品政府采购品目清单的通知》（财库〔2019〕19号）附件。</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（4）《环境标志产品政府采购品目清单》见财政部、生态环境部《关于印发环境标志产品政府采购品目清单的通知》（财库〔2019〕18号）附件。</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（5）“国家确定的认证机构”名单见市场监管总局《关于发布参与实施政府采购节能产品、环境标志产品认证机构名录的公告》（2019年第16号）。</w:t>
      </w:r>
    </w:p>
    <w:p>
      <w:pPr>
        <w:pStyle w:val="107"/>
        <w:rPr>
          <w:rFonts w:ascii="宋体" w:hAnsi="宋体" w:eastAsia="宋体"/>
          <w:sz w:val="28"/>
          <w:szCs w:val="28"/>
        </w:rPr>
      </w:pPr>
      <w:bookmarkStart w:id="19" w:name="_Toc120103815"/>
      <w:r>
        <w:rPr>
          <w:rFonts w:hint="eastAsia" w:ascii="宋体" w:hAnsi="宋体" w:eastAsia="宋体"/>
          <w:sz w:val="28"/>
          <w:szCs w:val="28"/>
        </w:rPr>
        <w:t>3．陕西省中小企业政府采购信用融资办法</w:t>
      </w:r>
      <w:bookmarkEnd w:id="19"/>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链接地址：</w:t>
      </w:r>
      <w:r>
        <w:fldChar w:fldCharType="begin"/>
      </w:r>
      <w:r>
        <w:instrText xml:space="preserve"> HYPERLINK "http://www.ccgp-shaanxi.gov.cn/zcdservice/zcd/shanxi/article/zcdt/1390497710741917696" </w:instrText>
      </w:r>
      <w:r>
        <w:fldChar w:fldCharType="separate"/>
      </w:r>
      <w:r>
        <w:rPr>
          <w:rStyle w:val="46"/>
          <w:rFonts w:hint="eastAsia" w:ascii="宋体" w:hAnsi="宋体" w:eastAsia="宋体"/>
          <w:color w:val="auto"/>
          <w:sz w:val="28"/>
          <w:szCs w:val="28"/>
          <w:u w:val="none"/>
        </w:rPr>
        <w:t>http://www.ccgp-shaanxi.gov.cn/zcdservice/zcd/shanxi/article/zcdt/1390497710741917696</w:t>
      </w:r>
      <w:r>
        <w:rPr>
          <w:rStyle w:val="46"/>
          <w:rFonts w:hint="eastAsia" w:ascii="宋体" w:hAnsi="宋体" w:eastAsia="宋体"/>
          <w:color w:val="auto"/>
          <w:sz w:val="28"/>
          <w:szCs w:val="28"/>
          <w:u w:val="none"/>
        </w:rPr>
        <w:fldChar w:fldCharType="end"/>
      </w:r>
    </w:p>
    <w:p>
      <w:pPr>
        <w:pStyle w:val="108"/>
        <w:spacing w:before="120" w:after="120"/>
        <w:ind w:firstLine="562"/>
        <w:rPr>
          <w:rFonts w:ascii="宋体" w:hAnsi="宋体" w:eastAsia="宋体"/>
          <w:sz w:val="28"/>
          <w:szCs w:val="28"/>
        </w:rPr>
      </w:pPr>
      <w:bookmarkStart w:id="20" w:name="_Toc120103816"/>
      <w:r>
        <w:rPr>
          <w:rFonts w:hint="eastAsia" w:ascii="宋体" w:hAnsi="宋体" w:eastAsia="宋体"/>
          <w:sz w:val="28"/>
          <w:szCs w:val="28"/>
        </w:rPr>
        <w:t>（七）关于现场踏勘和集中答疑</w:t>
      </w:r>
      <w:bookmarkEnd w:id="20"/>
    </w:p>
    <w:p>
      <w:pPr>
        <w:spacing w:line="560" w:lineRule="exact"/>
        <w:ind w:firstLine="560" w:firstLineChars="200"/>
        <w:jc w:val="both"/>
        <w:rPr>
          <w:rFonts w:ascii="宋体" w:hAnsi="宋体" w:eastAsia="宋体"/>
          <w:sz w:val="28"/>
          <w:szCs w:val="28"/>
        </w:rPr>
      </w:pPr>
      <w:r>
        <w:rPr>
          <w:rFonts w:ascii="宋体" w:hAnsi="宋体" w:eastAsia="宋体"/>
          <w:sz w:val="28"/>
          <w:szCs w:val="28"/>
        </w:rPr>
        <w:t>不组织。供应商认为有必要可自行勘查，并承担所有费用及风险</w:t>
      </w:r>
      <w:r>
        <w:rPr>
          <w:rFonts w:hint="eastAsia" w:ascii="宋体" w:hAnsi="宋体" w:eastAsia="宋体"/>
          <w:sz w:val="28"/>
          <w:szCs w:val="28"/>
        </w:rPr>
        <w:t>。</w:t>
      </w:r>
    </w:p>
    <w:p>
      <w:pPr>
        <w:pStyle w:val="108"/>
        <w:spacing w:before="120" w:after="120"/>
        <w:ind w:firstLine="562"/>
        <w:rPr>
          <w:rFonts w:ascii="宋体" w:hAnsi="宋体" w:eastAsia="宋体"/>
          <w:sz w:val="28"/>
          <w:szCs w:val="28"/>
        </w:rPr>
      </w:pPr>
      <w:bookmarkStart w:id="21" w:name="_Toc120103817"/>
      <w:r>
        <w:rPr>
          <w:rFonts w:hint="eastAsia" w:ascii="宋体" w:hAnsi="宋体" w:eastAsia="宋体"/>
          <w:sz w:val="28"/>
          <w:szCs w:val="28"/>
        </w:rPr>
        <w:t>（八）关于同一品牌产品的处理</w:t>
      </w:r>
      <w:bookmarkEnd w:id="21"/>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3．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108"/>
        <w:spacing w:before="120" w:after="120"/>
        <w:ind w:firstLine="562"/>
        <w:rPr>
          <w:rFonts w:ascii="宋体" w:hAnsi="宋体" w:eastAsia="宋体"/>
          <w:sz w:val="28"/>
          <w:szCs w:val="28"/>
        </w:rPr>
      </w:pPr>
      <w:bookmarkStart w:id="22" w:name="_Toc120103818"/>
      <w:r>
        <w:rPr>
          <w:rFonts w:hint="eastAsia" w:ascii="宋体" w:hAnsi="宋体" w:eastAsia="宋体"/>
          <w:sz w:val="28"/>
          <w:szCs w:val="28"/>
        </w:rPr>
        <w:t>（九）关于知识产权和保密事项</w:t>
      </w:r>
      <w:bookmarkEnd w:id="22"/>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1．所有涉及知识产权的产品及设计，供应商必须确保委托人、采购人拥有其合法的、不受限制的无偿使用权，并免受任何侵权诉讼或索偿；否则，由此产生的一切经济损失和法律责任由供应商承担。</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pPr>
        <w:pStyle w:val="108"/>
        <w:spacing w:before="120" w:after="120"/>
        <w:ind w:firstLine="562"/>
        <w:rPr>
          <w:rFonts w:ascii="宋体" w:hAnsi="宋体" w:eastAsia="宋体"/>
          <w:sz w:val="28"/>
          <w:szCs w:val="28"/>
        </w:rPr>
      </w:pPr>
      <w:bookmarkStart w:id="23" w:name="_Toc120103819"/>
      <w:r>
        <w:rPr>
          <w:rFonts w:hint="eastAsia" w:ascii="宋体" w:hAnsi="宋体" w:eastAsia="宋体"/>
          <w:sz w:val="28"/>
          <w:szCs w:val="28"/>
        </w:rPr>
        <w:t>（十）关于信用记录的查询和使用</w:t>
      </w:r>
      <w:bookmarkEnd w:id="23"/>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1．根据财政部《关于在政府采购活动中查询及使用信用记录有关问题的通知》（财库〔2016〕125号）第二条有关要求，采购人将在资格审查阶段通过【信用中国】（</w:t>
      </w:r>
      <w:r>
        <w:fldChar w:fldCharType="begin"/>
      </w:r>
      <w:r>
        <w:instrText xml:space="preserve"> HYPERLINK "https://www.creditchina.gov.cn" </w:instrText>
      </w:r>
      <w:r>
        <w:fldChar w:fldCharType="separate"/>
      </w:r>
      <w:r>
        <w:rPr>
          <w:rStyle w:val="46"/>
          <w:rFonts w:hint="eastAsia" w:ascii="宋体" w:hAnsi="宋体" w:eastAsia="宋体"/>
          <w:color w:val="auto"/>
          <w:sz w:val="28"/>
          <w:szCs w:val="28"/>
          <w:u w:val="none"/>
        </w:rPr>
        <w:t>https://www.creditchina.gov.cn</w:t>
      </w:r>
      <w:r>
        <w:rPr>
          <w:rStyle w:val="46"/>
          <w:rFonts w:hint="eastAsia" w:ascii="宋体" w:hAnsi="宋体" w:eastAsia="宋体"/>
          <w:color w:val="auto"/>
          <w:sz w:val="28"/>
          <w:szCs w:val="28"/>
          <w:u w:val="none"/>
        </w:rPr>
        <w:fldChar w:fldCharType="end"/>
      </w:r>
      <w:r>
        <w:rPr>
          <w:rFonts w:hint="eastAsia" w:ascii="宋体" w:hAnsi="宋体" w:eastAsia="宋体"/>
          <w:sz w:val="28"/>
          <w:szCs w:val="28"/>
        </w:rPr>
        <w:t>/）和【中国政府采购网】（</w:t>
      </w:r>
      <w:r>
        <w:fldChar w:fldCharType="begin"/>
      </w:r>
      <w:r>
        <w:rPr>
          <w:rFonts w:ascii="宋体" w:hAnsi="宋体" w:eastAsia="宋体"/>
          <w:sz w:val="28"/>
          <w:szCs w:val="28"/>
        </w:rPr>
        <w:instrText xml:space="preserve">HYPERLINK "http://www.ccgp.gov.cn/"</w:instrText>
      </w:r>
      <w:r>
        <w:fldChar w:fldCharType="separate"/>
      </w:r>
      <w:r>
        <w:rPr>
          <w:rStyle w:val="46"/>
          <w:rFonts w:hint="eastAsia" w:ascii="宋体" w:hAnsi="宋体" w:eastAsia="宋体"/>
          <w:color w:val="auto"/>
          <w:sz w:val="28"/>
          <w:szCs w:val="28"/>
          <w:u w:val="none"/>
        </w:rPr>
        <w:t>http://www.ccgp.gov.cn/）</w:t>
      </w:r>
      <w:r>
        <w:rPr>
          <w:rStyle w:val="46"/>
          <w:rFonts w:ascii="宋体" w:hAnsi="宋体" w:eastAsia="宋体"/>
          <w:color w:val="auto"/>
          <w:sz w:val="28"/>
          <w:szCs w:val="28"/>
          <w:u w:val="none"/>
        </w:rPr>
        <w:fldChar w:fldCharType="end"/>
      </w:r>
      <w:r>
        <w:rPr>
          <w:rFonts w:hint="eastAsia" w:ascii="宋体" w:hAnsi="宋体" w:eastAsia="宋体"/>
          <w:sz w:val="28"/>
          <w:szCs w:val="28"/>
        </w:rPr>
        <w:t>对供应商的信用情况进行甄别。</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2．对列入失信被执行人、重大税收违法案件当事人名单、政府采购严重违法失信行为记录名单及其他不符合《中华人民共和国政府采购法》第二十二条规定条件的供应商，将拒绝其参与政府采购活动。</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3．供应商在参加政府采购活动前3年内因违法经营被禁止在一定期限内参加政府采购活动，期限届满的，可以参加政府采购活动的，但供应商应提供相关证明材料。</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4．信用记录查询结果打印后，将与其他采购文件一并保存。</w:t>
      </w:r>
    </w:p>
    <w:p>
      <w:pPr>
        <w:pStyle w:val="108"/>
        <w:spacing w:before="120" w:after="120"/>
        <w:ind w:firstLine="562"/>
        <w:rPr>
          <w:rFonts w:ascii="宋体" w:hAnsi="宋体" w:eastAsia="宋体"/>
          <w:sz w:val="28"/>
          <w:szCs w:val="28"/>
        </w:rPr>
      </w:pPr>
      <w:bookmarkStart w:id="24" w:name="_Toc120103820"/>
      <w:r>
        <w:rPr>
          <w:rFonts w:hint="eastAsia" w:ascii="宋体" w:hAnsi="宋体" w:eastAsia="宋体"/>
          <w:sz w:val="28"/>
          <w:szCs w:val="28"/>
        </w:rPr>
        <w:t>（十一）其他重要事项</w:t>
      </w:r>
      <w:bookmarkEnd w:id="24"/>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1．招标文件内所附网络链接仅供参考，不保证其长期有效性。</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2．供应商的投标费用自理。</w:t>
      </w:r>
    </w:p>
    <w:p>
      <w:pPr>
        <w:pStyle w:val="4"/>
        <w:ind w:firstLine="560"/>
        <w:rPr>
          <w:rFonts w:ascii="宋体" w:hAnsi="宋体" w:eastAsia="宋体"/>
          <w:sz w:val="28"/>
          <w:szCs w:val="28"/>
        </w:rPr>
      </w:pPr>
      <w:bookmarkStart w:id="25" w:name="_Toc120103821"/>
      <w:r>
        <w:rPr>
          <w:rFonts w:ascii="宋体" w:hAnsi="宋体" w:eastAsia="宋体"/>
          <w:sz w:val="28"/>
          <w:szCs w:val="28"/>
        </w:rPr>
        <w:t>三、招标文件</w:t>
      </w:r>
      <w:bookmarkEnd w:id="25"/>
    </w:p>
    <w:p>
      <w:pPr>
        <w:pStyle w:val="108"/>
        <w:spacing w:before="120" w:after="120"/>
        <w:ind w:firstLine="562"/>
        <w:rPr>
          <w:rFonts w:ascii="宋体" w:hAnsi="宋体" w:eastAsia="宋体"/>
          <w:sz w:val="28"/>
          <w:szCs w:val="28"/>
        </w:rPr>
      </w:pPr>
      <w:bookmarkStart w:id="26" w:name="_Toc120103822"/>
      <w:r>
        <w:rPr>
          <w:rFonts w:ascii="宋体" w:hAnsi="宋体" w:eastAsia="宋体"/>
          <w:sz w:val="28"/>
          <w:szCs w:val="28"/>
        </w:rPr>
        <w:t>（一）招标</w:t>
      </w:r>
      <w:r>
        <w:rPr>
          <w:rFonts w:hint="eastAsia" w:ascii="宋体" w:hAnsi="宋体" w:eastAsia="宋体"/>
          <w:sz w:val="28"/>
          <w:szCs w:val="28"/>
        </w:rPr>
        <w:t>文件的解释权</w:t>
      </w:r>
      <w:bookmarkEnd w:id="26"/>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本项目招标文件的解释权归采购代理机构，评标委员会成员应根据政府采购法律法规和招标文件所载明的评审方法、标准进行评审。</w:t>
      </w:r>
    </w:p>
    <w:p>
      <w:pPr>
        <w:pStyle w:val="108"/>
        <w:spacing w:before="120" w:after="120"/>
        <w:ind w:firstLine="562"/>
        <w:rPr>
          <w:rFonts w:ascii="宋体" w:hAnsi="宋体" w:eastAsia="宋体"/>
          <w:sz w:val="28"/>
          <w:szCs w:val="28"/>
        </w:rPr>
      </w:pPr>
      <w:bookmarkStart w:id="27" w:name="_Toc120103823"/>
      <w:r>
        <w:rPr>
          <w:rFonts w:hint="eastAsia" w:ascii="宋体" w:hAnsi="宋体" w:eastAsia="宋体"/>
          <w:sz w:val="28"/>
          <w:szCs w:val="28"/>
        </w:rPr>
        <w:t>（二）招标文件主要内容</w:t>
      </w:r>
      <w:bookmarkEnd w:id="27"/>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第1章  投标邀请函</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第2章  供应商须知</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第3章  招标内容及要求</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第4章  合同文本</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第5章  投标文件构成及格式</w:t>
      </w:r>
    </w:p>
    <w:p>
      <w:pPr>
        <w:pStyle w:val="108"/>
        <w:spacing w:before="120" w:after="120"/>
        <w:ind w:firstLine="562"/>
        <w:rPr>
          <w:rFonts w:ascii="宋体" w:hAnsi="宋体" w:eastAsia="宋体"/>
          <w:sz w:val="28"/>
          <w:szCs w:val="28"/>
        </w:rPr>
      </w:pPr>
      <w:bookmarkStart w:id="28" w:name="_Toc120103824"/>
      <w:r>
        <w:rPr>
          <w:rFonts w:hint="eastAsia" w:ascii="宋体" w:hAnsi="宋体" w:eastAsia="宋体"/>
          <w:sz w:val="28"/>
          <w:szCs w:val="28"/>
        </w:rPr>
        <w:t>（三）招标文件的检查及阅读</w:t>
      </w:r>
      <w:bookmarkEnd w:id="28"/>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供应商应认真阅读和充分理解招标文件中所有的事项、格式条款和规范要求，在投标文件中对招标文件做出全面响 应，并按招标文件的要求提交全部资料。</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项目废标后重新组织招标的，采购代理机构将重新编制、发布新版招标文件，供应商应按新版招标文件重新编制投标文件。原招标文件及投标文件失效。</w:t>
      </w:r>
    </w:p>
    <w:p>
      <w:pPr>
        <w:pStyle w:val="108"/>
        <w:spacing w:before="120" w:after="120"/>
        <w:ind w:firstLine="562"/>
        <w:rPr>
          <w:rFonts w:ascii="宋体" w:hAnsi="宋体" w:eastAsia="宋体"/>
          <w:sz w:val="28"/>
          <w:szCs w:val="28"/>
        </w:rPr>
      </w:pPr>
      <w:bookmarkStart w:id="29" w:name="_Toc120103825"/>
      <w:r>
        <w:rPr>
          <w:rFonts w:hint="eastAsia" w:ascii="宋体" w:hAnsi="宋体" w:eastAsia="宋体"/>
          <w:sz w:val="28"/>
          <w:szCs w:val="28"/>
        </w:rPr>
        <w:t>（四）招标文件的修改、澄清</w:t>
      </w:r>
      <w:bookmarkEnd w:id="29"/>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1．提交投标文件截止之日前，采购人或采购代理机构可能对已发出的招标文件进行澄清或者修改，澄清或者修改的内容为招标文件的组成部分。</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2．当需要澄清或修改时，采购代理机构将在提交投标文件截止之日15日前，在财政部门指定的“政府采购信息发布媒体”上发布变更公告；不足15日的，将顺延提交投标文件截止时间。</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4．请各供应商在提交投标文件截止时间之前，务必随时关注“政府采购信息发布媒体”上发布的变更公告，采购代理机构不再另行通知，因供应商未及时关注所造成的一切后果由供应商自行承担：</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w:t>
      </w:r>
      <w:r>
        <w:fldChar w:fldCharType="begin"/>
      </w:r>
      <w:r>
        <w:rPr>
          <w:rFonts w:ascii="宋体" w:hAnsi="宋体" w:eastAsia="宋体"/>
          <w:sz w:val="28"/>
          <w:szCs w:val="28"/>
        </w:rPr>
        <w:instrText xml:space="preserve">HYPERLINK "http://www.ccgp-shaanxi.gov.cn"</w:instrText>
      </w:r>
      <w:r>
        <w:fldChar w:fldCharType="separate"/>
      </w:r>
      <w:r>
        <w:rPr>
          <w:rStyle w:val="46"/>
          <w:rFonts w:hint="eastAsia" w:ascii="宋体" w:hAnsi="宋体" w:eastAsia="宋体"/>
          <w:color w:val="auto"/>
          <w:sz w:val="28"/>
          <w:szCs w:val="28"/>
          <w:u w:val="none"/>
        </w:rPr>
        <w:t>陕西省政府采购网</w:t>
      </w:r>
      <w:r>
        <w:rPr>
          <w:rStyle w:val="46"/>
          <w:rFonts w:ascii="宋体" w:hAnsi="宋体" w:eastAsia="宋体"/>
          <w:color w:val="auto"/>
          <w:sz w:val="28"/>
          <w:szCs w:val="28"/>
          <w:u w:val="none"/>
        </w:rPr>
        <w:fldChar w:fldCharType="end"/>
      </w:r>
      <w:r>
        <w:rPr>
          <w:rFonts w:hint="eastAsia" w:ascii="宋体" w:hAnsi="宋体" w:eastAsia="宋体"/>
          <w:sz w:val="28"/>
          <w:szCs w:val="28"/>
        </w:rPr>
        <w:t>】（</w:t>
      </w:r>
      <w:r>
        <w:fldChar w:fldCharType="begin"/>
      </w:r>
      <w:r>
        <w:instrText xml:space="preserve"> HYPERLINK "http://www.ccgp-shaanxi.gov.cn/" </w:instrText>
      </w:r>
      <w:r>
        <w:fldChar w:fldCharType="separate"/>
      </w:r>
      <w:r>
        <w:rPr>
          <w:rStyle w:val="46"/>
          <w:rFonts w:hint="eastAsia" w:ascii="宋体" w:hAnsi="宋体" w:eastAsia="宋体"/>
          <w:color w:val="auto"/>
          <w:sz w:val="28"/>
          <w:szCs w:val="28"/>
          <w:u w:val="none"/>
        </w:rPr>
        <w:t>http://www.ccgp-shaanxi.gov.cn/</w:t>
      </w:r>
      <w:r>
        <w:rPr>
          <w:rStyle w:val="46"/>
          <w:rFonts w:hint="eastAsia" w:ascii="宋体" w:hAnsi="宋体" w:eastAsia="宋体"/>
          <w:color w:val="auto"/>
          <w:sz w:val="28"/>
          <w:szCs w:val="28"/>
          <w:u w:val="none"/>
        </w:rPr>
        <w:fldChar w:fldCharType="end"/>
      </w:r>
      <w:r>
        <w:rPr>
          <w:rFonts w:hint="eastAsia" w:ascii="宋体" w:hAnsi="宋体" w:eastAsia="宋体"/>
          <w:sz w:val="28"/>
          <w:szCs w:val="28"/>
        </w:rPr>
        <w:t>）中的〖首页·〉信息公告·〉市级·〉西安市〗；</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w:t>
      </w:r>
      <w:r>
        <w:fldChar w:fldCharType="begin"/>
      </w:r>
      <w:r>
        <w:rPr>
          <w:rFonts w:ascii="宋体" w:hAnsi="宋体" w:eastAsia="宋体"/>
          <w:sz w:val="28"/>
          <w:szCs w:val="28"/>
        </w:rPr>
        <w:instrText xml:space="preserve">HYPERLINK "http://xa.sxggzyjy.cn/"</w:instrText>
      </w:r>
      <w:r>
        <w:fldChar w:fldCharType="separate"/>
      </w:r>
      <w:r>
        <w:rPr>
          <w:rStyle w:val="46"/>
          <w:rFonts w:hint="eastAsia" w:ascii="宋体" w:hAnsi="宋体" w:eastAsia="宋体"/>
          <w:color w:val="auto"/>
          <w:sz w:val="28"/>
          <w:szCs w:val="28"/>
          <w:u w:val="none"/>
        </w:rPr>
        <w:t>全国公共资源交易网（陕西省·西安市）</w:t>
      </w:r>
      <w:r>
        <w:rPr>
          <w:rStyle w:val="46"/>
          <w:rFonts w:ascii="宋体" w:hAnsi="宋体" w:eastAsia="宋体"/>
          <w:color w:val="auto"/>
          <w:sz w:val="28"/>
          <w:szCs w:val="28"/>
          <w:u w:val="none"/>
        </w:rPr>
        <w:fldChar w:fldCharType="end"/>
      </w:r>
      <w:r>
        <w:rPr>
          <w:rFonts w:hint="eastAsia" w:ascii="宋体" w:hAnsi="宋体" w:eastAsia="宋体"/>
          <w:sz w:val="28"/>
          <w:szCs w:val="28"/>
        </w:rPr>
        <w:t>】（</w:t>
      </w:r>
      <w:r>
        <w:fldChar w:fldCharType="begin"/>
      </w:r>
      <w:r>
        <w:instrText xml:space="preserve"> HYPERLINK "http://sxggzyjy.xa.gov.cn/" </w:instrText>
      </w:r>
      <w:r>
        <w:fldChar w:fldCharType="separate"/>
      </w:r>
      <w:r>
        <w:rPr>
          <w:rStyle w:val="46"/>
          <w:rFonts w:hint="eastAsia" w:ascii="宋体" w:hAnsi="宋体" w:eastAsia="宋体"/>
          <w:color w:val="auto"/>
          <w:sz w:val="28"/>
          <w:szCs w:val="28"/>
          <w:u w:val="none"/>
        </w:rPr>
        <w:t>http://sxggzyjy.xa.gov.cn/</w:t>
      </w:r>
      <w:r>
        <w:rPr>
          <w:rStyle w:val="46"/>
          <w:rFonts w:hint="eastAsia" w:ascii="宋体" w:hAnsi="宋体" w:eastAsia="宋体"/>
          <w:color w:val="auto"/>
          <w:sz w:val="28"/>
          <w:szCs w:val="28"/>
          <w:u w:val="none"/>
        </w:rPr>
        <w:fldChar w:fldCharType="end"/>
      </w:r>
      <w:r>
        <w:rPr>
          <w:rFonts w:hint="eastAsia" w:ascii="宋体" w:hAnsi="宋体" w:eastAsia="宋体"/>
          <w:sz w:val="28"/>
          <w:szCs w:val="28"/>
        </w:rPr>
        <w:t>）中的〖首页·〉交易大厅·〉政府采购〗。</w:t>
      </w:r>
    </w:p>
    <w:p>
      <w:pPr>
        <w:pStyle w:val="4"/>
        <w:ind w:firstLine="560"/>
        <w:rPr>
          <w:rFonts w:ascii="宋体" w:hAnsi="宋体" w:eastAsia="宋体"/>
          <w:sz w:val="28"/>
          <w:szCs w:val="28"/>
        </w:rPr>
      </w:pPr>
      <w:bookmarkStart w:id="30" w:name="_Toc120103826"/>
      <w:r>
        <w:rPr>
          <w:rFonts w:ascii="宋体" w:hAnsi="宋体" w:eastAsia="宋体"/>
          <w:sz w:val="28"/>
          <w:szCs w:val="28"/>
        </w:rPr>
        <w:t>四、投标文件</w:t>
      </w:r>
      <w:bookmarkEnd w:id="30"/>
    </w:p>
    <w:p>
      <w:pPr>
        <w:pStyle w:val="108"/>
        <w:spacing w:before="120" w:after="120"/>
        <w:ind w:firstLine="562"/>
        <w:rPr>
          <w:rFonts w:ascii="宋体" w:hAnsi="宋体" w:eastAsia="宋体"/>
          <w:sz w:val="28"/>
          <w:szCs w:val="28"/>
        </w:rPr>
      </w:pPr>
      <w:bookmarkStart w:id="31" w:name="_Toc120103827"/>
      <w:r>
        <w:rPr>
          <w:rFonts w:hint="eastAsia" w:ascii="宋体" w:hAnsi="宋体" w:eastAsia="宋体"/>
          <w:sz w:val="28"/>
          <w:szCs w:val="28"/>
        </w:rPr>
        <w:t>（一）投标文件的式样</w:t>
      </w:r>
      <w:bookmarkEnd w:id="31"/>
    </w:p>
    <w:p>
      <w:pPr>
        <w:pStyle w:val="107"/>
        <w:rPr>
          <w:rFonts w:ascii="宋体" w:hAnsi="宋体" w:eastAsia="宋体"/>
          <w:sz w:val="28"/>
          <w:szCs w:val="28"/>
        </w:rPr>
      </w:pPr>
      <w:bookmarkStart w:id="32" w:name="_Toc120103828"/>
      <w:r>
        <w:rPr>
          <w:rFonts w:ascii="宋体" w:hAnsi="宋体" w:eastAsia="宋体"/>
          <w:sz w:val="28"/>
          <w:szCs w:val="28"/>
        </w:rPr>
        <w:t>1</w:t>
      </w:r>
      <w:r>
        <w:rPr>
          <w:rFonts w:hint="eastAsia" w:ascii="宋体" w:hAnsi="宋体" w:eastAsia="宋体"/>
          <w:sz w:val="28"/>
          <w:szCs w:val="28"/>
        </w:rPr>
        <w:t>．组成</w:t>
      </w:r>
      <w:r>
        <w:rPr>
          <w:rFonts w:ascii="宋体" w:hAnsi="宋体" w:eastAsia="宋体"/>
          <w:sz w:val="28"/>
          <w:szCs w:val="28"/>
        </w:rPr>
        <w:t>及格式</w:t>
      </w:r>
      <w:bookmarkEnd w:id="32"/>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供应商依照招标文件第五章《投标文件构成及格式》给定形式进行编制投标文件。项目分标段的，应按所投标段分别准备投标文件。</w:t>
      </w:r>
    </w:p>
    <w:p>
      <w:pPr>
        <w:pStyle w:val="107"/>
        <w:rPr>
          <w:rFonts w:ascii="宋体" w:hAnsi="宋体" w:eastAsia="宋体"/>
          <w:sz w:val="28"/>
          <w:szCs w:val="28"/>
        </w:rPr>
      </w:pPr>
      <w:bookmarkStart w:id="33" w:name="_Toc120103829"/>
      <w:r>
        <w:rPr>
          <w:rFonts w:hint="eastAsia" w:ascii="宋体" w:hAnsi="宋体" w:eastAsia="宋体"/>
          <w:sz w:val="28"/>
          <w:szCs w:val="28"/>
        </w:rPr>
        <w:t>2．语言</w:t>
      </w:r>
      <w:bookmarkEnd w:id="33"/>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招标活动的所有文件、资料、函电文字均使用简体中文，确需提交用其他语言形成的资料，必须翻译成简体中文，如有差异，以简体中文为准。</w:t>
      </w:r>
    </w:p>
    <w:p>
      <w:pPr>
        <w:pStyle w:val="107"/>
        <w:rPr>
          <w:rFonts w:ascii="宋体" w:hAnsi="宋体" w:eastAsia="宋体"/>
          <w:sz w:val="28"/>
          <w:szCs w:val="28"/>
        </w:rPr>
      </w:pPr>
      <w:bookmarkStart w:id="34" w:name="_Toc120103830"/>
      <w:r>
        <w:rPr>
          <w:rFonts w:hint="eastAsia" w:ascii="宋体" w:hAnsi="宋体" w:eastAsia="宋体"/>
          <w:sz w:val="28"/>
          <w:szCs w:val="28"/>
        </w:rPr>
        <w:t>3．</w:t>
      </w:r>
      <w:r>
        <w:rPr>
          <w:rFonts w:ascii="宋体" w:hAnsi="宋体" w:eastAsia="宋体"/>
          <w:sz w:val="28"/>
          <w:szCs w:val="28"/>
        </w:rPr>
        <w:t>计量单位</w:t>
      </w:r>
      <w:bookmarkEnd w:id="34"/>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投标文件的计量单位应使用中华人民共和国法定计量单位，但招标文件另有规定的除外。</w:t>
      </w:r>
    </w:p>
    <w:p>
      <w:pPr>
        <w:pStyle w:val="108"/>
        <w:spacing w:before="120" w:after="120"/>
        <w:ind w:firstLine="562"/>
        <w:rPr>
          <w:rFonts w:ascii="宋体" w:hAnsi="宋体" w:eastAsia="宋体"/>
          <w:sz w:val="28"/>
          <w:szCs w:val="28"/>
        </w:rPr>
      </w:pPr>
      <w:bookmarkStart w:id="35" w:name="_Toc120103831"/>
      <w:r>
        <w:rPr>
          <w:rFonts w:hint="eastAsia" w:ascii="宋体" w:hAnsi="宋体" w:eastAsia="宋体"/>
          <w:sz w:val="28"/>
          <w:szCs w:val="28"/>
        </w:rPr>
        <w:t>（二）投标文件的有效期</w:t>
      </w:r>
      <w:bookmarkEnd w:id="35"/>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投标文件有效期为自开标之日起不少于90个日历日。如中标，延长至合同执行完毕时止。</w:t>
      </w:r>
    </w:p>
    <w:p>
      <w:pPr>
        <w:pStyle w:val="108"/>
        <w:spacing w:before="120" w:after="120"/>
        <w:ind w:firstLine="562"/>
        <w:rPr>
          <w:rFonts w:ascii="宋体" w:hAnsi="宋体" w:eastAsia="宋体"/>
          <w:sz w:val="28"/>
          <w:szCs w:val="28"/>
        </w:rPr>
      </w:pPr>
      <w:bookmarkStart w:id="36" w:name="_Toc120103832"/>
      <w:r>
        <w:rPr>
          <w:rFonts w:hint="eastAsia" w:ascii="宋体" w:hAnsi="宋体" w:eastAsia="宋体"/>
          <w:sz w:val="28"/>
          <w:szCs w:val="28"/>
        </w:rPr>
        <w:t>（三）投标报价</w:t>
      </w:r>
      <w:bookmarkEnd w:id="36"/>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投标报价是供应商响应采购项目要求的全部工作内容的价格体现，包括完成采购内容所需的直接费、间接费、利润、税金及其它相关的一切费用。</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1．供应商在报价时应充分考虑所有可能发生的费用，招标文件未列明，而供应商认为应当计取的费用均应列入报价中。报价时不论是否计取，采购人均按已计取对待。</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2．供应商应严格按照《投标文件构成及格式》第二部分《开标一览表》中的相关要求填写分类报价及其他需要响应的内容。投标报价只能提交唯一报价，任何有选择的报价将不予接受，按无效投标处理。</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3．投标报价货币：人民币；单位：元。</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4．投标文件报价出现前后不一致的，除招标文件另有规定外，按照下列规则修正：</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（1）投标文件中开标一览表内容与投标文件中其他位置相应内容表述不一致的，以开标一览表为准；</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（2）大写金额和小写金额不一致的，以大写金额为准；</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（3）单价金额小数点或者百分比有明显错位的，以开标一览表的总价为准，并修改单价；</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（4）总价金额与按单价汇总金额不一致的，以单价金额计算结果为准。</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同时出现两种以上不一致的，按照前款规定的顺序修正。修正后的报价经供应商确认后产生约束力，供应商不确认的，其投标无效。</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5．因供应商对招标文件理解不透、误解、疏漏或对市场行情了解不清造成的后果和风险，均由供应商自己负责。</w:t>
      </w:r>
    </w:p>
    <w:p>
      <w:pPr>
        <w:pStyle w:val="108"/>
        <w:spacing w:before="120" w:after="120"/>
        <w:ind w:firstLine="562"/>
        <w:rPr>
          <w:rFonts w:ascii="宋体" w:hAnsi="宋体" w:eastAsia="宋体"/>
          <w:sz w:val="28"/>
          <w:szCs w:val="28"/>
        </w:rPr>
      </w:pPr>
      <w:bookmarkStart w:id="37" w:name="_Toc120103833"/>
      <w:r>
        <w:rPr>
          <w:rFonts w:hint="eastAsia" w:ascii="宋体" w:hAnsi="宋体" w:eastAsia="宋体"/>
          <w:sz w:val="28"/>
          <w:szCs w:val="28"/>
        </w:rPr>
        <w:t>（四）投标文件的制作和签章</w:t>
      </w:r>
      <w:bookmarkEnd w:id="37"/>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链接地址：</w:t>
      </w:r>
    </w:p>
    <w:p>
      <w:pPr>
        <w:spacing w:line="560" w:lineRule="exact"/>
        <w:ind w:firstLine="480" w:firstLineChars="200"/>
        <w:jc w:val="both"/>
        <w:rPr>
          <w:rFonts w:ascii="宋体" w:hAnsi="宋体" w:eastAsia="宋体"/>
          <w:sz w:val="28"/>
          <w:szCs w:val="28"/>
        </w:rPr>
      </w:pPr>
      <w:r>
        <w:fldChar w:fldCharType="begin"/>
      </w:r>
      <w:r>
        <w:instrText xml:space="preserve"> HYPERLINK "http://sxggzyjy.xa.gov.cn/fwzn/004003/20181115/4d59c184-e8f6-4d5a-a416-c2f6b0601e66.html" </w:instrText>
      </w:r>
      <w:r>
        <w:fldChar w:fldCharType="separate"/>
      </w:r>
      <w:r>
        <w:rPr>
          <w:rStyle w:val="46"/>
          <w:rFonts w:hint="eastAsia" w:ascii="宋体" w:hAnsi="宋体" w:eastAsia="宋体"/>
          <w:color w:val="auto"/>
          <w:sz w:val="28"/>
          <w:szCs w:val="28"/>
        </w:rPr>
        <w:t>http://sxggzyjy.xa.gov.cn/fwzn/004003/20181115/4d59c184-e8f6-4d5a-a416-c2f6b0601e66.html</w:t>
      </w:r>
      <w:r>
        <w:rPr>
          <w:rStyle w:val="46"/>
          <w:rFonts w:hint="eastAsia" w:ascii="宋体" w:hAnsi="宋体" w:eastAsia="宋体"/>
          <w:color w:val="auto"/>
          <w:sz w:val="28"/>
          <w:szCs w:val="28"/>
        </w:rPr>
        <w:fldChar w:fldCharType="end"/>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3．电子投标文件制作过程中，需要法定代表人签字或盖章的地方，请使用“法人CA锁”进行签章；需要加盖供应商公章的地方，请使用“企业CA锁”进行签章。</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若导出的PDF文件里看不到签章，请尝试使用专用制作软件中的“查看投标文件工具”打开未加密的电子投标文件重新导出。在制作过程中，如有其他技术性问题，请先翻阅操作手册，或致电软件开发商。</w:t>
      </w:r>
    </w:p>
    <w:p>
      <w:pPr>
        <w:pStyle w:val="108"/>
        <w:spacing w:before="120" w:after="120"/>
        <w:ind w:firstLine="562"/>
        <w:rPr>
          <w:rFonts w:ascii="宋体" w:hAnsi="宋体" w:eastAsia="宋体"/>
          <w:sz w:val="28"/>
          <w:szCs w:val="28"/>
        </w:rPr>
      </w:pPr>
      <w:bookmarkStart w:id="38" w:name="_Toc120103834"/>
      <w:r>
        <w:rPr>
          <w:rFonts w:hint="eastAsia" w:ascii="宋体" w:hAnsi="宋体" w:eastAsia="宋体"/>
          <w:sz w:val="28"/>
          <w:szCs w:val="28"/>
        </w:rPr>
        <w:t>（五）投标文件的加密和提交</w:t>
      </w:r>
      <w:bookmarkEnd w:id="38"/>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1．在生成电子投标文件时，需要使用CA锁对投标文件进行加密。</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注意：加密投标文件和开标时解密投标文件应当使用同一CA，否则将会导致解密失败。</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3．上传文件有误或需要重新提交的，可先撤销已经上传的文件，然后重新上传新文件。</w:t>
      </w:r>
    </w:p>
    <w:p>
      <w:pPr>
        <w:pStyle w:val="108"/>
        <w:spacing w:before="120" w:after="120"/>
        <w:ind w:firstLine="562"/>
        <w:rPr>
          <w:rFonts w:ascii="宋体" w:hAnsi="宋体" w:eastAsia="宋体"/>
          <w:sz w:val="28"/>
          <w:szCs w:val="28"/>
        </w:rPr>
      </w:pPr>
      <w:bookmarkStart w:id="39" w:name="_Toc120103835"/>
      <w:r>
        <w:rPr>
          <w:rFonts w:hint="eastAsia" w:ascii="宋体" w:hAnsi="宋体" w:eastAsia="宋体"/>
          <w:sz w:val="28"/>
          <w:szCs w:val="28"/>
        </w:rPr>
        <w:t>（六）投标文件的补充、修改和撤回</w:t>
      </w:r>
      <w:bookmarkEnd w:id="39"/>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2．供应商在提交投标文件截止时间后，撤回投标文件的，投标保证金不予退还。</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pStyle w:val="108"/>
        <w:spacing w:before="120" w:after="120"/>
        <w:ind w:firstLine="562"/>
        <w:rPr>
          <w:rFonts w:ascii="宋体" w:hAnsi="宋体" w:eastAsia="宋体"/>
          <w:sz w:val="28"/>
          <w:szCs w:val="28"/>
        </w:rPr>
      </w:pPr>
      <w:bookmarkStart w:id="40" w:name="_Toc120103836"/>
      <w:r>
        <w:rPr>
          <w:rFonts w:hint="eastAsia" w:ascii="宋体" w:hAnsi="宋体" w:eastAsia="宋体"/>
          <w:sz w:val="28"/>
          <w:szCs w:val="28"/>
        </w:rPr>
        <w:t>（七）关于投标文件的雷同性分析</w:t>
      </w:r>
      <w:bookmarkEnd w:id="40"/>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若“文件创建标识码”一致，则表示不同投标供应商使用投标文件制作软件时，使用同一源工程文件，该情形建议由评标委员会结合项目情况综合判定。</w:t>
      </w:r>
    </w:p>
    <w:p>
      <w:pPr>
        <w:pStyle w:val="108"/>
        <w:spacing w:before="120" w:after="120"/>
        <w:ind w:firstLine="562"/>
        <w:rPr>
          <w:rFonts w:ascii="宋体" w:hAnsi="宋体" w:eastAsia="宋体"/>
          <w:sz w:val="28"/>
          <w:szCs w:val="28"/>
        </w:rPr>
      </w:pPr>
      <w:bookmarkStart w:id="41" w:name="_Toc120103837"/>
      <w:r>
        <w:rPr>
          <w:rFonts w:hint="eastAsia" w:ascii="宋体" w:hAnsi="宋体" w:eastAsia="宋体"/>
          <w:sz w:val="28"/>
          <w:szCs w:val="28"/>
        </w:rPr>
        <w:t>（八）投标文件被拒绝接收的情形</w:t>
      </w:r>
      <w:bookmarkEnd w:id="41"/>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1．误投的或采用旧版电子招标文件制作的；</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2．逾期提交电子投标文件的。</w:t>
      </w:r>
    </w:p>
    <w:p>
      <w:pPr>
        <w:pStyle w:val="4"/>
        <w:ind w:firstLine="560"/>
        <w:rPr>
          <w:rFonts w:ascii="宋体" w:hAnsi="宋体" w:eastAsia="宋体"/>
          <w:sz w:val="28"/>
          <w:szCs w:val="28"/>
        </w:rPr>
      </w:pPr>
      <w:bookmarkStart w:id="42" w:name="_Toc120103838"/>
      <w:r>
        <w:rPr>
          <w:rFonts w:hint="eastAsia" w:ascii="宋体" w:hAnsi="宋体" w:eastAsia="宋体"/>
          <w:sz w:val="28"/>
          <w:szCs w:val="28"/>
        </w:rPr>
        <w:t>五</w:t>
      </w:r>
      <w:r>
        <w:rPr>
          <w:rFonts w:ascii="宋体" w:hAnsi="宋体" w:eastAsia="宋体"/>
          <w:sz w:val="28"/>
          <w:szCs w:val="28"/>
        </w:rPr>
        <w:t>、开标</w:t>
      </w:r>
      <w:r>
        <w:rPr>
          <w:rFonts w:hint="eastAsia" w:ascii="宋体" w:hAnsi="宋体" w:eastAsia="宋体"/>
          <w:sz w:val="28"/>
          <w:szCs w:val="28"/>
        </w:rPr>
        <w:t>程序</w:t>
      </w:r>
      <w:bookmarkEnd w:id="42"/>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开标工作由采购代理机构组织实施，整个过程受同级政府采购监管机构的监督、管理。</w:t>
      </w:r>
    </w:p>
    <w:p>
      <w:pPr>
        <w:pStyle w:val="108"/>
        <w:spacing w:before="120" w:after="120"/>
        <w:ind w:firstLine="562"/>
        <w:rPr>
          <w:rFonts w:ascii="宋体" w:hAnsi="宋体" w:eastAsia="宋体"/>
          <w:sz w:val="28"/>
          <w:szCs w:val="28"/>
        </w:rPr>
      </w:pPr>
      <w:bookmarkStart w:id="43" w:name="_Toc120103839"/>
      <w:r>
        <w:rPr>
          <w:rFonts w:hint="eastAsia" w:ascii="宋体" w:hAnsi="宋体" w:eastAsia="宋体"/>
          <w:sz w:val="28"/>
          <w:szCs w:val="28"/>
        </w:rPr>
        <w:t>（一）“不见面开标”基本流程</w:t>
      </w:r>
      <w:bookmarkEnd w:id="43"/>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“不见面开标”是依托政府采购云平台实现的供应商在线参与开标的一种组织形式。供应商无需抵达开标现场，即可在线实现开标、解密、澄清等操作。</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1．供应商登录：开标前，请各供应商至少提前半小时登录西安市公共资源交易平台〖首页·〉不见面开标〗系统。</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2．主持人宣布开标：提交投标文件截止时间过后，系统将不再接收任何投标文件。</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4．唱标：对于公开招标项目，“不见面开标”系统将自动展示供应商名单及其投标报价。</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5．开标结束：进入评审环节。供应商请保持在线，评审期间评标委员会可能会要求供应商做相应的澄清。因供应商擅自离席造成的不利后果，由供应商自行承担。</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“不见面开标”系统操作说明：详见西安市公共资源交易平台〖首页·〉服务指南·〉下载专区〗中的《西安公共资源交易不见面开标大厅供应商操作手册》。</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链接地址：</w:t>
      </w:r>
      <w:r>
        <w:fldChar w:fldCharType="begin"/>
      </w:r>
      <w:r>
        <w:instrText xml:space="preserve"> HYPERLINK "http://sxggzyjy.xa.gov.cn/fwzn/004003/20200426/bc8b2c1e-abe2-4168-913c-68ff93345faf.html" </w:instrText>
      </w:r>
      <w:r>
        <w:fldChar w:fldCharType="separate"/>
      </w:r>
      <w:r>
        <w:rPr>
          <w:rStyle w:val="46"/>
          <w:rFonts w:hint="eastAsia" w:ascii="宋体" w:hAnsi="宋体" w:eastAsia="宋体"/>
          <w:color w:val="auto"/>
          <w:sz w:val="28"/>
          <w:szCs w:val="28"/>
          <w:u w:val="none"/>
        </w:rPr>
        <w:t>http://sxggzyjy.xa.gov.cn/fwzn/004003/20200426/bc8b2c1e-abe2-4168-913c-68ff93345faf.html</w:t>
      </w:r>
      <w:r>
        <w:rPr>
          <w:rStyle w:val="46"/>
          <w:rFonts w:hint="eastAsia" w:ascii="宋体" w:hAnsi="宋体" w:eastAsia="宋体"/>
          <w:color w:val="auto"/>
          <w:sz w:val="28"/>
          <w:szCs w:val="28"/>
          <w:u w:val="none"/>
        </w:rPr>
        <w:fldChar w:fldCharType="end"/>
      </w:r>
    </w:p>
    <w:p>
      <w:pPr>
        <w:rPr>
          <w:rFonts w:ascii="宋体" w:hAnsi="宋体" w:eastAsia="宋体"/>
          <w:sz w:val="32"/>
          <w:szCs w:val="32"/>
        </w:rPr>
      </w:pPr>
      <w:r>
        <w:rPr>
          <w:rFonts w:ascii="宋体" w:hAnsi="宋体" w:eastAsia="宋体"/>
          <w:sz w:val="32"/>
          <w:szCs w:val="32"/>
        </w:rPr>
        <w:br w:type="page"/>
      </w:r>
    </w:p>
    <w:p>
      <w:pPr>
        <w:spacing w:line="560" w:lineRule="exact"/>
        <w:rPr>
          <w:rFonts w:ascii="宋体" w:hAnsi="宋体" w:eastAsia="宋体"/>
          <w:sz w:val="28"/>
          <w:szCs w:val="28"/>
        </w:rPr>
      </w:pPr>
      <w:r>
        <w:rPr>
          <w:rFonts w:hint="eastAsia" w:ascii="宋体" w:hAnsi="宋体" w:eastAsia="宋体"/>
          <w:sz w:val="28"/>
          <w:szCs w:val="28"/>
        </w:rPr>
        <w:t>〖资格</w:t>
      </w:r>
      <w:r>
        <w:rPr>
          <w:rFonts w:ascii="宋体" w:hAnsi="宋体" w:eastAsia="宋体"/>
          <w:sz w:val="28"/>
          <w:szCs w:val="28"/>
        </w:rPr>
        <w:t>性审查表〗</w:t>
      </w:r>
    </w:p>
    <w:tbl>
      <w:tblPr>
        <w:tblStyle w:val="3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2336"/>
        <w:gridCol w:w="569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b/>
                <w:bCs/>
                <w:sz w:val="28"/>
                <w:szCs w:val="28"/>
              </w:rPr>
            </w:pPr>
            <w:r>
              <w:rPr>
                <w:rFonts w:ascii="宋体" w:hAnsi="宋体" w:eastAsia="宋体"/>
                <w:b/>
                <w:bCs/>
                <w:sz w:val="28"/>
                <w:szCs w:val="28"/>
              </w:rPr>
              <w:t>序号</w:t>
            </w:r>
          </w:p>
        </w:tc>
        <w:tc>
          <w:tcPr>
            <w:tcW w:w="2336"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b/>
                <w:bCs/>
                <w:sz w:val="28"/>
                <w:szCs w:val="28"/>
              </w:rPr>
            </w:pPr>
            <w:r>
              <w:rPr>
                <w:rFonts w:ascii="宋体" w:hAnsi="宋体" w:eastAsia="宋体"/>
                <w:b/>
                <w:bCs/>
                <w:sz w:val="28"/>
                <w:szCs w:val="28"/>
              </w:rPr>
              <w:t>资格项</w:t>
            </w:r>
          </w:p>
        </w:tc>
        <w:tc>
          <w:tcPr>
            <w:tcW w:w="5696"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b/>
                <w:bCs/>
                <w:sz w:val="28"/>
                <w:szCs w:val="28"/>
              </w:rPr>
            </w:pPr>
            <w:r>
              <w:rPr>
                <w:rFonts w:ascii="宋体" w:hAnsi="宋体" w:eastAsia="宋体"/>
                <w:b/>
                <w:bCs/>
                <w:sz w:val="28"/>
                <w:szCs w:val="28"/>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2" w:space="0"/>
            </w:tcBorders>
            <w:shd w:val="clear" w:color="auto" w:fill="auto"/>
            <w:vAlign w:val="center"/>
          </w:tcPr>
          <w:p>
            <w:pPr>
              <w:jc w:val="center"/>
              <w:rPr>
                <w:rFonts w:ascii="宋体" w:hAnsi="宋体" w:eastAsia="宋体"/>
                <w:sz w:val="28"/>
                <w:szCs w:val="28"/>
              </w:rPr>
            </w:pPr>
            <w:r>
              <w:rPr>
                <w:rFonts w:ascii="宋体" w:hAnsi="宋体" w:eastAsia="宋体"/>
                <w:sz w:val="28"/>
                <w:szCs w:val="28"/>
              </w:rPr>
              <w:t>一</w:t>
            </w:r>
          </w:p>
        </w:tc>
        <w:tc>
          <w:tcPr>
            <w:tcW w:w="8032" w:type="dxa"/>
            <w:gridSpan w:val="2"/>
            <w:tcBorders>
              <w:top w:val="single" w:color="auto" w:sz="2" w:space="0"/>
            </w:tcBorders>
            <w:shd w:val="clear" w:color="auto" w:fill="auto"/>
            <w:vAlign w:val="center"/>
          </w:tcPr>
          <w:p>
            <w:pPr>
              <w:jc w:val="center"/>
              <w:rPr>
                <w:rFonts w:ascii="宋体" w:hAnsi="宋体" w:eastAsia="宋体"/>
                <w:sz w:val="28"/>
                <w:szCs w:val="28"/>
              </w:rPr>
            </w:pPr>
            <w:r>
              <w:rPr>
                <w:rFonts w:hint="eastAsia" w:ascii="宋体" w:hAnsi="宋体" w:eastAsia="宋体"/>
                <w:sz w:val="28"/>
                <w:szCs w:val="28"/>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宋体" w:hAnsi="宋体" w:eastAsia="宋体"/>
                <w:sz w:val="28"/>
                <w:szCs w:val="28"/>
              </w:rPr>
            </w:pPr>
            <w:r>
              <w:rPr>
                <w:rFonts w:hint="eastAsia" w:ascii="宋体" w:hAnsi="宋体" w:eastAsia="宋体"/>
                <w:sz w:val="28"/>
                <w:szCs w:val="28"/>
              </w:rPr>
              <w:t>1</w:t>
            </w:r>
          </w:p>
        </w:tc>
        <w:tc>
          <w:tcPr>
            <w:tcW w:w="2336" w:type="dxa"/>
            <w:vAlign w:val="center"/>
          </w:tcPr>
          <w:p>
            <w:pPr>
              <w:jc w:val="center"/>
              <w:rPr>
                <w:rFonts w:ascii="宋体" w:hAnsi="宋体" w:eastAsia="宋体"/>
                <w:sz w:val="28"/>
                <w:szCs w:val="28"/>
              </w:rPr>
            </w:pPr>
            <w:r>
              <w:rPr>
                <w:rFonts w:hint="eastAsia" w:ascii="宋体" w:hAnsi="宋体" w:eastAsia="宋体"/>
                <w:sz w:val="28"/>
                <w:szCs w:val="28"/>
              </w:rPr>
              <w:t>有效的主体资格证明</w:t>
            </w:r>
          </w:p>
        </w:tc>
        <w:tc>
          <w:tcPr>
            <w:tcW w:w="5696" w:type="dxa"/>
            <w:vAlign w:val="center"/>
          </w:tcPr>
          <w:p>
            <w:pPr>
              <w:jc w:val="both"/>
              <w:rPr>
                <w:rFonts w:ascii="宋体" w:hAnsi="宋体" w:eastAsia="宋体"/>
                <w:sz w:val="28"/>
                <w:szCs w:val="28"/>
              </w:rPr>
            </w:pPr>
            <w:r>
              <w:rPr>
                <w:rFonts w:hint="eastAsia" w:ascii="宋体" w:hAnsi="宋体" w:eastAsia="宋体"/>
                <w:sz w:val="28"/>
                <w:szCs w:val="28"/>
              </w:rPr>
              <w:t>供应商应具有独立承担民事责任的能力且具备向采购人提供相关服务的企业法人或负责人、事业法人、其他组织或自然人，企业法人或负责人应提供统一社会信用代码的营业执照证明文件；事业法人应提供事业单位法人证明文件；其他组织应提供合法证明文件；自然人提供身份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宋体" w:hAnsi="宋体" w:eastAsia="宋体"/>
                <w:sz w:val="28"/>
                <w:szCs w:val="28"/>
              </w:rPr>
            </w:pPr>
            <w:r>
              <w:rPr>
                <w:rFonts w:hint="eastAsia" w:ascii="宋体" w:hAnsi="宋体" w:eastAsia="宋体"/>
                <w:sz w:val="28"/>
                <w:szCs w:val="28"/>
              </w:rPr>
              <w:t>2</w:t>
            </w:r>
          </w:p>
        </w:tc>
        <w:tc>
          <w:tcPr>
            <w:tcW w:w="2336" w:type="dxa"/>
            <w:vAlign w:val="center"/>
          </w:tcPr>
          <w:p>
            <w:pPr>
              <w:spacing w:line="440" w:lineRule="exact"/>
              <w:rPr>
                <w:rFonts w:ascii="宋体" w:hAnsi="宋体" w:eastAsia="宋体"/>
                <w:sz w:val="28"/>
                <w:szCs w:val="28"/>
              </w:rPr>
            </w:pPr>
            <w:r>
              <w:rPr>
                <w:rFonts w:hint="eastAsia" w:ascii="宋体" w:hAnsi="宋体" w:eastAsia="宋体"/>
                <w:sz w:val="28"/>
                <w:szCs w:val="28"/>
              </w:rPr>
              <w:t>法定代表人（主要负责人）委托授权书</w:t>
            </w:r>
            <w:r>
              <w:rPr>
                <w:rFonts w:ascii="宋体" w:hAnsi="宋体" w:eastAsia="宋体"/>
                <w:sz w:val="28"/>
                <w:szCs w:val="28"/>
              </w:rPr>
              <w:t>\身份证明</w:t>
            </w:r>
          </w:p>
        </w:tc>
        <w:tc>
          <w:tcPr>
            <w:tcW w:w="5696" w:type="dxa"/>
            <w:vAlign w:val="center"/>
          </w:tcPr>
          <w:p>
            <w:pPr>
              <w:spacing w:line="440" w:lineRule="exact"/>
              <w:rPr>
                <w:rFonts w:ascii="宋体" w:hAnsi="宋体" w:eastAsia="宋体"/>
                <w:sz w:val="28"/>
                <w:szCs w:val="28"/>
              </w:rPr>
            </w:pPr>
            <w:r>
              <w:rPr>
                <w:rFonts w:hint="eastAsia" w:ascii="宋体" w:hAnsi="宋体" w:eastAsia="宋体"/>
                <w:sz w:val="28"/>
                <w:szCs w:val="28"/>
              </w:rPr>
              <w:t>法定代表人（单位负责人）授权委托书、被授权人身份证（法定代表人（单位负责人）参加投标时,只需提供法定代表人（单位负责人）身份证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宋体" w:hAnsi="宋体" w:eastAsia="宋体"/>
                <w:sz w:val="28"/>
                <w:szCs w:val="28"/>
              </w:rPr>
            </w:pPr>
            <w:r>
              <w:rPr>
                <w:rFonts w:hint="eastAsia" w:ascii="宋体" w:hAnsi="宋体" w:eastAsia="宋体"/>
                <w:sz w:val="28"/>
                <w:szCs w:val="28"/>
              </w:rPr>
              <w:t>3</w:t>
            </w:r>
          </w:p>
        </w:tc>
        <w:tc>
          <w:tcPr>
            <w:tcW w:w="2336" w:type="dxa"/>
            <w:vAlign w:val="center"/>
          </w:tcPr>
          <w:p>
            <w:pPr>
              <w:spacing w:line="440" w:lineRule="exact"/>
              <w:rPr>
                <w:rFonts w:ascii="宋体" w:hAnsi="宋体" w:eastAsia="宋体"/>
                <w:sz w:val="28"/>
                <w:szCs w:val="28"/>
              </w:rPr>
            </w:pPr>
            <w:r>
              <w:rPr>
                <w:rFonts w:hint="eastAsia" w:ascii="宋体" w:hAnsi="宋体" w:eastAsia="宋体"/>
                <w:sz w:val="28"/>
                <w:szCs w:val="28"/>
              </w:rPr>
              <w:t>财务状况报告</w:t>
            </w:r>
          </w:p>
        </w:tc>
        <w:tc>
          <w:tcPr>
            <w:tcW w:w="5696" w:type="dxa"/>
            <w:vAlign w:val="center"/>
          </w:tcPr>
          <w:p>
            <w:pPr>
              <w:spacing w:line="440" w:lineRule="exact"/>
              <w:rPr>
                <w:rFonts w:ascii="宋体" w:hAnsi="宋体" w:eastAsia="宋体"/>
                <w:sz w:val="28"/>
                <w:szCs w:val="28"/>
              </w:rPr>
            </w:pPr>
            <w:r>
              <w:rPr>
                <w:rFonts w:hint="eastAsia" w:ascii="宋体" w:hAnsi="宋体" w:eastAsia="宋体"/>
                <w:sz w:val="28"/>
                <w:szCs w:val="28"/>
              </w:rPr>
              <w:t>法人提供经审计的202</w:t>
            </w:r>
            <w:r>
              <w:rPr>
                <w:rFonts w:ascii="宋体" w:hAnsi="宋体" w:eastAsia="宋体"/>
                <w:sz w:val="28"/>
                <w:szCs w:val="28"/>
              </w:rPr>
              <w:t>1</w:t>
            </w:r>
            <w:r>
              <w:rPr>
                <w:rFonts w:hint="eastAsia" w:ascii="宋体" w:hAnsi="宋体" w:eastAsia="宋体"/>
                <w:sz w:val="28"/>
                <w:szCs w:val="28"/>
              </w:rPr>
              <w:t>年度的财务报告或提交响应文件截止时间前六个月内其基本账户开户银行出具的资信证明；其他组织和自然人提供银行出具的资信证明或财务报表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宋体" w:hAnsi="宋体" w:eastAsia="宋体"/>
                <w:sz w:val="28"/>
                <w:szCs w:val="28"/>
              </w:rPr>
            </w:pPr>
            <w:r>
              <w:rPr>
                <w:rFonts w:hint="eastAsia" w:ascii="宋体" w:hAnsi="宋体" w:eastAsia="宋体"/>
                <w:sz w:val="28"/>
                <w:szCs w:val="28"/>
              </w:rPr>
              <w:t>4</w:t>
            </w:r>
          </w:p>
        </w:tc>
        <w:tc>
          <w:tcPr>
            <w:tcW w:w="2336" w:type="dxa"/>
            <w:vAlign w:val="center"/>
          </w:tcPr>
          <w:p>
            <w:pPr>
              <w:spacing w:line="440" w:lineRule="exact"/>
              <w:rPr>
                <w:rFonts w:ascii="宋体" w:hAnsi="宋体" w:eastAsia="宋体"/>
                <w:sz w:val="28"/>
                <w:szCs w:val="28"/>
              </w:rPr>
            </w:pPr>
            <w:r>
              <w:rPr>
                <w:rFonts w:hint="eastAsia" w:ascii="宋体" w:hAnsi="宋体" w:eastAsia="宋体"/>
                <w:sz w:val="28"/>
                <w:szCs w:val="28"/>
              </w:rPr>
              <w:t>税收缴纳证明</w:t>
            </w:r>
          </w:p>
        </w:tc>
        <w:tc>
          <w:tcPr>
            <w:tcW w:w="5696" w:type="dxa"/>
            <w:vAlign w:val="center"/>
          </w:tcPr>
          <w:p>
            <w:pPr>
              <w:spacing w:line="440" w:lineRule="exact"/>
              <w:rPr>
                <w:rFonts w:ascii="宋体" w:hAnsi="宋体" w:eastAsia="宋体"/>
                <w:sz w:val="28"/>
                <w:szCs w:val="28"/>
              </w:rPr>
            </w:pPr>
            <w:r>
              <w:rPr>
                <w:rFonts w:hint="eastAsia" w:ascii="宋体" w:hAnsi="宋体" w:eastAsia="宋体"/>
                <w:sz w:val="28"/>
                <w:szCs w:val="28"/>
              </w:rPr>
              <w:t>提交投标文件截止时间前一年内至少一个月的纳税证明或完税证明（增值税、营业税、企业所得税至少提供一种），纳税证明或完税证明上应有代收机构或税务机关的公章或业务专用章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宋体" w:hAnsi="宋体" w:eastAsia="宋体"/>
                <w:sz w:val="28"/>
                <w:szCs w:val="28"/>
              </w:rPr>
            </w:pPr>
            <w:r>
              <w:rPr>
                <w:rFonts w:hint="eastAsia" w:ascii="宋体" w:hAnsi="宋体" w:eastAsia="宋体"/>
                <w:sz w:val="28"/>
                <w:szCs w:val="28"/>
              </w:rPr>
              <w:t>5</w:t>
            </w:r>
          </w:p>
        </w:tc>
        <w:tc>
          <w:tcPr>
            <w:tcW w:w="2336" w:type="dxa"/>
            <w:vAlign w:val="center"/>
          </w:tcPr>
          <w:p>
            <w:pPr>
              <w:spacing w:line="440" w:lineRule="exact"/>
              <w:rPr>
                <w:rFonts w:ascii="宋体" w:hAnsi="宋体" w:eastAsia="宋体"/>
                <w:sz w:val="28"/>
                <w:szCs w:val="28"/>
              </w:rPr>
            </w:pPr>
            <w:r>
              <w:rPr>
                <w:rFonts w:hint="eastAsia" w:ascii="宋体" w:hAnsi="宋体" w:eastAsia="宋体"/>
                <w:sz w:val="28"/>
                <w:szCs w:val="28"/>
              </w:rPr>
              <w:t>社会保障资金缴纳证明</w:t>
            </w:r>
          </w:p>
        </w:tc>
        <w:tc>
          <w:tcPr>
            <w:tcW w:w="5696" w:type="dxa"/>
            <w:vAlign w:val="center"/>
          </w:tcPr>
          <w:p>
            <w:pPr>
              <w:spacing w:line="440" w:lineRule="exact"/>
              <w:rPr>
                <w:rFonts w:ascii="宋体" w:hAnsi="宋体" w:eastAsia="宋体"/>
                <w:sz w:val="28"/>
                <w:szCs w:val="28"/>
              </w:rPr>
            </w:pPr>
            <w:r>
              <w:rPr>
                <w:rFonts w:hint="eastAsia" w:ascii="宋体" w:hAnsi="宋体" w:eastAsia="宋体"/>
                <w:sz w:val="28"/>
                <w:szCs w:val="28"/>
              </w:rPr>
              <w:t>提交投标文件截止时间前一年内至少一个月的社会保障资金缴存单据或社保机构开具的社会保险参保缴费情况证明，单据或证明上应有社保机构或代收机构的公章或业务专用章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宋体" w:hAnsi="宋体" w:eastAsia="宋体"/>
                <w:sz w:val="28"/>
                <w:szCs w:val="28"/>
              </w:rPr>
            </w:pPr>
            <w:r>
              <w:rPr>
                <w:rFonts w:hint="eastAsia" w:ascii="宋体" w:hAnsi="宋体" w:eastAsia="宋体"/>
                <w:sz w:val="28"/>
                <w:szCs w:val="28"/>
              </w:rPr>
              <w:t>6</w:t>
            </w:r>
          </w:p>
        </w:tc>
        <w:tc>
          <w:tcPr>
            <w:tcW w:w="2336" w:type="dxa"/>
            <w:vAlign w:val="center"/>
          </w:tcPr>
          <w:p>
            <w:pPr>
              <w:spacing w:line="440" w:lineRule="exact"/>
              <w:rPr>
                <w:rFonts w:ascii="宋体" w:hAnsi="宋体" w:eastAsia="宋体"/>
                <w:sz w:val="28"/>
                <w:szCs w:val="28"/>
              </w:rPr>
            </w:pPr>
            <w:r>
              <w:rPr>
                <w:rFonts w:ascii="宋体" w:hAnsi="宋体" w:eastAsia="宋体"/>
                <w:sz w:val="28"/>
                <w:szCs w:val="28"/>
              </w:rPr>
              <w:t>信用记录审查结果</w:t>
            </w:r>
          </w:p>
        </w:tc>
        <w:tc>
          <w:tcPr>
            <w:tcW w:w="5696" w:type="dxa"/>
            <w:vAlign w:val="center"/>
          </w:tcPr>
          <w:p>
            <w:pPr>
              <w:spacing w:line="440" w:lineRule="exact"/>
              <w:rPr>
                <w:rFonts w:ascii="宋体" w:hAnsi="宋体" w:eastAsia="宋体"/>
                <w:sz w:val="28"/>
                <w:szCs w:val="28"/>
              </w:rPr>
            </w:pPr>
            <w:r>
              <w:rPr>
                <w:rFonts w:hint="eastAsia" w:ascii="宋体" w:hAnsi="宋体" w:eastAsia="宋体"/>
                <w:sz w:val="28"/>
                <w:szCs w:val="28"/>
              </w:rPr>
              <w:t xml:space="preserve">供应商在递交投标文件截止时间前在“信用中国”网站（www.creditchina.gov.cn）和中国政府采购网（www.ccgp.gov.cn）上被列入失信被执行人、重大税收违法失信主体、政府采购严重违法失信行为记录名单的，不得参加投标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宋体" w:hAnsi="宋体" w:eastAsia="宋体"/>
                <w:sz w:val="28"/>
                <w:szCs w:val="28"/>
              </w:rPr>
            </w:pPr>
            <w:r>
              <w:rPr>
                <w:rFonts w:hint="eastAsia" w:ascii="宋体" w:hAnsi="宋体" w:eastAsia="宋体"/>
                <w:sz w:val="28"/>
                <w:szCs w:val="28"/>
              </w:rPr>
              <w:t>7</w:t>
            </w:r>
          </w:p>
        </w:tc>
        <w:tc>
          <w:tcPr>
            <w:tcW w:w="2336" w:type="dxa"/>
            <w:vAlign w:val="center"/>
          </w:tcPr>
          <w:p>
            <w:pPr>
              <w:spacing w:line="440" w:lineRule="exact"/>
              <w:rPr>
                <w:rFonts w:ascii="宋体" w:hAnsi="宋体" w:eastAsia="宋体"/>
                <w:sz w:val="28"/>
                <w:szCs w:val="28"/>
              </w:rPr>
            </w:pPr>
            <w:r>
              <w:rPr>
                <w:rFonts w:hint="eastAsia" w:ascii="宋体" w:hAnsi="宋体" w:eastAsia="宋体"/>
                <w:sz w:val="28"/>
                <w:szCs w:val="28"/>
              </w:rPr>
              <w:t>无重大违法记录声明</w:t>
            </w:r>
          </w:p>
        </w:tc>
        <w:tc>
          <w:tcPr>
            <w:tcW w:w="5696" w:type="dxa"/>
            <w:vAlign w:val="center"/>
          </w:tcPr>
          <w:p>
            <w:pPr>
              <w:spacing w:line="440" w:lineRule="exact"/>
              <w:rPr>
                <w:rFonts w:ascii="宋体" w:hAnsi="宋体" w:eastAsia="宋体"/>
                <w:sz w:val="28"/>
                <w:szCs w:val="28"/>
              </w:rPr>
            </w:pPr>
            <w:r>
              <w:rPr>
                <w:rFonts w:hint="eastAsia" w:ascii="宋体" w:hAnsi="宋体" w:eastAsia="宋体"/>
                <w:sz w:val="28"/>
                <w:szCs w:val="28"/>
              </w:rPr>
              <w:t>参加政府采购活动前3年内在经营活动中没有重大违法记录的书面声明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宋体" w:hAnsi="宋体" w:eastAsia="宋体"/>
                <w:sz w:val="28"/>
                <w:szCs w:val="28"/>
              </w:rPr>
            </w:pPr>
            <w:r>
              <w:rPr>
                <w:rFonts w:hint="eastAsia" w:ascii="宋体" w:hAnsi="宋体" w:eastAsia="宋体"/>
                <w:sz w:val="28"/>
                <w:szCs w:val="28"/>
              </w:rPr>
              <w:t>8</w:t>
            </w:r>
          </w:p>
        </w:tc>
        <w:tc>
          <w:tcPr>
            <w:tcW w:w="2336" w:type="dxa"/>
            <w:vAlign w:val="center"/>
          </w:tcPr>
          <w:p>
            <w:pPr>
              <w:spacing w:line="440" w:lineRule="exact"/>
              <w:rPr>
                <w:rFonts w:ascii="宋体" w:hAnsi="宋体" w:eastAsia="宋体"/>
                <w:sz w:val="28"/>
                <w:szCs w:val="28"/>
              </w:rPr>
            </w:pPr>
            <w:r>
              <w:rPr>
                <w:rFonts w:ascii="宋体" w:hAnsi="宋体" w:eastAsia="宋体"/>
                <w:sz w:val="28"/>
                <w:szCs w:val="28"/>
              </w:rPr>
              <w:t>履行合同的说明和承诺</w:t>
            </w:r>
          </w:p>
        </w:tc>
        <w:tc>
          <w:tcPr>
            <w:tcW w:w="5696" w:type="dxa"/>
            <w:vAlign w:val="center"/>
          </w:tcPr>
          <w:p>
            <w:pPr>
              <w:spacing w:line="440" w:lineRule="exact"/>
              <w:rPr>
                <w:rFonts w:ascii="宋体" w:hAnsi="宋体" w:eastAsia="宋体"/>
                <w:sz w:val="28"/>
                <w:szCs w:val="28"/>
              </w:rPr>
            </w:pPr>
            <w:r>
              <w:rPr>
                <w:rFonts w:ascii="宋体" w:hAnsi="宋体" w:eastAsia="宋体"/>
                <w:sz w:val="28"/>
                <w:szCs w:val="28"/>
              </w:rPr>
              <w:t>提供书面声明，包括声明具有履行合同所必需的设备和专业技术能力</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宋体" w:hAnsi="宋体" w:eastAsia="宋体"/>
                <w:sz w:val="28"/>
                <w:szCs w:val="28"/>
              </w:rPr>
            </w:pPr>
            <w:r>
              <w:rPr>
                <w:rFonts w:hint="eastAsia" w:ascii="宋体" w:hAnsi="宋体" w:eastAsia="宋体"/>
                <w:sz w:val="28"/>
                <w:szCs w:val="28"/>
              </w:rPr>
              <w:t>9</w:t>
            </w:r>
          </w:p>
        </w:tc>
        <w:tc>
          <w:tcPr>
            <w:tcW w:w="2336" w:type="dxa"/>
            <w:vAlign w:val="center"/>
          </w:tcPr>
          <w:p>
            <w:pPr>
              <w:spacing w:line="440" w:lineRule="exact"/>
              <w:rPr>
                <w:rFonts w:ascii="宋体" w:hAnsi="宋体" w:eastAsia="宋体"/>
                <w:sz w:val="28"/>
                <w:szCs w:val="28"/>
              </w:rPr>
            </w:pPr>
            <w:r>
              <w:rPr>
                <w:rFonts w:ascii="宋体" w:hAnsi="宋体" w:eastAsia="宋体"/>
                <w:sz w:val="28"/>
                <w:szCs w:val="28"/>
              </w:rPr>
              <w:t>控股、管理</w:t>
            </w:r>
          </w:p>
          <w:p>
            <w:pPr>
              <w:spacing w:line="440" w:lineRule="exact"/>
              <w:rPr>
                <w:rFonts w:ascii="宋体" w:hAnsi="宋体" w:eastAsia="宋体"/>
                <w:sz w:val="28"/>
                <w:szCs w:val="28"/>
              </w:rPr>
            </w:pPr>
            <w:r>
              <w:rPr>
                <w:rFonts w:ascii="宋体" w:hAnsi="宋体" w:eastAsia="宋体"/>
                <w:sz w:val="28"/>
                <w:szCs w:val="28"/>
              </w:rPr>
              <w:t>关系</w:t>
            </w:r>
          </w:p>
        </w:tc>
        <w:tc>
          <w:tcPr>
            <w:tcW w:w="5696" w:type="dxa"/>
            <w:vAlign w:val="center"/>
          </w:tcPr>
          <w:p>
            <w:pPr>
              <w:spacing w:line="440" w:lineRule="exact"/>
              <w:rPr>
                <w:rFonts w:ascii="宋体" w:hAnsi="宋体" w:eastAsia="宋体"/>
                <w:sz w:val="28"/>
                <w:szCs w:val="28"/>
              </w:rPr>
            </w:pPr>
            <w:r>
              <w:rPr>
                <w:rFonts w:hint="eastAsia" w:ascii="宋体" w:hAnsi="宋体" w:eastAsia="宋体"/>
                <w:sz w:val="28"/>
                <w:szCs w:val="28"/>
              </w:rPr>
              <w:t>单位负责人为同一人或者存在直接控股、管理关系的不同供应商，不得参加同一合同项下的政府采购活动；为本招标项目提供整体设计、规范编制或者项目管理、监理、检测等服务的供应商，不得再参加本项目的投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ascii="宋体" w:hAnsi="宋体" w:eastAsia="宋体"/>
                <w:sz w:val="28"/>
                <w:szCs w:val="28"/>
              </w:rPr>
            </w:pPr>
            <w:r>
              <w:rPr>
                <w:rFonts w:ascii="宋体" w:hAnsi="宋体" w:eastAsia="宋体"/>
                <w:sz w:val="28"/>
                <w:szCs w:val="28"/>
              </w:rPr>
              <w:t>10</w:t>
            </w:r>
          </w:p>
        </w:tc>
        <w:tc>
          <w:tcPr>
            <w:tcW w:w="2336" w:type="dxa"/>
            <w:vAlign w:val="center"/>
          </w:tcPr>
          <w:p>
            <w:pPr>
              <w:spacing w:line="440" w:lineRule="exact"/>
              <w:rPr>
                <w:rFonts w:ascii="宋体" w:hAnsi="宋体" w:eastAsia="宋体"/>
                <w:sz w:val="28"/>
                <w:szCs w:val="28"/>
              </w:rPr>
            </w:pPr>
            <w:r>
              <w:rPr>
                <w:rFonts w:ascii="宋体" w:hAnsi="宋体" w:eastAsia="宋体"/>
                <w:sz w:val="28"/>
                <w:szCs w:val="28"/>
              </w:rPr>
              <w:t>联合体</w:t>
            </w:r>
          </w:p>
        </w:tc>
        <w:tc>
          <w:tcPr>
            <w:tcW w:w="5696" w:type="dxa"/>
            <w:vAlign w:val="center"/>
          </w:tcPr>
          <w:p>
            <w:pPr>
              <w:spacing w:line="440" w:lineRule="exact"/>
              <w:rPr>
                <w:rFonts w:ascii="宋体" w:hAnsi="宋体" w:eastAsia="宋体"/>
                <w:sz w:val="28"/>
                <w:szCs w:val="28"/>
              </w:rPr>
            </w:pPr>
            <w:r>
              <w:rPr>
                <w:rFonts w:hint="eastAsia" w:ascii="宋体" w:hAnsi="宋体" w:eastAsia="宋体"/>
                <w:sz w:val="28"/>
                <w:szCs w:val="28"/>
              </w:rPr>
              <w:t>本项目不接受联合体投标，不允许转包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868" w:type="dxa"/>
            <w:gridSpan w:val="3"/>
            <w:vAlign w:val="center"/>
          </w:tcPr>
          <w:p>
            <w:pPr>
              <w:jc w:val="center"/>
              <w:rPr>
                <w:rFonts w:ascii="宋体" w:hAnsi="宋体" w:eastAsia="宋体"/>
                <w:b/>
                <w:bCs/>
                <w:sz w:val="28"/>
                <w:szCs w:val="28"/>
              </w:rPr>
            </w:pPr>
            <w:r>
              <w:rPr>
                <w:rFonts w:ascii="宋体" w:hAnsi="宋体" w:eastAsia="宋体"/>
                <w:b/>
                <w:bCs/>
                <w:sz w:val="28"/>
                <w:szCs w:val="28"/>
              </w:rPr>
              <w:t>注意事项：</w:t>
            </w:r>
          </w:p>
          <w:p>
            <w:pPr>
              <w:jc w:val="both"/>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jc w:val="both"/>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．《基本存款账户信息》、《无重大违法记录声明》、《法定代表人委托授权书》、《法定代表人身份证明书》、《联合体协议书》应按第五章《投标文件构成及格式》中给定的格式填写，并按要求签字、盖章。</w:t>
            </w:r>
          </w:p>
          <w:p>
            <w:pPr>
              <w:jc w:val="both"/>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pPr>
        <w:pStyle w:val="4"/>
        <w:ind w:firstLine="560"/>
        <w:rPr>
          <w:rFonts w:ascii="宋体" w:hAnsi="宋体" w:eastAsia="宋体"/>
          <w:sz w:val="28"/>
          <w:szCs w:val="28"/>
        </w:rPr>
      </w:pPr>
      <w:bookmarkStart w:id="44" w:name="_Toc120103840"/>
      <w:r>
        <w:rPr>
          <w:rFonts w:ascii="宋体" w:hAnsi="宋体" w:eastAsia="宋体"/>
          <w:sz w:val="28"/>
          <w:szCs w:val="28"/>
        </w:rPr>
        <w:t>七、评审方法和程序</w:t>
      </w:r>
      <w:bookmarkEnd w:id="44"/>
    </w:p>
    <w:p>
      <w:pPr>
        <w:pStyle w:val="108"/>
        <w:spacing w:before="120" w:after="120"/>
        <w:ind w:firstLine="562"/>
        <w:rPr>
          <w:rFonts w:ascii="宋体" w:hAnsi="宋体" w:eastAsia="宋体"/>
          <w:sz w:val="28"/>
          <w:szCs w:val="28"/>
        </w:rPr>
      </w:pPr>
      <w:bookmarkStart w:id="45" w:name="_Toc120103841"/>
      <w:r>
        <w:rPr>
          <w:rFonts w:hint="eastAsia" w:ascii="宋体" w:hAnsi="宋体" w:eastAsia="宋体"/>
          <w:sz w:val="28"/>
          <w:szCs w:val="28"/>
        </w:rPr>
        <w:t>（一）评标方法</w:t>
      </w:r>
      <w:bookmarkEnd w:id="45"/>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本项目采用综合评分法，即投标文件满足招标文件全部实质性要求，且按照评审因素的量化指标评审得分最高的供应商为中标候选人。</w:t>
      </w:r>
    </w:p>
    <w:p>
      <w:pPr>
        <w:pStyle w:val="108"/>
        <w:spacing w:before="120" w:after="120"/>
        <w:ind w:firstLine="562"/>
        <w:rPr>
          <w:rFonts w:ascii="宋体" w:hAnsi="宋体" w:eastAsia="宋体"/>
          <w:sz w:val="28"/>
          <w:szCs w:val="28"/>
        </w:rPr>
      </w:pPr>
      <w:bookmarkStart w:id="46" w:name="_Toc120103842"/>
      <w:r>
        <w:rPr>
          <w:rFonts w:hint="eastAsia" w:ascii="宋体" w:hAnsi="宋体" w:eastAsia="宋体"/>
          <w:sz w:val="28"/>
          <w:szCs w:val="28"/>
        </w:rPr>
        <w:t>（二）评标程序</w:t>
      </w:r>
      <w:bookmarkEnd w:id="46"/>
    </w:p>
    <w:p>
      <w:pPr>
        <w:pStyle w:val="107"/>
        <w:rPr>
          <w:rFonts w:ascii="宋体" w:hAnsi="宋体" w:eastAsia="宋体"/>
          <w:sz w:val="28"/>
          <w:szCs w:val="32"/>
        </w:rPr>
      </w:pPr>
      <w:bookmarkStart w:id="47" w:name="_Toc120103843"/>
      <w:r>
        <w:rPr>
          <w:rFonts w:hint="eastAsia" w:ascii="宋体" w:hAnsi="宋体" w:eastAsia="宋体"/>
          <w:sz w:val="28"/>
          <w:szCs w:val="32"/>
        </w:rPr>
        <w:t>1．组建评标委员会</w:t>
      </w:r>
      <w:bookmarkEnd w:id="47"/>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由采购代理机构组织评标委员会推选评标组长，采购人代表不得担任组长。</w:t>
      </w:r>
    </w:p>
    <w:p>
      <w:pPr>
        <w:pStyle w:val="107"/>
        <w:rPr>
          <w:rFonts w:ascii="宋体" w:hAnsi="宋体" w:eastAsia="宋体"/>
          <w:sz w:val="28"/>
          <w:szCs w:val="32"/>
        </w:rPr>
      </w:pPr>
      <w:bookmarkStart w:id="48" w:name="_Toc120103844"/>
      <w:r>
        <w:rPr>
          <w:rFonts w:hint="eastAsia" w:ascii="宋体" w:hAnsi="宋体" w:eastAsia="宋体"/>
          <w:sz w:val="28"/>
          <w:szCs w:val="32"/>
        </w:rPr>
        <w:t>2．投标文件的符合性审查</w:t>
      </w:r>
      <w:bookmarkEnd w:id="48"/>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供应商资格性审查通过后，评标委员会对符合资格的投标人的投标文件进行符合性审查，以确定其是否满足招标文件的实质性要求。</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对于投标文件中含义不明确、同类问题表述不一致或者有明显文字和计算错误的内容，评标委员会应当以书面形式要求投标人作出必要的澄清、说明或者补正。</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投标人的澄清、说明或者补正应当采用书面形式，并加盖公章，或者由法定代表人或其授权的代表签字。投标人的澄清、说明或者补正不得超出投标文件的范围或者改变投标文件的实质性内容。</w:t>
      </w:r>
    </w:p>
    <w:p>
      <w:pPr>
        <w:spacing w:line="560" w:lineRule="exact"/>
        <w:jc w:val="both"/>
        <w:rPr>
          <w:rFonts w:ascii="宋体" w:hAnsi="宋体" w:eastAsia="宋体"/>
          <w:sz w:val="28"/>
          <w:szCs w:val="28"/>
        </w:rPr>
      </w:pPr>
      <w:r>
        <w:rPr>
          <w:rFonts w:hint="eastAsia" w:ascii="宋体" w:hAnsi="宋体" w:eastAsia="宋体"/>
          <w:sz w:val="28"/>
          <w:szCs w:val="28"/>
        </w:rPr>
        <w:t>〖符合性审查表〗</w:t>
      </w:r>
    </w:p>
    <w:tbl>
      <w:tblPr>
        <w:tblStyle w:val="3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392"/>
        <w:gridCol w:w="54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b/>
                <w:bCs/>
                <w:sz w:val="28"/>
                <w:szCs w:val="28"/>
              </w:rPr>
            </w:pPr>
            <w:r>
              <w:rPr>
                <w:rFonts w:ascii="宋体" w:hAnsi="宋体" w:eastAsia="宋体"/>
                <w:b/>
                <w:bCs/>
                <w:sz w:val="28"/>
                <w:szCs w:val="28"/>
              </w:rPr>
              <w:t>序号</w:t>
            </w:r>
          </w:p>
        </w:tc>
        <w:tc>
          <w:tcPr>
            <w:tcW w:w="2392"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b/>
                <w:bCs/>
                <w:sz w:val="28"/>
                <w:szCs w:val="28"/>
              </w:rPr>
            </w:pPr>
            <w:r>
              <w:rPr>
                <w:rFonts w:ascii="宋体" w:hAnsi="宋体" w:eastAsia="宋体"/>
                <w:b/>
                <w:bCs/>
                <w:sz w:val="28"/>
                <w:szCs w:val="28"/>
              </w:rPr>
              <w:t>符合性审查项</w:t>
            </w:r>
          </w:p>
        </w:tc>
        <w:tc>
          <w:tcPr>
            <w:tcW w:w="5498"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b/>
                <w:bCs/>
                <w:sz w:val="28"/>
                <w:szCs w:val="28"/>
              </w:rPr>
            </w:pPr>
            <w:r>
              <w:rPr>
                <w:rFonts w:ascii="宋体" w:hAnsi="宋体" w:eastAsia="宋体"/>
                <w:b/>
                <w:bCs/>
                <w:sz w:val="28"/>
                <w:szCs w:val="28"/>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pPr>
              <w:spacing w:line="560" w:lineRule="exact"/>
              <w:jc w:val="center"/>
              <w:rPr>
                <w:rFonts w:ascii="宋体" w:hAnsi="宋体" w:eastAsia="宋体"/>
                <w:sz w:val="28"/>
                <w:szCs w:val="28"/>
              </w:rPr>
            </w:pPr>
            <w:r>
              <w:rPr>
                <w:rFonts w:hint="eastAsia" w:ascii="宋体" w:hAnsi="宋体" w:eastAsia="宋体"/>
                <w:sz w:val="28"/>
                <w:szCs w:val="28"/>
              </w:rPr>
              <w:t>1</w:t>
            </w:r>
          </w:p>
        </w:tc>
        <w:tc>
          <w:tcPr>
            <w:tcW w:w="2392" w:type="dxa"/>
            <w:tcBorders>
              <w:top w:val="single" w:color="auto" w:sz="2" w:space="0"/>
            </w:tcBorders>
            <w:vAlign w:val="center"/>
          </w:tcPr>
          <w:p>
            <w:pPr>
              <w:spacing w:line="560" w:lineRule="exact"/>
              <w:jc w:val="center"/>
              <w:rPr>
                <w:rFonts w:ascii="宋体" w:hAnsi="宋体" w:eastAsia="宋体"/>
                <w:sz w:val="28"/>
                <w:szCs w:val="28"/>
              </w:rPr>
            </w:pPr>
            <w:r>
              <w:rPr>
                <w:rFonts w:ascii="宋体" w:hAnsi="宋体" w:eastAsia="宋体"/>
                <w:sz w:val="28"/>
                <w:szCs w:val="28"/>
              </w:rPr>
              <w:t>与项目的一致性</w:t>
            </w:r>
          </w:p>
        </w:tc>
        <w:tc>
          <w:tcPr>
            <w:tcW w:w="5498" w:type="dxa"/>
            <w:tcBorders>
              <w:top w:val="single" w:color="auto" w:sz="2" w:space="0"/>
            </w:tcBorders>
            <w:vAlign w:val="center"/>
          </w:tcPr>
          <w:p>
            <w:pPr>
              <w:jc w:val="both"/>
              <w:rPr>
                <w:rFonts w:ascii="宋体" w:hAnsi="宋体" w:eastAsia="宋体"/>
                <w:sz w:val="28"/>
                <w:szCs w:val="28"/>
              </w:rPr>
            </w:pPr>
            <w:r>
              <w:rPr>
                <w:rFonts w:ascii="宋体" w:hAnsi="宋体" w:eastAsia="宋体"/>
                <w:sz w:val="28"/>
                <w:szCs w:val="28"/>
              </w:rPr>
              <w:t>至少以下三处的项目名称、项目编号、标段（未分标段的除外）与本项目完全一致：</w:t>
            </w:r>
          </w:p>
          <w:p>
            <w:pPr>
              <w:jc w:val="both"/>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投标文件封面</w:t>
            </w:r>
          </w:p>
          <w:p>
            <w:pPr>
              <w:jc w:val="both"/>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投标函</w:t>
            </w:r>
          </w:p>
          <w:p>
            <w:pPr>
              <w:jc w:val="both"/>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法定代表人（主要负责人）委托授权书</w:t>
            </w:r>
            <w:r>
              <w:rPr>
                <w:rFonts w:hint="eastAsia" w:ascii="宋体" w:hAnsi="宋体" w:eastAsia="宋体"/>
                <w:sz w:val="28"/>
                <w:szCs w:val="28"/>
              </w:rPr>
              <w:t>\身份证明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宋体" w:hAnsi="宋体" w:eastAsia="宋体"/>
                <w:sz w:val="28"/>
                <w:szCs w:val="28"/>
              </w:rPr>
            </w:pPr>
            <w:r>
              <w:rPr>
                <w:rFonts w:hint="eastAsia" w:ascii="宋体" w:hAnsi="宋体" w:eastAsia="宋体"/>
                <w:sz w:val="28"/>
                <w:szCs w:val="28"/>
              </w:rPr>
              <w:t>2</w:t>
            </w:r>
          </w:p>
        </w:tc>
        <w:tc>
          <w:tcPr>
            <w:tcW w:w="2392" w:type="dxa"/>
            <w:vAlign w:val="center"/>
          </w:tcPr>
          <w:p>
            <w:pPr>
              <w:spacing w:line="560" w:lineRule="exact"/>
              <w:jc w:val="center"/>
              <w:rPr>
                <w:rFonts w:ascii="宋体" w:hAnsi="宋体" w:eastAsia="宋体"/>
                <w:sz w:val="28"/>
                <w:szCs w:val="28"/>
              </w:rPr>
            </w:pPr>
            <w:r>
              <w:rPr>
                <w:rFonts w:ascii="宋体" w:hAnsi="宋体" w:eastAsia="宋体"/>
                <w:sz w:val="28"/>
                <w:szCs w:val="28"/>
              </w:rPr>
              <w:t>投标文件组成</w:t>
            </w:r>
          </w:p>
        </w:tc>
        <w:tc>
          <w:tcPr>
            <w:tcW w:w="5498" w:type="dxa"/>
            <w:vAlign w:val="center"/>
          </w:tcPr>
          <w:p>
            <w:pPr>
              <w:jc w:val="both"/>
              <w:rPr>
                <w:rFonts w:ascii="宋体" w:hAnsi="宋体" w:eastAsia="宋体"/>
                <w:sz w:val="28"/>
                <w:szCs w:val="28"/>
              </w:rPr>
            </w:pPr>
            <w:r>
              <w:rPr>
                <w:rFonts w:ascii="宋体" w:hAnsi="宋体" w:eastAsia="宋体"/>
                <w:sz w:val="28"/>
                <w:szCs w:val="28"/>
              </w:rPr>
              <w:t>投标文件应包含以下部分：</w:t>
            </w:r>
          </w:p>
          <w:p>
            <w:pPr>
              <w:jc w:val="both"/>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投标函</w:t>
            </w:r>
          </w:p>
          <w:p>
            <w:pPr>
              <w:jc w:val="both"/>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开标一览表</w:t>
            </w:r>
          </w:p>
          <w:p>
            <w:pPr>
              <w:jc w:val="both"/>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资格证明文件</w:t>
            </w:r>
          </w:p>
          <w:p>
            <w:pPr>
              <w:jc w:val="both"/>
              <w:rPr>
                <w:rFonts w:ascii="宋体" w:hAnsi="宋体" w:eastAsia="宋体"/>
                <w:sz w:val="28"/>
                <w:szCs w:val="28"/>
              </w:rPr>
            </w:pPr>
            <w:r>
              <w:rPr>
                <w:rFonts w:hint="eastAsia" w:ascii="宋体" w:hAnsi="宋体" w:eastAsia="宋体"/>
                <w:sz w:val="28"/>
                <w:szCs w:val="28"/>
              </w:rPr>
              <w:t>（4）供应商概况</w:t>
            </w:r>
          </w:p>
          <w:p>
            <w:pPr>
              <w:jc w:val="both"/>
              <w:rPr>
                <w:rFonts w:ascii="宋体" w:hAnsi="宋体" w:eastAsia="宋体"/>
                <w:sz w:val="28"/>
                <w:szCs w:val="28"/>
              </w:rPr>
            </w:pPr>
            <w:r>
              <w:rPr>
                <w:rFonts w:ascii="宋体" w:hAnsi="宋体" w:eastAsia="宋体"/>
                <w:sz w:val="28"/>
                <w:szCs w:val="28"/>
              </w:rPr>
              <w:t>（</w:t>
            </w:r>
            <w:r>
              <w:rPr>
                <w:rFonts w:hint="eastAsia" w:ascii="宋体" w:hAnsi="宋体" w:eastAsia="宋体"/>
                <w:sz w:val="28"/>
                <w:szCs w:val="28"/>
              </w:rPr>
              <w:t>5</w:t>
            </w:r>
            <w:r>
              <w:rPr>
                <w:rFonts w:ascii="宋体" w:hAnsi="宋体" w:eastAsia="宋体"/>
                <w:sz w:val="28"/>
                <w:szCs w:val="28"/>
              </w:rPr>
              <w:t>）供应商参加政府采购活动承诺书</w:t>
            </w:r>
          </w:p>
          <w:p>
            <w:pPr>
              <w:jc w:val="both"/>
              <w:rPr>
                <w:rFonts w:ascii="宋体" w:hAnsi="宋体" w:eastAsia="宋体"/>
                <w:sz w:val="28"/>
                <w:szCs w:val="28"/>
              </w:rPr>
            </w:pPr>
            <w:r>
              <w:rPr>
                <w:rFonts w:ascii="宋体" w:hAnsi="宋体" w:eastAsia="宋体"/>
                <w:sz w:val="28"/>
                <w:szCs w:val="28"/>
              </w:rPr>
              <w:t>（</w:t>
            </w:r>
            <w:r>
              <w:rPr>
                <w:rFonts w:hint="eastAsia" w:ascii="宋体" w:hAnsi="宋体" w:eastAsia="宋体"/>
                <w:sz w:val="28"/>
                <w:szCs w:val="28"/>
              </w:rPr>
              <w:t>6</w:t>
            </w:r>
            <w:r>
              <w:rPr>
                <w:rFonts w:ascii="宋体" w:hAnsi="宋体" w:eastAsia="宋体"/>
                <w:sz w:val="28"/>
                <w:szCs w:val="28"/>
              </w:rPr>
              <w:t>）投标方案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宋体" w:hAnsi="宋体" w:eastAsia="宋体"/>
                <w:sz w:val="28"/>
                <w:szCs w:val="28"/>
              </w:rPr>
            </w:pPr>
            <w:r>
              <w:rPr>
                <w:rFonts w:hint="eastAsia" w:ascii="宋体" w:hAnsi="宋体" w:eastAsia="宋体"/>
                <w:sz w:val="28"/>
                <w:szCs w:val="28"/>
              </w:rPr>
              <w:t>3</w:t>
            </w:r>
          </w:p>
        </w:tc>
        <w:tc>
          <w:tcPr>
            <w:tcW w:w="2392" w:type="dxa"/>
            <w:vAlign w:val="center"/>
          </w:tcPr>
          <w:p>
            <w:pPr>
              <w:spacing w:line="560" w:lineRule="exact"/>
              <w:jc w:val="center"/>
              <w:rPr>
                <w:rFonts w:ascii="宋体" w:hAnsi="宋体" w:eastAsia="宋体"/>
                <w:sz w:val="28"/>
                <w:szCs w:val="28"/>
              </w:rPr>
            </w:pPr>
            <w:r>
              <w:rPr>
                <w:rFonts w:hint="eastAsia" w:ascii="宋体" w:hAnsi="宋体" w:eastAsia="宋体"/>
                <w:sz w:val="28"/>
                <w:szCs w:val="28"/>
              </w:rPr>
              <w:t>签章</w:t>
            </w:r>
          </w:p>
        </w:tc>
        <w:tc>
          <w:tcPr>
            <w:tcW w:w="5498" w:type="dxa"/>
            <w:vAlign w:val="center"/>
          </w:tcPr>
          <w:p>
            <w:pPr>
              <w:jc w:val="both"/>
              <w:rPr>
                <w:rFonts w:ascii="宋体" w:hAnsi="宋体" w:eastAsia="宋体"/>
                <w:sz w:val="28"/>
                <w:szCs w:val="28"/>
              </w:rPr>
            </w:pPr>
            <w:r>
              <w:rPr>
                <w:rFonts w:hint="eastAsia" w:ascii="宋体" w:hAnsi="宋体" w:eastAsia="宋体"/>
                <w:sz w:val="28"/>
                <w:szCs w:val="28"/>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宋体" w:hAnsi="宋体" w:eastAsia="宋体"/>
                <w:sz w:val="28"/>
                <w:szCs w:val="28"/>
              </w:rPr>
            </w:pPr>
            <w:r>
              <w:rPr>
                <w:rFonts w:hint="eastAsia" w:ascii="宋体" w:hAnsi="宋体" w:eastAsia="宋体"/>
                <w:sz w:val="28"/>
                <w:szCs w:val="28"/>
              </w:rPr>
              <w:t>4</w:t>
            </w:r>
          </w:p>
        </w:tc>
        <w:tc>
          <w:tcPr>
            <w:tcW w:w="2392" w:type="dxa"/>
            <w:vAlign w:val="center"/>
          </w:tcPr>
          <w:p>
            <w:pPr>
              <w:spacing w:line="560" w:lineRule="exact"/>
              <w:jc w:val="center"/>
              <w:rPr>
                <w:rFonts w:ascii="宋体" w:hAnsi="宋体" w:eastAsia="宋体"/>
                <w:sz w:val="28"/>
                <w:szCs w:val="28"/>
              </w:rPr>
            </w:pPr>
            <w:r>
              <w:rPr>
                <w:rFonts w:ascii="宋体" w:hAnsi="宋体" w:eastAsia="宋体"/>
                <w:sz w:val="28"/>
                <w:szCs w:val="28"/>
              </w:rPr>
              <w:t>语言和计量单位</w:t>
            </w:r>
          </w:p>
        </w:tc>
        <w:tc>
          <w:tcPr>
            <w:tcW w:w="5498" w:type="dxa"/>
            <w:vAlign w:val="center"/>
          </w:tcPr>
          <w:p>
            <w:pPr>
              <w:jc w:val="both"/>
              <w:rPr>
                <w:rFonts w:ascii="宋体" w:hAnsi="宋体" w:eastAsia="宋体"/>
                <w:sz w:val="28"/>
                <w:szCs w:val="28"/>
              </w:rPr>
            </w:pPr>
            <w:r>
              <w:rPr>
                <w:rFonts w:ascii="宋体" w:hAnsi="宋体" w:eastAsia="宋体"/>
                <w:sz w:val="28"/>
                <w:szCs w:val="28"/>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宋体" w:hAnsi="宋体" w:eastAsia="宋体"/>
                <w:sz w:val="28"/>
                <w:szCs w:val="28"/>
              </w:rPr>
            </w:pPr>
            <w:r>
              <w:rPr>
                <w:rFonts w:hint="eastAsia" w:ascii="宋体" w:hAnsi="宋体" w:eastAsia="宋体"/>
                <w:sz w:val="28"/>
                <w:szCs w:val="28"/>
              </w:rPr>
              <w:t>5</w:t>
            </w:r>
          </w:p>
        </w:tc>
        <w:tc>
          <w:tcPr>
            <w:tcW w:w="2392" w:type="dxa"/>
            <w:vAlign w:val="center"/>
          </w:tcPr>
          <w:p>
            <w:pPr>
              <w:spacing w:line="560" w:lineRule="exact"/>
              <w:jc w:val="center"/>
              <w:rPr>
                <w:rFonts w:ascii="宋体" w:hAnsi="宋体" w:eastAsia="宋体"/>
                <w:sz w:val="28"/>
                <w:szCs w:val="28"/>
              </w:rPr>
            </w:pPr>
            <w:r>
              <w:rPr>
                <w:rFonts w:ascii="宋体" w:hAnsi="宋体" w:eastAsia="宋体"/>
                <w:sz w:val="28"/>
                <w:szCs w:val="28"/>
              </w:rPr>
              <w:t>投标文件有效期</w:t>
            </w:r>
          </w:p>
        </w:tc>
        <w:tc>
          <w:tcPr>
            <w:tcW w:w="5498" w:type="dxa"/>
            <w:vAlign w:val="center"/>
          </w:tcPr>
          <w:p>
            <w:pPr>
              <w:jc w:val="both"/>
              <w:rPr>
                <w:rFonts w:ascii="宋体" w:hAnsi="宋体" w:eastAsia="宋体"/>
                <w:sz w:val="28"/>
                <w:szCs w:val="28"/>
              </w:rPr>
            </w:pPr>
            <w:r>
              <w:rPr>
                <w:rFonts w:ascii="宋体" w:hAnsi="宋体" w:eastAsia="宋体"/>
                <w:sz w:val="28"/>
                <w:szCs w:val="28"/>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宋体" w:hAnsi="宋体" w:eastAsia="宋体"/>
                <w:sz w:val="28"/>
                <w:szCs w:val="28"/>
              </w:rPr>
            </w:pPr>
            <w:r>
              <w:rPr>
                <w:rFonts w:hint="eastAsia" w:ascii="宋体" w:hAnsi="宋体" w:eastAsia="宋体"/>
                <w:sz w:val="28"/>
                <w:szCs w:val="28"/>
              </w:rPr>
              <w:t>6</w:t>
            </w:r>
          </w:p>
        </w:tc>
        <w:tc>
          <w:tcPr>
            <w:tcW w:w="2392" w:type="dxa"/>
            <w:vAlign w:val="center"/>
          </w:tcPr>
          <w:p>
            <w:pPr>
              <w:spacing w:line="560" w:lineRule="exact"/>
              <w:jc w:val="center"/>
              <w:rPr>
                <w:rFonts w:ascii="宋体" w:hAnsi="宋体" w:eastAsia="宋体"/>
                <w:sz w:val="28"/>
                <w:szCs w:val="28"/>
              </w:rPr>
            </w:pPr>
            <w:r>
              <w:rPr>
                <w:rFonts w:ascii="宋体" w:hAnsi="宋体" w:eastAsia="宋体"/>
                <w:sz w:val="28"/>
                <w:szCs w:val="28"/>
              </w:rPr>
              <w:t>投标报价</w:t>
            </w:r>
          </w:p>
        </w:tc>
        <w:tc>
          <w:tcPr>
            <w:tcW w:w="5498" w:type="dxa"/>
            <w:vAlign w:val="center"/>
          </w:tcPr>
          <w:p>
            <w:pPr>
              <w:jc w:val="both"/>
              <w:rPr>
                <w:rFonts w:ascii="宋体" w:hAnsi="宋体" w:eastAsia="宋体"/>
                <w:sz w:val="28"/>
                <w:szCs w:val="28"/>
              </w:rPr>
            </w:pPr>
            <w:r>
              <w:rPr>
                <w:rFonts w:ascii="宋体" w:hAnsi="宋体" w:eastAsia="宋体"/>
                <w:sz w:val="28"/>
                <w:szCs w:val="28"/>
              </w:rPr>
              <w:t>同时满足以下条款：</w:t>
            </w:r>
          </w:p>
          <w:p>
            <w:pPr>
              <w:jc w:val="both"/>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货币单位符合招标文件要求</w:t>
            </w:r>
          </w:p>
          <w:p>
            <w:pPr>
              <w:jc w:val="both"/>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报价符合唯一性要求</w:t>
            </w:r>
          </w:p>
          <w:p>
            <w:pPr>
              <w:jc w:val="both"/>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未超出采购预算或最高限价</w:t>
            </w:r>
          </w:p>
          <w:p>
            <w:pPr>
              <w:jc w:val="both"/>
              <w:rPr>
                <w:rFonts w:ascii="宋体" w:hAnsi="宋体" w:eastAsia="宋体"/>
                <w:sz w:val="28"/>
                <w:szCs w:val="28"/>
              </w:rPr>
            </w:pPr>
            <w:r>
              <w:rPr>
                <w:rFonts w:hint="eastAsia" w:ascii="宋体" w:hAnsi="宋体" w:eastAsia="宋体"/>
                <w:sz w:val="28"/>
                <w:szCs w:val="28"/>
              </w:rPr>
              <w:t>（4）符合《开标一览</w:t>
            </w:r>
            <w:r>
              <w:rPr>
                <w:rFonts w:ascii="宋体" w:hAnsi="宋体" w:eastAsia="宋体"/>
                <w:sz w:val="28"/>
                <w:szCs w:val="28"/>
              </w:rPr>
              <w:t>表</w:t>
            </w:r>
            <w:r>
              <w:rPr>
                <w:rFonts w:hint="eastAsia" w:ascii="宋体" w:hAnsi="宋体" w:eastAsia="宋体"/>
                <w:sz w:val="28"/>
                <w:szCs w:val="28"/>
              </w:rPr>
              <w:t>》的</w:t>
            </w:r>
            <w:r>
              <w:rPr>
                <w:rFonts w:ascii="宋体" w:hAnsi="宋体" w:eastAsia="宋体"/>
                <w:sz w:val="28"/>
                <w:szCs w:val="28"/>
              </w:rPr>
              <w:t>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宋体" w:hAnsi="宋体" w:eastAsia="宋体"/>
                <w:sz w:val="28"/>
                <w:szCs w:val="28"/>
              </w:rPr>
            </w:pPr>
            <w:r>
              <w:rPr>
                <w:rFonts w:hint="eastAsia" w:ascii="宋体" w:hAnsi="宋体" w:eastAsia="宋体"/>
                <w:sz w:val="28"/>
                <w:szCs w:val="28"/>
              </w:rPr>
              <w:t>7</w:t>
            </w:r>
          </w:p>
        </w:tc>
        <w:tc>
          <w:tcPr>
            <w:tcW w:w="2392" w:type="dxa"/>
            <w:vAlign w:val="center"/>
          </w:tcPr>
          <w:p>
            <w:pPr>
              <w:spacing w:line="560" w:lineRule="exact"/>
              <w:jc w:val="center"/>
              <w:rPr>
                <w:rFonts w:ascii="宋体" w:hAnsi="宋体" w:eastAsia="宋体"/>
                <w:sz w:val="28"/>
                <w:szCs w:val="28"/>
              </w:rPr>
            </w:pPr>
            <w:r>
              <w:rPr>
                <w:rFonts w:ascii="宋体" w:hAnsi="宋体" w:eastAsia="宋体"/>
                <w:sz w:val="28"/>
                <w:szCs w:val="28"/>
              </w:rPr>
              <w:t>实质性条款响应</w:t>
            </w:r>
          </w:p>
        </w:tc>
        <w:tc>
          <w:tcPr>
            <w:tcW w:w="5498" w:type="dxa"/>
            <w:vAlign w:val="center"/>
          </w:tcPr>
          <w:p>
            <w:pPr>
              <w:jc w:val="both"/>
              <w:rPr>
                <w:rFonts w:ascii="宋体" w:hAnsi="宋体" w:eastAsia="宋体"/>
                <w:sz w:val="28"/>
                <w:szCs w:val="28"/>
              </w:rPr>
            </w:pPr>
            <w:r>
              <w:rPr>
                <w:rFonts w:ascii="宋体" w:hAnsi="宋体" w:eastAsia="宋体"/>
                <w:sz w:val="28"/>
                <w:szCs w:val="28"/>
              </w:rPr>
              <w:t>完全响应招标文件要求的各项技术（服务）、商务实质性条款。（</w:t>
            </w:r>
            <w:r>
              <w:rPr>
                <w:rFonts w:hint="eastAsia" w:ascii="宋体" w:hAnsi="宋体" w:eastAsia="宋体"/>
                <w:sz w:val="28"/>
                <w:szCs w:val="28"/>
              </w:rPr>
              <w:t>见</w:t>
            </w:r>
            <w:r>
              <w:rPr>
                <w:rFonts w:ascii="宋体" w:hAnsi="宋体" w:eastAsia="宋体"/>
                <w:sz w:val="28"/>
                <w:szCs w:val="28"/>
              </w:rPr>
              <w:t>第三章标注</w:t>
            </w:r>
            <w:r>
              <w:rPr>
                <w:rFonts w:ascii="宋体" w:hAnsi="宋体" w:eastAsia="宋体" w:cs="Segoe UI Symbol"/>
                <w:sz w:val="28"/>
                <w:szCs w:val="28"/>
              </w:rPr>
              <w:t>★</w:t>
            </w:r>
            <w:r>
              <w:rPr>
                <w:rFonts w:ascii="宋体" w:hAnsi="宋体" w:eastAsia="宋体"/>
                <w:sz w:val="28"/>
                <w:szCs w:val="28"/>
              </w:rPr>
              <w:t>的条款，未设置时请忽略此项）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宋体" w:hAnsi="宋体" w:eastAsia="宋体"/>
                <w:sz w:val="28"/>
                <w:szCs w:val="28"/>
              </w:rPr>
            </w:pPr>
            <w:r>
              <w:rPr>
                <w:rFonts w:hint="eastAsia" w:ascii="宋体" w:hAnsi="宋体" w:eastAsia="宋体"/>
                <w:sz w:val="28"/>
                <w:szCs w:val="28"/>
              </w:rPr>
              <w:t>8</w:t>
            </w:r>
          </w:p>
        </w:tc>
        <w:tc>
          <w:tcPr>
            <w:tcW w:w="2392" w:type="dxa"/>
            <w:vAlign w:val="center"/>
          </w:tcPr>
          <w:p>
            <w:pPr>
              <w:spacing w:line="560" w:lineRule="exact"/>
              <w:jc w:val="center"/>
              <w:rPr>
                <w:rFonts w:ascii="宋体" w:hAnsi="宋体" w:eastAsia="宋体"/>
                <w:sz w:val="28"/>
                <w:szCs w:val="28"/>
              </w:rPr>
            </w:pPr>
            <w:r>
              <w:rPr>
                <w:rFonts w:ascii="宋体" w:hAnsi="宋体" w:eastAsia="宋体"/>
                <w:sz w:val="28"/>
                <w:szCs w:val="28"/>
              </w:rPr>
              <w:t>合同条款响应</w:t>
            </w:r>
          </w:p>
        </w:tc>
        <w:tc>
          <w:tcPr>
            <w:tcW w:w="5498" w:type="dxa"/>
            <w:vAlign w:val="center"/>
          </w:tcPr>
          <w:p>
            <w:pPr>
              <w:jc w:val="both"/>
              <w:rPr>
                <w:rFonts w:ascii="宋体" w:hAnsi="宋体" w:eastAsia="宋体"/>
                <w:sz w:val="28"/>
                <w:szCs w:val="28"/>
              </w:rPr>
            </w:pPr>
            <w:r>
              <w:rPr>
                <w:rFonts w:ascii="宋体" w:hAnsi="宋体" w:eastAsia="宋体"/>
                <w:sz w:val="28"/>
                <w:szCs w:val="28"/>
              </w:rPr>
              <w:t>完全理解并响应招标文件合同条款的要求，且未</w:t>
            </w:r>
            <w:r>
              <w:rPr>
                <w:rFonts w:hint="eastAsia" w:ascii="宋体" w:hAnsi="宋体" w:eastAsia="宋体"/>
                <w:sz w:val="28"/>
                <w:szCs w:val="28"/>
              </w:rPr>
              <w:t>含有采购人不能接受的附加条件的</w:t>
            </w:r>
            <w:r>
              <w:rPr>
                <w:rFonts w:ascii="宋体" w:hAnsi="宋体" w:eastAsia="宋体"/>
                <w:sz w:val="28"/>
                <w:szCs w:val="28"/>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宋体" w:hAnsi="宋体" w:eastAsia="宋体"/>
                <w:sz w:val="28"/>
                <w:szCs w:val="28"/>
              </w:rPr>
            </w:pPr>
            <w:r>
              <w:rPr>
                <w:rFonts w:hint="eastAsia" w:ascii="宋体" w:hAnsi="宋体" w:eastAsia="宋体"/>
                <w:sz w:val="28"/>
                <w:szCs w:val="28"/>
              </w:rPr>
              <w:t>9</w:t>
            </w:r>
          </w:p>
        </w:tc>
        <w:tc>
          <w:tcPr>
            <w:tcW w:w="2392" w:type="dxa"/>
            <w:vAlign w:val="center"/>
          </w:tcPr>
          <w:p>
            <w:pPr>
              <w:spacing w:line="560" w:lineRule="exact"/>
              <w:jc w:val="center"/>
              <w:rPr>
                <w:rFonts w:ascii="宋体" w:hAnsi="宋体" w:eastAsia="宋体"/>
                <w:sz w:val="28"/>
                <w:szCs w:val="28"/>
              </w:rPr>
            </w:pPr>
            <w:r>
              <w:rPr>
                <w:rFonts w:hint="eastAsia" w:ascii="宋体" w:hAnsi="宋体" w:eastAsia="宋体"/>
                <w:sz w:val="28"/>
                <w:szCs w:val="28"/>
              </w:rPr>
              <w:t>电子投标文件雷同性分析</w:t>
            </w:r>
          </w:p>
        </w:tc>
        <w:tc>
          <w:tcPr>
            <w:tcW w:w="5498" w:type="dxa"/>
            <w:vAlign w:val="center"/>
          </w:tcPr>
          <w:p>
            <w:pPr>
              <w:jc w:val="both"/>
              <w:rPr>
                <w:rFonts w:ascii="宋体" w:hAnsi="宋体" w:eastAsia="宋体"/>
                <w:sz w:val="28"/>
                <w:szCs w:val="28"/>
              </w:rPr>
            </w:pPr>
            <w:r>
              <w:rPr>
                <w:rFonts w:hint="eastAsia" w:ascii="宋体" w:hAnsi="宋体" w:eastAsia="宋体"/>
                <w:sz w:val="28"/>
                <w:szCs w:val="28"/>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0</w:t>
            </w:r>
          </w:p>
        </w:tc>
        <w:tc>
          <w:tcPr>
            <w:tcW w:w="2392" w:type="dxa"/>
            <w:vAlign w:val="center"/>
          </w:tcPr>
          <w:p>
            <w:pPr>
              <w:spacing w:line="560" w:lineRule="exact"/>
              <w:jc w:val="center"/>
              <w:rPr>
                <w:rFonts w:ascii="宋体" w:hAnsi="宋体" w:eastAsia="宋体"/>
                <w:sz w:val="28"/>
                <w:szCs w:val="28"/>
              </w:rPr>
            </w:pPr>
            <w:r>
              <w:rPr>
                <w:rFonts w:ascii="宋体" w:hAnsi="宋体" w:eastAsia="宋体"/>
                <w:sz w:val="28"/>
                <w:szCs w:val="28"/>
              </w:rPr>
              <w:t>其他</w:t>
            </w:r>
          </w:p>
        </w:tc>
        <w:tc>
          <w:tcPr>
            <w:tcW w:w="5498" w:type="dxa"/>
            <w:vAlign w:val="center"/>
          </w:tcPr>
          <w:p>
            <w:pPr>
              <w:jc w:val="both"/>
              <w:rPr>
                <w:rFonts w:ascii="宋体" w:hAnsi="宋体" w:eastAsia="宋体"/>
                <w:sz w:val="28"/>
                <w:szCs w:val="28"/>
              </w:rPr>
            </w:pPr>
            <w:r>
              <w:rPr>
                <w:rFonts w:ascii="宋体" w:hAnsi="宋体" w:eastAsia="宋体"/>
                <w:sz w:val="28"/>
                <w:szCs w:val="28"/>
              </w:rPr>
              <w:t>完全理解并接受法律法规和招标文件对供应商合法经营的各类规约和责任义务要求，没有出现法律法规或招标文件规定的其他</w:t>
            </w:r>
            <w:r>
              <w:rPr>
                <w:rFonts w:hint="eastAsia" w:ascii="宋体" w:hAnsi="宋体" w:eastAsia="宋体"/>
                <w:sz w:val="28"/>
                <w:szCs w:val="28"/>
              </w:rPr>
              <w:t>无效</w:t>
            </w:r>
            <w:r>
              <w:rPr>
                <w:rFonts w:ascii="宋体" w:hAnsi="宋体" w:eastAsia="宋体"/>
                <w:sz w:val="28"/>
                <w:szCs w:val="28"/>
              </w:rPr>
              <w:t>情形。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1</w:t>
            </w:r>
          </w:p>
        </w:tc>
        <w:tc>
          <w:tcPr>
            <w:tcW w:w="2392" w:type="dxa"/>
            <w:vAlign w:val="center"/>
          </w:tcPr>
          <w:p>
            <w:pPr>
              <w:spacing w:line="560" w:lineRule="exact"/>
              <w:jc w:val="center"/>
              <w:rPr>
                <w:rFonts w:ascii="宋体" w:hAnsi="宋体" w:eastAsia="宋体"/>
                <w:sz w:val="28"/>
                <w:szCs w:val="28"/>
              </w:rPr>
            </w:pPr>
            <w:r>
              <w:rPr>
                <w:rFonts w:hint="eastAsia" w:ascii="宋体" w:hAnsi="宋体" w:eastAsia="宋体"/>
                <w:sz w:val="28"/>
                <w:szCs w:val="28"/>
              </w:rPr>
              <w:t>编制格式</w:t>
            </w:r>
          </w:p>
        </w:tc>
        <w:tc>
          <w:tcPr>
            <w:tcW w:w="5498" w:type="dxa"/>
            <w:vAlign w:val="center"/>
          </w:tcPr>
          <w:p>
            <w:pPr>
              <w:jc w:val="both"/>
              <w:rPr>
                <w:rFonts w:ascii="宋体" w:hAnsi="宋体" w:eastAsia="宋体"/>
                <w:sz w:val="28"/>
                <w:szCs w:val="28"/>
              </w:rPr>
            </w:pPr>
            <w:r>
              <w:rPr>
                <w:rFonts w:ascii="宋体" w:hAnsi="宋体" w:eastAsia="宋体"/>
                <w:sz w:val="28"/>
                <w:szCs w:val="28"/>
              </w:rPr>
              <w:t>除明确允许投标人可以自行编写的外，投标文件必 须按照招标文件给定的格式和要求编制</w:t>
            </w:r>
          </w:p>
        </w:tc>
      </w:tr>
    </w:tbl>
    <w:p>
      <w:pPr>
        <w:pStyle w:val="107"/>
        <w:rPr>
          <w:rFonts w:ascii="宋体" w:hAnsi="宋体" w:eastAsia="宋体"/>
          <w:sz w:val="28"/>
          <w:szCs w:val="32"/>
        </w:rPr>
      </w:pPr>
      <w:bookmarkStart w:id="49" w:name="_Toc120103845"/>
      <w:r>
        <w:rPr>
          <w:rFonts w:ascii="宋体" w:hAnsi="宋体" w:eastAsia="宋体"/>
          <w:sz w:val="28"/>
          <w:szCs w:val="32"/>
        </w:rPr>
        <w:t>3</w:t>
      </w:r>
      <w:r>
        <w:rPr>
          <w:rFonts w:hint="eastAsia" w:ascii="宋体" w:hAnsi="宋体" w:eastAsia="宋体"/>
          <w:sz w:val="28"/>
          <w:szCs w:val="32"/>
        </w:rPr>
        <w:t>．</w:t>
      </w:r>
      <w:r>
        <w:rPr>
          <w:rFonts w:ascii="宋体" w:hAnsi="宋体" w:eastAsia="宋体"/>
          <w:sz w:val="28"/>
          <w:szCs w:val="32"/>
        </w:rPr>
        <w:t>综合比较与评价</w:t>
      </w:r>
      <w:bookmarkEnd w:id="49"/>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评标委员会按《评审要素及分值一览表》中规定的评标方法和标准，对通过符合性审查的投标文件进行商务和技术评估，综合比较与评价。</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出现下列情形的，供应商投标无效：</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（1）投标文件报价出现本章第五小节“投标报价”所列需要修正情形，但供应商对修正后的报价不予确认的；</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rPr>
          <w:rFonts w:ascii="宋体" w:hAnsi="宋体" w:eastAsia="宋体"/>
          <w:sz w:val="32"/>
          <w:szCs w:val="32"/>
        </w:rPr>
      </w:pPr>
      <w:r>
        <w:rPr>
          <w:rFonts w:ascii="宋体" w:hAnsi="宋体" w:eastAsia="宋体"/>
          <w:sz w:val="32"/>
          <w:szCs w:val="32"/>
        </w:rPr>
        <w:br w:type="page"/>
      </w:r>
      <w:bookmarkStart w:id="165" w:name="_GoBack"/>
      <w:bookmarkEnd w:id="165"/>
    </w:p>
    <w:p>
      <w:pPr>
        <w:spacing w:line="560" w:lineRule="exact"/>
        <w:jc w:val="both"/>
        <w:rPr>
          <w:rFonts w:ascii="宋体" w:hAnsi="宋体" w:eastAsia="宋体"/>
          <w:sz w:val="28"/>
          <w:szCs w:val="28"/>
        </w:rPr>
      </w:pPr>
      <w:r>
        <w:rPr>
          <w:rFonts w:ascii="宋体" w:hAnsi="宋体" w:eastAsia="宋体"/>
          <w:sz w:val="28"/>
          <w:szCs w:val="28"/>
        </w:rPr>
        <w:t>〖评审要素及分值一览表〗</w:t>
      </w:r>
    </w:p>
    <w:tbl>
      <w:tblPr>
        <w:tblStyle w:val="3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2"/>
        <w:gridCol w:w="709"/>
        <w:gridCol w:w="851"/>
        <w:gridCol w:w="6095"/>
        <w:gridCol w:w="66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restart"/>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b/>
                <w:bCs/>
                <w:sz w:val="28"/>
                <w:szCs w:val="28"/>
              </w:rPr>
            </w:pPr>
            <w:r>
              <w:rPr>
                <w:rFonts w:ascii="宋体" w:hAnsi="宋体" w:eastAsia="宋体"/>
                <w:b/>
                <w:bCs/>
                <w:sz w:val="28"/>
                <w:szCs w:val="28"/>
              </w:rPr>
              <w:t>项别</w:t>
            </w:r>
          </w:p>
        </w:tc>
        <w:tc>
          <w:tcPr>
            <w:tcW w:w="1560" w:type="dxa"/>
            <w:gridSpan w:val="2"/>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b/>
                <w:bCs/>
                <w:sz w:val="28"/>
                <w:szCs w:val="28"/>
              </w:rPr>
            </w:pPr>
            <w:r>
              <w:rPr>
                <w:rFonts w:ascii="宋体" w:hAnsi="宋体" w:eastAsia="宋体"/>
                <w:b/>
                <w:bCs/>
                <w:sz w:val="28"/>
                <w:szCs w:val="28"/>
              </w:rPr>
              <w:t>总分值</w:t>
            </w:r>
          </w:p>
        </w:tc>
        <w:tc>
          <w:tcPr>
            <w:tcW w:w="6095" w:type="dxa"/>
            <w:vMerge w:val="restart"/>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b/>
                <w:bCs/>
                <w:sz w:val="28"/>
                <w:szCs w:val="28"/>
              </w:rPr>
            </w:pPr>
            <w:r>
              <w:rPr>
                <w:rFonts w:ascii="宋体" w:hAnsi="宋体" w:eastAsia="宋体"/>
                <w:b/>
                <w:bCs/>
                <w:sz w:val="28"/>
                <w:szCs w:val="28"/>
              </w:rPr>
              <w:t>评审要素</w:t>
            </w:r>
          </w:p>
        </w:tc>
        <w:tc>
          <w:tcPr>
            <w:tcW w:w="661" w:type="dxa"/>
            <w:vMerge w:val="restart"/>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b/>
                <w:bCs/>
                <w:sz w:val="28"/>
                <w:szCs w:val="28"/>
              </w:rPr>
            </w:pPr>
            <w:r>
              <w:rPr>
                <w:rFonts w:ascii="宋体" w:hAnsi="宋体" w:eastAsia="宋体"/>
                <w:b/>
                <w:bCs/>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tcBorders>
              <w:top w:val="single" w:color="auto" w:sz="2" w:space="0"/>
              <w:bottom w:val="single" w:color="auto" w:sz="2" w:space="0"/>
            </w:tcBorders>
            <w:shd w:val="clear" w:color="auto" w:fill="F1F1F1" w:themeFill="background1" w:themeFillShade="F2"/>
            <w:vAlign w:val="center"/>
          </w:tcPr>
          <w:p>
            <w:pPr>
              <w:jc w:val="center"/>
              <w:rPr>
                <w:rFonts w:ascii="宋体" w:hAnsi="宋体" w:eastAsia="宋体"/>
                <w:sz w:val="28"/>
                <w:szCs w:val="28"/>
              </w:rPr>
            </w:pPr>
          </w:p>
        </w:tc>
        <w:tc>
          <w:tcPr>
            <w:tcW w:w="709" w:type="dxa"/>
            <w:tcBorders>
              <w:top w:val="single" w:color="auto" w:sz="2" w:space="0"/>
              <w:bottom w:val="single" w:color="auto" w:sz="2" w:space="0"/>
            </w:tcBorders>
            <w:shd w:val="clear" w:color="auto" w:fill="F1F1F1" w:themeFill="background1" w:themeFillShade="F2"/>
            <w:vAlign w:val="center"/>
          </w:tcPr>
          <w:p>
            <w:pPr>
              <w:jc w:val="center"/>
              <w:rPr>
                <w:rFonts w:ascii="宋体" w:hAnsi="宋体" w:eastAsia="宋体"/>
                <w:b/>
                <w:bCs/>
                <w:sz w:val="28"/>
                <w:szCs w:val="28"/>
              </w:rPr>
            </w:pPr>
            <w:r>
              <w:rPr>
                <w:rFonts w:ascii="宋体" w:hAnsi="宋体" w:eastAsia="宋体"/>
                <w:b/>
                <w:bCs/>
                <w:sz w:val="28"/>
                <w:szCs w:val="28"/>
              </w:rPr>
              <w:t>100</w:t>
            </w:r>
          </w:p>
        </w:tc>
        <w:tc>
          <w:tcPr>
            <w:tcW w:w="851" w:type="dxa"/>
            <w:tcBorders>
              <w:top w:val="single" w:color="auto" w:sz="2" w:space="0"/>
              <w:bottom w:val="single" w:color="auto" w:sz="2" w:space="0"/>
            </w:tcBorders>
            <w:shd w:val="clear" w:color="auto" w:fill="F1F1F1" w:themeFill="background1" w:themeFillShade="F2"/>
            <w:vAlign w:val="center"/>
          </w:tcPr>
          <w:p>
            <w:pPr>
              <w:jc w:val="center"/>
              <w:rPr>
                <w:rFonts w:ascii="宋体" w:hAnsi="宋体" w:eastAsia="宋体"/>
                <w:b/>
                <w:bCs/>
                <w:sz w:val="28"/>
                <w:szCs w:val="28"/>
              </w:rPr>
            </w:pPr>
            <w:r>
              <w:rPr>
                <w:rFonts w:ascii="宋体" w:hAnsi="宋体" w:eastAsia="宋体"/>
                <w:b/>
                <w:bCs/>
                <w:sz w:val="28"/>
                <w:szCs w:val="28"/>
              </w:rPr>
              <w:t>分项最高分值</w:t>
            </w:r>
          </w:p>
        </w:tc>
        <w:tc>
          <w:tcPr>
            <w:tcW w:w="6095" w:type="dxa"/>
            <w:vMerge w:val="continue"/>
            <w:tcBorders>
              <w:top w:val="single" w:color="auto" w:sz="2" w:space="0"/>
              <w:bottom w:val="single" w:color="auto" w:sz="2" w:space="0"/>
            </w:tcBorders>
            <w:shd w:val="clear" w:color="auto" w:fill="F1F1F1" w:themeFill="background1" w:themeFillShade="F2"/>
            <w:vAlign w:val="center"/>
          </w:tcPr>
          <w:p>
            <w:pPr>
              <w:jc w:val="center"/>
              <w:rPr>
                <w:rFonts w:ascii="宋体" w:hAnsi="宋体" w:eastAsia="宋体"/>
                <w:sz w:val="28"/>
                <w:szCs w:val="28"/>
              </w:rPr>
            </w:pPr>
          </w:p>
        </w:tc>
        <w:tc>
          <w:tcPr>
            <w:tcW w:w="661" w:type="dxa"/>
            <w:vMerge w:val="continue"/>
            <w:tcBorders>
              <w:top w:val="single" w:color="auto" w:sz="2" w:space="0"/>
              <w:bottom w:val="single" w:color="auto" w:sz="2" w:space="0"/>
            </w:tcBorders>
            <w:shd w:val="clear" w:color="auto" w:fill="F1F1F1" w:themeFill="background1" w:themeFillShade="F2"/>
            <w:vAlign w:val="center"/>
          </w:tcPr>
          <w:p>
            <w:pPr>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tcBorders>
              <w:top w:val="single" w:color="auto" w:sz="2" w:space="0"/>
            </w:tcBorders>
            <w:shd w:val="clear" w:color="auto" w:fill="auto"/>
            <w:vAlign w:val="center"/>
          </w:tcPr>
          <w:p>
            <w:pPr>
              <w:jc w:val="center"/>
              <w:rPr>
                <w:rFonts w:ascii="宋体" w:hAnsi="宋体" w:eastAsia="宋体"/>
                <w:sz w:val="28"/>
                <w:szCs w:val="28"/>
              </w:rPr>
            </w:pPr>
            <w:r>
              <w:rPr>
                <w:rFonts w:ascii="宋体" w:hAnsi="宋体" w:eastAsia="宋体"/>
                <w:sz w:val="28"/>
                <w:szCs w:val="28"/>
              </w:rPr>
              <w:t>价格</w:t>
            </w:r>
          </w:p>
        </w:tc>
        <w:tc>
          <w:tcPr>
            <w:tcW w:w="709" w:type="dxa"/>
            <w:tcBorders>
              <w:top w:val="single" w:color="auto" w:sz="2" w:space="0"/>
            </w:tcBorders>
            <w:shd w:val="clear" w:color="auto" w:fill="auto"/>
            <w:vAlign w:val="center"/>
          </w:tcPr>
          <w:p>
            <w:pPr>
              <w:jc w:val="center"/>
              <w:rPr>
                <w:rFonts w:ascii="宋体" w:hAnsi="宋体" w:eastAsia="宋体"/>
                <w:sz w:val="28"/>
                <w:szCs w:val="28"/>
              </w:rPr>
            </w:pPr>
            <w:r>
              <w:rPr>
                <w:rFonts w:ascii="宋体" w:hAnsi="宋体" w:eastAsia="宋体"/>
                <w:sz w:val="28"/>
                <w:szCs w:val="28"/>
              </w:rPr>
              <w:t>30</w:t>
            </w:r>
          </w:p>
        </w:tc>
        <w:tc>
          <w:tcPr>
            <w:tcW w:w="851"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3</w:t>
            </w:r>
            <w:r>
              <w:rPr>
                <w:rFonts w:ascii="宋体" w:hAnsi="宋体" w:eastAsia="宋体"/>
                <w:sz w:val="28"/>
                <w:szCs w:val="28"/>
              </w:rPr>
              <w:t>0</w:t>
            </w:r>
          </w:p>
        </w:tc>
        <w:tc>
          <w:tcPr>
            <w:tcW w:w="6095" w:type="dxa"/>
            <w:tcBorders>
              <w:top w:val="single" w:color="auto" w:sz="2" w:space="0"/>
            </w:tcBorders>
            <w:shd w:val="clear" w:color="auto" w:fill="auto"/>
            <w:vAlign w:val="center"/>
          </w:tcPr>
          <w:p>
            <w:pPr>
              <w:jc w:val="both"/>
              <w:rPr>
                <w:rFonts w:ascii="宋体" w:hAnsi="宋体" w:eastAsia="宋体"/>
                <w:sz w:val="28"/>
                <w:szCs w:val="28"/>
              </w:rPr>
            </w:pPr>
            <w:r>
              <w:rPr>
                <w:rFonts w:ascii="宋体" w:hAnsi="宋体" w:eastAsia="宋体"/>
                <w:sz w:val="28"/>
                <w:szCs w:val="28"/>
              </w:rPr>
              <w:t>有效供应商最低报价作为基准价，各供应商的报价得分按下列公式计算：</w:t>
            </w:r>
          </w:p>
          <w:p>
            <w:pPr>
              <w:jc w:val="both"/>
              <w:rPr>
                <w:rFonts w:ascii="宋体" w:hAnsi="宋体" w:eastAsia="宋体"/>
                <w:sz w:val="28"/>
                <w:szCs w:val="28"/>
              </w:rPr>
            </w:pPr>
            <w:r>
              <w:rPr>
                <w:rFonts w:ascii="宋体" w:hAnsi="宋体" w:eastAsia="宋体"/>
                <w:sz w:val="28"/>
                <w:szCs w:val="28"/>
              </w:rPr>
              <w:t>（基准价/投标报价）×30%×100分。</w:t>
            </w:r>
          </w:p>
          <w:p>
            <w:pPr>
              <w:jc w:val="both"/>
              <w:rPr>
                <w:rFonts w:ascii="宋体" w:hAnsi="宋体" w:eastAsia="宋体"/>
                <w:b/>
                <w:bCs/>
                <w:sz w:val="28"/>
                <w:szCs w:val="28"/>
              </w:rPr>
            </w:pPr>
            <w:r>
              <w:rPr>
                <w:rFonts w:hint="eastAsia" w:ascii="宋体" w:hAnsi="宋体" w:cs="宋体"/>
                <w:b/>
                <w:bCs/>
              </w:rPr>
              <w:t>注：符合招标文件规定的小微企业、监狱企业、残疾人福利性单位优惠条件的供应商，对于按规定小微企业提供《中小企业声明函》，监狱企业、残疾人福利性单位提供证明材料的供应商，在价格评审时统一给予10%的扣除，用扣除后的价格参与评审。（不重复扣除）</w:t>
            </w:r>
          </w:p>
        </w:tc>
        <w:tc>
          <w:tcPr>
            <w:tcW w:w="661" w:type="dxa"/>
            <w:tcBorders>
              <w:top w:val="single" w:color="auto" w:sz="2" w:space="0"/>
            </w:tcBorders>
            <w:shd w:val="clear" w:color="auto" w:fill="auto"/>
            <w:vAlign w:val="center"/>
          </w:tcPr>
          <w:p>
            <w:pPr>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restart"/>
            <w:shd w:val="clear" w:color="auto" w:fill="auto"/>
            <w:vAlign w:val="center"/>
          </w:tcPr>
          <w:p>
            <w:pPr>
              <w:jc w:val="center"/>
              <w:rPr>
                <w:rFonts w:ascii="宋体" w:hAnsi="宋体" w:eastAsia="宋体"/>
                <w:sz w:val="28"/>
                <w:szCs w:val="28"/>
              </w:rPr>
            </w:pPr>
            <w:r>
              <w:rPr>
                <w:rFonts w:ascii="宋体" w:hAnsi="宋体" w:eastAsia="宋体"/>
                <w:sz w:val="28"/>
                <w:szCs w:val="28"/>
              </w:rPr>
              <w:t>技术响</w:t>
            </w:r>
            <w:r>
              <w:rPr>
                <w:rFonts w:hint="eastAsia" w:ascii="宋体" w:hAnsi="宋体" w:eastAsia="宋体"/>
                <w:sz w:val="28"/>
                <w:szCs w:val="28"/>
              </w:rPr>
              <w:t xml:space="preserve"> </w:t>
            </w:r>
            <w:r>
              <w:rPr>
                <w:rFonts w:ascii="宋体" w:hAnsi="宋体" w:eastAsia="宋体"/>
                <w:sz w:val="28"/>
                <w:szCs w:val="28"/>
              </w:rPr>
              <w:t>应</w:t>
            </w:r>
          </w:p>
        </w:tc>
        <w:tc>
          <w:tcPr>
            <w:tcW w:w="709" w:type="dxa"/>
            <w:vMerge w:val="restart"/>
            <w:shd w:val="clear" w:color="auto" w:fill="auto"/>
            <w:vAlign w:val="center"/>
          </w:tcPr>
          <w:p>
            <w:pPr>
              <w:jc w:val="center"/>
              <w:rPr>
                <w:rFonts w:ascii="宋体" w:hAnsi="宋体" w:eastAsia="宋体"/>
                <w:sz w:val="28"/>
                <w:szCs w:val="28"/>
              </w:rPr>
            </w:pPr>
            <w:r>
              <w:rPr>
                <w:rFonts w:hint="eastAsia" w:ascii="宋体" w:hAnsi="宋体" w:eastAsia="宋体"/>
                <w:sz w:val="28"/>
                <w:szCs w:val="28"/>
              </w:rPr>
              <w:t>6</w:t>
            </w:r>
            <w:r>
              <w:rPr>
                <w:rFonts w:ascii="宋体" w:hAnsi="宋体" w:eastAsia="宋体"/>
                <w:sz w:val="28"/>
                <w:szCs w:val="28"/>
              </w:rPr>
              <w:t>4</w:t>
            </w:r>
          </w:p>
        </w:tc>
        <w:tc>
          <w:tcPr>
            <w:tcW w:w="851" w:type="dxa"/>
            <w:shd w:val="clear" w:color="auto" w:fill="auto"/>
            <w:vAlign w:val="center"/>
          </w:tcPr>
          <w:p>
            <w:pPr>
              <w:jc w:val="center"/>
              <w:rPr>
                <w:rFonts w:ascii="宋体" w:hAnsi="宋体" w:eastAsia="宋体"/>
                <w:sz w:val="28"/>
                <w:szCs w:val="28"/>
              </w:rPr>
            </w:pPr>
            <w:r>
              <w:rPr>
                <w:rFonts w:ascii="宋体" w:hAnsi="宋体" w:eastAsia="宋体"/>
                <w:sz w:val="28"/>
                <w:szCs w:val="28"/>
              </w:rPr>
              <w:t>5</w:t>
            </w:r>
          </w:p>
        </w:tc>
        <w:tc>
          <w:tcPr>
            <w:tcW w:w="6095" w:type="dxa"/>
            <w:shd w:val="clear" w:color="auto" w:fill="auto"/>
            <w:vAlign w:val="center"/>
          </w:tcPr>
          <w:p>
            <w:pPr>
              <w:ind w:right="-106" w:rightChars="-44"/>
              <w:jc w:val="both"/>
              <w:rPr>
                <w:rFonts w:ascii="宋体" w:hAnsi="宋体" w:eastAsia="宋体"/>
                <w:b/>
                <w:bCs/>
                <w:sz w:val="28"/>
                <w:szCs w:val="28"/>
              </w:rPr>
            </w:pPr>
            <w:r>
              <w:rPr>
                <w:rFonts w:ascii="宋体" w:hAnsi="宋体" w:eastAsia="宋体"/>
                <w:b/>
                <w:bCs/>
                <w:sz w:val="28"/>
                <w:szCs w:val="28"/>
              </w:rPr>
              <w:t>企业实力</w:t>
            </w:r>
          </w:p>
          <w:p>
            <w:pPr>
              <w:ind w:right="-106" w:rightChars="-44"/>
              <w:jc w:val="both"/>
              <w:rPr>
                <w:rFonts w:ascii="宋体" w:hAnsi="宋体" w:eastAsia="宋体"/>
                <w:b/>
                <w:bCs/>
                <w:sz w:val="28"/>
                <w:szCs w:val="28"/>
              </w:rPr>
            </w:pPr>
            <w:r>
              <w:rPr>
                <w:rFonts w:ascii="宋体" w:hAnsi="宋体" w:eastAsia="宋体"/>
                <w:sz w:val="28"/>
                <w:szCs w:val="28"/>
              </w:rPr>
              <w:t>提供有效的质量管理体系认证证书（ISO9001或 GB/T 19001），环境管理体系认证证书（ISO14001 或 GB/T 24001），职业健康安全管理体系认证证书（ISO45001 或 GB/T 28001），每提供一个得 1 分，最多计 3 分。其中以上认证证书有效范围涵盖应急广播或音视频系统的，加 2 分。</w:t>
            </w:r>
          </w:p>
        </w:tc>
        <w:tc>
          <w:tcPr>
            <w:tcW w:w="661" w:type="dxa"/>
            <w:vMerge w:val="restart"/>
            <w:shd w:val="clear" w:color="auto" w:fill="auto"/>
            <w:vAlign w:val="center"/>
          </w:tcPr>
          <w:p>
            <w:pPr>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pPr>
              <w:jc w:val="center"/>
              <w:rPr>
                <w:rFonts w:ascii="宋体" w:hAnsi="宋体" w:eastAsia="宋体"/>
                <w:sz w:val="28"/>
                <w:szCs w:val="28"/>
              </w:rPr>
            </w:pPr>
          </w:p>
        </w:tc>
        <w:tc>
          <w:tcPr>
            <w:tcW w:w="709" w:type="dxa"/>
            <w:vMerge w:val="continue"/>
            <w:shd w:val="clear" w:color="auto" w:fill="auto"/>
            <w:vAlign w:val="center"/>
          </w:tcPr>
          <w:p>
            <w:pPr>
              <w:jc w:val="center"/>
              <w:rPr>
                <w:rFonts w:ascii="宋体" w:hAnsi="宋体" w:eastAsia="宋体"/>
                <w:sz w:val="28"/>
                <w:szCs w:val="28"/>
              </w:rPr>
            </w:pPr>
          </w:p>
        </w:tc>
        <w:tc>
          <w:tcPr>
            <w:tcW w:w="851" w:type="dxa"/>
            <w:shd w:val="clear" w:color="auto" w:fill="auto"/>
            <w:vAlign w:val="center"/>
          </w:tcPr>
          <w:p>
            <w:pPr>
              <w:jc w:val="center"/>
              <w:rPr>
                <w:rFonts w:ascii="宋体" w:hAnsi="宋体" w:eastAsia="宋体"/>
                <w:sz w:val="28"/>
                <w:szCs w:val="28"/>
              </w:rPr>
            </w:pPr>
            <w:r>
              <w:rPr>
                <w:rFonts w:ascii="宋体" w:hAnsi="宋体" w:eastAsia="宋体"/>
                <w:sz w:val="28"/>
                <w:szCs w:val="28"/>
              </w:rPr>
              <w:t>2</w:t>
            </w:r>
          </w:p>
        </w:tc>
        <w:tc>
          <w:tcPr>
            <w:tcW w:w="6095" w:type="dxa"/>
            <w:shd w:val="clear" w:color="auto" w:fill="auto"/>
            <w:vAlign w:val="center"/>
          </w:tcPr>
          <w:p>
            <w:pPr>
              <w:ind w:right="-106" w:rightChars="-44"/>
              <w:jc w:val="both"/>
              <w:rPr>
                <w:rFonts w:ascii="宋体" w:hAnsi="宋体" w:eastAsia="宋体"/>
                <w:b/>
                <w:bCs/>
                <w:sz w:val="28"/>
                <w:szCs w:val="28"/>
              </w:rPr>
            </w:pPr>
            <w:r>
              <w:rPr>
                <w:rFonts w:ascii="宋体" w:hAnsi="宋体" w:eastAsia="宋体"/>
                <w:b/>
                <w:bCs/>
                <w:sz w:val="28"/>
                <w:szCs w:val="28"/>
              </w:rPr>
              <w:t>节能环保</w:t>
            </w:r>
          </w:p>
          <w:p>
            <w:pPr>
              <w:ind w:right="-106" w:rightChars="-44"/>
              <w:jc w:val="both"/>
              <w:rPr>
                <w:rFonts w:ascii="宋体" w:hAnsi="宋体" w:eastAsia="宋体"/>
                <w:sz w:val="28"/>
                <w:szCs w:val="28"/>
              </w:rPr>
            </w:pPr>
            <w:r>
              <w:rPr>
                <w:rFonts w:ascii="宋体" w:hAnsi="宋体" w:eastAsia="宋体"/>
                <w:sz w:val="28"/>
                <w:szCs w:val="28"/>
              </w:rPr>
              <w:t>供应商投标产品中每有一项为节能产品政府采购清单中的产品的得 0.5 分，每有一项为环境标志产品政府采购清单中的产品的得 0.5 分，供应商所投产品中每有一项产品同时为节能产品政府采购清单和环境标志产品政府采购清单中的产品的得 1 分，最多得 2 分。（提供清单复印件）</w:t>
            </w:r>
          </w:p>
        </w:tc>
        <w:tc>
          <w:tcPr>
            <w:tcW w:w="661" w:type="dxa"/>
            <w:vMerge w:val="continue"/>
            <w:shd w:val="clear" w:color="auto" w:fill="auto"/>
            <w:vAlign w:val="center"/>
          </w:tcPr>
          <w:p>
            <w:pPr>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pPr>
              <w:jc w:val="center"/>
              <w:rPr>
                <w:rFonts w:ascii="宋体" w:hAnsi="宋体" w:eastAsia="宋体"/>
                <w:sz w:val="28"/>
                <w:szCs w:val="28"/>
              </w:rPr>
            </w:pPr>
          </w:p>
        </w:tc>
        <w:tc>
          <w:tcPr>
            <w:tcW w:w="709" w:type="dxa"/>
            <w:vMerge w:val="continue"/>
            <w:shd w:val="clear" w:color="auto" w:fill="auto"/>
            <w:vAlign w:val="center"/>
          </w:tcPr>
          <w:p>
            <w:pPr>
              <w:jc w:val="center"/>
              <w:rPr>
                <w:rFonts w:ascii="宋体" w:hAnsi="宋体" w:eastAsia="宋体"/>
                <w:sz w:val="28"/>
                <w:szCs w:val="28"/>
              </w:rPr>
            </w:pPr>
          </w:p>
        </w:tc>
        <w:tc>
          <w:tcPr>
            <w:tcW w:w="851"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6</w:t>
            </w:r>
          </w:p>
        </w:tc>
        <w:tc>
          <w:tcPr>
            <w:tcW w:w="6095" w:type="dxa"/>
            <w:shd w:val="clear" w:color="auto" w:fill="auto"/>
            <w:vAlign w:val="center"/>
          </w:tcPr>
          <w:p>
            <w:pPr>
              <w:ind w:right="-106" w:rightChars="-44"/>
              <w:jc w:val="both"/>
              <w:rPr>
                <w:rFonts w:ascii="宋体" w:hAnsi="宋体" w:eastAsia="宋体"/>
                <w:b/>
                <w:bCs/>
                <w:sz w:val="28"/>
                <w:szCs w:val="28"/>
              </w:rPr>
            </w:pPr>
            <w:r>
              <w:rPr>
                <w:rFonts w:hint="eastAsia" w:ascii="宋体" w:hAnsi="宋体" w:eastAsia="宋体"/>
                <w:b/>
                <w:bCs/>
                <w:sz w:val="28"/>
                <w:szCs w:val="28"/>
              </w:rPr>
              <w:t>技术方案</w:t>
            </w:r>
          </w:p>
          <w:p>
            <w:pPr>
              <w:jc w:val="both"/>
              <w:rPr>
                <w:rFonts w:ascii="宋体" w:hAnsi="宋体" w:eastAsia="宋体"/>
                <w:sz w:val="28"/>
                <w:szCs w:val="28"/>
              </w:rPr>
            </w:pPr>
            <w:r>
              <w:rPr>
                <w:rFonts w:ascii="宋体" w:hAnsi="宋体" w:eastAsia="宋体"/>
                <w:sz w:val="28"/>
                <w:szCs w:val="28"/>
              </w:rPr>
              <w:t>1、技术指标应完全响应招标文件要求，没有负偏离，配套供应的产品设备的材料、型号、规格、功能符合招标文件要求，得10分；投标产品中如有一项条款不满足的，扣1分，扣完为止</w:t>
            </w:r>
            <w:r>
              <w:rPr>
                <w:rFonts w:hint="eastAsia" w:ascii="宋体" w:hAnsi="宋体" w:eastAsia="宋体"/>
                <w:sz w:val="28"/>
                <w:szCs w:val="28"/>
              </w:rPr>
              <w:t>.</w:t>
            </w:r>
          </w:p>
          <w:p>
            <w:pPr>
              <w:jc w:val="both"/>
              <w:rPr>
                <w:rFonts w:ascii="宋体" w:hAnsi="宋体" w:eastAsia="宋体"/>
                <w:sz w:val="28"/>
                <w:szCs w:val="28"/>
              </w:rPr>
            </w:pPr>
            <w:r>
              <w:rPr>
                <w:rFonts w:ascii="宋体" w:hAnsi="宋体" w:eastAsia="宋体"/>
                <w:sz w:val="28"/>
                <w:szCs w:val="28"/>
              </w:rPr>
              <w:t>2、相关产品设备、备用品、配件供货均为全新产品且货物货源渠道正规， 质量保证完善，符合国内相关标准，并能提供产品来源渠道合法和质量保证完善的证明文件，进行综合评分，计0-8分。</w:t>
            </w:r>
          </w:p>
          <w:p>
            <w:pPr>
              <w:jc w:val="both"/>
              <w:rPr>
                <w:rFonts w:ascii="宋体" w:hAnsi="宋体" w:eastAsia="宋体"/>
                <w:w w:val="90"/>
                <w:sz w:val="28"/>
                <w:szCs w:val="28"/>
              </w:rPr>
            </w:pPr>
            <w:r>
              <w:rPr>
                <w:rFonts w:ascii="宋体" w:hAnsi="宋体" w:eastAsia="宋体"/>
                <w:sz w:val="28"/>
                <w:szCs w:val="28"/>
              </w:rPr>
              <w:t>3、根据投标人针对本项目提供的技术方案（包含技术方案全面性、项目安装实施方案。难度分析等方面）进行综合评分，计 0-8 分。</w:t>
            </w:r>
          </w:p>
        </w:tc>
        <w:tc>
          <w:tcPr>
            <w:tcW w:w="661" w:type="dxa"/>
            <w:vMerge w:val="continue"/>
            <w:shd w:val="clear" w:color="auto" w:fill="auto"/>
            <w:vAlign w:val="center"/>
          </w:tcPr>
          <w:p>
            <w:pPr>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pPr>
              <w:jc w:val="center"/>
              <w:rPr>
                <w:rFonts w:ascii="宋体" w:hAnsi="宋体" w:eastAsia="宋体"/>
                <w:sz w:val="28"/>
                <w:szCs w:val="28"/>
              </w:rPr>
            </w:pPr>
          </w:p>
        </w:tc>
        <w:tc>
          <w:tcPr>
            <w:tcW w:w="709" w:type="dxa"/>
            <w:vMerge w:val="continue"/>
            <w:shd w:val="clear" w:color="auto" w:fill="auto"/>
            <w:vAlign w:val="center"/>
          </w:tcPr>
          <w:p>
            <w:pPr>
              <w:jc w:val="center"/>
              <w:rPr>
                <w:rFonts w:ascii="宋体" w:hAnsi="宋体" w:eastAsia="宋体"/>
                <w:sz w:val="28"/>
                <w:szCs w:val="28"/>
              </w:rPr>
            </w:pPr>
          </w:p>
        </w:tc>
        <w:tc>
          <w:tcPr>
            <w:tcW w:w="851" w:type="dxa"/>
            <w:shd w:val="clear" w:color="auto" w:fill="auto"/>
            <w:vAlign w:val="center"/>
          </w:tcPr>
          <w:p>
            <w:pPr>
              <w:jc w:val="center"/>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5</w:t>
            </w:r>
          </w:p>
        </w:tc>
        <w:tc>
          <w:tcPr>
            <w:tcW w:w="6095" w:type="dxa"/>
            <w:shd w:val="clear" w:color="auto" w:fill="auto"/>
            <w:vAlign w:val="center"/>
          </w:tcPr>
          <w:p>
            <w:pPr>
              <w:ind w:right="-106" w:rightChars="-44"/>
              <w:jc w:val="both"/>
              <w:rPr>
                <w:rFonts w:ascii="宋体" w:hAnsi="宋体" w:eastAsia="宋体"/>
                <w:b/>
                <w:bCs/>
                <w:sz w:val="28"/>
                <w:szCs w:val="28"/>
              </w:rPr>
            </w:pPr>
            <w:r>
              <w:rPr>
                <w:rFonts w:ascii="宋体" w:hAnsi="宋体" w:eastAsia="宋体"/>
                <w:b/>
                <w:bCs/>
                <w:sz w:val="28"/>
                <w:szCs w:val="28"/>
              </w:rPr>
              <w:t>实施方案</w:t>
            </w:r>
          </w:p>
          <w:p>
            <w:pPr>
              <w:ind w:right="-106" w:rightChars="-44"/>
              <w:jc w:val="both"/>
              <w:rPr>
                <w:rFonts w:ascii="宋体" w:hAnsi="宋体" w:eastAsia="宋体"/>
                <w:sz w:val="28"/>
                <w:szCs w:val="28"/>
              </w:rPr>
            </w:pPr>
            <w:r>
              <w:rPr>
                <w:rFonts w:ascii="宋体" w:hAnsi="宋体" w:eastAsia="宋体"/>
                <w:sz w:val="28"/>
                <w:szCs w:val="28"/>
              </w:rPr>
              <w:t>提供针对本项目的实施方案（根据投入的具体人员，供货组织安排、运输派送措施和时间进度计划及质量保证措施等）进行综合评分，计 0-15 分。</w:t>
            </w:r>
          </w:p>
        </w:tc>
        <w:tc>
          <w:tcPr>
            <w:tcW w:w="661" w:type="dxa"/>
            <w:vMerge w:val="continue"/>
            <w:shd w:val="clear" w:color="auto" w:fill="auto"/>
            <w:vAlign w:val="center"/>
          </w:tcPr>
          <w:p>
            <w:pPr>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pPr>
              <w:jc w:val="center"/>
              <w:rPr>
                <w:rFonts w:ascii="宋体" w:hAnsi="宋体" w:eastAsia="宋体"/>
                <w:sz w:val="28"/>
                <w:szCs w:val="28"/>
              </w:rPr>
            </w:pPr>
          </w:p>
        </w:tc>
        <w:tc>
          <w:tcPr>
            <w:tcW w:w="709" w:type="dxa"/>
            <w:vMerge w:val="continue"/>
            <w:shd w:val="clear" w:color="auto" w:fill="auto"/>
            <w:vAlign w:val="center"/>
          </w:tcPr>
          <w:p>
            <w:pPr>
              <w:jc w:val="center"/>
              <w:rPr>
                <w:rFonts w:ascii="宋体" w:hAnsi="宋体" w:eastAsia="宋体"/>
                <w:sz w:val="28"/>
                <w:szCs w:val="28"/>
              </w:rPr>
            </w:pPr>
          </w:p>
        </w:tc>
        <w:tc>
          <w:tcPr>
            <w:tcW w:w="851" w:type="dxa"/>
            <w:shd w:val="clear" w:color="auto" w:fill="auto"/>
            <w:vAlign w:val="center"/>
          </w:tcPr>
          <w:p>
            <w:pPr>
              <w:jc w:val="center"/>
              <w:rPr>
                <w:rFonts w:ascii="宋体" w:hAnsi="宋体" w:eastAsia="宋体"/>
                <w:sz w:val="28"/>
                <w:szCs w:val="28"/>
              </w:rPr>
            </w:pPr>
            <w:r>
              <w:rPr>
                <w:rFonts w:ascii="宋体" w:hAnsi="宋体" w:eastAsia="宋体"/>
                <w:sz w:val="28"/>
                <w:szCs w:val="28"/>
              </w:rPr>
              <w:t>6</w:t>
            </w:r>
          </w:p>
        </w:tc>
        <w:tc>
          <w:tcPr>
            <w:tcW w:w="6095" w:type="dxa"/>
            <w:shd w:val="clear" w:color="auto" w:fill="auto"/>
            <w:vAlign w:val="center"/>
          </w:tcPr>
          <w:p>
            <w:pPr>
              <w:ind w:right="-106" w:rightChars="-44"/>
              <w:jc w:val="both"/>
              <w:rPr>
                <w:rFonts w:ascii="宋体" w:hAnsi="宋体" w:eastAsia="宋体"/>
                <w:b/>
                <w:bCs/>
                <w:sz w:val="28"/>
                <w:szCs w:val="28"/>
              </w:rPr>
            </w:pPr>
            <w:r>
              <w:rPr>
                <w:rFonts w:ascii="宋体" w:hAnsi="宋体" w:eastAsia="宋体"/>
                <w:b/>
                <w:bCs/>
                <w:sz w:val="28"/>
                <w:szCs w:val="28"/>
              </w:rPr>
              <w:t>培训方案</w:t>
            </w:r>
          </w:p>
          <w:p>
            <w:pPr>
              <w:ind w:right="-106" w:rightChars="-44"/>
              <w:jc w:val="both"/>
              <w:rPr>
                <w:rFonts w:ascii="宋体" w:hAnsi="宋体" w:eastAsia="宋体"/>
                <w:sz w:val="28"/>
                <w:szCs w:val="28"/>
              </w:rPr>
            </w:pPr>
            <w:r>
              <w:rPr>
                <w:rFonts w:ascii="宋体" w:hAnsi="宋体" w:eastAsia="宋体"/>
                <w:sz w:val="28"/>
                <w:szCs w:val="28"/>
              </w:rPr>
              <w:t>根据投标人针对本项目的培训流程、培训人员和培训方法等方面进行综合评分，计 0-6 分。</w:t>
            </w:r>
          </w:p>
        </w:tc>
        <w:tc>
          <w:tcPr>
            <w:tcW w:w="661" w:type="dxa"/>
            <w:vMerge w:val="continue"/>
            <w:shd w:val="clear" w:color="auto" w:fill="auto"/>
            <w:vAlign w:val="center"/>
          </w:tcPr>
          <w:p>
            <w:pPr>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pPr>
              <w:jc w:val="center"/>
              <w:rPr>
                <w:rFonts w:ascii="宋体" w:hAnsi="宋体" w:eastAsia="宋体"/>
                <w:sz w:val="28"/>
                <w:szCs w:val="28"/>
              </w:rPr>
            </w:pPr>
          </w:p>
        </w:tc>
        <w:tc>
          <w:tcPr>
            <w:tcW w:w="709" w:type="dxa"/>
            <w:vMerge w:val="continue"/>
            <w:shd w:val="clear" w:color="auto" w:fill="auto"/>
            <w:vAlign w:val="center"/>
          </w:tcPr>
          <w:p>
            <w:pPr>
              <w:jc w:val="center"/>
              <w:rPr>
                <w:rFonts w:ascii="宋体" w:hAnsi="宋体" w:eastAsia="宋体"/>
                <w:sz w:val="28"/>
                <w:szCs w:val="28"/>
              </w:rPr>
            </w:pPr>
          </w:p>
        </w:tc>
        <w:tc>
          <w:tcPr>
            <w:tcW w:w="851" w:type="dxa"/>
            <w:shd w:val="clear" w:color="auto" w:fill="auto"/>
            <w:vAlign w:val="center"/>
          </w:tcPr>
          <w:p>
            <w:pPr>
              <w:jc w:val="center"/>
              <w:rPr>
                <w:rFonts w:ascii="宋体" w:hAnsi="宋体" w:eastAsia="宋体"/>
                <w:sz w:val="28"/>
                <w:szCs w:val="28"/>
              </w:rPr>
            </w:pPr>
            <w:r>
              <w:rPr>
                <w:rFonts w:ascii="宋体" w:hAnsi="宋体" w:eastAsia="宋体"/>
                <w:sz w:val="28"/>
                <w:szCs w:val="28"/>
              </w:rPr>
              <w:t>10</w:t>
            </w:r>
          </w:p>
        </w:tc>
        <w:tc>
          <w:tcPr>
            <w:tcW w:w="6095" w:type="dxa"/>
            <w:shd w:val="clear" w:color="auto" w:fill="auto"/>
            <w:vAlign w:val="center"/>
          </w:tcPr>
          <w:p>
            <w:pPr>
              <w:ind w:right="-106" w:rightChars="-44"/>
              <w:jc w:val="both"/>
              <w:rPr>
                <w:rFonts w:ascii="宋体" w:hAnsi="宋体" w:eastAsia="宋体"/>
                <w:b/>
                <w:bCs/>
                <w:sz w:val="28"/>
                <w:szCs w:val="28"/>
              </w:rPr>
            </w:pPr>
            <w:r>
              <w:rPr>
                <w:rFonts w:hint="eastAsia" w:ascii="宋体" w:hAnsi="宋体" w:eastAsia="宋体"/>
                <w:b/>
                <w:bCs/>
                <w:sz w:val="28"/>
                <w:szCs w:val="28"/>
              </w:rPr>
              <w:t>售后服务</w:t>
            </w:r>
          </w:p>
          <w:p>
            <w:pPr>
              <w:ind w:right="-106" w:rightChars="-44"/>
              <w:jc w:val="both"/>
              <w:rPr>
                <w:rFonts w:ascii="宋体" w:hAnsi="宋体" w:eastAsia="宋体"/>
                <w:sz w:val="28"/>
                <w:szCs w:val="28"/>
              </w:rPr>
            </w:pPr>
            <w:r>
              <w:rPr>
                <w:rFonts w:hint="eastAsia" w:ascii="宋体" w:hAnsi="宋体" w:eastAsia="宋体"/>
                <w:sz w:val="28"/>
                <w:szCs w:val="28"/>
              </w:rPr>
              <w:t>提供详细完整的售后服务方案和措施、拟派售后技术人员组成科学合理，对投标产品及过程中发生故障的补救措施及维修响应时间明确，包含设备的紧急备货、配送、调试，承诺等能有效保障服务及售后服务的协调性、及时性等方面进行综合评分，计 0-10 分。</w:t>
            </w:r>
          </w:p>
        </w:tc>
        <w:tc>
          <w:tcPr>
            <w:tcW w:w="661" w:type="dxa"/>
            <w:vMerge w:val="continue"/>
            <w:shd w:val="clear" w:color="auto" w:fill="auto"/>
            <w:vAlign w:val="center"/>
          </w:tcPr>
          <w:p>
            <w:pPr>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shd w:val="clear" w:color="auto" w:fill="auto"/>
            <w:vAlign w:val="center"/>
          </w:tcPr>
          <w:p>
            <w:pPr>
              <w:jc w:val="center"/>
              <w:rPr>
                <w:rFonts w:ascii="宋体" w:hAnsi="宋体" w:eastAsia="宋体"/>
                <w:sz w:val="28"/>
                <w:szCs w:val="28"/>
              </w:rPr>
            </w:pPr>
            <w:r>
              <w:rPr>
                <w:rFonts w:ascii="宋体" w:hAnsi="宋体" w:eastAsia="宋体"/>
                <w:sz w:val="28"/>
                <w:szCs w:val="28"/>
              </w:rPr>
              <w:t>商务响</w:t>
            </w:r>
            <w:r>
              <w:rPr>
                <w:rFonts w:hint="eastAsia" w:ascii="宋体" w:hAnsi="宋体" w:eastAsia="宋体"/>
                <w:sz w:val="28"/>
                <w:szCs w:val="28"/>
              </w:rPr>
              <w:t xml:space="preserve"> </w:t>
            </w:r>
            <w:r>
              <w:rPr>
                <w:rFonts w:ascii="宋体" w:hAnsi="宋体" w:eastAsia="宋体"/>
                <w:sz w:val="28"/>
                <w:szCs w:val="28"/>
              </w:rPr>
              <w:t>应</w:t>
            </w:r>
          </w:p>
        </w:tc>
        <w:tc>
          <w:tcPr>
            <w:tcW w:w="709" w:type="dxa"/>
            <w:shd w:val="clear" w:color="auto" w:fill="auto"/>
            <w:vAlign w:val="center"/>
          </w:tcPr>
          <w:p>
            <w:pPr>
              <w:jc w:val="center"/>
              <w:rPr>
                <w:rFonts w:ascii="宋体" w:hAnsi="宋体" w:eastAsia="宋体"/>
                <w:sz w:val="28"/>
                <w:szCs w:val="28"/>
              </w:rPr>
            </w:pPr>
            <w:r>
              <w:rPr>
                <w:rFonts w:ascii="宋体" w:hAnsi="宋体" w:eastAsia="宋体"/>
                <w:sz w:val="28"/>
                <w:szCs w:val="28"/>
              </w:rPr>
              <w:t>6</w:t>
            </w:r>
          </w:p>
        </w:tc>
        <w:tc>
          <w:tcPr>
            <w:tcW w:w="851" w:type="dxa"/>
            <w:shd w:val="clear" w:color="auto" w:fill="auto"/>
            <w:vAlign w:val="center"/>
          </w:tcPr>
          <w:p>
            <w:pPr>
              <w:jc w:val="center"/>
              <w:rPr>
                <w:rFonts w:ascii="宋体" w:hAnsi="宋体" w:eastAsia="宋体"/>
                <w:sz w:val="28"/>
                <w:szCs w:val="28"/>
              </w:rPr>
            </w:pPr>
            <w:r>
              <w:rPr>
                <w:rFonts w:ascii="宋体" w:hAnsi="宋体" w:eastAsia="宋体"/>
                <w:sz w:val="28"/>
                <w:szCs w:val="28"/>
              </w:rPr>
              <w:t>6</w:t>
            </w:r>
          </w:p>
        </w:tc>
        <w:tc>
          <w:tcPr>
            <w:tcW w:w="6095" w:type="dxa"/>
            <w:shd w:val="clear" w:color="auto" w:fill="auto"/>
            <w:vAlign w:val="center"/>
          </w:tcPr>
          <w:p>
            <w:pPr>
              <w:ind w:right="-106" w:rightChars="-44"/>
              <w:jc w:val="both"/>
              <w:rPr>
                <w:rFonts w:ascii="宋体" w:hAnsi="宋体" w:eastAsia="宋体"/>
                <w:b/>
                <w:bCs/>
                <w:sz w:val="28"/>
                <w:szCs w:val="28"/>
              </w:rPr>
            </w:pPr>
            <w:r>
              <w:rPr>
                <w:rFonts w:ascii="宋体" w:hAnsi="宋体" w:eastAsia="宋体"/>
                <w:b/>
                <w:bCs/>
                <w:sz w:val="28"/>
                <w:szCs w:val="28"/>
              </w:rPr>
              <w:t>业绩</w:t>
            </w:r>
            <w:r>
              <w:rPr>
                <w:rFonts w:hint="eastAsia" w:ascii="宋体" w:hAnsi="宋体" w:eastAsia="宋体"/>
                <w:b/>
                <w:bCs/>
                <w:sz w:val="28"/>
                <w:szCs w:val="28"/>
              </w:rPr>
              <w:t>：</w:t>
            </w:r>
          </w:p>
          <w:p>
            <w:pPr>
              <w:ind w:right="-106" w:rightChars="-44"/>
              <w:jc w:val="both"/>
              <w:rPr>
                <w:rFonts w:ascii="宋体" w:hAnsi="宋体" w:eastAsia="宋体"/>
                <w:sz w:val="28"/>
                <w:szCs w:val="28"/>
              </w:rPr>
            </w:pPr>
            <w:r>
              <w:rPr>
                <w:rFonts w:ascii="宋体" w:hAnsi="宋体" w:eastAsia="宋体"/>
                <w:sz w:val="28"/>
                <w:szCs w:val="28"/>
              </w:rPr>
              <w:t>投标人所投的产品在近两年完成的应急广播类似业绩（必须包含应急广播平台），每提供 1 份完整业绩计 1 分，满分 6 分。（以合同为准，提供合同复印件加盖公章）。</w:t>
            </w:r>
          </w:p>
        </w:tc>
        <w:tc>
          <w:tcPr>
            <w:tcW w:w="661" w:type="dxa"/>
            <w:shd w:val="clear" w:color="auto" w:fill="auto"/>
            <w:vAlign w:val="center"/>
          </w:tcPr>
          <w:p>
            <w:pPr>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shd w:val="clear" w:color="auto" w:fill="auto"/>
            <w:vAlign w:val="center"/>
          </w:tcPr>
          <w:p>
            <w:pPr>
              <w:jc w:val="center"/>
              <w:rPr>
                <w:rFonts w:ascii="宋体" w:hAnsi="宋体" w:eastAsia="宋体"/>
                <w:sz w:val="28"/>
                <w:szCs w:val="28"/>
              </w:rPr>
            </w:pPr>
            <w:r>
              <w:rPr>
                <w:rFonts w:ascii="宋体" w:hAnsi="宋体" w:eastAsia="宋体"/>
                <w:sz w:val="28"/>
                <w:szCs w:val="28"/>
              </w:rPr>
              <w:t>说明</w:t>
            </w:r>
          </w:p>
        </w:tc>
        <w:tc>
          <w:tcPr>
            <w:tcW w:w="8316" w:type="dxa"/>
            <w:gridSpan w:val="4"/>
            <w:shd w:val="clear" w:color="auto" w:fill="auto"/>
            <w:vAlign w:val="center"/>
          </w:tcPr>
          <w:p>
            <w:pPr>
              <w:jc w:val="both"/>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w:t>
            </w:r>
            <w:r>
              <w:rPr>
                <w:rFonts w:ascii="宋体" w:hAnsi="宋体" w:eastAsia="宋体"/>
                <w:sz w:val="28"/>
                <w:szCs w:val="28"/>
              </w:rPr>
              <w:t>评标委员会成员必须按照本评审要素据实打分，各类数字计算均按“四舍五入”保留小数点后两位；</w:t>
            </w:r>
          </w:p>
          <w:p>
            <w:pPr>
              <w:jc w:val="both"/>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w:t>
            </w:r>
            <w:r>
              <w:rPr>
                <w:rFonts w:ascii="宋体" w:hAnsi="宋体" w:eastAsia="宋体"/>
                <w:sz w:val="28"/>
                <w:szCs w:val="28"/>
              </w:rPr>
              <w:t>对小型和微型企业的报价给予</w:t>
            </w:r>
            <w:r>
              <w:rPr>
                <w:rFonts w:hint="eastAsia" w:ascii="宋体" w:hAnsi="宋体" w:eastAsia="宋体"/>
                <w:sz w:val="28"/>
                <w:szCs w:val="28"/>
              </w:rPr>
              <w:t>10</w:t>
            </w:r>
            <w:r>
              <w:rPr>
                <w:rFonts w:ascii="宋体" w:hAnsi="宋体" w:eastAsia="宋体"/>
                <w:sz w:val="28"/>
                <w:szCs w:val="28"/>
              </w:rPr>
              <w:t>%的价格扣除，用扣除后的价格参与评审；未提供中小企业声明函的不享受价格折扣。</w:t>
            </w:r>
          </w:p>
          <w:p>
            <w:pPr>
              <w:jc w:val="both"/>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w:t>
            </w:r>
            <w:r>
              <w:rPr>
                <w:rFonts w:ascii="宋体" w:hAnsi="宋体" w:eastAsia="宋体"/>
                <w:sz w:val="28"/>
                <w:szCs w:val="28"/>
              </w:rPr>
              <w:t>本表分值区间符号“［”、“］”表示包含本数，“（”、“）”表示不包含本数。</w:t>
            </w:r>
          </w:p>
        </w:tc>
      </w:tr>
    </w:tbl>
    <w:p>
      <w:pPr>
        <w:pStyle w:val="107"/>
        <w:rPr>
          <w:rFonts w:ascii="宋体" w:hAnsi="宋体" w:eastAsia="宋体"/>
          <w:sz w:val="28"/>
          <w:szCs w:val="28"/>
        </w:rPr>
      </w:pPr>
      <w:bookmarkStart w:id="50" w:name="_Toc120103846"/>
      <w:r>
        <w:rPr>
          <w:rFonts w:ascii="宋体" w:hAnsi="宋体" w:eastAsia="宋体"/>
          <w:sz w:val="28"/>
          <w:szCs w:val="28"/>
        </w:rPr>
        <w:t>4</w:t>
      </w:r>
      <w:r>
        <w:rPr>
          <w:rFonts w:hint="eastAsia" w:ascii="宋体" w:hAnsi="宋体" w:eastAsia="宋体"/>
          <w:sz w:val="28"/>
          <w:szCs w:val="28"/>
        </w:rPr>
        <w:t>．</w:t>
      </w:r>
      <w:r>
        <w:rPr>
          <w:rFonts w:ascii="宋体" w:hAnsi="宋体" w:eastAsia="宋体"/>
          <w:sz w:val="28"/>
          <w:szCs w:val="28"/>
        </w:rPr>
        <w:t>推荐中标候选人</w:t>
      </w:r>
      <w:bookmarkEnd w:id="50"/>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（1）采用最低评标价法的，评标结果按投标报价由低到高顺序排列。投标报价相同的并列。投标文件满足招标文件全部实质性要求且投标报价最低的投标人为排名第一的中标候选人。</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107"/>
        <w:rPr>
          <w:rFonts w:ascii="宋体" w:hAnsi="宋体" w:eastAsia="宋体"/>
          <w:sz w:val="28"/>
          <w:szCs w:val="28"/>
        </w:rPr>
      </w:pPr>
      <w:bookmarkStart w:id="51" w:name="_Toc120103847"/>
      <w:r>
        <w:rPr>
          <w:rFonts w:ascii="宋体" w:hAnsi="宋体" w:eastAsia="宋体"/>
          <w:sz w:val="28"/>
          <w:szCs w:val="28"/>
        </w:rPr>
        <w:t>5</w:t>
      </w:r>
      <w:r>
        <w:rPr>
          <w:rFonts w:hint="eastAsia" w:ascii="宋体" w:hAnsi="宋体" w:eastAsia="宋体"/>
          <w:sz w:val="28"/>
          <w:szCs w:val="28"/>
        </w:rPr>
        <w:t>．</w:t>
      </w:r>
      <w:r>
        <w:rPr>
          <w:rFonts w:ascii="宋体" w:hAnsi="宋体" w:eastAsia="宋体"/>
          <w:sz w:val="28"/>
          <w:szCs w:val="28"/>
        </w:rPr>
        <w:t>编写评审报告</w:t>
      </w:r>
      <w:bookmarkEnd w:id="51"/>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评审报告是评标委员会根据全体评标成员签字的原始评标记录和评标结果编写的报告，其主要内容包括：</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（1）招标公告刊登的媒体名称、开标日期和地点；</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（2）投标供应商名单和评标委员会成员名单；</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（3）评标方法；</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（4）开标记录和评标情况及说明，包括投标无效供应商名单及原因；</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（5）评标结果，确定的中标候选人名单或者经采购人委托直接确定的中标供应商；</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（6）其他需要说明的情况，包括评标过程中投标供应商根据评标委员会要求进行的澄清、说明或者补正，评标委员会成员的更换等。</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08"/>
        <w:spacing w:before="120" w:after="120"/>
        <w:ind w:firstLine="562"/>
        <w:rPr>
          <w:rFonts w:ascii="宋体" w:hAnsi="宋体" w:eastAsia="宋体"/>
          <w:sz w:val="28"/>
          <w:szCs w:val="28"/>
        </w:rPr>
      </w:pPr>
      <w:bookmarkStart w:id="52" w:name="_Toc120103848"/>
      <w:r>
        <w:rPr>
          <w:rFonts w:hint="eastAsia" w:ascii="宋体" w:hAnsi="宋体" w:eastAsia="宋体"/>
          <w:sz w:val="28"/>
          <w:szCs w:val="28"/>
        </w:rPr>
        <w:t>（三）评标争议处理规则</w:t>
      </w:r>
      <w:bookmarkEnd w:id="52"/>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108"/>
        <w:spacing w:before="120" w:after="120"/>
        <w:ind w:firstLine="562"/>
        <w:rPr>
          <w:rFonts w:ascii="宋体" w:hAnsi="宋体" w:eastAsia="宋体"/>
          <w:sz w:val="28"/>
          <w:szCs w:val="28"/>
        </w:rPr>
      </w:pPr>
      <w:bookmarkStart w:id="53" w:name="_Toc120103849"/>
      <w:r>
        <w:rPr>
          <w:rFonts w:hint="eastAsia" w:ascii="宋体" w:hAnsi="宋体" w:eastAsia="宋体"/>
          <w:sz w:val="28"/>
          <w:szCs w:val="28"/>
        </w:rPr>
        <w:t>（四）评审现场人员的保密责任</w:t>
      </w:r>
      <w:bookmarkEnd w:id="53"/>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108"/>
        <w:spacing w:before="120" w:after="120"/>
        <w:ind w:firstLine="562"/>
        <w:rPr>
          <w:rFonts w:ascii="宋体" w:hAnsi="宋体" w:eastAsia="宋体"/>
          <w:sz w:val="28"/>
          <w:szCs w:val="28"/>
        </w:rPr>
      </w:pPr>
      <w:bookmarkStart w:id="54" w:name="_Toc120103850"/>
      <w:r>
        <w:rPr>
          <w:rFonts w:hint="eastAsia" w:ascii="宋体" w:hAnsi="宋体" w:eastAsia="宋体"/>
          <w:sz w:val="28"/>
          <w:szCs w:val="28"/>
        </w:rPr>
        <w:t>（五）视同供应商串通投标的情形，其投标无效：</w:t>
      </w:r>
      <w:bookmarkEnd w:id="54"/>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1．不同供应商的投标文件由同一单位或者个人编制；</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2．不同供应商委托同一单位或者个人办理投标事宜；</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3．不同供应商的投标文件载明的项目管理成员或者联系人员为同一人；</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4．不同供应商的投标文件异常一致或者投标报价呈规律性差异。</w:t>
      </w:r>
    </w:p>
    <w:p>
      <w:pPr>
        <w:pStyle w:val="4"/>
        <w:ind w:firstLine="560"/>
        <w:rPr>
          <w:rFonts w:ascii="宋体" w:hAnsi="宋体" w:eastAsia="宋体"/>
          <w:sz w:val="28"/>
          <w:szCs w:val="28"/>
        </w:rPr>
      </w:pPr>
      <w:bookmarkStart w:id="55" w:name="_Toc120103851"/>
      <w:r>
        <w:rPr>
          <w:rFonts w:ascii="宋体" w:hAnsi="宋体" w:eastAsia="宋体"/>
          <w:sz w:val="28"/>
          <w:szCs w:val="28"/>
        </w:rPr>
        <w:t>八、中标</w:t>
      </w:r>
      <w:bookmarkEnd w:id="55"/>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1．采购代理机构在评标工作结束后2个工作日内将评审报告送采购人。</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3．采购代理机构将在中标供应商确定之日起2个工作日内，在【</w:t>
      </w:r>
      <w:r>
        <w:fldChar w:fldCharType="begin"/>
      </w:r>
      <w:r>
        <w:rPr>
          <w:rFonts w:ascii="宋体" w:hAnsi="宋体" w:eastAsia="宋体"/>
          <w:sz w:val="28"/>
          <w:szCs w:val="28"/>
        </w:rPr>
        <w:instrText xml:space="preserve">HYPERLINK "http://www.ccgp-shaanxi.gov.cn"</w:instrText>
      </w:r>
      <w:r>
        <w:fldChar w:fldCharType="separate"/>
      </w:r>
      <w:r>
        <w:rPr>
          <w:rStyle w:val="46"/>
          <w:rFonts w:hint="eastAsia" w:ascii="宋体" w:hAnsi="宋体" w:eastAsia="宋体"/>
          <w:color w:val="auto"/>
          <w:sz w:val="28"/>
          <w:szCs w:val="28"/>
          <w:u w:val="none"/>
        </w:rPr>
        <w:t>陕西省政府采购网</w:t>
      </w:r>
      <w:r>
        <w:rPr>
          <w:rStyle w:val="46"/>
          <w:rFonts w:ascii="宋体" w:hAnsi="宋体" w:eastAsia="宋体"/>
          <w:color w:val="auto"/>
          <w:sz w:val="28"/>
          <w:szCs w:val="28"/>
          <w:u w:val="none"/>
        </w:rPr>
        <w:fldChar w:fldCharType="end"/>
      </w:r>
      <w:r>
        <w:rPr>
          <w:rFonts w:hint="eastAsia" w:ascii="宋体" w:hAnsi="宋体" w:eastAsia="宋体"/>
          <w:sz w:val="28"/>
          <w:szCs w:val="28"/>
        </w:rPr>
        <w:t>】（</w:t>
      </w:r>
      <w:r>
        <w:fldChar w:fldCharType="begin"/>
      </w:r>
      <w:r>
        <w:instrText xml:space="preserve"> HYPERLINK "http://www.ccgp-shaanxi.gov.cn/" </w:instrText>
      </w:r>
      <w:r>
        <w:fldChar w:fldCharType="separate"/>
      </w:r>
      <w:r>
        <w:rPr>
          <w:rStyle w:val="46"/>
          <w:rFonts w:hint="eastAsia" w:ascii="宋体" w:hAnsi="宋体" w:eastAsia="宋体"/>
          <w:color w:val="auto"/>
          <w:sz w:val="28"/>
          <w:szCs w:val="28"/>
          <w:u w:val="none"/>
        </w:rPr>
        <w:t>http://www.ccgp-shaanxi.gov.cn/</w:t>
      </w:r>
      <w:r>
        <w:rPr>
          <w:rStyle w:val="46"/>
          <w:rFonts w:hint="eastAsia" w:ascii="宋体" w:hAnsi="宋体" w:eastAsia="宋体"/>
          <w:color w:val="auto"/>
          <w:sz w:val="28"/>
          <w:szCs w:val="28"/>
          <w:u w:val="none"/>
        </w:rPr>
        <w:fldChar w:fldCharType="end"/>
      </w:r>
      <w:r>
        <w:rPr>
          <w:rFonts w:hint="eastAsia" w:ascii="宋体" w:hAnsi="宋体" w:eastAsia="宋体"/>
          <w:sz w:val="28"/>
          <w:szCs w:val="28"/>
        </w:rPr>
        <w:t>）上公布中标结果。中标公告期限为1个工作日。</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4．在公告中标结果的同时，采购代理机构将向中标供应商发出中标通知书，中标供应商在领取中标通知书时提供一正两副纸质投标文件用于备案。</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6．采购代理机构按照相关规定将评审报告送监管机构备案。</w:t>
      </w:r>
    </w:p>
    <w:p>
      <w:pPr>
        <w:pStyle w:val="4"/>
        <w:ind w:firstLine="560"/>
        <w:rPr>
          <w:rFonts w:ascii="宋体" w:hAnsi="宋体" w:eastAsia="宋体"/>
          <w:sz w:val="28"/>
          <w:szCs w:val="28"/>
        </w:rPr>
      </w:pPr>
      <w:bookmarkStart w:id="56" w:name="_Toc120103852"/>
      <w:r>
        <w:rPr>
          <w:rFonts w:ascii="宋体" w:hAnsi="宋体" w:eastAsia="宋体"/>
          <w:sz w:val="28"/>
          <w:szCs w:val="28"/>
        </w:rPr>
        <w:t>九、合同签订、履行及验收</w:t>
      </w:r>
      <w:bookmarkEnd w:id="56"/>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招标文件、投标文件、澄清、补充合同等为政府采购合同的组成部分，具有同等法律效力。</w:t>
      </w:r>
    </w:p>
    <w:p>
      <w:pPr>
        <w:pStyle w:val="108"/>
        <w:spacing w:before="120" w:after="120"/>
        <w:ind w:firstLine="562"/>
        <w:rPr>
          <w:rFonts w:ascii="宋体" w:hAnsi="宋体" w:eastAsia="宋体"/>
          <w:sz w:val="28"/>
          <w:szCs w:val="28"/>
        </w:rPr>
      </w:pPr>
      <w:bookmarkStart w:id="57" w:name="_Toc120103853"/>
      <w:r>
        <w:rPr>
          <w:rFonts w:hint="eastAsia" w:ascii="宋体" w:hAnsi="宋体" w:eastAsia="宋体"/>
          <w:sz w:val="28"/>
          <w:szCs w:val="28"/>
        </w:rPr>
        <w:t>（一）签订政府采购合同</w:t>
      </w:r>
      <w:bookmarkEnd w:id="57"/>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1．自中标通知书发出之日起30日内，采购人与中标供应商应按招标文件和中标供应商投标文件的约定，签订书面合同。</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2．中标供应商拒绝与采购人签订合同的，采购人可以按照《政府采购法实施条例》第四十九条规定，确定下一候选人为中标供应商，也可以重新开展政府采购活动。</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4．质疑或者投诉事项可能影响中标、成交结果的，采购人应当暂停签订合同，已经签订合同的，应当中止履行合同。</w:t>
      </w:r>
    </w:p>
    <w:p>
      <w:pPr>
        <w:pStyle w:val="108"/>
        <w:spacing w:before="120" w:after="120"/>
        <w:ind w:firstLine="562"/>
        <w:rPr>
          <w:rFonts w:ascii="宋体" w:hAnsi="宋体" w:eastAsia="宋体"/>
          <w:sz w:val="28"/>
          <w:szCs w:val="28"/>
        </w:rPr>
      </w:pPr>
      <w:bookmarkStart w:id="58" w:name="_Toc120103854"/>
      <w:r>
        <w:rPr>
          <w:rFonts w:hint="eastAsia" w:ascii="宋体" w:hAnsi="宋体" w:eastAsia="宋体"/>
          <w:sz w:val="28"/>
          <w:szCs w:val="28"/>
        </w:rPr>
        <w:t>（二）合同公告及备案</w:t>
      </w:r>
      <w:bookmarkEnd w:id="58"/>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1．采购人应当自政府采购合同签订之日起2个工作日内，在陕西省政府采购网对合同进行公示，但政府采购合同中涉及国家秘密、商业秘密的内容除外。</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2．采购人应自合同签订之日起7个工作日内将政府采购合同报送监管机构备案。</w:t>
      </w:r>
    </w:p>
    <w:p>
      <w:pPr>
        <w:pStyle w:val="108"/>
        <w:spacing w:before="120" w:after="120"/>
        <w:ind w:firstLine="562"/>
        <w:rPr>
          <w:rFonts w:ascii="宋体" w:hAnsi="宋体" w:eastAsia="宋体"/>
          <w:sz w:val="28"/>
          <w:szCs w:val="28"/>
        </w:rPr>
      </w:pPr>
      <w:bookmarkStart w:id="59" w:name="_Toc120103855"/>
      <w:r>
        <w:rPr>
          <w:rFonts w:hint="eastAsia" w:ascii="宋体" w:hAnsi="宋体" w:eastAsia="宋体"/>
          <w:sz w:val="28"/>
          <w:szCs w:val="28"/>
        </w:rPr>
        <w:t>（三）履行合同</w:t>
      </w:r>
      <w:bookmarkEnd w:id="59"/>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1．合同一经签订，双方应严格履行合同规定的义务。</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2．在合同履行过程中，如发生合同纠纷，合同双方应按照《中华人民共和国民法典》及合同条款的有关规定进行处理。</w:t>
      </w:r>
    </w:p>
    <w:p>
      <w:pPr>
        <w:pStyle w:val="108"/>
        <w:spacing w:before="120" w:after="120"/>
        <w:ind w:firstLine="562"/>
        <w:rPr>
          <w:rFonts w:ascii="宋体" w:hAnsi="宋体" w:eastAsia="宋体"/>
          <w:sz w:val="28"/>
          <w:szCs w:val="28"/>
        </w:rPr>
      </w:pPr>
      <w:bookmarkStart w:id="60" w:name="_Toc120103856"/>
      <w:r>
        <w:rPr>
          <w:rFonts w:hint="eastAsia" w:ascii="宋体" w:hAnsi="宋体" w:eastAsia="宋体"/>
          <w:sz w:val="28"/>
          <w:szCs w:val="28"/>
        </w:rPr>
        <w:t>（四）验收或考核</w:t>
      </w:r>
      <w:bookmarkEnd w:id="60"/>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1．采购人严格按照国家相关法律法规的要求及招标文件的要求组织验收或考核。</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2．采购人按《关于促进政府采购公平竞争优化营商环境的通知》（财库〔2019〕38号）、《保障中小企业款项支付条例》（国务院令第728号）等规定及采购合同的约定进行支付合同款项。</w:t>
      </w:r>
    </w:p>
    <w:p>
      <w:pPr>
        <w:pStyle w:val="4"/>
        <w:ind w:firstLine="560"/>
        <w:rPr>
          <w:rFonts w:ascii="宋体" w:hAnsi="宋体" w:eastAsia="宋体"/>
          <w:sz w:val="28"/>
          <w:szCs w:val="28"/>
        </w:rPr>
      </w:pPr>
      <w:bookmarkStart w:id="61" w:name="_Toc120103857"/>
      <w:r>
        <w:rPr>
          <w:rFonts w:ascii="宋体" w:hAnsi="宋体" w:eastAsia="宋体"/>
          <w:sz w:val="28"/>
          <w:szCs w:val="28"/>
        </w:rPr>
        <w:t>十、废标及重新招标</w:t>
      </w:r>
      <w:bookmarkEnd w:id="61"/>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2．根据《政府采购法》第三十六条规定，在招标采购中，出现下列情形之一的，本项目按废标处理：</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（1）出现影响采购公正的违法、违规行为的；</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（2）供应商的报价均超过了采购预算，采购人不能支付的；</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（3）因重大变故，采购任务取消的。</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废标后，除采购任务取消外，本项目将重新组织招标。</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4．招标文件未明确的其他事项，按《政府采购法》及其相关法律法规执行。</w:t>
      </w:r>
    </w:p>
    <w:p>
      <w:pPr>
        <w:rPr>
          <w:rFonts w:ascii="宋体" w:hAnsi="宋体" w:eastAsia="宋体"/>
          <w:sz w:val="32"/>
          <w:szCs w:val="32"/>
        </w:rPr>
      </w:pPr>
      <w:bookmarkStart w:id="62" w:name="_Toc100219614"/>
      <w:r>
        <w:rPr>
          <w:rFonts w:ascii="宋体" w:hAnsi="宋体" w:eastAsia="宋体"/>
          <w:sz w:val="32"/>
          <w:szCs w:val="32"/>
        </w:rPr>
        <w:br w:type="page"/>
      </w:r>
    </w:p>
    <w:p>
      <w:pPr>
        <w:rPr>
          <w:rFonts w:ascii="宋体" w:hAnsi="宋体" w:eastAsia="宋体"/>
        </w:rPr>
      </w:pPr>
    </w:p>
    <w:p>
      <w:pPr>
        <w:pStyle w:val="3"/>
        <w:rPr>
          <w:sz w:val="24"/>
          <w:szCs w:val="24"/>
        </w:rPr>
      </w:pPr>
      <w:bookmarkStart w:id="63" w:name="_Toc120103858"/>
      <w:r>
        <w:rPr>
          <w:rFonts w:hint="eastAsia" w:ascii="宋体" w:hAnsi="宋体" w:eastAsia="宋体"/>
        </w:rPr>
        <w:t>第三章  招标内容及要求</w:t>
      </w:r>
      <w:bookmarkEnd w:id="62"/>
      <w:bookmarkEnd w:id="63"/>
    </w:p>
    <w:p>
      <w:pPr>
        <w:pStyle w:val="4"/>
        <w:spacing w:line="360" w:lineRule="auto"/>
        <w:ind w:firstLine="0" w:firstLineChars="0"/>
        <w:rPr>
          <w:rFonts w:ascii="宋体" w:hAnsi="宋体" w:eastAsia="宋体"/>
          <w:b/>
          <w:bCs/>
          <w:kern w:val="32"/>
          <w:sz w:val="28"/>
          <w:szCs w:val="28"/>
        </w:rPr>
      </w:pPr>
      <w:bookmarkStart w:id="64" w:name="_Toc28289"/>
      <w:bookmarkStart w:id="65" w:name="_Toc28137"/>
      <w:bookmarkStart w:id="66" w:name="_Toc117014015"/>
      <w:bookmarkStart w:id="67" w:name="_Toc17875"/>
      <w:bookmarkStart w:id="68" w:name="_Toc6517"/>
      <w:r>
        <w:rPr>
          <w:rFonts w:hint="eastAsia" w:ascii="宋体" w:hAnsi="宋体" w:eastAsia="宋体"/>
          <w:b/>
          <w:bCs/>
          <w:kern w:val="32"/>
          <w:sz w:val="28"/>
          <w:szCs w:val="28"/>
        </w:rPr>
        <w:t>一、建设原则和目标</w:t>
      </w:r>
    </w:p>
    <w:p>
      <w:pPr>
        <w:pStyle w:val="4"/>
        <w:spacing w:line="360" w:lineRule="auto"/>
        <w:ind w:firstLine="562"/>
        <w:rPr>
          <w:rFonts w:ascii="宋体" w:hAnsi="宋体" w:eastAsia="宋体"/>
          <w:b/>
          <w:bCs/>
          <w:kern w:val="32"/>
          <w:sz w:val="28"/>
          <w:szCs w:val="28"/>
        </w:rPr>
      </w:pPr>
      <w:r>
        <w:rPr>
          <w:rFonts w:hint="eastAsia" w:ascii="宋体" w:hAnsi="宋体" w:eastAsia="宋体"/>
          <w:b/>
          <w:bCs/>
          <w:kern w:val="32"/>
          <w:sz w:val="28"/>
          <w:szCs w:val="28"/>
        </w:rPr>
        <w:t>1、</w:t>
      </w:r>
      <w:bookmarkEnd w:id="64"/>
      <w:r>
        <w:rPr>
          <w:rFonts w:hint="eastAsia" w:ascii="宋体" w:hAnsi="宋体" w:eastAsia="宋体"/>
          <w:b/>
          <w:bCs/>
          <w:kern w:val="32"/>
          <w:sz w:val="28"/>
          <w:szCs w:val="28"/>
        </w:rPr>
        <w:t>建设原则</w:t>
      </w:r>
      <w:bookmarkEnd w:id="65"/>
      <w:bookmarkEnd w:id="66"/>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按照“统筹规划、分级建设、安全可靠、快速高效、平战结合”的基本原则，充分利用现有的广播电视基础设施和多种传播方式，建设应急广播平台、健全多渠道发布的传输网络，建成覆盖县、乡镇（街道）、行政村（社区）应急广播终端，实现纵向与上级应急广播平台贯通，横向与同级应急管理部门和水利部门、气象部门等部门的对接联通，进一步提升县级应急广播文化宣传、公共服务、提高应对各类突发事件中的信息发布能力，预留与今后建设的省或市级应急广播平台对接接口，为全省、全国应急广播系统建设奠定基础。</w:t>
      </w:r>
    </w:p>
    <w:p>
      <w:pPr>
        <w:pStyle w:val="4"/>
        <w:spacing w:line="360" w:lineRule="auto"/>
        <w:ind w:firstLine="562"/>
        <w:rPr>
          <w:rFonts w:ascii="宋体" w:hAnsi="宋体" w:eastAsia="宋体"/>
          <w:b/>
          <w:bCs/>
          <w:kern w:val="32"/>
          <w:sz w:val="28"/>
          <w:szCs w:val="28"/>
        </w:rPr>
      </w:pPr>
      <w:bookmarkStart w:id="69" w:name="_Toc6743"/>
      <w:bookmarkStart w:id="70" w:name="_Toc12188"/>
      <w:bookmarkStart w:id="71" w:name="_Toc117014016"/>
      <w:r>
        <w:rPr>
          <w:rFonts w:hint="eastAsia" w:ascii="宋体" w:hAnsi="宋体" w:eastAsia="宋体"/>
          <w:b/>
          <w:bCs/>
          <w:kern w:val="32"/>
          <w:sz w:val="28"/>
          <w:szCs w:val="28"/>
        </w:rPr>
        <w:t>3、建设标准</w:t>
      </w:r>
      <w:bookmarkEnd w:id="69"/>
      <w:bookmarkEnd w:id="70"/>
      <w:bookmarkEnd w:id="71"/>
    </w:p>
    <w:p>
      <w:pPr>
        <w:pStyle w:val="19"/>
        <w:spacing w:line="360" w:lineRule="auto"/>
        <w:ind w:left="480"/>
        <w:rPr>
          <w:rFonts w:ascii="宋体" w:hAnsi="宋体" w:eastAsia="宋体"/>
          <w:sz w:val="28"/>
          <w:szCs w:val="28"/>
        </w:rPr>
      </w:pPr>
      <w:r>
        <w:rPr>
          <w:rFonts w:hint="eastAsia" w:ascii="宋体" w:hAnsi="宋体" w:eastAsia="宋体"/>
          <w:sz w:val="28"/>
          <w:szCs w:val="28"/>
        </w:rPr>
        <w:t>系统设计主要依据以下标准或规范：</w:t>
      </w:r>
    </w:p>
    <w:p>
      <w:pPr>
        <w:pStyle w:val="19"/>
        <w:numPr>
          <w:ilvl w:val="0"/>
          <w:numId w:val="3"/>
        </w:numPr>
        <w:spacing w:line="360" w:lineRule="auto"/>
        <w:rPr>
          <w:rFonts w:ascii="宋体" w:hAnsi="宋体" w:eastAsia="宋体"/>
          <w:sz w:val="28"/>
          <w:szCs w:val="28"/>
        </w:rPr>
      </w:pPr>
      <w:r>
        <w:rPr>
          <w:rFonts w:hint="eastAsia" w:ascii="宋体" w:hAnsi="宋体" w:eastAsia="宋体"/>
          <w:sz w:val="28"/>
          <w:szCs w:val="28"/>
        </w:rPr>
        <w:t>《县级应急广播系统暂行技术要求（广电总局科技司2015年12月印发》</w:t>
      </w:r>
    </w:p>
    <w:p>
      <w:pPr>
        <w:pStyle w:val="19"/>
        <w:numPr>
          <w:ilvl w:val="0"/>
          <w:numId w:val="3"/>
        </w:numPr>
        <w:spacing w:line="360" w:lineRule="auto"/>
        <w:rPr>
          <w:rFonts w:ascii="宋体" w:hAnsi="宋体" w:eastAsia="宋体"/>
          <w:sz w:val="28"/>
          <w:szCs w:val="28"/>
        </w:rPr>
      </w:pPr>
      <w:r>
        <w:rPr>
          <w:rFonts w:hint="eastAsia" w:ascii="宋体" w:hAnsi="宋体" w:eastAsia="宋体"/>
          <w:sz w:val="28"/>
          <w:szCs w:val="28"/>
        </w:rPr>
        <w:t>陕西省广播电视局、国家广播电视总局广播电视科学研究院联合编制《陕西省县级应急广播系统建设方案》（2019年08月）</w:t>
      </w:r>
    </w:p>
    <w:p>
      <w:pPr>
        <w:pStyle w:val="19"/>
        <w:numPr>
          <w:ilvl w:val="0"/>
          <w:numId w:val="3"/>
        </w:numPr>
        <w:spacing w:line="360" w:lineRule="auto"/>
        <w:rPr>
          <w:rFonts w:ascii="宋体" w:hAnsi="宋体" w:eastAsia="宋体"/>
          <w:sz w:val="28"/>
          <w:szCs w:val="28"/>
        </w:rPr>
      </w:pPr>
      <w:bookmarkStart w:id="72" w:name="_Toc12049"/>
      <w:bookmarkStart w:id="73" w:name="_Toc9660"/>
      <w:bookmarkStart w:id="74" w:name="_Toc17294"/>
      <w:bookmarkStart w:id="75" w:name="_Toc20799"/>
      <w:bookmarkStart w:id="76" w:name="_Toc6239227"/>
      <w:bookmarkStart w:id="77" w:name="_Toc14263"/>
      <w:r>
        <w:rPr>
          <w:rFonts w:hint="eastAsia" w:ascii="宋体" w:hAnsi="宋体" w:eastAsia="宋体"/>
          <w:sz w:val="28"/>
          <w:szCs w:val="28"/>
        </w:rPr>
        <w:t>《GD/J 079—2018 应急广播系统总体技术规范》</w:t>
      </w:r>
    </w:p>
    <w:p>
      <w:pPr>
        <w:pStyle w:val="19"/>
        <w:numPr>
          <w:ilvl w:val="0"/>
          <w:numId w:val="3"/>
        </w:numPr>
        <w:spacing w:line="360" w:lineRule="auto"/>
        <w:rPr>
          <w:rFonts w:ascii="宋体" w:hAnsi="宋体" w:eastAsia="宋体"/>
          <w:sz w:val="28"/>
          <w:szCs w:val="28"/>
        </w:rPr>
      </w:pPr>
      <w:r>
        <w:rPr>
          <w:rFonts w:hint="eastAsia" w:ascii="宋体" w:hAnsi="宋体" w:eastAsia="宋体"/>
          <w:sz w:val="28"/>
          <w:szCs w:val="28"/>
        </w:rPr>
        <w:t>《GD/J 080—2018 应急广播系统资源分类及编码规范》</w:t>
      </w:r>
    </w:p>
    <w:p>
      <w:pPr>
        <w:pStyle w:val="19"/>
        <w:numPr>
          <w:ilvl w:val="0"/>
          <w:numId w:val="3"/>
        </w:numPr>
        <w:spacing w:line="360" w:lineRule="auto"/>
        <w:rPr>
          <w:rFonts w:ascii="宋体" w:hAnsi="宋体" w:eastAsia="宋体"/>
          <w:sz w:val="28"/>
          <w:szCs w:val="28"/>
        </w:rPr>
      </w:pPr>
      <w:r>
        <w:rPr>
          <w:rFonts w:hint="eastAsia" w:ascii="宋体" w:hAnsi="宋体" w:eastAsia="宋体"/>
          <w:sz w:val="28"/>
          <w:szCs w:val="28"/>
        </w:rPr>
        <w:t>《GD/J 081—2018 应急广播安全保护技术规范 数字签名》</w:t>
      </w:r>
    </w:p>
    <w:p>
      <w:pPr>
        <w:pStyle w:val="19"/>
        <w:numPr>
          <w:ilvl w:val="0"/>
          <w:numId w:val="3"/>
        </w:numPr>
        <w:spacing w:line="360" w:lineRule="auto"/>
        <w:rPr>
          <w:rFonts w:ascii="宋体" w:hAnsi="宋体" w:eastAsia="宋体"/>
          <w:sz w:val="28"/>
          <w:szCs w:val="28"/>
        </w:rPr>
      </w:pPr>
      <w:r>
        <w:rPr>
          <w:rFonts w:hint="eastAsia" w:ascii="宋体" w:hAnsi="宋体" w:eastAsia="宋体"/>
          <w:sz w:val="28"/>
          <w:szCs w:val="28"/>
        </w:rPr>
        <w:t>《GD/J 082—2018 应急广播消息格式规范》</w:t>
      </w:r>
    </w:p>
    <w:p>
      <w:pPr>
        <w:pStyle w:val="19"/>
        <w:numPr>
          <w:ilvl w:val="0"/>
          <w:numId w:val="3"/>
        </w:numPr>
        <w:spacing w:line="360" w:lineRule="auto"/>
        <w:rPr>
          <w:rFonts w:ascii="宋体" w:hAnsi="宋体" w:eastAsia="宋体"/>
          <w:sz w:val="28"/>
          <w:szCs w:val="28"/>
        </w:rPr>
      </w:pPr>
      <w:r>
        <w:rPr>
          <w:rFonts w:hint="eastAsia" w:ascii="宋体" w:hAnsi="宋体" w:eastAsia="宋体"/>
          <w:sz w:val="28"/>
          <w:szCs w:val="28"/>
        </w:rPr>
        <w:t>《GD/J 083—2018 应急广播平台接口规范》</w:t>
      </w:r>
    </w:p>
    <w:p>
      <w:pPr>
        <w:pStyle w:val="19"/>
        <w:numPr>
          <w:ilvl w:val="0"/>
          <w:numId w:val="3"/>
        </w:numPr>
        <w:spacing w:line="360" w:lineRule="auto"/>
        <w:rPr>
          <w:rFonts w:ascii="宋体" w:hAnsi="宋体" w:eastAsia="宋体"/>
          <w:sz w:val="28"/>
          <w:szCs w:val="28"/>
        </w:rPr>
      </w:pPr>
      <w:r>
        <w:rPr>
          <w:rFonts w:hint="eastAsia" w:ascii="宋体" w:hAnsi="宋体" w:eastAsia="宋体"/>
          <w:sz w:val="28"/>
          <w:szCs w:val="28"/>
        </w:rPr>
        <w:t>《GD/J 085—2018 模拟调频应急广播技术规范》</w:t>
      </w:r>
    </w:p>
    <w:p>
      <w:pPr>
        <w:pStyle w:val="19"/>
        <w:numPr>
          <w:ilvl w:val="0"/>
          <w:numId w:val="3"/>
        </w:numPr>
        <w:spacing w:line="360" w:lineRule="auto"/>
        <w:rPr>
          <w:rFonts w:ascii="宋体" w:hAnsi="宋体" w:eastAsia="宋体"/>
          <w:sz w:val="28"/>
          <w:szCs w:val="28"/>
        </w:rPr>
      </w:pPr>
      <w:r>
        <w:rPr>
          <w:rFonts w:hint="eastAsia" w:ascii="宋体" w:hAnsi="宋体" w:eastAsia="宋体"/>
          <w:sz w:val="28"/>
          <w:szCs w:val="28"/>
        </w:rPr>
        <w:t>《GD/J 086—2018 有线数字电视应急广播技术规范》</w:t>
      </w:r>
    </w:p>
    <w:p>
      <w:pPr>
        <w:pStyle w:val="19"/>
        <w:numPr>
          <w:ilvl w:val="0"/>
          <w:numId w:val="3"/>
        </w:numPr>
        <w:spacing w:line="360" w:lineRule="auto"/>
        <w:rPr>
          <w:rFonts w:ascii="宋体" w:hAnsi="宋体" w:eastAsia="宋体"/>
          <w:sz w:val="28"/>
          <w:szCs w:val="28"/>
        </w:rPr>
      </w:pPr>
      <w:r>
        <w:rPr>
          <w:rFonts w:hint="eastAsia" w:ascii="宋体" w:hAnsi="宋体" w:eastAsia="宋体"/>
          <w:sz w:val="28"/>
          <w:szCs w:val="28"/>
        </w:rPr>
        <w:t>《GD/J 087—2018 地面数字电视应急广播技术规范》</w:t>
      </w:r>
    </w:p>
    <w:p>
      <w:pPr>
        <w:pStyle w:val="19"/>
        <w:numPr>
          <w:ilvl w:val="0"/>
          <w:numId w:val="3"/>
        </w:numPr>
        <w:spacing w:line="360" w:lineRule="auto"/>
        <w:rPr>
          <w:rFonts w:ascii="宋体" w:hAnsi="宋体" w:eastAsia="宋体"/>
          <w:sz w:val="28"/>
          <w:szCs w:val="28"/>
        </w:rPr>
      </w:pPr>
      <w:r>
        <w:rPr>
          <w:rFonts w:hint="eastAsia" w:ascii="宋体" w:hAnsi="宋体" w:eastAsia="宋体"/>
          <w:sz w:val="28"/>
          <w:szCs w:val="28"/>
        </w:rPr>
        <w:t>《GD/J 088—2018 县级应急广播系统技术规范》</w:t>
      </w:r>
    </w:p>
    <w:p>
      <w:pPr>
        <w:pStyle w:val="19"/>
        <w:numPr>
          <w:ilvl w:val="0"/>
          <w:numId w:val="3"/>
        </w:numPr>
        <w:spacing w:line="360" w:lineRule="auto"/>
        <w:rPr>
          <w:rFonts w:ascii="宋体" w:hAnsi="宋体" w:eastAsia="宋体"/>
          <w:sz w:val="28"/>
          <w:szCs w:val="28"/>
        </w:rPr>
      </w:pPr>
      <w:r>
        <w:rPr>
          <w:rFonts w:hint="eastAsia" w:ascii="宋体" w:hAnsi="宋体" w:eastAsia="宋体"/>
          <w:sz w:val="28"/>
          <w:szCs w:val="28"/>
        </w:rPr>
        <w:t>《GD/J 089—2018 应急广播大喇叭系统技术规范》</w:t>
      </w:r>
    </w:p>
    <w:p>
      <w:pPr>
        <w:pStyle w:val="19"/>
        <w:numPr>
          <w:ilvl w:val="0"/>
          <w:numId w:val="3"/>
        </w:numPr>
        <w:spacing w:line="360" w:lineRule="auto"/>
        <w:rPr>
          <w:rFonts w:ascii="宋体" w:hAnsi="宋体" w:eastAsia="宋体"/>
          <w:sz w:val="28"/>
          <w:szCs w:val="28"/>
        </w:rPr>
      </w:pPr>
      <w:r>
        <w:rPr>
          <w:rFonts w:hint="eastAsia" w:ascii="宋体" w:hAnsi="宋体" w:eastAsia="宋体"/>
          <w:sz w:val="28"/>
          <w:szCs w:val="28"/>
        </w:rPr>
        <w:t>《GY/T 5093-2020 应急广播平台工程建设技术标准》</w:t>
      </w:r>
    </w:p>
    <w:p>
      <w:pPr>
        <w:pStyle w:val="19"/>
        <w:numPr>
          <w:ilvl w:val="0"/>
          <w:numId w:val="3"/>
        </w:numPr>
        <w:spacing w:line="360" w:lineRule="auto"/>
        <w:rPr>
          <w:rFonts w:ascii="宋体" w:hAnsi="宋体" w:eastAsia="宋体"/>
          <w:sz w:val="28"/>
          <w:szCs w:val="28"/>
        </w:rPr>
      </w:pPr>
      <w:r>
        <w:rPr>
          <w:rFonts w:hint="eastAsia" w:ascii="宋体" w:hAnsi="宋体" w:eastAsia="宋体"/>
          <w:sz w:val="28"/>
          <w:szCs w:val="28"/>
        </w:rPr>
        <w:t>《GB/T 22240-2020 信息安全技术 网络安全等级保护定级指南》</w:t>
      </w:r>
    </w:p>
    <w:p>
      <w:pPr>
        <w:pStyle w:val="19"/>
        <w:numPr>
          <w:ilvl w:val="0"/>
          <w:numId w:val="3"/>
        </w:numPr>
        <w:spacing w:line="360" w:lineRule="auto"/>
        <w:rPr>
          <w:rFonts w:ascii="宋体" w:hAnsi="宋体" w:eastAsia="宋体"/>
          <w:sz w:val="28"/>
          <w:szCs w:val="28"/>
        </w:rPr>
      </w:pPr>
      <w:r>
        <w:rPr>
          <w:rFonts w:hint="eastAsia" w:ascii="宋体" w:hAnsi="宋体" w:eastAsia="宋体"/>
          <w:sz w:val="28"/>
          <w:szCs w:val="28"/>
        </w:rPr>
        <w:t>《GB/T 22239-2019 信息安全技术 网络安全等级保护基本要求》</w:t>
      </w:r>
    </w:p>
    <w:p>
      <w:pPr>
        <w:pStyle w:val="19"/>
        <w:numPr>
          <w:ilvl w:val="0"/>
          <w:numId w:val="3"/>
        </w:numPr>
        <w:spacing w:line="360" w:lineRule="auto"/>
        <w:rPr>
          <w:rFonts w:ascii="宋体" w:hAnsi="宋体" w:eastAsia="宋体"/>
          <w:sz w:val="28"/>
          <w:szCs w:val="28"/>
        </w:rPr>
      </w:pPr>
      <w:r>
        <w:rPr>
          <w:rFonts w:hint="eastAsia" w:ascii="宋体" w:hAnsi="宋体" w:eastAsia="宋体"/>
          <w:sz w:val="28"/>
          <w:szCs w:val="28"/>
        </w:rPr>
        <w:t>《GB/T 25070-2019 信息安全技术 网络安全等级保护安全设计技术要求》</w:t>
      </w:r>
    </w:p>
    <w:p>
      <w:pPr>
        <w:pStyle w:val="19"/>
        <w:numPr>
          <w:ilvl w:val="0"/>
          <w:numId w:val="3"/>
        </w:numPr>
        <w:spacing w:line="360" w:lineRule="auto"/>
        <w:rPr>
          <w:rFonts w:ascii="宋体" w:hAnsi="宋体" w:eastAsia="宋体"/>
          <w:sz w:val="28"/>
          <w:szCs w:val="28"/>
        </w:rPr>
      </w:pPr>
      <w:r>
        <w:rPr>
          <w:rFonts w:hint="eastAsia" w:ascii="宋体" w:hAnsi="宋体" w:eastAsia="宋体"/>
          <w:sz w:val="28"/>
          <w:szCs w:val="28"/>
        </w:rPr>
        <w:t>《GM/T 0054-2018 信息系统密码应用基本要求》</w:t>
      </w:r>
    </w:p>
    <w:p>
      <w:pPr>
        <w:pStyle w:val="19"/>
        <w:numPr>
          <w:ilvl w:val="0"/>
          <w:numId w:val="3"/>
        </w:numPr>
        <w:spacing w:line="360" w:lineRule="auto"/>
        <w:rPr>
          <w:rFonts w:ascii="宋体" w:hAnsi="宋体" w:eastAsia="宋体"/>
          <w:sz w:val="28"/>
          <w:szCs w:val="28"/>
        </w:rPr>
      </w:pPr>
      <w:r>
        <w:rPr>
          <w:rFonts w:hint="eastAsia" w:ascii="宋体" w:hAnsi="宋体" w:eastAsia="宋体"/>
          <w:sz w:val="28"/>
          <w:szCs w:val="28"/>
        </w:rPr>
        <w:t>《GGY/T 337-2020 广播电视网络安全等级保护定级指南》</w:t>
      </w:r>
    </w:p>
    <w:p>
      <w:pPr>
        <w:pStyle w:val="19"/>
        <w:numPr>
          <w:ilvl w:val="0"/>
          <w:numId w:val="3"/>
        </w:numPr>
        <w:spacing w:line="360" w:lineRule="auto"/>
        <w:rPr>
          <w:rFonts w:ascii="宋体" w:hAnsi="宋体" w:eastAsia="宋体"/>
          <w:sz w:val="28"/>
          <w:szCs w:val="28"/>
        </w:rPr>
      </w:pPr>
      <w:r>
        <w:rPr>
          <w:rFonts w:hint="eastAsia" w:ascii="宋体" w:hAnsi="宋体" w:eastAsia="宋体"/>
          <w:sz w:val="28"/>
          <w:szCs w:val="28"/>
        </w:rPr>
        <w:t>《GY/T 352—2021 广播电视网络安全等级保护基本要求》</w:t>
      </w:r>
    </w:p>
    <w:p>
      <w:pPr>
        <w:pStyle w:val="19"/>
        <w:numPr>
          <w:ilvl w:val="0"/>
          <w:numId w:val="3"/>
        </w:numPr>
        <w:spacing w:line="360" w:lineRule="auto"/>
        <w:rPr>
          <w:rFonts w:ascii="宋体" w:hAnsi="宋体" w:eastAsia="宋体"/>
          <w:sz w:val="28"/>
          <w:szCs w:val="28"/>
        </w:rPr>
      </w:pPr>
      <w:r>
        <w:rPr>
          <w:rFonts w:hint="eastAsia" w:ascii="宋体" w:hAnsi="宋体" w:eastAsia="宋体"/>
          <w:sz w:val="28"/>
          <w:szCs w:val="28"/>
        </w:rPr>
        <w:t>《中华人民共和国突发事件应对法》（中华人民共和国主席令第69号）</w:t>
      </w:r>
    </w:p>
    <w:p>
      <w:pPr>
        <w:pStyle w:val="19"/>
        <w:numPr>
          <w:ilvl w:val="0"/>
          <w:numId w:val="3"/>
        </w:numPr>
        <w:spacing w:line="360" w:lineRule="auto"/>
        <w:rPr>
          <w:rFonts w:ascii="宋体" w:hAnsi="宋体" w:eastAsia="宋体"/>
          <w:sz w:val="28"/>
          <w:szCs w:val="28"/>
        </w:rPr>
      </w:pPr>
      <w:r>
        <w:rPr>
          <w:rFonts w:hint="eastAsia" w:ascii="宋体" w:hAnsi="宋体" w:eastAsia="宋体"/>
          <w:sz w:val="28"/>
          <w:szCs w:val="28"/>
        </w:rPr>
        <w:t>《国家突发公共事件总体应急预案》（国务院第79次常务会议）</w:t>
      </w:r>
    </w:p>
    <w:p>
      <w:pPr>
        <w:pStyle w:val="19"/>
        <w:numPr>
          <w:ilvl w:val="0"/>
          <w:numId w:val="3"/>
        </w:numPr>
        <w:spacing w:line="360" w:lineRule="auto"/>
        <w:rPr>
          <w:rFonts w:ascii="宋体" w:hAnsi="宋体" w:eastAsia="宋体"/>
          <w:sz w:val="28"/>
          <w:szCs w:val="28"/>
        </w:rPr>
      </w:pPr>
      <w:r>
        <w:rPr>
          <w:rFonts w:hint="eastAsia" w:ascii="宋体" w:hAnsi="宋体" w:eastAsia="宋体"/>
          <w:sz w:val="28"/>
          <w:szCs w:val="28"/>
        </w:rPr>
        <w:t>《国家突发事件预警信息发布系统运行管理办法（试行）》（国办秘函[2015]32号）</w:t>
      </w:r>
    </w:p>
    <w:p>
      <w:pPr>
        <w:pStyle w:val="19"/>
        <w:numPr>
          <w:ilvl w:val="0"/>
          <w:numId w:val="3"/>
        </w:numPr>
        <w:spacing w:line="360" w:lineRule="auto"/>
        <w:rPr>
          <w:rFonts w:ascii="宋体" w:hAnsi="宋体" w:eastAsia="宋体"/>
          <w:sz w:val="28"/>
          <w:szCs w:val="28"/>
        </w:rPr>
      </w:pPr>
      <w:r>
        <w:rPr>
          <w:rFonts w:hint="eastAsia" w:ascii="宋体" w:hAnsi="宋体" w:eastAsia="宋体"/>
          <w:sz w:val="28"/>
          <w:szCs w:val="28"/>
        </w:rPr>
        <w:t>《关于实施2021年陕西省老少边及欠发达地区县级应急广播体系建设项目有关事项的通知》（陕广电事〔2021〕81号）</w:t>
      </w:r>
    </w:p>
    <w:p>
      <w:pPr>
        <w:pStyle w:val="19"/>
        <w:numPr>
          <w:ilvl w:val="0"/>
          <w:numId w:val="3"/>
        </w:numPr>
        <w:spacing w:line="360" w:lineRule="auto"/>
        <w:rPr>
          <w:rFonts w:ascii="宋体" w:hAnsi="宋体" w:eastAsia="宋体"/>
          <w:sz w:val="28"/>
          <w:szCs w:val="28"/>
        </w:rPr>
      </w:pPr>
      <w:r>
        <w:rPr>
          <w:rFonts w:hint="eastAsia" w:ascii="宋体" w:hAnsi="宋体" w:eastAsia="宋体"/>
          <w:sz w:val="28"/>
          <w:szCs w:val="28"/>
        </w:rPr>
        <w:t>《全国应急广播体系建设总体规划》（新广电发﹝2017﹞236号）</w:t>
      </w:r>
    </w:p>
    <w:p>
      <w:pPr>
        <w:pStyle w:val="19"/>
        <w:numPr>
          <w:ilvl w:val="0"/>
          <w:numId w:val="3"/>
        </w:numPr>
        <w:spacing w:line="360" w:lineRule="auto"/>
        <w:rPr>
          <w:rFonts w:ascii="宋体" w:hAnsi="宋体" w:eastAsia="宋体"/>
          <w:sz w:val="28"/>
          <w:szCs w:val="28"/>
        </w:rPr>
      </w:pPr>
      <w:r>
        <w:rPr>
          <w:rFonts w:hint="eastAsia" w:ascii="宋体" w:hAnsi="宋体" w:eastAsia="宋体"/>
          <w:sz w:val="28"/>
          <w:szCs w:val="28"/>
        </w:rPr>
        <w:t>《关于下达2022年县级应急应急广播体系建设补助资金的通知》（陕财办教〔2022〕85号）</w:t>
      </w:r>
    </w:p>
    <w:p>
      <w:pPr>
        <w:pStyle w:val="19"/>
        <w:numPr>
          <w:ilvl w:val="0"/>
          <w:numId w:val="3"/>
        </w:numPr>
        <w:spacing w:line="360" w:lineRule="auto"/>
      </w:pPr>
      <w:r>
        <w:rPr>
          <w:rFonts w:hint="eastAsia" w:ascii="宋体" w:hAnsi="宋体" w:eastAsia="宋体"/>
          <w:sz w:val="28"/>
          <w:szCs w:val="28"/>
        </w:rPr>
        <w:t>《陕西省广播电视局关于实施2022年省级财政补助县级应急广播体系建设项目有关事项的通知》（陕广电事〔2022〕109号）</w:t>
      </w:r>
    </w:p>
    <w:p>
      <w:pPr>
        <w:pStyle w:val="4"/>
        <w:spacing w:line="360" w:lineRule="auto"/>
        <w:ind w:firstLine="562"/>
        <w:rPr>
          <w:rFonts w:ascii="宋体" w:hAnsi="宋体" w:eastAsia="宋体"/>
          <w:b/>
          <w:bCs/>
          <w:kern w:val="32"/>
          <w:sz w:val="28"/>
          <w:szCs w:val="28"/>
        </w:rPr>
      </w:pPr>
      <w:bookmarkStart w:id="78" w:name="_Toc117014017"/>
      <w:r>
        <w:rPr>
          <w:rFonts w:hint="eastAsia" w:ascii="宋体" w:hAnsi="宋体" w:eastAsia="宋体"/>
          <w:b/>
          <w:bCs/>
          <w:kern w:val="32"/>
          <w:sz w:val="28"/>
          <w:szCs w:val="28"/>
        </w:rPr>
        <w:t>3、建设目标</w:t>
      </w:r>
      <w:bookmarkEnd w:id="72"/>
      <w:bookmarkEnd w:id="73"/>
      <w:bookmarkEnd w:id="78"/>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在蓝田县建设1个县级应急广播平台，1套应急信息发布前置系统，1套融媒体应急广播对接系统，1套调频广播应急广播对接系统，1套地面数字应急广播对接系统，1套有线数字电视应急广播对接系统，1套机房环境监测系统，8个镇（办）级分控平台，139个行政村（社区）平台；在县城周边、8个镇（办）、139个行政村（社区）共部署应急广播终端731个。县城周边重点区域共部署20个终端，每个镇部署2个终端、每个村（社区）平均部署5个终端，并向满足建设条件的自然村部署应急广播终端，建成应急广播大喇叭系统。完善应急广播传输覆盖网，通过广播电视（融媒体中心）播出系统、有线电视双向网络、4G(5G)网络、地面数字电视、调频广播等多种方式，实现应急广播信号在蓝田县的综合覆盖，提升县、镇、村三级应急信息发布能力，提高应对各类突发事件应急发布能力。预留与省级或市级应急广播平台、公共广播、户外大屏等系统的对接接口，形成县镇村统一协调、上下贯通、可管可控、综合覆盖的蓝田应急广播体系。</w:t>
      </w:r>
    </w:p>
    <w:p>
      <w:pPr>
        <w:pStyle w:val="4"/>
        <w:spacing w:line="360" w:lineRule="auto"/>
        <w:ind w:firstLine="0" w:firstLineChars="0"/>
        <w:rPr>
          <w:rFonts w:ascii="宋体" w:hAnsi="宋体" w:eastAsia="宋体"/>
          <w:b/>
          <w:bCs/>
          <w:kern w:val="32"/>
          <w:sz w:val="28"/>
          <w:szCs w:val="28"/>
        </w:rPr>
      </w:pPr>
      <w:bookmarkStart w:id="79" w:name="_Toc117014018"/>
      <w:bookmarkStart w:id="80" w:name="_Toc13730"/>
      <w:bookmarkStart w:id="81" w:name="_Toc23096"/>
      <w:r>
        <w:rPr>
          <w:rFonts w:hint="eastAsia" w:ascii="宋体" w:hAnsi="宋体" w:eastAsia="宋体"/>
          <w:b/>
          <w:bCs/>
          <w:kern w:val="32"/>
          <w:sz w:val="28"/>
          <w:szCs w:val="28"/>
        </w:rPr>
        <w:t>二、建设内容</w:t>
      </w:r>
      <w:bookmarkEnd w:id="79"/>
      <w:bookmarkEnd w:id="80"/>
      <w:bookmarkEnd w:id="81"/>
    </w:p>
    <w:bookmarkEnd w:id="74"/>
    <w:bookmarkEnd w:id="75"/>
    <w:bookmarkEnd w:id="76"/>
    <w:bookmarkEnd w:id="77"/>
    <w:p>
      <w:pPr>
        <w:pStyle w:val="4"/>
        <w:spacing w:line="360" w:lineRule="auto"/>
        <w:ind w:firstLine="562"/>
        <w:rPr>
          <w:rFonts w:ascii="宋体" w:hAnsi="宋体" w:eastAsia="宋体"/>
          <w:b/>
          <w:bCs/>
          <w:kern w:val="32"/>
          <w:sz w:val="28"/>
          <w:szCs w:val="28"/>
        </w:rPr>
      </w:pPr>
      <w:bookmarkStart w:id="82" w:name="_Toc843"/>
      <w:bookmarkStart w:id="83" w:name="_Toc22136"/>
      <w:bookmarkStart w:id="84" w:name="_Toc117014019"/>
      <w:bookmarkStart w:id="85" w:name="_Toc18662"/>
      <w:r>
        <w:rPr>
          <w:rFonts w:hint="eastAsia" w:ascii="宋体" w:hAnsi="宋体" w:eastAsia="宋体"/>
          <w:b/>
          <w:bCs/>
          <w:kern w:val="32"/>
          <w:sz w:val="28"/>
          <w:szCs w:val="28"/>
        </w:rPr>
        <w:t>（一）建设要求</w:t>
      </w:r>
      <w:bookmarkEnd w:id="82"/>
      <w:bookmarkEnd w:id="83"/>
      <w:bookmarkEnd w:id="84"/>
      <w:bookmarkEnd w:id="85"/>
    </w:p>
    <w:p>
      <w:pPr>
        <w:pStyle w:val="17"/>
        <w:topLinePunct/>
        <w:spacing w:before="120" w:beforeLines="50" w:after="20" w:line="360" w:lineRule="auto"/>
        <w:ind w:left="0" w:right="10" w:firstLine="560" w:firstLineChars="200"/>
        <w:jc w:val="both"/>
        <w:rPr>
          <w:rFonts w:cs="Times New Roman"/>
          <w:sz w:val="28"/>
          <w:szCs w:val="28"/>
          <w:lang w:val="en-US" w:bidi="ar-SA"/>
        </w:rPr>
      </w:pPr>
      <w:r>
        <w:rPr>
          <w:rFonts w:hint="eastAsia" w:cs="Times New Roman"/>
          <w:sz w:val="28"/>
          <w:szCs w:val="28"/>
          <w:lang w:val="en-US" w:bidi="ar-SA"/>
        </w:rPr>
        <w:t>按照高效、节约、智能、实用、安全的原则，充分利用现有广播电视基础设施、传输网络和应急广播相关设施，统筹本地宣传、自然资源、水利、应急管理、文化旅游、林业、气象等部门资源，因地制宜推进蓝田县县级应急广播体系建设。项目的设计、施工、质量应符合《县级应急广播系统技术规范》以及其他相关标准要求。依据省局和总局广科院联合制定的《陕西省县级应急广播系统建设方案（2019年8月）》,结合实际情况，通过应急广播传输覆盖网络，实现应急广播信息在应急广播专用终端及县级融媒体平台等多渠道发布。在县级、镇政府人员聚集地（如广场、主要街道等）和社区、行政村人口密集区域，结合日常宣传和应急信息发布需求，合理综合配置音柱、音箱、高音喇叭等类型终端。</w:t>
      </w:r>
      <w:bookmarkStart w:id="86" w:name="_Toc29210"/>
      <w:bookmarkStart w:id="87" w:name="_Toc23761"/>
      <w:bookmarkStart w:id="88" w:name="_Toc26036"/>
    </w:p>
    <w:p>
      <w:pPr>
        <w:pStyle w:val="4"/>
        <w:spacing w:line="360" w:lineRule="auto"/>
        <w:ind w:firstLine="562"/>
        <w:rPr>
          <w:rFonts w:ascii="宋体" w:hAnsi="宋体" w:eastAsia="宋体"/>
          <w:b/>
          <w:bCs/>
          <w:kern w:val="32"/>
          <w:sz w:val="28"/>
          <w:szCs w:val="28"/>
        </w:rPr>
      </w:pPr>
      <w:bookmarkStart w:id="89" w:name="_Toc117014020"/>
      <w:r>
        <w:rPr>
          <w:rFonts w:hint="eastAsia" w:ascii="宋体" w:hAnsi="宋体" w:eastAsia="宋体"/>
          <w:b/>
          <w:bCs/>
          <w:kern w:val="32"/>
          <w:sz w:val="28"/>
          <w:szCs w:val="28"/>
        </w:rPr>
        <w:t>（二）建设内容</w:t>
      </w:r>
      <w:bookmarkEnd w:id="86"/>
      <w:bookmarkEnd w:id="87"/>
      <w:bookmarkEnd w:id="88"/>
      <w:bookmarkEnd w:id="89"/>
    </w:p>
    <w:p>
      <w:pPr>
        <w:spacing w:line="360" w:lineRule="auto"/>
        <w:jc w:val="center"/>
        <w:rPr>
          <w:b/>
          <w:bCs/>
          <w:spacing w:val="-11"/>
        </w:rPr>
      </w:pPr>
      <w:r>
        <w:rPr>
          <w:b/>
          <w:bCs/>
          <w:spacing w:val="-11"/>
        </w:rPr>
        <w:drawing>
          <wp:inline distT="0" distB="0" distL="0" distR="0">
            <wp:extent cx="5029200" cy="2628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029200" cy="2628900"/>
                    </a:xfrm>
                    <a:prstGeom prst="rect">
                      <a:avLst/>
                    </a:prstGeom>
                    <a:noFill/>
                    <a:ln>
                      <a:noFill/>
                    </a:ln>
                  </pic:spPr>
                </pic:pic>
              </a:graphicData>
            </a:graphic>
          </wp:inline>
        </w:drawing>
      </w:r>
    </w:p>
    <w:p>
      <w:pPr>
        <w:pStyle w:val="123"/>
        <w:topLinePunct/>
        <w:spacing w:before="120" w:beforeLines="50" w:after="20" w:line="360" w:lineRule="auto"/>
        <w:ind w:firstLine="1446" w:firstLineChars="600"/>
        <w:rPr>
          <w:b/>
          <w:sz w:val="24"/>
          <w:szCs w:val="24"/>
          <w:lang w:val="en-US" w:eastAsia="zh-CN"/>
        </w:rPr>
      </w:pPr>
      <w:r>
        <w:rPr>
          <w:rFonts w:hint="eastAsia"/>
          <w:b/>
          <w:sz w:val="24"/>
          <w:szCs w:val="24"/>
          <w:lang w:val="en-US" w:eastAsia="zh-CN"/>
        </w:rPr>
        <w:t>图1 蓝田县县级</w:t>
      </w:r>
      <w:r>
        <w:rPr>
          <w:rFonts w:hint="eastAsia"/>
          <w:b/>
          <w:sz w:val="24"/>
          <w:szCs w:val="24"/>
        </w:rPr>
        <w:t>应急广播系统架构及信息流示意图</w:t>
      </w:r>
    </w:p>
    <w:p>
      <w:pPr>
        <w:pStyle w:val="123"/>
        <w:topLinePunct/>
        <w:spacing w:line="360" w:lineRule="auto"/>
        <w:ind w:firstLine="560" w:firstLineChars="200"/>
        <w:rPr>
          <w:rFonts w:ascii="宋体" w:hAnsi="宋体"/>
          <w:kern w:val="0"/>
          <w:lang w:val="en-US" w:eastAsia="zh-CN"/>
        </w:rPr>
      </w:pPr>
      <w:r>
        <w:rPr>
          <w:rFonts w:hint="eastAsia" w:ascii="宋体" w:hAnsi="宋体"/>
          <w:kern w:val="0"/>
          <w:lang w:val="en-US" w:eastAsia="zh-CN"/>
        </w:rPr>
        <w:t>本项目建设内容包括县级应急广播平台建设、应急信息发布前置系统建设、传输覆盖网建设（含电台电视台、调频、有线数字电视、地面数字电视等）、机房环境监测系统建设、镇（办）、行政村（社区）应急广播平台、镇（办）、行政村及周边接收终端建设等部分组成。按照高效、节约、智能、实用、安全的原则，充分利用现有广播电视基础设施和传输网络，因地制宜推进蓝田县县级应急广播体系建设。项目的设计、施工、质量应符合《县级应急广播系统技术规范》以及《陕西省县级应急广播系统建设方案》2019年8月出版标准要求。在满足功能性的前提下，配备一体化、集约化设备，提高运行和运维工作质量。</w:t>
      </w:r>
    </w:p>
    <w:p>
      <w:pPr>
        <w:pStyle w:val="4"/>
        <w:spacing w:line="360" w:lineRule="auto"/>
        <w:ind w:firstLine="562"/>
        <w:jc w:val="center"/>
        <w:rPr>
          <w:rFonts w:ascii="宋体" w:hAnsi="宋体" w:eastAsia="宋体"/>
          <w:b/>
          <w:bCs/>
          <w:kern w:val="32"/>
          <w:sz w:val="28"/>
          <w:szCs w:val="28"/>
        </w:rPr>
      </w:pPr>
      <w:bookmarkStart w:id="90" w:name="_Toc20995"/>
      <w:bookmarkStart w:id="91" w:name="_Toc3168"/>
      <w:bookmarkStart w:id="92" w:name="_Toc15979"/>
      <w:bookmarkStart w:id="93" w:name="_Toc27050"/>
      <w:bookmarkStart w:id="94" w:name="_Toc8996"/>
      <w:bookmarkStart w:id="95" w:name="_Toc23372"/>
      <w:r>
        <w:rPr>
          <w:rFonts w:hint="eastAsia" w:ascii="宋体" w:hAnsi="宋体" w:eastAsia="宋体"/>
          <w:b/>
          <w:bCs/>
          <w:kern w:val="32"/>
          <w:sz w:val="28"/>
          <w:szCs w:val="28"/>
        </w:rPr>
        <w:t>2.1、应急广播平台建设</w:t>
      </w:r>
      <w:bookmarkEnd w:id="90"/>
      <w:bookmarkEnd w:id="91"/>
      <w:bookmarkEnd w:id="92"/>
      <w:bookmarkEnd w:id="93"/>
      <w:bookmarkEnd w:id="94"/>
      <w:bookmarkEnd w:id="95"/>
    </w:p>
    <w:p>
      <w:pPr>
        <w:widowControl w:val="0"/>
        <w:topLinePunct/>
        <w:autoSpaceDE w:val="0"/>
        <w:autoSpaceDN w:val="0"/>
        <w:snapToGrid w:val="0"/>
        <w:spacing w:line="360" w:lineRule="auto"/>
        <w:ind w:right="-53" w:rightChars="-22" w:firstLine="560" w:firstLineChars="200"/>
        <w:jc w:val="both"/>
      </w:pPr>
      <w:r>
        <w:rPr>
          <w:rFonts w:hint="eastAsia" w:ascii="宋体" w:hAnsi="宋体" w:eastAsia="宋体"/>
          <w:sz w:val="28"/>
          <w:szCs w:val="28"/>
        </w:rPr>
        <w:t>在蓝田县建设一套县级应急广播平台。该平台负责对所辖区域应急广播系统的统一调度指挥和管理，具备应急预警信息发布接入、应急节目制作播发、辖区内应急广播资源管理、应急广播发布流程控制、发布资源调度、值守监看、应急广播消息分发传输等主要功能。为扩展县级融媒体中心的信息内容的发布和覆盖范围，提升相关信息的宣传效果，县应急广播平台应与县级融媒体中心技术平台实现对接。</w:t>
      </w:r>
    </w:p>
    <w:p>
      <w:pPr>
        <w:pStyle w:val="4"/>
        <w:spacing w:line="360" w:lineRule="auto"/>
        <w:ind w:firstLine="562"/>
        <w:jc w:val="center"/>
        <w:rPr>
          <w:rFonts w:ascii="宋体" w:hAnsi="宋体" w:eastAsia="宋体"/>
          <w:b/>
          <w:bCs/>
          <w:kern w:val="32"/>
          <w:sz w:val="28"/>
          <w:szCs w:val="28"/>
        </w:rPr>
      </w:pPr>
      <w:bookmarkStart w:id="96" w:name="_Toc85803129"/>
      <w:r>
        <w:rPr>
          <w:rFonts w:hint="eastAsia" w:ascii="宋体" w:hAnsi="宋体" w:eastAsia="宋体"/>
          <w:b/>
          <w:bCs/>
          <w:kern w:val="32"/>
          <w:sz w:val="28"/>
          <w:szCs w:val="28"/>
        </w:rPr>
        <w:t>2.2、城区重点公共区域终端建设</w:t>
      </w:r>
      <w:bookmarkEnd w:id="96"/>
    </w:p>
    <w:p>
      <w:pPr>
        <w:pStyle w:val="129"/>
        <w:spacing w:line="360" w:lineRule="auto"/>
        <w:ind w:firstLine="560" w:firstLineChars="200"/>
        <w:rPr>
          <w:rFonts w:ascii="宋体" w:hAnsi="宋体"/>
          <w:kern w:val="0"/>
          <w:sz w:val="28"/>
          <w:szCs w:val="28"/>
          <w:lang w:val="en-US"/>
        </w:rPr>
      </w:pPr>
      <w:r>
        <w:rPr>
          <w:rFonts w:hint="eastAsia" w:ascii="宋体" w:hAnsi="宋体"/>
          <w:kern w:val="0"/>
          <w:sz w:val="28"/>
          <w:szCs w:val="28"/>
          <w:lang w:val="en-US"/>
        </w:rPr>
        <w:t>在蓝田县城区重点区域建设20个广播点位，针对各广场、公园、旅游景区等人流密集区域进行布点，为保证县城区终端的美观程度，采用部署音柱的形式实现布点。</w:t>
      </w:r>
    </w:p>
    <w:p>
      <w:pPr>
        <w:pStyle w:val="4"/>
        <w:spacing w:line="360" w:lineRule="auto"/>
        <w:ind w:firstLine="562"/>
        <w:jc w:val="center"/>
        <w:rPr>
          <w:rFonts w:ascii="宋体" w:hAnsi="宋体" w:eastAsia="宋体"/>
          <w:b/>
          <w:bCs/>
          <w:kern w:val="32"/>
          <w:sz w:val="28"/>
          <w:szCs w:val="28"/>
        </w:rPr>
      </w:pPr>
      <w:bookmarkStart w:id="97" w:name="_Toc85803130"/>
      <w:bookmarkStart w:id="98" w:name="_Toc12643"/>
      <w:r>
        <w:rPr>
          <w:rFonts w:hint="eastAsia" w:ascii="宋体" w:hAnsi="宋体" w:eastAsia="宋体"/>
          <w:b/>
          <w:bCs/>
          <w:kern w:val="32"/>
          <w:sz w:val="28"/>
          <w:szCs w:val="28"/>
        </w:rPr>
        <w:t>2.3、应急信息发布前置系统建设</w:t>
      </w:r>
    </w:p>
    <w:p>
      <w:pPr>
        <w:pStyle w:val="129"/>
        <w:spacing w:line="360" w:lineRule="auto"/>
        <w:ind w:firstLine="560" w:firstLineChars="200"/>
        <w:rPr>
          <w:rFonts w:ascii="宋体" w:hAnsi="宋体"/>
          <w:kern w:val="0"/>
          <w:sz w:val="28"/>
          <w:szCs w:val="28"/>
          <w:lang w:val="en-US"/>
        </w:rPr>
      </w:pPr>
      <w:r>
        <w:rPr>
          <w:rFonts w:hint="eastAsia" w:ascii="宋体" w:hAnsi="宋体"/>
          <w:kern w:val="0"/>
          <w:sz w:val="28"/>
          <w:szCs w:val="28"/>
          <w:lang w:val="en-US"/>
        </w:rPr>
        <w:t>在应急管理局（应急救援指挥中心）部署一套应急信息发布前置系统，为应急广播平台提供应急信息源并交由应急广播平台进行审核管理和传播，实现应急广播消息的覆盖。</w:t>
      </w:r>
    </w:p>
    <w:p>
      <w:pPr>
        <w:pStyle w:val="4"/>
        <w:spacing w:line="360" w:lineRule="auto"/>
        <w:ind w:firstLine="562"/>
        <w:jc w:val="center"/>
        <w:rPr>
          <w:rFonts w:ascii="宋体" w:hAnsi="宋体" w:eastAsia="宋体"/>
          <w:b/>
          <w:bCs/>
          <w:kern w:val="32"/>
          <w:sz w:val="28"/>
          <w:szCs w:val="28"/>
        </w:rPr>
      </w:pPr>
      <w:r>
        <w:rPr>
          <w:rFonts w:hint="eastAsia" w:ascii="宋体" w:hAnsi="宋体" w:eastAsia="宋体"/>
          <w:b/>
          <w:bCs/>
          <w:kern w:val="32"/>
          <w:sz w:val="28"/>
          <w:szCs w:val="28"/>
        </w:rPr>
        <w:t>2.4、传输覆盖网络建设</w:t>
      </w:r>
    </w:p>
    <w:p>
      <w:pPr>
        <w:pStyle w:val="129"/>
        <w:spacing w:line="360" w:lineRule="auto"/>
        <w:ind w:firstLine="560" w:firstLineChars="200"/>
        <w:rPr>
          <w:rFonts w:ascii="宋体" w:hAnsi="宋体"/>
          <w:kern w:val="0"/>
          <w:sz w:val="28"/>
          <w:szCs w:val="28"/>
        </w:rPr>
      </w:pPr>
      <w:r>
        <w:rPr>
          <w:rFonts w:hint="eastAsia" w:ascii="宋体" w:hAnsi="宋体"/>
          <w:kern w:val="0"/>
          <w:sz w:val="28"/>
          <w:szCs w:val="28"/>
        </w:rPr>
        <w:t>应急广播信号传输覆盖网由IP、DVB-C、DTMB、FM、4G等网络组成，建设融媒体中心（广播电视台）应急广播对接系统、调频广播应急广播对接系统、地面数字电视应急广播对接系统、有线数字电视应急广播对接系统，利用原有传输覆盖网，同时租用有线宽带双向网络和4G网络，建立通达各镇（办）、行政村（社区）的应急广播大喇叭传输覆盖系统，形成全面综合信号覆盖网络，实现县、镇、村前端对终端播发节目和控制。同时，系统采取多种类型的信号覆盖方式，在应急广播各级平台的统一调度下，可以达到通道备份、补充覆盖和覆盖资源最优利用的目的。</w:t>
      </w:r>
    </w:p>
    <w:p>
      <w:pPr>
        <w:spacing w:line="360" w:lineRule="auto"/>
        <w:rPr>
          <w:b/>
          <w:sz w:val="28"/>
          <w:szCs w:val="28"/>
          <w:lang w:val="zh-CN" w:bidi="zh-CN"/>
        </w:rPr>
      </w:pPr>
      <w:r>
        <w:rPr>
          <w:b/>
          <w:sz w:val="28"/>
          <w:szCs w:val="28"/>
          <w:lang w:val="zh-CN" w:bidi="zh-CN"/>
        </w:rPr>
        <w:t>1）融媒体中心（广播电视台）应急广播对接系统</w:t>
      </w:r>
    </w:p>
    <w:p>
      <w:pPr>
        <w:spacing w:line="360" w:lineRule="auto"/>
        <w:ind w:firstLine="420"/>
        <w:rPr>
          <w:sz w:val="28"/>
          <w:szCs w:val="28"/>
          <w:lang w:val="zh-CN" w:bidi="zh-CN"/>
        </w:rPr>
      </w:pPr>
      <w:r>
        <w:rPr>
          <w:rFonts w:hint="eastAsia" w:ascii="宋体" w:hAnsi="宋体" w:eastAsia="宋体"/>
          <w:sz w:val="28"/>
          <w:szCs w:val="28"/>
          <w:lang w:val="zh-CN"/>
        </w:rPr>
        <w:t>在蓝田县融媒体中心部署一应急广播系统</w:t>
      </w:r>
      <w:r>
        <w:rPr>
          <w:rFonts w:hint="eastAsia" w:ascii="宋体" w:hAnsi="宋体" w:eastAsia="宋体"/>
          <w:sz w:val="28"/>
          <w:szCs w:val="28"/>
        </w:rPr>
        <w:t>平台</w:t>
      </w:r>
      <w:r>
        <w:rPr>
          <w:rFonts w:hint="eastAsia" w:ascii="宋体" w:hAnsi="宋体" w:eastAsia="宋体"/>
          <w:sz w:val="28"/>
          <w:szCs w:val="28"/>
          <w:lang w:val="zh-CN"/>
        </w:rPr>
        <w:t>。接收到应急广播消息后，根据调度指令和应急播出预案，采用自动文转语、主持人念稿、音视频播放、字幕插入等多种方式在频率频道节目中播出应急广播消息，并将应急广播消息的接收回执、播出处理情况反馈至县应急广播平台，将日常宣传节目传送至县应急广播平台。</w:t>
      </w:r>
    </w:p>
    <w:p>
      <w:pPr>
        <w:spacing w:line="360" w:lineRule="auto"/>
        <w:rPr>
          <w:b/>
          <w:sz w:val="28"/>
          <w:szCs w:val="28"/>
          <w:lang w:val="zh-CN" w:bidi="zh-CN"/>
        </w:rPr>
      </w:pPr>
      <w:r>
        <w:rPr>
          <w:b/>
          <w:sz w:val="28"/>
          <w:szCs w:val="28"/>
          <w:lang w:val="zh-CN" w:bidi="zh-CN"/>
        </w:rPr>
        <w:t>2）调频广播应急广播对接系统</w:t>
      </w:r>
    </w:p>
    <w:p>
      <w:pPr>
        <w:spacing w:line="360" w:lineRule="auto"/>
        <w:ind w:firstLine="420"/>
        <w:rPr>
          <w:rFonts w:ascii="宋体" w:hAnsi="宋体" w:eastAsia="宋体"/>
          <w:sz w:val="28"/>
          <w:szCs w:val="28"/>
          <w:lang w:val="zh-CN"/>
        </w:rPr>
      </w:pPr>
      <w:r>
        <w:rPr>
          <w:rFonts w:hint="eastAsia" w:ascii="宋体" w:hAnsi="宋体" w:eastAsia="宋体"/>
          <w:sz w:val="28"/>
          <w:szCs w:val="28"/>
          <w:lang w:val="zh-CN"/>
        </w:rPr>
        <w:t>在蓝田县调频发射中心部署一套调频广播应急广播对接系统，在县应急广播平台播发应急广播消息后，调频广播应急广播对接系统可实时接收到该应急广播消息解码输出模拟音频信号和RDS信号，并通过音频切换器将应急广播模拟音频信号和原有音频进行切换，切换后的信号输出给下级音频。</w:t>
      </w:r>
    </w:p>
    <w:p>
      <w:pPr>
        <w:spacing w:line="360" w:lineRule="auto"/>
        <w:rPr>
          <w:b/>
          <w:sz w:val="28"/>
          <w:szCs w:val="28"/>
          <w:lang w:val="zh-CN" w:bidi="zh-CN"/>
        </w:rPr>
      </w:pPr>
      <w:r>
        <w:rPr>
          <w:b/>
          <w:sz w:val="28"/>
          <w:szCs w:val="28"/>
          <w:lang w:val="zh-CN" w:bidi="zh-CN"/>
        </w:rPr>
        <w:t>3）地面数字电视应急广播对接系统</w:t>
      </w:r>
    </w:p>
    <w:p>
      <w:pPr>
        <w:spacing w:line="360" w:lineRule="auto"/>
        <w:ind w:firstLine="420"/>
        <w:rPr>
          <w:rFonts w:ascii="宋体" w:hAnsi="宋体" w:eastAsia="宋体"/>
          <w:sz w:val="28"/>
          <w:szCs w:val="28"/>
          <w:lang w:val="zh-CN"/>
        </w:rPr>
      </w:pPr>
      <w:r>
        <w:rPr>
          <w:rFonts w:hint="eastAsia" w:ascii="宋体" w:hAnsi="宋体" w:eastAsia="宋体"/>
          <w:sz w:val="28"/>
          <w:szCs w:val="28"/>
          <w:lang w:val="zh-CN"/>
        </w:rPr>
        <w:t>在蓝田县地面发射中心部署一套地面数字电视应急广播对接系统，在县应急广播平台播发应急广播消息后，地面数字电视应急广播对接系统可实时接收到该应急广播消息并将其适配为数字电视信息。</w:t>
      </w:r>
    </w:p>
    <w:p>
      <w:pPr>
        <w:spacing w:line="360" w:lineRule="auto"/>
        <w:rPr>
          <w:b/>
          <w:sz w:val="28"/>
          <w:szCs w:val="28"/>
          <w:lang w:val="zh-CN" w:bidi="zh-CN"/>
        </w:rPr>
      </w:pPr>
      <w:r>
        <w:rPr>
          <w:b/>
          <w:sz w:val="28"/>
          <w:szCs w:val="28"/>
          <w:lang w:val="zh-CN" w:bidi="zh-CN"/>
        </w:rPr>
        <w:t>4）有线数字电视应急广播对接系统</w:t>
      </w:r>
    </w:p>
    <w:p>
      <w:pPr>
        <w:spacing w:line="360" w:lineRule="auto"/>
        <w:ind w:firstLine="420"/>
        <w:rPr>
          <w:rFonts w:ascii="宋体" w:hAnsi="宋体" w:eastAsia="宋体"/>
          <w:sz w:val="28"/>
          <w:szCs w:val="28"/>
          <w:lang w:val="zh-CN"/>
        </w:rPr>
      </w:pPr>
      <w:r>
        <w:rPr>
          <w:rFonts w:hint="eastAsia" w:ascii="宋体" w:hAnsi="宋体" w:eastAsia="宋体"/>
          <w:sz w:val="28"/>
          <w:szCs w:val="28"/>
          <w:lang w:val="zh-CN"/>
        </w:rPr>
        <w:t>部署一套有线数字电视应急广播对接系统，在县应急广播平台播发应急广播消息后，有线数字电视应急广播对接系统可实时接收到该应急广播消息并将其适配为数字电视信息。</w:t>
      </w:r>
    </w:p>
    <w:p>
      <w:pPr>
        <w:spacing w:line="360" w:lineRule="auto"/>
        <w:ind w:firstLine="420"/>
        <w:rPr>
          <w:rFonts w:ascii="宋体" w:hAnsi="宋体" w:eastAsia="宋体"/>
          <w:sz w:val="28"/>
          <w:szCs w:val="28"/>
          <w:lang w:val="zh-CN"/>
        </w:rPr>
      </w:pPr>
      <w:r>
        <w:rPr>
          <w:rFonts w:hint="eastAsia" w:ascii="宋体" w:hAnsi="宋体" w:eastAsia="宋体"/>
          <w:sz w:val="28"/>
          <w:szCs w:val="28"/>
          <w:lang w:val="zh-CN"/>
        </w:rPr>
        <w:t>应急广播信号传输覆盖网采用有线IP网络、调频、地面数字电视覆盖网等现有广播电视网络和补充建设4G双通道网络，通过应急广播传输网，实现应急广播信息在应急广播专用终端及区融媒体中心平台等多渠道发布。建成通达8个镇（街道）、139个行政村（社区）的应急广播信号传输覆盖网。应急广播信号传输覆盖网建成后，在县级应急广播平台（设在蓝田县融媒体中心）的统一调度下，可以达到通道备份、补充覆盖和覆盖资源最优利用的目的。传输覆盖网适配设备主要配备多渠道发布传输网络的应急广播适配器、网络设备、信号接融媒体中心应急广播对接系统。</w:t>
      </w:r>
      <w:bookmarkEnd w:id="97"/>
      <w:bookmarkEnd w:id="98"/>
      <w:r>
        <w:rPr>
          <w:rFonts w:hint="eastAsia" w:ascii="宋体" w:hAnsi="宋体" w:eastAsia="宋体"/>
          <w:sz w:val="28"/>
          <w:szCs w:val="28"/>
          <w:lang w:val="zh-CN"/>
        </w:rPr>
        <w:t>同时，县级应急广播平台暨蓝田县融媒体中心，在平时可转播上级广播节目、也可发布自己采编的广播节目。</w:t>
      </w:r>
    </w:p>
    <w:p>
      <w:pPr>
        <w:pStyle w:val="4"/>
        <w:spacing w:line="360" w:lineRule="auto"/>
        <w:ind w:firstLine="562"/>
        <w:jc w:val="center"/>
        <w:rPr>
          <w:rFonts w:ascii="宋体" w:hAnsi="宋体" w:eastAsia="宋体"/>
          <w:b/>
          <w:bCs/>
          <w:kern w:val="32"/>
          <w:sz w:val="28"/>
          <w:szCs w:val="28"/>
        </w:rPr>
      </w:pPr>
      <w:bookmarkStart w:id="99" w:name="_Toc85803132"/>
      <w:r>
        <w:rPr>
          <w:rFonts w:hint="eastAsia" w:ascii="宋体" w:hAnsi="宋体" w:eastAsia="宋体"/>
          <w:b/>
          <w:bCs/>
          <w:kern w:val="32"/>
          <w:sz w:val="28"/>
          <w:szCs w:val="28"/>
        </w:rPr>
        <w:t>2.5、机房环境监测系统建设</w:t>
      </w:r>
      <w:bookmarkEnd w:id="99"/>
    </w:p>
    <w:p>
      <w:pPr>
        <w:pStyle w:val="129"/>
        <w:spacing w:line="360" w:lineRule="auto"/>
        <w:ind w:firstLine="560"/>
        <w:rPr>
          <w:rFonts w:ascii="宋体" w:hAnsi="宋体"/>
          <w:kern w:val="0"/>
          <w:sz w:val="28"/>
          <w:szCs w:val="28"/>
        </w:rPr>
      </w:pPr>
      <w:r>
        <w:rPr>
          <w:rFonts w:hint="eastAsia" w:ascii="宋体" w:hAnsi="宋体"/>
          <w:kern w:val="0"/>
          <w:sz w:val="28"/>
          <w:szCs w:val="28"/>
        </w:rPr>
        <w:t>在蓝田县机房建设一套机房环境监测系统，包含对机房的视频监控、温湿度监控、烟雾监控、漏水监控和门禁系统等。</w:t>
      </w:r>
    </w:p>
    <w:p>
      <w:pPr>
        <w:pStyle w:val="4"/>
        <w:spacing w:line="360" w:lineRule="auto"/>
        <w:ind w:firstLine="562"/>
        <w:jc w:val="center"/>
        <w:rPr>
          <w:rFonts w:ascii="宋体" w:hAnsi="宋体" w:eastAsia="宋体"/>
          <w:b/>
          <w:bCs/>
          <w:kern w:val="32"/>
          <w:sz w:val="28"/>
          <w:szCs w:val="28"/>
        </w:rPr>
      </w:pPr>
      <w:bookmarkStart w:id="100" w:name="_Toc13506"/>
      <w:r>
        <w:rPr>
          <w:rFonts w:hint="eastAsia" w:ascii="宋体" w:hAnsi="宋体" w:eastAsia="宋体"/>
          <w:b/>
          <w:bCs/>
          <w:kern w:val="32"/>
          <w:sz w:val="28"/>
          <w:szCs w:val="28"/>
        </w:rPr>
        <w:t>2.6、乡镇（办）、行政村（社区）分控平台建设</w:t>
      </w:r>
      <w:bookmarkEnd w:id="100"/>
    </w:p>
    <w:p>
      <w:pPr>
        <w:pStyle w:val="129"/>
        <w:spacing w:line="360" w:lineRule="auto"/>
        <w:ind w:firstLine="560"/>
        <w:rPr>
          <w:rFonts w:ascii="宋体" w:hAnsi="宋体"/>
          <w:kern w:val="0"/>
          <w:sz w:val="28"/>
          <w:szCs w:val="28"/>
          <w:lang w:val="en-US"/>
        </w:rPr>
      </w:pPr>
      <w:r>
        <w:rPr>
          <w:rFonts w:hint="eastAsia" w:ascii="宋体" w:hAnsi="宋体"/>
          <w:kern w:val="0"/>
          <w:sz w:val="28"/>
          <w:szCs w:val="28"/>
          <w:lang w:val="en-US"/>
        </w:rPr>
        <w:t>为便于乡镇和村级基层部门消息的发布，提升本系统的使用效率，本项目将建设8个镇（办）分控平台，实现对镇辖区内139个行政村（社区）前端和终端设备的调度和管理，建设139个行政村（社区）平台对所辖终端设备进行调度和管理，具备本地信号接入、辖区内应急广播资源控制和管理等主要功能。为提高系统在灾害事件发生时的可用性，县应急广播平台、镇分控平台和行政村前端均配置有满载工作时间2小时的UPS电源。</w:t>
      </w:r>
    </w:p>
    <w:p>
      <w:pPr>
        <w:pStyle w:val="4"/>
        <w:spacing w:line="360" w:lineRule="auto"/>
        <w:ind w:firstLine="562"/>
        <w:jc w:val="center"/>
        <w:rPr>
          <w:rFonts w:ascii="宋体" w:hAnsi="宋体" w:eastAsia="宋体"/>
          <w:b/>
          <w:bCs/>
          <w:sz w:val="28"/>
          <w:szCs w:val="28"/>
        </w:rPr>
      </w:pPr>
      <w:r>
        <w:rPr>
          <w:rFonts w:hint="eastAsia" w:ascii="宋体" w:hAnsi="宋体" w:eastAsia="宋体"/>
          <w:b/>
          <w:bCs/>
          <w:sz w:val="28"/>
          <w:szCs w:val="28"/>
        </w:rPr>
        <w:t>2.7、乡镇（办）、行政村（社区）及周边终端建设</w:t>
      </w:r>
    </w:p>
    <w:p>
      <w:pPr>
        <w:spacing w:line="360" w:lineRule="auto"/>
        <w:rPr>
          <w:rFonts w:ascii="宋体" w:hAnsi="宋体" w:eastAsia="宋体"/>
          <w:sz w:val="28"/>
          <w:szCs w:val="28"/>
          <w:lang w:val="zh-CN"/>
        </w:rPr>
      </w:pPr>
      <w:r>
        <w:rPr>
          <w:rFonts w:hint="eastAsia" w:ascii="宋体" w:hAnsi="宋体" w:eastAsia="宋体"/>
          <w:sz w:val="28"/>
          <w:szCs w:val="28"/>
          <w:lang w:val="zh-CN"/>
        </w:rPr>
        <w:t>1）乡镇（办）接收终端建设</w:t>
      </w:r>
    </w:p>
    <w:p>
      <w:pPr>
        <w:spacing w:line="360" w:lineRule="auto"/>
        <w:ind w:firstLine="420"/>
        <w:rPr>
          <w:rFonts w:ascii="宋体" w:hAnsi="宋体" w:eastAsia="宋体"/>
          <w:sz w:val="28"/>
          <w:szCs w:val="28"/>
          <w:lang w:val="zh-CN"/>
        </w:rPr>
      </w:pPr>
      <w:r>
        <w:rPr>
          <w:rFonts w:hint="eastAsia" w:ascii="宋体" w:hAnsi="宋体" w:eastAsia="宋体"/>
          <w:sz w:val="28"/>
          <w:szCs w:val="28"/>
          <w:lang w:val="zh-CN"/>
        </w:rPr>
        <w:t>在乡镇政府所在地安装多模音柱，每个乡镇（办）安装2台多模音柱。</w:t>
      </w:r>
    </w:p>
    <w:p>
      <w:pPr>
        <w:spacing w:line="360" w:lineRule="auto"/>
        <w:rPr>
          <w:rFonts w:ascii="宋体" w:hAnsi="宋体" w:eastAsia="宋体"/>
          <w:sz w:val="28"/>
          <w:szCs w:val="28"/>
          <w:lang w:val="zh-CN"/>
        </w:rPr>
      </w:pPr>
      <w:r>
        <w:rPr>
          <w:rFonts w:hint="eastAsia" w:ascii="宋体" w:hAnsi="宋体" w:eastAsia="宋体"/>
          <w:sz w:val="28"/>
          <w:szCs w:val="28"/>
          <w:lang w:val="zh-CN"/>
        </w:rPr>
        <w:t>2）行政村（社区）接收终端建设</w:t>
      </w:r>
    </w:p>
    <w:p>
      <w:pPr>
        <w:spacing w:line="360" w:lineRule="auto"/>
        <w:ind w:firstLine="420"/>
        <w:rPr>
          <w:rFonts w:ascii="宋体" w:hAnsi="宋体" w:eastAsia="宋体"/>
          <w:sz w:val="28"/>
          <w:szCs w:val="28"/>
          <w:lang w:val="zh-CN"/>
        </w:rPr>
      </w:pPr>
      <w:r>
        <w:rPr>
          <w:rFonts w:hint="eastAsia" w:ascii="宋体" w:hAnsi="宋体" w:eastAsia="宋体"/>
          <w:sz w:val="28"/>
          <w:szCs w:val="28"/>
          <w:lang w:val="zh-CN"/>
        </w:rPr>
        <w:t>在行政村（社区）及其周边安装部署5个广播点位，广播点位根据现场情况采用多模收扩机+2个高音喇叭或多模音柱的模式。</w:t>
      </w:r>
    </w:p>
    <w:p>
      <w:pPr>
        <w:spacing w:line="360" w:lineRule="auto"/>
        <w:ind w:firstLine="420"/>
        <w:rPr>
          <w:rFonts w:ascii="宋体" w:hAnsi="宋体" w:eastAsia="宋体"/>
          <w:sz w:val="28"/>
          <w:szCs w:val="28"/>
          <w:lang w:val="zh-CN"/>
        </w:rPr>
      </w:pPr>
      <w:r>
        <w:rPr>
          <w:rFonts w:hint="eastAsia" w:ascii="宋体" w:hAnsi="宋体" w:eastAsia="宋体"/>
          <w:sz w:val="28"/>
          <w:szCs w:val="28"/>
          <w:lang w:val="zh-CN"/>
        </w:rPr>
        <w:t>结合蓝田县地形地貌和现有应急广播系统，充分考虑系统使用简单便捷，最大程度降低系统建设成本。选择使用IP、4G、调频、DTMB、有线电视传输网的方式进行应急广播系统建设，根据终端设备所处点位的传输覆盖情况，具备条件的终端应实现IP（含4G、5G）/调频/地面数字电视等至少2种以上信号激活方式，且各应急广播点位应间隔大于500米，以提高应急广播覆盖范围。同时，接收终端均可根据现场实际情况调节音量大小，避免出现音量过大/过小造成的扰民/无法收听等影响。</w:t>
      </w:r>
    </w:p>
    <w:p>
      <w:pPr>
        <w:widowControl w:val="0"/>
        <w:topLinePunct/>
        <w:autoSpaceDE w:val="0"/>
        <w:autoSpaceDN w:val="0"/>
        <w:snapToGrid w:val="0"/>
        <w:spacing w:after="120" w:afterLines="50" w:line="360" w:lineRule="auto"/>
        <w:ind w:right="-53" w:rightChars="-22"/>
        <w:rPr>
          <w:b/>
        </w:rPr>
      </w:pPr>
      <w:r>
        <w:rPr>
          <w:rFonts w:hint="eastAsia"/>
          <w:b/>
        </w:rPr>
        <w:t>整体建设内容清单如下：</w:t>
      </w:r>
    </w:p>
    <w:tbl>
      <w:tblPr>
        <w:tblStyle w:val="40"/>
        <w:tblW w:w="89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6520"/>
        <w:gridCol w:w="14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Align w:val="center"/>
          </w:tcPr>
          <w:p>
            <w:pPr>
              <w:snapToGrid w:val="0"/>
              <w:spacing w:before="120" w:beforeLines="50" w:line="360" w:lineRule="auto"/>
              <w:jc w:val="center"/>
              <w:rPr>
                <w:rFonts w:cs="仿宋"/>
                <w:szCs w:val="28"/>
              </w:rPr>
            </w:pPr>
            <w:r>
              <w:rPr>
                <w:rFonts w:hint="eastAsia" w:cs="仿宋"/>
                <w:szCs w:val="28"/>
              </w:rPr>
              <w:t>县域</w:t>
            </w:r>
          </w:p>
        </w:tc>
        <w:tc>
          <w:tcPr>
            <w:tcW w:w="6520" w:type="dxa"/>
            <w:vAlign w:val="center"/>
          </w:tcPr>
          <w:p>
            <w:pPr>
              <w:snapToGrid w:val="0"/>
              <w:spacing w:before="120" w:beforeLines="50" w:line="360" w:lineRule="auto"/>
              <w:jc w:val="center"/>
              <w:rPr>
                <w:rFonts w:cs="仿宋"/>
                <w:szCs w:val="28"/>
              </w:rPr>
            </w:pPr>
            <w:r>
              <w:rPr>
                <w:rFonts w:hint="eastAsia" w:cs="仿宋"/>
                <w:szCs w:val="28"/>
              </w:rPr>
              <w:t>内容</w:t>
            </w:r>
          </w:p>
        </w:tc>
        <w:tc>
          <w:tcPr>
            <w:tcW w:w="1447" w:type="dxa"/>
            <w:vAlign w:val="center"/>
          </w:tcPr>
          <w:p>
            <w:pPr>
              <w:snapToGrid w:val="0"/>
              <w:spacing w:before="120" w:beforeLines="50" w:line="360" w:lineRule="auto"/>
              <w:jc w:val="center"/>
              <w:rPr>
                <w:rFonts w:cs="仿宋"/>
                <w:szCs w:val="28"/>
              </w:rPr>
            </w:pPr>
            <w:r>
              <w:rPr>
                <w:rFonts w:hint="eastAsia" w:cs="仿宋"/>
                <w:szCs w:val="28"/>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restart"/>
            <w:vAlign w:val="center"/>
          </w:tcPr>
          <w:p>
            <w:pPr>
              <w:snapToGrid w:val="0"/>
              <w:spacing w:before="120" w:beforeLines="50" w:line="360" w:lineRule="auto"/>
              <w:jc w:val="center"/>
              <w:rPr>
                <w:rFonts w:cs="仿宋"/>
                <w:szCs w:val="28"/>
              </w:rPr>
            </w:pPr>
            <w:r>
              <w:rPr>
                <w:rFonts w:hint="eastAsia" w:cs="仿宋"/>
                <w:szCs w:val="28"/>
              </w:rPr>
              <w:t>县城</w:t>
            </w:r>
          </w:p>
        </w:tc>
        <w:tc>
          <w:tcPr>
            <w:tcW w:w="6520" w:type="dxa"/>
            <w:vAlign w:val="center"/>
          </w:tcPr>
          <w:p>
            <w:pPr>
              <w:snapToGrid w:val="0"/>
              <w:spacing w:before="120" w:beforeLines="50" w:line="360" w:lineRule="auto"/>
              <w:jc w:val="center"/>
              <w:rPr>
                <w:rFonts w:cs="仿宋"/>
                <w:szCs w:val="28"/>
              </w:rPr>
            </w:pPr>
            <w:r>
              <w:rPr>
                <w:rFonts w:hint="eastAsia" w:cs="仿宋"/>
                <w:szCs w:val="28"/>
              </w:rPr>
              <w:t>县级应急广播平台</w:t>
            </w:r>
          </w:p>
        </w:tc>
        <w:tc>
          <w:tcPr>
            <w:tcW w:w="1447" w:type="dxa"/>
            <w:vAlign w:val="center"/>
          </w:tcPr>
          <w:p>
            <w:pPr>
              <w:snapToGrid w:val="0"/>
              <w:spacing w:before="120" w:beforeLines="50" w:line="360" w:lineRule="auto"/>
              <w:jc w:val="center"/>
              <w:rPr>
                <w:rFonts w:cs="仿宋"/>
                <w:szCs w:val="28"/>
              </w:rPr>
            </w:pPr>
            <w:r>
              <w:rPr>
                <w:rFonts w:hint="eastAsia" w:cs="仿宋"/>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continue"/>
            <w:vAlign w:val="center"/>
          </w:tcPr>
          <w:p>
            <w:pPr>
              <w:snapToGrid w:val="0"/>
              <w:spacing w:before="120" w:beforeLines="50" w:line="360" w:lineRule="auto"/>
              <w:jc w:val="center"/>
              <w:rPr>
                <w:rFonts w:cs="仿宋"/>
                <w:szCs w:val="28"/>
              </w:rPr>
            </w:pPr>
          </w:p>
        </w:tc>
        <w:tc>
          <w:tcPr>
            <w:tcW w:w="6520" w:type="dxa"/>
            <w:vAlign w:val="center"/>
          </w:tcPr>
          <w:p>
            <w:pPr>
              <w:snapToGrid w:val="0"/>
              <w:spacing w:before="120" w:beforeLines="50" w:line="360" w:lineRule="auto"/>
              <w:jc w:val="center"/>
              <w:rPr>
                <w:rFonts w:cs="仿宋"/>
                <w:szCs w:val="28"/>
              </w:rPr>
            </w:pPr>
            <w:r>
              <w:rPr>
                <w:rFonts w:hint="eastAsia" w:cs="仿宋"/>
                <w:szCs w:val="28"/>
              </w:rPr>
              <w:t>城区重点公共区域终端</w:t>
            </w:r>
          </w:p>
        </w:tc>
        <w:tc>
          <w:tcPr>
            <w:tcW w:w="1447" w:type="dxa"/>
            <w:vAlign w:val="center"/>
          </w:tcPr>
          <w:p>
            <w:pPr>
              <w:snapToGrid w:val="0"/>
              <w:spacing w:before="120" w:beforeLines="50" w:line="360" w:lineRule="auto"/>
              <w:jc w:val="center"/>
              <w:rPr>
                <w:rFonts w:cs="仿宋"/>
                <w:szCs w:val="28"/>
              </w:rPr>
            </w:pPr>
            <w:r>
              <w:rPr>
                <w:rFonts w:hint="eastAsia" w:cs="仿宋"/>
                <w:szCs w:val="28"/>
              </w:rPr>
              <w:t>2</w:t>
            </w:r>
            <w:r>
              <w:rPr>
                <w:rFonts w:cs="仿宋"/>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continue"/>
            <w:vAlign w:val="center"/>
          </w:tcPr>
          <w:p>
            <w:pPr>
              <w:snapToGrid w:val="0"/>
              <w:spacing w:before="120" w:beforeLines="50" w:line="360" w:lineRule="auto"/>
              <w:jc w:val="center"/>
              <w:rPr>
                <w:rFonts w:cs="仿宋"/>
                <w:szCs w:val="28"/>
              </w:rPr>
            </w:pPr>
          </w:p>
        </w:tc>
        <w:tc>
          <w:tcPr>
            <w:tcW w:w="6520" w:type="dxa"/>
            <w:vAlign w:val="center"/>
          </w:tcPr>
          <w:p>
            <w:pPr>
              <w:snapToGrid w:val="0"/>
              <w:spacing w:before="120" w:beforeLines="50" w:line="360" w:lineRule="auto"/>
              <w:jc w:val="center"/>
              <w:rPr>
                <w:rFonts w:cs="仿宋"/>
                <w:szCs w:val="28"/>
              </w:rPr>
            </w:pPr>
            <w:r>
              <w:rPr>
                <w:rFonts w:hint="eastAsia" w:cs="仿宋"/>
                <w:szCs w:val="28"/>
              </w:rPr>
              <w:t>应急信息发布前置系统</w:t>
            </w:r>
          </w:p>
        </w:tc>
        <w:tc>
          <w:tcPr>
            <w:tcW w:w="1447" w:type="dxa"/>
            <w:vAlign w:val="center"/>
          </w:tcPr>
          <w:p>
            <w:pPr>
              <w:snapToGrid w:val="0"/>
              <w:spacing w:before="120" w:beforeLines="50" w:line="360" w:lineRule="auto"/>
              <w:jc w:val="center"/>
              <w:rPr>
                <w:rFonts w:cs="仿宋"/>
                <w:szCs w:val="28"/>
              </w:rPr>
            </w:pPr>
            <w:r>
              <w:rPr>
                <w:rFonts w:hint="eastAsia" w:cs="仿宋"/>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continue"/>
            <w:vAlign w:val="center"/>
          </w:tcPr>
          <w:p>
            <w:pPr>
              <w:snapToGrid w:val="0"/>
              <w:spacing w:before="120" w:beforeLines="50" w:line="360" w:lineRule="auto"/>
              <w:jc w:val="center"/>
              <w:rPr>
                <w:rFonts w:cs="仿宋"/>
                <w:szCs w:val="28"/>
              </w:rPr>
            </w:pPr>
          </w:p>
        </w:tc>
        <w:tc>
          <w:tcPr>
            <w:tcW w:w="6520" w:type="dxa"/>
            <w:vAlign w:val="center"/>
          </w:tcPr>
          <w:p>
            <w:pPr>
              <w:snapToGrid w:val="0"/>
              <w:spacing w:before="120" w:beforeLines="50" w:line="360" w:lineRule="auto"/>
              <w:jc w:val="center"/>
              <w:rPr>
                <w:rFonts w:cs="仿宋"/>
                <w:szCs w:val="28"/>
              </w:rPr>
            </w:pPr>
            <w:r>
              <w:rPr>
                <w:rFonts w:hint="eastAsia" w:cs="仿宋"/>
                <w:szCs w:val="28"/>
              </w:rPr>
              <w:t>县级融媒体中心（广播电视台）应急广播对接系统</w:t>
            </w:r>
          </w:p>
        </w:tc>
        <w:tc>
          <w:tcPr>
            <w:tcW w:w="1447" w:type="dxa"/>
            <w:vAlign w:val="center"/>
          </w:tcPr>
          <w:p>
            <w:pPr>
              <w:snapToGrid w:val="0"/>
              <w:spacing w:before="120" w:beforeLines="50" w:line="360" w:lineRule="auto"/>
              <w:jc w:val="center"/>
              <w:rPr>
                <w:rFonts w:cs="仿宋"/>
                <w:szCs w:val="28"/>
              </w:rPr>
            </w:pPr>
            <w:r>
              <w:rPr>
                <w:rFonts w:hint="eastAsia" w:cs="仿宋"/>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continue"/>
            <w:vAlign w:val="center"/>
          </w:tcPr>
          <w:p>
            <w:pPr>
              <w:snapToGrid w:val="0"/>
              <w:spacing w:before="120" w:beforeLines="50" w:line="360" w:lineRule="auto"/>
              <w:jc w:val="center"/>
              <w:rPr>
                <w:rFonts w:cs="仿宋"/>
                <w:szCs w:val="28"/>
              </w:rPr>
            </w:pPr>
          </w:p>
        </w:tc>
        <w:tc>
          <w:tcPr>
            <w:tcW w:w="6520" w:type="dxa"/>
            <w:vAlign w:val="center"/>
          </w:tcPr>
          <w:p>
            <w:pPr>
              <w:snapToGrid w:val="0"/>
              <w:spacing w:before="120" w:beforeLines="50" w:line="360" w:lineRule="auto"/>
              <w:jc w:val="center"/>
              <w:rPr>
                <w:rFonts w:cs="仿宋"/>
                <w:szCs w:val="28"/>
              </w:rPr>
            </w:pPr>
            <w:r>
              <w:rPr>
                <w:rFonts w:hint="eastAsia" w:cs="仿宋"/>
                <w:szCs w:val="28"/>
              </w:rPr>
              <w:t>调频广播应急广播对接系统</w:t>
            </w:r>
          </w:p>
        </w:tc>
        <w:tc>
          <w:tcPr>
            <w:tcW w:w="1447" w:type="dxa"/>
            <w:vAlign w:val="center"/>
          </w:tcPr>
          <w:p>
            <w:pPr>
              <w:snapToGrid w:val="0"/>
              <w:spacing w:before="120" w:beforeLines="50" w:line="360" w:lineRule="auto"/>
              <w:jc w:val="center"/>
              <w:rPr>
                <w:rFonts w:cs="仿宋"/>
                <w:szCs w:val="28"/>
              </w:rPr>
            </w:pPr>
            <w:r>
              <w:rPr>
                <w:rFonts w:hint="eastAsia" w:cs="仿宋"/>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continue"/>
            <w:vAlign w:val="center"/>
          </w:tcPr>
          <w:p>
            <w:pPr>
              <w:snapToGrid w:val="0"/>
              <w:spacing w:before="120" w:beforeLines="50" w:line="360" w:lineRule="auto"/>
              <w:jc w:val="center"/>
              <w:rPr>
                <w:rFonts w:cs="仿宋"/>
                <w:szCs w:val="28"/>
              </w:rPr>
            </w:pPr>
          </w:p>
        </w:tc>
        <w:tc>
          <w:tcPr>
            <w:tcW w:w="6520" w:type="dxa"/>
            <w:vAlign w:val="center"/>
          </w:tcPr>
          <w:p>
            <w:pPr>
              <w:snapToGrid w:val="0"/>
              <w:spacing w:before="120" w:beforeLines="50" w:line="360" w:lineRule="auto"/>
              <w:jc w:val="center"/>
              <w:rPr>
                <w:rFonts w:cs="仿宋"/>
                <w:szCs w:val="28"/>
              </w:rPr>
            </w:pPr>
            <w:r>
              <w:rPr>
                <w:rFonts w:hint="eastAsia" w:cs="仿宋"/>
                <w:szCs w:val="28"/>
              </w:rPr>
              <w:t>地面数字电视应急广播对接系统</w:t>
            </w:r>
          </w:p>
        </w:tc>
        <w:tc>
          <w:tcPr>
            <w:tcW w:w="1447" w:type="dxa"/>
            <w:vAlign w:val="center"/>
          </w:tcPr>
          <w:p>
            <w:pPr>
              <w:snapToGrid w:val="0"/>
              <w:spacing w:before="120" w:beforeLines="50" w:line="360" w:lineRule="auto"/>
              <w:jc w:val="center"/>
              <w:rPr>
                <w:rFonts w:cs="仿宋"/>
                <w:szCs w:val="28"/>
              </w:rPr>
            </w:pPr>
            <w:r>
              <w:rPr>
                <w:rFonts w:hint="eastAsia" w:cs="仿宋"/>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continue"/>
            <w:vAlign w:val="center"/>
          </w:tcPr>
          <w:p>
            <w:pPr>
              <w:snapToGrid w:val="0"/>
              <w:spacing w:before="120" w:beforeLines="50" w:line="360" w:lineRule="auto"/>
              <w:jc w:val="center"/>
              <w:rPr>
                <w:rFonts w:cs="仿宋"/>
                <w:szCs w:val="28"/>
              </w:rPr>
            </w:pPr>
          </w:p>
        </w:tc>
        <w:tc>
          <w:tcPr>
            <w:tcW w:w="6520" w:type="dxa"/>
            <w:vAlign w:val="center"/>
          </w:tcPr>
          <w:p>
            <w:pPr>
              <w:snapToGrid w:val="0"/>
              <w:spacing w:before="120" w:beforeLines="50" w:line="360" w:lineRule="auto"/>
              <w:jc w:val="center"/>
              <w:rPr>
                <w:rFonts w:cs="仿宋"/>
                <w:szCs w:val="28"/>
              </w:rPr>
            </w:pPr>
            <w:r>
              <w:rPr>
                <w:rFonts w:hint="eastAsia" w:cs="仿宋"/>
                <w:szCs w:val="28"/>
              </w:rPr>
              <w:t>有线数字电视应急广播对接系统</w:t>
            </w:r>
          </w:p>
        </w:tc>
        <w:tc>
          <w:tcPr>
            <w:tcW w:w="1447" w:type="dxa"/>
            <w:vAlign w:val="center"/>
          </w:tcPr>
          <w:p>
            <w:pPr>
              <w:snapToGrid w:val="0"/>
              <w:spacing w:before="120" w:beforeLines="50" w:line="360" w:lineRule="auto"/>
              <w:jc w:val="center"/>
              <w:rPr>
                <w:rFonts w:cs="仿宋"/>
                <w:szCs w:val="28"/>
              </w:rPr>
            </w:pPr>
            <w:r>
              <w:rPr>
                <w:rFonts w:hint="eastAsia" w:cs="仿宋"/>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continue"/>
            <w:vAlign w:val="center"/>
          </w:tcPr>
          <w:p>
            <w:pPr>
              <w:snapToGrid w:val="0"/>
              <w:spacing w:before="120" w:beforeLines="50" w:line="360" w:lineRule="auto"/>
              <w:jc w:val="center"/>
              <w:rPr>
                <w:rFonts w:cs="仿宋"/>
                <w:szCs w:val="28"/>
              </w:rPr>
            </w:pPr>
          </w:p>
        </w:tc>
        <w:tc>
          <w:tcPr>
            <w:tcW w:w="6520" w:type="dxa"/>
            <w:vAlign w:val="center"/>
          </w:tcPr>
          <w:p>
            <w:pPr>
              <w:snapToGrid w:val="0"/>
              <w:spacing w:before="120" w:beforeLines="50" w:line="360" w:lineRule="auto"/>
              <w:jc w:val="center"/>
              <w:rPr>
                <w:rFonts w:cs="仿宋"/>
                <w:szCs w:val="28"/>
              </w:rPr>
            </w:pPr>
            <w:r>
              <w:rPr>
                <w:rFonts w:hint="eastAsia" w:cs="仿宋"/>
                <w:szCs w:val="28"/>
              </w:rPr>
              <w:t>机房环境监测系统</w:t>
            </w:r>
          </w:p>
        </w:tc>
        <w:tc>
          <w:tcPr>
            <w:tcW w:w="1447" w:type="dxa"/>
            <w:vAlign w:val="center"/>
          </w:tcPr>
          <w:p>
            <w:pPr>
              <w:snapToGrid w:val="0"/>
              <w:spacing w:before="120" w:beforeLines="50" w:line="360" w:lineRule="auto"/>
              <w:jc w:val="center"/>
              <w:rPr>
                <w:rFonts w:cs="仿宋"/>
                <w:szCs w:val="28"/>
              </w:rPr>
            </w:pPr>
            <w:r>
              <w:rPr>
                <w:rFonts w:hint="eastAsia" w:cs="仿宋"/>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restart"/>
            <w:vAlign w:val="center"/>
          </w:tcPr>
          <w:p>
            <w:pPr>
              <w:snapToGrid w:val="0"/>
              <w:spacing w:before="120" w:beforeLines="50" w:line="360" w:lineRule="auto"/>
              <w:jc w:val="center"/>
              <w:rPr>
                <w:rFonts w:cs="仿宋"/>
                <w:szCs w:val="28"/>
              </w:rPr>
            </w:pPr>
            <w:r>
              <w:rPr>
                <w:rFonts w:hint="eastAsia" w:cs="仿宋"/>
                <w:szCs w:val="28"/>
              </w:rPr>
              <w:t>镇级</w:t>
            </w:r>
          </w:p>
        </w:tc>
        <w:tc>
          <w:tcPr>
            <w:tcW w:w="6520" w:type="dxa"/>
            <w:vAlign w:val="center"/>
          </w:tcPr>
          <w:p>
            <w:pPr>
              <w:snapToGrid w:val="0"/>
              <w:spacing w:before="120" w:beforeLines="50" w:line="360" w:lineRule="auto"/>
              <w:jc w:val="center"/>
              <w:rPr>
                <w:rFonts w:cs="仿宋"/>
                <w:szCs w:val="28"/>
              </w:rPr>
            </w:pPr>
            <w:r>
              <w:rPr>
                <w:rFonts w:hint="eastAsia" w:cs="仿宋"/>
                <w:szCs w:val="28"/>
              </w:rPr>
              <w:t>乡镇分控平台</w:t>
            </w:r>
          </w:p>
        </w:tc>
        <w:tc>
          <w:tcPr>
            <w:tcW w:w="1447" w:type="dxa"/>
            <w:vAlign w:val="center"/>
          </w:tcPr>
          <w:p>
            <w:pPr>
              <w:snapToGrid w:val="0"/>
              <w:spacing w:before="120" w:beforeLines="50" w:line="360" w:lineRule="auto"/>
              <w:jc w:val="center"/>
              <w:rPr>
                <w:rFonts w:cs="仿宋"/>
                <w:szCs w:val="28"/>
              </w:rPr>
            </w:pPr>
            <w:r>
              <w:rPr>
                <w:rFonts w:cs="仿宋"/>
                <w:szCs w:val="28"/>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continue"/>
            <w:vAlign w:val="center"/>
          </w:tcPr>
          <w:p>
            <w:pPr>
              <w:snapToGrid w:val="0"/>
              <w:spacing w:before="120" w:beforeLines="50" w:line="360" w:lineRule="auto"/>
              <w:jc w:val="center"/>
              <w:rPr>
                <w:rFonts w:cs="仿宋"/>
                <w:szCs w:val="28"/>
              </w:rPr>
            </w:pPr>
          </w:p>
        </w:tc>
        <w:tc>
          <w:tcPr>
            <w:tcW w:w="6520" w:type="dxa"/>
            <w:vAlign w:val="center"/>
          </w:tcPr>
          <w:p>
            <w:pPr>
              <w:snapToGrid w:val="0"/>
              <w:spacing w:before="120" w:beforeLines="50" w:line="360" w:lineRule="auto"/>
              <w:jc w:val="center"/>
              <w:rPr>
                <w:rFonts w:cs="仿宋"/>
                <w:szCs w:val="28"/>
              </w:rPr>
            </w:pPr>
            <w:r>
              <w:rPr>
                <w:rFonts w:hint="eastAsia" w:cs="仿宋"/>
                <w:szCs w:val="28"/>
              </w:rPr>
              <w:t>乡镇终端点</w:t>
            </w:r>
          </w:p>
        </w:tc>
        <w:tc>
          <w:tcPr>
            <w:tcW w:w="1447" w:type="dxa"/>
            <w:vAlign w:val="center"/>
          </w:tcPr>
          <w:p>
            <w:pPr>
              <w:snapToGrid w:val="0"/>
              <w:spacing w:before="120" w:beforeLines="50" w:line="360" w:lineRule="auto"/>
              <w:jc w:val="center"/>
              <w:rPr>
                <w:rFonts w:cs="仿宋"/>
                <w:szCs w:val="28"/>
              </w:rPr>
            </w:pPr>
            <w:r>
              <w:rPr>
                <w:rFonts w:cs="仿宋"/>
                <w:szCs w:val="28"/>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restart"/>
            <w:vAlign w:val="center"/>
          </w:tcPr>
          <w:p>
            <w:pPr>
              <w:snapToGrid w:val="0"/>
              <w:spacing w:before="120" w:beforeLines="50" w:line="360" w:lineRule="auto"/>
              <w:jc w:val="center"/>
              <w:rPr>
                <w:rFonts w:cs="仿宋"/>
                <w:szCs w:val="28"/>
              </w:rPr>
            </w:pPr>
            <w:r>
              <w:rPr>
                <w:rFonts w:hint="eastAsia" w:cs="仿宋"/>
                <w:szCs w:val="28"/>
              </w:rPr>
              <w:t>村级</w:t>
            </w:r>
          </w:p>
        </w:tc>
        <w:tc>
          <w:tcPr>
            <w:tcW w:w="6520" w:type="dxa"/>
            <w:vAlign w:val="center"/>
          </w:tcPr>
          <w:p>
            <w:pPr>
              <w:snapToGrid w:val="0"/>
              <w:spacing w:before="120" w:beforeLines="50" w:line="360" w:lineRule="auto"/>
              <w:jc w:val="center"/>
              <w:rPr>
                <w:rFonts w:cs="仿宋"/>
                <w:szCs w:val="28"/>
              </w:rPr>
            </w:pPr>
            <w:r>
              <w:rPr>
                <w:rFonts w:hint="eastAsia" w:cs="仿宋"/>
                <w:szCs w:val="28"/>
              </w:rPr>
              <w:t>行政村（社区）平台</w:t>
            </w:r>
          </w:p>
        </w:tc>
        <w:tc>
          <w:tcPr>
            <w:tcW w:w="1447" w:type="dxa"/>
            <w:vAlign w:val="center"/>
          </w:tcPr>
          <w:p>
            <w:pPr>
              <w:snapToGrid w:val="0"/>
              <w:spacing w:before="120" w:beforeLines="50" w:line="360" w:lineRule="auto"/>
              <w:jc w:val="center"/>
              <w:rPr>
                <w:rFonts w:cs="仿宋"/>
                <w:szCs w:val="28"/>
              </w:rPr>
            </w:pPr>
            <w:r>
              <w:rPr>
                <w:rFonts w:cs="仿宋"/>
                <w:szCs w:val="28"/>
              </w:rPr>
              <w:t>139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continue"/>
            <w:vAlign w:val="center"/>
          </w:tcPr>
          <w:p>
            <w:pPr>
              <w:snapToGrid w:val="0"/>
              <w:spacing w:before="120" w:beforeLines="50" w:line="360" w:lineRule="auto"/>
              <w:jc w:val="center"/>
              <w:rPr>
                <w:rFonts w:cs="仿宋"/>
                <w:szCs w:val="28"/>
              </w:rPr>
            </w:pPr>
          </w:p>
        </w:tc>
        <w:tc>
          <w:tcPr>
            <w:tcW w:w="6520" w:type="dxa"/>
            <w:vAlign w:val="center"/>
          </w:tcPr>
          <w:p>
            <w:pPr>
              <w:snapToGrid w:val="0"/>
              <w:spacing w:before="120" w:beforeLines="50" w:line="360" w:lineRule="auto"/>
              <w:jc w:val="center"/>
              <w:rPr>
                <w:rFonts w:cs="仿宋"/>
                <w:szCs w:val="28"/>
              </w:rPr>
            </w:pPr>
            <w:r>
              <w:rPr>
                <w:rFonts w:hint="eastAsia" w:cs="仿宋"/>
                <w:szCs w:val="28"/>
              </w:rPr>
              <w:t>行政村（社区）终端点</w:t>
            </w:r>
          </w:p>
        </w:tc>
        <w:tc>
          <w:tcPr>
            <w:tcW w:w="1447" w:type="dxa"/>
            <w:vAlign w:val="center"/>
          </w:tcPr>
          <w:p>
            <w:pPr>
              <w:snapToGrid w:val="0"/>
              <w:spacing w:before="120" w:beforeLines="50" w:line="360" w:lineRule="auto"/>
              <w:jc w:val="center"/>
              <w:rPr>
                <w:rFonts w:cs="仿宋"/>
                <w:szCs w:val="28"/>
              </w:rPr>
            </w:pPr>
            <w:r>
              <w:rPr>
                <w:rFonts w:cs="仿宋"/>
                <w:szCs w:val="28"/>
              </w:rPr>
              <w:t>695</w:t>
            </w:r>
          </w:p>
        </w:tc>
      </w:tr>
    </w:tbl>
    <w:p>
      <w:pPr>
        <w:pStyle w:val="127"/>
      </w:pPr>
    </w:p>
    <w:p>
      <w:r>
        <w:br w:type="page"/>
      </w:r>
    </w:p>
    <w:p>
      <w:pPr>
        <w:pStyle w:val="4"/>
        <w:spacing w:line="360" w:lineRule="auto"/>
        <w:ind w:firstLine="0" w:firstLineChars="0"/>
        <w:rPr>
          <w:rFonts w:ascii="宋体" w:hAnsi="宋体" w:eastAsia="宋体"/>
          <w:b/>
          <w:bCs/>
          <w:kern w:val="32"/>
          <w:sz w:val="28"/>
          <w:szCs w:val="28"/>
        </w:rPr>
      </w:pPr>
      <w:bookmarkStart w:id="101" w:name="_Toc117014021"/>
      <w:r>
        <w:rPr>
          <w:rFonts w:hint="eastAsia" w:ascii="宋体" w:hAnsi="宋体" w:eastAsia="宋体"/>
          <w:b/>
          <w:bCs/>
          <w:kern w:val="32"/>
          <w:sz w:val="28"/>
          <w:szCs w:val="28"/>
        </w:rPr>
        <w:t>三、设备点位</w:t>
      </w:r>
      <w:bookmarkEnd w:id="101"/>
    </w:p>
    <w:p>
      <w:pPr>
        <w:pStyle w:val="19"/>
        <w:spacing w:line="360" w:lineRule="auto"/>
        <w:ind w:left="480" w:firstLine="482"/>
        <w:jc w:val="center"/>
        <w:rPr>
          <w:b/>
          <w:sz w:val="28"/>
          <w:szCs w:val="28"/>
        </w:rPr>
      </w:pPr>
      <w:bookmarkStart w:id="102" w:name="_Toc25471"/>
      <w:bookmarkStart w:id="103" w:name="_Toc50"/>
      <w:r>
        <w:rPr>
          <w:rFonts w:hint="eastAsia"/>
          <w:b/>
          <w:sz w:val="28"/>
          <w:szCs w:val="28"/>
        </w:rPr>
        <w:t>蓝田县县级应急广播终端点位汇总表</w:t>
      </w:r>
    </w:p>
    <w:bookmarkEnd w:id="102"/>
    <w:bookmarkEnd w:id="103"/>
    <w:p>
      <w:pPr>
        <w:pStyle w:val="19"/>
        <w:spacing w:line="360" w:lineRule="auto"/>
        <w:ind w:left="480"/>
        <w:rPr>
          <w:b/>
          <w:sz w:val="28"/>
          <w:szCs w:val="28"/>
        </w:rPr>
      </w:pPr>
      <w:r>
        <w:rPr>
          <w:rFonts w:hint="eastAsia"/>
          <w:b/>
          <w:sz w:val="28"/>
          <w:szCs w:val="28"/>
        </w:rPr>
        <w:t>注：具体安装点位数量可根据实际情况调整。</w:t>
      </w:r>
    </w:p>
    <w:tbl>
      <w:tblPr>
        <w:tblStyle w:val="39"/>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480"/>
        <w:gridCol w:w="3434"/>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shd w:val="clear" w:color="auto" w:fill="auto"/>
            <w:noWrap/>
            <w:vAlign w:val="bottom"/>
          </w:tcPr>
          <w:p>
            <w:pPr>
              <w:jc w:val="center"/>
              <w:rPr>
                <w:color w:val="000000"/>
              </w:rPr>
            </w:pPr>
            <w:r>
              <w:rPr>
                <w:rFonts w:hint="eastAsia"/>
                <w:color w:val="000000"/>
              </w:rPr>
              <w:t>区域</w:t>
            </w:r>
          </w:p>
        </w:tc>
        <w:tc>
          <w:tcPr>
            <w:tcW w:w="1480" w:type="dxa"/>
            <w:shd w:val="clear" w:color="auto" w:fill="auto"/>
            <w:noWrap/>
            <w:vAlign w:val="bottom"/>
          </w:tcPr>
          <w:p>
            <w:pPr>
              <w:jc w:val="center"/>
              <w:rPr>
                <w:color w:val="000000"/>
              </w:rPr>
            </w:pPr>
            <w:r>
              <w:rPr>
                <w:rFonts w:hint="eastAsia"/>
                <w:color w:val="000000"/>
              </w:rPr>
              <w:t>镇</w:t>
            </w:r>
          </w:p>
        </w:tc>
        <w:tc>
          <w:tcPr>
            <w:tcW w:w="3434" w:type="dxa"/>
            <w:shd w:val="clear" w:color="auto" w:fill="auto"/>
            <w:noWrap/>
            <w:vAlign w:val="bottom"/>
          </w:tcPr>
          <w:p>
            <w:pPr>
              <w:jc w:val="center"/>
              <w:rPr>
                <w:color w:val="000000"/>
              </w:rPr>
            </w:pPr>
            <w:r>
              <w:rPr>
                <w:rFonts w:hint="eastAsia"/>
                <w:color w:val="000000"/>
              </w:rPr>
              <w:t>村</w:t>
            </w:r>
          </w:p>
        </w:tc>
        <w:tc>
          <w:tcPr>
            <w:tcW w:w="3118" w:type="dxa"/>
            <w:shd w:val="clear" w:color="auto" w:fill="auto"/>
            <w:vAlign w:val="center"/>
          </w:tcPr>
          <w:p>
            <w:pPr>
              <w:jc w:val="center"/>
              <w:rPr>
                <w:color w:val="000000"/>
              </w:rPr>
            </w:pPr>
            <w:r>
              <w:rPr>
                <w:rFonts w:hint="eastAsia"/>
                <w:color w:val="000000"/>
              </w:rPr>
              <w:t>安装点位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restart"/>
            <w:shd w:val="clear" w:color="auto" w:fill="auto"/>
            <w:noWrap/>
            <w:vAlign w:val="center"/>
          </w:tcPr>
          <w:p>
            <w:pPr>
              <w:jc w:val="center"/>
              <w:rPr>
                <w:color w:val="000000"/>
              </w:rPr>
            </w:pPr>
            <w:r>
              <w:rPr>
                <w:rFonts w:hint="eastAsia"/>
                <w:color w:val="000000"/>
              </w:rPr>
              <w:t>蓝田县</w:t>
            </w:r>
          </w:p>
        </w:tc>
        <w:tc>
          <w:tcPr>
            <w:tcW w:w="1480" w:type="dxa"/>
            <w:vMerge w:val="restart"/>
            <w:shd w:val="clear" w:color="auto" w:fill="auto"/>
            <w:noWrap/>
            <w:vAlign w:val="center"/>
          </w:tcPr>
          <w:p>
            <w:pPr>
              <w:jc w:val="center"/>
              <w:rPr>
                <w:color w:val="000000"/>
              </w:rPr>
            </w:pPr>
            <w:r>
              <w:rPr>
                <w:rFonts w:hint="eastAsia"/>
                <w:color w:val="000000"/>
              </w:rPr>
              <w:t>洩湖镇</w:t>
            </w:r>
          </w:p>
        </w:tc>
        <w:tc>
          <w:tcPr>
            <w:tcW w:w="3434" w:type="dxa"/>
            <w:shd w:val="clear" w:color="auto" w:fill="auto"/>
            <w:vAlign w:val="center"/>
          </w:tcPr>
          <w:p>
            <w:pPr>
              <w:jc w:val="center"/>
              <w:rPr>
                <w:color w:val="000000"/>
              </w:rPr>
            </w:pPr>
            <w:r>
              <w:rPr>
                <w:rFonts w:hint="eastAsia"/>
                <w:color w:val="000000"/>
              </w:rPr>
              <w:t>洩湖村委会</w:t>
            </w:r>
          </w:p>
        </w:tc>
        <w:tc>
          <w:tcPr>
            <w:tcW w:w="3118" w:type="dxa"/>
            <w:vMerge w:val="restart"/>
            <w:shd w:val="clear" w:color="auto" w:fill="auto"/>
            <w:vAlign w:val="center"/>
          </w:tcPr>
          <w:p>
            <w:pPr>
              <w:jc w:val="center"/>
              <w:rPr>
                <w:color w:val="000000"/>
              </w:rPr>
            </w:pPr>
            <w:r>
              <w:rPr>
                <w:rFonts w:hint="eastAsia"/>
                <w:color w:val="000000"/>
              </w:rPr>
              <w:t>每个行政村部署5个广播点位，其中3个广播点位分别部署1台收扩机+2只高音喇叭，2个广播点位分别部署1台多模音柱。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十里铺村委会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薛家河村委会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兀家岩村委会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沙河村委会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潘桃村委会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漫道村委会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麻坡村委会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唐沟村委会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杜家坪村委会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前李坪村委会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后李坪村委会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马王村委会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冯家村委会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徐粱坡村委会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铧嘴坪村委会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簸箕掌村委会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骞家湾村委会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黑沟村委会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牛家口村委会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陈家沟村委会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西余家沟村委会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大兴村委会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唐付村委会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restart"/>
            <w:shd w:val="clear" w:color="auto" w:fill="auto"/>
            <w:noWrap/>
            <w:vAlign w:val="center"/>
          </w:tcPr>
          <w:p>
            <w:pPr>
              <w:jc w:val="center"/>
              <w:rPr>
                <w:color w:val="000000"/>
              </w:rPr>
            </w:pPr>
            <w:r>
              <w:rPr>
                <w:rFonts w:hint="eastAsia"/>
                <w:color w:val="000000"/>
              </w:rPr>
              <w:t>小寨镇</w:t>
            </w:r>
          </w:p>
        </w:tc>
        <w:tc>
          <w:tcPr>
            <w:tcW w:w="3434" w:type="dxa"/>
            <w:shd w:val="clear" w:color="auto" w:fill="auto"/>
            <w:vAlign w:val="center"/>
          </w:tcPr>
          <w:p>
            <w:pPr>
              <w:jc w:val="center"/>
              <w:rPr>
                <w:color w:val="000000"/>
              </w:rPr>
            </w:pPr>
            <w:r>
              <w:rPr>
                <w:rFonts w:hint="eastAsia"/>
                <w:color w:val="000000"/>
              </w:rPr>
              <w:t>小寨村委会</w:t>
            </w:r>
          </w:p>
        </w:tc>
        <w:tc>
          <w:tcPr>
            <w:tcW w:w="3118" w:type="dxa"/>
            <w:vMerge w:val="restart"/>
            <w:shd w:val="clear" w:color="auto" w:fill="auto"/>
            <w:vAlign w:val="center"/>
          </w:tcPr>
          <w:p>
            <w:pPr>
              <w:jc w:val="center"/>
              <w:rPr>
                <w:color w:val="000000"/>
              </w:rPr>
            </w:pPr>
            <w:r>
              <w:rPr>
                <w:rFonts w:hint="eastAsia"/>
                <w:color w:val="000000"/>
              </w:rPr>
              <w:t>每个行政村部署5个广播点位，其中3个广播点位分别部署1台收扩机+2只高音喇叭，2个广播点位分别部署1台多模音柱。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西坡村委会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代桥村委会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牛心峪村委会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蔡岩村委会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关庙村委会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南寨村委会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余家沟村委会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十回场村委会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湖滩村委会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董岭村委会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岱峪村委会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restart"/>
            <w:shd w:val="clear" w:color="auto" w:fill="auto"/>
            <w:noWrap/>
            <w:vAlign w:val="center"/>
          </w:tcPr>
          <w:p>
            <w:pPr>
              <w:jc w:val="center"/>
              <w:rPr>
                <w:color w:val="000000"/>
              </w:rPr>
            </w:pPr>
            <w:r>
              <w:rPr>
                <w:rFonts w:hint="eastAsia"/>
                <w:color w:val="000000"/>
              </w:rPr>
              <w:t>华胥镇</w:t>
            </w:r>
          </w:p>
        </w:tc>
        <w:tc>
          <w:tcPr>
            <w:tcW w:w="3434" w:type="dxa"/>
            <w:shd w:val="clear" w:color="auto" w:fill="auto"/>
            <w:vAlign w:val="center"/>
          </w:tcPr>
          <w:p>
            <w:pPr>
              <w:jc w:val="center"/>
              <w:rPr>
                <w:color w:val="000000"/>
              </w:rPr>
            </w:pPr>
            <w:r>
              <w:rPr>
                <w:rFonts w:hint="eastAsia"/>
                <w:color w:val="000000"/>
              </w:rPr>
              <w:t>惠家斜村委会</w:t>
            </w:r>
          </w:p>
        </w:tc>
        <w:tc>
          <w:tcPr>
            <w:tcW w:w="3118" w:type="dxa"/>
            <w:vMerge w:val="restart"/>
            <w:shd w:val="clear" w:color="auto" w:fill="auto"/>
            <w:vAlign w:val="center"/>
          </w:tcPr>
          <w:p>
            <w:pPr>
              <w:jc w:val="center"/>
              <w:rPr>
                <w:color w:val="000000"/>
              </w:rPr>
            </w:pPr>
            <w:r>
              <w:rPr>
                <w:rFonts w:hint="eastAsia"/>
                <w:color w:val="000000"/>
              </w:rPr>
              <w:t>每个行政村部署5个广播点位，其中3个广播点位分别部署1台收扩机+2只高音喇叭，2个广播点位分别部署1台多模音柱。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张河湾村委会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宋家村委会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拾旗寨村委会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孟岩村委会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支家沟村委会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张家斜村委会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新街村委会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东邓村委会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上许村委会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旦村委会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上雷村委会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阿氏村委会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杨庄村委会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西张村委会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西元峪村委会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吉家湾村委会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羊茂山村委会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王坪村委会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姜湾村委会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restart"/>
            <w:shd w:val="clear" w:color="auto" w:fill="auto"/>
            <w:noWrap/>
            <w:vAlign w:val="center"/>
          </w:tcPr>
          <w:p>
            <w:pPr>
              <w:jc w:val="center"/>
              <w:rPr>
                <w:color w:val="000000"/>
              </w:rPr>
            </w:pPr>
            <w:r>
              <w:rPr>
                <w:rFonts w:hint="eastAsia"/>
                <w:color w:val="000000"/>
              </w:rPr>
              <w:t>前卫镇</w:t>
            </w:r>
          </w:p>
        </w:tc>
        <w:tc>
          <w:tcPr>
            <w:tcW w:w="3434" w:type="dxa"/>
            <w:shd w:val="clear" w:color="auto" w:fill="auto"/>
            <w:vAlign w:val="center"/>
          </w:tcPr>
          <w:p>
            <w:pPr>
              <w:jc w:val="center"/>
              <w:rPr>
                <w:color w:val="000000"/>
              </w:rPr>
            </w:pPr>
            <w:r>
              <w:rPr>
                <w:rFonts w:hint="eastAsia"/>
                <w:color w:val="000000"/>
              </w:rPr>
              <w:t>前卫村委会</w:t>
            </w:r>
          </w:p>
        </w:tc>
        <w:tc>
          <w:tcPr>
            <w:tcW w:w="3118" w:type="dxa"/>
            <w:vMerge w:val="restart"/>
            <w:shd w:val="clear" w:color="auto" w:fill="auto"/>
            <w:vAlign w:val="center"/>
          </w:tcPr>
          <w:p>
            <w:pPr>
              <w:jc w:val="center"/>
              <w:rPr>
                <w:color w:val="000000"/>
              </w:rPr>
            </w:pPr>
            <w:r>
              <w:rPr>
                <w:rFonts w:hint="eastAsia"/>
                <w:color w:val="000000"/>
              </w:rPr>
              <w:t>每个行政村部署5个广播点位，其中3个广播点位分别部署1台收扩机+2只高音喇叭，2个广播点位分别部署1台多模音柱。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香村委会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安岱村委会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滕寨村委会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刘村委会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布村委会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田湾村委会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王庄村委会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杜家沟村委会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大亮村委会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西巩村委会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东巩村委会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徐河村委会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龙寨村委会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吴村庙村委会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谢湾村委会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鹿走沟村委会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将军村委会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杨穆寨村委会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康庄村委会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徐塬村委会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友谊村委会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restart"/>
            <w:shd w:val="clear" w:color="auto" w:fill="auto"/>
            <w:noWrap/>
            <w:vAlign w:val="center"/>
          </w:tcPr>
          <w:p>
            <w:pPr>
              <w:jc w:val="center"/>
              <w:rPr>
                <w:color w:val="000000"/>
              </w:rPr>
            </w:pPr>
            <w:r>
              <w:rPr>
                <w:rFonts w:hint="eastAsia"/>
                <w:color w:val="000000"/>
              </w:rPr>
              <w:t>三官庙镇</w:t>
            </w:r>
          </w:p>
        </w:tc>
        <w:tc>
          <w:tcPr>
            <w:tcW w:w="3434" w:type="dxa"/>
            <w:shd w:val="clear" w:color="auto" w:fill="auto"/>
            <w:vAlign w:val="center"/>
          </w:tcPr>
          <w:p>
            <w:pPr>
              <w:jc w:val="center"/>
              <w:rPr>
                <w:color w:val="000000"/>
              </w:rPr>
            </w:pPr>
            <w:r>
              <w:rPr>
                <w:rFonts w:hint="eastAsia"/>
                <w:color w:val="000000"/>
              </w:rPr>
              <w:t>三官庙村委会</w:t>
            </w:r>
          </w:p>
        </w:tc>
        <w:tc>
          <w:tcPr>
            <w:tcW w:w="3118" w:type="dxa"/>
            <w:vMerge w:val="restart"/>
            <w:shd w:val="clear" w:color="auto" w:fill="auto"/>
            <w:vAlign w:val="center"/>
          </w:tcPr>
          <w:p>
            <w:pPr>
              <w:jc w:val="center"/>
              <w:rPr>
                <w:color w:val="000000"/>
              </w:rPr>
            </w:pPr>
            <w:r>
              <w:rPr>
                <w:rFonts w:hint="eastAsia"/>
                <w:color w:val="000000"/>
              </w:rPr>
              <w:t>每个行政村部署5个广播点位，其中3个广播点位分别部署1台收扩机+2只高音喇叭，2个广播点位分别部署1台多模音柱。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宋家坡村委会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面岭村委会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过风岭村委会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杨顶村委会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曹湾村委会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里峪湾村委会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新房街村委会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马前湾村委会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冯岭村委会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韩岭村委会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高坪村委会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金山村委会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龙门村委会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南湾岭村委会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北苍湾村委会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龙曲村委会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惜惶岭村委会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胡家窑村委会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restart"/>
            <w:shd w:val="clear" w:color="auto" w:fill="auto"/>
            <w:noWrap/>
            <w:vAlign w:val="center"/>
          </w:tcPr>
          <w:p>
            <w:pPr>
              <w:jc w:val="center"/>
              <w:rPr>
                <w:color w:val="000000"/>
              </w:rPr>
            </w:pPr>
            <w:r>
              <w:rPr>
                <w:rFonts w:hint="eastAsia"/>
                <w:color w:val="000000"/>
              </w:rPr>
              <w:t>汤峪镇</w:t>
            </w:r>
          </w:p>
        </w:tc>
        <w:tc>
          <w:tcPr>
            <w:tcW w:w="3434" w:type="dxa"/>
            <w:shd w:val="clear" w:color="auto" w:fill="auto"/>
            <w:vAlign w:val="center"/>
          </w:tcPr>
          <w:p>
            <w:pPr>
              <w:jc w:val="center"/>
              <w:rPr>
                <w:color w:val="000000"/>
              </w:rPr>
            </w:pPr>
            <w:r>
              <w:rPr>
                <w:rFonts w:hint="eastAsia"/>
                <w:color w:val="000000"/>
              </w:rPr>
              <w:t>塘子街村委会</w:t>
            </w:r>
          </w:p>
        </w:tc>
        <w:tc>
          <w:tcPr>
            <w:tcW w:w="3118" w:type="dxa"/>
            <w:vMerge w:val="restart"/>
            <w:shd w:val="clear" w:color="auto" w:fill="auto"/>
            <w:vAlign w:val="center"/>
          </w:tcPr>
          <w:p>
            <w:pPr>
              <w:jc w:val="center"/>
              <w:rPr>
                <w:color w:val="000000"/>
              </w:rPr>
            </w:pPr>
            <w:r>
              <w:rPr>
                <w:rFonts w:hint="eastAsia"/>
                <w:color w:val="000000"/>
              </w:rPr>
              <w:t>每个行政村部署5个广播点位，其中3个广播点位分别部署1台收扩机+2只高音喇叭，2个广播点位分别部署1台多模音柱。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石门村委会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联丰村委会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洪寨村委会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马塬村委会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薛庙村委会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张坡村委会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高堡村委会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尖角村委会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田家村委会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敬家村委会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龚家村委会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柿园子村委会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侯家村委会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小寺村委会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史家寨村委会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东山村委会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骆驼岭村委会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汤峪河村委会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河东村委会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峙峪村委会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汤石村</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聚庆村委会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肖家坡村委会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孙家坡村委会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姚林寨村委会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40" w:type="dxa"/>
            <w:vMerge w:val="continue"/>
            <w:vAlign w:val="center"/>
          </w:tcPr>
          <w:p>
            <w:pPr>
              <w:rPr>
                <w:color w:val="000000"/>
              </w:rPr>
            </w:pPr>
          </w:p>
        </w:tc>
        <w:tc>
          <w:tcPr>
            <w:tcW w:w="1480" w:type="dxa"/>
            <w:vMerge w:val="restart"/>
            <w:shd w:val="clear" w:color="auto" w:fill="auto"/>
            <w:noWrap/>
            <w:vAlign w:val="center"/>
          </w:tcPr>
          <w:p>
            <w:pPr>
              <w:jc w:val="center"/>
              <w:rPr>
                <w:color w:val="000000"/>
              </w:rPr>
            </w:pPr>
            <w:r>
              <w:rPr>
                <w:rFonts w:hint="eastAsia"/>
                <w:color w:val="000000"/>
              </w:rPr>
              <w:t>安村镇</w:t>
            </w:r>
          </w:p>
        </w:tc>
        <w:tc>
          <w:tcPr>
            <w:tcW w:w="3434" w:type="dxa"/>
            <w:shd w:val="clear" w:color="auto" w:fill="auto"/>
            <w:noWrap/>
            <w:vAlign w:val="center"/>
          </w:tcPr>
          <w:p>
            <w:pPr>
              <w:jc w:val="center"/>
              <w:rPr>
                <w:color w:val="000000"/>
              </w:rPr>
            </w:pPr>
            <w:r>
              <w:rPr>
                <w:rFonts w:hint="eastAsia"/>
                <w:color w:val="000000"/>
              </w:rPr>
              <w:t>巨东村委会</w:t>
            </w:r>
          </w:p>
        </w:tc>
        <w:tc>
          <w:tcPr>
            <w:tcW w:w="3118" w:type="dxa"/>
            <w:vMerge w:val="restart"/>
            <w:shd w:val="clear" w:color="auto" w:fill="auto"/>
            <w:vAlign w:val="center"/>
          </w:tcPr>
          <w:p>
            <w:pPr>
              <w:jc w:val="center"/>
              <w:rPr>
                <w:color w:val="000000"/>
              </w:rPr>
            </w:pPr>
            <w:r>
              <w:rPr>
                <w:rFonts w:hint="eastAsia"/>
                <w:color w:val="000000"/>
              </w:rPr>
              <w:t>每个行政村部署5个广播点位，其中3个广播点位分别部署1台收扩机+2只高音喇叭，2个广播点位分别部署1台多模音柱。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noWrap/>
            <w:vAlign w:val="center"/>
          </w:tcPr>
          <w:p>
            <w:pPr>
              <w:jc w:val="center"/>
              <w:rPr>
                <w:color w:val="000000"/>
              </w:rPr>
            </w:pPr>
            <w:r>
              <w:rPr>
                <w:rFonts w:hint="eastAsia"/>
                <w:color w:val="000000"/>
              </w:rPr>
              <w:t>安村委会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noWrap/>
            <w:vAlign w:val="center"/>
          </w:tcPr>
          <w:p>
            <w:pPr>
              <w:jc w:val="center"/>
              <w:rPr>
                <w:color w:val="000000"/>
              </w:rPr>
            </w:pPr>
            <w:r>
              <w:rPr>
                <w:rFonts w:hint="eastAsia"/>
                <w:color w:val="000000"/>
              </w:rPr>
              <w:t>吴庄村委会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noWrap/>
            <w:vAlign w:val="center"/>
          </w:tcPr>
          <w:p>
            <w:pPr>
              <w:jc w:val="center"/>
              <w:rPr>
                <w:color w:val="000000"/>
              </w:rPr>
            </w:pPr>
            <w:r>
              <w:rPr>
                <w:rFonts w:hint="eastAsia"/>
                <w:color w:val="000000"/>
              </w:rPr>
              <w:t>府庄村委会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noWrap/>
            <w:vAlign w:val="center"/>
          </w:tcPr>
          <w:p>
            <w:pPr>
              <w:jc w:val="center"/>
              <w:rPr>
                <w:color w:val="000000"/>
              </w:rPr>
            </w:pPr>
            <w:r>
              <w:rPr>
                <w:rFonts w:hint="eastAsia"/>
                <w:color w:val="000000"/>
              </w:rPr>
              <w:t>宋嘴村委会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noWrap/>
            <w:vAlign w:val="center"/>
          </w:tcPr>
          <w:p>
            <w:pPr>
              <w:jc w:val="center"/>
              <w:rPr>
                <w:color w:val="000000"/>
              </w:rPr>
            </w:pPr>
            <w:r>
              <w:rPr>
                <w:rFonts w:hint="eastAsia"/>
                <w:color w:val="000000"/>
              </w:rPr>
              <w:t>东代寨村委会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noWrap/>
            <w:vAlign w:val="center"/>
          </w:tcPr>
          <w:p>
            <w:pPr>
              <w:jc w:val="center"/>
              <w:rPr>
                <w:color w:val="000000"/>
              </w:rPr>
            </w:pPr>
            <w:r>
              <w:rPr>
                <w:rFonts w:hint="eastAsia"/>
                <w:color w:val="000000"/>
              </w:rPr>
              <w:t>腰道村委会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noWrap/>
            <w:vAlign w:val="center"/>
          </w:tcPr>
          <w:p>
            <w:pPr>
              <w:jc w:val="center"/>
              <w:rPr>
                <w:color w:val="000000"/>
              </w:rPr>
            </w:pPr>
            <w:r>
              <w:rPr>
                <w:rFonts w:hint="eastAsia"/>
                <w:color w:val="000000"/>
              </w:rPr>
              <w:t>韩寺村委会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noWrap/>
            <w:vAlign w:val="center"/>
          </w:tcPr>
          <w:p>
            <w:pPr>
              <w:jc w:val="center"/>
              <w:rPr>
                <w:color w:val="000000"/>
              </w:rPr>
            </w:pPr>
            <w:r>
              <w:rPr>
                <w:rFonts w:hint="eastAsia"/>
                <w:color w:val="000000"/>
              </w:rPr>
              <w:t>支尚村委会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noWrap/>
            <w:vAlign w:val="center"/>
          </w:tcPr>
          <w:p>
            <w:pPr>
              <w:jc w:val="center"/>
              <w:rPr>
                <w:color w:val="000000"/>
              </w:rPr>
            </w:pPr>
            <w:r>
              <w:rPr>
                <w:rFonts w:hint="eastAsia"/>
                <w:color w:val="000000"/>
              </w:rPr>
              <w:t>府君寨村委会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noWrap/>
            <w:vAlign w:val="center"/>
          </w:tcPr>
          <w:p>
            <w:pPr>
              <w:jc w:val="center"/>
              <w:rPr>
                <w:color w:val="000000"/>
              </w:rPr>
            </w:pPr>
            <w:r>
              <w:rPr>
                <w:rFonts w:hint="eastAsia"/>
                <w:color w:val="000000"/>
              </w:rPr>
              <w:t>郭村委会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noWrap/>
            <w:vAlign w:val="center"/>
          </w:tcPr>
          <w:p>
            <w:pPr>
              <w:jc w:val="center"/>
              <w:rPr>
                <w:color w:val="000000"/>
              </w:rPr>
            </w:pPr>
            <w:r>
              <w:rPr>
                <w:rFonts w:hint="eastAsia"/>
                <w:color w:val="000000"/>
              </w:rPr>
              <w:t>田家坡村委会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noWrap/>
            <w:vAlign w:val="center"/>
          </w:tcPr>
          <w:p>
            <w:pPr>
              <w:jc w:val="center"/>
              <w:rPr>
                <w:color w:val="000000"/>
              </w:rPr>
            </w:pPr>
            <w:r>
              <w:rPr>
                <w:rFonts w:hint="eastAsia"/>
                <w:color w:val="000000"/>
              </w:rPr>
              <w:t>寇坡村委会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noWrap/>
            <w:vAlign w:val="center"/>
          </w:tcPr>
          <w:p>
            <w:pPr>
              <w:jc w:val="center"/>
              <w:rPr>
                <w:color w:val="000000"/>
              </w:rPr>
            </w:pPr>
            <w:r>
              <w:rPr>
                <w:rFonts w:hint="eastAsia"/>
                <w:color w:val="000000"/>
              </w:rPr>
              <w:t>上白村委会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noWrap/>
            <w:vAlign w:val="center"/>
          </w:tcPr>
          <w:p>
            <w:pPr>
              <w:jc w:val="center"/>
              <w:rPr>
                <w:color w:val="000000"/>
              </w:rPr>
            </w:pPr>
            <w:r>
              <w:rPr>
                <w:rFonts w:hint="eastAsia"/>
                <w:color w:val="000000"/>
              </w:rPr>
              <w:t>下白村委会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040" w:type="dxa"/>
            <w:vMerge w:val="continue"/>
            <w:vAlign w:val="center"/>
          </w:tcPr>
          <w:p>
            <w:pPr>
              <w:rPr>
                <w:color w:val="000000"/>
              </w:rPr>
            </w:pPr>
          </w:p>
        </w:tc>
        <w:tc>
          <w:tcPr>
            <w:tcW w:w="1480" w:type="dxa"/>
            <w:vMerge w:val="continue"/>
            <w:vAlign w:val="center"/>
          </w:tcPr>
          <w:p>
            <w:pPr>
              <w:rPr>
                <w:color w:val="000000"/>
              </w:rPr>
            </w:pPr>
          </w:p>
        </w:tc>
        <w:tc>
          <w:tcPr>
            <w:tcW w:w="3434" w:type="dxa"/>
            <w:shd w:val="clear" w:color="auto" w:fill="auto"/>
            <w:vAlign w:val="center"/>
          </w:tcPr>
          <w:p>
            <w:pPr>
              <w:jc w:val="center"/>
              <w:rPr>
                <w:color w:val="000000"/>
              </w:rPr>
            </w:pPr>
            <w:r>
              <w:rPr>
                <w:rFonts w:hint="eastAsia"/>
                <w:color w:val="000000"/>
              </w:rPr>
              <w:t>巨西村委会</w:t>
            </w:r>
          </w:p>
        </w:tc>
        <w:tc>
          <w:tcPr>
            <w:tcW w:w="3118" w:type="dxa"/>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072" w:type="dxa"/>
            <w:gridSpan w:val="4"/>
            <w:shd w:val="clear" w:color="auto" w:fill="auto"/>
            <w:noWrap/>
            <w:vAlign w:val="bottom"/>
          </w:tcPr>
          <w:p>
            <w:pPr>
              <w:jc w:val="center"/>
              <w:rPr>
                <w:color w:val="000000"/>
              </w:rPr>
            </w:pPr>
            <w:r>
              <w:rPr>
                <w:rFonts w:hint="eastAsia"/>
                <w:color w:val="000000"/>
              </w:rPr>
              <w:t>城区重点区域共部署20台多模音柱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072" w:type="dxa"/>
            <w:gridSpan w:val="4"/>
            <w:shd w:val="clear" w:color="auto" w:fill="auto"/>
            <w:noWrap/>
            <w:vAlign w:val="bottom"/>
          </w:tcPr>
          <w:p>
            <w:pPr>
              <w:jc w:val="center"/>
              <w:rPr>
                <w:color w:val="000000"/>
              </w:rPr>
            </w:pPr>
            <w:r>
              <w:rPr>
                <w:rFonts w:hint="eastAsia"/>
                <w:color w:val="000000"/>
              </w:rPr>
              <w:t>每个乡镇平均部署2台多模音柱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072" w:type="dxa"/>
            <w:gridSpan w:val="4"/>
            <w:shd w:val="clear" w:color="auto" w:fill="auto"/>
            <w:noWrap/>
            <w:vAlign w:val="bottom"/>
          </w:tcPr>
          <w:p>
            <w:pPr>
              <w:jc w:val="center"/>
              <w:rPr>
                <w:color w:val="000000"/>
              </w:rPr>
            </w:pPr>
            <w:r>
              <w:rPr>
                <w:rFonts w:hint="eastAsia"/>
                <w:color w:val="000000"/>
              </w:rPr>
              <w:t>共计：417台多模收扩机、834只高音喇叭、314台多模音柱</w:t>
            </w:r>
          </w:p>
        </w:tc>
      </w:tr>
    </w:tbl>
    <w:p>
      <w:pPr>
        <w:pStyle w:val="19"/>
        <w:spacing w:line="360" w:lineRule="auto"/>
        <w:ind w:left="480"/>
        <w:rPr>
          <w:b/>
        </w:rPr>
      </w:pPr>
    </w:p>
    <w:p>
      <w:pPr>
        <w:rPr>
          <w:b/>
          <w:sz w:val="28"/>
          <w:szCs w:val="28"/>
        </w:rPr>
      </w:pPr>
    </w:p>
    <w:p>
      <w:pPr>
        <w:pStyle w:val="4"/>
        <w:spacing w:line="360" w:lineRule="auto"/>
        <w:ind w:firstLine="0" w:firstLineChars="0"/>
        <w:rPr>
          <w:rFonts w:ascii="宋体" w:hAnsi="宋体" w:eastAsia="宋体"/>
          <w:b/>
          <w:bCs/>
          <w:kern w:val="32"/>
          <w:sz w:val="28"/>
          <w:szCs w:val="28"/>
        </w:rPr>
      </w:pPr>
      <w:r>
        <w:rPr>
          <w:rFonts w:hint="eastAsia" w:ascii="宋体" w:hAnsi="宋体" w:eastAsia="宋体"/>
          <w:b/>
          <w:bCs/>
          <w:kern w:val="32"/>
          <w:sz w:val="28"/>
          <w:szCs w:val="28"/>
        </w:rPr>
        <w:t>四、采购内容</w:t>
      </w:r>
    </w:p>
    <w:tbl>
      <w:tblPr>
        <w:tblStyle w:val="39"/>
        <w:tblW w:w="91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940"/>
        <w:gridCol w:w="940"/>
        <w:gridCol w:w="880"/>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156" w:type="dxa"/>
            <w:gridSpan w:val="5"/>
            <w:shd w:val="clear" w:color="auto" w:fill="auto"/>
            <w:vAlign w:val="center"/>
          </w:tcPr>
          <w:p>
            <w:pPr>
              <w:jc w:val="center"/>
              <w:rPr>
                <w:b/>
                <w:bCs/>
                <w:szCs w:val="21"/>
              </w:rPr>
            </w:pPr>
            <w:r>
              <w:rPr>
                <w:rFonts w:hint="eastAsia"/>
                <w:b/>
                <w:bCs/>
                <w:szCs w:val="21"/>
              </w:rPr>
              <w:t>蓝田县应急广播建设项目设备预算清单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156" w:type="dxa"/>
            <w:gridSpan w:val="5"/>
            <w:shd w:val="clear" w:color="auto" w:fill="auto"/>
            <w:vAlign w:val="center"/>
          </w:tcPr>
          <w:p>
            <w:pPr>
              <w:jc w:val="center"/>
              <w:rPr>
                <w:b/>
                <w:bCs/>
                <w:szCs w:val="21"/>
              </w:rPr>
            </w:pPr>
            <w:r>
              <w:rPr>
                <w:rFonts w:hint="eastAsia"/>
                <w:b/>
                <w:bCs/>
                <w:szCs w:val="21"/>
              </w:rPr>
              <w:t>1、县级应急广播平台设备清单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序号</w:t>
            </w:r>
          </w:p>
        </w:tc>
        <w:tc>
          <w:tcPr>
            <w:tcW w:w="3940" w:type="dxa"/>
            <w:shd w:val="clear" w:color="auto" w:fill="auto"/>
            <w:vAlign w:val="center"/>
          </w:tcPr>
          <w:p>
            <w:pPr>
              <w:jc w:val="center"/>
              <w:rPr>
                <w:szCs w:val="21"/>
              </w:rPr>
            </w:pPr>
            <w:r>
              <w:rPr>
                <w:rFonts w:hint="eastAsia"/>
                <w:szCs w:val="21"/>
              </w:rPr>
              <w:t>项目设备名称</w:t>
            </w:r>
          </w:p>
        </w:tc>
        <w:tc>
          <w:tcPr>
            <w:tcW w:w="940" w:type="dxa"/>
            <w:shd w:val="clear" w:color="auto" w:fill="auto"/>
            <w:vAlign w:val="center"/>
          </w:tcPr>
          <w:p>
            <w:pPr>
              <w:jc w:val="center"/>
              <w:rPr>
                <w:szCs w:val="21"/>
              </w:rPr>
            </w:pPr>
            <w:r>
              <w:rPr>
                <w:rFonts w:hint="eastAsia"/>
                <w:szCs w:val="21"/>
              </w:rPr>
              <w:t>单位</w:t>
            </w:r>
          </w:p>
        </w:tc>
        <w:tc>
          <w:tcPr>
            <w:tcW w:w="880" w:type="dxa"/>
            <w:shd w:val="clear" w:color="auto" w:fill="auto"/>
            <w:vAlign w:val="center"/>
          </w:tcPr>
          <w:p>
            <w:pPr>
              <w:jc w:val="center"/>
              <w:rPr>
                <w:szCs w:val="21"/>
              </w:rPr>
            </w:pPr>
            <w:r>
              <w:rPr>
                <w:rFonts w:hint="eastAsia"/>
                <w:szCs w:val="21"/>
              </w:rPr>
              <w:t>数量</w:t>
            </w:r>
          </w:p>
        </w:tc>
        <w:tc>
          <w:tcPr>
            <w:tcW w:w="2120" w:type="dxa"/>
            <w:shd w:val="clear" w:color="auto" w:fill="auto"/>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1</w:t>
            </w:r>
          </w:p>
        </w:tc>
        <w:tc>
          <w:tcPr>
            <w:tcW w:w="3940" w:type="dxa"/>
            <w:shd w:val="clear" w:color="auto" w:fill="auto"/>
            <w:vAlign w:val="center"/>
          </w:tcPr>
          <w:p>
            <w:pPr>
              <w:jc w:val="center"/>
              <w:rPr>
                <w:color w:val="000000"/>
                <w:szCs w:val="21"/>
              </w:rPr>
            </w:pPr>
            <w:r>
              <w:rPr>
                <w:rFonts w:hint="eastAsia"/>
                <w:color w:val="000000"/>
                <w:szCs w:val="21"/>
              </w:rPr>
              <w:t>应急广播平台软件系统</w:t>
            </w:r>
          </w:p>
        </w:tc>
        <w:tc>
          <w:tcPr>
            <w:tcW w:w="940" w:type="dxa"/>
            <w:shd w:val="clear" w:color="auto" w:fill="auto"/>
            <w:vAlign w:val="center"/>
          </w:tcPr>
          <w:p>
            <w:pPr>
              <w:jc w:val="center"/>
              <w:rPr>
                <w:color w:val="000000"/>
                <w:szCs w:val="21"/>
              </w:rPr>
            </w:pPr>
            <w:r>
              <w:rPr>
                <w:rFonts w:hint="eastAsia"/>
                <w:color w:val="000000"/>
                <w:szCs w:val="21"/>
              </w:rPr>
              <w:t>套</w:t>
            </w:r>
          </w:p>
        </w:tc>
        <w:tc>
          <w:tcPr>
            <w:tcW w:w="880" w:type="dxa"/>
            <w:shd w:val="clear" w:color="auto" w:fill="auto"/>
            <w:vAlign w:val="center"/>
          </w:tcPr>
          <w:p>
            <w:pPr>
              <w:jc w:val="center"/>
              <w:rPr>
                <w:color w:val="000000"/>
                <w:szCs w:val="21"/>
              </w:rPr>
            </w:pPr>
            <w:r>
              <w:rPr>
                <w:rFonts w:hint="eastAsia"/>
                <w:color w:val="000000"/>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276" w:type="dxa"/>
            <w:shd w:val="clear" w:color="auto" w:fill="auto"/>
            <w:vAlign w:val="center"/>
          </w:tcPr>
          <w:p>
            <w:pPr>
              <w:jc w:val="center"/>
              <w:rPr>
                <w:szCs w:val="21"/>
              </w:rPr>
            </w:pPr>
            <w:r>
              <w:rPr>
                <w:rFonts w:hint="eastAsia"/>
                <w:szCs w:val="21"/>
              </w:rPr>
              <w:t>2</w:t>
            </w:r>
          </w:p>
        </w:tc>
        <w:tc>
          <w:tcPr>
            <w:tcW w:w="3940" w:type="dxa"/>
            <w:shd w:val="clear" w:color="auto" w:fill="auto"/>
            <w:vAlign w:val="center"/>
          </w:tcPr>
          <w:p>
            <w:pPr>
              <w:jc w:val="center"/>
              <w:rPr>
                <w:color w:val="000000"/>
                <w:szCs w:val="21"/>
              </w:rPr>
            </w:pPr>
            <w:r>
              <w:rPr>
                <w:rFonts w:hint="eastAsia"/>
                <w:color w:val="000000"/>
                <w:szCs w:val="21"/>
              </w:rPr>
              <w:t>应用服务器</w:t>
            </w:r>
          </w:p>
        </w:tc>
        <w:tc>
          <w:tcPr>
            <w:tcW w:w="940" w:type="dxa"/>
            <w:shd w:val="clear" w:color="auto" w:fill="auto"/>
            <w:vAlign w:val="center"/>
          </w:tcPr>
          <w:p>
            <w:pPr>
              <w:jc w:val="center"/>
              <w:rPr>
                <w:color w:val="000000"/>
                <w:szCs w:val="21"/>
              </w:rPr>
            </w:pPr>
            <w:r>
              <w:rPr>
                <w:rFonts w:hint="eastAsia"/>
                <w:color w:val="000000"/>
                <w:szCs w:val="21"/>
              </w:rPr>
              <w:t>台</w:t>
            </w:r>
          </w:p>
        </w:tc>
        <w:tc>
          <w:tcPr>
            <w:tcW w:w="880" w:type="dxa"/>
            <w:shd w:val="clear" w:color="auto" w:fill="auto"/>
            <w:vAlign w:val="center"/>
          </w:tcPr>
          <w:p>
            <w:pPr>
              <w:jc w:val="center"/>
              <w:rPr>
                <w:color w:val="000000"/>
                <w:szCs w:val="21"/>
              </w:rPr>
            </w:pPr>
            <w:r>
              <w:rPr>
                <w:rFonts w:hint="eastAsia"/>
                <w:color w:val="000000"/>
                <w:szCs w:val="21"/>
              </w:rPr>
              <w:t>2</w:t>
            </w:r>
          </w:p>
        </w:tc>
        <w:tc>
          <w:tcPr>
            <w:tcW w:w="2120" w:type="dxa"/>
            <w:shd w:val="clear" w:color="auto" w:fill="auto"/>
            <w:vAlign w:val="center"/>
          </w:tcPr>
          <w:p>
            <w:pPr>
              <w:jc w:val="center"/>
              <w:rPr>
                <w:szCs w:val="21"/>
              </w:rPr>
            </w:pPr>
            <w:r>
              <w:rPr>
                <w:rFonts w:hint="eastAsia"/>
                <w:szCs w:val="21"/>
              </w:rPr>
              <w:t>一主一备，运行县级应急广播系统软件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3</w:t>
            </w:r>
          </w:p>
        </w:tc>
        <w:tc>
          <w:tcPr>
            <w:tcW w:w="3940" w:type="dxa"/>
            <w:shd w:val="clear" w:color="auto" w:fill="auto"/>
            <w:vAlign w:val="center"/>
          </w:tcPr>
          <w:p>
            <w:pPr>
              <w:jc w:val="center"/>
              <w:rPr>
                <w:color w:val="000000"/>
                <w:szCs w:val="21"/>
              </w:rPr>
            </w:pPr>
            <w:r>
              <w:rPr>
                <w:rFonts w:hint="eastAsia"/>
                <w:color w:val="000000"/>
                <w:szCs w:val="21"/>
              </w:rPr>
              <w:t>数据服务器（含存储）</w:t>
            </w:r>
          </w:p>
        </w:tc>
        <w:tc>
          <w:tcPr>
            <w:tcW w:w="940" w:type="dxa"/>
            <w:shd w:val="clear" w:color="auto" w:fill="auto"/>
            <w:vAlign w:val="center"/>
          </w:tcPr>
          <w:p>
            <w:pPr>
              <w:jc w:val="center"/>
              <w:rPr>
                <w:color w:val="000000"/>
                <w:szCs w:val="21"/>
              </w:rPr>
            </w:pPr>
            <w:r>
              <w:rPr>
                <w:rFonts w:hint="eastAsia"/>
                <w:color w:val="000000"/>
                <w:szCs w:val="21"/>
              </w:rPr>
              <w:t>台</w:t>
            </w:r>
          </w:p>
        </w:tc>
        <w:tc>
          <w:tcPr>
            <w:tcW w:w="880" w:type="dxa"/>
            <w:shd w:val="clear" w:color="auto" w:fill="auto"/>
            <w:vAlign w:val="center"/>
          </w:tcPr>
          <w:p>
            <w:pPr>
              <w:jc w:val="center"/>
              <w:rPr>
                <w:color w:val="000000"/>
                <w:szCs w:val="21"/>
              </w:rPr>
            </w:pPr>
            <w:r>
              <w:rPr>
                <w:rFonts w:hint="eastAsia"/>
                <w:color w:val="000000"/>
                <w:szCs w:val="21"/>
              </w:rPr>
              <w:t>2</w:t>
            </w:r>
          </w:p>
        </w:tc>
        <w:tc>
          <w:tcPr>
            <w:tcW w:w="2120" w:type="dxa"/>
            <w:shd w:val="clear" w:color="auto" w:fill="auto"/>
            <w:vAlign w:val="center"/>
          </w:tcPr>
          <w:p>
            <w:pPr>
              <w:jc w:val="center"/>
              <w:rPr>
                <w:szCs w:val="21"/>
              </w:rPr>
            </w:pPr>
            <w:r>
              <w:rPr>
                <w:rFonts w:hint="eastAsia"/>
                <w:szCs w:val="21"/>
              </w:rPr>
              <w:t>一主一备，数据存储和管理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4</w:t>
            </w:r>
          </w:p>
        </w:tc>
        <w:tc>
          <w:tcPr>
            <w:tcW w:w="3940" w:type="dxa"/>
            <w:shd w:val="clear" w:color="auto" w:fill="auto"/>
            <w:vAlign w:val="center"/>
          </w:tcPr>
          <w:p>
            <w:pPr>
              <w:jc w:val="center"/>
              <w:rPr>
                <w:color w:val="000000"/>
                <w:szCs w:val="21"/>
              </w:rPr>
            </w:pPr>
            <w:r>
              <w:rPr>
                <w:rFonts w:hint="eastAsia"/>
                <w:color w:val="000000"/>
                <w:szCs w:val="21"/>
              </w:rPr>
              <w:t>PC 工作站</w:t>
            </w:r>
          </w:p>
        </w:tc>
        <w:tc>
          <w:tcPr>
            <w:tcW w:w="940" w:type="dxa"/>
            <w:shd w:val="clear" w:color="auto" w:fill="auto"/>
            <w:vAlign w:val="center"/>
          </w:tcPr>
          <w:p>
            <w:pPr>
              <w:jc w:val="center"/>
              <w:rPr>
                <w:color w:val="000000"/>
                <w:szCs w:val="21"/>
              </w:rPr>
            </w:pPr>
            <w:r>
              <w:rPr>
                <w:rFonts w:hint="eastAsia"/>
                <w:color w:val="000000"/>
                <w:szCs w:val="21"/>
              </w:rPr>
              <w:t>台</w:t>
            </w:r>
          </w:p>
        </w:tc>
        <w:tc>
          <w:tcPr>
            <w:tcW w:w="880" w:type="dxa"/>
            <w:shd w:val="clear" w:color="auto" w:fill="auto"/>
            <w:vAlign w:val="center"/>
          </w:tcPr>
          <w:p>
            <w:pPr>
              <w:jc w:val="center"/>
              <w:rPr>
                <w:color w:val="000000"/>
                <w:szCs w:val="21"/>
              </w:rPr>
            </w:pPr>
            <w:r>
              <w:rPr>
                <w:rFonts w:hint="eastAsia"/>
                <w:color w:val="000000"/>
                <w:szCs w:val="21"/>
              </w:rPr>
              <w:t>2</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5</w:t>
            </w:r>
          </w:p>
        </w:tc>
        <w:tc>
          <w:tcPr>
            <w:tcW w:w="3940" w:type="dxa"/>
            <w:shd w:val="clear" w:color="auto" w:fill="auto"/>
            <w:vAlign w:val="center"/>
          </w:tcPr>
          <w:p>
            <w:pPr>
              <w:jc w:val="center"/>
              <w:rPr>
                <w:color w:val="000000"/>
                <w:szCs w:val="21"/>
              </w:rPr>
            </w:pPr>
            <w:r>
              <w:rPr>
                <w:rFonts w:hint="eastAsia"/>
                <w:color w:val="000000"/>
                <w:szCs w:val="21"/>
              </w:rPr>
              <w:t>接入交换机</w:t>
            </w:r>
          </w:p>
        </w:tc>
        <w:tc>
          <w:tcPr>
            <w:tcW w:w="940" w:type="dxa"/>
            <w:shd w:val="clear" w:color="auto" w:fill="auto"/>
            <w:vAlign w:val="center"/>
          </w:tcPr>
          <w:p>
            <w:pPr>
              <w:jc w:val="center"/>
              <w:rPr>
                <w:color w:val="000000"/>
                <w:szCs w:val="21"/>
              </w:rPr>
            </w:pPr>
            <w:r>
              <w:rPr>
                <w:rFonts w:hint="eastAsia"/>
                <w:color w:val="000000"/>
                <w:szCs w:val="21"/>
              </w:rPr>
              <w:t>台</w:t>
            </w:r>
          </w:p>
        </w:tc>
        <w:tc>
          <w:tcPr>
            <w:tcW w:w="880" w:type="dxa"/>
            <w:shd w:val="clear" w:color="auto" w:fill="auto"/>
            <w:vAlign w:val="center"/>
          </w:tcPr>
          <w:p>
            <w:pPr>
              <w:jc w:val="center"/>
              <w:rPr>
                <w:color w:val="000000"/>
                <w:szCs w:val="21"/>
              </w:rPr>
            </w:pPr>
            <w:r>
              <w:rPr>
                <w:rFonts w:hint="eastAsia"/>
                <w:color w:val="000000"/>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6</w:t>
            </w:r>
          </w:p>
        </w:tc>
        <w:tc>
          <w:tcPr>
            <w:tcW w:w="3940" w:type="dxa"/>
            <w:shd w:val="clear" w:color="auto" w:fill="auto"/>
            <w:vAlign w:val="center"/>
          </w:tcPr>
          <w:p>
            <w:pPr>
              <w:jc w:val="center"/>
              <w:rPr>
                <w:color w:val="000000"/>
                <w:szCs w:val="21"/>
              </w:rPr>
            </w:pPr>
            <w:r>
              <w:rPr>
                <w:rFonts w:hint="eastAsia"/>
                <w:color w:val="000000"/>
                <w:szCs w:val="21"/>
              </w:rPr>
              <w:t>核心交换机</w:t>
            </w:r>
          </w:p>
        </w:tc>
        <w:tc>
          <w:tcPr>
            <w:tcW w:w="940" w:type="dxa"/>
            <w:shd w:val="clear" w:color="auto" w:fill="auto"/>
            <w:vAlign w:val="center"/>
          </w:tcPr>
          <w:p>
            <w:pPr>
              <w:jc w:val="center"/>
              <w:rPr>
                <w:color w:val="000000"/>
                <w:szCs w:val="21"/>
              </w:rPr>
            </w:pPr>
            <w:r>
              <w:rPr>
                <w:rFonts w:hint="eastAsia"/>
                <w:color w:val="000000"/>
                <w:szCs w:val="21"/>
              </w:rPr>
              <w:t>台</w:t>
            </w:r>
          </w:p>
        </w:tc>
        <w:tc>
          <w:tcPr>
            <w:tcW w:w="880" w:type="dxa"/>
            <w:shd w:val="clear" w:color="auto" w:fill="auto"/>
            <w:vAlign w:val="center"/>
          </w:tcPr>
          <w:p>
            <w:pPr>
              <w:jc w:val="center"/>
              <w:rPr>
                <w:color w:val="000000"/>
                <w:szCs w:val="21"/>
              </w:rPr>
            </w:pPr>
            <w:r>
              <w:rPr>
                <w:rFonts w:hint="eastAsia"/>
                <w:color w:val="000000"/>
                <w:szCs w:val="21"/>
              </w:rPr>
              <w:t>2</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7</w:t>
            </w:r>
          </w:p>
        </w:tc>
        <w:tc>
          <w:tcPr>
            <w:tcW w:w="3940" w:type="dxa"/>
            <w:shd w:val="clear" w:color="auto" w:fill="auto"/>
            <w:vAlign w:val="center"/>
          </w:tcPr>
          <w:p>
            <w:pPr>
              <w:jc w:val="center"/>
              <w:rPr>
                <w:color w:val="000000"/>
                <w:szCs w:val="21"/>
              </w:rPr>
            </w:pPr>
            <w:r>
              <w:rPr>
                <w:rFonts w:hint="eastAsia"/>
                <w:color w:val="000000"/>
                <w:szCs w:val="21"/>
              </w:rPr>
              <w:t>监听音箱</w:t>
            </w:r>
          </w:p>
        </w:tc>
        <w:tc>
          <w:tcPr>
            <w:tcW w:w="940" w:type="dxa"/>
            <w:shd w:val="clear" w:color="auto" w:fill="auto"/>
            <w:vAlign w:val="center"/>
          </w:tcPr>
          <w:p>
            <w:pPr>
              <w:jc w:val="center"/>
              <w:rPr>
                <w:color w:val="000000"/>
                <w:szCs w:val="21"/>
              </w:rPr>
            </w:pPr>
            <w:r>
              <w:rPr>
                <w:rFonts w:hint="eastAsia"/>
                <w:color w:val="000000"/>
                <w:szCs w:val="21"/>
              </w:rPr>
              <w:t>台</w:t>
            </w:r>
          </w:p>
        </w:tc>
        <w:tc>
          <w:tcPr>
            <w:tcW w:w="880" w:type="dxa"/>
            <w:shd w:val="clear" w:color="auto" w:fill="auto"/>
            <w:vAlign w:val="center"/>
          </w:tcPr>
          <w:p>
            <w:pPr>
              <w:jc w:val="center"/>
              <w:rPr>
                <w:color w:val="000000"/>
                <w:szCs w:val="21"/>
              </w:rPr>
            </w:pPr>
            <w:r>
              <w:rPr>
                <w:rFonts w:hint="eastAsia"/>
                <w:color w:val="000000"/>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8</w:t>
            </w:r>
          </w:p>
        </w:tc>
        <w:tc>
          <w:tcPr>
            <w:tcW w:w="3940" w:type="dxa"/>
            <w:shd w:val="clear" w:color="auto" w:fill="auto"/>
            <w:vAlign w:val="center"/>
          </w:tcPr>
          <w:p>
            <w:pPr>
              <w:jc w:val="center"/>
              <w:rPr>
                <w:color w:val="000000"/>
                <w:szCs w:val="21"/>
              </w:rPr>
            </w:pPr>
            <w:r>
              <w:rPr>
                <w:rFonts w:hint="eastAsia"/>
                <w:color w:val="000000"/>
                <w:szCs w:val="21"/>
              </w:rPr>
              <w:t>话筒</w:t>
            </w:r>
          </w:p>
        </w:tc>
        <w:tc>
          <w:tcPr>
            <w:tcW w:w="940" w:type="dxa"/>
            <w:shd w:val="clear" w:color="auto" w:fill="auto"/>
            <w:vAlign w:val="center"/>
          </w:tcPr>
          <w:p>
            <w:pPr>
              <w:jc w:val="center"/>
              <w:rPr>
                <w:color w:val="000000"/>
                <w:szCs w:val="21"/>
              </w:rPr>
            </w:pPr>
            <w:r>
              <w:rPr>
                <w:rFonts w:hint="eastAsia"/>
                <w:color w:val="000000"/>
                <w:szCs w:val="21"/>
              </w:rPr>
              <w:t>个</w:t>
            </w:r>
          </w:p>
        </w:tc>
        <w:tc>
          <w:tcPr>
            <w:tcW w:w="880" w:type="dxa"/>
            <w:shd w:val="clear" w:color="auto" w:fill="auto"/>
            <w:vAlign w:val="center"/>
          </w:tcPr>
          <w:p>
            <w:pPr>
              <w:jc w:val="center"/>
              <w:rPr>
                <w:color w:val="000000"/>
                <w:szCs w:val="21"/>
              </w:rPr>
            </w:pPr>
            <w:r>
              <w:rPr>
                <w:rFonts w:hint="eastAsia"/>
                <w:color w:val="000000"/>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9</w:t>
            </w:r>
          </w:p>
        </w:tc>
        <w:tc>
          <w:tcPr>
            <w:tcW w:w="3940" w:type="dxa"/>
            <w:shd w:val="clear" w:color="auto" w:fill="auto"/>
            <w:vAlign w:val="center"/>
          </w:tcPr>
          <w:p>
            <w:pPr>
              <w:jc w:val="center"/>
              <w:rPr>
                <w:color w:val="000000"/>
                <w:szCs w:val="21"/>
              </w:rPr>
            </w:pPr>
            <w:r>
              <w:rPr>
                <w:rFonts w:hint="eastAsia"/>
                <w:color w:val="000000"/>
                <w:szCs w:val="21"/>
              </w:rPr>
              <w:t>调音台</w:t>
            </w:r>
          </w:p>
        </w:tc>
        <w:tc>
          <w:tcPr>
            <w:tcW w:w="940" w:type="dxa"/>
            <w:shd w:val="clear" w:color="auto" w:fill="auto"/>
            <w:vAlign w:val="center"/>
          </w:tcPr>
          <w:p>
            <w:pPr>
              <w:jc w:val="center"/>
              <w:rPr>
                <w:color w:val="000000"/>
                <w:szCs w:val="21"/>
              </w:rPr>
            </w:pPr>
            <w:r>
              <w:rPr>
                <w:rFonts w:hint="eastAsia"/>
                <w:color w:val="000000"/>
                <w:szCs w:val="21"/>
              </w:rPr>
              <w:t>台</w:t>
            </w:r>
          </w:p>
        </w:tc>
        <w:tc>
          <w:tcPr>
            <w:tcW w:w="880" w:type="dxa"/>
            <w:shd w:val="clear" w:color="auto" w:fill="auto"/>
            <w:vAlign w:val="center"/>
          </w:tcPr>
          <w:p>
            <w:pPr>
              <w:jc w:val="center"/>
              <w:rPr>
                <w:color w:val="000000"/>
                <w:szCs w:val="21"/>
              </w:rPr>
            </w:pPr>
            <w:r>
              <w:rPr>
                <w:rFonts w:hint="eastAsia"/>
                <w:color w:val="000000"/>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10</w:t>
            </w:r>
          </w:p>
        </w:tc>
        <w:tc>
          <w:tcPr>
            <w:tcW w:w="3940" w:type="dxa"/>
            <w:shd w:val="clear" w:color="auto" w:fill="auto"/>
            <w:vAlign w:val="center"/>
          </w:tcPr>
          <w:p>
            <w:pPr>
              <w:jc w:val="center"/>
              <w:rPr>
                <w:color w:val="000000"/>
                <w:szCs w:val="21"/>
              </w:rPr>
            </w:pPr>
            <w:r>
              <w:rPr>
                <w:rFonts w:hint="eastAsia"/>
                <w:color w:val="000000"/>
                <w:szCs w:val="21"/>
              </w:rPr>
              <w:t>时钟服务器</w:t>
            </w:r>
          </w:p>
        </w:tc>
        <w:tc>
          <w:tcPr>
            <w:tcW w:w="940" w:type="dxa"/>
            <w:shd w:val="clear" w:color="auto" w:fill="auto"/>
            <w:vAlign w:val="center"/>
          </w:tcPr>
          <w:p>
            <w:pPr>
              <w:jc w:val="center"/>
              <w:rPr>
                <w:color w:val="000000"/>
                <w:szCs w:val="21"/>
              </w:rPr>
            </w:pPr>
            <w:r>
              <w:rPr>
                <w:rFonts w:hint="eastAsia"/>
                <w:color w:val="000000"/>
                <w:szCs w:val="21"/>
              </w:rPr>
              <w:t>台</w:t>
            </w:r>
          </w:p>
        </w:tc>
        <w:tc>
          <w:tcPr>
            <w:tcW w:w="880" w:type="dxa"/>
            <w:shd w:val="clear" w:color="auto" w:fill="auto"/>
            <w:vAlign w:val="center"/>
          </w:tcPr>
          <w:p>
            <w:pPr>
              <w:jc w:val="center"/>
              <w:rPr>
                <w:color w:val="000000"/>
                <w:szCs w:val="21"/>
              </w:rPr>
            </w:pPr>
            <w:r>
              <w:rPr>
                <w:rFonts w:hint="eastAsia"/>
                <w:color w:val="000000"/>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11</w:t>
            </w:r>
          </w:p>
        </w:tc>
        <w:tc>
          <w:tcPr>
            <w:tcW w:w="3940" w:type="dxa"/>
            <w:shd w:val="clear" w:color="auto" w:fill="auto"/>
            <w:vAlign w:val="center"/>
          </w:tcPr>
          <w:p>
            <w:pPr>
              <w:jc w:val="center"/>
              <w:rPr>
                <w:color w:val="000000"/>
                <w:szCs w:val="21"/>
              </w:rPr>
            </w:pPr>
            <w:r>
              <w:rPr>
                <w:rFonts w:hint="eastAsia"/>
                <w:color w:val="000000"/>
                <w:szCs w:val="21"/>
              </w:rPr>
              <w:t>机架式收音头</w:t>
            </w:r>
          </w:p>
        </w:tc>
        <w:tc>
          <w:tcPr>
            <w:tcW w:w="940" w:type="dxa"/>
            <w:shd w:val="clear" w:color="auto" w:fill="auto"/>
            <w:vAlign w:val="center"/>
          </w:tcPr>
          <w:p>
            <w:pPr>
              <w:jc w:val="center"/>
              <w:rPr>
                <w:color w:val="000000"/>
                <w:szCs w:val="21"/>
              </w:rPr>
            </w:pPr>
            <w:r>
              <w:rPr>
                <w:rFonts w:hint="eastAsia"/>
                <w:color w:val="000000"/>
                <w:szCs w:val="21"/>
              </w:rPr>
              <w:t>台</w:t>
            </w:r>
          </w:p>
        </w:tc>
        <w:tc>
          <w:tcPr>
            <w:tcW w:w="880" w:type="dxa"/>
            <w:shd w:val="clear" w:color="auto" w:fill="auto"/>
            <w:vAlign w:val="center"/>
          </w:tcPr>
          <w:p>
            <w:pPr>
              <w:jc w:val="center"/>
              <w:rPr>
                <w:color w:val="000000"/>
                <w:szCs w:val="21"/>
              </w:rPr>
            </w:pPr>
            <w:r>
              <w:rPr>
                <w:rFonts w:hint="eastAsia"/>
                <w:color w:val="000000"/>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12</w:t>
            </w:r>
          </w:p>
        </w:tc>
        <w:tc>
          <w:tcPr>
            <w:tcW w:w="3940" w:type="dxa"/>
            <w:shd w:val="clear" w:color="auto" w:fill="auto"/>
            <w:vAlign w:val="center"/>
          </w:tcPr>
          <w:p>
            <w:pPr>
              <w:jc w:val="center"/>
              <w:rPr>
                <w:color w:val="000000"/>
                <w:szCs w:val="21"/>
              </w:rPr>
            </w:pPr>
            <w:r>
              <w:rPr>
                <w:rFonts w:hint="eastAsia"/>
                <w:color w:val="000000"/>
                <w:szCs w:val="21"/>
              </w:rPr>
              <w:t>县级应急广播大喇叭适配器</w:t>
            </w:r>
          </w:p>
        </w:tc>
        <w:tc>
          <w:tcPr>
            <w:tcW w:w="940" w:type="dxa"/>
            <w:shd w:val="clear" w:color="auto" w:fill="auto"/>
            <w:vAlign w:val="center"/>
          </w:tcPr>
          <w:p>
            <w:pPr>
              <w:jc w:val="center"/>
              <w:rPr>
                <w:color w:val="000000"/>
                <w:szCs w:val="21"/>
              </w:rPr>
            </w:pPr>
            <w:r>
              <w:rPr>
                <w:rFonts w:hint="eastAsia"/>
                <w:color w:val="000000"/>
                <w:szCs w:val="21"/>
              </w:rPr>
              <w:t>台</w:t>
            </w:r>
          </w:p>
        </w:tc>
        <w:tc>
          <w:tcPr>
            <w:tcW w:w="880" w:type="dxa"/>
            <w:shd w:val="clear" w:color="auto" w:fill="auto"/>
            <w:vAlign w:val="center"/>
          </w:tcPr>
          <w:p>
            <w:pPr>
              <w:jc w:val="center"/>
              <w:rPr>
                <w:color w:val="000000"/>
                <w:szCs w:val="21"/>
              </w:rPr>
            </w:pPr>
            <w:r>
              <w:rPr>
                <w:rFonts w:hint="eastAsia"/>
                <w:color w:val="000000"/>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13</w:t>
            </w:r>
          </w:p>
        </w:tc>
        <w:tc>
          <w:tcPr>
            <w:tcW w:w="3940" w:type="dxa"/>
            <w:shd w:val="clear" w:color="auto" w:fill="auto"/>
            <w:vAlign w:val="center"/>
          </w:tcPr>
          <w:p>
            <w:pPr>
              <w:jc w:val="center"/>
              <w:rPr>
                <w:color w:val="000000"/>
                <w:szCs w:val="21"/>
              </w:rPr>
            </w:pPr>
            <w:r>
              <w:rPr>
                <w:rFonts w:hint="eastAsia"/>
                <w:color w:val="000000"/>
                <w:szCs w:val="21"/>
              </w:rPr>
              <w:t>在线式UPS电源</w:t>
            </w:r>
          </w:p>
        </w:tc>
        <w:tc>
          <w:tcPr>
            <w:tcW w:w="940" w:type="dxa"/>
            <w:shd w:val="clear" w:color="auto" w:fill="auto"/>
            <w:vAlign w:val="center"/>
          </w:tcPr>
          <w:p>
            <w:pPr>
              <w:jc w:val="center"/>
              <w:rPr>
                <w:color w:val="000000"/>
                <w:szCs w:val="21"/>
              </w:rPr>
            </w:pPr>
            <w:r>
              <w:rPr>
                <w:rFonts w:hint="eastAsia"/>
                <w:color w:val="000000"/>
                <w:szCs w:val="21"/>
              </w:rPr>
              <w:t>台</w:t>
            </w:r>
          </w:p>
        </w:tc>
        <w:tc>
          <w:tcPr>
            <w:tcW w:w="880" w:type="dxa"/>
            <w:shd w:val="clear" w:color="auto" w:fill="auto"/>
            <w:vAlign w:val="center"/>
          </w:tcPr>
          <w:p>
            <w:pPr>
              <w:jc w:val="center"/>
              <w:rPr>
                <w:color w:val="000000"/>
                <w:szCs w:val="21"/>
              </w:rPr>
            </w:pPr>
            <w:r>
              <w:rPr>
                <w:rFonts w:hint="eastAsia"/>
                <w:color w:val="000000"/>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14</w:t>
            </w:r>
          </w:p>
        </w:tc>
        <w:tc>
          <w:tcPr>
            <w:tcW w:w="3940" w:type="dxa"/>
            <w:shd w:val="clear" w:color="auto" w:fill="auto"/>
            <w:vAlign w:val="center"/>
          </w:tcPr>
          <w:p>
            <w:pPr>
              <w:jc w:val="center"/>
              <w:rPr>
                <w:color w:val="000000"/>
                <w:szCs w:val="21"/>
              </w:rPr>
            </w:pPr>
            <w:r>
              <w:rPr>
                <w:rFonts w:hint="eastAsia"/>
                <w:color w:val="000000"/>
                <w:szCs w:val="21"/>
              </w:rPr>
              <w:t>县级应急广播安全专用设备</w:t>
            </w:r>
          </w:p>
        </w:tc>
        <w:tc>
          <w:tcPr>
            <w:tcW w:w="940" w:type="dxa"/>
            <w:shd w:val="clear" w:color="auto" w:fill="auto"/>
            <w:vAlign w:val="center"/>
          </w:tcPr>
          <w:p>
            <w:pPr>
              <w:jc w:val="center"/>
              <w:rPr>
                <w:color w:val="000000"/>
                <w:szCs w:val="21"/>
              </w:rPr>
            </w:pPr>
            <w:r>
              <w:rPr>
                <w:rFonts w:hint="eastAsia"/>
                <w:color w:val="000000"/>
                <w:szCs w:val="21"/>
              </w:rPr>
              <w:t>套</w:t>
            </w:r>
          </w:p>
        </w:tc>
        <w:tc>
          <w:tcPr>
            <w:tcW w:w="880" w:type="dxa"/>
            <w:shd w:val="clear" w:color="auto" w:fill="auto"/>
            <w:vAlign w:val="center"/>
          </w:tcPr>
          <w:p>
            <w:pPr>
              <w:jc w:val="center"/>
              <w:rPr>
                <w:color w:val="000000"/>
                <w:szCs w:val="21"/>
              </w:rPr>
            </w:pPr>
            <w:r>
              <w:rPr>
                <w:rFonts w:hint="eastAsia"/>
                <w:color w:val="000000"/>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15</w:t>
            </w:r>
          </w:p>
        </w:tc>
        <w:tc>
          <w:tcPr>
            <w:tcW w:w="3940" w:type="dxa"/>
            <w:shd w:val="clear" w:color="auto" w:fill="auto"/>
            <w:vAlign w:val="center"/>
          </w:tcPr>
          <w:p>
            <w:pPr>
              <w:jc w:val="center"/>
              <w:rPr>
                <w:color w:val="000000"/>
                <w:szCs w:val="21"/>
              </w:rPr>
            </w:pPr>
            <w:r>
              <w:rPr>
                <w:rFonts w:hint="eastAsia"/>
                <w:color w:val="000000"/>
                <w:szCs w:val="21"/>
              </w:rPr>
              <w:t>防火墙</w:t>
            </w:r>
          </w:p>
        </w:tc>
        <w:tc>
          <w:tcPr>
            <w:tcW w:w="940" w:type="dxa"/>
            <w:shd w:val="clear" w:color="auto" w:fill="auto"/>
            <w:vAlign w:val="center"/>
          </w:tcPr>
          <w:p>
            <w:pPr>
              <w:jc w:val="center"/>
              <w:rPr>
                <w:color w:val="000000"/>
                <w:szCs w:val="21"/>
              </w:rPr>
            </w:pPr>
            <w:r>
              <w:rPr>
                <w:rFonts w:hint="eastAsia"/>
                <w:color w:val="000000"/>
                <w:szCs w:val="21"/>
              </w:rPr>
              <w:t>套</w:t>
            </w:r>
          </w:p>
        </w:tc>
        <w:tc>
          <w:tcPr>
            <w:tcW w:w="880" w:type="dxa"/>
            <w:shd w:val="clear" w:color="auto" w:fill="auto"/>
            <w:vAlign w:val="center"/>
          </w:tcPr>
          <w:p>
            <w:pPr>
              <w:jc w:val="center"/>
              <w:rPr>
                <w:color w:val="000000"/>
                <w:szCs w:val="21"/>
              </w:rPr>
            </w:pPr>
            <w:r>
              <w:rPr>
                <w:rFonts w:hint="eastAsia"/>
                <w:color w:val="000000"/>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16</w:t>
            </w:r>
          </w:p>
        </w:tc>
        <w:tc>
          <w:tcPr>
            <w:tcW w:w="3940" w:type="dxa"/>
            <w:shd w:val="clear" w:color="auto" w:fill="auto"/>
            <w:vAlign w:val="center"/>
          </w:tcPr>
          <w:p>
            <w:pPr>
              <w:jc w:val="center"/>
              <w:rPr>
                <w:color w:val="000000"/>
                <w:szCs w:val="21"/>
              </w:rPr>
            </w:pPr>
            <w:r>
              <w:rPr>
                <w:rFonts w:hint="eastAsia"/>
                <w:color w:val="000000"/>
                <w:szCs w:val="21"/>
              </w:rPr>
              <w:t>入侵检测系统</w:t>
            </w:r>
          </w:p>
        </w:tc>
        <w:tc>
          <w:tcPr>
            <w:tcW w:w="940" w:type="dxa"/>
            <w:shd w:val="clear" w:color="auto" w:fill="auto"/>
            <w:vAlign w:val="center"/>
          </w:tcPr>
          <w:p>
            <w:pPr>
              <w:jc w:val="center"/>
              <w:rPr>
                <w:color w:val="000000"/>
                <w:szCs w:val="21"/>
              </w:rPr>
            </w:pPr>
            <w:r>
              <w:rPr>
                <w:rFonts w:hint="eastAsia"/>
                <w:color w:val="000000"/>
                <w:szCs w:val="21"/>
              </w:rPr>
              <w:t>套</w:t>
            </w:r>
          </w:p>
        </w:tc>
        <w:tc>
          <w:tcPr>
            <w:tcW w:w="880" w:type="dxa"/>
            <w:shd w:val="clear" w:color="auto" w:fill="auto"/>
            <w:vAlign w:val="center"/>
          </w:tcPr>
          <w:p>
            <w:pPr>
              <w:jc w:val="center"/>
              <w:rPr>
                <w:color w:val="000000"/>
                <w:szCs w:val="21"/>
              </w:rPr>
            </w:pPr>
            <w:r>
              <w:rPr>
                <w:rFonts w:hint="eastAsia"/>
                <w:color w:val="000000"/>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17</w:t>
            </w:r>
          </w:p>
        </w:tc>
        <w:tc>
          <w:tcPr>
            <w:tcW w:w="3940" w:type="dxa"/>
            <w:shd w:val="clear" w:color="auto" w:fill="auto"/>
            <w:vAlign w:val="center"/>
          </w:tcPr>
          <w:p>
            <w:pPr>
              <w:jc w:val="center"/>
              <w:rPr>
                <w:color w:val="000000"/>
                <w:szCs w:val="21"/>
              </w:rPr>
            </w:pPr>
            <w:r>
              <w:rPr>
                <w:rFonts w:hint="eastAsia"/>
                <w:color w:val="000000"/>
                <w:szCs w:val="21"/>
              </w:rPr>
              <w:t>数据库软件</w:t>
            </w:r>
          </w:p>
        </w:tc>
        <w:tc>
          <w:tcPr>
            <w:tcW w:w="940" w:type="dxa"/>
            <w:shd w:val="clear" w:color="auto" w:fill="auto"/>
            <w:vAlign w:val="center"/>
          </w:tcPr>
          <w:p>
            <w:pPr>
              <w:jc w:val="center"/>
              <w:rPr>
                <w:color w:val="000000"/>
                <w:szCs w:val="21"/>
              </w:rPr>
            </w:pPr>
            <w:r>
              <w:rPr>
                <w:rFonts w:hint="eastAsia"/>
                <w:color w:val="000000"/>
                <w:szCs w:val="21"/>
              </w:rPr>
              <w:t>套</w:t>
            </w:r>
          </w:p>
        </w:tc>
        <w:tc>
          <w:tcPr>
            <w:tcW w:w="880" w:type="dxa"/>
            <w:shd w:val="clear" w:color="auto" w:fill="auto"/>
            <w:vAlign w:val="center"/>
          </w:tcPr>
          <w:p>
            <w:pPr>
              <w:jc w:val="center"/>
              <w:rPr>
                <w:color w:val="000000"/>
                <w:szCs w:val="21"/>
              </w:rPr>
            </w:pPr>
            <w:r>
              <w:rPr>
                <w:rFonts w:hint="eastAsia"/>
                <w:color w:val="000000"/>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18</w:t>
            </w:r>
          </w:p>
        </w:tc>
        <w:tc>
          <w:tcPr>
            <w:tcW w:w="3940" w:type="dxa"/>
            <w:shd w:val="clear" w:color="auto" w:fill="auto"/>
            <w:vAlign w:val="center"/>
          </w:tcPr>
          <w:p>
            <w:pPr>
              <w:jc w:val="center"/>
              <w:rPr>
                <w:color w:val="000000"/>
                <w:szCs w:val="21"/>
              </w:rPr>
            </w:pPr>
            <w:r>
              <w:rPr>
                <w:rFonts w:hint="eastAsia"/>
                <w:color w:val="000000"/>
                <w:szCs w:val="21"/>
              </w:rPr>
              <w:t>综合日志审计系统</w:t>
            </w:r>
          </w:p>
        </w:tc>
        <w:tc>
          <w:tcPr>
            <w:tcW w:w="940" w:type="dxa"/>
            <w:shd w:val="clear" w:color="auto" w:fill="auto"/>
            <w:vAlign w:val="center"/>
          </w:tcPr>
          <w:p>
            <w:pPr>
              <w:jc w:val="center"/>
              <w:rPr>
                <w:color w:val="000000"/>
                <w:szCs w:val="21"/>
              </w:rPr>
            </w:pPr>
            <w:r>
              <w:rPr>
                <w:rFonts w:hint="eastAsia"/>
                <w:color w:val="000000"/>
                <w:szCs w:val="21"/>
              </w:rPr>
              <w:t>套</w:t>
            </w:r>
          </w:p>
        </w:tc>
        <w:tc>
          <w:tcPr>
            <w:tcW w:w="880" w:type="dxa"/>
            <w:shd w:val="clear" w:color="auto" w:fill="auto"/>
            <w:vAlign w:val="center"/>
          </w:tcPr>
          <w:p>
            <w:pPr>
              <w:jc w:val="center"/>
              <w:rPr>
                <w:color w:val="000000"/>
                <w:szCs w:val="21"/>
              </w:rPr>
            </w:pPr>
            <w:r>
              <w:rPr>
                <w:rFonts w:hint="eastAsia"/>
                <w:color w:val="000000"/>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19</w:t>
            </w:r>
          </w:p>
        </w:tc>
        <w:tc>
          <w:tcPr>
            <w:tcW w:w="3940" w:type="dxa"/>
            <w:shd w:val="clear" w:color="auto" w:fill="auto"/>
            <w:vAlign w:val="center"/>
          </w:tcPr>
          <w:p>
            <w:pPr>
              <w:jc w:val="center"/>
              <w:rPr>
                <w:color w:val="000000"/>
                <w:szCs w:val="21"/>
              </w:rPr>
            </w:pPr>
            <w:r>
              <w:rPr>
                <w:rFonts w:hint="eastAsia"/>
                <w:color w:val="000000"/>
                <w:szCs w:val="21"/>
              </w:rPr>
              <w:t>网络防病毒系统</w:t>
            </w:r>
          </w:p>
        </w:tc>
        <w:tc>
          <w:tcPr>
            <w:tcW w:w="940" w:type="dxa"/>
            <w:shd w:val="clear" w:color="auto" w:fill="auto"/>
            <w:vAlign w:val="center"/>
          </w:tcPr>
          <w:p>
            <w:pPr>
              <w:jc w:val="center"/>
              <w:rPr>
                <w:color w:val="000000"/>
                <w:szCs w:val="21"/>
              </w:rPr>
            </w:pPr>
            <w:r>
              <w:rPr>
                <w:rFonts w:hint="eastAsia"/>
                <w:color w:val="000000"/>
                <w:szCs w:val="21"/>
              </w:rPr>
              <w:t>套</w:t>
            </w:r>
          </w:p>
        </w:tc>
        <w:tc>
          <w:tcPr>
            <w:tcW w:w="880" w:type="dxa"/>
            <w:shd w:val="clear" w:color="auto" w:fill="auto"/>
            <w:vAlign w:val="center"/>
          </w:tcPr>
          <w:p>
            <w:pPr>
              <w:jc w:val="center"/>
              <w:rPr>
                <w:color w:val="000000"/>
                <w:szCs w:val="21"/>
              </w:rPr>
            </w:pPr>
            <w:r>
              <w:rPr>
                <w:rFonts w:hint="eastAsia"/>
                <w:color w:val="000000"/>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20</w:t>
            </w:r>
          </w:p>
        </w:tc>
        <w:tc>
          <w:tcPr>
            <w:tcW w:w="3940" w:type="dxa"/>
            <w:shd w:val="clear" w:color="auto" w:fill="auto"/>
            <w:vAlign w:val="center"/>
          </w:tcPr>
          <w:p>
            <w:pPr>
              <w:jc w:val="center"/>
              <w:rPr>
                <w:color w:val="000000"/>
                <w:szCs w:val="21"/>
              </w:rPr>
            </w:pPr>
            <w:r>
              <w:rPr>
                <w:rFonts w:hint="eastAsia"/>
                <w:color w:val="000000"/>
                <w:szCs w:val="21"/>
              </w:rPr>
              <w:t>操作系统</w:t>
            </w:r>
          </w:p>
        </w:tc>
        <w:tc>
          <w:tcPr>
            <w:tcW w:w="940" w:type="dxa"/>
            <w:shd w:val="clear" w:color="auto" w:fill="auto"/>
            <w:vAlign w:val="center"/>
          </w:tcPr>
          <w:p>
            <w:pPr>
              <w:jc w:val="center"/>
              <w:rPr>
                <w:color w:val="000000"/>
                <w:szCs w:val="21"/>
              </w:rPr>
            </w:pPr>
            <w:r>
              <w:rPr>
                <w:rFonts w:hint="eastAsia"/>
                <w:color w:val="000000"/>
                <w:szCs w:val="21"/>
              </w:rPr>
              <w:t>套</w:t>
            </w:r>
          </w:p>
        </w:tc>
        <w:tc>
          <w:tcPr>
            <w:tcW w:w="880" w:type="dxa"/>
            <w:shd w:val="clear" w:color="auto" w:fill="auto"/>
            <w:vAlign w:val="center"/>
          </w:tcPr>
          <w:p>
            <w:pPr>
              <w:jc w:val="center"/>
              <w:rPr>
                <w:color w:val="000000"/>
                <w:szCs w:val="21"/>
              </w:rPr>
            </w:pPr>
            <w:r>
              <w:rPr>
                <w:rFonts w:hint="eastAsia"/>
                <w:color w:val="000000"/>
                <w:szCs w:val="21"/>
              </w:rPr>
              <w:t>6</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21</w:t>
            </w:r>
          </w:p>
        </w:tc>
        <w:tc>
          <w:tcPr>
            <w:tcW w:w="3940" w:type="dxa"/>
            <w:shd w:val="clear" w:color="auto" w:fill="auto"/>
            <w:vAlign w:val="center"/>
          </w:tcPr>
          <w:p>
            <w:pPr>
              <w:jc w:val="center"/>
              <w:rPr>
                <w:color w:val="000000"/>
                <w:szCs w:val="21"/>
              </w:rPr>
            </w:pPr>
            <w:r>
              <w:rPr>
                <w:rFonts w:hint="eastAsia"/>
                <w:color w:val="000000"/>
                <w:szCs w:val="21"/>
              </w:rPr>
              <w:t>播控台</w:t>
            </w:r>
          </w:p>
        </w:tc>
        <w:tc>
          <w:tcPr>
            <w:tcW w:w="940" w:type="dxa"/>
            <w:shd w:val="clear" w:color="auto" w:fill="auto"/>
            <w:vAlign w:val="center"/>
          </w:tcPr>
          <w:p>
            <w:pPr>
              <w:jc w:val="center"/>
              <w:rPr>
                <w:color w:val="000000"/>
                <w:szCs w:val="21"/>
              </w:rPr>
            </w:pPr>
            <w:r>
              <w:rPr>
                <w:rFonts w:hint="eastAsia"/>
                <w:color w:val="000000"/>
                <w:szCs w:val="21"/>
              </w:rPr>
              <w:t>套</w:t>
            </w:r>
          </w:p>
        </w:tc>
        <w:tc>
          <w:tcPr>
            <w:tcW w:w="880" w:type="dxa"/>
            <w:shd w:val="clear" w:color="auto" w:fill="auto"/>
            <w:vAlign w:val="center"/>
          </w:tcPr>
          <w:p>
            <w:pPr>
              <w:jc w:val="center"/>
              <w:rPr>
                <w:color w:val="000000"/>
                <w:szCs w:val="21"/>
              </w:rPr>
            </w:pPr>
            <w:r>
              <w:rPr>
                <w:rFonts w:hint="eastAsia"/>
                <w:color w:val="000000"/>
                <w:szCs w:val="21"/>
              </w:rPr>
              <w:t>1</w:t>
            </w:r>
          </w:p>
        </w:tc>
        <w:tc>
          <w:tcPr>
            <w:tcW w:w="2120" w:type="dxa"/>
            <w:shd w:val="clear" w:color="auto" w:fill="auto"/>
            <w:vAlign w:val="center"/>
          </w:tcPr>
          <w:p>
            <w:pPr>
              <w:jc w:val="center"/>
              <w:rPr>
                <w:szCs w:val="21"/>
              </w:rPr>
            </w:pPr>
            <w:r>
              <w:rPr>
                <w:rFonts w:hint="eastAsia"/>
                <w:szCs w:val="21"/>
              </w:rPr>
              <w:t>按实际需求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22</w:t>
            </w:r>
          </w:p>
        </w:tc>
        <w:tc>
          <w:tcPr>
            <w:tcW w:w="3940" w:type="dxa"/>
            <w:shd w:val="clear" w:color="auto" w:fill="auto"/>
            <w:vAlign w:val="center"/>
          </w:tcPr>
          <w:p>
            <w:pPr>
              <w:jc w:val="center"/>
              <w:rPr>
                <w:color w:val="000000"/>
                <w:szCs w:val="21"/>
              </w:rPr>
            </w:pPr>
            <w:r>
              <w:rPr>
                <w:rFonts w:hint="eastAsia"/>
                <w:color w:val="000000"/>
                <w:szCs w:val="21"/>
              </w:rPr>
              <w:t>机柜</w:t>
            </w:r>
          </w:p>
        </w:tc>
        <w:tc>
          <w:tcPr>
            <w:tcW w:w="940" w:type="dxa"/>
            <w:shd w:val="clear" w:color="auto" w:fill="auto"/>
            <w:vAlign w:val="center"/>
          </w:tcPr>
          <w:p>
            <w:pPr>
              <w:jc w:val="center"/>
              <w:rPr>
                <w:color w:val="000000"/>
                <w:szCs w:val="21"/>
              </w:rPr>
            </w:pPr>
            <w:r>
              <w:rPr>
                <w:rFonts w:hint="eastAsia"/>
                <w:color w:val="000000"/>
                <w:szCs w:val="21"/>
              </w:rPr>
              <w:t>个</w:t>
            </w:r>
          </w:p>
        </w:tc>
        <w:tc>
          <w:tcPr>
            <w:tcW w:w="880" w:type="dxa"/>
            <w:shd w:val="clear" w:color="auto" w:fill="auto"/>
            <w:vAlign w:val="center"/>
          </w:tcPr>
          <w:p>
            <w:pPr>
              <w:jc w:val="center"/>
              <w:rPr>
                <w:color w:val="000000"/>
                <w:szCs w:val="21"/>
              </w:rPr>
            </w:pPr>
            <w:r>
              <w:rPr>
                <w:rFonts w:hint="eastAsia"/>
                <w:color w:val="000000"/>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2</w:t>
            </w:r>
            <w:r>
              <w:rPr>
                <w:szCs w:val="21"/>
              </w:rPr>
              <w:t>3</w:t>
            </w:r>
          </w:p>
        </w:tc>
        <w:tc>
          <w:tcPr>
            <w:tcW w:w="3940" w:type="dxa"/>
            <w:shd w:val="clear" w:color="auto" w:fill="auto"/>
            <w:vAlign w:val="center"/>
          </w:tcPr>
          <w:p>
            <w:pPr>
              <w:jc w:val="center"/>
              <w:rPr>
                <w:color w:val="000000"/>
                <w:szCs w:val="21"/>
              </w:rPr>
            </w:pPr>
            <w:r>
              <w:rPr>
                <w:rFonts w:hint="eastAsia"/>
                <w:color w:val="000000"/>
                <w:szCs w:val="21"/>
              </w:rPr>
              <w:t>辅材</w:t>
            </w:r>
          </w:p>
        </w:tc>
        <w:tc>
          <w:tcPr>
            <w:tcW w:w="940" w:type="dxa"/>
            <w:shd w:val="clear" w:color="auto" w:fill="auto"/>
            <w:vAlign w:val="center"/>
          </w:tcPr>
          <w:p>
            <w:pPr>
              <w:jc w:val="center"/>
              <w:rPr>
                <w:color w:val="000000"/>
                <w:szCs w:val="21"/>
              </w:rPr>
            </w:pPr>
            <w:r>
              <w:rPr>
                <w:rFonts w:hint="eastAsia"/>
                <w:color w:val="000000"/>
                <w:szCs w:val="21"/>
              </w:rPr>
              <w:t>项</w:t>
            </w:r>
          </w:p>
        </w:tc>
        <w:tc>
          <w:tcPr>
            <w:tcW w:w="880" w:type="dxa"/>
            <w:shd w:val="clear" w:color="auto" w:fill="auto"/>
            <w:vAlign w:val="center"/>
          </w:tcPr>
          <w:p>
            <w:pPr>
              <w:jc w:val="center"/>
              <w:rPr>
                <w:color w:val="000000"/>
                <w:szCs w:val="21"/>
              </w:rPr>
            </w:pPr>
            <w:r>
              <w:rPr>
                <w:rFonts w:hint="eastAsia"/>
                <w:color w:val="000000"/>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2</w:t>
            </w:r>
            <w:r>
              <w:rPr>
                <w:szCs w:val="21"/>
              </w:rPr>
              <w:t>4</w:t>
            </w:r>
          </w:p>
        </w:tc>
        <w:tc>
          <w:tcPr>
            <w:tcW w:w="3940" w:type="dxa"/>
            <w:shd w:val="clear" w:color="auto" w:fill="auto"/>
            <w:vAlign w:val="center"/>
          </w:tcPr>
          <w:p>
            <w:pPr>
              <w:jc w:val="center"/>
              <w:rPr>
                <w:color w:val="000000"/>
                <w:szCs w:val="21"/>
              </w:rPr>
            </w:pPr>
            <w:r>
              <w:rPr>
                <w:rFonts w:hint="eastAsia"/>
                <w:color w:val="000000"/>
                <w:szCs w:val="21"/>
              </w:rPr>
              <w:t>安装调试</w:t>
            </w:r>
          </w:p>
        </w:tc>
        <w:tc>
          <w:tcPr>
            <w:tcW w:w="940" w:type="dxa"/>
            <w:shd w:val="clear" w:color="auto" w:fill="auto"/>
            <w:vAlign w:val="center"/>
          </w:tcPr>
          <w:p>
            <w:pPr>
              <w:jc w:val="center"/>
              <w:rPr>
                <w:color w:val="000000"/>
                <w:szCs w:val="21"/>
              </w:rPr>
            </w:pPr>
            <w:r>
              <w:rPr>
                <w:rFonts w:hint="eastAsia"/>
                <w:color w:val="000000"/>
                <w:szCs w:val="21"/>
              </w:rPr>
              <w:t>项</w:t>
            </w:r>
          </w:p>
        </w:tc>
        <w:tc>
          <w:tcPr>
            <w:tcW w:w="880" w:type="dxa"/>
            <w:shd w:val="clear" w:color="auto" w:fill="auto"/>
            <w:vAlign w:val="center"/>
          </w:tcPr>
          <w:p>
            <w:pPr>
              <w:jc w:val="center"/>
              <w:rPr>
                <w:color w:val="000000"/>
                <w:szCs w:val="21"/>
              </w:rPr>
            </w:pPr>
            <w:r>
              <w:rPr>
                <w:rFonts w:hint="eastAsia"/>
                <w:color w:val="000000"/>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156" w:type="dxa"/>
            <w:gridSpan w:val="5"/>
            <w:shd w:val="clear" w:color="auto" w:fill="auto"/>
            <w:vAlign w:val="center"/>
          </w:tcPr>
          <w:p>
            <w:pPr>
              <w:jc w:val="center"/>
              <w:rPr>
                <w:b/>
                <w:bCs/>
                <w:szCs w:val="21"/>
              </w:rPr>
            </w:pPr>
            <w:r>
              <w:rPr>
                <w:rFonts w:hint="eastAsia"/>
                <w:b/>
                <w:bCs/>
                <w:szCs w:val="21"/>
              </w:rPr>
              <w:t>2、城区重点公共区域设备清单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序号</w:t>
            </w:r>
          </w:p>
        </w:tc>
        <w:tc>
          <w:tcPr>
            <w:tcW w:w="3940" w:type="dxa"/>
            <w:shd w:val="clear" w:color="auto" w:fill="auto"/>
            <w:vAlign w:val="center"/>
          </w:tcPr>
          <w:p>
            <w:pPr>
              <w:jc w:val="center"/>
              <w:rPr>
                <w:szCs w:val="21"/>
              </w:rPr>
            </w:pPr>
            <w:r>
              <w:rPr>
                <w:rFonts w:hint="eastAsia"/>
                <w:szCs w:val="21"/>
              </w:rPr>
              <w:t>项目设备名称</w:t>
            </w:r>
          </w:p>
        </w:tc>
        <w:tc>
          <w:tcPr>
            <w:tcW w:w="940" w:type="dxa"/>
            <w:shd w:val="clear" w:color="auto" w:fill="auto"/>
            <w:vAlign w:val="center"/>
          </w:tcPr>
          <w:p>
            <w:pPr>
              <w:jc w:val="center"/>
              <w:rPr>
                <w:szCs w:val="21"/>
              </w:rPr>
            </w:pPr>
            <w:r>
              <w:rPr>
                <w:rFonts w:hint="eastAsia"/>
                <w:szCs w:val="21"/>
              </w:rPr>
              <w:t>单位</w:t>
            </w:r>
          </w:p>
        </w:tc>
        <w:tc>
          <w:tcPr>
            <w:tcW w:w="880" w:type="dxa"/>
            <w:shd w:val="clear" w:color="auto" w:fill="auto"/>
            <w:vAlign w:val="center"/>
          </w:tcPr>
          <w:p>
            <w:pPr>
              <w:jc w:val="center"/>
              <w:rPr>
                <w:szCs w:val="21"/>
              </w:rPr>
            </w:pPr>
            <w:r>
              <w:rPr>
                <w:rFonts w:hint="eastAsia"/>
                <w:szCs w:val="21"/>
              </w:rPr>
              <w:t>数量</w:t>
            </w:r>
          </w:p>
        </w:tc>
        <w:tc>
          <w:tcPr>
            <w:tcW w:w="2120" w:type="dxa"/>
            <w:shd w:val="clear" w:color="auto" w:fill="auto"/>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276" w:type="dxa"/>
            <w:shd w:val="clear" w:color="auto" w:fill="auto"/>
            <w:vAlign w:val="center"/>
          </w:tcPr>
          <w:p>
            <w:pPr>
              <w:jc w:val="center"/>
              <w:rPr>
                <w:szCs w:val="21"/>
              </w:rPr>
            </w:pPr>
            <w:r>
              <w:rPr>
                <w:rFonts w:hint="eastAsia"/>
                <w:szCs w:val="21"/>
              </w:rPr>
              <w:t>1</w:t>
            </w:r>
          </w:p>
        </w:tc>
        <w:tc>
          <w:tcPr>
            <w:tcW w:w="3940" w:type="dxa"/>
            <w:shd w:val="clear" w:color="auto" w:fill="auto"/>
            <w:vAlign w:val="center"/>
          </w:tcPr>
          <w:p>
            <w:pPr>
              <w:jc w:val="center"/>
              <w:rPr>
                <w:color w:val="000000"/>
                <w:szCs w:val="21"/>
              </w:rPr>
            </w:pPr>
            <w:r>
              <w:rPr>
                <w:rFonts w:hint="eastAsia"/>
                <w:color w:val="000000"/>
                <w:szCs w:val="21"/>
              </w:rPr>
              <w:t>多模音柱</w:t>
            </w:r>
          </w:p>
        </w:tc>
        <w:tc>
          <w:tcPr>
            <w:tcW w:w="940" w:type="dxa"/>
            <w:shd w:val="clear" w:color="auto" w:fill="auto"/>
            <w:vAlign w:val="center"/>
          </w:tcPr>
          <w:p>
            <w:pPr>
              <w:jc w:val="center"/>
              <w:rPr>
                <w:color w:val="000000"/>
                <w:szCs w:val="21"/>
              </w:rPr>
            </w:pPr>
            <w:r>
              <w:rPr>
                <w:rFonts w:hint="eastAsia"/>
                <w:color w:val="000000"/>
                <w:szCs w:val="21"/>
              </w:rPr>
              <w:t>台</w:t>
            </w:r>
          </w:p>
        </w:tc>
        <w:tc>
          <w:tcPr>
            <w:tcW w:w="880" w:type="dxa"/>
            <w:shd w:val="clear" w:color="auto" w:fill="auto"/>
            <w:vAlign w:val="center"/>
          </w:tcPr>
          <w:p>
            <w:pPr>
              <w:jc w:val="center"/>
              <w:rPr>
                <w:color w:val="000000"/>
                <w:szCs w:val="21"/>
              </w:rPr>
            </w:pPr>
            <w:r>
              <w:rPr>
                <w:rFonts w:hint="eastAsia"/>
                <w:color w:val="000000"/>
                <w:szCs w:val="21"/>
              </w:rPr>
              <w:t>20</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2</w:t>
            </w:r>
          </w:p>
        </w:tc>
        <w:tc>
          <w:tcPr>
            <w:tcW w:w="3940" w:type="dxa"/>
            <w:shd w:val="clear" w:color="auto" w:fill="auto"/>
            <w:vAlign w:val="center"/>
          </w:tcPr>
          <w:p>
            <w:pPr>
              <w:jc w:val="center"/>
              <w:rPr>
                <w:color w:val="000000"/>
                <w:szCs w:val="21"/>
              </w:rPr>
            </w:pPr>
            <w:r>
              <w:rPr>
                <w:rFonts w:hint="eastAsia"/>
                <w:color w:val="000000"/>
                <w:szCs w:val="21"/>
              </w:rPr>
              <w:t>辅材</w:t>
            </w:r>
          </w:p>
        </w:tc>
        <w:tc>
          <w:tcPr>
            <w:tcW w:w="940" w:type="dxa"/>
            <w:shd w:val="clear" w:color="auto" w:fill="auto"/>
            <w:vAlign w:val="center"/>
          </w:tcPr>
          <w:p>
            <w:pPr>
              <w:jc w:val="center"/>
              <w:rPr>
                <w:color w:val="000000"/>
                <w:szCs w:val="21"/>
              </w:rPr>
            </w:pPr>
            <w:r>
              <w:rPr>
                <w:rFonts w:hint="eastAsia"/>
                <w:color w:val="000000"/>
                <w:szCs w:val="21"/>
              </w:rPr>
              <w:t>项</w:t>
            </w:r>
          </w:p>
        </w:tc>
        <w:tc>
          <w:tcPr>
            <w:tcW w:w="880" w:type="dxa"/>
            <w:shd w:val="clear" w:color="auto" w:fill="auto"/>
            <w:vAlign w:val="center"/>
          </w:tcPr>
          <w:p>
            <w:pPr>
              <w:jc w:val="center"/>
              <w:rPr>
                <w:color w:val="000000"/>
                <w:szCs w:val="21"/>
              </w:rPr>
            </w:pPr>
            <w:r>
              <w:rPr>
                <w:rFonts w:hint="eastAsia"/>
                <w:color w:val="000000"/>
                <w:szCs w:val="21"/>
              </w:rPr>
              <w:t>20</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3</w:t>
            </w:r>
          </w:p>
        </w:tc>
        <w:tc>
          <w:tcPr>
            <w:tcW w:w="3940" w:type="dxa"/>
            <w:shd w:val="clear" w:color="auto" w:fill="auto"/>
            <w:vAlign w:val="center"/>
          </w:tcPr>
          <w:p>
            <w:pPr>
              <w:jc w:val="center"/>
              <w:rPr>
                <w:color w:val="000000"/>
                <w:szCs w:val="21"/>
              </w:rPr>
            </w:pPr>
            <w:r>
              <w:rPr>
                <w:rFonts w:hint="eastAsia"/>
                <w:color w:val="000000"/>
                <w:szCs w:val="21"/>
              </w:rPr>
              <w:t>安装调试</w:t>
            </w:r>
          </w:p>
        </w:tc>
        <w:tc>
          <w:tcPr>
            <w:tcW w:w="940" w:type="dxa"/>
            <w:shd w:val="clear" w:color="auto" w:fill="auto"/>
            <w:vAlign w:val="center"/>
          </w:tcPr>
          <w:p>
            <w:pPr>
              <w:jc w:val="center"/>
              <w:rPr>
                <w:color w:val="000000"/>
                <w:szCs w:val="21"/>
              </w:rPr>
            </w:pPr>
            <w:r>
              <w:rPr>
                <w:rFonts w:hint="eastAsia"/>
                <w:color w:val="000000"/>
                <w:szCs w:val="21"/>
              </w:rPr>
              <w:t>项</w:t>
            </w:r>
          </w:p>
        </w:tc>
        <w:tc>
          <w:tcPr>
            <w:tcW w:w="880" w:type="dxa"/>
            <w:shd w:val="clear" w:color="auto" w:fill="auto"/>
            <w:vAlign w:val="center"/>
          </w:tcPr>
          <w:p>
            <w:pPr>
              <w:jc w:val="center"/>
              <w:rPr>
                <w:color w:val="000000"/>
                <w:szCs w:val="21"/>
              </w:rPr>
            </w:pPr>
            <w:r>
              <w:rPr>
                <w:rFonts w:hint="eastAsia"/>
                <w:color w:val="000000"/>
                <w:szCs w:val="21"/>
              </w:rPr>
              <w:t>20</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156" w:type="dxa"/>
            <w:gridSpan w:val="5"/>
            <w:shd w:val="clear" w:color="auto" w:fill="auto"/>
            <w:vAlign w:val="center"/>
          </w:tcPr>
          <w:p>
            <w:pPr>
              <w:jc w:val="center"/>
              <w:rPr>
                <w:b/>
                <w:bCs/>
                <w:szCs w:val="21"/>
              </w:rPr>
            </w:pPr>
            <w:r>
              <w:rPr>
                <w:rFonts w:hint="eastAsia"/>
                <w:b/>
                <w:bCs/>
                <w:szCs w:val="21"/>
              </w:rPr>
              <w:t>3、应急信息发布前置系统设备清单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序号</w:t>
            </w:r>
          </w:p>
        </w:tc>
        <w:tc>
          <w:tcPr>
            <w:tcW w:w="3940" w:type="dxa"/>
            <w:shd w:val="clear" w:color="auto" w:fill="auto"/>
            <w:vAlign w:val="center"/>
          </w:tcPr>
          <w:p>
            <w:pPr>
              <w:jc w:val="center"/>
              <w:rPr>
                <w:szCs w:val="21"/>
              </w:rPr>
            </w:pPr>
            <w:r>
              <w:rPr>
                <w:rFonts w:hint="eastAsia"/>
                <w:szCs w:val="21"/>
              </w:rPr>
              <w:t>项目设备名称</w:t>
            </w:r>
          </w:p>
        </w:tc>
        <w:tc>
          <w:tcPr>
            <w:tcW w:w="940" w:type="dxa"/>
            <w:shd w:val="clear" w:color="auto" w:fill="auto"/>
            <w:vAlign w:val="center"/>
          </w:tcPr>
          <w:p>
            <w:pPr>
              <w:jc w:val="center"/>
              <w:rPr>
                <w:szCs w:val="21"/>
              </w:rPr>
            </w:pPr>
            <w:r>
              <w:rPr>
                <w:rFonts w:hint="eastAsia"/>
                <w:szCs w:val="21"/>
              </w:rPr>
              <w:t>单位</w:t>
            </w:r>
          </w:p>
        </w:tc>
        <w:tc>
          <w:tcPr>
            <w:tcW w:w="880" w:type="dxa"/>
            <w:shd w:val="clear" w:color="auto" w:fill="auto"/>
            <w:vAlign w:val="center"/>
          </w:tcPr>
          <w:p>
            <w:pPr>
              <w:jc w:val="center"/>
              <w:rPr>
                <w:szCs w:val="21"/>
              </w:rPr>
            </w:pPr>
            <w:r>
              <w:rPr>
                <w:rFonts w:hint="eastAsia"/>
                <w:szCs w:val="21"/>
              </w:rPr>
              <w:t>数量</w:t>
            </w:r>
          </w:p>
        </w:tc>
        <w:tc>
          <w:tcPr>
            <w:tcW w:w="2120" w:type="dxa"/>
            <w:shd w:val="clear" w:color="auto" w:fill="auto"/>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276" w:type="dxa"/>
            <w:shd w:val="clear" w:color="auto" w:fill="auto"/>
            <w:vAlign w:val="center"/>
          </w:tcPr>
          <w:p>
            <w:pPr>
              <w:jc w:val="center"/>
              <w:rPr>
                <w:szCs w:val="21"/>
              </w:rPr>
            </w:pPr>
            <w:r>
              <w:rPr>
                <w:rFonts w:hint="eastAsia"/>
                <w:szCs w:val="21"/>
              </w:rPr>
              <w:t>1</w:t>
            </w:r>
          </w:p>
        </w:tc>
        <w:tc>
          <w:tcPr>
            <w:tcW w:w="3940" w:type="dxa"/>
            <w:shd w:val="clear" w:color="auto" w:fill="auto"/>
            <w:vAlign w:val="center"/>
          </w:tcPr>
          <w:p>
            <w:pPr>
              <w:jc w:val="center"/>
              <w:rPr>
                <w:color w:val="000000"/>
                <w:szCs w:val="21"/>
              </w:rPr>
            </w:pPr>
            <w:r>
              <w:rPr>
                <w:rFonts w:hint="eastAsia"/>
                <w:color w:val="000000"/>
                <w:szCs w:val="21"/>
              </w:rPr>
              <w:t>应急消息发布前置系统软件</w:t>
            </w:r>
          </w:p>
        </w:tc>
        <w:tc>
          <w:tcPr>
            <w:tcW w:w="940" w:type="dxa"/>
            <w:shd w:val="clear" w:color="auto" w:fill="auto"/>
            <w:vAlign w:val="center"/>
          </w:tcPr>
          <w:p>
            <w:pPr>
              <w:jc w:val="center"/>
              <w:rPr>
                <w:color w:val="000000"/>
                <w:szCs w:val="21"/>
              </w:rPr>
            </w:pPr>
            <w:r>
              <w:rPr>
                <w:rFonts w:hint="eastAsia"/>
                <w:color w:val="000000"/>
                <w:szCs w:val="21"/>
              </w:rPr>
              <w:t>套</w:t>
            </w:r>
          </w:p>
        </w:tc>
        <w:tc>
          <w:tcPr>
            <w:tcW w:w="880" w:type="dxa"/>
            <w:shd w:val="clear" w:color="auto" w:fill="auto"/>
            <w:vAlign w:val="center"/>
          </w:tcPr>
          <w:p>
            <w:pPr>
              <w:jc w:val="center"/>
              <w:rPr>
                <w:color w:val="000000"/>
                <w:szCs w:val="21"/>
              </w:rPr>
            </w:pPr>
            <w:r>
              <w:rPr>
                <w:rFonts w:hint="eastAsia"/>
                <w:color w:val="000000"/>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276" w:type="dxa"/>
            <w:shd w:val="clear" w:color="auto" w:fill="auto"/>
            <w:vAlign w:val="center"/>
          </w:tcPr>
          <w:p>
            <w:pPr>
              <w:jc w:val="center"/>
              <w:rPr>
                <w:szCs w:val="21"/>
              </w:rPr>
            </w:pPr>
            <w:r>
              <w:rPr>
                <w:rFonts w:hint="eastAsia"/>
                <w:szCs w:val="21"/>
              </w:rPr>
              <w:t>2</w:t>
            </w:r>
          </w:p>
        </w:tc>
        <w:tc>
          <w:tcPr>
            <w:tcW w:w="3940" w:type="dxa"/>
            <w:shd w:val="clear" w:color="auto" w:fill="auto"/>
            <w:vAlign w:val="center"/>
          </w:tcPr>
          <w:p>
            <w:pPr>
              <w:jc w:val="center"/>
              <w:rPr>
                <w:color w:val="000000"/>
                <w:szCs w:val="21"/>
              </w:rPr>
            </w:pPr>
            <w:r>
              <w:rPr>
                <w:rFonts w:hint="eastAsia"/>
                <w:color w:val="000000"/>
                <w:szCs w:val="21"/>
              </w:rPr>
              <w:t>USB 密码器</w:t>
            </w:r>
          </w:p>
        </w:tc>
        <w:tc>
          <w:tcPr>
            <w:tcW w:w="940" w:type="dxa"/>
            <w:shd w:val="clear" w:color="auto" w:fill="auto"/>
            <w:vAlign w:val="center"/>
          </w:tcPr>
          <w:p>
            <w:pPr>
              <w:jc w:val="center"/>
              <w:rPr>
                <w:szCs w:val="21"/>
              </w:rPr>
            </w:pPr>
            <w:r>
              <w:rPr>
                <w:rFonts w:hint="eastAsia"/>
                <w:szCs w:val="21"/>
              </w:rPr>
              <w:t>个</w:t>
            </w:r>
          </w:p>
        </w:tc>
        <w:tc>
          <w:tcPr>
            <w:tcW w:w="880" w:type="dxa"/>
            <w:shd w:val="clear" w:color="auto" w:fill="auto"/>
            <w:vAlign w:val="center"/>
          </w:tcPr>
          <w:p>
            <w:pPr>
              <w:jc w:val="center"/>
              <w:rPr>
                <w:szCs w:val="21"/>
              </w:rPr>
            </w:pPr>
            <w:r>
              <w:rPr>
                <w:rFonts w:hint="eastAsia"/>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3</w:t>
            </w:r>
          </w:p>
        </w:tc>
        <w:tc>
          <w:tcPr>
            <w:tcW w:w="3940" w:type="dxa"/>
            <w:shd w:val="clear" w:color="auto" w:fill="auto"/>
            <w:vAlign w:val="center"/>
          </w:tcPr>
          <w:p>
            <w:pPr>
              <w:jc w:val="center"/>
              <w:rPr>
                <w:color w:val="000000"/>
                <w:szCs w:val="21"/>
              </w:rPr>
            </w:pPr>
            <w:r>
              <w:rPr>
                <w:rFonts w:hint="eastAsia"/>
                <w:color w:val="000000"/>
                <w:szCs w:val="21"/>
              </w:rPr>
              <w:t>交换机</w:t>
            </w:r>
          </w:p>
        </w:tc>
        <w:tc>
          <w:tcPr>
            <w:tcW w:w="940" w:type="dxa"/>
            <w:shd w:val="clear" w:color="auto" w:fill="auto"/>
            <w:vAlign w:val="center"/>
          </w:tcPr>
          <w:p>
            <w:pPr>
              <w:jc w:val="center"/>
              <w:rPr>
                <w:color w:val="000000"/>
                <w:szCs w:val="21"/>
              </w:rPr>
            </w:pPr>
            <w:r>
              <w:rPr>
                <w:rFonts w:hint="eastAsia"/>
                <w:color w:val="000000"/>
                <w:szCs w:val="21"/>
              </w:rPr>
              <w:t>台</w:t>
            </w:r>
          </w:p>
        </w:tc>
        <w:tc>
          <w:tcPr>
            <w:tcW w:w="880" w:type="dxa"/>
            <w:shd w:val="clear" w:color="auto" w:fill="auto"/>
            <w:vAlign w:val="center"/>
          </w:tcPr>
          <w:p>
            <w:pPr>
              <w:jc w:val="center"/>
              <w:rPr>
                <w:color w:val="000000"/>
                <w:szCs w:val="21"/>
              </w:rPr>
            </w:pPr>
            <w:r>
              <w:rPr>
                <w:rFonts w:hint="eastAsia"/>
                <w:color w:val="000000"/>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4</w:t>
            </w:r>
          </w:p>
        </w:tc>
        <w:tc>
          <w:tcPr>
            <w:tcW w:w="3940" w:type="dxa"/>
            <w:shd w:val="clear" w:color="auto" w:fill="auto"/>
            <w:vAlign w:val="center"/>
          </w:tcPr>
          <w:p>
            <w:pPr>
              <w:jc w:val="center"/>
              <w:rPr>
                <w:color w:val="000000"/>
                <w:szCs w:val="21"/>
              </w:rPr>
            </w:pPr>
            <w:r>
              <w:rPr>
                <w:rFonts w:hint="eastAsia"/>
                <w:color w:val="000000"/>
                <w:szCs w:val="21"/>
              </w:rPr>
              <w:t>PC 工作站</w:t>
            </w:r>
          </w:p>
        </w:tc>
        <w:tc>
          <w:tcPr>
            <w:tcW w:w="940" w:type="dxa"/>
            <w:shd w:val="clear" w:color="auto" w:fill="auto"/>
            <w:vAlign w:val="center"/>
          </w:tcPr>
          <w:p>
            <w:pPr>
              <w:jc w:val="center"/>
              <w:rPr>
                <w:color w:val="000000"/>
                <w:szCs w:val="21"/>
              </w:rPr>
            </w:pPr>
            <w:r>
              <w:rPr>
                <w:rFonts w:hint="eastAsia"/>
                <w:color w:val="000000"/>
                <w:szCs w:val="21"/>
              </w:rPr>
              <w:t>台</w:t>
            </w:r>
          </w:p>
        </w:tc>
        <w:tc>
          <w:tcPr>
            <w:tcW w:w="880" w:type="dxa"/>
            <w:shd w:val="clear" w:color="auto" w:fill="auto"/>
            <w:vAlign w:val="center"/>
          </w:tcPr>
          <w:p>
            <w:pPr>
              <w:jc w:val="center"/>
              <w:rPr>
                <w:color w:val="000000"/>
                <w:szCs w:val="21"/>
              </w:rPr>
            </w:pPr>
            <w:r>
              <w:rPr>
                <w:rFonts w:hint="eastAsia"/>
                <w:color w:val="000000"/>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5</w:t>
            </w:r>
          </w:p>
        </w:tc>
        <w:tc>
          <w:tcPr>
            <w:tcW w:w="3940" w:type="dxa"/>
            <w:shd w:val="clear" w:color="auto" w:fill="auto"/>
            <w:vAlign w:val="center"/>
          </w:tcPr>
          <w:p>
            <w:pPr>
              <w:jc w:val="center"/>
              <w:rPr>
                <w:color w:val="000000"/>
                <w:szCs w:val="21"/>
              </w:rPr>
            </w:pPr>
            <w:r>
              <w:rPr>
                <w:rFonts w:hint="eastAsia"/>
                <w:color w:val="000000"/>
                <w:szCs w:val="21"/>
              </w:rPr>
              <w:t>IP 话筒</w:t>
            </w:r>
          </w:p>
        </w:tc>
        <w:tc>
          <w:tcPr>
            <w:tcW w:w="940" w:type="dxa"/>
            <w:shd w:val="clear" w:color="auto" w:fill="auto"/>
            <w:vAlign w:val="center"/>
          </w:tcPr>
          <w:p>
            <w:pPr>
              <w:jc w:val="center"/>
              <w:rPr>
                <w:color w:val="000000"/>
                <w:szCs w:val="21"/>
              </w:rPr>
            </w:pPr>
            <w:r>
              <w:rPr>
                <w:rFonts w:hint="eastAsia"/>
                <w:color w:val="000000"/>
                <w:szCs w:val="21"/>
              </w:rPr>
              <w:t>台</w:t>
            </w:r>
          </w:p>
        </w:tc>
        <w:tc>
          <w:tcPr>
            <w:tcW w:w="880" w:type="dxa"/>
            <w:shd w:val="clear" w:color="auto" w:fill="auto"/>
            <w:vAlign w:val="center"/>
          </w:tcPr>
          <w:p>
            <w:pPr>
              <w:jc w:val="center"/>
              <w:rPr>
                <w:color w:val="000000"/>
                <w:szCs w:val="21"/>
              </w:rPr>
            </w:pPr>
            <w:r>
              <w:rPr>
                <w:rFonts w:hint="eastAsia"/>
                <w:color w:val="000000"/>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6</w:t>
            </w:r>
          </w:p>
        </w:tc>
        <w:tc>
          <w:tcPr>
            <w:tcW w:w="3940" w:type="dxa"/>
            <w:shd w:val="clear" w:color="auto" w:fill="auto"/>
            <w:vAlign w:val="center"/>
          </w:tcPr>
          <w:p>
            <w:pPr>
              <w:jc w:val="center"/>
              <w:rPr>
                <w:color w:val="000000"/>
                <w:szCs w:val="21"/>
              </w:rPr>
            </w:pPr>
            <w:r>
              <w:rPr>
                <w:rFonts w:hint="eastAsia"/>
                <w:color w:val="000000"/>
                <w:szCs w:val="21"/>
              </w:rPr>
              <w:t>监听音箱</w:t>
            </w:r>
          </w:p>
        </w:tc>
        <w:tc>
          <w:tcPr>
            <w:tcW w:w="940" w:type="dxa"/>
            <w:shd w:val="clear" w:color="auto" w:fill="auto"/>
            <w:vAlign w:val="center"/>
          </w:tcPr>
          <w:p>
            <w:pPr>
              <w:jc w:val="center"/>
              <w:rPr>
                <w:color w:val="000000"/>
                <w:szCs w:val="21"/>
              </w:rPr>
            </w:pPr>
            <w:r>
              <w:rPr>
                <w:rFonts w:hint="eastAsia"/>
                <w:color w:val="000000"/>
                <w:szCs w:val="21"/>
              </w:rPr>
              <w:t>台</w:t>
            </w:r>
          </w:p>
        </w:tc>
        <w:tc>
          <w:tcPr>
            <w:tcW w:w="880" w:type="dxa"/>
            <w:shd w:val="clear" w:color="auto" w:fill="auto"/>
            <w:vAlign w:val="center"/>
          </w:tcPr>
          <w:p>
            <w:pPr>
              <w:jc w:val="center"/>
              <w:rPr>
                <w:color w:val="000000"/>
                <w:szCs w:val="21"/>
              </w:rPr>
            </w:pPr>
            <w:r>
              <w:rPr>
                <w:rFonts w:hint="eastAsia"/>
                <w:color w:val="000000"/>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7</w:t>
            </w:r>
          </w:p>
        </w:tc>
        <w:tc>
          <w:tcPr>
            <w:tcW w:w="3940" w:type="dxa"/>
            <w:shd w:val="clear" w:color="auto" w:fill="auto"/>
            <w:vAlign w:val="center"/>
          </w:tcPr>
          <w:p>
            <w:pPr>
              <w:jc w:val="center"/>
              <w:rPr>
                <w:color w:val="000000"/>
                <w:szCs w:val="21"/>
              </w:rPr>
            </w:pPr>
            <w:r>
              <w:rPr>
                <w:rFonts w:hint="eastAsia"/>
                <w:color w:val="000000"/>
                <w:szCs w:val="21"/>
              </w:rPr>
              <w:t>播控桌及机柜</w:t>
            </w:r>
          </w:p>
        </w:tc>
        <w:tc>
          <w:tcPr>
            <w:tcW w:w="940" w:type="dxa"/>
            <w:shd w:val="clear" w:color="auto" w:fill="auto"/>
            <w:vAlign w:val="center"/>
          </w:tcPr>
          <w:p>
            <w:pPr>
              <w:jc w:val="center"/>
              <w:rPr>
                <w:color w:val="000000"/>
                <w:szCs w:val="21"/>
              </w:rPr>
            </w:pPr>
            <w:r>
              <w:rPr>
                <w:rFonts w:hint="eastAsia"/>
                <w:color w:val="000000"/>
                <w:szCs w:val="21"/>
              </w:rPr>
              <w:t>台</w:t>
            </w:r>
          </w:p>
        </w:tc>
        <w:tc>
          <w:tcPr>
            <w:tcW w:w="880" w:type="dxa"/>
            <w:shd w:val="clear" w:color="auto" w:fill="auto"/>
            <w:vAlign w:val="center"/>
          </w:tcPr>
          <w:p>
            <w:pPr>
              <w:jc w:val="center"/>
              <w:rPr>
                <w:color w:val="000000"/>
                <w:szCs w:val="21"/>
              </w:rPr>
            </w:pPr>
            <w:r>
              <w:rPr>
                <w:rFonts w:hint="eastAsia"/>
                <w:color w:val="000000"/>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8</w:t>
            </w:r>
          </w:p>
        </w:tc>
        <w:tc>
          <w:tcPr>
            <w:tcW w:w="3940" w:type="dxa"/>
            <w:shd w:val="clear" w:color="auto" w:fill="auto"/>
            <w:vAlign w:val="center"/>
          </w:tcPr>
          <w:p>
            <w:pPr>
              <w:jc w:val="center"/>
              <w:rPr>
                <w:color w:val="000000"/>
                <w:szCs w:val="21"/>
              </w:rPr>
            </w:pPr>
            <w:r>
              <w:rPr>
                <w:rFonts w:hint="eastAsia"/>
                <w:color w:val="000000"/>
                <w:szCs w:val="21"/>
              </w:rPr>
              <w:t>辅材</w:t>
            </w:r>
          </w:p>
        </w:tc>
        <w:tc>
          <w:tcPr>
            <w:tcW w:w="940" w:type="dxa"/>
            <w:shd w:val="clear" w:color="auto" w:fill="auto"/>
            <w:vAlign w:val="center"/>
          </w:tcPr>
          <w:p>
            <w:pPr>
              <w:jc w:val="center"/>
              <w:rPr>
                <w:color w:val="000000"/>
                <w:szCs w:val="21"/>
              </w:rPr>
            </w:pPr>
            <w:r>
              <w:rPr>
                <w:rFonts w:hint="eastAsia"/>
                <w:color w:val="000000"/>
                <w:szCs w:val="21"/>
              </w:rPr>
              <w:t>项</w:t>
            </w:r>
          </w:p>
        </w:tc>
        <w:tc>
          <w:tcPr>
            <w:tcW w:w="880" w:type="dxa"/>
            <w:shd w:val="clear" w:color="auto" w:fill="auto"/>
            <w:vAlign w:val="center"/>
          </w:tcPr>
          <w:p>
            <w:pPr>
              <w:jc w:val="center"/>
              <w:rPr>
                <w:color w:val="000000"/>
                <w:szCs w:val="21"/>
              </w:rPr>
            </w:pPr>
            <w:r>
              <w:rPr>
                <w:rFonts w:hint="eastAsia"/>
                <w:color w:val="000000"/>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9</w:t>
            </w:r>
          </w:p>
        </w:tc>
        <w:tc>
          <w:tcPr>
            <w:tcW w:w="3940" w:type="dxa"/>
            <w:shd w:val="clear" w:color="auto" w:fill="auto"/>
            <w:vAlign w:val="center"/>
          </w:tcPr>
          <w:p>
            <w:pPr>
              <w:jc w:val="center"/>
              <w:rPr>
                <w:color w:val="000000"/>
                <w:szCs w:val="21"/>
              </w:rPr>
            </w:pPr>
            <w:r>
              <w:rPr>
                <w:rFonts w:hint="eastAsia"/>
                <w:color w:val="000000"/>
                <w:szCs w:val="21"/>
              </w:rPr>
              <w:t>安装调试</w:t>
            </w:r>
          </w:p>
        </w:tc>
        <w:tc>
          <w:tcPr>
            <w:tcW w:w="940" w:type="dxa"/>
            <w:shd w:val="clear" w:color="auto" w:fill="auto"/>
            <w:vAlign w:val="center"/>
          </w:tcPr>
          <w:p>
            <w:pPr>
              <w:jc w:val="center"/>
              <w:rPr>
                <w:color w:val="000000"/>
                <w:szCs w:val="21"/>
              </w:rPr>
            </w:pPr>
            <w:r>
              <w:rPr>
                <w:rFonts w:hint="eastAsia"/>
                <w:color w:val="000000"/>
                <w:szCs w:val="21"/>
              </w:rPr>
              <w:t>项</w:t>
            </w:r>
          </w:p>
        </w:tc>
        <w:tc>
          <w:tcPr>
            <w:tcW w:w="880" w:type="dxa"/>
            <w:shd w:val="clear" w:color="auto" w:fill="auto"/>
            <w:vAlign w:val="center"/>
          </w:tcPr>
          <w:p>
            <w:pPr>
              <w:jc w:val="center"/>
              <w:rPr>
                <w:color w:val="000000"/>
                <w:szCs w:val="21"/>
              </w:rPr>
            </w:pPr>
            <w:r>
              <w:rPr>
                <w:rFonts w:hint="eastAsia"/>
                <w:color w:val="000000"/>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156" w:type="dxa"/>
            <w:gridSpan w:val="5"/>
            <w:shd w:val="clear" w:color="auto" w:fill="auto"/>
            <w:vAlign w:val="center"/>
          </w:tcPr>
          <w:p>
            <w:pPr>
              <w:jc w:val="center"/>
              <w:rPr>
                <w:b/>
                <w:bCs/>
                <w:szCs w:val="21"/>
              </w:rPr>
            </w:pPr>
            <w:r>
              <w:rPr>
                <w:rFonts w:hint="eastAsia"/>
                <w:b/>
                <w:bCs/>
                <w:szCs w:val="21"/>
              </w:rPr>
              <w:t>4、县级融媒体中心（广播电视台）应急广播对接系统设备清单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序号</w:t>
            </w:r>
          </w:p>
        </w:tc>
        <w:tc>
          <w:tcPr>
            <w:tcW w:w="3940" w:type="dxa"/>
            <w:shd w:val="clear" w:color="auto" w:fill="auto"/>
            <w:vAlign w:val="center"/>
          </w:tcPr>
          <w:p>
            <w:pPr>
              <w:jc w:val="center"/>
              <w:rPr>
                <w:szCs w:val="21"/>
              </w:rPr>
            </w:pPr>
            <w:r>
              <w:rPr>
                <w:rFonts w:hint="eastAsia"/>
                <w:szCs w:val="21"/>
              </w:rPr>
              <w:t>项目设备名称</w:t>
            </w:r>
          </w:p>
        </w:tc>
        <w:tc>
          <w:tcPr>
            <w:tcW w:w="940" w:type="dxa"/>
            <w:shd w:val="clear" w:color="auto" w:fill="auto"/>
            <w:vAlign w:val="center"/>
          </w:tcPr>
          <w:p>
            <w:pPr>
              <w:jc w:val="center"/>
              <w:rPr>
                <w:szCs w:val="21"/>
              </w:rPr>
            </w:pPr>
            <w:r>
              <w:rPr>
                <w:rFonts w:hint="eastAsia"/>
                <w:szCs w:val="21"/>
              </w:rPr>
              <w:t>单位</w:t>
            </w:r>
          </w:p>
        </w:tc>
        <w:tc>
          <w:tcPr>
            <w:tcW w:w="880" w:type="dxa"/>
            <w:shd w:val="clear" w:color="auto" w:fill="auto"/>
            <w:vAlign w:val="center"/>
          </w:tcPr>
          <w:p>
            <w:pPr>
              <w:jc w:val="center"/>
              <w:rPr>
                <w:szCs w:val="21"/>
              </w:rPr>
            </w:pPr>
            <w:r>
              <w:rPr>
                <w:rFonts w:hint="eastAsia"/>
                <w:szCs w:val="21"/>
              </w:rPr>
              <w:t>数量</w:t>
            </w:r>
          </w:p>
        </w:tc>
        <w:tc>
          <w:tcPr>
            <w:tcW w:w="2120" w:type="dxa"/>
            <w:shd w:val="clear" w:color="auto" w:fill="auto"/>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276" w:type="dxa"/>
            <w:shd w:val="clear" w:color="auto" w:fill="auto"/>
            <w:vAlign w:val="center"/>
          </w:tcPr>
          <w:p>
            <w:pPr>
              <w:jc w:val="center"/>
              <w:rPr>
                <w:szCs w:val="21"/>
              </w:rPr>
            </w:pPr>
            <w:r>
              <w:rPr>
                <w:rFonts w:hint="eastAsia"/>
                <w:szCs w:val="21"/>
              </w:rPr>
              <w:t>1</w:t>
            </w:r>
          </w:p>
        </w:tc>
        <w:tc>
          <w:tcPr>
            <w:tcW w:w="3940" w:type="dxa"/>
            <w:shd w:val="clear" w:color="auto" w:fill="auto"/>
            <w:vAlign w:val="center"/>
          </w:tcPr>
          <w:p>
            <w:pPr>
              <w:jc w:val="center"/>
              <w:rPr>
                <w:szCs w:val="21"/>
              </w:rPr>
            </w:pPr>
            <w:r>
              <w:rPr>
                <w:rFonts w:hint="eastAsia"/>
                <w:szCs w:val="21"/>
              </w:rPr>
              <w:t>广播电视台应急广播适配器</w:t>
            </w:r>
          </w:p>
        </w:tc>
        <w:tc>
          <w:tcPr>
            <w:tcW w:w="940" w:type="dxa"/>
            <w:shd w:val="clear" w:color="auto" w:fill="auto"/>
            <w:vAlign w:val="center"/>
          </w:tcPr>
          <w:p>
            <w:pPr>
              <w:jc w:val="center"/>
              <w:rPr>
                <w:szCs w:val="21"/>
              </w:rPr>
            </w:pPr>
            <w:r>
              <w:rPr>
                <w:rFonts w:hint="eastAsia"/>
                <w:szCs w:val="21"/>
              </w:rPr>
              <w:t>套</w:t>
            </w:r>
          </w:p>
        </w:tc>
        <w:tc>
          <w:tcPr>
            <w:tcW w:w="880" w:type="dxa"/>
            <w:shd w:val="clear" w:color="auto" w:fill="auto"/>
            <w:vAlign w:val="center"/>
          </w:tcPr>
          <w:p>
            <w:pPr>
              <w:jc w:val="center"/>
              <w:rPr>
                <w:szCs w:val="21"/>
              </w:rPr>
            </w:pPr>
            <w:r>
              <w:rPr>
                <w:rFonts w:hint="eastAsia"/>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276" w:type="dxa"/>
            <w:shd w:val="clear" w:color="auto" w:fill="auto"/>
            <w:vAlign w:val="center"/>
          </w:tcPr>
          <w:p>
            <w:pPr>
              <w:jc w:val="center"/>
              <w:rPr>
                <w:szCs w:val="21"/>
              </w:rPr>
            </w:pPr>
            <w:r>
              <w:rPr>
                <w:rFonts w:hint="eastAsia"/>
                <w:szCs w:val="21"/>
              </w:rPr>
              <w:t>2</w:t>
            </w:r>
          </w:p>
        </w:tc>
        <w:tc>
          <w:tcPr>
            <w:tcW w:w="3940" w:type="dxa"/>
            <w:shd w:val="clear" w:color="auto" w:fill="auto"/>
            <w:vAlign w:val="center"/>
          </w:tcPr>
          <w:p>
            <w:pPr>
              <w:jc w:val="center"/>
              <w:rPr>
                <w:szCs w:val="21"/>
              </w:rPr>
            </w:pPr>
            <w:r>
              <w:rPr>
                <w:rFonts w:hint="eastAsia"/>
                <w:szCs w:val="21"/>
              </w:rPr>
              <w:t>USB 密码器</w:t>
            </w:r>
          </w:p>
        </w:tc>
        <w:tc>
          <w:tcPr>
            <w:tcW w:w="940" w:type="dxa"/>
            <w:shd w:val="clear" w:color="auto" w:fill="auto"/>
            <w:vAlign w:val="center"/>
          </w:tcPr>
          <w:p>
            <w:pPr>
              <w:jc w:val="center"/>
              <w:rPr>
                <w:szCs w:val="21"/>
              </w:rPr>
            </w:pPr>
            <w:r>
              <w:rPr>
                <w:rFonts w:hint="eastAsia"/>
                <w:szCs w:val="21"/>
              </w:rPr>
              <w:t>个</w:t>
            </w:r>
          </w:p>
        </w:tc>
        <w:tc>
          <w:tcPr>
            <w:tcW w:w="880" w:type="dxa"/>
            <w:shd w:val="clear" w:color="auto" w:fill="auto"/>
            <w:vAlign w:val="center"/>
          </w:tcPr>
          <w:p>
            <w:pPr>
              <w:jc w:val="center"/>
              <w:rPr>
                <w:szCs w:val="21"/>
              </w:rPr>
            </w:pPr>
            <w:r>
              <w:rPr>
                <w:rFonts w:hint="eastAsia"/>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3</w:t>
            </w:r>
          </w:p>
        </w:tc>
        <w:tc>
          <w:tcPr>
            <w:tcW w:w="3940" w:type="dxa"/>
            <w:shd w:val="clear" w:color="auto" w:fill="auto"/>
            <w:vAlign w:val="center"/>
          </w:tcPr>
          <w:p>
            <w:pPr>
              <w:jc w:val="center"/>
              <w:rPr>
                <w:szCs w:val="21"/>
              </w:rPr>
            </w:pPr>
            <w:r>
              <w:rPr>
                <w:rFonts w:hint="eastAsia"/>
                <w:szCs w:val="21"/>
              </w:rPr>
              <w:t>交换机</w:t>
            </w:r>
          </w:p>
        </w:tc>
        <w:tc>
          <w:tcPr>
            <w:tcW w:w="940" w:type="dxa"/>
            <w:shd w:val="clear" w:color="auto" w:fill="auto"/>
            <w:vAlign w:val="center"/>
          </w:tcPr>
          <w:p>
            <w:pPr>
              <w:jc w:val="center"/>
              <w:rPr>
                <w:szCs w:val="21"/>
              </w:rPr>
            </w:pPr>
            <w:r>
              <w:rPr>
                <w:rFonts w:hint="eastAsia"/>
                <w:szCs w:val="21"/>
              </w:rPr>
              <w:t>台</w:t>
            </w:r>
          </w:p>
        </w:tc>
        <w:tc>
          <w:tcPr>
            <w:tcW w:w="880" w:type="dxa"/>
            <w:shd w:val="clear" w:color="auto" w:fill="auto"/>
            <w:vAlign w:val="center"/>
          </w:tcPr>
          <w:p>
            <w:pPr>
              <w:jc w:val="center"/>
              <w:rPr>
                <w:szCs w:val="21"/>
              </w:rPr>
            </w:pPr>
            <w:r>
              <w:rPr>
                <w:rFonts w:hint="eastAsia"/>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4</w:t>
            </w:r>
          </w:p>
        </w:tc>
        <w:tc>
          <w:tcPr>
            <w:tcW w:w="3940" w:type="dxa"/>
            <w:shd w:val="clear" w:color="auto" w:fill="auto"/>
            <w:vAlign w:val="center"/>
          </w:tcPr>
          <w:p>
            <w:pPr>
              <w:jc w:val="center"/>
              <w:rPr>
                <w:szCs w:val="21"/>
              </w:rPr>
            </w:pPr>
            <w:r>
              <w:rPr>
                <w:rFonts w:hint="eastAsia"/>
                <w:szCs w:val="21"/>
              </w:rPr>
              <w:t>PC 工作站</w:t>
            </w:r>
          </w:p>
        </w:tc>
        <w:tc>
          <w:tcPr>
            <w:tcW w:w="940" w:type="dxa"/>
            <w:shd w:val="clear" w:color="auto" w:fill="auto"/>
            <w:vAlign w:val="center"/>
          </w:tcPr>
          <w:p>
            <w:pPr>
              <w:jc w:val="center"/>
              <w:rPr>
                <w:szCs w:val="21"/>
              </w:rPr>
            </w:pPr>
            <w:r>
              <w:rPr>
                <w:rFonts w:hint="eastAsia"/>
                <w:szCs w:val="21"/>
              </w:rPr>
              <w:t>台</w:t>
            </w:r>
          </w:p>
        </w:tc>
        <w:tc>
          <w:tcPr>
            <w:tcW w:w="880" w:type="dxa"/>
            <w:shd w:val="clear" w:color="auto" w:fill="auto"/>
            <w:vAlign w:val="center"/>
          </w:tcPr>
          <w:p>
            <w:pPr>
              <w:jc w:val="center"/>
              <w:rPr>
                <w:szCs w:val="21"/>
              </w:rPr>
            </w:pPr>
            <w:r>
              <w:rPr>
                <w:rFonts w:hint="eastAsia"/>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156" w:type="dxa"/>
            <w:gridSpan w:val="5"/>
            <w:shd w:val="clear" w:color="auto" w:fill="auto"/>
            <w:vAlign w:val="center"/>
          </w:tcPr>
          <w:p>
            <w:pPr>
              <w:jc w:val="center"/>
              <w:rPr>
                <w:b/>
                <w:bCs/>
                <w:szCs w:val="21"/>
              </w:rPr>
            </w:pPr>
            <w:r>
              <w:rPr>
                <w:rFonts w:hint="eastAsia"/>
                <w:b/>
                <w:bCs/>
                <w:szCs w:val="21"/>
              </w:rPr>
              <w:t>5、调频广播应急广播对接系统设备清单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序号</w:t>
            </w:r>
          </w:p>
        </w:tc>
        <w:tc>
          <w:tcPr>
            <w:tcW w:w="3940" w:type="dxa"/>
            <w:shd w:val="clear" w:color="auto" w:fill="auto"/>
            <w:vAlign w:val="center"/>
          </w:tcPr>
          <w:p>
            <w:pPr>
              <w:jc w:val="center"/>
              <w:rPr>
                <w:szCs w:val="21"/>
              </w:rPr>
            </w:pPr>
            <w:r>
              <w:rPr>
                <w:rFonts w:hint="eastAsia"/>
                <w:szCs w:val="21"/>
              </w:rPr>
              <w:t>项目设备名称</w:t>
            </w:r>
          </w:p>
        </w:tc>
        <w:tc>
          <w:tcPr>
            <w:tcW w:w="940" w:type="dxa"/>
            <w:shd w:val="clear" w:color="auto" w:fill="auto"/>
            <w:vAlign w:val="center"/>
          </w:tcPr>
          <w:p>
            <w:pPr>
              <w:jc w:val="center"/>
              <w:rPr>
                <w:szCs w:val="21"/>
              </w:rPr>
            </w:pPr>
            <w:r>
              <w:rPr>
                <w:rFonts w:hint="eastAsia"/>
                <w:szCs w:val="21"/>
              </w:rPr>
              <w:t>单位</w:t>
            </w:r>
          </w:p>
        </w:tc>
        <w:tc>
          <w:tcPr>
            <w:tcW w:w="880" w:type="dxa"/>
            <w:shd w:val="clear" w:color="auto" w:fill="auto"/>
            <w:vAlign w:val="center"/>
          </w:tcPr>
          <w:p>
            <w:pPr>
              <w:jc w:val="center"/>
              <w:rPr>
                <w:szCs w:val="21"/>
              </w:rPr>
            </w:pPr>
            <w:r>
              <w:rPr>
                <w:rFonts w:hint="eastAsia"/>
                <w:szCs w:val="21"/>
              </w:rPr>
              <w:t>数量</w:t>
            </w:r>
          </w:p>
        </w:tc>
        <w:tc>
          <w:tcPr>
            <w:tcW w:w="2120" w:type="dxa"/>
            <w:shd w:val="clear" w:color="auto" w:fill="auto"/>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276" w:type="dxa"/>
            <w:shd w:val="clear" w:color="auto" w:fill="auto"/>
            <w:vAlign w:val="center"/>
          </w:tcPr>
          <w:p>
            <w:pPr>
              <w:jc w:val="center"/>
              <w:rPr>
                <w:szCs w:val="21"/>
              </w:rPr>
            </w:pPr>
            <w:r>
              <w:rPr>
                <w:rFonts w:hint="eastAsia"/>
                <w:szCs w:val="21"/>
              </w:rPr>
              <w:t>1</w:t>
            </w:r>
          </w:p>
        </w:tc>
        <w:tc>
          <w:tcPr>
            <w:tcW w:w="3940" w:type="dxa"/>
            <w:shd w:val="clear" w:color="auto" w:fill="auto"/>
            <w:vAlign w:val="center"/>
          </w:tcPr>
          <w:p>
            <w:pPr>
              <w:jc w:val="center"/>
              <w:rPr>
                <w:szCs w:val="21"/>
              </w:rPr>
            </w:pPr>
            <w:r>
              <w:rPr>
                <w:rFonts w:hint="eastAsia"/>
                <w:szCs w:val="21"/>
              </w:rPr>
              <w:t>调频广播应急广播适配器</w:t>
            </w:r>
          </w:p>
        </w:tc>
        <w:tc>
          <w:tcPr>
            <w:tcW w:w="940" w:type="dxa"/>
            <w:shd w:val="clear" w:color="auto" w:fill="auto"/>
            <w:vAlign w:val="center"/>
          </w:tcPr>
          <w:p>
            <w:pPr>
              <w:jc w:val="center"/>
              <w:rPr>
                <w:szCs w:val="21"/>
              </w:rPr>
            </w:pPr>
            <w:r>
              <w:rPr>
                <w:rFonts w:hint="eastAsia"/>
                <w:szCs w:val="21"/>
              </w:rPr>
              <w:t>台</w:t>
            </w:r>
          </w:p>
        </w:tc>
        <w:tc>
          <w:tcPr>
            <w:tcW w:w="880" w:type="dxa"/>
            <w:shd w:val="clear" w:color="auto" w:fill="auto"/>
            <w:vAlign w:val="center"/>
          </w:tcPr>
          <w:p>
            <w:pPr>
              <w:jc w:val="center"/>
              <w:rPr>
                <w:szCs w:val="21"/>
              </w:rPr>
            </w:pPr>
            <w:r>
              <w:rPr>
                <w:rFonts w:hint="eastAsia"/>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2</w:t>
            </w:r>
          </w:p>
        </w:tc>
        <w:tc>
          <w:tcPr>
            <w:tcW w:w="3940" w:type="dxa"/>
            <w:shd w:val="clear" w:color="auto" w:fill="auto"/>
            <w:vAlign w:val="center"/>
          </w:tcPr>
          <w:p>
            <w:pPr>
              <w:jc w:val="center"/>
              <w:rPr>
                <w:szCs w:val="21"/>
              </w:rPr>
            </w:pPr>
            <w:r>
              <w:rPr>
                <w:rFonts w:hint="eastAsia"/>
                <w:szCs w:val="21"/>
              </w:rPr>
              <w:t>音频切换器</w:t>
            </w:r>
          </w:p>
        </w:tc>
        <w:tc>
          <w:tcPr>
            <w:tcW w:w="940" w:type="dxa"/>
            <w:shd w:val="clear" w:color="auto" w:fill="auto"/>
            <w:vAlign w:val="center"/>
          </w:tcPr>
          <w:p>
            <w:pPr>
              <w:jc w:val="center"/>
              <w:rPr>
                <w:szCs w:val="21"/>
              </w:rPr>
            </w:pPr>
            <w:r>
              <w:rPr>
                <w:rFonts w:hint="eastAsia"/>
                <w:szCs w:val="21"/>
              </w:rPr>
              <w:t>台</w:t>
            </w:r>
          </w:p>
        </w:tc>
        <w:tc>
          <w:tcPr>
            <w:tcW w:w="880" w:type="dxa"/>
            <w:shd w:val="clear" w:color="auto" w:fill="auto"/>
            <w:vAlign w:val="center"/>
          </w:tcPr>
          <w:p>
            <w:pPr>
              <w:jc w:val="center"/>
              <w:rPr>
                <w:szCs w:val="21"/>
              </w:rPr>
            </w:pPr>
            <w:r>
              <w:rPr>
                <w:rFonts w:hint="eastAsia"/>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156" w:type="dxa"/>
            <w:gridSpan w:val="5"/>
            <w:shd w:val="clear" w:color="auto" w:fill="auto"/>
            <w:vAlign w:val="center"/>
          </w:tcPr>
          <w:p>
            <w:pPr>
              <w:jc w:val="center"/>
              <w:rPr>
                <w:b/>
                <w:bCs/>
                <w:szCs w:val="21"/>
              </w:rPr>
            </w:pPr>
            <w:r>
              <w:rPr>
                <w:rFonts w:hint="eastAsia"/>
                <w:b/>
                <w:bCs/>
                <w:szCs w:val="21"/>
              </w:rPr>
              <w:t>6、地面数字电视应急广播对接系统设备清单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序号</w:t>
            </w:r>
          </w:p>
        </w:tc>
        <w:tc>
          <w:tcPr>
            <w:tcW w:w="3940" w:type="dxa"/>
            <w:shd w:val="clear" w:color="auto" w:fill="auto"/>
            <w:vAlign w:val="center"/>
          </w:tcPr>
          <w:p>
            <w:pPr>
              <w:jc w:val="center"/>
              <w:rPr>
                <w:szCs w:val="21"/>
              </w:rPr>
            </w:pPr>
            <w:r>
              <w:rPr>
                <w:rFonts w:hint="eastAsia"/>
                <w:szCs w:val="21"/>
              </w:rPr>
              <w:t>项目设备名称</w:t>
            </w:r>
          </w:p>
        </w:tc>
        <w:tc>
          <w:tcPr>
            <w:tcW w:w="940" w:type="dxa"/>
            <w:shd w:val="clear" w:color="auto" w:fill="auto"/>
            <w:vAlign w:val="center"/>
          </w:tcPr>
          <w:p>
            <w:pPr>
              <w:jc w:val="center"/>
              <w:rPr>
                <w:szCs w:val="21"/>
              </w:rPr>
            </w:pPr>
            <w:r>
              <w:rPr>
                <w:rFonts w:hint="eastAsia"/>
                <w:szCs w:val="21"/>
              </w:rPr>
              <w:t>单位</w:t>
            </w:r>
          </w:p>
        </w:tc>
        <w:tc>
          <w:tcPr>
            <w:tcW w:w="880" w:type="dxa"/>
            <w:shd w:val="clear" w:color="auto" w:fill="auto"/>
            <w:vAlign w:val="center"/>
          </w:tcPr>
          <w:p>
            <w:pPr>
              <w:jc w:val="center"/>
              <w:rPr>
                <w:szCs w:val="21"/>
              </w:rPr>
            </w:pPr>
            <w:r>
              <w:rPr>
                <w:rFonts w:hint="eastAsia"/>
                <w:szCs w:val="21"/>
              </w:rPr>
              <w:t>数量</w:t>
            </w:r>
          </w:p>
        </w:tc>
        <w:tc>
          <w:tcPr>
            <w:tcW w:w="2120" w:type="dxa"/>
            <w:shd w:val="clear" w:color="auto" w:fill="auto"/>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276" w:type="dxa"/>
            <w:shd w:val="clear" w:color="auto" w:fill="auto"/>
            <w:vAlign w:val="center"/>
          </w:tcPr>
          <w:p>
            <w:pPr>
              <w:jc w:val="center"/>
              <w:rPr>
                <w:szCs w:val="21"/>
              </w:rPr>
            </w:pPr>
            <w:r>
              <w:rPr>
                <w:rFonts w:hint="eastAsia"/>
                <w:szCs w:val="21"/>
              </w:rPr>
              <w:t>1</w:t>
            </w:r>
          </w:p>
        </w:tc>
        <w:tc>
          <w:tcPr>
            <w:tcW w:w="3940" w:type="dxa"/>
            <w:shd w:val="clear" w:color="auto" w:fill="auto"/>
            <w:vAlign w:val="center"/>
          </w:tcPr>
          <w:p>
            <w:pPr>
              <w:jc w:val="center"/>
              <w:rPr>
                <w:szCs w:val="21"/>
              </w:rPr>
            </w:pPr>
            <w:r>
              <w:rPr>
                <w:rFonts w:hint="eastAsia"/>
                <w:szCs w:val="21"/>
              </w:rPr>
              <w:t>地面数字电视应急广播适配器</w:t>
            </w:r>
          </w:p>
        </w:tc>
        <w:tc>
          <w:tcPr>
            <w:tcW w:w="940" w:type="dxa"/>
            <w:shd w:val="clear" w:color="auto" w:fill="auto"/>
            <w:vAlign w:val="center"/>
          </w:tcPr>
          <w:p>
            <w:pPr>
              <w:jc w:val="center"/>
              <w:rPr>
                <w:szCs w:val="21"/>
              </w:rPr>
            </w:pPr>
            <w:r>
              <w:rPr>
                <w:rFonts w:hint="eastAsia"/>
                <w:szCs w:val="21"/>
              </w:rPr>
              <w:t>台</w:t>
            </w:r>
          </w:p>
        </w:tc>
        <w:tc>
          <w:tcPr>
            <w:tcW w:w="880" w:type="dxa"/>
            <w:shd w:val="clear" w:color="auto" w:fill="auto"/>
            <w:vAlign w:val="center"/>
          </w:tcPr>
          <w:p>
            <w:pPr>
              <w:jc w:val="center"/>
              <w:rPr>
                <w:szCs w:val="21"/>
              </w:rPr>
            </w:pPr>
            <w:r>
              <w:rPr>
                <w:rFonts w:hint="eastAsia"/>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156" w:type="dxa"/>
            <w:gridSpan w:val="5"/>
            <w:shd w:val="clear" w:color="auto" w:fill="auto"/>
            <w:vAlign w:val="center"/>
          </w:tcPr>
          <w:p>
            <w:pPr>
              <w:jc w:val="center"/>
              <w:rPr>
                <w:b/>
                <w:bCs/>
                <w:szCs w:val="21"/>
              </w:rPr>
            </w:pPr>
            <w:r>
              <w:rPr>
                <w:rFonts w:hint="eastAsia"/>
                <w:b/>
                <w:bCs/>
                <w:szCs w:val="21"/>
              </w:rPr>
              <w:t>7、有线数字电视应急广播对接系统设备清单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序号</w:t>
            </w:r>
          </w:p>
        </w:tc>
        <w:tc>
          <w:tcPr>
            <w:tcW w:w="3940" w:type="dxa"/>
            <w:shd w:val="clear" w:color="auto" w:fill="auto"/>
            <w:vAlign w:val="center"/>
          </w:tcPr>
          <w:p>
            <w:pPr>
              <w:jc w:val="center"/>
              <w:rPr>
                <w:szCs w:val="21"/>
              </w:rPr>
            </w:pPr>
            <w:r>
              <w:rPr>
                <w:rFonts w:hint="eastAsia"/>
                <w:szCs w:val="21"/>
              </w:rPr>
              <w:t>项目设备名称</w:t>
            </w:r>
          </w:p>
        </w:tc>
        <w:tc>
          <w:tcPr>
            <w:tcW w:w="940" w:type="dxa"/>
            <w:shd w:val="clear" w:color="auto" w:fill="auto"/>
            <w:vAlign w:val="center"/>
          </w:tcPr>
          <w:p>
            <w:pPr>
              <w:jc w:val="center"/>
              <w:rPr>
                <w:szCs w:val="21"/>
              </w:rPr>
            </w:pPr>
            <w:r>
              <w:rPr>
                <w:rFonts w:hint="eastAsia"/>
                <w:szCs w:val="21"/>
              </w:rPr>
              <w:t>单位</w:t>
            </w:r>
          </w:p>
        </w:tc>
        <w:tc>
          <w:tcPr>
            <w:tcW w:w="880" w:type="dxa"/>
            <w:shd w:val="clear" w:color="auto" w:fill="auto"/>
            <w:vAlign w:val="center"/>
          </w:tcPr>
          <w:p>
            <w:pPr>
              <w:jc w:val="center"/>
              <w:rPr>
                <w:szCs w:val="21"/>
              </w:rPr>
            </w:pPr>
            <w:r>
              <w:rPr>
                <w:rFonts w:hint="eastAsia"/>
                <w:szCs w:val="21"/>
              </w:rPr>
              <w:t>数量</w:t>
            </w:r>
          </w:p>
        </w:tc>
        <w:tc>
          <w:tcPr>
            <w:tcW w:w="2120" w:type="dxa"/>
            <w:shd w:val="clear" w:color="auto" w:fill="auto"/>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276" w:type="dxa"/>
            <w:shd w:val="clear" w:color="auto" w:fill="auto"/>
            <w:vAlign w:val="center"/>
          </w:tcPr>
          <w:p>
            <w:pPr>
              <w:jc w:val="center"/>
              <w:rPr>
                <w:szCs w:val="21"/>
              </w:rPr>
            </w:pPr>
            <w:r>
              <w:rPr>
                <w:rFonts w:hint="eastAsia"/>
                <w:szCs w:val="21"/>
              </w:rPr>
              <w:t>1</w:t>
            </w:r>
          </w:p>
        </w:tc>
        <w:tc>
          <w:tcPr>
            <w:tcW w:w="3940" w:type="dxa"/>
            <w:shd w:val="clear" w:color="auto" w:fill="auto"/>
            <w:vAlign w:val="center"/>
          </w:tcPr>
          <w:p>
            <w:pPr>
              <w:jc w:val="center"/>
              <w:rPr>
                <w:szCs w:val="21"/>
              </w:rPr>
            </w:pPr>
            <w:r>
              <w:rPr>
                <w:rFonts w:hint="eastAsia"/>
                <w:szCs w:val="21"/>
              </w:rPr>
              <w:t>有线数字电视应急广播适配器</w:t>
            </w:r>
          </w:p>
        </w:tc>
        <w:tc>
          <w:tcPr>
            <w:tcW w:w="940" w:type="dxa"/>
            <w:shd w:val="clear" w:color="auto" w:fill="auto"/>
            <w:vAlign w:val="center"/>
          </w:tcPr>
          <w:p>
            <w:pPr>
              <w:jc w:val="center"/>
              <w:rPr>
                <w:szCs w:val="21"/>
              </w:rPr>
            </w:pPr>
            <w:r>
              <w:rPr>
                <w:rFonts w:hint="eastAsia"/>
                <w:szCs w:val="21"/>
              </w:rPr>
              <w:t>台</w:t>
            </w:r>
          </w:p>
        </w:tc>
        <w:tc>
          <w:tcPr>
            <w:tcW w:w="880" w:type="dxa"/>
            <w:shd w:val="clear" w:color="auto" w:fill="auto"/>
            <w:vAlign w:val="center"/>
          </w:tcPr>
          <w:p>
            <w:pPr>
              <w:jc w:val="center"/>
              <w:rPr>
                <w:szCs w:val="21"/>
              </w:rPr>
            </w:pPr>
            <w:r>
              <w:rPr>
                <w:rFonts w:hint="eastAsia"/>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6" w:type="dxa"/>
            <w:shd w:val="clear" w:color="auto" w:fill="auto"/>
            <w:vAlign w:val="center"/>
          </w:tcPr>
          <w:p>
            <w:pPr>
              <w:jc w:val="center"/>
              <w:rPr>
                <w:szCs w:val="21"/>
              </w:rPr>
            </w:pPr>
            <w:r>
              <w:rPr>
                <w:rFonts w:hint="eastAsia"/>
                <w:szCs w:val="21"/>
              </w:rPr>
              <w:t>2</w:t>
            </w:r>
          </w:p>
        </w:tc>
        <w:tc>
          <w:tcPr>
            <w:tcW w:w="3940" w:type="dxa"/>
            <w:shd w:val="clear" w:color="auto" w:fill="auto"/>
            <w:vAlign w:val="center"/>
          </w:tcPr>
          <w:p>
            <w:pPr>
              <w:jc w:val="center"/>
              <w:rPr>
                <w:szCs w:val="21"/>
              </w:rPr>
            </w:pPr>
            <w:r>
              <w:rPr>
                <w:rFonts w:hint="eastAsia"/>
                <w:szCs w:val="21"/>
              </w:rPr>
              <w:t>有线数字电视QAM调制器</w:t>
            </w:r>
          </w:p>
        </w:tc>
        <w:tc>
          <w:tcPr>
            <w:tcW w:w="940" w:type="dxa"/>
            <w:shd w:val="clear" w:color="auto" w:fill="auto"/>
            <w:vAlign w:val="center"/>
          </w:tcPr>
          <w:p>
            <w:pPr>
              <w:jc w:val="center"/>
              <w:rPr>
                <w:szCs w:val="21"/>
              </w:rPr>
            </w:pPr>
            <w:r>
              <w:rPr>
                <w:rFonts w:hint="eastAsia"/>
                <w:szCs w:val="21"/>
              </w:rPr>
              <w:t>台</w:t>
            </w:r>
          </w:p>
        </w:tc>
        <w:tc>
          <w:tcPr>
            <w:tcW w:w="880" w:type="dxa"/>
            <w:shd w:val="clear" w:color="auto" w:fill="auto"/>
            <w:vAlign w:val="center"/>
          </w:tcPr>
          <w:p>
            <w:pPr>
              <w:jc w:val="center"/>
              <w:rPr>
                <w:szCs w:val="21"/>
              </w:rPr>
            </w:pPr>
            <w:r>
              <w:rPr>
                <w:rFonts w:hint="eastAsia"/>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76" w:type="dxa"/>
            <w:shd w:val="clear" w:color="auto" w:fill="auto"/>
            <w:vAlign w:val="center"/>
          </w:tcPr>
          <w:p>
            <w:pPr>
              <w:jc w:val="center"/>
              <w:rPr>
                <w:szCs w:val="21"/>
              </w:rPr>
            </w:pPr>
            <w:r>
              <w:rPr>
                <w:rFonts w:hint="eastAsia"/>
                <w:szCs w:val="21"/>
              </w:rPr>
              <w:t>3</w:t>
            </w:r>
          </w:p>
        </w:tc>
        <w:tc>
          <w:tcPr>
            <w:tcW w:w="3940" w:type="dxa"/>
            <w:shd w:val="clear" w:color="auto" w:fill="auto"/>
            <w:vAlign w:val="center"/>
          </w:tcPr>
          <w:p>
            <w:pPr>
              <w:jc w:val="center"/>
              <w:rPr>
                <w:szCs w:val="21"/>
              </w:rPr>
            </w:pPr>
            <w:r>
              <w:rPr>
                <w:rFonts w:hint="eastAsia"/>
                <w:szCs w:val="21"/>
              </w:rPr>
              <w:t>IP复用器</w:t>
            </w:r>
          </w:p>
        </w:tc>
        <w:tc>
          <w:tcPr>
            <w:tcW w:w="940" w:type="dxa"/>
            <w:shd w:val="clear" w:color="auto" w:fill="auto"/>
            <w:vAlign w:val="center"/>
          </w:tcPr>
          <w:p>
            <w:pPr>
              <w:jc w:val="center"/>
              <w:rPr>
                <w:szCs w:val="21"/>
              </w:rPr>
            </w:pPr>
            <w:r>
              <w:rPr>
                <w:rFonts w:hint="eastAsia"/>
                <w:szCs w:val="21"/>
              </w:rPr>
              <w:t>台</w:t>
            </w:r>
          </w:p>
        </w:tc>
        <w:tc>
          <w:tcPr>
            <w:tcW w:w="880" w:type="dxa"/>
            <w:shd w:val="clear" w:color="auto" w:fill="auto"/>
            <w:vAlign w:val="center"/>
          </w:tcPr>
          <w:p>
            <w:pPr>
              <w:jc w:val="center"/>
              <w:rPr>
                <w:szCs w:val="21"/>
              </w:rPr>
            </w:pPr>
            <w:r>
              <w:rPr>
                <w:rFonts w:hint="eastAsia"/>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156" w:type="dxa"/>
            <w:gridSpan w:val="5"/>
            <w:shd w:val="clear" w:color="auto" w:fill="auto"/>
            <w:vAlign w:val="center"/>
          </w:tcPr>
          <w:p>
            <w:pPr>
              <w:jc w:val="center"/>
              <w:rPr>
                <w:b/>
                <w:bCs/>
                <w:szCs w:val="21"/>
              </w:rPr>
            </w:pPr>
            <w:r>
              <w:rPr>
                <w:rFonts w:hint="eastAsia"/>
                <w:b/>
                <w:bCs/>
                <w:szCs w:val="21"/>
              </w:rPr>
              <w:t>8、机房环境监测系统设备清单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序号</w:t>
            </w:r>
          </w:p>
        </w:tc>
        <w:tc>
          <w:tcPr>
            <w:tcW w:w="3940" w:type="dxa"/>
            <w:shd w:val="clear" w:color="auto" w:fill="auto"/>
            <w:vAlign w:val="center"/>
          </w:tcPr>
          <w:p>
            <w:pPr>
              <w:jc w:val="center"/>
              <w:rPr>
                <w:szCs w:val="21"/>
              </w:rPr>
            </w:pPr>
            <w:r>
              <w:rPr>
                <w:rFonts w:hint="eastAsia"/>
                <w:szCs w:val="21"/>
              </w:rPr>
              <w:t>项目设备名称</w:t>
            </w:r>
          </w:p>
        </w:tc>
        <w:tc>
          <w:tcPr>
            <w:tcW w:w="940" w:type="dxa"/>
            <w:shd w:val="clear" w:color="auto" w:fill="auto"/>
            <w:vAlign w:val="center"/>
          </w:tcPr>
          <w:p>
            <w:pPr>
              <w:jc w:val="center"/>
              <w:rPr>
                <w:szCs w:val="21"/>
              </w:rPr>
            </w:pPr>
            <w:r>
              <w:rPr>
                <w:rFonts w:hint="eastAsia"/>
                <w:szCs w:val="21"/>
              </w:rPr>
              <w:t>单位</w:t>
            </w:r>
          </w:p>
        </w:tc>
        <w:tc>
          <w:tcPr>
            <w:tcW w:w="880" w:type="dxa"/>
            <w:shd w:val="clear" w:color="auto" w:fill="auto"/>
            <w:vAlign w:val="center"/>
          </w:tcPr>
          <w:p>
            <w:pPr>
              <w:jc w:val="center"/>
              <w:rPr>
                <w:szCs w:val="21"/>
              </w:rPr>
            </w:pPr>
            <w:r>
              <w:rPr>
                <w:rFonts w:hint="eastAsia"/>
                <w:szCs w:val="21"/>
              </w:rPr>
              <w:t>数量</w:t>
            </w:r>
          </w:p>
        </w:tc>
        <w:tc>
          <w:tcPr>
            <w:tcW w:w="2120" w:type="dxa"/>
            <w:shd w:val="clear" w:color="auto" w:fill="auto"/>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276" w:type="dxa"/>
            <w:shd w:val="clear" w:color="auto" w:fill="auto"/>
            <w:vAlign w:val="center"/>
          </w:tcPr>
          <w:p>
            <w:pPr>
              <w:jc w:val="center"/>
              <w:rPr>
                <w:color w:val="000000"/>
                <w:szCs w:val="21"/>
              </w:rPr>
            </w:pPr>
            <w:r>
              <w:rPr>
                <w:rFonts w:hint="eastAsia"/>
                <w:color w:val="000000"/>
                <w:szCs w:val="21"/>
              </w:rPr>
              <w:t>1</w:t>
            </w:r>
          </w:p>
        </w:tc>
        <w:tc>
          <w:tcPr>
            <w:tcW w:w="3940" w:type="dxa"/>
            <w:shd w:val="clear" w:color="auto" w:fill="auto"/>
            <w:vAlign w:val="center"/>
          </w:tcPr>
          <w:p>
            <w:pPr>
              <w:jc w:val="center"/>
              <w:rPr>
                <w:color w:val="000000"/>
                <w:szCs w:val="21"/>
              </w:rPr>
            </w:pPr>
            <w:r>
              <w:rPr>
                <w:rFonts w:hint="eastAsia"/>
                <w:color w:val="000000"/>
                <w:szCs w:val="21"/>
              </w:rPr>
              <w:t>网络摄像头</w:t>
            </w:r>
          </w:p>
        </w:tc>
        <w:tc>
          <w:tcPr>
            <w:tcW w:w="940" w:type="dxa"/>
            <w:shd w:val="clear" w:color="auto" w:fill="auto"/>
            <w:vAlign w:val="center"/>
          </w:tcPr>
          <w:p>
            <w:pPr>
              <w:jc w:val="center"/>
              <w:rPr>
                <w:color w:val="000000"/>
                <w:szCs w:val="21"/>
              </w:rPr>
            </w:pPr>
            <w:r>
              <w:rPr>
                <w:rFonts w:hint="eastAsia"/>
                <w:color w:val="000000"/>
                <w:szCs w:val="21"/>
              </w:rPr>
              <w:t>台</w:t>
            </w:r>
          </w:p>
        </w:tc>
        <w:tc>
          <w:tcPr>
            <w:tcW w:w="880" w:type="dxa"/>
            <w:shd w:val="clear" w:color="auto" w:fill="auto"/>
            <w:vAlign w:val="center"/>
          </w:tcPr>
          <w:p>
            <w:pPr>
              <w:jc w:val="center"/>
              <w:rPr>
                <w:color w:val="000000"/>
                <w:szCs w:val="21"/>
              </w:rPr>
            </w:pPr>
            <w:r>
              <w:rPr>
                <w:rFonts w:hint="eastAsia"/>
                <w:color w:val="000000"/>
                <w:szCs w:val="21"/>
              </w:rPr>
              <w:t>2</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color w:val="000000"/>
                <w:szCs w:val="21"/>
              </w:rPr>
            </w:pPr>
            <w:r>
              <w:rPr>
                <w:rFonts w:hint="eastAsia"/>
                <w:color w:val="000000"/>
                <w:szCs w:val="21"/>
              </w:rPr>
              <w:t>2</w:t>
            </w:r>
          </w:p>
        </w:tc>
        <w:tc>
          <w:tcPr>
            <w:tcW w:w="3940" w:type="dxa"/>
            <w:shd w:val="clear" w:color="auto" w:fill="auto"/>
            <w:vAlign w:val="center"/>
          </w:tcPr>
          <w:p>
            <w:pPr>
              <w:jc w:val="center"/>
              <w:rPr>
                <w:color w:val="000000"/>
                <w:szCs w:val="21"/>
              </w:rPr>
            </w:pPr>
            <w:r>
              <w:rPr>
                <w:rFonts w:hint="eastAsia"/>
                <w:color w:val="000000"/>
                <w:szCs w:val="21"/>
              </w:rPr>
              <w:t>4 路硬盘刻录机</w:t>
            </w:r>
          </w:p>
        </w:tc>
        <w:tc>
          <w:tcPr>
            <w:tcW w:w="940" w:type="dxa"/>
            <w:shd w:val="clear" w:color="auto" w:fill="auto"/>
            <w:vAlign w:val="center"/>
          </w:tcPr>
          <w:p>
            <w:pPr>
              <w:jc w:val="center"/>
              <w:rPr>
                <w:color w:val="000000"/>
                <w:szCs w:val="21"/>
              </w:rPr>
            </w:pPr>
            <w:r>
              <w:rPr>
                <w:rFonts w:hint="eastAsia"/>
                <w:color w:val="000000"/>
                <w:szCs w:val="21"/>
              </w:rPr>
              <w:t>套</w:t>
            </w:r>
          </w:p>
        </w:tc>
        <w:tc>
          <w:tcPr>
            <w:tcW w:w="880" w:type="dxa"/>
            <w:shd w:val="clear" w:color="auto" w:fill="auto"/>
            <w:vAlign w:val="center"/>
          </w:tcPr>
          <w:p>
            <w:pPr>
              <w:jc w:val="center"/>
              <w:rPr>
                <w:color w:val="000000"/>
                <w:szCs w:val="21"/>
              </w:rPr>
            </w:pPr>
            <w:r>
              <w:rPr>
                <w:rFonts w:hint="eastAsia"/>
                <w:color w:val="000000"/>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color w:val="000000"/>
                <w:szCs w:val="21"/>
              </w:rPr>
            </w:pPr>
            <w:r>
              <w:rPr>
                <w:rFonts w:hint="eastAsia"/>
                <w:color w:val="000000"/>
                <w:szCs w:val="21"/>
              </w:rPr>
              <w:t>3</w:t>
            </w:r>
          </w:p>
        </w:tc>
        <w:tc>
          <w:tcPr>
            <w:tcW w:w="3940" w:type="dxa"/>
            <w:shd w:val="clear" w:color="auto" w:fill="auto"/>
            <w:vAlign w:val="center"/>
          </w:tcPr>
          <w:p>
            <w:pPr>
              <w:jc w:val="center"/>
              <w:rPr>
                <w:color w:val="000000"/>
                <w:szCs w:val="21"/>
              </w:rPr>
            </w:pPr>
            <w:r>
              <w:rPr>
                <w:rFonts w:hint="eastAsia"/>
                <w:color w:val="000000"/>
                <w:szCs w:val="21"/>
              </w:rPr>
              <w:t>门禁系统</w:t>
            </w:r>
          </w:p>
        </w:tc>
        <w:tc>
          <w:tcPr>
            <w:tcW w:w="940" w:type="dxa"/>
            <w:shd w:val="clear" w:color="auto" w:fill="auto"/>
            <w:vAlign w:val="center"/>
          </w:tcPr>
          <w:p>
            <w:pPr>
              <w:jc w:val="center"/>
              <w:rPr>
                <w:color w:val="000000"/>
                <w:szCs w:val="21"/>
              </w:rPr>
            </w:pPr>
            <w:r>
              <w:rPr>
                <w:rFonts w:hint="eastAsia"/>
                <w:color w:val="000000"/>
                <w:szCs w:val="21"/>
              </w:rPr>
              <w:t>套</w:t>
            </w:r>
          </w:p>
        </w:tc>
        <w:tc>
          <w:tcPr>
            <w:tcW w:w="880" w:type="dxa"/>
            <w:shd w:val="clear" w:color="auto" w:fill="auto"/>
            <w:vAlign w:val="center"/>
          </w:tcPr>
          <w:p>
            <w:pPr>
              <w:jc w:val="center"/>
              <w:rPr>
                <w:color w:val="000000"/>
                <w:szCs w:val="21"/>
              </w:rPr>
            </w:pPr>
            <w:r>
              <w:rPr>
                <w:rFonts w:hint="eastAsia"/>
                <w:color w:val="000000"/>
                <w:szCs w:val="21"/>
              </w:rPr>
              <w:t>2</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color w:val="000000"/>
                <w:szCs w:val="21"/>
              </w:rPr>
            </w:pPr>
            <w:r>
              <w:rPr>
                <w:rFonts w:hint="eastAsia"/>
                <w:color w:val="000000"/>
                <w:szCs w:val="21"/>
              </w:rPr>
              <w:t>4</w:t>
            </w:r>
          </w:p>
        </w:tc>
        <w:tc>
          <w:tcPr>
            <w:tcW w:w="3940" w:type="dxa"/>
            <w:shd w:val="clear" w:color="auto" w:fill="auto"/>
            <w:vAlign w:val="center"/>
          </w:tcPr>
          <w:p>
            <w:pPr>
              <w:jc w:val="center"/>
              <w:rPr>
                <w:color w:val="000000"/>
                <w:szCs w:val="21"/>
              </w:rPr>
            </w:pPr>
            <w:r>
              <w:rPr>
                <w:rFonts w:hint="eastAsia"/>
                <w:color w:val="000000"/>
                <w:szCs w:val="21"/>
              </w:rPr>
              <w:t>环境监测主机</w:t>
            </w:r>
          </w:p>
        </w:tc>
        <w:tc>
          <w:tcPr>
            <w:tcW w:w="940" w:type="dxa"/>
            <w:shd w:val="clear" w:color="auto" w:fill="auto"/>
            <w:vAlign w:val="center"/>
          </w:tcPr>
          <w:p>
            <w:pPr>
              <w:jc w:val="center"/>
              <w:rPr>
                <w:color w:val="000000"/>
                <w:szCs w:val="21"/>
              </w:rPr>
            </w:pPr>
            <w:r>
              <w:rPr>
                <w:rFonts w:hint="eastAsia"/>
                <w:color w:val="000000"/>
                <w:szCs w:val="21"/>
              </w:rPr>
              <w:t>台</w:t>
            </w:r>
          </w:p>
        </w:tc>
        <w:tc>
          <w:tcPr>
            <w:tcW w:w="880" w:type="dxa"/>
            <w:shd w:val="clear" w:color="auto" w:fill="auto"/>
            <w:vAlign w:val="center"/>
          </w:tcPr>
          <w:p>
            <w:pPr>
              <w:jc w:val="center"/>
              <w:rPr>
                <w:color w:val="000000"/>
                <w:szCs w:val="21"/>
              </w:rPr>
            </w:pPr>
            <w:r>
              <w:rPr>
                <w:rFonts w:hint="eastAsia"/>
                <w:color w:val="000000"/>
                <w:szCs w:val="21"/>
              </w:rPr>
              <w:t>1</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color w:val="000000"/>
                <w:szCs w:val="21"/>
              </w:rPr>
            </w:pPr>
            <w:r>
              <w:rPr>
                <w:rFonts w:hint="eastAsia"/>
                <w:color w:val="000000"/>
                <w:szCs w:val="21"/>
              </w:rPr>
              <w:t>5</w:t>
            </w:r>
          </w:p>
        </w:tc>
        <w:tc>
          <w:tcPr>
            <w:tcW w:w="3940" w:type="dxa"/>
            <w:shd w:val="clear" w:color="auto" w:fill="auto"/>
            <w:vAlign w:val="center"/>
          </w:tcPr>
          <w:p>
            <w:pPr>
              <w:jc w:val="center"/>
              <w:rPr>
                <w:color w:val="000000"/>
                <w:szCs w:val="21"/>
              </w:rPr>
            </w:pPr>
            <w:r>
              <w:rPr>
                <w:rFonts w:hint="eastAsia"/>
                <w:color w:val="000000"/>
                <w:szCs w:val="21"/>
              </w:rPr>
              <w:t>温湿度传感器</w:t>
            </w:r>
          </w:p>
        </w:tc>
        <w:tc>
          <w:tcPr>
            <w:tcW w:w="940" w:type="dxa"/>
            <w:shd w:val="clear" w:color="auto" w:fill="auto"/>
            <w:vAlign w:val="center"/>
          </w:tcPr>
          <w:p>
            <w:pPr>
              <w:jc w:val="center"/>
              <w:rPr>
                <w:color w:val="000000"/>
                <w:szCs w:val="21"/>
              </w:rPr>
            </w:pPr>
            <w:r>
              <w:rPr>
                <w:rFonts w:hint="eastAsia"/>
                <w:color w:val="000000"/>
                <w:szCs w:val="21"/>
              </w:rPr>
              <w:t>套</w:t>
            </w:r>
          </w:p>
        </w:tc>
        <w:tc>
          <w:tcPr>
            <w:tcW w:w="880" w:type="dxa"/>
            <w:shd w:val="clear" w:color="auto" w:fill="auto"/>
            <w:vAlign w:val="center"/>
          </w:tcPr>
          <w:p>
            <w:pPr>
              <w:jc w:val="center"/>
              <w:rPr>
                <w:color w:val="000000"/>
                <w:szCs w:val="21"/>
              </w:rPr>
            </w:pPr>
            <w:r>
              <w:rPr>
                <w:rFonts w:hint="eastAsia"/>
                <w:color w:val="000000"/>
                <w:szCs w:val="21"/>
              </w:rPr>
              <w:t>2</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color w:val="000000"/>
                <w:szCs w:val="21"/>
              </w:rPr>
            </w:pPr>
            <w:r>
              <w:rPr>
                <w:rFonts w:hint="eastAsia"/>
                <w:color w:val="000000"/>
                <w:szCs w:val="21"/>
              </w:rPr>
              <w:t>6</w:t>
            </w:r>
          </w:p>
        </w:tc>
        <w:tc>
          <w:tcPr>
            <w:tcW w:w="3940" w:type="dxa"/>
            <w:shd w:val="clear" w:color="auto" w:fill="auto"/>
            <w:vAlign w:val="center"/>
          </w:tcPr>
          <w:p>
            <w:pPr>
              <w:jc w:val="center"/>
              <w:rPr>
                <w:color w:val="000000"/>
                <w:szCs w:val="21"/>
              </w:rPr>
            </w:pPr>
            <w:r>
              <w:rPr>
                <w:rFonts w:hint="eastAsia"/>
                <w:color w:val="000000"/>
                <w:szCs w:val="21"/>
              </w:rPr>
              <w:t>烟雾传感器</w:t>
            </w:r>
          </w:p>
        </w:tc>
        <w:tc>
          <w:tcPr>
            <w:tcW w:w="940" w:type="dxa"/>
            <w:shd w:val="clear" w:color="auto" w:fill="auto"/>
            <w:vAlign w:val="center"/>
          </w:tcPr>
          <w:p>
            <w:pPr>
              <w:jc w:val="center"/>
              <w:rPr>
                <w:color w:val="000000"/>
                <w:szCs w:val="21"/>
              </w:rPr>
            </w:pPr>
            <w:r>
              <w:rPr>
                <w:rFonts w:hint="eastAsia"/>
                <w:color w:val="000000"/>
                <w:szCs w:val="21"/>
              </w:rPr>
              <w:t>套</w:t>
            </w:r>
          </w:p>
        </w:tc>
        <w:tc>
          <w:tcPr>
            <w:tcW w:w="880" w:type="dxa"/>
            <w:shd w:val="clear" w:color="auto" w:fill="auto"/>
            <w:vAlign w:val="center"/>
          </w:tcPr>
          <w:p>
            <w:pPr>
              <w:jc w:val="center"/>
              <w:rPr>
                <w:color w:val="000000"/>
                <w:szCs w:val="21"/>
              </w:rPr>
            </w:pPr>
            <w:r>
              <w:rPr>
                <w:rFonts w:hint="eastAsia"/>
                <w:color w:val="000000"/>
                <w:szCs w:val="21"/>
              </w:rPr>
              <w:t>2</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color w:val="000000"/>
                <w:szCs w:val="21"/>
              </w:rPr>
            </w:pPr>
            <w:r>
              <w:rPr>
                <w:rFonts w:hint="eastAsia"/>
                <w:color w:val="000000"/>
                <w:szCs w:val="21"/>
              </w:rPr>
              <w:t>7</w:t>
            </w:r>
          </w:p>
        </w:tc>
        <w:tc>
          <w:tcPr>
            <w:tcW w:w="3940" w:type="dxa"/>
            <w:shd w:val="clear" w:color="auto" w:fill="auto"/>
            <w:vAlign w:val="center"/>
          </w:tcPr>
          <w:p>
            <w:pPr>
              <w:jc w:val="center"/>
              <w:rPr>
                <w:color w:val="000000"/>
                <w:szCs w:val="21"/>
              </w:rPr>
            </w:pPr>
            <w:r>
              <w:rPr>
                <w:rFonts w:hint="eastAsia"/>
                <w:color w:val="000000"/>
                <w:szCs w:val="21"/>
              </w:rPr>
              <w:t>漏水报警传感器</w:t>
            </w:r>
          </w:p>
        </w:tc>
        <w:tc>
          <w:tcPr>
            <w:tcW w:w="940" w:type="dxa"/>
            <w:shd w:val="clear" w:color="auto" w:fill="auto"/>
            <w:vAlign w:val="center"/>
          </w:tcPr>
          <w:p>
            <w:pPr>
              <w:jc w:val="center"/>
              <w:rPr>
                <w:color w:val="000000"/>
                <w:szCs w:val="21"/>
              </w:rPr>
            </w:pPr>
            <w:r>
              <w:rPr>
                <w:rFonts w:hint="eastAsia"/>
                <w:color w:val="000000"/>
                <w:szCs w:val="21"/>
              </w:rPr>
              <w:t>套</w:t>
            </w:r>
          </w:p>
        </w:tc>
        <w:tc>
          <w:tcPr>
            <w:tcW w:w="880" w:type="dxa"/>
            <w:shd w:val="clear" w:color="auto" w:fill="auto"/>
            <w:vAlign w:val="center"/>
          </w:tcPr>
          <w:p>
            <w:pPr>
              <w:jc w:val="center"/>
              <w:rPr>
                <w:color w:val="000000"/>
                <w:szCs w:val="21"/>
              </w:rPr>
            </w:pPr>
            <w:r>
              <w:rPr>
                <w:rFonts w:hint="eastAsia"/>
                <w:color w:val="000000"/>
                <w:szCs w:val="21"/>
              </w:rPr>
              <w:t>2</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156" w:type="dxa"/>
            <w:gridSpan w:val="5"/>
            <w:shd w:val="clear" w:color="auto" w:fill="auto"/>
            <w:vAlign w:val="center"/>
          </w:tcPr>
          <w:p>
            <w:pPr>
              <w:jc w:val="center"/>
              <w:rPr>
                <w:b/>
                <w:bCs/>
                <w:szCs w:val="21"/>
              </w:rPr>
            </w:pPr>
            <w:r>
              <w:rPr>
                <w:rFonts w:hint="eastAsia"/>
                <w:b/>
                <w:bCs/>
                <w:szCs w:val="21"/>
              </w:rPr>
              <w:t>9、乡镇应急广播分控平台及终端设备清单（8个乡镇）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序号</w:t>
            </w:r>
          </w:p>
        </w:tc>
        <w:tc>
          <w:tcPr>
            <w:tcW w:w="3940" w:type="dxa"/>
            <w:shd w:val="clear" w:color="auto" w:fill="auto"/>
            <w:vAlign w:val="center"/>
          </w:tcPr>
          <w:p>
            <w:pPr>
              <w:jc w:val="center"/>
              <w:rPr>
                <w:szCs w:val="21"/>
              </w:rPr>
            </w:pPr>
            <w:r>
              <w:rPr>
                <w:rFonts w:hint="eastAsia"/>
                <w:szCs w:val="21"/>
              </w:rPr>
              <w:t>项目设备名称</w:t>
            </w:r>
          </w:p>
        </w:tc>
        <w:tc>
          <w:tcPr>
            <w:tcW w:w="940" w:type="dxa"/>
            <w:shd w:val="clear" w:color="auto" w:fill="auto"/>
            <w:vAlign w:val="center"/>
          </w:tcPr>
          <w:p>
            <w:pPr>
              <w:jc w:val="center"/>
              <w:rPr>
                <w:szCs w:val="21"/>
              </w:rPr>
            </w:pPr>
            <w:r>
              <w:rPr>
                <w:rFonts w:hint="eastAsia"/>
                <w:szCs w:val="21"/>
              </w:rPr>
              <w:t>单位</w:t>
            </w:r>
          </w:p>
        </w:tc>
        <w:tc>
          <w:tcPr>
            <w:tcW w:w="880" w:type="dxa"/>
            <w:shd w:val="clear" w:color="auto" w:fill="auto"/>
            <w:vAlign w:val="center"/>
          </w:tcPr>
          <w:p>
            <w:pPr>
              <w:jc w:val="center"/>
              <w:rPr>
                <w:szCs w:val="21"/>
              </w:rPr>
            </w:pPr>
            <w:r>
              <w:rPr>
                <w:rFonts w:hint="eastAsia"/>
                <w:szCs w:val="21"/>
              </w:rPr>
              <w:t>数量</w:t>
            </w:r>
          </w:p>
        </w:tc>
        <w:tc>
          <w:tcPr>
            <w:tcW w:w="2120" w:type="dxa"/>
            <w:shd w:val="clear" w:color="auto" w:fill="auto"/>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276" w:type="dxa"/>
            <w:shd w:val="clear" w:color="auto" w:fill="auto"/>
            <w:vAlign w:val="center"/>
          </w:tcPr>
          <w:p>
            <w:pPr>
              <w:jc w:val="center"/>
              <w:rPr>
                <w:szCs w:val="21"/>
              </w:rPr>
            </w:pPr>
            <w:r>
              <w:rPr>
                <w:rFonts w:hint="eastAsia"/>
                <w:szCs w:val="21"/>
              </w:rPr>
              <w:t>1</w:t>
            </w:r>
          </w:p>
        </w:tc>
        <w:tc>
          <w:tcPr>
            <w:tcW w:w="3940" w:type="dxa"/>
            <w:shd w:val="clear" w:color="auto" w:fill="auto"/>
            <w:vAlign w:val="center"/>
          </w:tcPr>
          <w:p>
            <w:pPr>
              <w:jc w:val="center"/>
              <w:rPr>
                <w:color w:val="000000"/>
                <w:szCs w:val="21"/>
              </w:rPr>
            </w:pPr>
            <w:r>
              <w:rPr>
                <w:rFonts w:hint="eastAsia"/>
                <w:color w:val="000000"/>
                <w:szCs w:val="21"/>
              </w:rPr>
              <w:t>乡镇级应急广播大喇叭适配器</w:t>
            </w:r>
          </w:p>
        </w:tc>
        <w:tc>
          <w:tcPr>
            <w:tcW w:w="940" w:type="dxa"/>
            <w:shd w:val="clear" w:color="auto" w:fill="auto"/>
            <w:vAlign w:val="center"/>
          </w:tcPr>
          <w:p>
            <w:pPr>
              <w:jc w:val="center"/>
              <w:rPr>
                <w:color w:val="000000"/>
                <w:szCs w:val="21"/>
              </w:rPr>
            </w:pPr>
            <w:r>
              <w:rPr>
                <w:rFonts w:hint="eastAsia"/>
                <w:color w:val="000000"/>
                <w:szCs w:val="21"/>
              </w:rPr>
              <w:t>台</w:t>
            </w:r>
          </w:p>
        </w:tc>
        <w:tc>
          <w:tcPr>
            <w:tcW w:w="880" w:type="dxa"/>
            <w:shd w:val="clear" w:color="auto" w:fill="auto"/>
            <w:vAlign w:val="center"/>
          </w:tcPr>
          <w:p>
            <w:pPr>
              <w:jc w:val="center"/>
              <w:rPr>
                <w:color w:val="000000"/>
                <w:szCs w:val="21"/>
              </w:rPr>
            </w:pPr>
            <w:r>
              <w:rPr>
                <w:rFonts w:hint="eastAsia"/>
                <w:color w:val="000000"/>
                <w:szCs w:val="21"/>
              </w:rPr>
              <w:t>8</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2</w:t>
            </w:r>
          </w:p>
        </w:tc>
        <w:tc>
          <w:tcPr>
            <w:tcW w:w="3940" w:type="dxa"/>
            <w:shd w:val="clear" w:color="auto" w:fill="auto"/>
            <w:vAlign w:val="center"/>
          </w:tcPr>
          <w:p>
            <w:pPr>
              <w:jc w:val="center"/>
              <w:rPr>
                <w:color w:val="000000"/>
                <w:szCs w:val="21"/>
              </w:rPr>
            </w:pPr>
            <w:r>
              <w:rPr>
                <w:rFonts w:hint="eastAsia"/>
                <w:color w:val="000000"/>
                <w:szCs w:val="21"/>
              </w:rPr>
              <w:t>乡镇应急广播分控平台软件</w:t>
            </w:r>
          </w:p>
        </w:tc>
        <w:tc>
          <w:tcPr>
            <w:tcW w:w="940" w:type="dxa"/>
            <w:shd w:val="clear" w:color="auto" w:fill="auto"/>
            <w:vAlign w:val="center"/>
          </w:tcPr>
          <w:p>
            <w:pPr>
              <w:jc w:val="center"/>
              <w:rPr>
                <w:color w:val="000000"/>
                <w:szCs w:val="21"/>
              </w:rPr>
            </w:pPr>
            <w:r>
              <w:rPr>
                <w:rFonts w:hint="eastAsia"/>
                <w:color w:val="000000"/>
                <w:szCs w:val="21"/>
              </w:rPr>
              <w:t>套</w:t>
            </w:r>
          </w:p>
        </w:tc>
        <w:tc>
          <w:tcPr>
            <w:tcW w:w="880" w:type="dxa"/>
            <w:shd w:val="clear" w:color="auto" w:fill="auto"/>
            <w:vAlign w:val="center"/>
          </w:tcPr>
          <w:p>
            <w:pPr>
              <w:jc w:val="center"/>
              <w:rPr>
                <w:color w:val="000000"/>
                <w:szCs w:val="21"/>
              </w:rPr>
            </w:pPr>
            <w:r>
              <w:rPr>
                <w:rFonts w:hint="eastAsia"/>
                <w:color w:val="000000"/>
                <w:szCs w:val="21"/>
              </w:rPr>
              <w:t>8</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3</w:t>
            </w:r>
          </w:p>
        </w:tc>
        <w:tc>
          <w:tcPr>
            <w:tcW w:w="3940" w:type="dxa"/>
            <w:shd w:val="clear" w:color="auto" w:fill="auto"/>
            <w:vAlign w:val="center"/>
          </w:tcPr>
          <w:p>
            <w:pPr>
              <w:jc w:val="center"/>
              <w:rPr>
                <w:color w:val="000000"/>
                <w:szCs w:val="21"/>
              </w:rPr>
            </w:pPr>
            <w:r>
              <w:rPr>
                <w:rFonts w:hint="eastAsia"/>
                <w:color w:val="000000"/>
                <w:szCs w:val="21"/>
              </w:rPr>
              <w:t>话筒</w:t>
            </w:r>
          </w:p>
        </w:tc>
        <w:tc>
          <w:tcPr>
            <w:tcW w:w="940" w:type="dxa"/>
            <w:shd w:val="clear" w:color="auto" w:fill="auto"/>
            <w:vAlign w:val="center"/>
          </w:tcPr>
          <w:p>
            <w:pPr>
              <w:jc w:val="center"/>
              <w:rPr>
                <w:color w:val="000000"/>
                <w:szCs w:val="21"/>
              </w:rPr>
            </w:pPr>
            <w:r>
              <w:rPr>
                <w:rFonts w:hint="eastAsia"/>
                <w:color w:val="000000"/>
                <w:szCs w:val="21"/>
              </w:rPr>
              <w:t>个</w:t>
            </w:r>
          </w:p>
        </w:tc>
        <w:tc>
          <w:tcPr>
            <w:tcW w:w="880" w:type="dxa"/>
            <w:shd w:val="clear" w:color="auto" w:fill="auto"/>
            <w:vAlign w:val="center"/>
          </w:tcPr>
          <w:p>
            <w:pPr>
              <w:jc w:val="center"/>
              <w:rPr>
                <w:color w:val="000000"/>
                <w:szCs w:val="21"/>
              </w:rPr>
            </w:pPr>
            <w:r>
              <w:rPr>
                <w:rFonts w:hint="eastAsia"/>
                <w:color w:val="000000"/>
                <w:szCs w:val="21"/>
              </w:rPr>
              <w:t>8</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4</w:t>
            </w:r>
          </w:p>
        </w:tc>
        <w:tc>
          <w:tcPr>
            <w:tcW w:w="3940" w:type="dxa"/>
            <w:shd w:val="clear" w:color="auto" w:fill="auto"/>
            <w:vAlign w:val="center"/>
          </w:tcPr>
          <w:p>
            <w:pPr>
              <w:jc w:val="center"/>
              <w:rPr>
                <w:color w:val="000000"/>
                <w:szCs w:val="21"/>
              </w:rPr>
            </w:pPr>
            <w:r>
              <w:rPr>
                <w:rFonts w:hint="eastAsia"/>
                <w:color w:val="000000"/>
                <w:szCs w:val="21"/>
              </w:rPr>
              <w:t>PC 机</w:t>
            </w:r>
          </w:p>
        </w:tc>
        <w:tc>
          <w:tcPr>
            <w:tcW w:w="940" w:type="dxa"/>
            <w:shd w:val="clear" w:color="auto" w:fill="auto"/>
            <w:vAlign w:val="center"/>
          </w:tcPr>
          <w:p>
            <w:pPr>
              <w:jc w:val="center"/>
              <w:rPr>
                <w:color w:val="000000"/>
                <w:szCs w:val="21"/>
              </w:rPr>
            </w:pPr>
            <w:r>
              <w:rPr>
                <w:rFonts w:hint="eastAsia"/>
                <w:color w:val="000000"/>
                <w:szCs w:val="21"/>
              </w:rPr>
              <w:t>台</w:t>
            </w:r>
          </w:p>
        </w:tc>
        <w:tc>
          <w:tcPr>
            <w:tcW w:w="880" w:type="dxa"/>
            <w:shd w:val="clear" w:color="auto" w:fill="auto"/>
            <w:vAlign w:val="center"/>
          </w:tcPr>
          <w:p>
            <w:pPr>
              <w:jc w:val="center"/>
              <w:rPr>
                <w:color w:val="000000"/>
                <w:szCs w:val="21"/>
              </w:rPr>
            </w:pPr>
            <w:r>
              <w:rPr>
                <w:rFonts w:hint="eastAsia"/>
                <w:color w:val="000000"/>
                <w:szCs w:val="21"/>
              </w:rPr>
              <w:t>8</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5</w:t>
            </w:r>
          </w:p>
        </w:tc>
        <w:tc>
          <w:tcPr>
            <w:tcW w:w="3940" w:type="dxa"/>
            <w:shd w:val="clear" w:color="auto" w:fill="auto"/>
            <w:vAlign w:val="center"/>
          </w:tcPr>
          <w:p>
            <w:pPr>
              <w:jc w:val="center"/>
              <w:rPr>
                <w:color w:val="000000"/>
                <w:szCs w:val="21"/>
              </w:rPr>
            </w:pPr>
            <w:r>
              <w:rPr>
                <w:rFonts w:hint="eastAsia"/>
                <w:color w:val="000000"/>
                <w:szCs w:val="21"/>
              </w:rPr>
              <w:t>播控桌及机柜</w:t>
            </w:r>
          </w:p>
        </w:tc>
        <w:tc>
          <w:tcPr>
            <w:tcW w:w="940" w:type="dxa"/>
            <w:shd w:val="clear" w:color="auto" w:fill="auto"/>
            <w:vAlign w:val="center"/>
          </w:tcPr>
          <w:p>
            <w:pPr>
              <w:jc w:val="center"/>
              <w:rPr>
                <w:color w:val="000000"/>
                <w:szCs w:val="21"/>
              </w:rPr>
            </w:pPr>
            <w:r>
              <w:rPr>
                <w:rFonts w:hint="eastAsia"/>
                <w:color w:val="000000"/>
                <w:szCs w:val="21"/>
              </w:rPr>
              <w:t>张</w:t>
            </w:r>
          </w:p>
        </w:tc>
        <w:tc>
          <w:tcPr>
            <w:tcW w:w="880" w:type="dxa"/>
            <w:shd w:val="clear" w:color="auto" w:fill="auto"/>
            <w:vAlign w:val="center"/>
          </w:tcPr>
          <w:p>
            <w:pPr>
              <w:jc w:val="center"/>
              <w:rPr>
                <w:color w:val="000000"/>
                <w:szCs w:val="21"/>
              </w:rPr>
            </w:pPr>
            <w:r>
              <w:rPr>
                <w:rFonts w:hint="eastAsia"/>
                <w:color w:val="000000"/>
                <w:szCs w:val="21"/>
              </w:rPr>
              <w:t>8</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6</w:t>
            </w:r>
          </w:p>
        </w:tc>
        <w:tc>
          <w:tcPr>
            <w:tcW w:w="3940" w:type="dxa"/>
            <w:shd w:val="clear" w:color="auto" w:fill="auto"/>
            <w:vAlign w:val="center"/>
          </w:tcPr>
          <w:p>
            <w:pPr>
              <w:jc w:val="center"/>
              <w:rPr>
                <w:color w:val="000000"/>
                <w:szCs w:val="21"/>
              </w:rPr>
            </w:pPr>
            <w:r>
              <w:rPr>
                <w:rFonts w:hint="eastAsia"/>
                <w:color w:val="000000"/>
                <w:szCs w:val="21"/>
              </w:rPr>
              <w:t>UPS电源</w:t>
            </w:r>
          </w:p>
        </w:tc>
        <w:tc>
          <w:tcPr>
            <w:tcW w:w="940" w:type="dxa"/>
            <w:shd w:val="clear" w:color="auto" w:fill="auto"/>
            <w:vAlign w:val="center"/>
          </w:tcPr>
          <w:p>
            <w:pPr>
              <w:jc w:val="center"/>
              <w:rPr>
                <w:color w:val="000000"/>
                <w:szCs w:val="21"/>
              </w:rPr>
            </w:pPr>
            <w:r>
              <w:rPr>
                <w:rFonts w:hint="eastAsia"/>
                <w:color w:val="000000"/>
                <w:szCs w:val="21"/>
              </w:rPr>
              <w:t>台</w:t>
            </w:r>
          </w:p>
        </w:tc>
        <w:tc>
          <w:tcPr>
            <w:tcW w:w="880" w:type="dxa"/>
            <w:shd w:val="clear" w:color="auto" w:fill="auto"/>
            <w:vAlign w:val="center"/>
          </w:tcPr>
          <w:p>
            <w:pPr>
              <w:jc w:val="center"/>
              <w:rPr>
                <w:color w:val="000000"/>
                <w:szCs w:val="21"/>
              </w:rPr>
            </w:pPr>
            <w:r>
              <w:rPr>
                <w:rFonts w:hint="eastAsia"/>
                <w:color w:val="000000"/>
                <w:szCs w:val="21"/>
              </w:rPr>
              <w:t>8</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7</w:t>
            </w:r>
          </w:p>
        </w:tc>
        <w:tc>
          <w:tcPr>
            <w:tcW w:w="3940" w:type="dxa"/>
            <w:shd w:val="clear" w:color="auto" w:fill="auto"/>
            <w:vAlign w:val="center"/>
          </w:tcPr>
          <w:p>
            <w:pPr>
              <w:jc w:val="center"/>
              <w:rPr>
                <w:color w:val="000000"/>
                <w:szCs w:val="21"/>
              </w:rPr>
            </w:pPr>
            <w:r>
              <w:rPr>
                <w:rFonts w:hint="eastAsia"/>
                <w:color w:val="000000"/>
                <w:szCs w:val="21"/>
              </w:rPr>
              <w:t>交换机</w:t>
            </w:r>
          </w:p>
        </w:tc>
        <w:tc>
          <w:tcPr>
            <w:tcW w:w="940" w:type="dxa"/>
            <w:shd w:val="clear" w:color="auto" w:fill="auto"/>
            <w:vAlign w:val="center"/>
          </w:tcPr>
          <w:p>
            <w:pPr>
              <w:jc w:val="center"/>
              <w:rPr>
                <w:color w:val="000000"/>
                <w:szCs w:val="21"/>
              </w:rPr>
            </w:pPr>
            <w:r>
              <w:rPr>
                <w:rFonts w:hint="eastAsia"/>
                <w:color w:val="000000"/>
                <w:szCs w:val="21"/>
              </w:rPr>
              <w:t>台</w:t>
            </w:r>
          </w:p>
        </w:tc>
        <w:tc>
          <w:tcPr>
            <w:tcW w:w="880" w:type="dxa"/>
            <w:shd w:val="clear" w:color="auto" w:fill="auto"/>
            <w:vAlign w:val="center"/>
          </w:tcPr>
          <w:p>
            <w:pPr>
              <w:jc w:val="center"/>
              <w:rPr>
                <w:color w:val="000000"/>
                <w:szCs w:val="21"/>
              </w:rPr>
            </w:pPr>
            <w:r>
              <w:rPr>
                <w:rFonts w:hint="eastAsia"/>
                <w:color w:val="000000"/>
                <w:szCs w:val="21"/>
              </w:rPr>
              <w:t>8</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8</w:t>
            </w:r>
          </w:p>
        </w:tc>
        <w:tc>
          <w:tcPr>
            <w:tcW w:w="3940" w:type="dxa"/>
            <w:shd w:val="clear" w:color="auto" w:fill="auto"/>
            <w:vAlign w:val="center"/>
          </w:tcPr>
          <w:p>
            <w:pPr>
              <w:jc w:val="center"/>
              <w:rPr>
                <w:color w:val="000000"/>
                <w:szCs w:val="21"/>
              </w:rPr>
            </w:pPr>
            <w:r>
              <w:rPr>
                <w:rFonts w:hint="eastAsia"/>
                <w:color w:val="000000"/>
                <w:szCs w:val="21"/>
              </w:rPr>
              <w:t>PDU8位插座</w:t>
            </w:r>
          </w:p>
        </w:tc>
        <w:tc>
          <w:tcPr>
            <w:tcW w:w="940" w:type="dxa"/>
            <w:shd w:val="clear" w:color="auto" w:fill="auto"/>
            <w:vAlign w:val="center"/>
          </w:tcPr>
          <w:p>
            <w:pPr>
              <w:jc w:val="center"/>
              <w:rPr>
                <w:color w:val="000000"/>
                <w:szCs w:val="21"/>
              </w:rPr>
            </w:pPr>
            <w:r>
              <w:rPr>
                <w:rFonts w:hint="eastAsia"/>
                <w:color w:val="000000"/>
                <w:szCs w:val="21"/>
              </w:rPr>
              <w:t>套</w:t>
            </w:r>
          </w:p>
        </w:tc>
        <w:tc>
          <w:tcPr>
            <w:tcW w:w="880" w:type="dxa"/>
            <w:shd w:val="clear" w:color="auto" w:fill="auto"/>
            <w:vAlign w:val="center"/>
          </w:tcPr>
          <w:p>
            <w:pPr>
              <w:jc w:val="center"/>
              <w:rPr>
                <w:color w:val="000000"/>
                <w:szCs w:val="21"/>
              </w:rPr>
            </w:pPr>
            <w:r>
              <w:rPr>
                <w:rFonts w:hint="eastAsia"/>
                <w:color w:val="000000"/>
                <w:szCs w:val="21"/>
              </w:rPr>
              <w:t>8</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9</w:t>
            </w:r>
          </w:p>
        </w:tc>
        <w:tc>
          <w:tcPr>
            <w:tcW w:w="3940" w:type="dxa"/>
            <w:shd w:val="clear" w:color="auto" w:fill="auto"/>
            <w:vAlign w:val="center"/>
          </w:tcPr>
          <w:p>
            <w:pPr>
              <w:jc w:val="center"/>
              <w:rPr>
                <w:color w:val="000000"/>
                <w:szCs w:val="21"/>
              </w:rPr>
            </w:pPr>
            <w:r>
              <w:rPr>
                <w:rFonts w:hint="eastAsia"/>
                <w:color w:val="000000"/>
                <w:szCs w:val="21"/>
              </w:rPr>
              <w:t>多模音柱</w:t>
            </w:r>
          </w:p>
        </w:tc>
        <w:tc>
          <w:tcPr>
            <w:tcW w:w="940" w:type="dxa"/>
            <w:shd w:val="clear" w:color="auto" w:fill="auto"/>
            <w:vAlign w:val="center"/>
          </w:tcPr>
          <w:p>
            <w:pPr>
              <w:jc w:val="center"/>
              <w:rPr>
                <w:color w:val="000000"/>
                <w:szCs w:val="21"/>
              </w:rPr>
            </w:pPr>
            <w:r>
              <w:rPr>
                <w:rFonts w:hint="eastAsia"/>
                <w:color w:val="000000"/>
                <w:szCs w:val="21"/>
              </w:rPr>
              <w:t>台</w:t>
            </w:r>
          </w:p>
        </w:tc>
        <w:tc>
          <w:tcPr>
            <w:tcW w:w="880" w:type="dxa"/>
            <w:shd w:val="clear" w:color="auto" w:fill="auto"/>
            <w:vAlign w:val="center"/>
          </w:tcPr>
          <w:p>
            <w:pPr>
              <w:jc w:val="center"/>
              <w:rPr>
                <w:color w:val="000000"/>
                <w:szCs w:val="21"/>
              </w:rPr>
            </w:pPr>
            <w:r>
              <w:rPr>
                <w:rFonts w:hint="eastAsia"/>
                <w:color w:val="000000"/>
                <w:szCs w:val="21"/>
              </w:rPr>
              <w:t>16</w:t>
            </w:r>
          </w:p>
        </w:tc>
        <w:tc>
          <w:tcPr>
            <w:tcW w:w="2120" w:type="dxa"/>
            <w:shd w:val="clear" w:color="auto" w:fill="auto"/>
            <w:vAlign w:val="center"/>
          </w:tcPr>
          <w:p>
            <w:pPr>
              <w:jc w:val="center"/>
              <w:rPr>
                <w:szCs w:val="21"/>
              </w:rPr>
            </w:pPr>
            <w:r>
              <w:rPr>
                <w:rFonts w:hint="eastAsia"/>
                <w:szCs w:val="21"/>
              </w:rPr>
              <w:t>每个乡镇2台音柱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10</w:t>
            </w:r>
          </w:p>
        </w:tc>
        <w:tc>
          <w:tcPr>
            <w:tcW w:w="3940" w:type="dxa"/>
            <w:shd w:val="clear" w:color="auto" w:fill="auto"/>
            <w:vAlign w:val="center"/>
          </w:tcPr>
          <w:p>
            <w:pPr>
              <w:jc w:val="center"/>
              <w:rPr>
                <w:color w:val="000000"/>
                <w:szCs w:val="21"/>
              </w:rPr>
            </w:pPr>
            <w:r>
              <w:rPr>
                <w:rFonts w:hint="eastAsia"/>
                <w:color w:val="000000"/>
                <w:szCs w:val="21"/>
              </w:rPr>
              <w:t>辅材</w:t>
            </w:r>
          </w:p>
        </w:tc>
        <w:tc>
          <w:tcPr>
            <w:tcW w:w="940" w:type="dxa"/>
            <w:shd w:val="clear" w:color="auto" w:fill="auto"/>
            <w:vAlign w:val="center"/>
          </w:tcPr>
          <w:p>
            <w:pPr>
              <w:jc w:val="center"/>
              <w:rPr>
                <w:color w:val="000000"/>
                <w:szCs w:val="21"/>
              </w:rPr>
            </w:pPr>
            <w:r>
              <w:rPr>
                <w:rFonts w:hint="eastAsia"/>
                <w:color w:val="000000"/>
                <w:szCs w:val="21"/>
              </w:rPr>
              <w:t>项</w:t>
            </w:r>
          </w:p>
        </w:tc>
        <w:tc>
          <w:tcPr>
            <w:tcW w:w="880" w:type="dxa"/>
            <w:shd w:val="clear" w:color="auto" w:fill="auto"/>
            <w:vAlign w:val="center"/>
          </w:tcPr>
          <w:p>
            <w:pPr>
              <w:jc w:val="center"/>
              <w:rPr>
                <w:color w:val="000000"/>
                <w:szCs w:val="21"/>
              </w:rPr>
            </w:pPr>
            <w:r>
              <w:rPr>
                <w:rFonts w:hint="eastAsia"/>
                <w:color w:val="000000"/>
                <w:szCs w:val="21"/>
              </w:rPr>
              <w:t>8</w:t>
            </w:r>
          </w:p>
        </w:tc>
        <w:tc>
          <w:tcPr>
            <w:tcW w:w="2120" w:type="dxa"/>
            <w:shd w:val="clear" w:color="auto" w:fill="auto"/>
            <w:vAlign w:val="center"/>
          </w:tcPr>
          <w:p>
            <w:pPr>
              <w:jc w:val="cente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11</w:t>
            </w:r>
          </w:p>
        </w:tc>
        <w:tc>
          <w:tcPr>
            <w:tcW w:w="3940" w:type="dxa"/>
            <w:shd w:val="clear" w:color="auto" w:fill="auto"/>
            <w:vAlign w:val="center"/>
          </w:tcPr>
          <w:p>
            <w:pPr>
              <w:jc w:val="center"/>
              <w:rPr>
                <w:color w:val="000000"/>
                <w:szCs w:val="21"/>
              </w:rPr>
            </w:pPr>
            <w:r>
              <w:rPr>
                <w:rFonts w:hint="eastAsia"/>
                <w:color w:val="000000"/>
                <w:szCs w:val="21"/>
              </w:rPr>
              <w:t>安装调试</w:t>
            </w:r>
          </w:p>
        </w:tc>
        <w:tc>
          <w:tcPr>
            <w:tcW w:w="940" w:type="dxa"/>
            <w:shd w:val="clear" w:color="auto" w:fill="auto"/>
            <w:vAlign w:val="center"/>
          </w:tcPr>
          <w:p>
            <w:pPr>
              <w:jc w:val="center"/>
              <w:rPr>
                <w:color w:val="000000"/>
                <w:szCs w:val="21"/>
              </w:rPr>
            </w:pPr>
            <w:r>
              <w:rPr>
                <w:rFonts w:hint="eastAsia"/>
                <w:color w:val="000000"/>
                <w:szCs w:val="21"/>
              </w:rPr>
              <w:t>项</w:t>
            </w:r>
          </w:p>
        </w:tc>
        <w:tc>
          <w:tcPr>
            <w:tcW w:w="880" w:type="dxa"/>
            <w:shd w:val="clear" w:color="auto" w:fill="auto"/>
            <w:vAlign w:val="center"/>
          </w:tcPr>
          <w:p>
            <w:pPr>
              <w:jc w:val="center"/>
              <w:rPr>
                <w:color w:val="000000"/>
                <w:szCs w:val="21"/>
              </w:rPr>
            </w:pPr>
            <w:r>
              <w:rPr>
                <w:rFonts w:hint="eastAsia"/>
                <w:color w:val="000000"/>
                <w:szCs w:val="21"/>
              </w:rPr>
              <w:t>8</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156" w:type="dxa"/>
            <w:gridSpan w:val="5"/>
            <w:shd w:val="clear" w:color="auto" w:fill="auto"/>
            <w:vAlign w:val="center"/>
          </w:tcPr>
          <w:p>
            <w:pPr>
              <w:jc w:val="center"/>
              <w:rPr>
                <w:b/>
                <w:bCs/>
                <w:szCs w:val="21"/>
              </w:rPr>
            </w:pPr>
            <w:r>
              <w:rPr>
                <w:rFonts w:hint="eastAsia"/>
                <w:b/>
                <w:bCs/>
                <w:szCs w:val="21"/>
              </w:rPr>
              <w:t>10、行政村（社区)应急广播平台及终端设备清单（139个行政村）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序号</w:t>
            </w:r>
          </w:p>
        </w:tc>
        <w:tc>
          <w:tcPr>
            <w:tcW w:w="3940" w:type="dxa"/>
            <w:shd w:val="clear" w:color="auto" w:fill="auto"/>
            <w:vAlign w:val="center"/>
          </w:tcPr>
          <w:p>
            <w:pPr>
              <w:jc w:val="center"/>
              <w:rPr>
                <w:szCs w:val="21"/>
              </w:rPr>
            </w:pPr>
            <w:r>
              <w:rPr>
                <w:rFonts w:hint="eastAsia"/>
                <w:szCs w:val="21"/>
              </w:rPr>
              <w:t>项目设备名称</w:t>
            </w:r>
          </w:p>
        </w:tc>
        <w:tc>
          <w:tcPr>
            <w:tcW w:w="940" w:type="dxa"/>
            <w:shd w:val="clear" w:color="auto" w:fill="auto"/>
            <w:vAlign w:val="center"/>
          </w:tcPr>
          <w:p>
            <w:pPr>
              <w:jc w:val="center"/>
              <w:rPr>
                <w:szCs w:val="21"/>
              </w:rPr>
            </w:pPr>
            <w:r>
              <w:rPr>
                <w:rFonts w:hint="eastAsia"/>
                <w:szCs w:val="21"/>
              </w:rPr>
              <w:t>单位</w:t>
            </w:r>
          </w:p>
        </w:tc>
        <w:tc>
          <w:tcPr>
            <w:tcW w:w="880" w:type="dxa"/>
            <w:shd w:val="clear" w:color="auto" w:fill="auto"/>
            <w:vAlign w:val="center"/>
          </w:tcPr>
          <w:p>
            <w:pPr>
              <w:jc w:val="center"/>
              <w:rPr>
                <w:szCs w:val="21"/>
              </w:rPr>
            </w:pPr>
            <w:r>
              <w:rPr>
                <w:rFonts w:hint="eastAsia"/>
                <w:szCs w:val="21"/>
              </w:rPr>
              <w:t>数量</w:t>
            </w:r>
          </w:p>
        </w:tc>
        <w:tc>
          <w:tcPr>
            <w:tcW w:w="2120" w:type="dxa"/>
            <w:shd w:val="clear" w:color="auto" w:fill="auto"/>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1276" w:type="dxa"/>
            <w:shd w:val="clear" w:color="auto" w:fill="auto"/>
            <w:vAlign w:val="center"/>
          </w:tcPr>
          <w:p>
            <w:pPr>
              <w:jc w:val="center"/>
              <w:rPr>
                <w:szCs w:val="21"/>
              </w:rPr>
            </w:pPr>
            <w:r>
              <w:rPr>
                <w:rFonts w:hint="eastAsia"/>
                <w:szCs w:val="21"/>
              </w:rPr>
              <w:t>1</w:t>
            </w:r>
          </w:p>
        </w:tc>
        <w:tc>
          <w:tcPr>
            <w:tcW w:w="3940" w:type="dxa"/>
            <w:shd w:val="clear" w:color="auto" w:fill="auto"/>
            <w:vAlign w:val="center"/>
          </w:tcPr>
          <w:p>
            <w:pPr>
              <w:jc w:val="center"/>
              <w:rPr>
                <w:color w:val="000000"/>
                <w:szCs w:val="21"/>
              </w:rPr>
            </w:pPr>
            <w:r>
              <w:rPr>
                <w:rFonts w:hint="eastAsia"/>
                <w:color w:val="000000"/>
                <w:szCs w:val="21"/>
              </w:rPr>
              <w:t>村级应急广播大喇叭适配器</w:t>
            </w:r>
          </w:p>
        </w:tc>
        <w:tc>
          <w:tcPr>
            <w:tcW w:w="940" w:type="dxa"/>
            <w:shd w:val="clear" w:color="auto" w:fill="auto"/>
            <w:vAlign w:val="center"/>
          </w:tcPr>
          <w:p>
            <w:pPr>
              <w:jc w:val="center"/>
              <w:rPr>
                <w:color w:val="000000"/>
                <w:szCs w:val="21"/>
              </w:rPr>
            </w:pPr>
            <w:r>
              <w:rPr>
                <w:rFonts w:hint="eastAsia"/>
                <w:color w:val="000000"/>
                <w:szCs w:val="21"/>
              </w:rPr>
              <w:t>台</w:t>
            </w:r>
          </w:p>
        </w:tc>
        <w:tc>
          <w:tcPr>
            <w:tcW w:w="880" w:type="dxa"/>
            <w:shd w:val="clear" w:color="auto" w:fill="auto"/>
            <w:vAlign w:val="center"/>
          </w:tcPr>
          <w:p>
            <w:pPr>
              <w:jc w:val="center"/>
              <w:rPr>
                <w:color w:val="000000"/>
                <w:szCs w:val="21"/>
              </w:rPr>
            </w:pPr>
            <w:r>
              <w:rPr>
                <w:rFonts w:hint="eastAsia"/>
                <w:color w:val="000000"/>
                <w:szCs w:val="21"/>
              </w:rPr>
              <w:t>139</w:t>
            </w:r>
          </w:p>
        </w:tc>
        <w:tc>
          <w:tcPr>
            <w:tcW w:w="2120" w:type="dxa"/>
            <w:shd w:val="clear" w:color="auto" w:fill="auto"/>
            <w:vAlign w:val="center"/>
          </w:tcPr>
          <w:p>
            <w:pPr>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rFonts w:hint="eastAsia"/>
                <w:szCs w:val="21"/>
              </w:rPr>
              <w:t>2</w:t>
            </w:r>
          </w:p>
        </w:tc>
        <w:tc>
          <w:tcPr>
            <w:tcW w:w="3940" w:type="dxa"/>
            <w:shd w:val="clear" w:color="auto" w:fill="auto"/>
            <w:vAlign w:val="center"/>
          </w:tcPr>
          <w:p>
            <w:pPr>
              <w:jc w:val="center"/>
              <w:rPr>
                <w:color w:val="000000"/>
                <w:szCs w:val="21"/>
              </w:rPr>
            </w:pPr>
            <w:r>
              <w:rPr>
                <w:rFonts w:hint="eastAsia"/>
                <w:color w:val="000000"/>
                <w:szCs w:val="21"/>
              </w:rPr>
              <w:t>话筒</w:t>
            </w:r>
          </w:p>
        </w:tc>
        <w:tc>
          <w:tcPr>
            <w:tcW w:w="940" w:type="dxa"/>
            <w:shd w:val="clear" w:color="auto" w:fill="auto"/>
            <w:vAlign w:val="center"/>
          </w:tcPr>
          <w:p>
            <w:pPr>
              <w:jc w:val="center"/>
              <w:rPr>
                <w:color w:val="000000"/>
                <w:szCs w:val="21"/>
              </w:rPr>
            </w:pPr>
            <w:r>
              <w:rPr>
                <w:rFonts w:hint="eastAsia"/>
                <w:color w:val="000000"/>
                <w:szCs w:val="21"/>
              </w:rPr>
              <w:t>台</w:t>
            </w:r>
          </w:p>
        </w:tc>
        <w:tc>
          <w:tcPr>
            <w:tcW w:w="880" w:type="dxa"/>
            <w:shd w:val="clear" w:color="auto" w:fill="auto"/>
            <w:vAlign w:val="center"/>
          </w:tcPr>
          <w:p>
            <w:pPr>
              <w:jc w:val="center"/>
              <w:rPr>
                <w:color w:val="000000"/>
                <w:szCs w:val="21"/>
              </w:rPr>
            </w:pPr>
            <w:r>
              <w:rPr>
                <w:rFonts w:hint="eastAsia"/>
                <w:color w:val="000000"/>
                <w:szCs w:val="21"/>
              </w:rPr>
              <w:t>139</w:t>
            </w:r>
          </w:p>
        </w:tc>
        <w:tc>
          <w:tcPr>
            <w:tcW w:w="2120" w:type="dxa"/>
            <w:shd w:val="clear" w:color="auto" w:fill="auto"/>
            <w:vAlign w:val="center"/>
          </w:tcPr>
          <w:p>
            <w:pPr>
              <w:jc w:val="cente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szCs w:val="21"/>
              </w:rPr>
              <w:t>3</w:t>
            </w:r>
          </w:p>
        </w:tc>
        <w:tc>
          <w:tcPr>
            <w:tcW w:w="3940" w:type="dxa"/>
            <w:shd w:val="clear" w:color="auto" w:fill="auto"/>
            <w:vAlign w:val="center"/>
          </w:tcPr>
          <w:p>
            <w:pPr>
              <w:jc w:val="center"/>
              <w:rPr>
                <w:color w:val="000000"/>
                <w:szCs w:val="21"/>
              </w:rPr>
            </w:pPr>
            <w:r>
              <w:rPr>
                <w:rFonts w:hint="eastAsia"/>
                <w:color w:val="000000"/>
                <w:szCs w:val="21"/>
              </w:rPr>
              <w:t>UPS电源</w:t>
            </w:r>
          </w:p>
        </w:tc>
        <w:tc>
          <w:tcPr>
            <w:tcW w:w="940" w:type="dxa"/>
            <w:shd w:val="clear" w:color="auto" w:fill="auto"/>
            <w:vAlign w:val="center"/>
          </w:tcPr>
          <w:p>
            <w:pPr>
              <w:jc w:val="center"/>
              <w:rPr>
                <w:color w:val="000000"/>
                <w:szCs w:val="21"/>
              </w:rPr>
            </w:pPr>
            <w:r>
              <w:rPr>
                <w:rFonts w:hint="eastAsia"/>
                <w:color w:val="000000"/>
                <w:szCs w:val="21"/>
              </w:rPr>
              <w:t>台</w:t>
            </w:r>
          </w:p>
        </w:tc>
        <w:tc>
          <w:tcPr>
            <w:tcW w:w="880" w:type="dxa"/>
            <w:shd w:val="clear" w:color="auto" w:fill="auto"/>
            <w:vAlign w:val="center"/>
          </w:tcPr>
          <w:p>
            <w:pPr>
              <w:jc w:val="center"/>
              <w:rPr>
                <w:color w:val="000000"/>
                <w:szCs w:val="21"/>
              </w:rPr>
            </w:pPr>
            <w:r>
              <w:rPr>
                <w:rFonts w:hint="eastAsia"/>
                <w:color w:val="000000"/>
                <w:szCs w:val="21"/>
              </w:rPr>
              <w:t>139</w:t>
            </w:r>
          </w:p>
        </w:tc>
        <w:tc>
          <w:tcPr>
            <w:tcW w:w="2120" w:type="dxa"/>
            <w:shd w:val="clear" w:color="auto" w:fill="auto"/>
            <w:vAlign w:val="center"/>
          </w:tcPr>
          <w:p>
            <w:pPr>
              <w:jc w:val="cente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276" w:type="dxa"/>
            <w:shd w:val="clear" w:color="auto" w:fill="auto"/>
            <w:vAlign w:val="center"/>
          </w:tcPr>
          <w:p>
            <w:pPr>
              <w:jc w:val="center"/>
              <w:rPr>
                <w:szCs w:val="21"/>
              </w:rPr>
            </w:pPr>
            <w:r>
              <w:rPr>
                <w:szCs w:val="21"/>
              </w:rPr>
              <w:t>4</w:t>
            </w:r>
          </w:p>
        </w:tc>
        <w:tc>
          <w:tcPr>
            <w:tcW w:w="3940" w:type="dxa"/>
            <w:shd w:val="clear" w:color="auto" w:fill="auto"/>
            <w:vAlign w:val="center"/>
          </w:tcPr>
          <w:p>
            <w:pPr>
              <w:jc w:val="center"/>
              <w:rPr>
                <w:color w:val="000000"/>
                <w:szCs w:val="21"/>
              </w:rPr>
            </w:pPr>
            <w:r>
              <w:rPr>
                <w:rFonts w:hint="eastAsia"/>
                <w:color w:val="000000"/>
                <w:szCs w:val="21"/>
              </w:rPr>
              <w:t>多模收扩机</w:t>
            </w:r>
          </w:p>
        </w:tc>
        <w:tc>
          <w:tcPr>
            <w:tcW w:w="940" w:type="dxa"/>
            <w:shd w:val="clear" w:color="auto" w:fill="auto"/>
            <w:vAlign w:val="center"/>
          </w:tcPr>
          <w:p>
            <w:pPr>
              <w:jc w:val="center"/>
              <w:rPr>
                <w:color w:val="000000"/>
                <w:szCs w:val="21"/>
              </w:rPr>
            </w:pPr>
            <w:r>
              <w:rPr>
                <w:rFonts w:hint="eastAsia"/>
                <w:color w:val="000000"/>
                <w:szCs w:val="21"/>
              </w:rPr>
              <w:t>台</w:t>
            </w:r>
          </w:p>
        </w:tc>
        <w:tc>
          <w:tcPr>
            <w:tcW w:w="880" w:type="dxa"/>
            <w:shd w:val="clear" w:color="auto" w:fill="auto"/>
            <w:vAlign w:val="center"/>
          </w:tcPr>
          <w:p>
            <w:pPr>
              <w:jc w:val="center"/>
              <w:rPr>
                <w:color w:val="000000"/>
                <w:szCs w:val="21"/>
              </w:rPr>
            </w:pPr>
            <w:r>
              <w:rPr>
                <w:rFonts w:hint="eastAsia"/>
                <w:color w:val="000000"/>
                <w:szCs w:val="21"/>
              </w:rPr>
              <w:t>417</w:t>
            </w:r>
          </w:p>
        </w:tc>
        <w:tc>
          <w:tcPr>
            <w:tcW w:w="2120" w:type="dxa"/>
            <w:shd w:val="clear" w:color="auto" w:fill="auto"/>
            <w:vAlign w:val="center"/>
          </w:tcPr>
          <w:p>
            <w:pPr>
              <w:rPr>
                <w:szCs w:val="21"/>
              </w:rPr>
            </w:pPr>
            <w:r>
              <w:rPr>
                <w:rFonts w:hint="eastAsia"/>
                <w:szCs w:val="21"/>
              </w:rPr>
              <w:t>每个行政村部署3个收扩机广播点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szCs w:val="21"/>
              </w:rPr>
              <w:t>5</w:t>
            </w:r>
          </w:p>
        </w:tc>
        <w:tc>
          <w:tcPr>
            <w:tcW w:w="3940" w:type="dxa"/>
            <w:shd w:val="clear" w:color="auto" w:fill="auto"/>
            <w:vAlign w:val="center"/>
          </w:tcPr>
          <w:p>
            <w:pPr>
              <w:jc w:val="center"/>
              <w:rPr>
                <w:color w:val="000000"/>
                <w:szCs w:val="21"/>
              </w:rPr>
            </w:pPr>
            <w:r>
              <w:rPr>
                <w:rFonts w:hint="eastAsia"/>
                <w:color w:val="000000"/>
                <w:szCs w:val="21"/>
              </w:rPr>
              <w:t>高音喇叭</w:t>
            </w:r>
          </w:p>
        </w:tc>
        <w:tc>
          <w:tcPr>
            <w:tcW w:w="940" w:type="dxa"/>
            <w:shd w:val="clear" w:color="auto" w:fill="auto"/>
            <w:vAlign w:val="center"/>
          </w:tcPr>
          <w:p>
            <w:pPr>
              <w:jc w:val="center"/>
              <w:rPr>
                <w:color w:val="000000"/>
                <w:szCs w:val="21"/>
              </w:rPr>
            </w:pPr>
            <w:r>
              <w:rPr>
                <w:rFonts w:hint="eastAsia"/>
                <w:color w:val="000000"/>
                <w:szCs w:val="21"/>
              </w:rPr>
              <w:t>只</w:t>
            </w:r>
          </w:p>
        </w:tc>
        <w:tc>
          <w:tcPr>
            <w:tcW w:w="880" w:type="dxa"/>
            <w:shd w:val="clear" w:color="auto" w:fill="auto"/>
            <w:vAlign w:val="center"/>
          </w:tcPr>
          <w:p>
            <w:pPr>
              <w:jc w:val="center"/>
              <w:rPr>
                <w:color w:val="000000"/>
                <w:szCs w:val="21"/>
              </w:rPr>
            </w:pPr>
            <w:r>
              <w:rPr>
                <w:rFonts w:hint="eastAsia"/>
                <w:color w:val="000000"/>
                <w:szCs w:val="21"/>
              </w:rPr>
              <w:t>834</w:t>
            </w:r>
          </w:p>
        </w:tc>
        <w:tc>
          <w:tcPr>
            <w:tcW w:w="2120" w:type="dxa"/>
            <w:shd w:val="clear" w:color="auto" w:fill="auto"/>
            <w:vAlign w:val="center"/>
          </w:tcPr>
          <w:p>
            <w:pPr>
              <w:rPr>
                <w:szCs w:val="21"/>
              </w:rPr>
            </w:pPr>
            <w:r>
              <w:rPr>
                <w:rFonts w:hint="eastAsia"/>
                <w:szCs w:val="21"/>
              </w:rPr>
              <w:t>每台收扩机配备2只大喇叭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276" w:type="dxa"/>
            <w:shd w:val="clear" w:color="auto" w:fill="auto"/>
            <w:vAlign w:val="center"/>
          </w:tcPr>
          <w:p>
            <w:pPr>
              <w:jc w:val="center"/>
              <w:rPr>
                <w:szCs w:val="21"/>
              </w:rPr>
            </w:pPr>
            <w:r>
              <w:rPr>
                <w:szCs w:val="21"/>
              </w:rPr>
              <w:t>6</w:t>
            </w:r>
          </w:p>
        </w:tc>
        <w:tc>
          <w:tcPr>
            <w:tcW w:w="3940" w:type="dxa"/>
            <w:shd w:val="clear" w:color="auto" w:fill="auto"/>
            <w:vAlign w:val="center"/>
          </w:tcPr>
          <w:p>
            <w:pPr>
              <w:jc w:val="center"/>
              <w:rPr>
                <w:color w:val="000000"/>
                <w:szCs w:val="21"/>
              </w:rPr>
            </w:pPr>
            <w:r>
              <w:rPr>
                <w:rFonts w:hint="eastAsia"/>
                <w:color w:val="000000"/>
                <w:szCs w:val="21"/>
              </w:rPr>
              <w:t>多模音柱</w:t>
            </w:r>
          </w:p>
        </w:tc>
        <w:tc>
          <w:tcPr>
            <w:tcW w:w="940" w:type="dxa"/>
            <w:shd w:val="clear" w:color="auto" w:fill="auto"/>
            <w:vAlign w:val="center"/>
          </w:tcPr>
          <w:p>
            <w:pPr>
              <w:jc w:val="center"/>
              <w:rPr>
                <w:color w:val="000000"/>
                <w:szCs w:val="21"/>
              </w:rPr>
            </w:pPr>
            <w:r>
              <w:rPr>
                <w:rFonts w:hint="eastAsia"/>
                <w:color w:val="000000"/>
                <w:szCs w:val="21"/>
              </w:rPr>
              <w:t>台</w:t>
            </w:r>
          </w:p>
        </w:tc>
        <w:tc>
          <w:tcPr>
            <w:tcW w:w="880" w:type="dxa"/>
            <w:shd w:val="clear" w:color="auto" w:fill="auto"/>
            <w:vAlign w:val="center"/>
          </w:tcPr>
          <w:p>
            <w:pPr>
              <w:jc w:val="center"/>
              <w:rPr>
                <w:color w:val="000000"/>
                <w:szCs w:val="21"/>
              </w:rPr>
            </w:pPr>
            <w:r>
              <w:rPr>
                <w:rFonts w:hint="eastAsia"/>
                <w:color w:val="000000"/>
                <w:szCs w:val="21"/>
              </w:rPr>
              <w:t>278</w:t>
            </w:r>
          </w:p>
        </w:tc>
        <w:tc>
          <w:tcPr>
            <w:tcW w:w="2120" w:type="dxa"/>
            <w:shd w:val="clear" w:color="auto" w:fill="auto"/>
            <w:vAlign w:val="center"/>
          </w:tcPr>
          <w:p>
            <w:pPr>
              <w:rPr>
                <w:szCs w:val="21"/>
              </w:rPr>
            </w:pPr>
            <w:r>
              <w:rPr>
                <w:rFonts w:hint="eastAsia"/>
                <w:szCs w:val="21"/>
              </w:rPr>
              <w:t>每个行政村部署2个音柱广播点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szCs w:val="21"/>
              </w:rPr>
              <w:t>7</w:t>
            </w:r>
          </w:p>
        </w:tc>
        <w:tc>
          <w:tcPr>
            <w:tcW w:w="3940" w:type="dxa"/>
            <w:shd w:val="clear" w:color="auto" w:fill="auto"/>
            <w:vAlign w:val="center"/>
          </w:tcPr>
          <w:p>
            <w:pPr>
              <w:jc w:val="center"/>
              <w:rPr>
                <w:color w:val="000000"/>
                <w:szCs w:val="21"/>
              </w:rPr>
            </w:pPr>
            <w:r>
              <w:rPr>
                <w:rFonts w:hint="eastAsia"/>
                <w:color w:val="000000"/>
                <w:szCs w:val="21"/>
              </w:rPr>
              <w:t>辅材</w:t>
            </w:r>
          </w:p>
        </w:tc>
        <w:tc>
          <w:tcPr>
            <w:tcW w:w="940" w:type="dxa"/>
            <w:shd w:val="clear" w:color="auto" w:fill="auto"/>
            <w:vAlign w:val="center"/>
          </w:tcPr>
          <w:p>
            <w:pPr>
              <w:jc w:val="center"/>
              <w:rPr>
                <w:color w:val="000000"/>
                <w:szCs w:val="21"/>
              </w:rPr>
            </w:pPr>
            <w:r>
              <w:rPr>
                <w:rFonts w:hint="eastAsia"/>
                <w:color w:val="000000"/>
                <w:szCs w:val="21"/>
              </w:rPr>
              <w:t>项</w:t>
            </w:r>
          </w:p>
        </w:tc>
        <w:tc>
          <w:tcPr>
            <w:tcW w:w="880" w:type="dxa"/>
            <w:shd w:val="clear" w:color="auto" w:fill="auto"/>
            <w:vAlign w:val="center"/>
          </w:tcPr>
          <w:p>
            <w:pPr>
              <w:jc w:val="center"/>
              <w:rPr>
                <w:color w:val="000000"/>
                <w:szCs w:val="21"/>
              </w:rPr>
            </w:pPr>
            <w:r>
              <w:rPr>
                <w:rFonts w:hint="eastAsia"/>
                <w:color w:val="000000"/>
                <w:szCs w:val="21"/>
              </w:rPr>
              <w:t>139</w:t>
            </w:r>
          </w:p>
        </w:tc>
        <w:tc>
          <w:tcPr>
            <w:tcW w:w="2120" w:type="dxa"/>
            <w:shd w:val="clear" w:color="auto" w:fill="auto"/>
            <w:vAlign w:val="center"/>
          </w:tcPr>
          <w:p>
            <w:pPr>
              <w:jc w:val="cente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shd w:val="clear" w:color="auto" w:fill="auto"/>
            <w:vAlign w:val="center"/>
          </w:tcPr>
          <w:p>
            <w:pPr>
              <w:jc w:val="center"/>
              <w:rPr>
                <w:szCs w:val="21"/>
              </w:rPr>
            </w:pPr>
            <w:r>
              <w:rPr>
                <w:szCs w:val="21"/>
              </w:rPr>
              <w:t>8</w:t>
            </w:r>
          </w:p>
        </w:tc>
        <w:tc>
          <w:tcPr>
            <w:tcW w:w="3940" w:type="dxa"/>
            <w:shd w:val="clear" w:color="auto" w:fill="auto"/>
            <w:vAlign w:val="center"/>
          </w:tcPr>
          <w:p>
            <w:pPr>
              <w:jc w:val="center"/>
              <w:rPr>
                <w:color w:val="000000"/>
                <w:szCs w:val="21"/>
              </w:rPr>
            </w:pPr>
            <w:r>
              <w:rPr>
                <w:rFonts w:hint="eastAsia"/>
                <w:color w:val="000000"/>
                <w:szCs w:val="21"/>
              </w:rPr>
              <w:t>安装调试</w:t>
            </w:r>
          </w:p>
        </w:tc>
        <w:tc>
          <w:tcPr>
            <w:tcW w:w="940" w:type="dxa"/>
            <w:shd w:val="clear" w:color="auto" w:fill="auto"/>
            <w:vAlign w:val="center"/>
          </w:tcPr>
          <w:p>
            <w:pPr>
              <w:jc w:val="center"/>
              <w:rPr>
                <w:color w:val="000000"/>
                <w:szCs w:val="21"/>
              </w:rPr>
            </w:pPr>
            <w:r>
              <w:rPr>
                <w:rFonts w:hint="eastAsia"/>
                <w:color w:val="000000"/>
                <w:szCs w:val="21"/>
              </w:rPr>
              <w:t>项</w:t>
            </w:r>
          </w:p>
        </w:tc>
        <w:tc>
          <w:tcPr>
            <w:tcW w:w="880" w:type="dxa"/>
            <w:shd w:val="clear" w:color="auto" w:fill="auto"/>
            <w:vAlign w:val="center"/>
          </w:tcPr>
          <w:p>
            <w:pPr>
              <w:jc w:val="center"/>
              <w:rPr>
                <w:color w:val="000000"/>
                <w:szCs w:val="21"/>
              </w:rPr>
            </w:pPr>
            <w:r>
              <w:rPr>
                <w:rFonts w:hint="eastAsia"/>
                <w:color w:val="000000"/>
                <w:szCs w:val="21"/>
              </w:rPr>
              <w:t>139</w:t>
            </w:r>
          </w:p>
        </w:tc>
        <w:tc>
          <w:tcPr>
            <w:tcW w:w="2120" w:type="dxa"/>
            <w:shd w:val="clear" w:color="auto" w:fill="auto"/>
            <w:vAlign w:val="center"/>
          </w:tcPr>
          <w:p>
            <w:pPr>
              <w:jc w:val="center"/>
              <w:rPr>
                <w:color w:val="000000"/>
                <w:szCs w:val="21"/>
              </w:rPr>
            </w:pPr>
            <w:r>
              <w:rPr>
                <w:rFonts w:hint="eastAsia"/>
                <w:color w:val="000000"/>
                <w:szCs w:val="21"/>
              </w:rPr>
              <w:t>/</w:t>
            </w:r>
          </w:p>
        </w:tc>
      </w:tr>
    </w:tbl>
    <w:p/>
    <w:p/>
    <w:p/>
    <w:p/>
    <w:p>
      <w:pPr>
        <w:pStyle w:val="2"/>
      </w:pPr>
    </w:p>
    <w:p/>
    <w:p/>
    <w:p/>
    <w:bookmarkEnd w:id="67"/>
    <w:bookmarkEnd w:id="68"/>
    <w:p>
      <w:pPr>
        <w:pStyle w:val="3"/>
        <w:rPr>
          <w:rFonts w:ascii="宋体" w:hAnsi="宋体" w:eastAsia="宋体"/>
          <w:b/>
          <w:bCs/>
          <w:sz w:val="32"/>
          <w:szCs w:val="32"/>
        </w:rPr>
      </w:pPr>
      <w:bookmarkStart w:id="104" w:name="_Toc117014023"/>
      <w:r>
        <w:rPr>
          <w:rFonts w:hint="eastAsia" w:ascii="宋体" w:hAnsi="宋体" w:eastAsia="宋体"/>
          <w:b/>
          <w:bCs/>
          <w:sz w:val="32"/>
          <w:szCs w:val="32"/>
        </w:rPr>
        <w:t xml:space="preserve"> 技术方案</w:t>
      </w:r>
      <w:bookmarkEnd w:id="104"/>
    </w:p>
    <w:p>
      <w:pPr>
        <w:pStyle w:val="4"/>
        <w:spacing w:line="360" w:lineRule="auto"/>
        <w:ind w:firstLine="560"/>
        <w:rPr>
          <w:sz w:val="28"/>
          <w:szCs w:val="28"/>
        </w:rPr>
      </w:pPr>
      <w:bookmarkStart w:id="105" w:name="_Toc117014024"/>
      <w:r>
        <w:rPr>
          <w:rFonts w:hint="eastAsia"/>
          <w:sz w:val="28"/>
          <w:szCs w:val="28"/>
        </w:rPr>
        <w:t>一</w:t>
      </w:r>
      <w:r>
        <w:rPr>
          <w:sz w:val="28"/>
          <w:szCs w:val="28"/>
        </w:rPr>
        <w:t>、县级应急广播平台设备</w:t>
      </w:r>
      <w:bookmarkEnd w:id="105"/>
    </w:p>
    <w:p>
      <w:pPr>
        <w:pStyle w:val="5"/>
        <w:spacing w:line="360" w:lineRule="auto"/>
        <w:rPr>
          <w:sz w:val="28"/>
          <w:szCs w:val="28"/>
        </w:rPr>
      </w:pPr>
      <w:r>
        <w:rPr>
          <w:sz w:val="28"/>
          <w:szCs w:val="28"/>
        </w:rPr>
        <w:t>1.1、应急广播平台软件系统</w:t>
      </w:r>
    </w:p>
    <w:p>
      <w:pPr>
        <w:autoSpaceDE w:val="0"/>
        <w:autoSpaceDN w:val="0"/>
        <w:adjustRightInd w:val="0"/>
        <w:snapToGrid w:val="0"/>
        <w:spacing w:line="360" w:lineRule="auto"/>
        <w:ind w:firstLine="480" w:firstLineChars="200"/>
      </w:pPr>
      <w:r>
        <w:t>1.信息接入功能</w:t>
      </w:r>
    </w:p>
    <w:p>
      <w:pPr>
        <w:autoSpaceDE w:val="0"/>
        <w:autoSpaceDN w:val="0"/>
        <w:adjustRightInd w:val="0"/>
        <w:snapToGrid w:val="0"/>
        <w:spacing w:line="360" w:lineRule="auto"/>
        <w:ind w:firstLine="480" w:firstLineChars="200"/>
      </w:pPr>
      <w:r>
        <w:t>（1）心跳发送功能：按照一定的时间间隔定时向上级应急广播平台发送心跳数据包；</w:t>
      </w:r>
    </w:p>
    <w:p>
      <w:pPr>
        <w:autoSpaceDE w:val="0"/>
        <w:autoSpaceDN w:val="0"/>
        <w:adjustRightInd w:val="0"/>
        <w:snapToGrid w:val="0"/>
        <w:spacing w:line="360" w:lineRule="auto"/>
        <w:ind w:firstLine="480" w:firstLineChars="200"/>
      </w:pPr>
      <w:r>
        <w:t>（2）信息主动上报：当本平台维护的应急广播平台、前端/台站、应急广播适配器、传输覆盖播出设备、终端等信息发生修改时，主动上报至上级应急广播平台；</w:t>
      </w:r>
    </w:p>
    <w:p>
      <w:pPr>
        <w:autoSpaceDE w:val="0"/>
        <w:autoSpaceDN w:val="0"/>
        <w:adjustRightInd w:val="0"/>
        <w:snapToGrid w:val="0"/>
        <w:spacing w:line="360" w:lineRule="auto"/>
        <w:ind w:firstLine="480" w:firstLineChars="200"/>
      </w:pPr>
      <w:r>
        <w:t>（3）信息被动上报：根据上级应急广播平台的要求，将本平台维护的应急广播平台、前端/台站、应急广播适配器、传输覆盖播出设备、终端等信息反馈至上级应急广播平台；</w:t>
      </w:r>
    </w:p>
    <w:p>
      <w:pPr>
        <w:autoSpaceDE w:val="0"/>
        <w:autoSpaceDN w:val="0"/>
        <w:adjustRightInd w:val="0"/>
        <w:snapToGrid w:val="0"/>
        <w:spacing w:line="360" w:lineRule="auto"/>
        <w:ind w:firstLine="480" w:firstLineChars="200"/>
      </w:pPr>
      <w:r>
        <w:t>（4）状态主动上报</w:t>
      </w:r>
    </w:p>
    <w:p>
      <w:pPr>
        <w:autoSpaceDE w:val="0"/>
        <w:autoSpaceDN w:val="0"/>
        <w:adjustRightInd w:val="0"/>
        <w:snapToGrid w:val="0"/>
        <w:spacing w:line="360" w:lineRule="auto"/>
        <w:ind w:firstLine="480" w:firstLineChars="200"/>
      </w:pPr>
      <w:r>
        <w:t>a.当本平台维护的应急广播平台、调频适配器、地面数字电视适配器等设备发生故障时，主动上报至上级应急广播平台；</w:t>
      </w:r>
    </w:p>
    <w:p>
      <w:pPr>
        <w:autoSpaceDE w:val="0"/>
        <w:autoSpaceDN w:val="0"/>
        <w:adjustRightInd w:val="0"/>
        <w:snapToGrid w:val="0"/>
        <w:spacing w:line="360" w:lineRule="auto"/>
        <w:ind w:firstLine="480" w:firstLineChars="200"/>
      </w:pPr>
      <w:r>
        <w:t>b.当本平台维护的前端/台站、传输覆盖播出设备、终端等设备发生故障时，主动上报至上级应急广播平台；</w:t>
      </w:r>
    </w:p>
    <w:p>
      <w:pPr>
        <w:autoSpaceDE w:val="0"/>
        <w:autoSpaceDN w:val="0"/>
        <w:adjustRightInd w:val="0"/>
        <w:snapToGrid w:val="0"/>
        <w:spacing w:line="360" w:lineRule="auto"/>
        <w:ind w:firstLine="480" w:firstLineChars="200"/>
      </w:pPr>
      <w:r>
        <w:t>（5）状态被动上报</w:t>
      </w:r>
    </w:p>
    <w:p>
      <w:pPr>
        <w:autoSpaceDE w:val="0"/>
        <w:autoSpaceDN w:val="0"/>
        <w:adjustRightInd w:val="0"/>
        <w:snapToGrid w:val="0"/>
        <w:spacing w:line="360" w:lineRule="auto"/>
        <w:ind w:firstLine="480" w:firstLineChars="200"/>
      </w:pPr>
      <w:r>
        <w:t>a.根据上级应急广播平台的要求，将本平台维护的应急广播平台、调频适配器、中波适配器、地面数字电视适配器等状态反馈至上级应急广播平台；</w:t>
      </w:r>
    </w:p>
    <w:p>
      <w:pPr>
        <w:autoSpaceDE w:val="0"/>
        <w:autoSpaceDN w:val="0"/>
        <w:adjustRightInd w:val="0"/>
        <w:snapToGrid w:val="0"/>
        <w:spacing w:line="360" w:lineRule="auto"/>
        <w:ind w:firstLine="480" w:firstLineChars="200"/>
      </w:pPr>
      <w:r>
        <w:t>b.根据上级应急广播平台的要求，将本平台维护的前端/台站、传输覆盖播出设备、终端等设备发生故障时，主动上报至上级应急广播平台。</w:t>
      </w:r>
    </w:p>
    <w:p>
      <w:pPr>
        <w:autoSpaceDE w:val="0"/>
        <w:autoSpaceDN w:val="0"/>
        <w:adjustRightInd w:val="0"/>
        <w:snapToGrid w:val="0"/>
        <w:spacing w:line="360" w:lineRule="auto"/>
        <w:ind w:firstLine="480" w:firstLineChars="200"/>
      </w:pPr>
      <w:r>
        <w:t>（6）应急广播播发接入并响应</w:t>
      </w:r>
    </w:p>
    <w:p>
      <w:pPr>
        <w:autoSpaceDE w:val="0"/>
        <w:autoSpaceDN w:val="0"/>
        <w:adjustRightInd w:val="0"/>
        <w:snapToGrid w:val="0"/>
        <w:spacing w:line="360" w:lineRule="auto"/>
        <w:ind w:firstLine="480" w:firstLineChars="200"/>
      </w:pPr>
      <w:r>
        <w:t>a.能接收和响应上级应急广播平台发送的、要求启动调频适配器、中波适配器、地面数字电视适配器进行应急广播播发的指令，能正确处理未到时、已到时未过期、已过期三种时间指令，并将接收处理结果、播出结果反馈至上级应急广播平台；</w:t>
      </w:r>
    </w:p>
    <w:p>
      <w:pPr>
        <w:autoSpaceDE w:val="0"/>
        <w:autoSpaceDN w:val="0"/>
        <w:adjustRightInd w:val="0"/>
        <w:snapToGrid w:val="0"/>
        <w:spacing w:line="360" w:lineRule="auto"/>
        <w:ind w:firstLine="480" w:firstLineChars="200"/>
      </w:pPr>
      <w:r>
        <w:t>b.能接收和响应上级应急广播平台发送的、要求启动应急广播大喇叭系统进行应急广播播发的指令，能正确处理未到时、已到时未过期、已过期三种时间指令，并将接收处理结果、播出结果反馈至上级应急广播平台；</w:t>
      </w:r>
    </w:p>
    <w:p>
      <w:pPr>
        <w:autoSpaceDE w:val="0"/>
        <w:autoSpaceDN w:val="0"/>
        <w:adjustRightInd w:val="0"/>
        <w:snapToGrid w:val="0"/>
        <w:spacing w:line="360" w:lineRule="auto"/>
        <w:ind w:firstLine="480" w:firstLineChars="200"/>
      </w:pPr>
      <w:r>
        <w:t>c.能够与应急部门的预警信息发布系统对接。</w:t>
      </w:r>
    </w:p>
    <w:p>
      <w:pPr>
        <w:autoSpaceDE w:val="0"/>
        <w:autoSpaceDN w:val="0"/>
        <w:adjustRightInd w:val="0"/>
        <w:snapToGrid w:val="0"/>
        <w:spacing w:line="360" w:lineRule="auto"/>
        <w:ind w:firstLine="480" w:firstLineChars="200"/>
      </w:pPr>
      <w:r>
        <w:t>（7）播发状态查询</w:t>
      </w:r>
    </w:p>
    <w:p>
      <w:pPr>
        <w:autoSpaceDE w:val="0"/>
        <w:autoSpaceDN w:val="0"/>
        <w:adjustRightInd w:val="0"/>
        <w:snapToGrid w:val="0"/>
        <w:spacing w:line="360" w:lineRule="auto"/>
        <w:ind w:firstLine="480" w:firstLineChars="200"/>
      </w:pPr>
      <w:r>
        <w:t>支持和响应上级应急广播平台发送的某条应急广播消息播发状态查询指令，并反馈查询结果。</w:t>
      </w:r>
    </w:p>
    <w:p>
      <w:pPr>
        <w:autoSpaceDE w:val="0"/>
        <w:autoSpaceDN w:val="0"/>
        <w:adjustRightInd w:val="0"/>
        <w:snapToGrid w:val="0"/>
        <w:spacing w:line="360" w:lineRule="auto"/>
        <w:ind w:firstLine="480" w:firstLineChars="200"/>
      </w:pPr>
      <w:r>
        <w:t>（8）播发记录查询</w:t>
      </w:r>
    </w:p>
    <w:p>
      <w:pPr>
        <w:autoSpaceDE w:val="0"/>
        <w:autoSpaceDN w:val="0"/>
        <w:adjustRightInd w:val="0"/>
        <w:snapToGrid w:val="0"/>
        <w:spacing w:line="360" w:lineRule="auto"/>
        <w:ind w:firstLine="480" w:firstLineChars="200"/>
      </w:pPr>
      <w:r>
        <w:t>支持和响应上级应急广播平台发送的某时间段的播发记录查询指令，并反馈查询结果。</w:t>
      </w:r>
    </w:p>
    <w:p>
      <w:pPr>
        <w:autoSpaceDE w:val="0"/>
        <w:autoSpaceDN w:val="0"/>
        <w:adjustRightInd w:val="0"/>
        <w:snapToGrid w:val="0"/>
        <w:spacing w:line="360" w:lineRule="auto"/>
        <w:ind w:firstLine="480" w:firstLineChars="200"/>
      </w:pPr>
      <w:r>
        <w:t>2.信息处理功能要求</w:t>
      </w:r>
    </w:p>
    <w:p>
      <w:pPr>
        <w:autoSpaceDE w:val="0"/>
        <w:autoSpaceDN w:val="0"/>
        <w:adjustRightInd w:val="0"/>
        <w:snapToGrid w:val="0"/>
        <w:spacing w:line="360" w:lineRule="auto"/>
        <w:ind w:firstLine="480" w:firstLineChars="200"/>
      </w:pPr>
      <w:r>
        <w:t>（1）接入信息解析处理：能对接收到的应急信息、应急广播消息的关键内容（来源单位、消息类型、事件级别、发布时间、发布内容等）进行解析和存储功能；</w:t>
      </w:r>
    </w:p>
    <w:p>
      <w:pPr>
        <w:autoSpaceDE w:val="0"/>
        <w:autoSpaceDN w:val="0"/>
        <w:adjustRightInd w:val="0"/>
        <w:snapToGrid w:val="0"/>
        <w:spacing w:line="360" w:lineRule="auto"/>
        <w:ind w:firstLine="480" w:firstLineChars="200"/>
      </w:pPr>
      <w:r>
        <w:t>（2）接入信息提示功能：能将接收到信息/消息的关键内容在界面上展示。</w:t>
      </w:r>
    </w:p>
    <w:p>
      <w:pPr>
        <w:autoSpaceDE w:val="0"/>
        <w:autoSpaceDN w:val="0"/>
        <w:adjustRightInd w:val="0"/>
        <w:snapToGrid w:val="0"/>
        <w:spacing w:line="360" w:lineRule="auto"/>
        <w:ind w:firstLine="480" w:firstLineChars="200"/>
      </w:pPr>
      <w:r>
        <w:t>3.信息制作和审核功能要求</w:t>
      </w:r>
    </w:p>
    <w:p>
      <w:pPr>
        <w:autoSpaceDE w:val="0"/>
        <w:autoSpaceDN w:val="0"/>
        <w:adjustRightInd w:val="0"/>
        <w:snapToGrid w:val="0"/>
        <w:spacing w:line="360" w:lineRule="auto"/>
        <w:ind w:firstLine="480" w:firstLineChars="200"/>
      </w:pPr>
      <w:r>
        <w:t>（1）自动文转语功能：具有将应急广播文本内容（汉语）自动转换成语音文件的功能，语音文件格式要求为mp3；</w:t>
      </w:r>
    </w:p>
    <w:p>
      <w:pPr>
        <w:autoSpaceDE w:val="0"/>
        <w:autoSpaceDN w:val="0"/>
        <w:adjustRightInd w:val="0"/>
        <w:snapToGrid w:val="0"/>
        <w:spacing w:line="360" w:lineRule="auto"/>
        <w:ind w:firstLine="480" w:firstLineChars="200"/>
      </w:pPr>
      <w:r>
        <w:t>（2）音频文件流化功能：能够将接收到的mp3 的音频文件转化成IP 实时流；</w:t>
      </w:r>
    </w:p>
    <w:p>
      <w:pPr>
        <w:autoSpaceDE w:val="0"/>
        <w:autoSpaceDN w:val="0"/>
        <w:adjustRightInd w:val="0"/>
        <w:snapToGrid w:val="0"/>
        <w:spacing w:line="360" w:lineRule="auto"/>
        <w:ind w:firstLine="480" w:firstLineChars="200"/>
      </w:pPr>
      <w:r>
        <w:t>（3）信息审核功能：具有对本地广播资源（应急广播文本内容自动文转语生成的语音文件、应急广播音频文件）进行审核、预览功能。</w:t>
      </w:r>
    </w:p>
    <w:p>
      <w:pPr>
        <w:autoSpaceDE w:val="0"/>
        <w:autoSpaceDN w:val="0"/>
        <w:adjustRightInd w:val="0"/>
        <w:snapToGrid w:val="0"/>
        <w:spacing w:line="360" w:lineRule="auto"/>
        <w:ind w:firstLine="480" w:firstLineChars="200"/>
      </w:pPr>
      <w:r>
        <w:t>4.资源管理功能</w:t>
      </w:r>
    </w:p>
    <w:p>
      <w:pPr>
        <w:autoSpaceDE w:val="0"/>
        <w:autoSpaceDN w:val="0"/>
        <w:adjustRightInd w:val="0"/>
        <w:snapToGrid w:val="0"/>
        <w:spacing w:line="360" w:lineRule="auto"/>
        <w:ind w:firstLine="480" w:firstLineChars="200"/>
      </w:pPr>
      <w:r>
        <w:t>（1）资源管理：可进行前端/台站适配器、大喇叭县乡村适配器、终端等资源的管理、资源编码的分配管理；</w:t>
      </w:r>
    </w:p>
    <w:p>
      <w:pPr>
        <w:autoSpaceDE w:val="0"/>
        <w:autoSpaceDN w:val="0"/>
        <w:adjustRightInd w:val="0"/>
        <w:snapToGrid w:val="0"/>
        <w:spacing w:line="360" w:lineRule="auto"/>
        <w:ind w:firstLine="480" w:firstLineChars="200"/>
      </w:pPr>
      <w:r>
        <w:t>（2）资源状态获取及显示功能：</w:t>
      </w:r>
    </w:p>
    <w:p>
      <w:pPr>
        <w:autoSpaceDE w:val="0"/>
        <w:autoSpaceDN w:val="0"/>
        <w:adjustRightInd w:val="0"/>
        <w:snapToGrid w:val="0"/>
        <w:spacing w:line="360" w:lineRule="auto"/>
        <w:ind w:firstLine="480" w:firstLineChars="200"/>
      </w:pPr>
      <w:r>
        <w:t>a.能获取调频适配器、地面数字电视适配器回传的状态，并在系统中进行查看或展示；</w:t>
      </w:r>
    </w:p>
    <w:p>
      <w:pPr>
        <w:autoSpaceDE w:val="0"/>
        <w:autoSpaceDN w:val="0"/>
        <w:adjustRightInd w:val="0"/>
        <w:snapToGrid w:val="0"/>
        <w:spacing w:line="360" w:lineRule="auto"/>
        <w:ind w:firstLine="480" w:firstLineChars="200"/>
      </w:pPr>
      <w:r>
        <w:t>b.能获取前端/台站、大喇叭县乡村适配器、终端回传的状态，并在系统中进行查看或展示。</w:t>
      </w:r>
    </w:p>
    <w:p>
      <w:pPr>
        <w:autoSpaceDE w:val="0"/>
        <w:autoSpaceDN w:val="0"/>
        <w:adjustRightInd w:val="0"/>
        <w:snapToGrid w:val="0"/>
        <w:spacing w:line="360" w:lineRule="auto"/>
        <w:ind w:firstLine="480" w:firstLineChars="200"/>
      </w:pPr>
      <w:r>
        <w:t>（3）资源故障报警功能：</w:t>
      </w:r>
    </w:p>
    <w:p>
      <w:pPr>
        <w:autoSpaceDE w:val="0"/>
        <w:autoSpaceDN w:val="0"/>
        <w:adjustRightInd w:val="0"/>
        <w:snapToGrid w:val="0"/>
        <w:spacing w:line="360" w:lineRule="auto"/>
        <w:ind w:firstLine="480" w:firstLineChars="200"/>
      </w:pPr>
      <w:r>
        <w:t>a.可根据调频适配器、地面数字电视适配器的回传状态，状态异常时可自动触发声光报警；</w:t>
      </w:r>
    </w:p>
    <w:p>
      <w:pPr>
        <w:autoSpaceDE w:val="0"/>
        <w:autoSpaceDN w:val="0"/>
        <w:adjustRightInd w:val="0"/>
        <w:snapToGrid w:val="0"/>
        <w:spacing w:line="360" w:lineRule="auto"/>
        <w:ind w:firstLine="480" w:firstLineChars="200"/>
      </w:pPr>
      <w:r>
        <w:t>b.可根据前端/台站、大喇叭县乡村适配器、终端的回传状态，状态异常时可自动触发声光报警。</w:t>
      </w:r>
    </w:p>
    <w:p>
      <w:pPr>
        <w:autoSpaceDE w:val="0"/>
        <w:autoSpaceDN w:val="0"/>
        <w:adjustRightInd w:val="0"/>
        <w:snapToGrid w:val="0"/>
        <w:spacing w:line="360" w:lineRule="auto"/>
        <w:ind w:firstLine="480" w:firstLineChars="200"/>
      </w:pPr>
      <w:r>
        <w:t>5.资源调度功能</w:t>
      </w:r>
    </w:p>
    <w:p>
      <w:pPr>
        <w:autoSpaceDE w:val="0"/>
        <w:autoSpaceDN w:val="0"/>
        <w:adjustRightInd w:val="0"/>
        <w:snapToGrid w:val="0"/>
        <w:spacing w:line="360" w:lineRule="auto"/>
        <w:ind w:firstLine="480" w:firstLineChars="200"/>
      </w:pPr>
      <w:r>
        <w:t>（1）调度预案管理：具备调度预案编辑和维护功能，调度预案至少应包括对不同事件级别的应急广播发布需求，建立对应的资源调度策略和原则；</w:t>
      </w:r>
    </w:p>
    <w:p>
      <w:pPr>
        <w:autoSpaceDE w:val="0"/>
        <w:autoSpaceDN w:val="0"/>
        <w:adjustRightInd w:val="0"/>
        <w:snapToGrid w:val="0"/>
        <w:spacing w:line="360" w:lineRule="auto"/>
        <w:ind w:firstLine="480" w:firstLineChars="200"/>
      </w:pPr>
      <w:r>
        <w:t>（2）资源调度功能：应具备根据发布需求、调度预案，生成本次资源调度方案的功能，并可由人工介入修改调度方案；</w:t>
      </w:r>
    </w:p>
    <w:p>
      <w:pPr>
        <w:autoSpaceDE w:val="0"/>
        <w:autoSpaceDN w:val="0"/>
        <w:adjustRightInd w:val="0"/>
        <w:snapToGrid w:val="0"/>
        <w:spacing w:line="360" w:lineRule="auto"/>
        <w:ind w:firstLine="480" w:firstLineChars="200"/>
      </w:pPr>
      <w:r>
        <w:t>（3）应急广播消息指令生成功能：应能根据资源调度方案，自动生成应急广播消息指令的功能；</w:t>
      </w:r>
    </w:p>
    <w:p>
      <w:pPr>
        <w:autoSpaceDE w:val="0"/>
        <w:autoSpaceDN w:val="0"/>
        <w:adjustRightInd w:val="0"/>
        <w:snapToGrid w:val="0"/>
        <w:spacing w:line="360" w:lineRule="auto"/>
        <w:ind w:firstLine="480" w:firstLineChars="200"/>
      </w:pPr>
      <w:r>
        <w:t>（4）播发任务监管功能：可获取并监管当前系统正在进行的应急广播发布任务。</w:t>
      </w:r>
    </w:p>
    <w:p>
      <w:pPr>
        <w:autoSpaceDE w:val="0"/>
        <w:autoSpaceDN w:val="0"/>
        <w:adjustRightInd w:val="0"/>
        <w:snapToGrid w:val="0"/>
        <w:spacing w:line="360" w:lineRule="auto"/>
        <w:ind w:firstLine="480" w:firstLineChars="200"/>
      </w:pPr>
      <w:r>
        <w:t>6.生成播发</w:t>
      </w:r>
    </w:p>
    <w:p>
      <w:pPr>
        <w:autoSpaceDE w:val="0"/>
        <w:autoSpaceDN w:val="0"/>
        <w:adjustRightInd w:val="0"/>
        <w:snapToGrid w:val="0"/>
        <w:spacing w:line="360" w:lineRule="auto"/>
        <w:ind w:firstLine="480" w:firstLineChars="200"/>
      </w:pPr>
      <w:r>
        <w:t>（1）县级融媒体中心（广播电视台）频率频道播出：能与县级融媒体中心（广播电视台）频率频道播出系统/应急广播适配器对接，发布应急广播消息；</w:t>
      </w:r>
    </w:p>
    <w:p>
      <w:pPr>
        <w:autoSpaceDE w:val="0"/>
        <w:autoSpaceDN w:val="0"/>
        <w:adjustRightInd w:val="0"/>
        <w:snapToGrid w:val="0"/>
        <w:spacing w:line="360" w:lineRule="auto"/>
        <w:ind w:firstLine="480" w:firstLineChars="200"/>
      </w:pPr>
      <w:r>
        <w:t>（2）无线/有线台站播出：能与调频适配器、地面数字电视适配器对接，发布应急广播消息；</w:t>
      </w:r>
    </w:p>
    <w:p>
      <w:pPr>
        <w:autoSpaceDE w:val="0"/>
        <w:autoSpaceDN w:val="0"/>
        <w:adjustRightInd w:val="0"/>
        <w:snapToGrid w:val="0"/>
        <w:spacing w:line="360" w:lineRule="auto"/>
        <w:ind w:firstLine="480" w:firstLineChars="200"/>
      </w:pPr>
      <w:r>
        <w:rPr>
          <w:rFonts w:hint="eastAsia"/>
        </w:rPr>
        <w:t>（3）</w:t>
      </w:r>
      <w:r>
        <w:t>有线前端播出：能与有线前端的应急广播适配器对接，发布应急广播消息；</w:t>
      </w:r>
    </w:p>
    <w:p>
      <w:pPr>
        <w:autoSpaceDE w:val="0"/>
        <w:autoSpaceDN w:val="0"/>
        <w:adjustRightInd w:val="0"/>
        <w:snapToGrid w:val="0"/>
        <w:spacing w:line="360" w:lineRule="auto"/>
        <w:ind w:firstLine="480" w:firstLineChars="200"/>
      </w:pPr>
      <w:r>
        <w:t>（4）应急广播大喇叭播出：能与县级应急广播大喇叭适配器对接，发布应急广播消息、下发应急广播tar 文件；</w:t>
      </w:r>
    </w:p>
    <w:p>
      <w:pPr>
        <w:autoSpaceDE w:val="0"/>
        <w:autoSpaceDN w:val="0"/>
        <w:adjustRightInd w:val="0"/>
        <w:snapToGrid w:val="0"/>
        <w:spacing w:line="360" w:lineRule="auto"/>
        <w:ind w:firstLine="480" w:firstLineChars="200"/>
      </w:pPr>
      <w:r>
        <w:t>（5）播发状态监视：能获取各通道播发状态，并展示播发进程。</w:t>
      </w:r>
    </w:p>
    <w:p>
      <w:pPr>
        <w:autoSpaceDE w:val="0"/>
        <w:autoSpaceDN w:val="0"/>
        <w:adjustRightInd w:val="0"/>
        <w:snapToGrid w:val="0"/>
        <w:spacing w:line="360" w:lineRule="auto"/>
        <w:ind w:firstLine="480" w:firstLineChars="200"/>
      </w:pPr>
      <w:r>
        <w:t>7.效果评估</w:t>
      </w:r>
    </w:p>
    <w:p>
      <w:pPr>
        <w:autoSpaceDE w:val="0"/>
        <w:autoSpaceDN w:val="0"/>
        <w:adjustRightInd w:val="0"/>
        <w:snapToGrid w:val="0"/>
        <w:spacing w:line="360" w:lineRule="auto"/>
        <w:ind w:firstLine="480" w:firstLineChars="200"/>
      </w:pPr>
      <w:r>
        <w:t>（1）发布进程数据采集和展示功能：能在播发过程中采集系统主要环节的数据，如调频适配器、中波适配器、地面数字电视适配器和已有村村响系统的响应状态，并进行动态展示；</w:t>
      </w:r>
    </w:p>
    <w:p>
      <w:pPr>
        <w:autoSpaceDE w:val="0"/>
        <w:autoSpaceDN w:val="0"/>
        <w:adjustRightInd w:val="0"/>
        <w:snapToGrid w:val="0"/>
        <w:spacing w:line="360" w:lineRule="auto"/>
        <w:ind w:firstLine="480" w:firstLineChars="200"/>
      </w:pPr>
      <w:r>
        <w:t>（2）事后评估功能：能在发布结束后，对播发覆盖率、播发时效等指标进行评估；</w:t>
      </w:r>
    </w:p>
    <w:p>
      <w:pPr>
        <w:autoSpaceDE w:val="0"/>
        <w:autoSpaceDN w:val="0"/>
        <w:adjustRightInd w:val="0"/>
        <w:snapToGrid w:val="0"/>
        <w:spacing w:line="360" w:lineRule="auto"/>
        <w:ind w:firstLine="480" w:firstLineChars="200"/>
      </w:pPr>
      <w:r>
        <w:t>（3）查询统计功能：能对应急信息、应急广播消息等内容的检索与查询，支持简单检索和各种查询条件相组合的复杂检索。</w:t>
      </w:r>
    </w:p>
    <w:p>
      <w:pPr>
        <w:autoSpaceDE w:val="0"/>
        <w:autoSpaceDN w:val="0"/>
        <w:adjustRightInd w:val="0"/>
        <w:snapToGrid w:val="0"/>
        <w:spacing w:line="360" w:lineRule="auto"/>
        <w:ind w:firstLine="480" w:firstLineChars="200"/>
      </w:pPr>
      <w:r>
        <w:t>8.安全管理要求</w:t>
      </w:r>
    </w:p>
    <w:p>
      <w:pPr>
        <w:autoSpaceDE w:val="0"/>
        <w:autoSpaceDN w:val="0"/>
        <w:adjustRightInd w:val="0"/>
        <w:snapToGrid w:val="0"/>
        <w:spacing w:line="360" w:lineRule="auto"/>
        <w:ind w:firstLine="480" w:firstLineChars="200"/>
      </w:pPr>
      <w:r>
        <w:t>（1）证书列表导入功能：支持省认证中心发布的证书列表文件的导入；</w:t>
      </w:r>
    </w:p>
    <w:p>
      <w:pPr>
        <w:autoSpaceDE w:val="0"/>
        <w:autoSpaceDN w:val="0"/>
        <w:adjustRightInd w:val="0"/>
        <w:snapToGrid w:val="0"/>
        <w:spacing w:line="360" w:lineRule="auto"/>
        <w:ind w:firstLine="480" w:firstLineChars="200"/>
      </w:pPr>
      <w:r>
        <w:t>（2）证书发放功能：能实现通过县应急广播大喇叭适配器向终端发放证书更新指令，更新终端的证书列表；</w:t>
      </w:r>
    </w:p>
    <w:p>
      <w:pPr>
        <w:autoSpaceDE w:val="0"/>
        <w:autoSpaceDN w:val="0"/>
        <w:adjustRightInd w:val="0"/>
        <w:snapToGrid w:val="0"/>
        <w:spacing w:line="360" w:lineRule="auto"/>
        <w:ind w:firstLine="480" w:firstLineChars="200"/>
      </w:pPr>
      <w:r>
        <w:t>（3）签名验签功能：对上级应急广播平台、县应急广播大喇叭适配器、前端/台站适配器的数据交互，支持签名和验签功能。</w:t>
      </w:r>
    </w:p>
    <w:p>
      <w:pPr>
        <w:autoSpaceDE w:val="0"/>
        <w:autoSpaceDN w:val="0"/>
        <w:adjustRightInd w:val="0"/>
        <w:snapToGrid w:val="0"/>
        <w:spacing w:line="360" w:lineRule="auto"/>
        <w:ind w:firstLine="480" w:firstLineChars="200"/>
      </w:pPr>
      <w:r>
        <w:t>9.运维管理要求</w:t>
      </w:r>
    </w:p>
    <w:p>
      <w:pPr>
        <w:autoSpaceDE w:val="0"/>
        <w:autoSpaceDN w:val="0"/>
        <w:adjustRightInd w:val="0"/>
        <w:snapToGrid w:val="0"/>
        <w:spacing w:line="360" w:lineRule="auto"/>
        <w:ind w:firstLine="480" w:firstLineChars="200"/>
      </w:pPr>
      <w:r>
        <w:t>（1）权限管理功能：实现对用户、角色、权限的分配和管理功能；</w:t>
      </w:r>
    </w:p>
    <w:p>
      <w:pPr>
        <w:autoSpaceDE w:val="0"/>
        <w:autoSpaceDN w:val="0"/>
        <w:adjustRightInd w:val="0"/>
        <w:snapToGrid w:val="0"/>
        <w:spacing w:line="360" w:lineRule="auto"/>
        <w:ind w:firstLine="480" w:firstLineChars="200"/>
      </w:pPr>
      <w:r>
        <w:t>（2）基础数据维护功能：实现行政区域管理等；</w:t>
      </w:r>
    </w:p>
    <w:p>
      <w:pPr>
        <w:autoSpaceDE w:val="0"/>
        <w:autoSpaceDN w:val="0"/>
        <w:adjustRightInd w:val="0"/>
        <w:snapToGrid w:val="0"/>
        <w:spacing w:line="360" w:lineRule="auto"/>
        <w:ind w:firstLine="480" w:firstLineChars="200"/>
      </w:pPr>
      <w:r>
        <w:t>（3）系统服务管理：支持系统参数配置；</w:t>
      </w:r>
    </w:p>
    <w:p>
      <w:pPr>
        <w:autoSpaceDE w:val="0"/>
        <w:autoSpaceDN w:val="0"/>
        <w:adjustRightInd w:val="0"/>
        <w:snapToGrid w:val="0"/>
        <w:spacing w:line="360" w:lineRule="auto"/>
        <w:ind w:firstLine="480" w:firstLineChars="200"/>
      </w:pPr>
      <w:r>
        <w:t>（4）数据同步管理：具备与上级应急广播平台的对接功能，具有将本平台的未上传的数据同步到上级平台功能。</w:t>
      </w:r>
    </w:p>
    <w:p>
      <w:pPr>
        <w:autoSpaceDE w:val="0"/>
        <w:autoSpaceDN w:val="0"/>
        <w:adjustRightInd w:val="0"/>
        <w:snapToGrid w:val="0"/>
        <w:spacing w:line="360" w:lineRule="auto"/>
        <w:ind w:firstLine="480" w:firstLineChars="200"/>
      </w:pPr>
      <w:r>
        <w:t>10.大喇叭管控</w:t>
      </w:r>
    </w:p>
    <w:p>
      <w:pPr>
        <w:autoSpaceDE w:val="0"/>
        <w:autoSpaceDN w:val="0"/>
        <w:adjustRightInd w:val="0"/>
        <w:snapToGrid w:val="0"/>
        <w:spacing w:line="360" w:lineRule="auto"/>
        <w:ind w:firstLine="480" w:firstLineChars="200"/>
      </w:pPr>
      <w:r>
        <w:t>支持对县应急广播大喇叭适配器进行本机参数配置功能：支持对县应急广播大喇叭适配器进行网络参数、应急广播资源编码、回传参数、白名单等参数配置；</w:t>
      </w:r>
    </w:p>
    <w:p>
      <w:pPr>
        <w:autoSpaceDE w:val="0"/>
        <w:autoSpaceDN w:val="0"/>
        <w:adjustRightInd w:val="0"/>
        <w:snapToGrid w:val="0"/>
        <w:spacing w:line="360" w:lineRule="auto"/>
        <w:ind w:firstLine="480" w:firstLineChars="200"/>
      </w:pPr>
      <w:r>
        <w:t>支持对县应急广播大喇叭适配器进行数据查询功能：支持对县应急广播大喇叭适配器进行输入输出通道、播发记录、故障详情查询功能，并反馈正确的数据记录；</w:t>
      </w:r>
    </w:p>
    <w:p>
      <w:pPr>
        <w:autoSpaceDE w:val="0"/>
        <w:autoSpaceDN w:val="0"/>
        <w:adjustRightInd w:val="0"/>
        <w:snapToGrid w:val="0"/>
        <w:spacing w:line="360" w:lineRule="auto"/>
        <w:ind w:firstLine="480" w:firstLineChars="200"/>
      </w:pPr>
      <w:r>
        <w:t>支持通过县应急广播大喇叭适配器发出RDS、DTMB、DVB-C、IP 指令控制大喇叭终端的功能。输出指令符合GD/J 089-2018 应急广播大喇叭系统技术规范；</w:t>
      </w:r>
    </w:p>
    <w:p>
      <w:pPr>
        <w:autoSpaceDE w:val="0"/>
        <w:autoSpaceDN w:val="0"/>
        <w:adjustRightInd w:val="0"/>
        <w:snapToGrid w:val="0"/>
        <w:spacing w:line="360" w:lineRule="auto"/>
        <w:ind w:firstLine="480" w:firstLineChars="200"/>
      </w:pPr>
      <w:r>
        <w:t>能获取县应急广播大喇叭适配器主动上报数据：能获取县级适配器主动通过网络向平台上报应急广播消息播发的开始和结束状态；</w:t>
      </w:r>
    </w:p>
    <w:p>
      <w:pPr>
        <w:autoSpaceDE w:val="0"/>
        <w:autoSpaceDN w:val="0"/>
        <w:adjustRightInd w:val="0"/>
        <w:snapToGrid w:val="0"/>
        <w:spacing w:line="360" w:lineRule="auto"/>
        <w:ind w:firstLine="480" w:firstLineChars="200"/>
      </w:pPr>
      <w:r>
        <w:t>能与县应急广播大喇叭适配器保持心跳维持功能：能通过网络向获取县级适配器发送心跳数据包；</w:t>
      </w:r>
    </w:p>
    <w:p>
      <w:pPr>
        <w:autoSpaceDE w:val="0"/>
        <w:autoSpaceDN w:val="0"/>
        <w:adjustRightInd w:val="0"/>
        <w:snapToGrid w:val="0"/>
        <w:spacing w:line="360" w:lineRule="auto"/>
        <w:ind w:firstLine="480" w:firstLineChars="200"/>
      </w:pPr>
      <w:r>
        <w:t>支持分区域播发控制：支持分区域播发控制；</w:t>
      </w:r>
    </w:p>
    <w:p>
      <w:pPr>
        <w:autoSpaceDE w:val="0"/>
        <w:autoSpaceDN w:val="0"/>
        <w:adjustRightInd w:val="0"/>
        <w:snapToGrid w:val="0"/>
        <w:spacing w:line="360" w:lineRule="auto"/>
        <w:ind w:firstLine="480" w:firstLineChars="200"/>
      </w:pPr>
      <w:r>
        <w:t>支持接收应急广播大喇叭适配器以推送的实时音频流：支持接收并存储应急广播大喇叭适配器以RTP 单播形式推送的MP3 格式的实时音频流并存储为mp3 文件。</w:t>
      </w:r>
    </w:p>
    <w:p>
      <w:pPr>
        <w:autoSpaceDE w:val="0"/>
        <w:autoSpaceDN w:val="0"/>
        <w:adjustRightInd w:val="0"/>
        <w:snapToGrid w:val="0"/>
        <w:spacing w:line="360" w:lineRule="auto"/>
        <w:ind w:firstLine="480" w:firstLineChars="200"/>
      </w:pPr>
      <w:r>
        <w:t>11.性能要求</w:t>
      </w:r>
    </w:p>
    <w:p>
      <w:pPr>
        <w:autoSpaceDE w:val="0"/>
        <w:autoSpaceDN w:val="0"/>
        <w:adjustRightInd w:val="0"/>
        <w:snapToGrid w:val="0"/>
        <w:spacing w:line="360" w:lineRule="auto"/>
        <w:ind w:firstLine="480" w:firstLineChars="200"/>
      </w:pPr>
      <w:r>
        <w:t>自动播发响应时长 ＜10 秒；</w:t>
      </w:r>
    </w:p>
    <w:p>
      <w:pPr>
        <w:autoSpaceDE w:val="0"/>
        <w:autoSpaceDN w:val="0"/>
        <w:adjustRightInd w:val="0"/>
        <w:snapToGrid w:val="0"/>
        <w:spacing w:line="360" w:lineRule="auto"/>
        <w:ind w:firstLine="480" w:firstLineChars="200"/>
      </w:pPr>
      <w:r>
        <w:t>应急信息并行接入能力 ≥5路；</w:t>
      </w:r>
    </w:p>
    <w:p>
      <w:pPr>
        <w:autoSpaceDE w:val="0"/>
        <w:autoSpaceDN w:val="0"/>
        <w:adjustRightInd w:val="0"/>
        <w:snapToGrid w:val="0"/>
        <w:spacing w:line="360" w:lineRule="auto"/>
        <w:ind w:firstLine="480" w:firstLineChars="200"/>
      </w:pPr>
      <w:r>
        <w:t>并行播发能力 ≥2路。</w:t>
      </w:r>
    </w:p>
    <w:p>
      <w:pPr>
        <w:autoSpaceDE w:val="0"/>
        <w:autoSpaceDN w:val="0"/>
        <w:adjustRightInd w:val="0"/>
        <w:snapToGrid w:val="0"/>
        <w:spacing w:line="360" w:lineRule="auto"/>
        <w:ind w:firstLine="480" w:firstLineChars="200"/>
      </w:pPr>
      <w:r>
        <w:t>12.升级扩展功能要求</w:t>
      </w:r>
    </w:p>
    <w:p>
      <w:pPr>
        <w:autoSpaceDE w:val="0"/>
        <w:autoSpaceDN w:val="0"/>
        <w:adjustRightInd w:val="0"/>
        <w:snapToGrid w:val="0"/>
        <w:spacing w:line="360" w:lineRule="auto"/>
        <w:ind w:firstLine="480" w:firstLineChars="200"/>
      </w:pPr>
      <w:r>
        <w:t>在县级融媒体中心技术系统建立后，县级应急广播平台核心软件应能进行升级后与融媒体中心技术系统实现对接，通过融媒体中心进行应急广播消息发布。</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1.2、应用服务器</w:t>
      </w:r>
    </w:p>
    <w:p>
      <w:pPr>
        <w:autoSpaceDE w:val="0"/>
        <w:autoSpaceDN w:val="0"/>
        <w:adjustRightInd w:val="0"/>
        <w:snapToGrid w:val="0"/>
        <w:spacing w:line="360" w:lineRule="auto"/>
        <w:ind w:firstLine="420"/>
      </w:pPr>
      <w:r>
        <w:t>CPU：配置双Intel 至强处理器，主频不低于2.1GHz，支持不低于16 核 32线程；</w:t>
      </w:r>
    </w:p>
    <w:p>
      <w:pPr>
        <w:autoSpaceDE w:val="0"/>
        <w:autoSpaceDN w:val="0"/>
        <w:adjustRightInd w:val="0"/>
        <w:snapToGrid w:val="0"/>
        <w:spacing w:line="360" w:lineRule="auto"/>
        <w:ind w:firstLine="420"/>
      </w:pPr>
      <w:r>
        <w:t>内存：不低于16GB；</w:t>
      </w:r>
    </w:p>
    <w:p>
      <w:pPr>
        <w:autoSpaceDE w:val="0"/>
        <w:autoSpaceDN w:val="0"/>
        <w:adjustRightInd w:val="0"/>
        <w:snapToGrid w:val="0"/>
        <w:spacing w:line="360" w:lineRule="auto"/>
        <w:ind w:firstLine="420"/>
      </w:pPr>
      <w:r>
        <w:t>硬盘：配置SATA 硬盘，容量不小于1TB；</w:t>
      </w:r>
    </w:p>
    <w:p>
      <w:pPr>
        <w:autoSpaceDE w:val="0"/>
        <w:autoSpaceDN w:val="0"/>
        <w:adjustRightInd w:val="0"/>
        <w:snapToGrid w:val="0"/>
        <w:spacing w:line="360" w:lineRule="auto"/>
        <w:ind w:firstLine="420"/>
      </w:pPr>
      <w:r>
        <w:t>具备热插拔冗余双电源模块，确保高可靠不间断运行；</w:t>
      </w:r>
    </w:p>
    <w:p>
      <w:pPr>
        <w:autoSpaceDE w:val="0"/>
        <w:autoSpaceDN w:val="0"/>
        <w:adjustRightInd w:val="0"/>
        <w:snapToGrid w:val="0"/>
        <w:spacing w:line="360" w:lineRule="auto"/>
        <w:ind w:firstLine="420"/>
      </w:pPr>
      <w:r>
        <w:t>支持安装操作系统（Windows、Linux）</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1.3、数据服务器（含存储）</w:t>
      </w:r>
    </w:p>
    <w:p>
      <w:pPr>
        <w:autoSpaceDE w:val="0"/>
        <w:autoSpaceDN w:val="0"/>
        <w:adjustRightInd w:val="0"/>
        <w:snapToGrid w:val="0"/>
        <w:spacing w:line="360" w:lineRule="auto"/>
        <w:ind w:firstLine="480" w:firstLineChars="200"/>
        <w:rPr>
          <w:szCs w:val="21"/>
        </w:rPr>
      </w:pPr>
      <w:r>
        <w:rPr>
          <w:szCs w:val="21"/>
        </w:rPr>
        <w:t>CPU：配置双Intel 至强处理器，主频不低于2.1GHz，支持不低于16 核 32线程；</w:t>
      </w:r>
    </w:p>
    <w:p>
      <w:pPr>
        <w:autoSpaceDE w:val="0"/>
        <w:autoSpaceDN w:val="0"/>
        <w:adjustRightInd w:val="0"/>
        <w:snapToGrid w:val="0"/>
        <w:spacing w:line="360" w:lineRule="auto"/>
        <w:ind w:firstLine="480" w:firstLineChars="200"/>
        <w:rPr>
          <w:szCs w:val="21"/>
        </w:rPr>
      </w:pPr>
      <w:r>
        <w:rPr>
          <w:szCs w:val="21"/>
        </w:rPr>
        <w:t>内存：不低于16GB；</w:t>
      </w:r>
    </w:p>
    <w:p>
      <w:pPr>
        <w:autoSpaceDE w:val="0"/>
        <w:autoSpaceDN w:val="0"/>
        <w:adjustRightInd w:val="0"/>
        <w:snapToGrid w:val="0"/>
        <w:spacing w:line="360" w:lineRule="auto"/>
        <w:ind w:firstLine="420"/>
        <w:rPr>
          <w:szCs w:val="21"/>
        </w:rPr>
      </w:pPr>
      <w:r>
        <w:rPr>
          <w:szCs w:val="21"/>
        </w:rPr>
        <w:t>硬盘</w:t>
      </w:r>
      <w:r>
        <w:rPr>
          <w:rFonts w:hint="eastAsia"/>
          <w:szCs w:val="21"/>
        </w:rPr>
        <w:t>容量</w:t>
      </w:r>
      <w:r>
        <w:rPr>
          <w:szCs w:val="21"/>
        </w:rPr>
        <w:t>：</w:t>
      </w:r>
      <w:r>
        <w:rPr>
          <w:rFonts w:hint="eastAsia"/>
          <w:szCs w:val="21"/>
        </w:rPr>
        <w:t>配置</w:t>
      </w:r>
      <w:r>
        <w:rPr>
          <w:szCs w:val="21"/>
        </w:rPr>
        <w:t xml:space="preserve"> SSD 硬盘，容量不小于 64GB。配置 SATA 硬</w:t>
      </w:r>
      <w:r>
        <w:rPr>
          <w:rFonts w:hint="eastAsia"/>
          <w:szCs w:val="21"/>
        </w:rPr>
        <w:t>盘，容量不小于</w:t>
      </w:r>
      <w:r>
        <w:rPr>
          <w:szCs w:val="21"/>
        </w:rPr>
        <w:t>4TB。；</w:t>
      </w:r>
    </w:p>
    <w:p>
      <w:pPr>
        <w:autoSpaceDE w:val="0"/>
        <w:autoSpaceDN w:val="0"/>
        <w:adjustRightInd w:val="0"/>
        <w:snapToGrid w:val="0"/>
        <w:spacing w:line="360" w:lineRule="auto"/>
        <w:ind w:firstLine="420"/>
        <w:rPr>
          <w:szCs w:val="21"/>
        </w:rPr>
      </w:pPr>
      <w:r>
        <w:rPr>
          <w:szCs w:val="21"/>
        </w:rPr>
        <w:t>具备热插拔冗余双电源模块，确保高可靠不间断运行；</w:t>
      </w:r>
    </w:p>
    <w:p>
      <w:pPr>
        <w:autoSpaceDE w:val="0"/>
        <w:autoSpaceDN w:val="0"/>
        <w:adjustRightInd w:val="0"/>
        <w:snapToGrid w:val="0"/>
        <w:spacing w:line="360" w:lineRule="auto"/>
        <w:ind w:firstLine="420"/>
        <w:rPr>
          <w:szCs w:val="21"/>
        </w:rPr>
      </w:pPr>
      <w:r>
        <w:rPr>
          <w:szCs w:val="21"/>
        </w:rPr>
        <w:t>支持安装操作系统（Windows、Linux）</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1.4、PC 工作站</w:t>
      </w:r>
    </w:p>
    <w:p>
      <w:pPr>
        <w:autoSpaceDE w:val="0"/>
        <w:autoSpaceDN w:val="0"/>
        <w:adjustRightInd w:val="0"/>
        <w:snapToGrid w:val="0"/>
        <w:spacing w:line="360" w:lineRule="auto"/>
        <w:ind w:firstLine="480" w:firstLineChars="200"/>
        <w:rPr>
          <w:szCs w:val="21"/>
        </w:rPr>
      </w:pPr>
      <w:r>
        <w:rPr>
          <w:szCs w:val="21"/>
        </w:rPr>
        <w:t>国产品牌台式机；</w:t>
      </w:r>
    </w:p>
    <w:p>
      <w:pPr>
        <w:autoSpaceDE w:val="0"/>
        <w:autoSpaceDN w:val="0"/>
        <w:adjustRightInd w:val="0"/>
        <w:snapToGrid w:val="0"/>
        <w:spacing w:line="360" w:lineRule="auto"/>
        <w:ind w:firstLine="480" w:firstLineChars="200"/>
        <w:rPr>
          <w:szCs w:val="21"/>
        </w:rPr>
      </w:pPr>
      <w:r>
        <w:rPr>
          <w:szCs w:val="21"/>
        </w:rPr>
        <w:t>CPU:不低于3.6GHz；</w:t>
      </w:r>
    </w:p>
    <w:p>
      <w:pPr>
        <w:autoSpaceDE w:val="0"/>
        <w:autoSpaceDN w:val="0"/>
        <w:adjustRightInd w:val="0"/>
        <w:snapToGrid w:val="0"/>
        <w:spacing w:line="360" w:lineRule="auto"/>
        <w:ind w:firstLine="480" w:firstLineChars="200"/>
        <w:rPr>
          <w:szCs w:val="21"/>
        </w:rPr>
      </w:pPr>
      <w:r>
        <w:rPr>
          <w:szCs w:val="21"/>
        </w:rPr>
        <w:t>内存：不低于8GB DDR4；</w:t>
      </w:r>
    </w:p>
    <w:p>
      <w:pPr>
        <w:autoSpaceDE w:val="0"/>
        <w:autoSpaceDN w:val="0"/>
        <w:adjustRightInd w:val="0"/>
        <w:snapToGrid w:val="0"/>
        <w:spacing w:line="360" w:lineRule="auto"/>
        <w:ind w:firstLine="480" w:firstLineChars="200"/>
        <w:rPr>
          <w:szCs w:val="21"/>
        </w:rPr>
      </w:pPr>
      <w:r>
        <w:rPr>
          <w:szCs w:val="21"/>
        </w:rPr>
        <w:t>硬盘：不少于1TB；</w:t>
      </w:r>
    </w:p>
    <w:p>
      <w:pPr>
        <w:autoSpaceDE w:val="0"/>
        <w:autoSpaceDN w:val="0"/>
        <w:adjustRightInd w:val="0"/>
        <w:snapToGrid w:val="0"/>
        <w:spacing w:line="360" w:lineRule="auto"/>
        <w:ind w:firstLine="480" w:firstLineChars="200"/>
        <w:rPr>
          <w:szCs w:val="21"/>
        </w:rPr>
      </w:pPr>
      <w:r>
        <w:rPr>
          <w:szCs w:val="21"/>
        </w:rPr>
        <w:t>显卡：</w:t>
      </w:r>
      <w:r>
        <w:rPr>
          <w:rFonts w:hint="eastAsia"/>
          <w:szCs w:val="21"/>
        </w:rPr>
        <w:t>独立</w:t>
      </w:r>
      <w:r>
        <w:rPr>
          <w:szCs w:val="21"/>
        </w:rPr>
        <w:t>显卡；</w:t>
      </w:r>
    </w:p>
    <w:p>
      <w:pPr>
        <w:autoSpaceDE w:val="0"/>
        <w:autoSpaceDN w:val="0"/>
        <w:adjustRightInd w:val="0"/>
        <w:snapToGrid w:val="0"/>
        <w:spacing w:line="360" w:lineRule="auto"/>
        <w:ind w:firstLine="480" w:firstLineChars="200"/>
        <w:rPr>
          <w:szCs w:val="21"/>
        </w:rPr>
      </w:pPr>
      <w:r>
        <w:rPr>
          <w:szCs w:val="21"/>
        </w:rPr>
        <w:t>显示器：液晶不小于27英寸；</w:t>
      </w:r>
    </w:p>
    <w:p>
      <w:pPr>
        <w:autoSpaceDE w:val="0"/>
        <w:autoSpaceDN w:val="0"/>
        <w:adjustRightInd w:val="0"/>
        <w:snapToGrid w:val="0"/>
        <w:spacing w:line="360" w:lineRule="auto"/>
        <w:ind w:firstLine="480" w:firstLineChars="200"/>
        <w:rPr>
          <w:szCs w:val="21"/>
        </w:rPr>
      </w:pPr>
      <w:r>
        <w:rPr>
          <w:szCs w:val="21"/>
        </w:rPr>
        <w:t>含Windows 操作系统；</w:t>
      </w:r>
    </w:p>
    <w:p>
      <w:pPr>
        <w:autoSpaceDE w:val="0"/>
        <w:autoSpaceDN w:val="0"/>
        <w:adjustRightInd w:val="0"/>
        <w:snapToGrid w:val="0"/>
        <w:spacing w:line="360" w:lineRule="auto"/>
        <w:ind w:firstLine="480" w:firstLineChars="200"/>
        <w:rPr>
          <w:szCs w:val="21"/>
        </w:rPr>
      </w:pPr>
      <w:r>
        <w:rPr>
          <w:szCs w:val="21"/>
        </w:rPr>
        <w:t>含USB 鼠标键盘。</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1.5、接入交换机</w:t>
      </w:r>
    </w:p>
    <w:p>
      <w:pPr>
        <w:autoSpaceDE w:val="0"/>
        <w:autoSpaceDN w:val="0"/>
        <w:adjustRightInd w:val="0"/>
        <w:spacing w:line="360" w:lineRule="auto"/>
        <w:ind w:firstLine="210"/>
      </w:pPr>
      <w:r>
        <w:rPr>
          <w:rFonts w:hint="eastAsia"/>
        </w:rPr>
        <w:t>支持不少于</w:t>
      </w:r>
      <w:r>
        <w:t xml:space="preserve"> 24 个 10/100/1000BASE-T 电口；</w:t>
      </w:r>
    </w:p>
    <w:p>
      <w:pPr>
        <w:autoSpaceDE w:val="0"/>
        <w:autoSpaceDN w:val="0"/>
        <w:adjustRightInd w:val="0"/>
        <w:spacing w:line="360" w:lineRule="auto"/>
        <w:ind w:firstLine="210"/>
      </w:pPr>
      <w:r>
        <w:rPr>
          <w:rFonts w:hint="eastAsia"/>
        </w:rPr>
        <w:t>支持不少于</w:t>
      </w:r>
      <w:r>
        <w:t xml:space="preserve"> 4 个 1000BASE-X SFP 端口；</w:t>
      </w:r>
    </w:p>
    <w:p>
      <w:pPr>
        <w:autoSpaceDE w:val="0"/>
        <w:autoSpaceDN w:val="0"/>
        <w:adjustRightInd w:val="0"/>
        <w:spacing w:line="360" w:lineRule="auto"/>
        <w:ind w:firstLine="210"/>
      </w:pPr>
      <w:r>
        <w:rPr>
          <w:rFonts w:hint="eastAsia"/>
        </w:rPr>
        <w:t>包转发率：不低于</w:t>
      </w:r>
      <w:r>
        <w:t xml:space="preserve"> 51Mpps/126Mpps；</w:t>
      </w:r>
    </w:p>
    <w:p>
      <w:pPr>
        <w:autoSpaceDE w:val="0"/>
        <w:autoSpaceDN w:val="0"/>
        <w:adjustRightInd w:val="0"/>
        <w:spacing w:line="360" w:lineRule="auto"/>
        <w:ind w:firstLine="210"/>
      </w:pPr>
      <w:r>
        <w:rPr>
          <w:rFonts w:hint="eastAsia"/>
        </w:rPr>
        <w:t>交换容量：不低于</w:t>
      </w:r>
      <w:r>
        <w:t xml:space="preserve"> 336Gbps/3.36Tbps。</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1.6、核心交换机</w:t>
      </w:r>
    </w:p>
    <w:p>
      <w:pPr>
        <w:autoSpaceDE w:val="0"/>
        <w:autoSpaceDN w:val="0"/>
        <w:adjustRightInd w:val="0"/>
        <w:snapToGrid w:val="0"/>
        <w:spacing w:line="360" w:lineRule="auto"/>
        <w:ind w:firstLine="480" w:firstLineChars="200"/>
        <w:rPr>
          <w:szCs w:val="21"/>
        </w:rPr>
      </w:pPr>
      <w:r>
        <w:rPr>
          <w:szCs w:val="21"/>
        </w:rPr>
        <w:t>以太网企业级三层交换机；</w:t>
      </w:r>
    </w:p>
    <w:p>
      <w:pPr>
        <w:autoSpaceDE w:val="0"/>
        <w:autoSpaceDN w:val="0"/>
        <w:adjustRightInd w:val="0"/>
        <w:snapToGrid w:val="0"/>
        <w:spacing w:line="360" w:lineRule="auto"/>
        <w:ind w:firstLine="480" w:firstLineChars="200"/>
        <w:rPr>
          <w:szCs w:val="21"/>
        </w:rPr>
      </w:pPr>
      <w:r>
        <w:rPr>
          <w:szCs w:val="21"/>
        </w:rPr>
        <w:t>支持不少于48个10/100/1000BASE-T 电口；</w:t>
      </w:r>
    </w:p>
    <w:p>
      <w:pPr>
        <w:autoSpaceDE w:val="0"/>
        <w:autoSpaceDN w:val="0"/>
        <w:adjustRightInd w:val="0"/>
        <w:snapToGrid w:val="0"/>
        <w:spacing w:line="360" w:lineRule="auto"/>
        <w:ind w:firstLine="480" w:firstLineChars="200"/>
        <w:rPr>
          <w:szCs w:val="21"/>
        </w:rPr>
      </w:pPr>
      <w:r>
        <w:rPr>
          <w:szCs w:val="21"/>
        </w:rPr>
        <w:t>支持不少于4个1000BASE-X SFP 端口；</w:t>
      </w:r>
    </w:p>
    <w:p>
      <w:pPr>
        <w:autoSpaceDE w:val="0"/>
        <w:autoSpaceDN w:val="0"/>
        <w:adjustRightInd w:val="0"/>
        <w:snapToGrid w:val="0"/>
        <w:spacing w:line="360" w:lineRule="auto"/>
        <w:ind w:firstLine="480" w:firstLineChars="200"/>
        <w:rPr>
          <w:szCs w:val="21"/>
        </w:rPr>
      </w:pPr>
      <w:r>
        <w:rPr>
          <w:rFonts w:hint="eastAsia"/>
          <w:szCs w:val="21"/>
        </w:rPr>
        <w:t>支持</w:t>
      </w:r>
      <w:r>
        <w:rPr>
          <w:szCs w:val="21"/>
        </w:rPr>
        <w:t xml:space="preserve"> PoE+；</w:t>
      </w:r>
    </w:p>
    <w:p>
      <w:pPr>
        <w:autoSpaceDE w:val="0"/>
        <w:autoSpaceDN w:val="0"/>
        <w:adjustRightInd w:val="0"/>
        <w:snapToGrid w:val="0"/>
        <w:spacing w:line="360" w:lineRule="auto"/>
        <w:ind w:firstLine="480" w:firstLineChars="200"/>
        <w:rPr>
          <w:szCs w:val="21"/>
        </w:rPr>
      </w:pPr>
      <w:r>
        <w:rPr>
          <w:rFonts w:hint="eastAsia"/>
          <w:szCs w:val="21"/>
        </w:rPr>
        <w:t>包转发率：不低于</w:t>
      </w:r>
      <w:r>
        <w:rPr>
          <w:szCs w:val="21"/>
        </w:rPr>
        <w:t>87Mpps/144Mpps；</w:t>
      </w:r>
    </w:p>
    <w:p>
      <w:pPr>
        <w:autoSpaceDE w:val="0"/>
        <w:autoSpaceDN w:val="0"/>
        <w:adjustRightInd w:val="0"/>
        <w:snapToGrid w:val="0"/>
        <w:spacing w:line="360" w:lineRule="auto"/>
        <w:ind w:firstLine="480" w:firstLineChars="200"/>
        <w:rPr>
          <w:szCs w:val="21"/>
        </w:rPr>
      </w:pPr>
      <w:r>
        <w:rPr>
          <w:rFonts w:hint="eastAsia"/>
          <w:szCs w:val="21"/>
        </w:rPr>
        <w:t>交换容量：不低于</w:t>
      </w:r>
      <w:r>
        <w:rPr>
          <w:szCs w:val="21"/>
        </w:rPr>
        <w:t>336Gbps/2.56Tbps。</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1.7、监听音箱</w:t>
      </w:r>
    </w:p>
    <w:p>
      <w:pPr>
        <w:autoSpaceDE w:val="0"/>
        <w:autoSpaceDN w:val="0"/>
        <w:adjustRightInd w:val="0"/>
        <w:snapToGrid w:val="0"/>
        <w:spacing w:line="360" w:lineRule="auto"/>
        <w:ind w:firstLine="480" w:firstLineChars="200"/>
      </w:pPr>
      <w:r>
        <w:t>集接收、放大、播放功能于一体；</w:t>
      </w:r>
    </w:p>
    <w:p>
      <w:pPr>
        <w:autoSpaceDE w:val="0"/>
        <w:autoSpaceDN w:val="0"/>
        <w:adjustRightInd w:val="0"/>
        <w:snapToGrid w:val="0"/>
        <w:spacing w:line="360" w:lineRule="auto"/>
        <w:ind w:firstLine="480" w:firstLineChars="200"/>
      </w:pPr>
      <w:r>
        <w:t>内置不小于4 寸全频扬声器，音量连续可调；</w:t>
      </w:r>
    </w:p>
    <w:p>
      <w:pPr>
        <w:autoSpaceDE w:val="0"/>
        <w:autoSpaceDN w:val="0"/>
        <w:adjustRightInd w:val="0"/>
        <w:snapToGrid w:val="0"/>
        <w:spacing w:line="360" w:lineRule="auto"/>
        <w:ind w:firstLine="480" w:firstLineChars="200"/>
      </w:pPr>
      <w:r>
        <w:t>采用环保木质外壳；</w:t>
      </w:r>
    </w:p>
    <w:p>
      <w:pPr>
        <w:autoSpaceDE w:val="0"/>
        <w:autoSpaceDN w:val="0"/>
        <w:adjustRightInd w:val="0"/>
        <w:snapToGrid w:val="0"/>
        <w:spacing w:line="360" w:lineRule="auto"/>
        <w:ind w:firstLine="480" w:firstLineChars="200"/>
      </w:pPr>
      <w:r>
        <w:t>RF输入：1路DVB-C 或DTMB：F座（英制 75Ω）；</w:t>
      </w:r>
    </w:p>
    <w:p>
      <w:pPr>
        <w:autoSpaceDE w:val="0"/>
        <w:autoSpaceDN w:val="0"/>
        <w:adjustRightInd w:val="0"/>
        <w:snapToGrid w:val="0"/>
        <w:spacing w:line="360" w:lineRule="auto"/>
        <w:ind w:firstLine="480" w:firstLineChars="200"/>
      </w:pPr>
      <w:r>
        <w:t>IP 输入：RJ45百兆口；</w:t>
      </w:r>
    </w:p>
    <w:p>
      <w:pPr>
        <w:autoSpaceDE w:val="0"/>
        <w:autoSpaceDN w:val="0"/>
        <w:adjustRightInd w:val="0"/>
        <w:snapToGrid w:val="0"/>
        <w:spacing w:line="360" w:lineRule="auto"/>
        <w:ind w:firstLine="480" w:firstLineChars="200"/>
      </w:pPr>
      <w:r>
        <w:t>FM 输入接口：公制F母座，1路输入内置2分配，配置2个调谐器；</w:t>
      </w:r>
    </w:p>
    <w:p>
      <w:pPr>
        <w:autoSpaceDE w:val="0"/>
        <w:autoSpaceDN w:val="0"/>
        <w:adjustRightInd w:val="0"/>
        <w:snapToGrid w:val="0"/>
        <w:spacing w:line="360" w:lineRule="auto"/>
        <w:ind w:firstLine="480" w:firstLineChars="200"/>
      </w:pPr>
      <w:r>
        <w:t>接收模式：DVB-C/DTMB-T/IP/FM</w:t>
      </w:r>
    </w:p>
    <w:p>
      <w:pPr>
        <w:autoSpaceDE w:val="0"/>
        <w:autoSpaceDN w:val="0"/>
        <w:adjustRightInd w:val="0"/>
        <w:snapToGrid w:val="0"/>
        <w:spacing w:line="360" w:lineRule="auto"/>
        <w:ind w:firstLine="480" w:firstLineChars="200"/>
      </w:pPr>
      <w:r>
        <w:t>音频输出功率:≥10W；</w:t>
      </w:r>
    </w:p>
    <w:p>
      <w:pPr>
        <w:autoSpaceDE w:val="0"/>
        <w:autoSpaceDN w:val="0"/>
        <w:adjustRightInd w:val="0"/>
        <w:snapToGrid w:val="0"/>
        <w:spacing w:line="360" w:lineRule="auto"/>
        <w:ind w:firstLine="480" w:firstLineChars="200"/>
      </w:pPr>
      <w:r>
        <w:t>电源：AC220V±15%，50/60Hz。</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1.8、话筒</w:t>
      </w:r>
    </w:p>
    <w:p>
      <w:pPr>
        <w:autoSpaceDE w:val="0"/>
        <w:autoSpaceDN w:val="0"/>
        <w:adjustRightInd w:val="0"/>
        <w:snapToGrid w:val="0"/>
        <w:spacing w:line="360" w:lineRule="auto"/>
        <w:ind w:firstLine="480" w:firstLineChars="200"/>
      </w:pPr>
      <w:r>
        <w:t>类型：动圈话筒；</w:t>
      </w:r>
    </w:p>
    <w:p>
      <w:pPr>
        <w:autoSpaceDE w:val="0"/>
        <w:autoSpaceDN w:val="0"/>
        <w:adjustRightInd w:val="0"/>
        <w:snapToGrid w:val="0"/>
        <w:spacing w:line="360" w:lineRule="auto"/>
        <w:ind w:firstLine="480" w:firstLineChars="200"/>
      </w:pPr>
      <w:r>
        <w:t>指向性：心型指向；</w:t>
      </w:r>
    </w:p>
    <w:p>
      <w:pPr>
        <w:autoSpaceDE w:val="0"/>
        <w:autoSpaceDN w:val="0"/>
        <w:adjustRightInd w:val="0"/>
        <w:snapToGrid w:val="0"/>
        <w:spacing w:line="360" w:lineRule="auto"/>
        <w:ind w:firstLine="480" w:firstLineChars="200"/>
      </w:pPr>
      <w:r>
        <w:t>适用范围：会议话筒；</w:t>
      </w:r>
    </w:p>
    <w:p>
      <w:pPr>
        <w:autoSpaceDE w:val="0"/>
        <w:autoSpaceDN w:val="0"/>
        <w:adjustRightInd w:val="0"/>
        <w:snapToGrid w:val="0"/>
        <w:spacing w:line="360" w:lineRule="auto"/>
        <w:ind w:firstLine="480" w:firstLineChars="200"/>
      </w:pPr>
      <w:r>
        <w:t>频率范围：40～15000Hz；</w:t>
      </w:r>
    </w:p>
    <w:p>
      <w:pPr>
        <w:autoSpaceDE w:val="0"/>
        <w:autoSpaceDN w:val="0"/>
        <w:adjustRightInd w:val="0"/>
        <w:snapToGrid w:val="0"/>
        <w:spacing w:line="360" w:lineRule="auto"/>
        <w:ind w:firstLine="480" w:firstLineChars="200"/>
      </w:pPr>
      <w:r>
        <w:t>供电电源： DC 3V；</w:t>
      </w:r>
    </w:p>
    <w:p>
      <w:pPr>
        <w:autoSpaceDE w:val="0"/>
        <w:autoSpaceDN w:val="0"/>
        <w:adjustRightInd w:val="0"/>
        <w:snapToGrid w:val="0"/>
        <w:spacing w:line="360" w:lineRule="auto"/>
        <w:ind w:firstLine="480" w:firstLineChars="200"/>
      </w:pPr>
      <w:r>
        <w:t>灵敏度：-45dB(3.5mV/Pa)3dB；</w:t>
      </w:r>
    </w:p>
    <w:p>
      <w:pPr>
        <w:autoSpaceDE w:val="0"/>
        <w:autoSpaceDN w:val="0"/>
        <w:adjustRightInd w:val="0"/>
        <w:snapToGrid w:val="0"/>
        <w:spacing w:line="360" w:lineRule="auto"/>
        <w:ind w:firstLine="480" w:firstLineChars="200"/>
      </w:pPr>
      <w:r>
        <w:t>输出阻抗：600Ω；</w:t>
      </w:r>
    </w:p>
    <w:p>
      <w:pPr>
        <w:autoSpaceDE w:val="0"/>
        <w:autoSpaceDN w:val="0"/>
        <w:adjustRightInd w:val="0"/>
        <w:spacing w:line="360" w:lineRule="auto"/>
        <w:ind w:firstLine="420"/>
      </w:pPr>
      <w:r>
        <w:t>参考适音距离:(20-50)cm</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1.9、调音台</w:t>
      </w:r>
    </w:p>
    <w:p>
      <w:pPr>
        <w:autoSpaceDE w:val="0"/>
        <w:autoSpaceDN w:val="0"/>
        <w:adjustRightInd w:val="0"/>
        <w:snapToGrid w:val="0"/>
        <w:spacing w:line="360" w:lineRule="auto"/>
        <w:ind w:firstLine="480" w:firstLineChars="200"/>
        <w:rPr>
          <w:szCs w:val="21"/>
        </w:rPr>
      </w:pPr>
      <w:r>
        <w:rPr>
          <w:szCs w:val="21"/>
        </w:rPr>
        <w:t>话筒：2线路输入：2个单声道，2个立体声；</w:t>
      </w:r>
    </w:p>
    <w:p>
      <w:pPr>
        <w:autoSpaceDE w:val="0"/>
        <w:autoSpaceDN w:val="0"/>
        <w:adjustRightInd w:val="0"/>
        <w:snapToGrid w:val="0"/>
        <w:spacing w:line="360" w:lineRule="auto"/>
        <w:ind w:firstLine="480" w:firstLineChars="200"/>
        <w:rPr>
          <w:szCs w:val="21"/>
        </w:rPr>
      </w:pPr>
      <w:r>
        <w:rPr>
          <w:szCs w:val="21"/>
        </w:rPr>
        <w:t>频响：+0.5dB/-0.5dB（20Hz-20kHz）；</w:t>
      </w:r>
    </w:p>
    <w:p>
      <w:pPr>
        <w:autoSpaceDE w:val="0"/>
        <w:autoSpaceDN w:val="0"/>
        <w:adjustRightInd w:val="0"/>
        <w:snapToGrid w:val="0"/>
        <w:spacing w:line="360" w:lineRule="auto"/>
        <w:ind w:firstLine="480" w:firstLineChars="200"/>
        <w:rPr>
          <w:szCs w:val="21"/>
        </w:rPr>
      </w:pPr>
      <w:r>
        <w:rPr>
          <w:szCs w:val="21"/>
        </w:rPr>
        <w:t>总谐波失真：0.01%@+8dBu（20Hz-20kHz）；</w:t>
      </w:r>
    </w:p>
    <w:p>
      <w:pPr>
        <w:autoSpaceDE w:val="0"/>
        <w:autoSpaceDN w:val="0"/>
        <w:adjustRightInd w:val="0"/>
        <w:snapToGrid w:val="0"/>
        <w:spacing w:line="360" w:lineRule="auto"/>
        <w:ind w:firstLine="480" w:firstLineChars="200"/>
        <w:rPr>
          <w:szCs w:val="21"/>
        </w:rPr>
      </w:pPr>
      <w:r>
        <w:rPr>
          <w:szCs w:val="21"/>
        </w:rPr>
        <w:t>输入通道：不少于6 通道：单声道：2；</w:t>
      </w:r>
    </w:p>
    <w:p>
      <w:pPr>
        <w:autoSpaceDE w:val="0"/>
        <w:autoSpaceDN w:val="0"/>
        <w:adjustRightInd w:val="0"/>
        <w:snapToGrid w:val="0"/>
        <w:spacing w:line="360" w:lineRule="auto"/>
        <w:ind w:firstLine="480" w:firstLineChars="200"/>
        <w:rPr>
          <w:szCs w:val="21"/>
        </w:rPr>
      </w:pPr>
      <w:r>
        <w:rPr>
          <w:szCs w:val="21"/>
        </w:rPr>
        <w:t>立体声：2输出通道：STEREO OUT：2；PHONES：1；</w:t>
      </w:r>
    </w:p>
    <w:p>
      <w:pPr>
        <w:autoSpaceDE w:val="0"/>
        <w:autoSpaceDN w:val="0"/>
        <w:adjustRightInd w:val="0"/>
        <w:snapToGrid w:val="0"/>
        <w:spacing w:line="360" w:lineRule="auto"/>
        <w:ind w:firstLine="480" w:firstLineChars="200"/>
        <w:rPr>
          <w:szCs w:val="21"/>
        </w:rPr>
      </w:pPr>
      <w:r>
        <w:rPr>
          <w:szCs w:val="21"/>
        </w:rPr>
        <w:t>母线：立体声：1 电平表：2x7 - 点距LED 电平表[PEAK，+6，+3，0，-3，-10，</w:t>
      </w:r>
    </w:p>
    <w:p>
      <w:pPr>
        <w:autoSpaceDE w:val="0"/>
        <w:autoSpaceDN w:val="0"/>
        <w:adjustRightInd w:val="0"/>
        <w:snapToGrid w:val="0"/>
        <w:spacing w:line="360" w:lineRule="auto"/>
        <w:ind w:firstLine="480" w:firstLineChars="200"/>
        <w:rPr>
          <w:szCs w:val="21"/>
        </w:rPr>
      </w:pPr>
      <w:r>
        <w:rPr>
          <w:szCs w:val="21"/>
        </w:rPr>
        <w:t>-20dB] 电源电压：+48V；</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1.10、时钟服务器</w:t>
      </w:r>
    </w:p>
    <w:p>
      <w:pPr>
        <w:autoSpaceDE w:val="0"/>
        <w:autoSpaceDN w:val="0"/>
        <w:adjustRightInd w:val="0"/>
        <w:snapToGrid w:val="0"/>
        <w:spacing w:line="360" w:lineRule="auto"/>
        <w:ind w:firstLine="480" w:firstLineChars="200"/>
      </w:pPr>
      <w:r>
        <w:t>支持同时接收GPS 信号和北斗导航系统信号；</w:t>
      </w:r>
    </w:p>
    <w:p>
      <w:pPr>
        <w:autoSpaceDE w:val="0"/>
        <w:autoSpaceDN w:val="0"/>
        <w:adjustRightInd w:val="0"/>
        <w:snapToGrid w:val="0"/>
        <w:spacing w:line="360" w:lineRule="auto"/>
        <w:ind w:firstLine="480" w:firstLineChars="200"/>
      </w:pPr>
      <w:r>
        <w:t>具有自动锁定信号的功能；</w:t>
      </w:r>
    </w:p>
    <w:p>
      <w:pPr>
        <w:autoSpaceDE w:val="0"/>
        <w:autoSpaceDN w:val="0"/>
        <w:adjustRightInd w:val="0"/>
        <w:snapToGrid w:val="0"/>
        <w:spacing w:line="360" w:lineRule="auto"/>
        <w:ind w:firstLine="480" w:firstLineChars="200"/>
      </w:pPr>
      <w:r>
        <w:t>采用高稳恒温晶振，具有低相位噪声和高稳定度；</w:t>
      </w:r>
    </w:p>
    <w:p>
      <w:pPr>
        <w:autoSpaceDE w:val="0"/>
        <w:autoSpaceDN w:val="0"/>
        <w:adjustRightInd w:val="0"/>
        <w:snapToGrid w:val="0"/>
        <w:spacing w:line="360" w:lineRule="auto"/>
        <w:ind w:firstLine="480" w:firstLineChars="200"/>
      </w:pPr>
      <w:r>
        <w:t>支持时间日期信息显示；</w:t>
      </w:r>
    </w:p>
    <w:p>
      <w:pPr>
        <w:autoSpaceDE w:val="0"/>
        <w:autoSpaceDN w:val="0"/>
        <w:adjustRightInd w:val="0"/>
        <w:snapToGrid w:val="0"/>
        <w:spacing w:line="360" w:lineRule="auto"/>
        <w:ind w:firstLine="480" w:firstLineChars="200"/>
      </w:pPr>
      <w:r>
        <w:t>支持显示北斗和GPS 信号源个数（卫星个数）；</w:t>
      </w:r>
    </w:p>
    <w:p>
      <w:pPr>
        <w:autoSpaceDE w:val="0"/>
        <w:autoSpaceDN w:val="0"/>
        <w:adjustRightInd w:val="0"/>
        <w:snapToGrid w:val="0"/>
        <w:spacing w:line="360" w:lineRule="auto"/>
        <w:ind w:firstLine="480" w:firstLineChars="200"/>
      </w:pPr>
      <w:r>
        <w:t>前面板具有告警、信号、GPS、北斗等LED 指示灯，实时指示设备当前时标等的状态；</w:t>
      </w:r>
    </w:p>
    <w:p>
      <w:pPr>
        <w:autoSpaceDE w:val="0"/>
        <w:autoSpaceDN w:val="0"/>
        <w:adjustRightInd w:val="0"/>
        <w:snapToGrid w:val="0"/>
        <w:spacing w:line="360" w:lineRule="auto"/>
        <w:ind w:firstLine="480" w:firstLineChars="200"/>
      </w:pPr>
      <w:r>
        <w:t>具有断电记忆配置功能，来电重启恢复（无需重新配置）；</w:t>
      </w:r>
    </w:p>
    <w:p>
      <w:pPr>
        <w:autoSpaceDE w:val="0"/>
        <w:autoSpaceDN w:val="0"/>
        <w:adjustRightInd w:val="0"/>
        <w:snapToGrid w:val="0"/>
        <w:spacing w:line="360" w:lineRule="auto"/>
        <w:ind w:firstLine="480" w:firstLineChars="200"/>
      </w:pPr>
      <w:r>
        <w:t>系统整体功耗小，采用无风扇设计，运行可靠稳定；</w:t>
      </w:r>
    </w:p>
    <w:p>
      <w:pPr>
        <w:autoSpaceDE w:val="0"/>
        <w:autoSpaceDN w:val="0"/>
        <w:adjustRightInd w:val="0"/>
        <w:snapToGrid w:val="0"/>
        <w:spacing w:line="360" w:lineRule="auto"/>
        <w:ind w:firstLine="480" w:firstLineChars="200"/>
      </w:pPr>
      <w:r>
        <w:t>标准19 英寸机架式机箱结构，紧凑，美观，高可靠性；</w:t>
      </w:r>
    </w:p>
    <w:p>
      <w:pPr>
        <w:autoSpaceDE w:val="0"/>
        <w:autoSpaceDN w:val="0"/>
        <w:adjustRightInd w:val="0"/>
        <w:snapToGrid w:val="0"/>
        <w:spacing w:line="360" w:lineRule="auto"/>
        <w:ind w:firstLine="480" w:firstLineChars="200"/>
      </w:pPr>
      <w:r>
        <w:t>天线输入接口:BNC 接头，阴型，50Ω；</w:t>
      </w:r>
    </w:p>
    <w:p>
      <w:pPr>
        <w:autoSpaceDE w:val="0"/>
        <w:autoSpaceDN w:val="0"/>
        <w:adjustRightInd w:val="0"/>
        <w:snapToGrid w:val="0"/>
        <w:spacing w:line="360" w:lineRule="auto"/>
        <w:ind w:firstLine="480" w:firstLineChars="200"/>
      </w:pPr>
      <w:r>
        <w:t>网口:10/100M/1000M 自适应以太网接口，RJ45。</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1.11、机架式收音头</w:t>
      </w:r>
    </w:p>
    <w:p>
      <w:pPr>
        <w:autoSpaceDE w:val="0"/>
        <w:autoSpaceDN w:val="0"/>
        <w:adjustRightInd w:val="0"/>
        <w:snapToGrid w:val="0"/>
        <w:spacing w:line="360" w:lineRule="auto"/>
        <w:ind w:firstLine="480" w:firstLineChars="200"/>
        <w:rPr>
          <w:szCs w:val="21"/>
        </w:rPr>
      </w:pPr>
      <w:r>
        <w:rPr>
          <w:szCs w:val="21"/>
        </w:rPr>
        <w:t>标准机箱设计，1U 铝合金面板，美观实用；</w:t>
      </w:r>
    </w:p>
    <w:p>
      <w:pPr>
        <w:autoSpaceDE w:val="0"/>
        <w:autoSpaceDN w:val="0"/>
        <w:adjustRightInd w:val="0"/>
        <w:snapToGrid w:val="0"/>
        <w:spacing w:line="360" w:lineRule="auto"/>
        <w:ind w:firstLine="480" w:firstLineChars="200"/>
        <w:rPr>
          <w:szCs w:val="21"/>
        </w:rPr>
      </w:pPr>
      <w:r>
        <w:rPr>
          <w:szCs w:val="21"/>
        </w:rPr>
        <w:t>具有AM/FM 波段，微电脑控制，数字调谐系统；</w:t>
      </w:r>
    </w:p>
    <w:p>
      <w:pPr>
        <w:autoSpaceDE w:val="0"/>
        <w:autoSpaceDN w:val="0"/>
        <w:adjustRightInd w:val="0"/>
        <w:snapToGrid w:val="0"/>
        <w:spacing w:line="360" w:lineRule="auto"/>
        <w:ind w:firstLine="480" w:firstLineChars="200"/>
        <w:rPr>
          <w:szCs w:val="21"/>
        </w:rPr>
      </w:pPr>
      <w:r>
        <w:rPr>
          <w:szCs w:val="21"/>
        </w:rPr>
        <w:t>具有手动存储及自动搜索存储电台的功能，具有音频信号电平指示及断电记忆功能；</w:t>
      </w:r>
    </w:p>
    <w:p>
      <w:pPr>
        <w:autoSpaceDE w:val="0"/>
        <w:autoSpaceDN w:val="0"/>
        <w:adjustRightInd w:val="0"/>
        <w:snapToGrid w:val="0"/>
        <w:spacing w:line="360" w:lineRule="auto"/>
        <w:ind w:firstLine="480" w:firstLineChars="200"/>
        <w:rPr>
          <w:szCs w:val="21"/>
        </w:rPr>
      </w:pPr>
      <w:r>
        <w:rPr>
          <w:szCs w:val="21"/>
        </w:rPr>
        <w:t>轻触按键控制，数字定频、选频、荧光VFD 显示有自动调谐、存台/记忆功能；</w:t>
      </w:r>
    </w:p>
    <w:p>
      <w:pPr>
        <w:autoSpaceDE w:val="0"/>
        <w:autoSpaceDN w:val="0"/>
        <w:adjustRightInd w:val="0"/>
        <w:snapToGrid w:val="0"/>
        <w:spacing w:line="360" w:lineRule="auto"/>
        <w:ind w:firstLine="480" w:firstLineChars="200"/>
        <w:rPr>
          <w:szCs w:val="21"/>
        </w:rPr>
      </w:pPr>
      <w:r>
        <w:rPr>
          <w:szCs w:val="21"/>
        </w:rPr>
        <w:t>99个电台频率储存、终生记忆；</w:t>
      </w:r>
    </w:p>
    <w:p>
      <w:pPr>
        <w:autoSpaceDE w:val="0"/>
        <w:autoSpaceDN w:val="0"/>
        <w:adjustRightInd w:val="0"/>
        <w:snapToGrid w:val="0"/>
        <w:spacing w:line="360" w:lineRule="auto"/>
        <w:ind w:firstLine="480" w:firstLineChars="200"/>
        <w:rPr>
          <w:szCs w:val="21"/>
        </w:rPr>
      </w:pPr>
      <w:r>
        <w:rPr>
          <w:szCs w:val="21"/>
        </w:rPr>
        <w:t>输出电平频谱显示；</w:t>
      </w:r>
    </w:p>
    <w:p>
      <w:pPr>
        <w:autoSpaceDE w:val="0"/>
        <w:autoSpaceDN w:val="0"/>
        <w:adjustRightInd w:val="0"/>
        <w:snapToGrid w:val="0"/>
        <w:spacing w:line="360" w:lineRule="auto"/>
        <w:ind w:firstLine="480" w:firstLineChars="200"/>
        <w:rPr>
          <w:szCs w:val="21"/>
        </w:rPr>
      </w:pPr>
      <w:r>
        <w:rPr>
          <w:szCs w:val="21"/>
        </w:rPr>
        <w:t>红外线远距离全功能遥控；</w:t>
      </w:r>
    </w:p>
    <w:p>
      <w:pPr>
        <w:autoSpaceDE w:val="0"/>
        <w:autoSpaceDN w:val="0"/>
        <w:adjustRightInd w:val="0"/>
        <w:snapToGrid w:val="0"/>
        <w:spacing w:line="360" w:lineRule="auto"/>
        <w:ind w:firstLine="480" w:firstLineChars="200"/>
        <w:rPr>
          <w:szCs w:val="21"/>
        </w:rPr>
      </w:pPr>
      <w:r>
        <w:rPr>
          <w:szCs w:val="21"/>
        </w:rPr>
        <w:t>输入频率范围：FM:87－108MHz；AM:522~1625KHz；</w:t>
      </w:r>
    </w:p>
    <w:p>
      <w:pPr>
        <w:autoSpaceDE w:val="0"/>
        <w:autoSpaceDN w:val="0"/>
        <w:adjustRightInd w:val="0"/>
        <w:snapToGrid w:val="0"/>
        <w:spacing w:line="360" w:lineRule="auto"/>
        <w:ind w:firstLine="480" w:firstLineChars="200"/>
        <w:rPr>
          <w:szCs w:val="21"/>
        </w:rPr>
      </w:pPr>
      <w:r>
        <w:rPr>
          <w:szCs w:val="21"/>
        </w:rPr>
        <w:t>调频信噪比：≥45dB；</w:t>
      </w:r>
    </w:p>
    <w:p>
      <w:pPr>
        <w:autoSpaceDE w:val="0"/>
        <w:autoSpaceDN w:val="0"/>
        <w:adjustRightInd w:val="0"/>
        <w:snapToGrid w:val="0"/>
        <w:spacing w:line="360" w:lineRule="auto"/>
        <w:ind w:firstLine="480" w:firstLineChars="200"/>
        <w:rPr>
          <w:szCs w:val="21"/>
        </w:rPr>
      </w:pPr>
      <w:r>
        <w:rPr>
          <w:szCs w:val="21"/>
        </w:rPr>
        <w:t>限噪灵敏度：FM≤20μV；</w:t>
      </w:r>
    </w:p>
    <w:p>
      <w:pPr>
        <w:autoSpaceDE w:val="0"/>
        <w:autoSpaceDN w:val="0"/>
        <w:adjustRightInd w:val="0"/>
        <w:snapToGrid w:val="0"/>
        <w:spacing w:line="360" w:lineRule="auto"/>
        <w:ind w:firstLine="480" w:firstLineChars="200"/>
        <w:rPr>
          <w:szCs w:val="21"/>
        </w:rPr>
      </w:pPr>
      <w:r>
        <w:rPr>
          <w:szCs w:val="21"/>
        </w:rPr>
        <w:t>输出电平：500mV；</w:t>
      </w:r>
    </w:p>
    <w:p>
      <w:pPr>
        <w:autoSpaceDE w:val="0"/>
        <w:autoSpaceDN w:val="0"/>
        <w:adjustRightInd w:val="0"/>
        <w:snapToGrid w:val="0"/>
        <w:spacing w:line="360" w:lineRule="auto"/>
        <w:ind w:firstLine="480" w:firstLineChars="200"/>
        <w:rPr>
          <w:szCs w:val="21"/>
        </w:rPr>
      </w:pPr>
      <w:r>
        <w:rPr>
          <w:szCs w:val="21"/>
        </w:rPr>
        <w:t>输出阻抗：1K。</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1.12、县级应急广播大喇叭适配器</w:t>
      </w:r>
    </w:p>
    <w:p>
      <w:pPr>
        <w:autoSpaceDE w:val="0"/>
        <w:autoSpaceDN w:val="0"/>
        <w:adjustRightInd w:val="0"/>
        <w:snapToGrid w:val="0"/>
        <w:spacing w:line="360" w:lineRule="auto"/>
        <w:ind w:firstLine="480" w:firstLineChars="200"/>
      </w:pPr>
      <w:r>
        <w:t>1.总体要求</w:t>
      </w:r>
    </w:p>
    <w:p>
      <w:pPr>
        <w:autoSpaceDE w:val="0"/>
        <w:autoSpaceDN w:val="0"/>
        <w:adjustRightInd w:val="0"/>
        <w:snapToGrid w:val="0"/>
        <w:spacing w:line="360" w:lineRule="auto"/>
        <w:ind w:firstLine="480" w:firstLineChars="200"/>
      </w:pPr>
      <w:r>
        <w:t>具备输出音频信号及RDS 指令信号，控制终端进行应急广播消息播发的功能，输出信号符合GD/J 085—2018 模拟调频应急广播技术规范。</w:t>
      </w:r>
    </w:p>
    <w:p>
      <w:pPr>
        <w:autoSpaceDE w:val="0"/>
        <w:autoSpaceDN w:val="0"/>
        <w:adjustRightInd w:val="0"/>
        <w:snapToGrid w:val="0"/>
        <w:spacing w:line="360" w:lineRule="auto"/>
        <w:ind w:firstLine="480" w:firstLineChars="200"/>
      </w:pPr>
      <w:r>
        <w:t>具备输出音频信号及DTMB/DVB-C 指令信号，控制终端进行应急广播消息播发的功能，输出信号符合GD/J 087—2018 地面数字电视应急广播技术规范和GD/J 086—2018 有线数字电视应急广播技术规范。</w:t>
      </w:r>
    </w:p>
    <w:p>
      <w:pPr>
        <w:autoSpaceDE w:val="0"/>
        <w:autoSpaceDN w:val="0"/>
        <w:adjustRightInd w:val="0"/>
        <w:snapToGrid w:val="0"/>
        <w:spacing w:line="360" w:lineRule="auto"/>
        <w:ind w:firstLine="480" w:firstLineChars="200"/>
      </w:pPr>
      <w:r>
        <w:t>具备输出音频信号及IP 指令信号，控制终端进行应急广播消息播发的功能，输出信号符合GD/J 089—2018 应急广播大喇叭系统技术规范附录D。</w:t>
      </w:r>
    </w:p>
    <w:p>
      <w:pPr>
        <w:autoSpaceDE w:val="0"/>
        <w:autoSpaceDN w:val="0"/>
        <w:adjustRightInd w:val="0"/>
        <w:snapToGrid w:val="0"/>
        <w:spacing w:line="360" w:lineRule="auto"/>
        <w:ind w:firstLine="480" w:firstLineChars="200"/>
      </w:pPr>
      <w:r>
        <w:t>配置国密算法安全芯片，与安全服务系统保持一致。</w:t>
      </w:r>
    </w:p>
    <w:p>
      <w:pPr>
        <w:autoSpaceDE w:val="0"/>
        <w:autoSpaceDN w:val="0"/>
        <w:adjustRightInd w:val="0"/>
        <w:snapToGrid w:val="0"/>
        <w:spacing w:line="360" w:lineRule="auto"/>
        <w:ind w:firstLine="480" w:firstLineChars="200"/>
      </w:pPr>
      <w:r>
        <w:t>2.功能要求</w:t>
      </w:r>
    </w:p>
    <w:p>
      <w:pPr>
        <w:autoSpaceDE w:val="0"/>
        <w:autoSpaceDN w:val="0"/>
        <w:adjustRightInd w:val="0"/>
        <w:snapToGrid w:val="0"/>
        <w:spacing w:line="360" w:lineRule="auto"/>
        <w:ind w:firstLine="480" w:firstLineChars="200"/>
      </w:pPr>
      <w:r>
        <w:t>可通过前面板液晶屏及按键，对设备IP 地址、端口号进行设置。</w:t>
      </w:r>
    </w:p>
    <w:p>
      <w:pPr>
        <w:autoSpaceDE w:val="0"/>
        <w:autoSpaceDN w:val="0"/>
        <w:adjustRightInd w:val="0"/>
        <w:snapToGrid w:val="0"/>
        <w:spacing w:line="360" w:lineRule="auto"/>
        <w:ind w:firstLine="480" w:firstLineChars="200"/>
      </w:pPr>
      <w:r>
        <w:t>可脱离管理平台实现对下一级进行本地广播功能（调频要求）。</w:t>
      </w:r>
    </w:p>
    <w:p>
      <w:pPr>
        <w:autoSpaceDE w:val="0"/>
        <w:autoSpaceDN w:val="0"/>
        <w:adjustRightInd w:val="0"/>
        <w:snapToGrid w:val="0"/>
        <w:spacing w:line="360" w:lineRule="auto"/>
        <w:ind w:firstLine="480" w:firstLineChars="200"/>
      </w:pPr>
      <w:r>
        <w:t>支持U 盘（MPEG-1 Layer 2和MP3 格式文件）广播、线路广播、话筒广播，U 盘广播可通过按键选择上下曲。</w:t>
      </w:r>
    </w:p>
    <w:p>
      <w:pPr>
        <w:autoSpaceDE w:val="0"/>
        <w:autoSpaceDN w:val="0"/>
        <w:adjustRightInd w:val="0"/>
        <w:snapToGrid w:val="0"/>
        <w:spacing w:line="360" w:lineRule="auto"/>
        <w:ind w:firstLine="480" w:firstLineChars="200"/>
      </w:pPr>
      <w:r>
        <w:t>具有监听功能：内置监听喇叭，监听音量可调节，具有音频存储功能（MPEG-1 Layer 2和MP3）。</w:t>
      </w:r>
    </w:p>
    <w:p>
      <w:pPr>
        <w:autoSpaceDE w:val="0"/>
        <w:autoSpaceDN w:val="0"/>
        <w:adjustRightInd w:val="0"/>
        <w:snapToGrid w:val="0"/>
        <w:spacing w:line="360" w:lineRule="auto"/>
        <w:ind w:firstLine="480" w:firstLineChars="200"/>
      </w:pPr>
      <w:r>
        <w:t>可设置定时广播（≥3 组），广播音源可选择话筒广播、U 盘、调频接收、线路输入。</w:t>
      </w:r>
    </w:p>
    <w:p>
      <w:pPr>
        <w:autoSpaceDE w:val="0"/>
        <w:autoSpaceDN w:val="0"/>
        <w:adjustRightInd w:val="0"/>
        <w:snapToGrid w:val="0"/>
        <w:spacing w:line="360" w:lineRule="auto"/>
        <w:ind w:firstLine="480" w:firstLineChars="200"/>
      </w:pPr>
      <w:r>
        <w:t>可在管理平台中对本设备的工作参数配置。</w:t>
      </w:r>
    </w:p>
    <w:p>
      <w:pPr>
        <w:autoSpaceDE w:val="0"/>
        <w:autoSpaceDN w:val="0"/>
        <w:adjustRightInd w:val="0"/>
        <w:snapToGrid w:val="0"/>
        <w:spacing w:line="360" w:lineRule="auto"/>
        <w:ind w:firstLine="480" w:firstLineChars="200"/>
      </w:pPr>
      <w:r>
        <w:t>可在管理平台中对本设备进行领用和回收操作。</w:t>
      </w:r>
    </w:p>
    <w:p>
      <w:pPr>
        <w:autoSpaceDE w:val="0"/>
        <w:autoSpaceDN w:val="0"/>
        <w:adjustRightInd w:val="0"/>
        <w:snapToGrid w:val="0"/>
        <w:spacing w:line="360" w:lineRule="auto"/>
        <w:ind w:firstLine="480" w:firstLineChars="200"/>
      </w:pPr>
      <w:r>
        <w:t>可在管理平台中控制本设备的工作状态，可以读取本设备的当前状态。</w:t>
      </w:r>
    </w:p>
    <w:p>
      <w:pPr>
        <w:autoSpaceDE w:val="0"/>
        <w:autoSpaceDN w:val="0"/>
        <w:adjustRightInd w:val="0"/>
        <w:snapToGrid w:val="0"/>
        <w:spacing w:line="360" w:lineRule="auto"/>
        <w:ind w:firstLine="480" w:firstLineChars="200"/>
      </w:pPr>
      <w:r>
        <w:t>设备本地优先级模式：话筒广播（紧急）&gt;调频&gt;IP&gt;DTMB&gt;DVB-C&gt;话筒广播（日常）&gt;U 盘&gt;线路广播。</w:t>
      </w:r>
    </w:p>
    <w:p>
      <w:pPr>
        <w:autoSpaceDE w:val="0"/>
        <w:autoSpaceDN w:val="0"/>
        <w:adjustRightInd w:val="0"/>
        <w:snapToGrid w:val="0"/>
        <w:spacing w:line="360" w:lineRule="auto"/>
        <w:ind w:firstLine="480" w:firstLineChars="200"/>
      </w:pPr>
      <w:r>
        <w:t>支持一键切换为紧急模式。</w:t>
      </w:r>
    </w:p>
    <w:p>
      <w:pPr>
        <w:autoSpaceDE w:val="0"/>
        <w:autoSpaceDN w:val="0"/>
        <w:adjustRightInd w:val="0"/>
        <w:snapToGrid w:val="0"/>
        <w:spacing w:line="360" w:lineRule="auto"/>
        <w:ind w:firstLine="480" w:firstLineChars="200"/>
      </w:pPr>
      <w:r>
        <w:t>集成国密算法芯片，具有签名、验签功能，签名验签《GD/J081-2018 应急广播安全保护技术规范 数字签名》要求。</w:t>
      </w:r>
    </w:p>
    <w:p>
      <w:pPr>
        <w:autoSpaceDE w:val="0"/>
        <w:autoSpaceDN w:val="0"/>
        <w:adjustRightInd w:val="0"/>
        <w:snapToGrid w:val="0"/>
        <w:spacing w:line="360" w:lineRule="auto"/>
        <w:ind w:firstLine="480" w:firstLineChars="200"/>
      </w:pPr>
      <w:r>
        <w:t>支持模块化设计，IP 模块、调频模块、TS 模块（输出）、4G通信模块。</w:t>
      </w:r>
    </w:p>
    <w:p>
      <w:pPr>
        <w:autoSpaceDE w:val="0"/>
        <w:autoSpaceDN w:val="0"/>
        <w:adjustRightInd w:val="0"/>
        <w:snapToGrid w:val="0"/>
        <w:spacing w:line="360" w:lineRule="auto"/>
        <w:ind w:firstLine="480" w:firstLineChars="200"/>
      </w:pPr>
      <w:r>
        <w:t>具备本地播发、上级信号接收播发、管理平台控制播发功能。</w:t>
      </w:r>
    </w:p>
    <w:p>
      <w:pPr>
        <w:autoSpaceDE w:val="0"/>
        <w:autoSpaceDN w:val="0"/>
        <w:adjustRightInd w:val="0"/>
        <w:snapToGrid w:val="0"/>
        <w:spacing w:line="360" w:lineRule="auto"/>
        <w:ind w:firstLine="480" w:firstLineChars="200"/>
      </w:pPr>
      <w:r>
        <w:t>在相同优先级的情况下，具备本地多音源切换功能。</w:t>
      </w:r>
    </w:p>
    <w:p>
      <w:pPr>
        <w:autoSpaceDE w:val="0"/>
        <w:autoSpaceDN w:val="0"/>
        <w:adjustRightInd w:val="0"/>
        <w:snapToGrid w:val="0"/>
        <w:spacing w:line="360" w:lineRule="auto"/>
        <w:ind w:firstLine="480" w:firstLineChars="200"/>
      </w:pPr>
      <w:r>
        <w:t>支持分区域播发控制。</w:t>
      </w:r>
    </w:p>
    <w:p>
      <w:pPr>
        <w:autoSpaceDE w:val="0"/>
        <w:autoSpaceDN w:val="0"/>
        <w:adjustRightInd w:val="0"/>
        <w:snapToGrid w:val="0"/>
        <w:spacing w:line="360" w:lineRule="auto"/>
        <w:ind w:firstLine="480" w:firstLineChars="200"/>
      </w:pPr>
      <w:r>
        <w:t>采用标准机架式硬件设备，不得采用基于服务器的软件设备。</w:t>
      </w:r>
    </w:p>
    <w:p>
      <w:pPr>
        <w:autoSpaceDE w:val="0"/>
        <w:autoSpaceDN w:val="0"/>
        <w:adjustRightInd w:val="0"/>
        <w:snapToGrid w:val="0"/>
        <w:spacing w:line="360" w:lineRule="auto"/>
        <w:ind w:firstLine="480" w:firstLineChars="200"/>
      </w:pPr>
      <w:r>
        <w:t>3.接口要求</w:t>
      </w:r>
    </w:p>
    <w:p>
      <w:pPr>
        <w:autoSpaceDE w:val="0"/>
        <w:autoSpaceDN w:val="0"/>
        <w:adjustRightInd w:val="0"/>
        <w:snapToGrid w:val="0"/>
        <w:spacing w:line="360" w:lineRule="auto"/>
        <w:ind w:firstLine="480" w:firstLineChars="200"/>
      </w:pPr>
      <w:r>
        <w:t>具有1路AC220V 可控电源输出，输出功率≥1000W。</w:t>
      </w:r>
    </w:p>
    <w:p>
      <w:pPr>
        <w:autoSpaceDE w:val="0"/>
        <w:autoSpaceDN w:val="0"/>
        <w:adjustRightInd w:val="0"/>
        <w:snapToGrid w:val="0"/>
        <w:spacing w:line="360" w:lineRule="auto"/>
        <w:ind w:firstLine="480" w:firstLineChars="200"/>
      </w:pPr>
      <w:r>
        <w:t>具有1路及以上音频输出，接口类型：RCA 莲花母座。</w:t>
      </w:r>
    </w:p>
    <w:p>
      <w:pPr>
        <w:autoSpaceDE w:val="0"/>
        <w:autoSpaceDN w:val="0"/>
        <w:adjustRightInd w:val="0"/>
        <w:snapToGrid w:val="0"/>
        <w:spacing w:line="360" w:lineRule="auto"/>
        <w:ind w:firstLine="480" w:firstLineChars="200"/>
      </w:pPr>
      <w:r>
        <w:t>具有2路及以上线路音频输入接口，RCA 莲花母座或BNC。</w:t>
      </w:r>
    </w:p>
    <w:p>
      <w:pPr>
        <w:autoSpaceDE w:val="0"/>
        <w:autoSpaceDN w:val="0"/>
        <w:adjustRightInd w:val="0"/>
        <w:snapToGrid w:val="0"/>
        <w:spacing w:line="360" w:lineRule="auto"/>
        <w:ind w:firstLine="480" w:firstLineChars="200"/>
      </w:pPr>
      <w:r>
        <w:t>话筒输入：具有6.5mm 话筒接口和3.5mm 话筒接口。</w:t>
      </w:r>
    </w:p>
    <w:p>
      <w:pPr>
        <w:autoSpaceDE w:val="0"/>
        <w:autoSpaceDN w:val="0"/>
        <w:adjustRightInd w:val="0"/>
        <w:snapToGrid w:val="0"/>
        <w:spacing w:line="360" w:lineRule="auto"/>
        <w:ind w:firstLine="480" w:firstLineChars="200"/>
      </w:pPr>
      <w:r>
        <w:t>麦克风输入：具有1路麦克风。</w:t>
      </w:r>
    </w:p>
    <w:p>
      <w:pPr>
        <w:autoSpaceDE w:val="0"/>
        <w:autoSpaceDN w:val="0"/>
        <w:adjustRightInd w:val="0"/>
        <w:snapToGrid w:val="0"/>
        <w:spacing w:line="360" w:lineRule="auto"/>
        <w:ind w:firstLine="480" w:firstLineChars="200"/>
      </w:pPr>
      <w:r>
        <w:t>网络接口：RJ45，≥100M，1个。</w:t>
      </w:r>
    </w:p>
    <w:p>
      <w:pPr>
        <w:autoSpaceDE w:val="0"/>
        <w:autoSpaceDN w:val="0"/>
        <w:adjustRightInd w:val="0"/>
        <w:snapToGrid w:val="0"/>
        <w:spacing w:line="360" w:lineRule="auto"/>
        <w:ind w:firstLine="480" w:firstLineChars="200"/>
      </w:pPr>
      <w:r>
        <w:t>FM 输入接口：公制F母座，1路输入内置2分配，配置2个调谐器。</w:t>
      </w:r>
    </w:p>
    <w:p>
      <w:pPr>
        <w:autoSpaceDE w:val="0"/>
        <w:autoSpaceDN w:val="0"/>
        <w:adjustRightInd w:val="0"/>
        <w:snapToGrid w:val="0"/>
        <w:spacing w:line="360" w:lineRule="auto"/>
        <w:ind w:firstLine="480" w:firstLineChars="200"/>
      </w:pPr>
      <w:r>
        <w:t>FM 输出接口：公制F母座，输出1路。</w:t>
      </w:r>
    </w:p>
    <w:p>
      <w:pPr>
        <w:autoSpaceDE w:val="0"/>
        <w:autoSpaceDN w:val="0"/>
        <w:adjustRightInd w:val="0"/>
        <w:snapToGrid w:val="0"/>
        <w:spacing w:line="360" w:lineRule="auto"/>
        <w:ind w:firstLine="480" w:firstLineChars="200"/>
      </w:pPr>
      <w:r>
        <w:t>RDS 输出接口：BNC，输出幅度0～1Vp-p 通过旋钮可调，输出阻抗低阻，测试负载600 欧姆。</w:t>
      </w:r>
    </w:p>
    <w:p>
      <w:pPr>
        <w:autoSpaceDE w:val="0"/>
        <w:autoSpaceDN w:val="0"/>
        <w:adjustRightInd w:val="0"/>
        <w:snapToGrid w:val="0"/>
        <w:spacing w:line="360" w:lineRule="auto"/>
        <w:ind w:firstLine="480" w:firstLineChars="200"/>
      </w:pPr>
      <w:r>
        <w:t>ASI 输出接口：BNC。</w:t>
      </w:r>
    </w:p>
    <w:p>
      <w:pPr>
        <w:autoSpaceDE w:val="0"/>
        <w:autoSpaceDN w:val="0"/>
        <w:adjustRightInd w:val="0"/>
        <w:snapToGrid w:val="0"/>
        <w:spacing w:line="360" w:lineRule="auto"/>
        <w:ind w:firstLine="480" w:firstLineChars="200"/>
      </w:pPr>
      <w:r>
        <w:t>USB 接口：2个USB 接口。</w:t>
      </w:r>
    </w:p>
    <w:p>
      <w:pPr>
        <w:autoSpaceDE w:val="0"/>
        <w:autoSpaceDN w:val="0"/>
        <w:adjustRightInd w:val="0"/>
        <w:snapToGrid w:val="0"/>
        <w:spacing w:line="360" w:lineRule="auto"/>
        <w:ind w:firstLine="480" w:firstLineChars="200"/>
      </w:pPr>
      <w:r>
        <w:t>4.性能要求</w:t>
      </w:r>
    </w:p>
    <w:p>
      <w:pPr>
        <w:autoSpaceDE w:val="0"/>
        <w:autoSpaceDN w:val="0"/>
        <w:adjustRightInd w:val="0"/>
        <w:snapToGrid w:val="0"/>
        <w:spacing w:line="360" w:lineRule="auto"/>
        <w:ind w:firstLine="480" w:firstLineChars="200"/>
      </w:pPr>
      <w:r>
        <w:t>信噪比：≥65dB（本设备音频输入输出：线路0dBu）。</w:t>
      </w:r>
    </w:p>
    <w:p>
      <w:pPr>
        <w:autoSpaceDE w:val="0"/>
        <w:autoSpaceDN w:val="0"/>
        <w:adjustRightInd w:val="0"/>
        <w:snapToGrid w:val="0"/>
        <w:spacing w:line="360" w:lineRule="auto"/>
        <w:ind w:firstLine="480" w:firstLineChars="200"/>
      </w:pPr>
      <w:r>
        <w:t>频响：40Hz～15KHz (±3dB)（本设备音频输入输出：线路0dBu）。</w:t>
      </w:r>
    </w:p>
    <w:p>
      <w:pPr>
        <w:autoSpaceDE w:val="0"/>
        <w:autoSpaceDN w:val="0"/>
        <w:adjustRightInd w:val="0"/>
        <w:snapToGrid w:val="0"/>
        <w:spacing w:line="360" w:lineRule="auto"/>
        <w:ind w:firstLine="480" w:firstLineChars="200"/>
      </w:pPr>
      <w:r>
        <w:t>谐波失真：≤1%（本设备音频输入输出：线路0dBu）。</w:t>
      </w:r>
    </w:p>
    <w:p>
      <w:pPr>
        <w:autoSpaceDE w:val="0"/>
        <w:autoSpaceDN w:val="0"/>
        <w:adjustRightInd w:val="0"/>
        <w:snapToGrid w:val="0"/>
        <w:spacing w:line="360" w:lineRule="auto"/>
        <w:ind w:firstLine="480" w:firstLineChars="200"/>
      </w:pPr>
      <w:r>
        <w:t>音频输出电平：0.775±10% V（r.m.s）（线路0dBu）。</w:t>
      </w:r>
    </w:p>
    <w:p>
      <w:pPr>
        <w:autoSpaceDE w:val="0"/>
        <w:autoSpaceDN w:val="0"/>
        <w:adjustRightInd w:val="0"/>
        <w:snapToGrid w:val="0"/>
        <w:spacing w:line="360" w:lineRule="auto"/>
        <w:ind w:firstLine="480" w:firstLineChars="200"/>
      </w:pPr>
      <w:r>
        <w:t>音频输出阻抗：低阻，&lt;100 欧姆。</w:t>
      </w:r>
    </w:p>
    <w:p>
      <w:pPr>
        <w:autoSpaceDE w:val="0"/>
        <w:autoSpaceDN w:val="0"/>
        <w:adjustRightInd w:val="0"/>
        <w:snapToGrid w:val="0"/>
        <w:spacing w:line="360" w:lineRule="auto"/>
        <w:ind w:firstLine="480" w:firstLineChars="200"/>
      </w:pPr>
      <w:r>
        <w:t>音频输入阻抗：高阻，&gt;10K 欧姆。</w:t>
      </w:r>
    </w:p>
    <w:p>
      <w:pPr>
        <w:autoSpaceDE w:val="0"/>
        <w:autoSpaceDN w:val="0"/>
        <w:adjustRightInd w:val="0"/>
        <w:snapToGrid w:val="0"/>
        <w:spacing w:line="360" w:lineRule="auto"/>
        <w:ind w:firstLine="480" w:firstLineChars="200"/>
      </w:pPr>
      <w:r>
        <w:t>FM 输出频率范围：87MHz～108MHz。</w:t>
      </w:r>
    </w:p>
    <w:p>
      <w:pPr>
        <w:autoSpaceDE w:val="0"/>
        <w:autoSpaceDN w:val="0"/>
        <w:adjustRightInd w:val="0"/>
        <w:spacing w:line="360" w:lineRule="auto"/>
        <w:ind w:left="240" w:leftChars="100" w:firstLine="240" w:firstLineChars="100"/>
      </w:pPr>
      <w:r>
        <w:t>节目信号并行播发量（同时播发不同节目的能力）不低于2路。</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1.13、在线式 UPS 电源</w:t>
      </w:r>
    </w:p>
    <w:p>
      <w:pPr>
        <w:autoSpaceDE w:val="0"/>
        <w:autoSpaceDN w:val="0"/>
        <w:adjustRightInd w:val="0"/>
        <w:snapToGrid w:val="0"/>
        <w:spacing w:line="360" w:lineRule="auto"/>
        <w:ind w:firstLine="480" w:firstLineChars="200"/>
      </w:pPr>
      <w:r>
        <w:t>UPS 类型 在线式</w:t>
      </w:r>
    </w:p>
    <w:p>
      <w:pPr>
        <w:autoSpaceDE w:val="0"/>
        <w:autoSpaceDN w:val="0"/>
        <w:adjustRightInd w:val="0"/>
        <w:snapToGrid w:val="0"/>
        <w:spacing w:line="360" w:lineRule="auto"/>
        <w:ind w:firstLine="480" w:firstLineChars="200"/>
      </w:pPr>
      <w:r>
        <w:rPr>
          <w:rFonts w:hint="eastAsia"/>
        </w:rPr>
        <w:t>额定功率</w:t>
      </w:r>
      <w:r>
        <w:t xml:space="preserve"> 10000W</w:t>
      </w:r>
    </w:p>
    <w:p>
      <w:pPr>
        <w:autoSpaceDE w:val="0"/>
        <w:autoSpaceDN w:val="0"/>
        <w:adjustRightInd w:val="0"/>
        <w:snapToGrid w:val="0"/>
        <w:spacing w:line="360" w:lineRule="auto"/>
        <w:ind w:firstLine="480" w:firstLineChars="200"/>
      </w:pPr>
      <w:r>
        <w:rPr>
          <w:rFonts w:hint="eastAsia"/>
        </w:rPr>
        <w:t>整机效率</w:t>
      </w:r>
      <w:r>
        <w:t xml:space="preserve"> 达到90%</w:t>
      </w:r>
    </w:p>
    <w:p>
      <w:pPr>
        <w:autoSpaceDE w:val="0"/>
        <w:autoSpaceDN w:val="0"/>
        <w:adjustRightInd w:val="0"/>
        <w:snapToGrid w:val="0"/>
        <w:spacing w:line="360" w:lineRule="auto"/>
        <w:ind w:firstLine="480" w:firstLineChars="200"/>
      </w:pPr>
      <w:r>
        <w:rPr>
          <w:rFonts w:hint="eastAsia"/>
        </w:rPr>
        <w:t>输入配线</w:t>
      </w:r>
      <w:r>
        <w:t xml:space="preserve"> 三相四线+地线</w:t>
      </w:r>
    </w:p>
    <w:p>
      <w:pPr>
        <w:autoSpaceDE w:val="0"/>
        <w:autoSpaceDN w:val="0"/>
        <w:adjustRightInd w:val="0"/>
        <w:snapToGrid w:val="0"/>
        <w:spacing w:line="360" w:lineRule="auto"/>
        <w:ind w:firstLine="480" w:firstLineChars="200"/>
      </w:pPr>
      <w:r>
        <w:rPr>
          <w:rFonts w:hint="eastAsia"/>
        </w:rPr>
        <w:t>输入电压范围</w:t>
      </w:r>
      <w:r>
        <w:t xml:space="preserve"> 210-475V</w:t>
      </w:r>
    </w:p>
    <w:p>
      <w:pPr>
        <w:autoSpaceDE w:val="0"/>
        <w:autoSpaceDN w:val="0"/>
        <w:adjustRightInd w:val="0"/>
        <w:snapToGrid w:val="0"/>
        <w:spacing w:line="360" w:lineRule="auto"/>
        <w:ind w:firstLine="480" w:firstLineChars="200"/>
      </w:pPr>
      <w:r>
        <w:rPr>
          <w:rFonts w:hint="eastAsia"/>
        </w:rPr>
        <w:t>输入频率范围</w:t>
      </w:r>
      <w:r>
        <w:t xml:space="preserve"> 46-64Hz，50/60Hz</w:t>
      </w:r>
    </w:p>
    <w:p>
      <w:pPr>
        <w:autoSpaceDE w:val="0"/>
        <w:autoSpaceDN w:val="0"/>
        <w:adjustRightInd w:val="0"/>
        <w:snapToGrid w:val="0"/>
        <w:spacing w:line="360" w:lineRule="auto"/>
        <w:ind w:firstLine="480" w:firstLineChars="200"/>
      </w:pPr>
      <w:r>
        <w:rPr>
          <w:rFonts w:hint="eastAsia"/>
        </w:rPr>
        <w:t>输入功因</w:t>
      </w:r>
      <w:r>
        <w:t xml:space="preserve"> ≥0.95</w:t>
      </w:r>
    </w:p>
    <w:p>
      <w:pPr>
        <w:autoSpaceDE w:val="0"/>
        <w:autoSpaceDN w:val="0"/>
        <w:adjustRightInd w:val="0"/>
        <w:snapToGrid w:val="0"/>
        <w:spacing w:line="360" w:lineRule="auto"/>
        <w:ind w:firstLine="480" w:firstLineChars="200"/>
      </w:pPr>
      <w:r>
        <w:rPr>
          <w:rFonts w:hint="eastAsia"/>
        </w:rPr>
        <w:t>输出电压范围</w:t>
      </w:r>
      <w:r>
        <w:t xml:space="preserve"> AC220（1±1%）V</w:t>
      </w:r>
    </w:p>
    <w:p>
      <w:pPr>
        <w:autoSpaceDE w:val="0"/>
        <w:autoSpaceDN w:val="0"/>
        <w:adjustRightInd w:val="0"/>
        <w:snapToGrid w:val="0"/>
        <w:spacing w:line="360" w:lineRule="auto"/>
        <w:ind w:firstLine="480" w:firstLineChars="200"/>
      </w:pPr>
      <w:r>
        <w:rPr>
          <w:rFonts w:hint="eastAsia"/>
        </w:rPr>
        <w:t>输出频率范围</w:t>
      </w:r>
      <w:r>
        <w:t xml:space="preserve"> 市电模式：46-54Hz/56-64Hz（与输入市电频率同步）</w:t>
      </w:r>
    </w:p>
    <w:p>
      <w:pPr>
        <w:autoSpaceDE w:val="0"/>
        <w:autoSpaceDN w:val="0"/>
        <w:adjustRightInd w:val="0"/>
        <w:snapToGrid w:val="0"/>
        <w:spacing w:line="360" w:lineRule="auto"/>
        <w:ind w:firstLine="480" w:firstLineChars="200"/>
      </w:pPr>
      <w:r>
        <w:rPr>
          <w:rFonts w:hint="eastAsia"/>
        </w:rPr>
        <w:t>电流峰值比</w:t>
      </w:r>
      <w:r>
        <w:t xml:space="preserve"> 3:1</w:t>
      </w:r>
    </w:p>
    <w:p>
      <w:pPr>
        <w:autoSpaceDE w:val="0"/>
        <w:autoSpaceDN w:val="0"/>
        <w:adjustRightInd w:val="0"/>
        <w:snapToGrid w:val="0"/>
        <w:spacing w:line="360" w:lineRule="auto"/>
        <w:ind w:firstLine="480" w:firstLineChars="200"/>
      </w:pPr>
      <w:r>
        <w:rPr>
          <w:rFonts w:hint="eastAsia"/>
        </w:rPr>
        <w:t>输出功因</w:t>
      </w:r>
      <w:r>
        <w:t xml:space="preserve"> 0.8</w:t>
      </w:r>
    </w:p>
    <w:p>
      <w:pPr>
        <w:autoSpaceDE w:val="0"/>
        <w:autoSpaceDN w:val="0"/>
        <w:adjustRightInd w:val="0"/>
        <w:snapToGrid w:val="0"/>
        <w:spacing w:line="360" w:lineRule="auto"/>
        <w:ind w:firstLine="480" w:firstLineChars="200"/>
      </w:pPr>
      <w:r>
        <w:rPr>
          <w:rFonts w:hint="eastAsia"/>
        </w:rPr>
        <w:t>过载能力</w:t>
      </w:r>
      <w:r>
        <w:t xml:space="preserve"> Load＜105%，长期运行</w:t>
      </w:r>
    </w:p>
    <w:p>
      <w:pPr>
        <w:autoSpaceDE w:val="0"/>
        <w:autoSpaceDN w:val="0"/>
        <w:adjustRightInd w:val="0"/>
        <w:snapToGrid w:val="0"/>
        <w:spacing w:line="360" w:lineRule="auto"/>
        <w:ind w:firstLine="480" w:firstLineChars="200"/>
      </w:pPr>
      <w:r>
        <w:rPr>
          <w:rFonts w:hint="eastAsia"/>
        </w:rPr>
        <w:t>电压电流</w:t>
      </w:r>
      <w:r>
        <w:t xml:space="preserve"> 16pcs×12VDC</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1.14、县级应急广播安全专用设备</w:t>
      </w:r>
    </w:p>
    <w:p>
      <w:pPr>
        <w:autoSpaceDE w:val="0"/>
        <w:autoSpaceDN w:val="0"/>
        <w:adjustRightInd w:val="0"/>
        <w:snapToGrid w:val="0"/>
        <w:spacing w:line="360" w:lineRule="auto"/>
        <w:ind w:firstLine="480" w:firstLineChars="200"/>
      </w:pPr>
      <w:r>
        <w:t>支持应急广播专用国产密码算法短证书应用；</w:t>
      </w:r>
    </w:p>
    <w:p>
      <w:pPr>
        <w:autoSpaceDE w:val="0"/>
        <w:autoSpaceDN w:val="0"/>
        <w:adjustRightInd w:val="0"/>
        <w:snapToGrid w:val="0"/>
        <w:spacing w:line="360" w:lineRule="auto"/>
        <w:ind w:firstLine="480" w:firstLineChars="200"/>
      </w:pPr>
      <w:r>
        <w:t>支持国产密码算法和通用密码算法的并行应用,支持国产SM1/SM4 等算法；支持国产SM3 和通用SHA1/SHA256 等算法；支持国产SM2和通用RSA(1024 和2048)等算法；</w:t>
      </w:r>
    </w:p>
    <w:p>
      <w:pPr>
        <w:autoSpaceDE w:val="0"/>
        <w:autoSpaceDN w:val="0"/>
        <w:adjustRightInd w:val="0"/>
        <w:snapToGrid w:val="0"/>
        <w:spacing w:line="360" w:lineRule="auto"/>
        <w:ind w:firstLine="480" w:firstLineChars="200"/>
      </w:pPr>
      <w:r>
        <w:t>采用国家密码管理局批准的硬件芯片实现各类密码算法，保证算法的高安全性，采用WNG8 物理噪声源芯片产生高质量的真随机数作为密钥，保证密钥的高强度。</w:t>
      </w:r>
    </w:p>
    <w:p>
      <w:pPr>
        <w:autoSpaceDE w:val="0"/>
        <w:autoSpaceDN w:val="0"/>
        <w:adjustRightInd w:val="0"/>
        <w:snapToGrid w:val="0"/>
        <w:spacing w:line="360" w:lineRule="auto"/>
        <w:ind w:firstLine="480" w:firstLineChars="200"/>
      </w:pPr>
      <w:r>
        <w:t>支持对广播消息签名及验证，支持应急广播体系多级联动、支持安全证书链认证；</w:t>
      </w:r>
    </w:p>
    <w:p>
      <w:pPr>
        <w:autoSpaceDE w:val="0"/>
        <w:autoSpaceDN w:val="0"/>
        <w:adjustRightInd w:val="0"/>
        <w:snapToGrid w:val="0"/>
        <w:spacing w:line="360" w:lineRule="auto"/>
        <w:ind w:firstLine="480" w:firstLineChars="200"/>
      </w:pPr>
      <w:r>
        <w:t>提供图形化的设备管理客户端软件，可运行于windows 系统；管理终端与设备间可通过串口或网口进行连接。</w:t>
      </w:r>
    </w:p>
    <w:p>
      <w:pPr>
        <w:autoSpaceDE w:val="0"/>
        <w:autoSpaceDN w:val="0"/>
        <w:adjustRightInd w:val="0"/>
        <w:snapToGrid w:val="0"/>
        <w:spacing w:line="360" w:lineRule="auto"/>
        <w:ind w:firstLine="480" w:firstLineChars="200"/>
      </w:pPr>
      <w:r>
        <w:t>提供基于IC 卡的管理机制，采用智能IC 卡辅助完成设备管理中的身份认证或密钥数据的安全存储；</w:t>
      </w:r>
    </w:p>
    <w:p>
      <w:pPr>
        <w:autoSpaceDE w:val="0"/>
        <w:autoSpaceDN w:val="0"/>
        <w:adjustRightInd w:val="0"/>
        <w:snapToGrid w:val="0"/>
        <w:spacing w:line="360" w:lineRule="auto"/>
        <w:ind w:firstLine="480" w:firstLineChars="200"/>
      </w:pPr>
      <w:r>
        <w:t>支持提供应急广播证书更新、证书信任列表共更新、证书下载等服务；</w:t>
      </w:r>
    </w:p>
    <w:p>
      <w:pPr>
        <w:autoSpaceDE w:val="0"/>
        <w:autoSpaceDN w:val="0"/>
        <w:adjustRightInd w:val="0"/>
        <w:snapToGrid w:val="0"/>
        <w:spacing w:line="360" w:lineRule="auto"/>
        <w:ind w:firstLine="480" w:firstLineChars="200"/>
      </w:pPr>
      <w:r>
        <w:t>支持通过WEB 方式登陆控制台，对证书及其相关参数进行配置，以提高服务管理效率。</w:t>
      </w:r>
    </w:p>
    <w:p>
      <w:pPr>
        <w:autoSpaceDE w:val="0"/>
        <w:autoSpaceDN w:val="0"/>
        <w:adjustRightInd w:val="0"/>
        <w:snapToGrid w:val="0"/>
        <w:spacing w:line="360" w:lineRule="auto"/>
        <w:ind w:firstLine="480" w:firstLineChars="200"/>
      </w:pPr>
      <w:r>
        <w:t>密钥或证书备份恢复：支持内部密钥或证书的安全备份和恢复，可实现互备或负载的多台设备间的同步；</w:t>
      </w:r>
    </w:p>
    <w:p>
      <w:pPr>
        <w:autoSpaceDE w:val="0"/>
        <w:autoSpaceDN w:val="0"/>
        <w:adjustRightInd w:val="0"/>
        <w:snapToGrid w:val="0"/>
        <w:spacing w:line="360" w:lineRule="auto"/>
        <w:ind w:firstLine="480" w:firstLineChars="200"/>
      </w:pPr>
      <w:r>
        <w:t>单台设备证书管理量</w:t>
      </w:r>
      <w:r>
        <w:rPr>
          <w:rFonts w:hint="eastAsia"/>
        </w:rPr>
        <w:t>≥</w:t>
      </w:r>
      <w:r>
        <w:t>5000 张；</w:t>
      </w:r>
    </w:p>
    <w:p>
      <w:pPr>
        <w:autoSpaceDE w:val="0"/>
        <w:autoSpaceDN w:val="0"/>
        <w:adjustRightInd w:val="0"/>
        <w:snapToGrid w:val="0"/>
        <w:spacing w:line="360" w:lineRule="auto"/>
        <w:ind w:firstLine="480" w:firstLineChars="200"/>
      </w:pPr>
      <w:r>
        <w:t>设备签名验签符合《GD/J 081-2018 应急广播安全保护技术规范 数字签名》要求。</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1.15、防火墙</w:t>
      </w:r>
    </w:p>
    <w:p>
      <w:pPr>
        <w:autoSpaceDE w:val="0"/>
        <w:autoSpaceDN w:val="0"/>
        <w:adjustRightInd w:val="0"/>
        <w:spacing w:line="360" w:lineRule="auto"/>
        <w:ind w:firstLine="480" w:firstLineChars="200"/>
        <w:rPr>
          <w:szCs w:val="21"/>
        </w:rPr>
      </w:pPr>
      <w:r>
        <w:rPr>
          <w:szCs w:val="21"/>
        </w:rPr>
        <w:t>1U机箱；</w:t>
      </w:r>
    </w:p>
    <w:p>
      <w:pPr>
        <w:autoSpaceDE w:val="0"/>
        <w:autoSpaceDN w:val="0"/>
        <w:adjustRightInd w:val="0"/>
        <w:spacing w:line="360" w:lineRule="auto"/>
        <w:ind w:firstLine="480" w:firstLineChars="200"/>
        <w:rPr>
          <w:szCs w:val="21"/>
        </w:rPr>
      </w:pPr>
      <w:r>
        <w:rPr>
          <w:rFonts w:hint="eastAsia"/>
          <w:szCs w:val="21"/>
        </w:rPr>
        <w:t>配置</w:t>
      </w:r>
      <w:r>
        <w:rPr>
          <w:szCs w:val="21"/>
        </w:rPr>
        <w:t xml:space="preserve"> 4 个 10/100/1000Base-T 接口，具备专用的管理接口；</w:t>
      </w:r>
    </w:p>
    <w:p>
      <w:pPr>
        <w:autoSpaceDE w:val="0"/>
        <w:autoSpaceDN w:val="0"/>
        <w:adjustRightInd w:val="0"/>
        <w:spacing w:line="360" w:lineRule="auto"/>
        <w:ind w:firstLine="480" w:firstLineChars="200"/>
        <w:rPr>
          <w:szCs w:val="21"/>
        </w:rPr>
      </w:pPr>
      <w:r>
        <w:rPr>
          <w:rFonts w:hint="eastAsia"/>
          <w:szCs w:val="21"/>
        </w:rPr>
        <w:t>防火墙吞吐率：</w:t>
      </w:r>
      <w:r>
        <w:rPr>
          <w:szCs w:val="21"/>
        </w:rPr>
        <w:t>2Gbps；</w:t>
      </w:r>
    </w:p>
    <w:p>
      <w:pPr>
        <w:autoSpaceDE w:val="0"/>
        <w:autoSpaceDN w:val="0"/>
        <w:adjustRightInd w:val="0"/>
        <w:spacing w:line="360" w:lineRule="auto"/>
        <w:ind w:firstLine="480" w:firstLineChars="200"/>
        <w:rPr>
          <w:szCs w:val="21"/>
        </w:rPr>
      </w:pPr>
      <w:r>
        <w:rPr>
          <w:rFonts w:hint="eastAsia"/>
          <w:szCs w:val="21"/>
        </w:rPr>
        <w:t>最大并发连接数：</w:t>
      </w:r>
      <w:r>
        <w:rPr>
          <w:szCs w:val="21"/>
        </w:rPr>
        <w:t>150 万；</w:t>
      </w:r>
    </w:p>
    <w:p>
      <w:pPr>
        <w:autoSpaceDE w:val="0"/>
        <w:autoSpaceDN w:val="0"/>
        <w:adjustRightInd w:val="0"/>
        <w:spacing w:line="360" w:lineRule="auto"/>
        <w:ind w:firstLine="480" w:firstLineChars="200"/>
        <w:rPr>
          <w:szCs w:val="21"/>
        </w:rPr>
      </w:pPr>
      <w:r>
        <w:rPr>
          <w:rFonts w:hint="eastAsia"/>
          <w:szCs w:val="21"/>
        </w:rPr>
        <w:t>提供三年维保服务等。</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1.16、入侵检测系统</w:t>
      </w:r>
    </w:p>
    <w:p>
      <w:pPr>
        <w:autoSpaceDE w:val="0"/>
        <w:autoSpaceDN w:val="0"/>
        <w:adjustRightInd w:val="0"/>
        <w:spacing w:line="360" w:lineRule="auto"/>
        <w:ind w:firstLine="480" w:firstLineChars="200"/>
      </w:pPr>
      <w:r>
        <w:t>1U 机箱；</w:t>
      </w:r>
    </w:p>
    <w:p>
      <w:pPr>
        <w:autoSpaceDE w:val="0"/>
        <w:autoSpaceDN w:val="0"/>
        <w:adjustRightInd w:val="0"/>
        <w:spacing w:line="360" w:lineRule="auto"/>
        <w:ind w:firstLine="480" w:firstLineChars="200"/>
      </w:pPr>
      <w:r>
        <w:rPr>
          <w:rFonts w:hint="eastAsia"/>
        </w:rPr>
        <w:t>配置</w:t>
      </w:r>
      <w:r>
        <w:t>4个10/100/1000Base-T 接口，具备专用的管理接口；</w:t>
      </w:r>
    </w:p>
    <w:p>
      <w:pPr>
        <w:autoSpaceDE w:val="0"/>
        <w:autoSpaceDN w:val="0"/>
        <w:adjustRightInd w:val="0"/>
        <w:spacing w:line="360" w:lineRule="auto"/>
        <w:ind w:firstLine="480" w:firstLineChars="200"/>
      </w:pPr>
      <w:r>
        <w:t>IDS检测性能：1Gbps；</w:t>
      </w:r>
    </w:p>
    <w:p>
      <w:pPr>
        <w:autoSpaceDE w:val="0"/>
        <w:autoSpaceDN w:val="0"/>
        <w:adjustRightInd w:val="0"/>
        <w:spacing w:line="360" w:lineRule="auto"/>
        <w:ind w:firstLine="480" w:firstLineChars="200"/>
      </w:pPr>
      <w:r>
        <w:rPr>
          <w:rFonts w:hint="eastAsia"/>
        </w:rPr>
        <w:t>提供三年维保服务，</w:t>
      </w:r>
      <w:r>
        <w:t xml:space="preserve">IDS 规则库升级许可。 </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1.17、数据库软件</w:t>
      </w:r>
    </w:p>
    <w:p>
      <w:pPr>
        <w:autoSpaceDE w:val="0"/>
        <w:autoSpaceDN w:val="0"/>
        <w:adjustRightInd w:val="0"/>
        <w:snapToGrid w:val="0"/>
        <w:spacing w:line="360" w:lineRule="auto"/>
        <w:ind w:firstLine="480" w:firstLineChars="200"/>
      </w:pPr>
      <w:r>
        <w:t>适用硬件环境: 兼容32位及64位计算技术 Intel x86，IA32，IA64，AMD Opteron，IBM PowerPC 等；</w:t>
      </w:r>
    </w:p>
    <w:p>
      <w:pPr>
        <w:autoSpaceDE w:val="0"/>
        <w:autoSpaceDN w:val="0"/>
        <w:adjustRightInd w:val="0"/>
        <w:snapToGrid w:val="0"/>
        <w:spacing w:line="360" w:lineRule="auto"/>
        <w:ind w:firstLine="480" w:firstLineChars="200"/>
      </w:pPr>
      <w:r>
        <w:t>适用软件环境:Windows/Linux/Solaris；</w:t>
      </w:r>
    </w:p>
    <w:p>
      <w:pPr>
        <w:autoSpaceDE w:val="0"/>
        <w:autoSpaceDN w:val="0"/>
        <w:adjustRightInd w:val="0"/>
        <w:snapToGrid w:val="0"/>
        <w:spacing w:line="360" w:lineRule="auto"/>
        <w:ind w:firstLine="480" w:firstLineChars="200"/>
      </w:pPr>
      <w:r>
        <w:t>提供多种编程语言API，包括C、C++、Python、Java、Perl、PHP、.NET 等；</w:t>
      </w:r>
    </w:p>
    <w:p>
      <w:pPr>
        <w:autoSpaceDE w:val="0"/>
        <w:autoSpaceDN w:val="0"/>
        <w:adjustRightInd w:val="0"/>
        <w:snapToGrid w:val="0"/>
        <w:spacing w:line="360" w:lineRule="auto"/>
        <w:ind w:firstLine="480" w:firstLineChars="200"/>
      </w:pPr>
      <w:r>
        <w:t>提供TCP/IP、ODBC 和JDBC 等多种数据库连接途径；</w:t>
      </w:r>
    </w:p>
    <w:p>
      <w:pPr>
        <w:autoSpaceDE w:val="0"/>
        <w:autoSpaceDN w:val="0"/>
        <w:adjustRightInd w:val="0"/>
        <w:snapToGrid w:val="0"/>
        <w:spacing w:line="360" w:lineRule="auto"/>
        <w:ind w:firstLine="480" w:firstLineChars="200"/>
      </w:pPr>
      <w:r>
        <w:t>使用标准的SQL 数据语言形式；</w:t>
      </w:r>
    </w:p>
    <w:p>
      <w:pPr>
        <w:autoSpaceDE w:val="0"/>
        <w:autoSpaceDN w:val="0"/>
        <w:adjustRightInd w:val="0"/>
        <w:snapToGrid w:val="0"/>
        <w:spacing w:line="360" w:lineRule="auto"/>
        <w:ind w:firstLine="480" w:firstLineChars="200"/>
      </w:pPr>
      <w:r>
        <w:t>提供用于管理、检查、优化数据库操作的管理工具，支持软件升级、技术预警、企业级性能监控；</w:t>
      </w:r>
    </w:p>
    <w:p>
      <w:pPr>
        <w:autoSpaceDE w:val="0"/>
        <w:autoSpaceDN w:val="0"/>
        <w:adjustRightInd w:val="0"/>
        <w:snapToGrid w:val="0"/>
        <w:spacing w:line="360" w:lineRule="auto"/>
        <w:ind w:firstLine="480" w:firstLineChars="200"/>
      </w:pPr>
      <w:r>
        <w:t>可提供优化建议、故障排除、安装配置与部署等技术支持服务。</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1.18、综合日志审计系统</w:t>
      </w:r>
    </w:p>
    <w:p>
      <w:pPr>
        <w:autoSpaceDE w:val="0"/>
        <w:autoSpaceDN w:val="0"/>
        <w:adjustRightInd w:val="0"/>
        <w:spacing w:line="360" w:lineRule="auto"/>
        <w:ind w:firstLine="480" w:firstLineChars="200"/>
      </w:pPr>
      <w:r>
        <w:t>含日志收集、存储、查询、统计分析等功能；</w:t>
      </w:r>
    </w:p>
    <w:p>
      <w:pPr>
        <w:autoSpaceDE w:val="0"/>
        <w:autoSpaceDN w:val="0"/>
        <w:adjustRightInd w:val="0"/>
        <w:spacing w:line="360" w:lineRule="auto"/>
        <w:ind w:firstLine="480" w:firstLineChars="200"/>
      </w:pPr>
      <w:r>
        <w:t>提供50个日志源采集许可；</w:t>
      </w:r>
    </w:p>
    <w:p>
      <w:pPr>
        <w:autoSpaceDE w:val="0"/>
        <w:autoSpaceDN w:val="0"/>
        <w:adjustRightInd w:val="0"/>
        <w:spacing w:line="360" w:lineRule="auto"/>
        <w:ind w:firstLine="480" w:firstLineChars="200"/>
        <w:rPr>
          <w:szCs w:val="21"/>
        </w:rPr>
      </w:pPr>
      <w:r>
        <w:rPr>
          <w:rFonts w:hint="eastAsia"/>
          <w:szCs w:val="21"/>
        </w:rPr>
        <w:t>提供三年软件维保升级服务；</w:t>
      </w:r>
    </w:p>
    <w:p>
      <w:pPr>
        <w:autoSpaceDE w:val="0"/>
        <w:autoSpaceDN w:val="0"/>
        <w:adjustRightInd w:val="0"/>
        <w:spacing w:line="360" w:lineRule="auto"/>
        <w:ind w:firstLine="480" w:firstLineChars="200"/>
      </w:pPr>
      <w:r>
        <w:t>含机房配套及其他。</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1.19、网络防病毒系统</w:t>
      </w:r>
    </w:p>
    <w:p>
      <w:pPr>
        <w:autoSpaceDE w:val="0"/>
        <w:autoSpaceDN w:val="0"/>
        <w:adjustRightInd w:val="0"/>
        <w:snapToGrid w:val="0"/>
        <w:spacing w:line="360" w:lineRule="auto"/>
        <w:ind w:firstLine="480" w:firstLineChars="200"/>
      </w:pPr>
      <w:r>
        <w:t>含本地查杀、云查杀能力，支持对僵尸、木马、蠕虫、文件病毒、恶意程序的检测和查杀能力；</w:t>
      </w:r>
    </w:p>
    <w:p>
      <w:pPr>
        <w:autoSpaceDE w:val="0"/>
        <w:autoSpaceDN w:val="0"/>
        <w:adjustRightInd w:val="0"/>
        <w:snapToGrid w:val="0"/>
        <w:spacing w:line="360" w:lineRule="auto"/>
        <w:ind w:firstLine="480" w:firstLineChars="200"/>
      </w:pPr>
      <w:r>
        <w:t>支持对服务器和PC 的漏洞修补功能，能够防护系统关键点、注册表改写、驱动加载、进程注入等恶意行为；</w:t>
      </w:r>
    </w:p>
    <w:p>
      <w:pPr>
        <w:autoSpaceDE w:val="0"/>
        <w:autoSpaceDN w:val="0"/>
        <w:adjustRightInd w:val="0"/>
        <w:snapToGrid w:val="0"/>
        <w:spacing w:line="360" w:lineRule="auto"/>
        <w:ind w:firstLine="480" w:firstLineChars="200"/>
      </w:pPr>
      <w:r>
        <w:t>提供5台服务器、5台PC的授权许可；</w:t>
      </w:r>
    </w:p>
    <w:p>
      <w:pPr>
        <w:autoSpaceDE w:val="0"/>
        <w:autoSpaceDN w:val="0"/>
        <w:adjustRightInd w:val="0"/>
        <w:snapToGrid w:val="0"/>
        <w:spacing w:line="360" w:lineRule="auto"/>
        <w:ind w:firstLine="480" w:firstLineChars="200"/>
        <w:rPr>
          <w:szCs w:val="21"/>
        </w:rPr>
      </w:pPr>
      <w:r>
        <w:rPr>
          <w:rFonts w:hint="eastAsia"/>
          <w:szCs w:val="21"/>
        </w:rPr>
        <w:t>提供三年软件维保升级服务。</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1.20、操作系统</w:t>
      </w:r>
    </w:p>
    <w:p>
      <w:pPr>
        <w:autoSpaceDE w:val="0"/>
        <w:autoSpaceDN w:val="0"/>
        <w:adjustRightInd w:val="0"/>
        <w:snapToGrid w:val="0"/>
        <w:spacing w:line="360" w:lineRule="auto"/>
        <w:ind w:firstLine="480" w:firstLineChars="200"/>
      </w:pPr>
      <w:r>
        <w:t>提供Windows或Windows server操作系统，根据实际情况定。</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1.21、播控台</w:t>
      </w:r>
    </w:p>
    <w:p>
      <w:pPr>
        <w:autoSpaceDE w:val="0"/>
        <w:autoSpaceDN w:val="0"/>
        <w:adjustRightInd w:val="0"/>
        <w:snapToGrid w:val="0"/>
        <w:spacing w:line="360" w:lineRule="auto"/>
        <w:ind w:firstLine="480" w:firstLineChars="200"/>
      </w:pPr>
      <w:r>
        <w:t>尺寸：桌面宽度600mm，长度台面深度3000mm，柜体台面高度750mm。</w:t>
      </w:r>
    </w:p>
    <w:p>
      <w:pPr>
        <w:autoSpaceDE w:val="0"/>
        <w:autoSpaceDN w:val="0"/>
        <w:adjustRightInd w:val="0"/>
        <w:snapToGrid w:val="0"/>
        <w:spacing w:line="360" w:lineRule="auto"/>
        <w:ind w:firstLine="480" w:firstLineChars="200"/>
      </w:pPr>
      <w:r>
        <w:t>静电喷粉设计工艺，表面光滑无毛刺，防腐。</w:t>
      </w:r>
    </w:p>
    <w:p>
      <w:pPr>
        <w:autoSpaceDE w:val="0"/>
        <w:autoSpaceDN w:val="0"/>
        <w:adjustRightInd w:val="0"/>
        <w:snapToGrid w:val="0"/>
        <w:spacing w:line="360" w:lineRule="auto"/>
        <w:ind w:firstLine="480" w:firstLineChars="200"/>
      </w:pPr>
      <w:r>
        <w:t>控制桌面为全平。</w:t>
      </w:r>
    </w:p>
    <w:p>
      <w:pPr>
        <w:autoSpaceDE w:val="0"/>
        <w:autoSpaceDN w:val="0"/>
        <w:adjustRightInd w:val="0"/>
        <w:snapToGrid w:val="0"/>
        <w:spacing w:line="360" w:lineRule="auto"/>
        <w:ind w:firstLine="480" w:firstLineChars="200"/>
      </w:pPr>
      <w:r>
        <w:t>台面配有推拉式键盘抽屉，最右边预留有鼠标线孔，动圈话筒线多余长度可放入该孔进行隐藏。</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1.22、机柜</w:t>
      </w:r>
    </w:p>
    <w:p>
      <w:pPr>
        <w:autoSpaceDE w:val="0"/>
        <w:autoSpaceDN w:val="0"/>
        <w:adjustRightInd w:val="0"/>
        <w:snapToGrid w:val="0"/>
        <w:spacing w:line="360" w:lineRule="auto"/>
        <w:ind w:firstLine="480" w:firstLineChars="200"/>
        <w:rPr>
          <w:szCs w:val="21"/>
        </w:rPr>
      </w:pPr>
      <w:r>
        <w:rPr>
          <w:szCs w:val="21"/>
        </w:rPr>
        <w:t>42U/尺寸800*1200*2000mm；</w:t>
      </w:r>
    </w:p>
    <w:p>
      <w:pPr>
        <w:autoSpaceDE w:val="0"/>
        <w:autoSpaceDN w:val="0"/>
        <w:adjustRightInd w:val="0"/>
        <w:snapToGrid w:val="0"/>
        <w:spacing w:line="360" w:lineRule="auto"/>
        <w:ind w:firstLine="480" w:firstLineChars="200"/>
        <w:rPr>
          <w:szCs w:val="21"/>
        </w:rPr>
      </w:pPr>
      <w:r>
        <w:rPr>
          <w:szCs w:val="21"/>
        </w:rPr>
        <w:t>至少支持1000KG的负载承重；</w:t>
      </w:r>
    </w:p>
    <w:p>
      <w:pPr>
        <w:autoSpaceDE w:val="0"/>
        <w:autoSpaceDN w:val="0"/>
        <w:adjustRightInd w:val="0"/>
        <w:snapToGrid w:val="0"/>
        <w:spacing w:line="360" w:lineRule="auto"/>
        <w:ind w:firstLine="480" w:firstLineChars="200"/>
        <w:rPr>
          <w:szCs w:val="21"/>
        </w:rPr>
      </w:pPr>
      <w:r>
        <w:rPr>
          <w:szCs w:val="21"/>
        </w:rPr>
        <w:t>配置多负载安全电源插座；</w:t>
      </w:r>
    </w:p>
    <w:p>
      <w:pPr>
        <w:autoSpaceDE w:val="0"/>
        <w:autoSpaceDN w:val="0"/>
        <w:adjustRightInd w:val="0"/>
        <w:snapToGrid w:val="0"/>
        <w:spacing w:line="360" w:lineRule="auto"/>
        <w:ind w:firstLine="480" w:firstLineChars="200"/>
        <w:rPr>
          <w:szCs w:val="21"/>
        </w:rPr>
      </w:pPr>
      <w:r>
        <w:rPr>
          <w:szCs w:val="21"/>
        </w:rPr>
        <w:t>20对L支架；</w:t>
      </w:r>
    </w:p>
    <w:p>
      <w:pPr>
        <w:autoSpaceDE w:val="0"/>
        <w:autoSpaceDN w:val="0"/>
        <w:adjustRightInd w:val="0"/>
        <w:snapToGrid w:val="0"/>
        <w:spacing w:line="360" w:lineRule="auto"/>
        <w:ind w:firstLine="480" w:firstLineChars="200"/>
        <w:rPr>
          <w:szCs w:val="21"/>
        </w:rPr>
      </w:pPr>
      <w:r>
        <w:rPr>
          <w:szCs w:val="21"/>
        </w:rPr>
        <w:t>风扇不少于2只；</w:t>
      </w:r>
    </w:p>
    <w:p>
      <w:pPr>
        <w:autoSpaceDE w:val="0"/>
        <w:autoSpaceDN w:val="0"/>
        <w:adjustRightInd w:val="0"/>
        <w:snapToGrid w:val="0"/>
        <w:spacing w:line="360" w:lineRule="auto"/>
        <w:ind w:firstLine="480" w:firstLineChars="200"/>
        <w:rPr>
          <w:szCs w:val="21"/>
        </w:rPr>
      </w:pPr>
      <w:r>
        <w:rPr>
          <w:szCs w:val="21"/>
        </w:rPr>
        <w:t>机柜能可靠接地；</w:t>
      </w:r>
    </w:p>
    <w:p>
      <w:pPr>
        <w:autoSpaceDE w:val="0"/>
        <w:autoSpaceDN w:val="0"/>
        <w:adjustRightInd w:val="0"/>
        <w:snapToGrid w:val="0"/>
        <w:spacing w:line="360" w:lineRule="auto"/>
        <w:ind w:firstLine="480" w:firstLineChars="200"/>
        <w:rPr>
          <w:szCs w:val="21"/>
        </w:rPr>
      </w:pPr>
      <w:r>
        <w:rPr>
          <w:szCs w:val="21"/>
        </w:rPr>
        <w:t>机柜前门为单开平面网孔门，后门为双开平面网孔门；</w:t>
      </w:r>
    </w:p>
    <w:p>
      <w:pPr>
        <w:autoSpaceDE w:val="0"/>
        <w:autoSpaceDN w:val="0"/>
        <w:adjustRightInd w:val="0"/>
        <w:snapToGrid w:val="0"/>
        <w:spacing w:line="360" w:lineRule="auto"/>
        <w:ind w:firstLine="480" w:firstLineChars="200"/>
        <w:rPr>
          <w:szCs w:val="21"/>
        </w:rPr>
      </w:pPr>
      <w:r>
        <w:rPr>
          <w:szCs w:val="21"/>
        </w:rPr>
        <w:t>角钢焊接安装底架；</w:t>
      </w:r>
    </w:p>
    <w:p>
      <w:pPr>
        <w:autoSpaceDE w:val="0"/>
        <w:autoSpaceDN w:val="0"/>
        <w:adjustRightInd w:val="0"/>
        <w:snapToGrid w:val="0"/>
        <w:spacing w:line="360" w:lineRule="auto"/>
        <w:ind w:firstLine="480" w:firstLineChars="200"/>
        <w:rPr>
          <w:szCs w:val="21"/>
        </w:rPr>
      </w:pPr>
      <w:r>
        <w:rPr>
          <w:szCs w:val="21"/>
        </w:rPr>
        <w:t>表面处理：酸洗，磷化后镀彩锌和静电喷涂塑粉；</w:t>
      </w:r>
    </w:p>
    <w:p>
      <w:pPr>
        <w:autoSpaceDE w:val="0"/>
        <w:autoSpaceDN w:val="0"/>
        <w:adjustRightInd w:val="0"/>
        <w:snapToGrid w:val="0"/>
        <w:spacing w:line="360" w:lineRule="auto"/>
        <w:ind w:firstLine="480" w:firstLineChars="200"/>
        <w:rPr>
          <w:szCs w:val="21"/>
        </w:rPr>
      </w:pPr>
      <w:r>
        <w:rPr>
          <w:szCs w:val="21"/>
        </w:rPr>
        <w:t>20位PDU安装，机柜后面安装，左右各1个。（支持功率不小于4kw）。</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1.23、辅材</w:t>
      </w:r>
    </w:p>
    <w:p>
      <w:pPr>
        <w:autoSpaceDE w:val="0"/>
        <w:autoSpaceDN w:val="0"/>
        <w:adjustRightInd w:val="0"/>
        <w:spacing w:line="360" w:lineRule="auto"/>
        <w:ind w:firstLine="420"/>
      </w:pPr>
      <w:r>
        <w:t>包括设备安装、连通、调试直至正常工作需要的所有线缆辅材等。</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1.24、安装调试</w:t>
      </w:r>
    </w:p>
    <w:p>
      <w:pPr>
        <w:autoSpaceDE w:val="0"/>
        <w:autoSpaceDN w:val="0"/>
        <w:adjustRightInd w:val="0"/>
        <w:spacing w:line="360" w:lineRule="auto"/>
        <w:ind w:firstLine="420"/>
      </w:pPr>
      <w:r>
        <w:t>包括设备安装、连通、调试直至正常工作需要的所有附属设备设施和相关服务等。</w:t>
      </w:r>
    </w:p>
    <w:p>
      <w:pPr>
        <w:pStyle w:val="4"/>
        <w:spacing w:line="360" w:lineRule="auto"/>
        <w:ind w:firstLine="562"/>
        <w:rPr>
          <w:rFonts w:ascii="宋体" w:hAnsi="宋体" w:eastAsia="宋体" w:cs="宋体"/>
          <w:b/>
          <w:bCs/>
          <w:sz w:val="28"/>
          <w:szCs w:val="28"/>
        </w:rPr>
      </w:pPr>
      <w:bookmarkStart w:id="106" w:name="_Toc117014025"/>
      <w:r>
        <w:rPr>
          <w:rFonts w:hint="eastAsia" w:ascii="宋体" w:hAnsi="宋体" w:eastAsia="宋体" w:cs="宋体"/>
          <w:b/>
          <w:bCs/>
          <w:sz w:val="28"/>
          <w:szCs w:val="28"/>
        </w:rPr>
        <w:t>二、城区重点公共区域设备</w:t>
      </w:r>
      <w:bookmarkEnd w:id="106"/>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2.1、多模音柱</w:t>
      </w:r>
    </w:p>
    <w:p>
      <w:pPr>
        <w:widowControl w:val="0"/>
        <w:autoSpaceDE w:val="0"/>
        <w:autoSpaceDN w:val="0"/>
        <w:adjustRightInd w:val="0"/>
        <w:snapToGrid w:val="0"/>
        <w:spacing w:line="360" w:lineRule="auto"/>
        <w:ind w:left="480"/>
      </w:pPr>
      <w:r>
        <w:rPr>
          <w:rFonts w:hint="eastAsia"/>
        </w:rPr>
        <w:t>（一）功能要求</w:t>
      </w:r>
    </w:p>
    <w:p>
      <w:pPr>
        <w:widowControl w:val="0"/>
        <w:autoSpaceDE w:val="0"/>
        <w:autoSpaceDN w:val="0"/>
        <w:adjustRightInd w:val="0"/>
        <w:snapToGrid w:val="0"/>
        <w:spacing w:line="360" w:lineRule="auto"/>
        <w:ind w:left="480"/>
      </w:pPr>
      <w:r>
        <w:t>1.可设置本设备IP地址、端口号等参数；</w:t>
      </w:r>
    </w:p>
    <w:p>
      <w:pPr>
        <w:widowControl w:val="0"/>
        <w:autoSpaceDE w:val="0"/>
        <w:autoSpaceDN w:val="0"/>
        <w:adjustRightInd w:val="0"/>
        <w:snapToGrid w:val="0"/>
        <w:spacing w:line="360" w:lineRule="auto"/>
        <w:ind w:left="480"/>
      </w:pPr>
      <w:r>
        <w:t>2.可接收来自上级调频信号、IP信号（有线和4G）、DTMB/DVB-C信号，实现远程广播控制功能；</w:t>
      </w:r>
    </w:p>
    <w:p>
      <w:pPr>
        <w:widowControl w:val="0"/>
        <w:autoSpaceDE w:val="0"/>
        <w:autoSpaceDN w:val="0"/>
        <w:adjustRightInd w:val="0"/>
        <w:snapToGrid w:val="0"/>
        <w:spacing w:line="360" w:lineRule="auto"/>
        <w:ind w:left="480"/>
      </w:pPr>
      <w:r>
        <w:t>3.支持管理平台远程配置工作参数（包括：音量、调频频率、DTMB频率等）；</w:t>
      </w:r>
    </w:p>
    <w:p>
      <w:pPr>
        <w:widowControl w:val="0"/>
        <w:autoSpaceDE w:val="0"/>
        <w:autoSpaceDN w:val="0"/>
        <w:adjustRightInd w:val="0"/>
        <w:snapToGrid w:val="0"/>
        <w:spacing w:line="360" w:lineRule="auto"/>
        <w:ind w:left="480"/>
      </w:pPr>
      <w:r>
        <w:t>4.集成国密算法芯片，具有验签功能。符合GD/J 081—2018 应急广播安全保护技术规范 数字签名；</w:t>
      </w:r>
    </w:p>
    <w:p>
      <w:pPr>
        <w:widowControl w:val="0"/>
        <w:autoSpaceDE w:val="0"/>
        <w:autoSpaceDN w:val="0"/>
        <w:adjustRightInd w:val="0"/>
        <w:snapToGrid w:val="0"/>
        <w:spacing w:line="360" w:lineRule="auto"/>
        <w:ind w:left="480"/>
      </w:pPr>
      <w:r>
        <w:t>5.支持</w:t>
      </w:r>
      <w:r>
        <w:rPr>
          <w:rFonts w:hint="eastAsia"/>
        </w:rPr>
        <w:t>I</w:t>
      </w:r>
      <w:r>
        <w:t>P</w:t>
      </w:r>
      <w:r>
        <w:rPr>
          <w:rFonts w:hint="eastAsia"/>
        </w:rPr>
        <w:t>、调频、或地面数字电视等</w:t>
      </w:r>
      <w:r>
        <w:t>2种以上</w:t>
      </w:r>
      <w:r>
        <w:rPr>
          <w:rFonts w:hint="eastAsia"/>
        </w:rPr>
        <w:t>不同</w:t>
      </w:r>
      <w:r>
        <w:t>信号同时激活工作，优先级可选；</w:t>
      </w:r>
    </w:p>
    <w:p>
      <w:pPr>
        <w:widowControl w:val="0"/>
        <w:autoSpaceDE w:val="0"/>
        <w:autoSpaceDN w:val="0"/>
        <w:adjustRightInd w:val="0"/>
        <w:snapToGrid w:val="0"/>
        <w:spacing w:line="360" w:lineRule="auto"/>
        <w:ind w:left="480"/>
      </w:pPr>
      <w:r>
        <w:t>6.配置通信模块支持回传功能；</w:t>
      </w:r>
    </w:p>
    <w:p>
      <w:pPr>
        <w:widowControl w:val="0"/>
        <w:autoSpaceDE w:val="0"/>
        <w:autoSpaceDN w:val="0"/>
        <w:adjustRightInd w:val="0"/>
        <w:snapToGrid w:val="0"/>
        <w:spacing w:line="360" w:lineRule="auto"/>
        <w:ind w:left="480"/>
      </w:pPr>
      <w:r>
        <w:t>7.具有防雷防水和短路保护功能。</w:t>
      </w:r>
    </w:p>
    <w:p>
      <w:pPr>
        <w:widowControl w:val="0"/>
        <w:autoSpaceDE w:val="0"/>
        <w:autoSpaceDN w:val="0"/>
        <w:adjustRightInd w:val="0"/>
        <w:snapToGrid w:val="0"/>
        <w:spacing w:line="360" w:lineRule="auto"/>
        <w:ind w:left="480"/>
      </w:pPr>
      <w:r>
        <w:rPr>
          <w:rFonts w:hint="eastAsia"/>
        </w:rPr>
        <w:t>（二）接口要求</w:t>
      </w:r>
    </w:p>
    <w:p>
      <w:pPr>
        <w:widowControl w:val="0"/>
        <w:autoSpaceDE w:val="0"/>
        <w:autoSpaceDN w:val="0"/>
        <w:adjustRightInd w:val="0"/>
        <w:snapToGrid w:val="0"/>
        <w:spacing w:line="360" w:lineRule="auto"/>
        <w:ind w:left="480"/>
      </w:pPr>
      <w:r>
        <w:t>1.FM输入接口：公制F母座，1路输入内置2分配，配置2个调谐器；</w:t>
      </w:r>
    </w:p>
    <w:p>
      <w:pPr>
        <w:widowControl w:val="0"/>
        <w:autoSpaceDE w:val="0"/>
        <w:autoSpaceDN w:val="0"/>
        <w:adjustRightInd w:val="0"/>
        <w:snapToGrid w:val="0"/>
        <w:spacing w:line="360" w:lineRule="auto"/>
        <w:ind w:left="480"/>
      </w:pPr>
      <w:r>
        <w:t>2.DTMB（DVB-C）或独立输入接口：英制 F 母座，1 路及以上；</w:t>
      </w:r>
    </w:p>
    <w:p>
      <w:pPr>
        <w:widowControl w:val="0"/>
        <w:autoSpaceDE w:val="0"/>
        <w:autoSpaceDN w:val="0"/>
        <w:adjustRightInd w:val="0"/>
        <w:snapToGrid w:val="0"/>
        <w:spacing w:line="360" w:lineRule="auto"/>
        <w:ind w:left="480"/>
      </w:pPr>
      <w:r>
        <w:t>3.网络接口：RJ45；</w:t>
      </w:r>
    </w:p>
    <w:p>
      <w:pPr>
        <w:widowControl w:val="0"/>
        <w:autoSpaceDE w:val="0"/>
        <w:autoSpaceDN w:val="0"/>
        <w:adjustRightInd w:val="0"/>
        <w:snapToGrid w:val="0"/>
        <w:spacing w:line="360" w:lineRule="auto"/>
        <w:ind w:left="480"/>
      </w:pPr>
      <w:r>
        <w:t>4.内置扬声器输出。</w:t>
      </w:r>
    </w:p>
    <w:p>
      <w:pPr>
        <w:widowControl w:val="0"/>
        <w:autoSpaceDE w:val="0"/>
        <w:autoSpaceDN w:val="0"/>
        <w:adjustRightInd w:val="0"/>
        <w:snapToGrid w:val="0"/>
        <w:spacing w:line="360" w:lineRule="auto"/>
        <w:ind w:left="480"/>
      </w:pPr>
      <w:r>
        <w:rPr>
          <w:rFonts w:hint="eastAsia"/>
        </w:rPr>
        <w:t>（三）性能要求</w:t>
      </w:r>
    </w:p>
    <w:p>
      <w:pPr>
        <w:widowControl w:val="0"/>
        <w:autoSpaceDE w:val="0"/>
        <w:autoSpaceDN w:val="0"/>
        <w:adjustRightInd w:val="0"/>
        <w:snapToGrid w:val="0"/>
        <w:spacing w:line="360" w:lineRule="auto"/>
        <w:ind w:left="480"/>
      </w:pPr>
      <w:r>
        <w:t>1.工作电压范围：AC:160V～260V；</w:t>
      </w:r>
    </w:p>
    <w:p>
      <w:pPr>
        <w:widowControl w:val="0"/>
        <w:autoSpaceDE w:val="0"/>
        <w:autoSpaceDN w:val="0"/>
        <w:adjustRightInd w:val="0"/>
        <w:snapToGrid w:val="0"/>
        <w:spacing w:line="360" w:lineRule="auto"/>
        <w:ind w:left="480"/>
      </w:pPr>
      <w:r>
        <w:t>2.FM输入频率范围：87MHz～108MHz；</w:t>
      </w:r>
    </w:p>
    <w:p>
      <w:pPr>
        <w:widowControl w:val="0"/>
        <w:autoSpaceDE w:val="0"/>
        <w:autoSpaceDN w:val="0"/>
        <w:adjustRightInd w:val="0"/>
        <w:snapToGrid w:val="0"/>
        <w:spacing w:line="360" w:lineRule="auto"/>
        <w:ind w:left="480"/>
      </w:pPr>
      <w:r>
        <w:t>3.DTMB/DVB-C频段：470MHz～802MHz。</w:t>
      </w:r>
    </w:p>
    <w:p>
      <w:pPr>
        <w:widowControl w:val="0"/>
        <w:autoSpaceDE w:val="0"/>
        <w:autoSpaceDN w:val="0"/>
        <w:adjustRightInd w:val="0"/>
        <w:snapToGrid w:val="0"/>
        <w:spacing w:line="360" w:lineRule="auto"/>
        <w:ind w:left="480"/>
      </w:pPr>
      <w:r>
        <w:t>4.额定输出功率：不小于25瓦。</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2.2、辅材</w:t>
      </w:r>
    </w:p>
    <w:p>
      <w:pPr>
        <w:autoSpaceDE w:val="0"/>
        <w:autoSpaceDN w:val="0"/>
        <w:adjustRightInd w:val="0"/>
        <w:spacing w:line="360" w:lineRule="auto"/>
        <w:ind w:firstLine="420"/>
      </w:pPr>
      <w:r>
        <w:t>包括设备安装、连通、调试直至正常工作需要的所有线缆辅材等。</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2.3、安装调试</w:t>
      </w:r>
    </w:p>
    <w:p>
      <w:pPr>
        <w:autoSpaceDE w:val="0"/>
        <w:autoSpaceDN w:val="0"/>
        <w:adjustRightInd w:val="0"/>
        <w:spacing w:line="360" w:lineRule="auto"/>
        <w:ind w:firstLine="420"/>
      </w:pPr>
      <w:r>
        <w:t>包括设备安装、连通、调试直至正常工作需要的所有附属设备设施和相关服务等。</w:t>
      </w:r>
    </w:p>
    <w:p>
      <w:pPr>
        <w:pStyle w:val="4"/>
        <w:spacing w:line="360" w:lineRule="auto"/>
        <w:ind w:firstLine="562"/>
        <w:rPr>
          <w:rFonts w:ascii="宋体" w:hAnsi="宋体" w:eastAsia="宋体" w:cs="宋体"/>
          <w:b/>
          <w:bCs/>
          <w:sz w:val="28"/>
          <w:szCs w:val="28"/>
        </w:rPr>
      </w:pPr>
      <w:bookmarkStart w:id="107" w:name="_Toc117014026"/>
      <w:r>
        <w:rPr>
          <w:rFonts w:hint="eastAsia" w:ascii="宋体" w:hAnsi="宋体" w:eastAsia="宋体" w:cs="宋体"/>
          <w:b/>
          <w:bCs/>
          <w:sz w:val="28"/>
          <w:szCs w:val="28"/>
        </w:rPr>
        <w:t>三、应急信息发布前置系统设备</w:t>
      </w:r>
      <w:bookmarkEnd w:id="107"/>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3.1、应急消息发布前置系统软件</w:t>
      </w:r>
    </w:p>
    <w:p>
      <w:pPr>
        <w:autoSpaceDE w:val="0"/>
        <w:autoSpaceDN w:val="0"/>
        <w:adjustRightInd w:val="0"/>
        <w:snapToGrid w:val="0"/>
        <w:spacing w:line="360" w:lineRule="auto"/>
        <w:ind w:firstLine="480" w:firstLineChars="200"/>
      </w:pPr>
      <w:r>
        <w:t>身份认证：确认前置系统访问者的身份的合法性，通过用户名密码以及USB_key等方式进行认证；</w:t>
      </w:r>
    </w:p>
    <w:p>
      <w:pPr>
        <w:autoSpaceDE w:val="0"/>
        <w:autoSpaceDN w:val="0"/>
        <w:adjustRightInd w:val="0"/>
        <w:snapToGrid w:val="0"/>
        <w:spacing w:line="360" w:lineRule="auto"/>
        <w:ind w:firstLine="480" w:firstLineChars="200"/>
      </w:pPr>
      <w:r>
        <w:t>用户管理：注册维护可使用系统的人员信息；</w:t>
      </w:r>
    </w:p>
    <w:p>
      <w:pPr>
        <w:autoSpaceDE w:val="0"/>
        <w:autoSpaceDN w:val="0"/>
        <w:adjustRightInd w:val="0"/>
        <w:snapToGrid w:val="0"/>
        <w:spacing w:line="360" w:lineRule="auto"/>
        <w:ind w:firstLine="480" w:firstLineChars="200"/>
      </w:pPr>
      <w:r>
        <w:t>权限管理：根据实际业务为不同的用户分配不同的权限；</w:t>
      </w:r>
    </w:p>
    <w:p>
      <w:pPr>
        <w:autoSpaceDE w:val="0"/>
        <w:autoSpaceDN w:val="0"/>
        <w:adjustRightInd w:val="0"/>
        <w:snapToGrid w:val="0"/>
        <w:spacing w:line="360" w:lineRule="auto"/>
        <w:ind w:firstLine="480" w:firstLineChars="200"/>
      </w:pPr>
      <w:r>
        <w:t>信息录入：能够在本地进行应急信息的录入，包括预警内容、事件等级、覆盖区域等，并进行内容核对；</w:t>
      </w:r>
    </w:p>
    <w:p>
      <w:pPr>
        <w:autoSpaceDE w:val="0"/>
        <w:autoSpaceDN w:val="0"/>
        <w:adjustRightInd w:val="0"/>
        <w:snapToGrid w:val="0"/>
        <w:spacing w:line="360" w:lineRule="auto"/>
        <w:ind w:firstLine="480" w:firstLineChars="200"/>
      </w:pPr>
      <w:r>
        <w:t>信息提交：对录入信息进行核查及验证，完成后进行上传提交。对提交的内容调用USB 密码器进行签名保护， 数据格式符合GD/J083-2018 应急广播平台接口规范；</w:t>
      </w:r>
    </w:p>
    <w:p>
      <w:pPr>
        <w:autoSpaceDE w:val="0"/>
        <w:autoSpaceDN w:val="0"/>
        <w:adjustRightInd w:val="0"/>
        <w:snapToGrid w:val="0"/>
        <w:spacing w:line="360" w:lineRule="auto"/>
        <w:ind w:firstLine="480" w:firstLineChars="200"/>
      </w:pPr>
      <w:r>
        <w:t>结果反馈：应急信息提交结果能够返回前置系统，使得前置机使用者能够看到所提交应急信息的执行响应情况；</w:t>
      </w:r>
    </w:p>
    <w:p>
      <w:pPr>
        <w:autoSpaceDE w:val="0"/>
        <w:autoSpaceDN w:val="0"/>
        <w:adjustRightInd w:val="0"/>
        <w:snapToGrid w:val="0"/>
        <w:spacing w:line="360" w:lineRule="auto"/>
        <w:ind w:firstLine="480" w:firstLineChars="200"/>
      </w:pPr>
      <w:r>
        <w:t>操作日志：能够查询本前置系统所有的操作日志，包括用户登录信息、信息上传信息；</w:t>
      </w:r>
    </w:p>
    <w:p>
      <w:pPr>
        <w:autoSpaceDE w:val="0"/>
        <w:autoSpaceDN w:val="0"/>
        <w:adjustRightInd w:val="0"/>
        <w:snapToGrid w:val="0"/>
        <w:spacing w:line="360" w:lineRule="auto"/>
        <w:ind w:firstLine="480" w:firstLineChars="200"/>
      </w:pPr>
      <w:r>
        <w:t>附属支撑：支持文字、图片、音视频等多种方式应急信息接入及发布；支持应急广播发布结果以数据、图表等多种方式查看及导出。</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3.2、USB 密码器</w:t>
      </w:r>
    </w:p>
    <w:p>
      <w:pPr>
        <w:autoSpaceDE w:val="0"/>
        <w:autoSpaceDN w:val="0"/>
        <w:adjustRightInd w:val="0"/>
        <w:snapToGrid w:val="0"/>
        <w:spacing w:line="360" w:lineRule="auto"/>
        <w:ind w:firstLine="480" w:firstLineChars="200"/>
      </w:pPr>
      <w:r>
        <w:t>支持应急广播专用国产密码算法短证书应用；</w:t>
      </w:r>
    </w:p>
    <w:p>
      <w:pPr>
        <w:autoSpaceDE w:val="0"/>
        <w:autoSpaceDN w:val="0"/>
        <w:adjustRightInd w:val="0"/>
        <w:snapToGrid w:val="0"/>
        <w:spacing w:line="360" w:lineRule="auto"/>
        <w:ind w:firstLine="480" w:firstLineChars="200"/>
      </w:pPr>
      <w:r>
        <w:t>支对应急广播消息进行签名保护，支持可信证书列表，并实现基于此可信证书列表的消息验证；</w:t>
      </w:r>
    </w:p>
    <w:p>
      <w:pPr>
        <w:autoSpaceDE w:val="0"/>
        <w:autoSpaceDN w:val="0"/>
        <w:adjustRightInd w:val="0"/>
        <w:snapToGrid w:val="0"/>
        <w:spacing w:line="360" w:lineRule="auto"/>
        <w:ind w:firstLine="480" w:firstLineChars="200"/>
      </w:pPr>
      <w:r>
        <w:t>支持国产密码算法和通用密码算法的并行应用,支持国产SM1/SM4 等算法；支持国产SM3 和通用SHA1/SHA256 等算法；支持国产SM2和通用RSA(1024 和2048)等算法；</w:t>
      </w:r>
    </w:p>
    <w:p>
      <w:pPr>
        <w:autoSpaceDE w:val="0"/>
        <w:autoSpaceDN w:val="0"/>
        <w:adjustRightInd w:val="0"/>
        <w:snapToGrid w:val="0"/>
        <w:spacing w:line="360" w:lineRule="auto"/>
        <w:ind w:firstLine="480" w:firstLineChars="200"/>
      </w:pPr>
      <w:r>
        <w:t>采用国家密码管理局批准的硬件芯片实现各类密码算法，保证算法的高安全性，采用WNG8物理噪声源芯片产生高质量的真随机数作为密钥，保证密钥的高强度；</w:t>
      </w:r>
    </w:p>
    <w:p>
      <w:pPr>
        <w:autoSpaceDE w:val="0"/>
        <w:autoSpaceDN w:val="0"/>
        <w:adjustRightInd w:val="0"/>
        <w:snapToGrid w:val="0"/>
        <w:spacing w:line="360" w:lineRule="auto"/>
        <w:ind w:firstLine="480" w:firstLineChars="200"/>
      </w:pPr>
      <w:r>
        <w:t>采用的数字证书和数字签名技术符合GD/J《应急广播安全保护技术规范 数字签名》的要求。</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3.3、交换机</w:t>
      </w:r>
    </w:p>
    <w:p>
      <w:pPr>
        <w:autoSpaceDE w:val="0"/>
        <w:autoSpaceDN w:val="0"/>
        <w:adjustRightInd w:val="0"/>
        <w:spacing w:line="360" w:lineRule="auto"/>
        <w:ind w:firstLine="210"/>
      </w:pPr>
      <w:r>
        <w:rPr>
          <w:rFonts w:hint="eastAsia"/>
        </w:rPr>
        <w:t>支持不少于</w:t>
      </w:r>
      <w:r>
        <w:t xml:space="preserve"> 24 个 10/100/1000BASE-T 电口；</w:t>
      </w:r>
    </w:p>
    <w:p>
      <w:pPr>
        <w:autoSpaceDE w:val="0"/>
        <w:autoSpaceDN w:val="0"/>
        <w:adjustRightInd w:val="0"/>
        <w:spacing w:line="360" w:lineRule="auto"/>
        <w:ind w:firstLine="210"/>
      </w:pPr>
      <w:r>
        <w:rPr>
          <w:rFonts w:hint="eastAsia"/>
        </w:rPr>
        <w:t>支持不少于</w:t>
      </w:r>
      <w:r>
        <w:t xml:space="preserve"> 4 个 1000BASE-X SFP 端口；</w:t>
      </w:r>
    </w:p>
    <w:p>
      <w:pPr>
        <w:autoSpaceDE w:val="0"/>
        <w:autoSpaceDN w:val="0"/>
        <w:adjustRightInd w:val="0"/>
        <w:spacing w:line="360" w:lineRule="auto"/>
        <w:ind w:firstLine="210"/>
      </w:pPr>
      <w:r>
        <w:rPr>
          <w:rFonts w:hint="eastAsia"/>
        </w:rPr>
        <w:t>包转发率：不低于</w:t>
      </w:r>
      <w:r>
        <w:t xml:space="preserve"> 51Mpps/126Mpps；</w:t>
      </w:r>
    </w:p>
    <w:p>
      <w:pPr>
        <w:autoSpaceDE w:val="0"/>
        <w:autoSpaceDN w:val="0"/>
        <w:adjustRightInd w:val="0"/>
        <w:spacing w:line="360" w:lineRule="auto"/>
        <w:ind w:firstLine="210"/>
      </w:pPr>
      <w:r>
        <w:rPr>
          <w:rFonts w:hint="eastAsia"/>
        </w:rPr>
        <w:t>交换容量：不低于</w:t>
      </w:r>
      <w:r>
        <w:t xml:space="preserve"> 336Gbps/3.36Tbps。</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3.4、PC 工作站</w:t>
      </w:r>
    </w:p>
    <w:p>
      <w:pPr>
        <w:autoSpaceDE w:val="0"/>
        <w:autoSpaceDN w:val="0"/>
        <w:adjustRightInd w:val="0"/>
        <w:snapToGrid w:val="0"/>
        <w:spacing w:line="360" w:lineRule="auto"/>
        <w:ind w:firstLine="480" w:firstLineChars="200"/>
        <w:rPr>
          <w:szCs w:val="21"/>
        </w:rPr>
      </w:pPr>
      <w:r>
        <w:rPr>
          <w:szCs w:val="21"/>
        </w:rPr>
        <w:t>国产品牌台式机；</w:t>
      </w:r>
    </w:p>
    <w:p>
      <w:pPr>
        <w:autoSpaceDE w:val="0"/>
        <w:autoSpaceDN w:val="0"/>
        <w:adjustRightInd w:val="0"/>
        <w:snapToGrid w:val="0"/>
        <w:spacing w:line="360" w:lineRule="auto"/>
        <w:ind w:firstLine="480" w:firstLineChars="200"/>
        <w:rPr>
          <w:szCs w:val="21"/>
        </w:rPr>
      </w:pPr>
      <w:r>
        <w:rPr>
          <w:szCs w:val="21"/>
        </w:rPr>
        <w:t>CPU:不低于3.6GHz；</w:t>
      </w:r>
    </w:p>
    <w:p>
      <w:pPr>
        <w:autoSpaceDE w:val="0"/>
        <w:autoSpaceDN w:val="0"/>
        <w:adjustRightInd w:val="0"/>
        <w:snapToGrid w:val="0"/>
        <w:spacing w:line="360" w:lineRule="auto"/>
        <w:ind w:firstLine="480" w:firstLineChars="200"/>
        <w:rPr>
          <w:szCs w:val="21"/>
        </w:rPr>
      </w:pPr>
      <w:r>
        <w:rPr>
          <w:szCs w:val="21"/>
        </w:rPr>
        <w:t>内存：不低于8GB DDR4；</w:t>
      </w:r>
    </w:p>
    <w:p>
      <w:pPr>
        <w:autoSpaceDE w:val="0"/>
        <w:autoSpaceDN w:val="0"/>
        <w:adjustRightInd w:val="0"/>
        <w:snapToGrid w:val="0"/>
        <w:spacing w:line="360" w:lineRule="auto"/>
        <w:ind w:firstLine="480" w:firstLineChars="200"/>
        <w:rPr>
          <w:szCs w:val="21"/>
        </w:rPr>
      </w:pPr>
      <w:r>
        <w:rPr>
          <w:szCs w:val="21"/>
        </w:rPr>
        <w:t>硬盘：不少于1TB；</w:t>
      </w:r>
    </w:p>
    <w:p>
      <w:pPr>
        <w:autoSpaceDE w:val="0"/>
        <w:autoSpaceDN w:val="0"/>
        <w:adjustRightInd w:val="0"/>
        <w:snapToGrid w:val="0"/>
        <w:spacing w:line="360" w:lineRule="auto"/>
        <w:ind w:firstLine="480" w:firstLineChars="200"/>
        <w:rPr>
          <w:szCs w:val="21"/>
        </w:rPr>
      </w:pPr>
      <w:r>
        <w:rPr>
          <w:szCs w:val="21"/>
        </w:rPr>
        <w:t>显卡：</w:t>
      </w:r>
      <w:r>
        <w:rPr>
          <w:rFonts w:hint="eastAsia"/>
          <w:szCs w:val="21"/>
        </w:rPr>
        <w:t>独立</w:t>
      </w:r>
      <w:r>
        <w:rPr>
          <w:szCs w:val="21"/>
        </w:rPr>
        <w:t>显卡；</w:t>
      </w:r>
    </w:p>
    <w:p>
      <w:pPr>
        <w:autoSpaceDE w:val="0"/>
        <w:autoSpaceDN w:val="0"/>
        <w:adjustRightInd w:val="0"/>
        <w:snapToGrid w:val="0"/>
        <w:spacing w:line="360" w:lineRule="auto"/>
        <w:ind w:firstLine="480" w:firstLineChars="200"/>
        <w:rPr>
          <w:szCs w:val="21"/>
        </w:rPr>
      </w:pPr>
      <w:r>
        <w:rPr>
          <w:szCs w:val="21"/>
        </w:rPr>
        <w:t>显示器：液晶不小于27英寸；</w:t>
      </w:r>
    </w:p>
    <w:p>
      <w:pPr>
        <w:autoSpaceDE w:val="0"/>
        <w:autoSpaceDN w:val="0"/>
        <w:adjustRightInd w:val="0"/>
        <w:snapToGrid w:val="0"/>
        <w:spacing w:line="360" w:lineRule="auto"/>
        <w:ind w:firstLine="480" w:firstLineChars="200"/>
        <w:rPr>
          <w:szCs w:val="21"/>
        </w:rPr>
      </w:pPr>
      <w:r>
        <w:rPr>
          <w:szCs w:val="21"/>
        </w:rPr>
        <w:t>含Windows 操作系统；</w:t>
      </w:r>
    </w:p>
    <w:p>
      <w:pPr>
        <w:autoSpaceDE w:val="0"/>
        <w:autoSpaceDN w:val="0"/>
        <w:adjustRightInd w:val="0"/>
        <w:snapToGrid w:val="0"/>
        <w:spacing w:line="360" w:lineRule="auto"/>
        <w:ind w:firstLine="480" w:firstLineChars="200"/>
        <w:rPr>
          <w:szCs w:val="21"/>
        </w:rPr>
      </w:pPr>
      <w:r>
        <w:rPr>
          <w:szCs w:val="21"/>
        </w:rPr>
        <w:t>含USB 鼠标键盘。</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3.5、IP 话筒</w:t>
      </w:r>
    </w:p>
    <w:p>
      <w:pPr>
        <w:autoSpaceDE w:val="0"/>
        <w:autoSpaceDN w:val="0"/>
        <w:adjustRightInd w:val="0"/>
        <w:snapToGrid w:val="0"/>
        <w:spacing w:line="360" w:lineRule="auto"/>
        <w:ind w:firstLine="480" w:firstLineChars="200"/>
      </w:pPr>
      <w:r>
        <w:t>支持实时应急播出；</w:t>
      </w:r>
    </w:p>
    <w:p>
      <w:pPr>
        <w:autoSpaceDE w:val="0"/>
        <w:autoSpaceDN w:val="0"/>
        <w:adjustRightInd w:val="0"/>
        <w:snapToGrid w:val="0"/>
        <w:spacing w:line="360" w:lineRule="auto"/>
        <w:ind w:firstLine="480" w:firstLineChars="200"/>
      </w:pPr>
      <w:r>
        <w:t>支持按优先级广播，紧急广播优先播出；</w:t>
      </w:r>
    </w:p>
    <w:p>
      <w:pPr>
        <w:autoSpaceDE w:val="0"/>
        <w:autoSpaceDN w:val="0"/>
        <w:adjustRightInd w:val="0"/>
        <w:snapToGrid w:val="0"/>
        <w:spacing w:line="360" w:lineRule="auto"/>
        <w:ind w:firstLine="480" w:firstLineChars="200"/>
      </w:pPr>
      <w:r>
        <w:t>支持分区域广播；</w:t>
      </w:r>
    </w:p>
    <w:p>
      <w:pPr>
        <w:autoSpaceDE w:val="0"/>
        <w:autoSpaceDN w:val="0"/>
        <w:adjustRightInd w:val="0"/>
        <w:snapToGrid w:val="0"/>
        <w:spacing w:line="360" w:lineRule="auto"/>
        <w:ind w:firstLine="480" w:firstLineChars="200"/>
      </w:pPr>
      <w:r>
        <w:t>支持保存不少于40条播出记录；</w:t>
      </w:r>
    </w:p>
    <w:p>
      <w:pPr>
        <w:autoSpaceDE w:val="0"/>
        <w:autoSpaceDN w:val="0"/>
        <w:adjustRightInd w:val="0"/>
        <w:snapToGrid w:val="0"/>
        <w:spacing w:line="360" w:lineRule="auto"/>
        <w:ind w:firstLine="480" w:firstLineChars="200"/>
      </w:pPr>
      <w:r>
        <w:t>支持设置屏幕锁定密码，保证控制系统安全；</w:t>
      </w:r>
    </w:p>
    <w:p>
      <w:pPr>
        <w:autoSpaceDE w:val="0"/>
        <w:autoSpaceDN w:val="0"/>
        <w:adjustRightInd w:val="0"/>
        <w:snapToGrid w:val="0"/>
        <w:spacing w:line="360" w:lineRule="auto"/>
        <w:ind w:firstLine="480" w:firstLineChars="200"/>
      </w:pPr>
      <w:r>
        <w:t>内置监听扬声器，高保真信号源监听；</w:t>
      </w:r>
    </w:p>
    <w:p>
      <w:pPr>
        <w:autoSpaceDE w:val="0"/>
        <w:autoSpaceDN w:val="0"/>
        <w:adjustRightInd w:val="0"/>
        <w:snapToGrid w:val="0"/>
        <w:spacing w:line="360" w:lineRule="auto"/>
        <w:ind w:firstLine="480" w:firstLineChars="200"/>
      </w:pPr>
      <w:r>
        <w:t>支持一键式开启应急/正常广播功能；</w:t>
      </w:r>
    </w:p>
    <w:p>
      <w:pPr>
        <w:autoSpaceDE w:val="0"/>
        <w:autoSpaceDN w:val="0"/>
        <w:adjustRightInd w:val="0"/>
        <w:snapToGrid w:val="0"/>
        <w:spacing w:line="360" w:lineRule="auto"/>
        <w:ind w:firstLine="480" w:firstLineChars="200"/>
      </w:pPr>
      <w:r>
        <w:t>应急广播优先级可自定义选择（上级优先/下级优先）功能；</w:t>
      </w:r>
    </w:p>
    <w:p>
      <w:pPr>
        <w:autoSpaceDE w:val="0"/>
        <w:autoSpaceDN w:val="0"/>
        <w:adjustRightInd w:val="0"/>
        <w:snapToGrid w:val="0"/>
        <w:spacing w:line="360" w:lineRule="auto"/>
        <w:ind w:firstLine="480" w:firstLineChars="200"/>
      </w:pPr>
      <w:r>
        <w:t>具有监听输出音源功能，监听音量可调；</w:t>
      </w:r>
    </w:p>
    <w:p>
      <w:pPr>
        <w:autoSpaceDE w:val="0"/>
        <w:autoSpaceDN w:val="0"/>
        <w:adjustRightInd w:val="0"/>
        <w:snapToGrid w:val="0"/>
        <w:spacing w:line="360" w:lineRule="auto"/>
        <w:ind w:firstLine="480" w:firstLineChars="200"/>
      </w:pPr>
      <w:r>
        <w:t>具有一路话筒输入，一路音频输入接口，话筒和音频音量大小可调；</w:t>
      </w:r>
    </w:p>
    <w:p>
      <w:pPr>
        <w:autoSpaceDE w:val="0"/>
        <w:autoSpaceDN w:val="0"/>
        <w:adjustRightInd w:val="0"/>
        <w:snapToGrid w:val="0"/>
        <w:spacing w:line="360" w:lineRule="auto"/>
        <w:ind w:firstLine="480" w:firstLineChars="200"/>
      </w:pPr>
      <w:r>
        <w:t>系统逻辑码寻址操作功能；</w:t>
      </w:r>
    </w:p>
    <w:p>
      <w:pPr>
        <w:autoSpaceDE w:val="0"/>
        <w:autoSpaceDN w:val="0"/>
        <w:adjustRightInd w:val="0"/>
        <w:snapToGrid w:val="0"/>
        <w:spacing w:line="360" w:lineRule="auto"/>
        <w:ind w:firstLine="480" w:firstLineChars="200"/>
      </w:pPr>
      <w:r>
        <w:t>支持USB播放功能/升级；</w:t>
      </w:r>
    </w:p>
    <w:p>
      <w:pPr>
        <w:autoSpaceDE w:val="0"/>
        <w:autoSpaceDN w:val="0"/>
        <w:adjustRightInd w:val="0"/>
        <w:snapToGrid w:val="0"/>
        <w:spacing w:line="360" w:lineRule="auto"/>
        <w:ind w:firstLine="480" w:firstLineChars="200"/>
      </w:pPr>
      <w:r>
        <w:t>1路 USB 输入；</w:t>
      </w:r>
    </w:p>
    <w:p>
      <w:pPr>
        <w:autoSpaceDE w:val="0"/>
        <w:autoSpaceDN w:val="0"/>
        <w:adjustRightInd w:val="0"/>
        <w:snapToGrid w:val="0"/>
        <w:spacing w:line="360" w:lineRule="auto"/>
        <w:ind w:firstLine="480" w:firstLineChars="200"/>
      </w:pPr>
      <w:r>
        <w:t>1组音频输入：非平衡立体声音频， RCA/3.5mm接口；</w:t>
      </w:r>
    </w:p>
    <w:p>
      <w:pPr>
        <w:autoSpaceDE w:val="0"/>
        <w:autoSpaceDN w:val="0"/>
        <w:adjustRightInd w:val="0"/>
        <w:snapToGrid w:val="0"/>
        <w:spacing w:line="360" w:lineRule="auto"/>
        <w:ind w:firstLine="480" w:firstLineChars="200"/>
      </w:pPr>
      <w:r>
        <w:t>2个话筒接口：支持 2路话筒插入（1个通道）；</w:t>
      </w:r>
    </w:p>
    <w:p>
      <w:pPr>
        <w:autoSpaceDE w:val="0"/>
        <w:autoSpaceDN w:val="0"/>
        <w:adjustRightInd w:val="0"/>
        <w:snapToGrid w:val="0"/>
        <w:spacing w:line="360" w:lineRule="auto"/>
        <w:ind w:firstLine="480" w:firstLineChars="200"/>
      </w:pPr>
      <w:r>
        <w:t>IP 输出：UDP 协议，10/100M 网口。</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3.6、监听音箱</w:t>
      </w:r>
    </w:p>
    <w:p>
      <w:pPr>
        <w:autoSpaceDE w:val="0"/>
        <w:autoSpaceDN w:val="0"/>
        <w:adjustRightInd w:val="0"/>
        <w:snapToGrid w:val="0"/>
        <w:spacing w:line="360" w:lineRule="auto"/>
        <w:ind w:firstLine="480" w:firstLineChars="200"/>
      </w:pPr>
      <w:r>
        <w:t>集接收、放大、播放功能于一体；</w:t>
      </w:r>
    </w:p>
    <w:p>
      <w:pPr>
        <w:autoSpaceDE w:val="0"/>
        <w:autoSpaceDN w:val="0"/>
        <w:adjustRightInd w:val="0"/>
        <w:snapToGrid w:val="0"/>
        <w:spacing w:line="360" w:lineRule="auto"/>
        <w:ind w:firstLine="480" w:firstLineChars="200"/>
      </w:pPr>
      <w:r>
        <w:t>内置不小于4 寸全频扬声器，音量连续可调；</w:t>
      </w:r>
    </w:p>
    <w:p>
      <w:pPr>
        <w:autoSpaceDE w:val="0"/>
        <w:autoSpaceDN w:val="0"/>
        <w:adjustRightInd w:val="0"/>
        <w:snapToGrid w:val="0"/>
        <w:spacing w:line="360" w:lineRule="auto"/>
        <w:ind w:firstLine="480" w:firstLineChars="200"/>
      </w:pPr>
      <w:r>
        <w:t>采用环保木质外壳；</w:t>
      </w:r>
    </w:p>
    <w:p>
      <w:pPr>
        <w:autoSpaceDE w:val="0"/>
        <w:autoSpaceDN w:val="0"/>
        <w:adjustRightInd w:val="0"/>
        <w:snapToGrid w:val="0"/>
        <w:spacing w:line="360" w:lineRule="auto"/>
        <w:ind w:firstLine="480" w:firstLineChars="200"/>
      </w:pPr>
      <w:r>
        <w:t>RF输入：1路DVB-C或DTMB：F座（英制 75Ω）；</w:t>
      </w:r>
    </w:p>
    <w:p>
      <w:pPr>
        <w:autoSpaceDE w:val="0"/>
        <w:autoSpaceDN w:val="0"/>
        <w:adjustRightInd w:val="0"/>
        <w:snapToGrid w:val="0"/>
        <w:spacing w:line="360" w:lineRule="auto"/>
        <w:ind w:firstLine="480" w:firstLineChars="200"/>
      </w:pPr>
      <w:r>
        <w:t>IP 输入：RJ45百兆口；</w:t>
      </w:r>
    </w:p>
    <w:p>
      <w:pPr>
        <w:autoSpaceDE w:val="0"/>
        <w:autoSpaceDN w:val="0"/>
        <w:adjustRightInd w:val="0"/>
        <w:snapToGrid w:val="0"/>
        <w:spacing w:line="360" w:lineRule="auto"/>
        <w:ind w:firstLine="480" w:firstLineChars="200"/>
      </w:pPr>
      <w:r>
        <w:t>FM 输入接口：公制F母座，1路输入内置2分配，配置2个调谐器；</w:t>
      </w:r>
    </w:p>
    <w:p>
      <w:pPr>
        <w:autoSpaceDE w:val="0"/>
        <w:autoSpaceDN w:val="0"/>
        <w:adjustRightInd w:val="0"/>
        <w:snapToGrid w:val="0"/>
        <w:spacing w:line="360" w:lineRule="auto"/>
        <w:ind w:firstLine="480" w:firstLineChars="200"/>
      </w:pPr>
      <w:r>
        <w:t>接收模式：DVB-C/DTMB-T/IP/FM</w:t>
      </w:r>
    </w:p>
    <w:p>
      <w:pPr>
        <w:autoSpaceDE w:val="0"/>
        <w:autoSpaceDN w:val="0"/>
        <w:adjustRightInd w:val="0"/>
        <w:snapToGrid w:val="0"/>
        <w:spacing w:line="360" w:lineRule="auto"/>
        <w:ind w:firstLine="480" w:firstLineChars="200"/>
      </w:pPr>
      <w:r>
        <w:t>音频输出功率:≥10W；</w:t>
      </w:r>
    </w:p>
    <w:p>
      <w:pPr>
        <w:autoSpaceDE w:val="0"/>
        <w:autoSpaceDN w:val="0"/>
        <w:adjustRightInd w:val="0"/>
        <w:snapToGrid w:val="0"/>
        <w:spacing w:line="360" w:lineRule="auto"/>
        <w:ind w:firstLine="480" w:firstLineChars="200"/>
      </w:pPr>
      <w:r>
        <w:t>电源：AC220V±15%，50/60Hz。</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3.7、播控桌及机柜</w:t>
      </w:r>
    </w:p>
    <w:p>
      <w:pPr>
        <w:autoSpaceDE w:val="0"/>
        <w:autoSpaceDN w:val="0"/>
        <w:adjustRightInd w:val="0"/>
        <w:snapToGrid w:val="0"/>
        <w:spacing w:line="360" w:lineRule="auto"/>
        <w:ind w:firstLine="480" w:firstLineChars="200"/>
      </w:pPr>
      <w:r>
        <w:t>尺寸：桌面宽度600mm，长度台面深度1800mm，柜体台面高度750mm。</w:t>
      </w:r>
    </w:p>
    <w:p>
      <w:pPr>
        <w:autoSpaceDE w:val="0"/>
        <w:autoSpaceDN w:val="0"/>
        <w:adjustRightInd w:val="0"/>
        <w:snapToGrid w:val="0"/>
        <w:spacing w:line="360" w:lineRule="auto"/>
        <w:ind w:firstLine="480" w:firstLineChars="200"/>
      </w:pPr>
      <w:r>
        <w:t>静电喷粉设计工艺，表面光滑无毛刺，防腐。</w:t>
      </w:r>
    </w:p>
    <w:p>
      <w:pPr>
        <w:autoSpaceDE w:val="0"/>
        <w:autoSpaceDN w:val="0"/>
        <w:adjustRightInd w:val="0"/>
        <w:snapToGrid w:val="0"/>
        <w:spacing w:line="360" w:lineRule="auto"/>
        <w:ind w:firstLine="480" w:firstLineChars="200"/>
      </w:pPr>
      <w:r>
        <w:t>控制桌面为全平。</w:t>
      </w:r>
    </w:p>
    <w:p>
      <w:pPr>
        <w:autoSpaceDE w:val="0"/>
        <w:autoSpaceDN w:val="0"/>
        <w:adjustRightInd w:val="0"/>
        <w:snapToGrid w:val="0"/>
        <w:spacing w:line="360" w:lineRule="auto"/>
        <w:ind w:firstLine="480" w:firstLineChars="200"/>
      </w:pPr>
      <w:r>
        <w:t>台面配有推拉式键盘抽屉，最右边预留有鼠标线孔，动圈话筒线多余长度可放入该孔进行隐藏。</w:t>
      </w:r>
    </w:p>
    <w:p>
      <w:pPr>
        <w:autoSpaceDE w:val="0"/>
        <w:autoSpaceDN w:val="0"/>
        <w:adjustRightInd w:val="0"/>
        <w:snapToGrid w:val="0"/>
        <w:spacing w:line="360" w:lineRule="auto"/>
        <w:ind w:firstLine="480" w:firstLineChars="200"/>
      </w:pPr>
      <w:r>
        <w:t>播控桌台面下方自带机架式机柜。</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3.8、辅材</w:t>
      </w:r>
    </w:p>
    <w:p>
      <w:pPr>
        <w:autoSpaceDE w:val="0"/>
        <w:autoSpaceDN w:val="0"/>
        <w:adjustRightInd w:val="0"/>
        <w:spacing w:line="360" w:lineRule="auto"/>
        <w:ind w:firstLine="420"/>
      </w:pPr>
      <w:r>
        <w:t>包括设备安装、连通、调试直至正常工作需要的所有线缆辅材等。</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3.9、安装调试</w:t>
      </w:r>
    </w:p>
    <w:p>
      <w:pPr>
        <w:autoSpaceDE w:val="0"/>
        <w:autoSpaceDN w:val="0"/>
        <w:adjustRightInd w:val="0"/>
        <w:spacing w:line="360" w:lineRule="auto"/>
        <w:ind w:firstLine="420"/>
      </w:pPr>
      <w:r>
        <w:t>包括设备安装、连通、调试直至正常工作需要的所有附属设备设施和相关服务等。</w:t>
      </w:r>
    </w:p>
    <w:p>
      <w:pPr>
        <w:pStyle w:val="4"/>
        <w:spacing w:line="360" w:lineRule="auto"/>
        <w:ind w:firstLine="562"/>
        <w:rPr>
          <w:rFonts w:ascii="宋体" w:hAnsi="宋体" w:eastAsia="宋体" w:cs="宋体"/>
          <w:b/>
          <w:bCs/>
          <w:sz w:val="28"/>
          <w:szCs w:val="28"/>
        </w:rPr>
      </w:pPr>
      <w:bookmarkStart w:id="108" w:name="_Toc117014027"/>
      <w:r>
        <w:rPr>
          <w:rFonts w:hint="eastAsia" w:ascii="宋体" w:hAnsi="宋体" w:eastAsia="宋体" w:cs="宋体"/>
          <w:b/>
          <w:bCs/>
          <w:sz w:val="28"/>
          <w:szCs w:val="28"/>
        </w:rPr>
        <w:t>四、县级融媒体中心（广播电视台）应急广播对接系统设备</w:t>
      </w:r>
      <w:bookmarkEnd w:id="108"/>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4.1、广播电视台应急广播适配器</w:t>
      </w:r>
    </w:p>
    <w:p>
      <w:pPr>
        <w:autoSpaceDE w:val="0"/>
        <w:autoSpaceDN w:val="0"/>
        <w:adjustRightInd w:val="0"/>
        <w:snapToGrid w:val="0"/>
        <w:spacing w:line="360" w:lineRule="auto"/>
        <w:ind w:firstLine="480" w:firstLineChars="200"/>
      </w:pPr>
      <w:r>
        <w:t>适配器具备与县级应急广播平台对接功能，接口符合GD/J 083—2018 应急广播平台接口规范；</w:t>
      </w:r>
    </w:p>
    <w:p>
      <w:pPr>
        <w:autoSpaceDE w:val="0"/>
        <w:autoSpaceDN w:val="0"/>
        <w:adjustRightInd w:val="0"/>
        <w:snapToGrid w:val="0"/>
        <w:spacing w:line="360" w:lineRule="auto"/>
        <w:ind w:firstLine="480" w:firstLineChars="200"/>
      </w:pPr>
      <w:r>
        <w:t>应急消息接收：可接收解析适配省级应急广播调度控制平台推送的应急信息；应急消息验证：对接收到的应急信息要进行数字签名认证。以保证接收信息的有效性；</w:t>
      </w:r>
    </w:p>
    <w:p>
      <w:pPr>
        <w:autoSpaceDE w:val="0"/>
        <w:autoSpaceDN w:val="0"/>
        <w:adjustRightInd w:val="0"/>
        <w:snapToGrid w:val="0"/>
        <w:spacing w:line="360" w:lineRule="auto"/>
        <w:ind w:firstLine="480" w:firstLineChars="200"/>
      </w:pPr>
      <w:r>
        <w:t>应急消息提示：接收到有效的应急信息后提示用户；接收到非有效的信息后要给出安全报警提示；</w:t>
      </w:r>
    </w:p>
    <w:p>
      <w:pPr>
        <w:autoSpaceDE w:val="0"/>
        <w:autoSpaceDN w:val="0"/>
        <w:adjustRightInd w:val="0"/>
        <w:snapToGrid w:val="0"/>
        <w:spacing w:line="360" w:lineRule="auto"/>
        <w:ind w:firstLine="480" w:firstLineChars="200"/>
      </w:pPr>
      <w:r>
        <w:t>确认反馈：接收到应急信息后按照接口规范中规定的通用反馈格式将结果数据返回给调度控制平台；</w:t>
      </w:r>
    </w:p>
    <w:p>
      <w:pPr>
        <w:autoSpaceDE w:val="0"/>
        <w:autoSpaceDN w:val="0"/>
        <w:adjustRightInd w:val="0"/>
        <w:snapToGrid w:val="0"/>
        <w:spacing w:line="360" w:lineRule="auto"/>
        <w:ind w:firstLine="480" w:firstLineChars="200"/>
      </w:pPr>
      <w:r>
        <w:t>信息提交系统：对录入信息进行核查及验证，完成后进行上传提交。</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4.2、USB 密码器</w:t>
      </w:r>
    </w:p>
    <w:p>
      <w:pPr>
        <w:autoSpaceDE w:val="0"/>
        <w:autoSpaceDN w:val="0"/>
        <w:adjustRightInd w:val="0"/>
        <w:snapToGrid w:val="0"/>
        <w:spacing w:line="360" w:lineRule="auto"/>
        <w:ind w:firstLine="480" w:firstLineChars="200"/>
      </w:pPr>
      <w:r>
        <w:t>支持应急广播专用国产密码算法短证书应用；</w:t>
      </w:r>
    </w:p>
    <w:p>
      <w:pPr>
        <w:autoSpaceDE w:val="0"/>
        <w:autoSpaceDN w:val="0"/>
        <w:adjustRightInd w:val="0"/>
        <w:snapToGrid w:val="0"/>
        <w:spacing w:line="360" w:lineRule="auto"/>
        <w:ind w:firstLine="480" w:firstLineChars="200"/>
      </w:pPr>
      <w:r>
        <w:t>支对应急广播消息进行签名保护，支持可信证书列表，并实现基于此可信证书列表的消息验证；</w:t>
      </w:r>
    </w:p>
    <w:p>
      <w:pPr>
        <w:autoSpaceDE w:val="0"/>
        <w:autoSpaceDN w:val="0"/>
        <w:adjustRightInd w:val="0"/>
        <w:snapToGrid w:val="0"/>
        <w:spacing w:line="360" w:lineRule="auto"/>
        <w:ind w:firstLine="480" w:firstLineChars="200"/>
      </w:pPr>
      <w:r>
        <w:t>支持国产密码算法和通用密码算法的并行应用,支持国产SM1/SM4 等算法；支持国产SM3 和通用SHA1/SHA256 等算法；支持国产SM2和通用RSA(1024 和2048)等算法；</w:t>
      </w:r>
    </w:p>
    <w:p>
      <w:pPr>
        <w:autoSpaceDE w:val="0"/>
        <w:autoSpaceDN w:val="0"/>
        <w:adjustRightInd w:val="0"/>
        <w:snapToGrid w:val="0"/>
        <w:spacing w:line="360" w:lineRule="auto"/>
        <w:ind w:firstLine="480" w:firstLineChars="200"/>
      </w:pPr>
      <w:r>
        <w:t>采用国家密码管理局批准的硬件芯片实现各类密码算法，保证算法的高安全性，采用WNG8物理噪声源芯片产生高质量的真随机数作为密钥，保证密钥的高强度；</w:t>
      </w:r>
    </w:p>
    <w:p>
      <w:pPr>
        <w:autoSpaceDE w:val="0"/>
        <w:autoSpaceDN w:val="0"/>
        <w:adjustRightInd w:val="0"/>
        <w:snapToGrid w:val="0"/>
        <w:spacing w:line="360" w:lineRule="auto"/>
        <w:ind w:firstLine="480" w:firstLineChars="200"/>
      </w:pPr>
      <w:r>
        <w:t>采用的数字证书和数字签名技术符合GD/J《应急广播安全保护技术规范 数字签名》的要求。</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4.3、交换机</w:t>
      </w:r>
    </w:p>
    <w:p>
      <w:pPr>
        <w:autoSpaceDE w:val="0"/>
        <w:autoSpaceDN w:val="0"/>
        <w:adjustRightInd w:val="0"/>
        <w:spacing w:line="360" w:lineRule="auto"/>
        <w:ind w:firstLine="210"/>
      </w:pPr>
      <w:r>
        <w:rPr>
          <w:rFonts w:hint="eastAsia"/>
        </w:rPr>
        <w:t>支持不少于</w:t>
      </w:r>
      <w:r>
        <w:t xml:space="preserve"> 24 个 10/100/1000BASE-T 电口；</w:t>
      </w:r>
    </w:p>
    <w:p>
      <w:pPr>
        <w:autoSpaceDE w:val="0"/>
        <w:autoSpaceDN w:val="0"/>
        <w:adjustRightInd w:val="0"/>
        <w:spacing w:line="360" w:lineRule="auto"/>
        <w:ind w:firstLine="210"/>
      </w:pPr>
      <w:r>
        <w:rPr>
          <w:rFonts w:hint="eastAsia"/>
        </w:rPr>
        <w:t>支持不少于</w:t>
      </w:r>
      <w:r>
        <w:t xml:space="preserve"> 4 个 1000BASE-X SFP 端口；</w:t>
      </w:r>
    </w:p>
    <w:p>
      <w:pPr>
        <w:autoSpaceDE w:val="0"/>
        <w:autoSpaceDN w:val="0"/>
        <w:adjustRightInd w:val="0"/>
        <w:spacing w:line="360" w:lineRule="auto"/>
        <w:ind w:firstLine="210"/>
      </w:pPr>
      <w:r>
        <w:rPr>
          <w:rFonts w:hint="eastAsia"/>
        </w:rPr>
        <w:t>包转发率：不低于</w:t>
      </w:r>
      <w:r>
        <w:t xml:space="preserve"> 51Mpps/126Mpps；</w:t>
      </w:r>
    </w:p>
    <w:p>
      <w:pPr>
        <w:autoSpaceDE w:val="0"/>
        <w:autoSpaceDN w:val="0"/>
        <w:adjustRightInd w:val="0"/>
        <w:spacing w:line="360" w:lineRule="auto"/>
        <w:ind w:firstLine="210"/>
      </w:pPr>
      <w:r>
        <w:rPr>
          <w:rFonts w:hint="eastAsia"/>
        </w:rPr>
        <w:t>交换容量：不低于</w:t>
      </w:r>
      <w:r>
        <w:t xml:space="preserve"> 336Gbps/3.36Tbps。</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4.4、PC 工作站</w:t>
      </w:r>
    </w:p>
    <w:p>
      <w:pPr>
        <w:autoSpaceDE w:val="0"/>
        <w:autoSpaceDN w:val="0"/>
        <w:adjustRightInd w:val="0"/>
        <w:snapToGrid w:val="0"/>
        <w:spacing w:line="360" w:lineRule="auto"/>
        <w:ind w:firstLine="480" w:firstLineChars="200"/>
        <w:rPr>
          <w:szCs w:val="21"/>
        </w:rPr>
      </w:pPr>
      <w:r>
        <w:rPr>
          <w:szCs w:val="21"/>
        </w:rPr>
        <w:t>国产品牌台式机；</w:t>
      </w:r>
    </w:p>
    <w:p>
      <w:pPr>
        <w:autoSpaceDE w:val="0"/>
        <w:autoSpaceDN w:val="0"/>
        <w:adjustRightInd w:val="0"/>
        <w:snapToGrid w:val="0"/>
        <w:spacing w:line="360" w:lineRule="auto"/>
        <w:ind w:firstLine="480" w:firstLineChars="200"/>
        <w:rPr>
          <w:szCs w:val="21"/>
        </w:rPr>
      </w:pPr>
      <w:r>
        <w:rPr>
          <w:szCs w:val="21"/>
        </w:rPr>
        <w:t>CPU:不低于3.6GHz；</w:t>
      </w:r>
    </w:p>
    <w:p>
      <w:pPr>
        <w:autoSpaceDE w:val="0"/>
        <w:autoSpaceDN w:val="0"/>
        <w:adjustRightInd w:val="0"/>
        <w:snapToGrid w:val="0"/>
        <w:spacing w:line="360" w:lineRule="auto"/>
        <w:ind w:firstLine="480" w:firstLineChars="200"/>
        <w:rPr>
          <w:szCs w:val="21"/>
        </w:rPr>
      </w:pPr>
      <w:r>
        <w:rPr>
          <w:szCs w:val="21"/>
        </w:rPr>
        <w:t>内存：不低于8GB DDR4；</w:t>
      </w:r>
    </w:p>
    <w:p>
      <w:pPr>
        <w:autoSpaceDE w:val="0"/>
        <w:autoSpaceDN w:val="0"/>
        <w:adjustRightInd w:val="0"/>
        <w:snapToGrid w:val="0"/>
        <w:spacing w:line="360" w:lineRule="auto"/>
        <w:ind w:firstLine="480" w:firstLineChars="200"/>
        <w:rPr>
          <w:szCs w:val="21"/>
        </w:rPr>
      </w:pPr>
      <w:r>
        <w:rPr>
          <w:szCs w:val="21"/>
        </w:rPr>
        <w:t>硬盘：不少于1TB；</w:t>
      </w:r>
    </w:p>
    <w:p>
      <w:pPr>
        <w:autoSpaceDE w:val="0"/>
        <w:autoSpaceDN w:val="0"/>
        <w:adjustRightInd w:val="0"/>
        <w:snapToGrid w:val="0"/>
        <w:spacing w:line="360" w:lineRule="auto"/>
        <w:ind w:firstLine="480" w:firstLineChars="200"/>
        <w:rPr>
          <w:szCs w:val="21"/>
        </w:rPr>
      </w:pPr>
      <w:r>
        <w:rPr>
          <w:szCs w:val="21"/>
        </w:rPr>
        <w:t>显卡：</w:t>
      </w:r>
      <w:r>
        <w:rPr>
          <w:rFonts w:hint="eastAsia"/>
          <w:szCs w:val="21"/>
        </w:rPr>
        <w:t>独立</w:t>
      </w:r>
      <w:r>
        <w:rPr>
          <w:szCs w:val="21"/>
        </w:rPr>
        <w:t>显卡；</w:t>
      </w:r>
    </w:p>
    <w:p>
      <w:pPr>
        <w:autoSpaceDE w:val="0"/>
        <w:autoSpaceDN w:val="0"/>
        <w:adjustRightInd w:val="0"/>
        <w:snapToGrid w:val="0"/>
        <w:spacing w:line="360" w:lineRule="auto"/>
        <w:ind w:firstLine="480" w:firstLineChars="200"/>
        <w:rPr>
          <w:szCs w:val="21"/>
        </w:rPr>
      </w:pPr>
      <w:r>
        <w:rPr>
          <w:szCs w:val="21"/>
        </w:rPr>
        <w:t>显示器：液晶不小于27英寸；</w:t>
      </w:r>
    </w:p>
    <w:p>
      <w:pPr>
        <w:autoSpaceDE w:val="0"/>
        <w:autoSpaceDN w:val="0"/>
        <w:adjustRightInd w:val="0"/>
        <w:snapToGrid w:val="0"/>
        <w:spacing w:line="360" w:lineRule="auto"/>
        <w:ind w:firstLine="480" w:firstLineChars="200"/>
        <w:rPr>
          <w:szCs w:val="21"/>
        </w:rPr>
      </w:pPr>
      <w:r>
        <w:rPr>
          <w:szCs w:val="21"/>
        </w:rPr>
        <w:t>含Windows 操作系统；</w:t>
      </w:r>
    </w:p>
    <w:p>
      <w:pPr>
        <w:autoSpaceDE w:val="0"/>
        <w:autoSpaceDN w:val="0"/>
        <w:adjustRightInd w:val="0"/>
        <w:snapToGrid w:val="0"/>
        <w:spacing w:line="360" w:lineRule="auto"/>
        <w:ind w:firstLine="480" w:firstLineChars="200"/>
      </w:pPr>
      <w:r>
        <w:rPr>
          <w:szCs w:val="21"/>
        </w:rPr>
        <w:t>含USB 鼠标键盘</w:t>
      </w:r>
      <w:r>
        <w:t>。</w:t>
      </w:r>
    </w:p>
    <w:p>
      <w:pPr>
        <w:pStyle w:val="4"/>
        <w:spacing w:line="360" w:lineRule="auto"/>
        <w:ind w:firstLine="562"/>
        <w:rPr>
          <w:rFonts w:ascii="宋体" w:hAnsi="宋体" w:eastAsia="宋体" w:cs="宋体"/>
          <w:b/>
          <w:bCs/>
          <w:sz w:val="28"/>
          <w:szCs w:val="28"/>
        </w:rPr>
      </w:pPr>
      <w:bookmarkStart w:id="109" w:name="_Toc117014028"/>
      <w:r>
        <w:rPr>
          <w:rFonts w:hint="eastAsia" w:ascii="宋体" w:hAnsi="宋体" w:eastAsia="宋体" w:cs="宋体"/>
          <w:b/>
          <w:bCs/>
          <w:sz w:val="28"/>
          <w:szCs w:val="28"/>
        </w:rPr>
        <w:t>五、调频广播应急广播对接系统设备</w:t>
      </w:r>
      <w:bookmarkEnd w:id="109"/>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5.1、调频广播应急广播适配器</w:t>
      </w:r>
    </w:p>
    <w:p>
      <w:pPr>
        <w:autoSpaceDE w:val="0"/>
        <w:autoSpaceDN w:val="0"/>
        <w:adjustRightInd w:val="0"/>
        <w:snapToGrid w:val="0"/>
        <w:spacing w:line="360" w:lineRule="auto"/>
        <w:ind w:firstLine="480" w:firstLineChars="200"/>
      </w:pPr>
      <w:r>
        <w:t>满足《GD/J 083—2018 应急广播平台接口规范》、《GDJ 085-2018模拟调频应急广播技术规范》要求。</w:t>
      </w:r>
    </w:p>
    <w:p>
      <w:pPr>
        <w:autoSpaceDE w:val="0"/>
        <w:autoSpaceDN w:val="0"/>
        <w:adjustRightInd w:val="0"/>
        <w:snapToGrid w:val="0"/>
        <w:spacing w:line="360" w:lineRule="auto"/>
        <w:ind w:firstLine="480" w:firstLineChars="200"/>
      </w:pPr>
      <w:r>
        <w:t>1.应急广播平台接口功能要求</w:t>
      </w:r>
    </w:p>
    <w:p>
      <w:pPr>
        <w:autoSpaceDE w:val="0"/>
        <w:autoSpaceDN w:val="0"/>
        <w:adjustRightInd w:val="0"/>
        <w:snapToGrid w:val="0"/>
        <w:spacing w:line="360" w:lineRule="auto"/>
        <w:ind w:firstLine="480" w:firstLineChars="200"/>
      </w:pPr>
      <w:r>
        <w:t>具备与上级应急广播平台对接的接口，接口实现符合《GD/J083—2018 应急广播平台接口规范》；</w:t>
      </w:r>
    </w:p>
    <w:p>
      <w:pPr>
        <w:autoSpaceDE w:val="0"/>
        <w:autoSpaceDN w:val="0"/>
        <w:adjustRightInd w:val="0"/>
        <w:snapToGrid w:val="0"/>
        <w:spacing w:line="360" w:lineRule="auto"/>
        <w:ind w:firstLine="480" w:firstLineChars="200"/>
      </w:pPr>
      <w:r>
        <w:t>采用硬件方式，具备对接收到的应急广播消息进行验签，对向下级发送的应急广播表进行签名的功能；处理要求《GD/J 081-2018应急广播安全保护技术规范 数字签名》要求；</w:t>
      </w:r>
    </w:p>
    <w:p>
      <w:pPr>
        <w:autoSpaceDE w:val="0"/>
        <w:autoSpaceDN w:val="0"/>
        <w:adjustRightInd w:val="0"/>
        <w:snapToGrid w:val="0"/>
        <w:spacing w:line="360" w:lineRule="auto"/>
        <w:ind w:firstLine="480" w:firstLineChars="200"/>
      </w:pPr>
      <w:r>
        <w:t>实现调频广播的RDS 应急广播协议封装、适配、发送，包括调频广播RDS 基带编码、应急广播RDS 数据生成、RDS 发送，以及应急广播音频输出功能。输出信号符合GD/J 085—2018 模拟调频应急广播技术规范。</w:t>
      </w:r>
    </w:p>
    <w:p>
      <w:pPr>
        <w:autoSpaceDE w:val="0"/>
        <w:autoSpaceDN w:val="0"/>
        <w:adjustRightInd w:val="0"/>
        <w:snapToGrid w:val="0"/>
        <w:spacing w:line="360" w:lineRule="auto"/>
        <w:ind w:firstLine="480" w:firstLineChars="200"/>
      </w:pPr>
      <w:r>
        <w:t>2.基本功能要求</w:t>
      </w:r>
    </w:p>
    <w:p>
      <w:pPr>
        <w:autoSpaceDE w:val="0"/>
        <w:autoSpaceDN w:val="0"/>
        <w:adjustRightInd w:val="0"/>
        <w:snapToGrid w:val="0"/>
        <w:spacing w:line="360" w:lineRule="auto"/>
        <w:ind w:firstLine="480" w:firstLineChars="200"/>
      </w:pPr>
      <w:r>
        <w:t>具备前面板液晶屏及按键，可查询IP 地址等主要参数和设备告警状态。</w:t>
      </w:r>
    </w:p>
    <w:p>
      <w:pPr>
        <w:autoSpaceDE w:val="0"/>
        <w:autoSpaceDN w:val="0"/>
        <w:adjustRightInd w:val="0"/>
        <w:snapToGrid w:val="0"/>
        <w:spacing w:line="360" w:lineRule="auto"/>
        <w:ind w:firstLine="480" w:firstLineChars="200"/>
      </w:pPr>
      <w:r>
        <w:t>设备配置管理，应急广播业务配置与监测，均可通过浏览器访问操作。</w:t>
      </w:r>
    </w:p>
    <w:p>
      <w:pPr>
        <w:autoSpaceDE w:val="0"/>
        <w:autoSpaceDN w:val="0"/>
        <w:adjustRightInd w:val="0"/>
        <w:snapToGrid w:val="0"/>
        <w:spacing w:line="360" w:lineRule="auto"/>
        <w:ind w:firstLine="480" w:firstLineChars="200"/>
      </w:pPr>
      <w:r>
        <w:t>支持以太网接口100M/1000M，支持主备1+1 模式配置。</w:t>
      </w:r>
    </w:p>
    <w:p>
      <w:pPr>
        <w:autoSpaceDE w:val="0"/>
        <w:autoSpaceDN w:val="0"/>
        <w:adjustRightInd w:val="0"/>
        <w:snapToGrid w:val="0"/>
        <w:spacing w:line="360" w:lineRule="auto"/>
        <w:ind w:firstLine="480" w:firstLineChars="200"/>
      </w:pPr>
      <w:r>
        <w:t>支持应急广播节目的接收和存储、解码。</w:t>
      </w:r>
    </w:p>
    <w:p>
      <w:pPr>
        <w:autoSpaceDE w:val="0"/>
        <w:autoSpaceDN w:val="0"/>
        <w:adjustRightInd w:val="0"/>
        <w:snapToGrid w:val="0"/>
        <w:spacing w:line="360" w:lineRule="auto"/>
        <w:ind w:firstLine="480" w:firstLineChars="200"/>
      </w:pPr>
      <w:r>
        <w:t>支持应急广播指令的接收和存储、分析。</w:t>
      </w:r>
    </w:p>
    <w:p>
      <w:pPr>
        <w:autoSpaceDE w:val="0"/>
        <w:autoSpaceDN w:val="0"/>
        <w:adjustRightInd w:val="0"/>
        <w:snapToGrid w:val="0"/>
        <w:spacing w:line="360" w:lineRule="auto"/>
        <w:ind w:firstLine="480" w:firstLineChars="200"/>
      </w:pPr>
      <w:r>
        <w:t>具备RS232或其他接口，可外接其他应急广播监测设备。</w:t>
      </w:r>
    </w:p>
    <w:p>
      <w:pPr>
        <w:autoSpaceDE w:val="0"/>
        <w:autoSpaceDN w:val="0"/>
        <w:adjustRightInd w:val="0"/>
        <w:snapToGrid w:val="0"/>
        <w:spacing w:line="360" w:lineRule="auto"/>
        <w:ind w:firstLine="480" w:firstLineChars="200"/>
      </w:pPr>
      <w:r>
        <w:t>系统必须具有灵活、先进的备份机制，确保安全播出。</w:t>
      </w:r>
    </w:p>
    <w:p>
      <w:pPr>
        <w:autoSpaceDE w:val="0"/>
        <w:autoSpaceDN w:val="0"/>
        <w:adjustRightInd w:val="0"/>
        <w:snapToGrid w:val="0"/>
        <w:spacing w:line="360" w:lineRule="auto"/>
        <w:ind w:firstLine="480" w:firstLineChars="200"/>
      </w:pPr>
      <w:r>
        <w:t>设备支持实时告警功能。</w:t>
      </w:r>
    </w:p>
    <w:p>
      <w:pPr>
        <w:autoSpaceDE w:val="0"/>
        <w:autoSpaceDN w:val="0"/>
        <w:adjustRightInd w:val="0"/>
        <w:snapToGrid w:val="0"/>
        <w:spacing w:line="360" w:lineRule="auto"/>
        <w:ind w:firstLine="480" w:firstLineChars="200"/>
      </w:pPr>
      <w:r>
        <w:t>设备具有100Base-T 以太网接口，可实现基于SNMP 的集中网络管理。可通过统一网管软件系统的监控管理进行设备配置，并实现通过网管统一集中进行状态监控，并支持软件升级；</w:t>
      </w:r>
    </w:p>
    <w:p>
      <w:pPr>
        <w:autoSpaceDE w:val="0"/>
        <w:autoSpaceDN w:val="0"/>
        <w:adjustRightInd w:val="0"/>
        <w:snapToGrid w:val="0"/>
        <w:spacing w:line="360" w:lineRule="auto"/>
        <w:ind w:firstLine="480" w:firstLineChars="200"/>
      </w:pPr>
      <w:r>
        <w:t>支持与调频发射机自动化系统对接的功能，能从自动化系统中获取发射机工作状态。</w:t>
      </w:r>
    </w:p>
    <w:p>
      <w:pPr>
        <w:autoSpaceDE w:val="0"/>
        <w:autoSpaceDN w:val="0"/>
        <w:adjustRightInd w:val="0"/>
        <w:snapToGrid w:val="0"/>
        <w:spacing w:line="360" w:lineRule="auto"/>
        <w:ind w:firstLine="480" w:firstLineChars="200"/>
      </w:pPr>
      <w:r>
        <w:t>支持输出控制指令，控制音频切换器切换输出应急广播音频节目。</w:t>
      </w:r>
    </w:p>
    <w:p>
      <w:pPr>
        <w:autoSpaceDE w:val="0"/>
        <w:autoSpaceDN w:val="0"/>
        <w:adjustRightInd w:val="0"/>
        <w:snapToGrid w:val="0"/>
        <w:spacing w:line="360" w:lineRule="auto"/>
        <w:ind w:firstLine="480" w:firstLineChars="200"/>
      </w:pPr>
      <w:r>
        <w:t>3.调频广播功能要求</w:t>
      </w:r>
    </w:p>
    <w:p>
      <w:pPr>
        <w:autoSpaceDE w:val="0"/>
        <w:autoSpaceDN w:val="0"/>
        <w:adjustRightInd w:val="0"/>
        <w:snapToGrid w:val="0"/>
        <w:spacing w:line="360" w:lineRule="auto"/>
        <w:ind w:firstLine="480" w:firstLineChars="200"/>
      </w:pPr>
      <w:r>
        <w:t>具备应急广播模拟音频输出，支持立体声差分音频信号输出；</w:t>
      </w:r>
    </w:p>
    <w:p>
      <w:pPr>
        <w:autoSpaceDE w:val="0"/>
        <w:autoSpaceDN w:val="0"/>
        <w:adjustRightInd w:val="0"/>
        <w:snapToGrid w:val="0"/>
        <w:spacing w:line="360" w:lineRule="auto"/>
        <w:ind w:firstLine="480" w:firstLineChars="200"/>
      </w:pPr>
      <w:r>
        <w:t>具备应急广播RDS 基带信号输出，可直接对接调频发射机RDS接口；</w:t>
      </w:r>
    </w:p>
    <w:p>
      <w:pPr>
        <w:autoSpaceDE w:val="0"/>
        <w:autoSpaceDN w:val="0"/>
        <w:adjustRightInd w:val="0"/>
        <w:snapToGrid w:val="0"/>
        <w:spacing w:line="360" w:lineRule="auto"/>
        <w:ind w:firstLine="480" w:firstLineChars="200"/>
      </w:pPr>
      <w:r>
        <w:t>基带RDS 输出幅度可进行调节。</w:t>
      </w:r>
    </w:p>
    <w:p>
      <w:pPr>
        <w:autoSpaceDE w:val="0"/>
        <w:autoSpaceDN w:val="0"/>
        <w:adjustRightInd w:val="0"/>
        <w:snapToGrid w:val="0"/>
        <w:spacing w:line="360" w:lineRule="auto"/>
        <w:ind w:firstLine="480" w:firstLineChars="200"/>
      </w:pPr>
      <w:r>
        <w:t>4.安全加密功能要求</w:t>
      </w:r>
    </w:p>
    <w:p>
      <w:pPr>
        <w:autoSpaceDE w:val="0"/>
        <w:autoSpaceDN w:val="0"/>
        <w:adjustRightInd w:val="0"/>
        <w:snapToGrid w:val="0"/>
        <w:spacing w:line="360" w:lineRule="auto"/>
        <w:ind w:firstLine="480" w:firstLineChars="200"/>
      </w:pPr>
      <w:r>
        <w:t>采用硬件方式进行安全加密；</w:t>
      </w:r>
    </w:p>
    <w:p>
      <w:pPr>
        <w:autoSpaceDE w:val="0"/>
        <w:autoSpaceDN w:val="0"/>
        <w:adjustRightInd w:val="0"/>
        <w:snapToGrid w:val="0"/>
        <w:spacing w:line="360" w:lineRule="auto"/>
        <w:ind w:firstLine="480" w:firstLineChars="200"/>
      </w:pPr>
      <w:r>
        <w:t>具备对加载有国密算法保护的应急广播协议的封装功能；</w:t>
      </w:r>
    </w:p>
    <w:p>
      <w:pPr>
        <w:autoSpaceDE w:val="0"/>
        <w:autoSpaceDN w:val="0"/>
        <w:adjustRightInd w:val="0"/>
        <w:snapToGrid w:val="0"/>
        <w:spacing w:line="360" w:lineRule="auto"/>
        <w:ind w:firstLine="480" w:firstLineChars="200"/>
      </w:pPr>
      <w:r>
        <w:t>具备对加载有国密算法保护的应急广播协议的接收解析功能。</w:t>
      </w:r>
    </w:p>
    <w:p>
      <w:pPr>
        <w:autoSpaceDE w:val="0"/>
        <w:autoSpaceDN w:val="0"/>
        <w:adjustRightInd w:val="0"/>
        <w:snapToGrid w:val="0"/>
        <w:spacing w:line="360" w:lineRule="auto"/>
        <w:ind w:firstLine="480" w:firstLineChars="200"/>
      </w:pPr>
      <w:r>
        <w:t>5.接口要求</w:t>
      </w:r>
    </w:p>
    <w:p>
      <w:pPr>
        <w:autoSpaceDE w:val="0"/>
        <w:autoSpaceDN w:val="0"/>
        <w:adjustRightInd w:val="0"/>
        <w:snapToGrid w:val="0"/>
        <w:spacing w:line="360" w:lineRule="auto"/>
        <w:ind w:firstLine="480" w:firstLineChars="200"/>
      </w:pPr>
      <w:r>
        <w:t>采用19英寸1U标准机架式设计，插卡式结构，可配置不同的板卡；</w:t>
      </w:r>
    </w:p>
    <w:p>
      <w:pPr>
        <w:autoSpaceDE w:val="0"/>
        <w:autoSpaceDN w:val="0"/>
        <w:adjustRightInd w:val="0"/>
        <w:snapToGrid w:val="0"/>
        <w:spacing w:line="360" w:lineRule="auto"/>
        <w:ind w:firstLine="480" w:firstLineChars="200"/>
      </w:pPr>
      <w:r>
        <w:t>具有2个RJ45接口；</w:t>
      </w:r>
    </w:p>
    <w:p>
      <w:pPr>
        <w:autoSpaceDE w:val="0"/>
        <w:autoSpaceDN w:val="0"/>
        <w:adjustRightInd w:val="0"/>
        <w:snapToGrid w:val="0"/>
        <w:spacing w:line="360" w:lineRule="auto"/>
        <w:ind w:firstLine="480" w:firstLineChars="200"/>
      </w:pPr>
      <w:r>
        <w:t>具备1路串口，接口类型：RS232；</w:t>
      </w:r>
    </w:p>
    <w:p>
      <w:pPr>
        <w:autoSpaceDE w:val="0"/>
        <w:autoSpaceDN w:val="0"/>
        <w:adjustRightInd w:val="0"/>
        <w:snapToGrid w:val="0"/>
        <w:spacing w:line="360" w:lineRule="auto"/>
        <w:ind w:firstLine="480" w:firstLineChars="200"/>
      </w:pPr>
      <w:r>
        <w:t>具备1路网管IP接口，接口类型：RJ45；</w:t>
      </w:r>
    </w:p>
    <w:p>
      <w:pPr>
        <w:autoSpaceDE w:val="0"/>
        <w:autoSpaceDN w:val="0"/>
        <w:adjustRightInd w:val="0"/>
        <w:snapToGrid w:val="0"/>
        <w:spacing w:line="360" w:lineRule="auto"/>
        <w:ind w:firstLine="480" w:firstLineChars="200"/>
      </w:pPr>
      <w:r>
        <w:t>具备2个USB接口，接口类型：USB TypeA；</w:t>
      </w:r>
    </w:p>
    <w:p>
      <w:pPr>
        <w:autoSpaceDE w:val="0"/>
        <w:autoSpaceDN w:val="0"/>
        <w:adjustRightInd w:val="0"/>
        <w:snapToGrid w:val="0"/>
        <w:spacing w:line="360" w:lineRule="auto"/>
        <w:ind w:firstLine="480" w:firstLineChars="200"/>
      </w:pPr>
      <w:r>
        <w:t>具备1个3.5mm耳机接口；</w:t>
      </w:r>
    </w:p>
    <w:p>
      <w:pPr>
        <w:autoSpaceDE w:val="0"/>
        <w:autoSpaceDN w:val="0"/>
        <w:adjustRightInd w:val="0"/>
        <w:snapToGrid w:val="0"/>
        <w:spacing w:line="360" w:lineRule="auto"/>
        <w:ind w:firstLine="480" w:firstLineChars="200"/>
      </w:pPr>
      <w:r>
        <w:t>具备1个RDS输出接口，接口类型：BNC；</w:t>
      </w:r>
    </w:p>
    <w:p>
      <w:pPr>
        <w:autoSpaceDE w:val="0"/>
        <w:autoSpaceDN w:val="0"/>
        <w:adjustRightInd w:val="0"/>
        <w:snapToGrid w:val="0"/>
        <w:spacing w:line="360" w:lineRule="auto"/>
        <w:ind w:firstLine="480" w:firstLineChars="200"/>
      </w:pPr>
      <w:r>
        <w:t>具备2路交流电源输入接口，接口类型：三芯电源插座。</w:t>
      </w:r>
    </w:p>
    <w:p>
      <w:pPr>
        <w:autoSpaceDE w:val="0"/>
        <w:autoSpaceDN w:val="0"/>
        <w:adjustRightInd w:val="0"/>
        <w:snapToGrid w:val="0"/>
        <w:spacing w:line="360" w:lineRule="auto"/>
        <w:ind w:firstLine="480" w:firstLineChars="200"/>
      </w:pPr>
      <w:r>
        <w:t>6.性能要求</w:t>
      </w:r>
    </w:p>
    <w:p>
      <w:pPr>
        <w:autoSpaceDE w:val="0"/>
        <w:autoSpaceDN w:val="0"/>
        <w:adjustRightInd w:val="0"/>
        <w:snapToGrid w:val="0"/>
        <w:spacing w:line="360" w:lineRule="auto"/>
        <w:ind w:firstLine="480" w:firstLineChars="200"/>
      </w:pPr>
      <w:r>
        <w:t>工作电压范围：AC:100V～260V；</w:t>
      </w:r>
    </w:p>
    <w:p>
      <w:pPr>
        <w:autoSpaceDE w:val="0"/>
        <w:autoSpaceDN w:val="0"/>
        <w:adjustRightInd w:val="0"/>
        <w:snapToGrid w:val="0"/>
        <w:spacing w:line="360" w:lineRule="auto"/>
        <w:ind w:firstLine="480" w:firstLineChars="200"/>
      </w:pPr>
      <w:r>
        <w:t>RDS接口速率：1.1875kbps；</w:t>
      </w:r>
    </w:p>
    <w:p>
      <w:pPr>
        <w:autoSpaceDE w:val="0"/>
        <w:autoSpaceDN w:val="0"/>
        <w:adjustRightInd w:val="0"/>
        <w:snapToGrid w:val="0"/>
        <w:spacing w:line="360" w:lineRule="auto"/>
        <w:ind w:firstLine="480" w:firstLineChars="200"/>
      </w:pPr>
      <w:r>
        <w:t>RDS输出频率：57kHz；</w:t>
      </w:r>
    </w:p>
    <w:p>
      <w:pPr>
        <w:autoSpaceDE w:val="0"/>
        <w:autoSpaceDN w:val="0"/>
        <w:adjustRightInd w:val="0"/>
        <w:snapToGrid w:val="0"/>
        <w:spacing w:line="360" w:lineRule="auto"/>
        <w:ind w:firstLine="480" w:firstLineChars="200"/>
      </w:pPr>
      <w:r>
        <w:t>RDS输出幅度：0-3Vpp，幅度可调。</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5.2、音频切换器</w:t>
      </w:r>
    </w:p>
    <w:p>
      <w:pPr>
        <w:autoSpaceDE w:val="0"/>
        <w:autoSpaceDN w:val="0"/>
        <w:adjustRightInd w:val="0"/>
        <w:snapToGrid w:val="0"/>
        <w:spacing w:line="360" w:lineRule="auto"/>
        <w:ind w:firstLine="480" w:firstLineChars="200"/>
      </w:pPr>
      <w:r>
        <w:t>整机为单机嵌入式广播级模块化设备，可根据不同应用场景配置卫星/有线/无线解调接收、加解扰、编转码、适配等不同的板卡，具备高可靠性和扩展性，确保广播电视安全播出。</w:t>
      </w:r>
    </w:p>
    <w:p>
      <w:pPr>
        <w:autoSpaceDE w:val="0"/>
        <w:autoSpaceDN w:val="0"/>
        <w:adjustRightInd w:val="0"/>
        <w:snapToGrid w:val="0"/>
        <w:spacing w:line="360" w:lineRule="auto"/>
        <w:ind w:firstLine="480" w:firstLineChars="200"/>
      </w:pPr>
      <w:r>
        <w:t>设备前面板具备液晶屏及按键，可查询设备基本信息。</w:t>
      </w:r>
    </w:p>
    <w:p>
      <w:pPr>
        <w:autoSpaceDE w:val="0"/>
        <w:autoSpaceDN w:val="0"/>
        <w:adjustRightInd w:val="0"/>
        <w:snapToGrid w:val="0"/>
        <w:spacing w:line="360" w:lineRule="auto"/>
        <w:ind w:firstLine="480" w:firstLineChars="200"/>
      </w:pPr>
      <w:r>
        <w:t>具备2路模拟差分音频切换输入接口，2路模拟差分音频切换输出接口。</w:t>
      </w:r>
    </w:p>
    <w:p>
      <w:pPr>
        <w:autoSpaceDE w:val="0"/>
        <w:autoSpaceDN w:val="0"/>
        <w:adjustRightInd w:val="0"/>
        <w:snapToGrid w:val="0"/>
        <w:spacing w:line="360" w:lineRule="auto"/>
        <w:ind w:firstLine="480" w:firstLineChars="200"/>
      </w:pPr>
      <w:r>
        <w:t>支持主备两路模拟音频切换功能，每路均支持断电信号直通功能。</w:t>
      </w:r>
    </w:p>
    <w:p>
      <w:pPr>
        <w:autoSpaceDE w:val="0"/>
        <w:autoSpaceDN w:val="0"/>
        <w:adjustRightInd w:val="0"/>
        <w:snapToGrid w:val="0"/>
        <w:spacing w:line="360" w:lineRule="auto"/>
        <w:ind w:firstLine="480" w:firstLineChars="200"/>
      </w:pPr>
      <w:r>
        <w:t>具备手动/自动输出选择功能，自动情况下当前信源丢失后自动切换到有信源的通道。</w:t>
      </w:r>
    </w:p>
    <w:p>
      <w:pPr>
        <w:autoSpaceDE w:val="0"/>
        <w:autoSpaceDN w:val="0"/>
        <w:adjustRightInd w:val="0"/>
        <w:snapToGrid w:val="0"/>
        <w:spacing w:line="360" w:lineRule="auto"/>
        <w:ind w:firstLine="480" w:firstLineChars="200"/>
      </w:pPr>
      <w:r>
        <w:t>每路音频输入输出，均支持左右声道立体声，并且为差分信号输入输出。</w:t>
      </w:r>
    </w:p>
    <w:p>
      <w:pPr>
        <w:autoSpaceDE w:val="0"/>
        <w:autoSpaceDN w:val="0"/>
        <w:adjustRightInd w:val="0"/>
        <w:snapToGrid w:val="0"/>
        <w:spacing w:line="360" w:lineRule="auto"/>
        <w:ind w:firstLine="480" w:firstLineChars="200"/>
      </w:pPr>
      <w:r>
        <w:t>设备可通过网管设置2进2出或3进1出的模拟差分音频切换功能。</w:t>
      </w:r>
    </w:p>
    <w:p>
      <w:pPr>
        <w:autoSpaceDE w:val="0"/>
        <w:autoSpaceDN w:val="0"/>
        <w:adjustRightInd w:val="0"/>
        <w:snapToGrid w:val="0"/>
        <w:spacing w:line="360" w:lineRule="auto"/>
        <w:ind w:firstLine="480" w:firstLineChars="200"/>
      </w:pPr>
      <w:r>
        <w:t>具有设置参数断电保存功能；</w:t>
      </w:r>
    </w:p>
    <w:p>
      <w:pPr>
        <w:autoSpaceDE w:val="0"/>
        <w:autoSpaceDN w:val="0"/>
        <w:adjustRightInd w:val="0"/>
        <w:snapToGrid w:val="0"/>
        <w:spacing w:line="360" w:lineRule="auto"/>
        <w:ind w:firstLine="480" w:firstLineChars="200"/>
      </w:pPr>
      <w:r>
        <w:t>具有以太网通讯接口，支持TCP/IP 协议，支持TCP 以及UDP的连接方式。</w:t>
      </w:r>
    </w:p>
    <w:p>
      <w:pPr>
        <w:autoSpaceDE w:val="0"/>
        <w:autoSpaceDN w:val="0"/>
        <w:adjustRightInd w:val="0"/>
        <w:snapToGrid w:val="0"/>
        <w:spacing w:line="360" w:lineRule="auto"/>
        <w:ind w:firstLine="480" w:firstLineChars="200"/>
      </w:pPr>
      <w:r>
        <w:t>支持应急广播音频切换功能，能够与调频广播应急广播适配器进行集成对接为一台设备。</w:t>
      </w:r>
    </w:p>
    <w:p>
      <w:pPr>
        <w:autoSpaceDE w:val="0"/>
        <w:autoSpaceDN w:val="0"/>
        <w:adjustRightInd w:val="0"/>
        <w:snapToGrid w:val="0"/>
        <w:spacing w:line="360" w:lineRule="auto"/>
        <w:ind w:firstLine="480" w:firstLineChars="200"/>
      </w:pPr>
      <w:r>
        <w:t>具备设备配置管理。</w:t>
      </w:r>
    </w:p>
    <w:p>
      <w:pPr>
        <w:autoSpaceDE w:val="0"/>
        <w:autoSpaceDN w:val="0"/>
        <w:adjustRightInd w:val="0"/>
        <w:snapToGrid w:val="0"/>
        <w:spacing w:line="360" w:lineRule="auto"/>
        <w:ind w:firstLine="480" w:firstLineChars="200"/>
      </w:pPr>
      <w:r>
        <w:t>具备双电源模块供电，支持电源模块的热插拔，更换电源模块时业务不中断。</w:t>
      </w:r>
    </w:p>
    <w:p>
      <w:pPr>
        <w:autoSpaceDE w:val="0"/>
        <w:autoSpaceDN w:val="0"/>
        <w:adjustRightInd w:val="0"/>
        <w:snapToGrid w:val="0"/>
        <w:spacing w:line="360" w:lineRule="auto"/>
        <w:ind w:firstLine="480" w:firstLineChars="200"/>
      </w:pPr>
      <w:r>
        <w:t>设备支持实时告警功能。</w:t>
      </w:r>
    </w:p>
    <w:p>
      <w:pPr>
        <w:autoSpaceDE w:val="0"/>
        <w:autoSpaceDN w:val="0"/>
        <w:adjustRightInd w:val="0"/>
        <w:snapToGrid w:val="0"/>
        <w:spacing w:line="360" w:lineRule="auto"/>
        <w:ind w:firstLine="480" w:firstLineChars="200"/>
      </w:pPr>
      <w:r>
        <w:t>设备具有100Base-T 以太网接口，接口类型RJ45，可实现基于SNMP 的集中网络管理，支持软件升级。</w:t>
      </w:r>
    </w:p>
    <w:p>
      <w:pPr>
        <w:autoSpaceDE w:val="0"/>
        <w:autoSpaceDN w:val="0"/>
        <w:adjustRightInd w:val="0"/>
        <w:snapToGrid w:val="0"/>
        <w:spacing w:line="360" w:lineRule="auto"/>
        <w:ind w:firstLine="480" w:firstLineChars="200"/>
      </w:pPr>
      <w:r>
        <w:t>设备必须支持双电源供电方式，电源支持交/直流可选。支持电源模块的热备份及热插拔，在更换电源模块时不会导致业务中断。</w:t>
      </w:r>
    </w:p>
    <w:p>
      <w:pPr>
        <w:pStyle w:val="4"/>
        <w:spacing w:line="360" w:lineRule="auto"/>
        <w:ind w:firstLine="562"/>
        <w:rPr>
          <w:rFonts w:ascii="宋体" w:hAnsi="宋体" w:eastAsia="宋体" w:cs="宋体"/>
          <w:b/>
          <w:bCs/>
          <w:sz w:val="28"/>
          <w:szCs w:val="28"/>
        </w:rPr>
      </w:pPr>
      <w:bookmarkStart w:id="110" w:name="_Toc117014029"/>
      <w:r>
        <w:rPr>
          <w:rFonts w:hint="eastAsia" w:ascii="宋体" w:hAnsi="宋体" w:eastAsia="宋体" w:cs="宋体"/>
          <w:b/>
          <w:bCs/>
          <w:sz w:val="28"/>
          <w:szCs w:val="28"/>
        </w:rPr>
        <w:t>六、地面数字电视应急广播对接系统设备</w:t>
      </w:r>
      <w:bookmarkEnd w:id="110"/>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6.1、地面数字电视应急广播适配器</w:t>
      </w:r>
    </w:p>
    <w:p>
      <w:pPr>
        <w:autoSpaceDE w:val="0"/>
        <w:autoSpaceDN w:val="0"/>
        <w:adjustRightInd w:val="0"/>
        <w:snapToGrid w:val="0"/>
        <w:spacing w:line="360" w:lineRule="auto"/>
        <w:ind w:firstLine="480" w:firstLineChars="200"/>
      </w:pPr>
      <w:r>
        <w:t>满足《GD/J 083—2018 应急广播平台接口规范》、《GDJ 087-2018地面数字电视应急广播技术规范》要求。</w:t>
      </w:r>
    </w:p>
    <w:p>
      <w:pPr>
        <w:autoSpaceDE w:val="0"/>
        <w:autoSpaceDN w:val="0"/>
        <w:adjustRightInd w:val="0"/>
        <w:snapToGrid w:val="0"/>
        <w:spacing w:line="360" w:lineRule="auto"/>
        <w:ind w:firstLine="480" w:firstLineChars="200"/>
      </w:pPr>
      <w:r>
        <w:t>1.应急广播平台联动功能要求</w:t>
      </w:r>
    </w:p>
    <w:p>
      <w:pPr>
        <w:autoSpaceDE w:val="0"/>
        <w:autoSpaceDN w:val="0"/>
        <w:adjustRightInd w:val="0"/>
        <w:snapToGrid w:val="0"/>
        <w:spacing w:line="360" w:lineRule="auto"/>
        <w:ind w:firstLine="480" w:firstLineChars="200"/>
      </w:pPr>
      <w:r>
        <w:t>具备与上级应急广播平台对接的接口，接口实现符合《GD/J083—2018 应急广播平台接口规范》。</w:t>
      </w:r>
    </w:p>
    <w:p>
      <w:pPr>
        <w:autoSpaceDE w:val="0"/>
        <w:autoSpaceDN w:val="0"/>
        <w:adjustRightInd w:val="0"/>
        <w:snapToGrid w:val="0"/>
        <w:spacing w:line="360" w:lineRule="auto"/>
        <w:ind w:firstLine="480" w:firstLineChars="200"/>
      </w:pPr>
      <w:r>
        <w:t>可接收上级应急广播平台发来的应急广播消息，按照标准规范实现协议解析。</w:t>
      </w:r>
    </w:p>
    <w:p>
      <w:pPr>
        <w:autoSpaceDE w:val="0"/>
        <w:autoSpaceDN w:val="0"/>
        <w:adjustRightInd w:val="0"/>
        <w:snapToGrid w:val="0"/>
        <w:spacing w:line="360" w:lineRule="auto"/>
        <w:ind w:firstLine="480" w:firstLineChars="200"/>
      </w:pPr>
      <w:r>
        <w:t>内置符合国密算法的安全模块，具备对接收到的应急广播消息进行验签，对向下级发送的应急广播表进行签名的功能，处理符合《GD/J 081—2018 应急广播安全保护技术规范 数字签名》；</w:t>
      </w:r>
    </w:p>
    <w:p>
      <w:pPr>
        <w:autoSpaceDE w:val="0"/>
        <w:autoSpaceDN w:val="0"/>
        <w:adjustRightInd w:val="0"/>
        <w:snapToGrid w:val="0"/>
        <w:spacing w:line="360" w:lineRule="auto"/>
        <w:ind w:firstLine="480" w:firstLineChars="200"/>
      </w:pPr>
      <w:r>
        <w:t>能够与应急广播平台实现接口联动，实现如下功能对接：应急广播消息播发请求、应急广播消息播发状态查询、应急广播消息播发状态反馈、运维数据请求、台站（前端）信息上报、适配器信息上报、传输覆盖播出设备信息上报、播发记录上报、适配器状态上报、传输覆盖播出设备状态上报、心跳检测、处理结果通知</w:t>
      </w:r>
    </w:p>
    <w:p>
      <w:pPr>
        <w:autoSpaceDE w:val="0"/>
        <w:autoSpaceDN w:val="0"/>
        <w:adjustRightInd w:val="0"/>
        <w:snapToGrid w:val="0"/>
        <w:spacing w:line="360" w:lineRule="auto"/>
        <w:ind w:firstLine="480" w:firstLineChars="200"/>
      </w:pPr>
      <w:r>
        <w:t>实现地面数字电视的应急广播协议封装、适配、发送，包括地面数字电视TS 流的应急广播索引表、应急广播内容表，以及应急广播音视频传输流的处理，输出信号符合《GD/J 087—2018 地面数字电视应急广播技术规范》；地面数字电视机顶盒可依据该规范接收该应急广播消息，实现字幕、图片、音频、音视频的应急广播功能。</w:t>
      </w:r>
    </w:p>
    <w:p>
      <w:pPr>
        <w:autoSpaceDE w:val="0"/>
        <w:autoSpaceDN w:val="0"/>
        <w:adjustRightInd w:val="0"/>
        <w:snapToGrid w:val="0"/>
        <w:spacing w:line="360" w:lineRule="auto"/>
        <w:ind w:firstLine="480" w:firstLineChars="200"/>
      </w:pPr>
      <w:r>
        <w:t>2.基本功能要求</w:t>
      </w:r>
    </w:p>
    <w:p>
      <w:pPr>
        <w:autoSpaceDE w:val="0"/>
        <w:autoSpaceDN w:val="0"/>
        <w:adjustRightInd w:val="0"/>
        <w:snapToGrid w:val="0"/>
        <w:spacing w:line="360" w:lineRule="auto"/>
        <w:ind w:firstLine="480" w:firstLineChars="200"/>
      </w:pPr>
      <w:r>
        <w:t>具备前面板液晶屏及按键，可查询IP 地址和设备告警状态。</w:t>
      </w:r>
    </w:p>
    <w:p>
      <w:pPr>
        <w:autoSpaceDE w:val="0"/>
        <w:autoSpaceDN w:val="0"/>
        <w:adjustRightInd w:val="0"/>
        <w:snapToGrid w:val="0"/>
        <w:spacing w:line="360" w:lineRule="auto"/>
        <w:ind w:firstLine="480" w:firstLineChars="200"/>
      </w:pPr>
      <w:r>
        <w:t>整机采用嵌入式专用设备设计，以确保广播电视安全播出的稳定可靠。</w:t>
      </w:r>
    </w:p>
    <w:p>
      <w:pPr>
        <w:autoSpaceDE w:val="0"/>
        <w:autoSpaceDN w:val="0"/>
        <w:adjustRightInd w:val="0"/>
        <w:snapToGrid w:val="0"/>
        <w:spacing w:line="360" w:lineRule="auto"/>
        <w:ind w:firstLine="480" w:firstLineChars="200"/>
      </w:pPr>
      <w:r>
        <w:t>设备配置管理，应急广播业务配置与监测，均可通过浏览器访问操作。</w:t>
      </w:r>
    </w:p>
    <w:p>
      <w:pPr>
        <w:autoSpaceDE w:val="0"/>
        <w:autoSpaceDN w:val="0"/>
        <w:adjustRightInd w:val="0"/>
        <w:snapToGrid w:val="0"/>
        <w:spacing w:line="360" w:lineRule="auto"/>
        <w:ind w:firstLine="480" w:firstLineChars="200"/>
      </w:pPr>
      <w:r>
        <w:t>设备处理TS 流符合MPEG-2标准，204/188 包长可灵活设置。</w:t>
      </w:r>
    </w:p>
    <w:p>
      <w:pPr>
        <w:autoSpaceDE w:val="0"/>
        <w:autoSpaceDN w:val="0"/>
        <w:adjustRightInd w:val="0"/>
        <w:snapToGrid w:val="0"/>
        <w:spacing w:line="360" w:lineRule="auto"/>
        <w:ind w:firstLine="480" w:firstLineChars="200"/>
      </w:pPr>
      <w:r>
        <w:t>支持应急广播节目的接收和存储、解码。</w:t>
      </w:r>
    </w:p>
    <w:p>
      <w:pPr>
        <w:autoSpaceDE w:val="0"/>
        <w:autoSpaceDN w:val="0"/>
        <w:adjustRightInd w:val="0"/>
        <w:snapToGrid w:val="0"/>
        <w:spacing w:line="360" w:lineRule="auto"/>
        <w:ind w:firstLine="480" w:firstLineChars="200"/>
      </w:pPr>
      <w:r>
        <w:t>支持应急广播指令的接收和存储、分析。</w:t>
      </w:r>
    </w:p>
    <w:p>
      <w:pPr>
        <w:autoSpaceDE w:val="0"/>
        <w:autoSpaceDN w:val="0"/>
        <w:adjustRightInd w:val="0"/>
        <w:snapToGrid w:val="0"/>
        <w:spacing w:line="360" w:lineRule="auto"/>
        <w:ind w:firstLine="480" w:firstLineChars="200"/>
      </w:pPr>
      <w:r>
        <w:t>具备RS232接口，可外接其他应急广播监测设备。</w:t>
      </w:r>
    </w:p>
    <w:p>
      <w:pPr>
        <w:autoSpaceDE w:val="0"/>
        <w:autoSpaceDN w:val="0"/>
        <w:adjustRightInd w:val="0"/>
        <w:snapToGrid w:val="0"/>
        <w:spacing w:line="360" w:lineRule="auto"/>
        <w:ind w:firstLine="480" w:firstLineChars="200"/>
      </w:pPr>
      <w:r>
        <w:t>系统必须具有灵活、先进的备份机制，具备包括设备1+1 热备份、板卡备份、端口备份、节目备份在内的多级备份能力；确保安全播出。</w:t>
      </w:r>
    </w:p>
    <w:p>
      <w:pPr>
        <w:autoSpaceDE w:val="0"/>
        <w:autoSpaceDN w:val="0"/>
        <w:adjustRightInd w:val="0"/>
        <w:snapToGrid w:val="0"/>
        <w:spacing w:line="360" w:lineRule="auto"/>
        <w:ind w:firstLine="480" w:firstLineChars="200"/>
      </w:pPr>
      <w:r>
        <w:t>设备支持实时告警功能。</w:t>
      </w:r>
    </w:p>
    <w:p>
      <w:pPr>
        <w:autoSpaceDE w:val="0"/>
        <w:autoSpaceDN w:val="0"/>
        <w:adjustRightInd w:val="0"/>
        <w:snapToGrid w:val="0"/>
        <w:spacing w:line="360" w:lineRule="auto"/>
        <w:ind w:firstLine="480" w:firstLineChars="200"/>
      </w:pPr>
      <w:r>
        <w:t>设备具有100Base-T 以太网接口，可实现基于SNMP 的集中网络管理。可通过统一网管软件系统的监控管理进行设备配置，并实现通过网管统一集中进行状态监控；</w:t>
      </w:r>
    </w:p>
    <w:p>
      <w:pPr>
        <w:autoSpaceDE w:val="0"/>
        <w:autoSpaceDN w:val="0"/>
        <w:adjustRightInd w:val="0"/>
        <w:snapToGrid w:val="0"/>
        <w:spacing w:line="360" w:lineRule="auto"/>
        <w:ind w:firstLine="480" w:firstLineChars="200"/>
      </w:pPr>
      <w:r>
        <w:t>设备要求具备网管IP 接口，可支持软件升级。</w:t>
      </w:r>
    </w:p>
    <w:p>
      <w:pPr>
        <w:autoSpaceDE w:val="0"/>
        <w:autoSpaceDN w:val="0"/>
        <w:adjustRightInd w:val="0"/>
        <w:snapToGrid w:val="0"/>
        <w:spacing w:line="360" w:lineRule="auto"/>
        <w:ind w:firstLine="480" w:firstLineChars="200"/>
      </w:pPr>
      <w:r>
        <w:t>支持与地面数字电视发射机自动化系统对接的功能，能从自动化系统中获取发射机工作状态。</w:t>
      </w:r>
    </w:p>
    <w:p>
      <w:pPr>
        <w:autoSpaceDE w:val="0"/>
        <w:autoSpaceDN w:val="0"/>
        <w:adjustRightInd w:val="0"/>
        <w:snapToGrid w:val="0"/>
        <w:spacing w:line="360" w:lineRule="auto"/>
        <w:ind w:firstLine="480" w:firstLineChars="200"/>
      </w:pPr>
      <w:r>
        <w:t>3.地面数字电视功能要求</w:t>
      </w:r>
    </w:p>
    <w:p>
      <w:pPr>
        <w:autoSpaceDE w:val="0"/>
        <w:autoSpaceDN w:val="0"/>
        <w:adjustRightInd w:val="0"/>
        <w:snapToGrid w:val="0"/>
        <w:spacing w:line="360" w:lineRule="auto"/>
        <w:ind w:firstLine="480" w:firstLineChars="200"/>
      </w:pPr>
      <w:r>
        <w:t>具备数字电视TS 流的应急广播索引表、应急广播内容表，以及应急广播音视频传输流的输出接口，支持ASI、IP 输出。</w:t>
      </w:r>
    </w:p>
    <w:p>
      <w:pPr>
        <w:autoSpaceDE w:val="0"/>
        <w:autoSpaceDN w:val="0"/>
        <w:adjustRightInd w:val="0"/>
        <w:snapToGrid w:val="0"/>
        <w:spacing w:line="360" w:lineRule="auto"/>
        <w:ind w:firstLine="480" w:firstLineChars="200"/>
      </w:pPr>
      <w:r>
        <w:t>ASI 与千兆IP 接口支持MPTS 与SPTS，支持GbE 全双工输入和输出。</w:t>
      </w:r>
    </w:p>
    <w:p>
      <w:pPr>
        <w:autoSpaceDE w:val="0"/>
        <w:autoSpaceDN w:val="0"/>
        <w:adjustRightInd w:val="0"/>
        <w:snapToGrid w:val="0"/>
        <w:spacing w:line="360" w:lineRule="auto"/>
        <w:ind w:firstLine="480" w:firstLineChars="200"/>
      </w:pPr>
      <w:r>
        <w:t>支持数字电视TS 流的PSI/SI 表编辑、修改、插入功能。</w:t>
      </w:r>
    </w:p>
    <w:p>
      <w:pPr>
        <w:autoSpaceDE w:val="0"/>
        <w:autoSpaceDN w:val="0"/>
        <w:adjustRightInd w:val="0"/>
        <w:snapToGrid w:val="0"/>
        <w:spacing w:line="360" w:lineRule="auto"/>
        <w:ind w:firstLine="480" w:firstLineChars="200"/>
      </w:pPr>
      <w:r>
        <w:t>支持应急广播表预览功能，能够对下发的应急广播索引表和应</w:t>
      </w:r>
    </w:p>
    <w:p>
      <w:pPr>
        <w:autoSpaceDE w:val="0"/>
        <w:autoSpaceDN w:val="0"/>
        <w:adjustRightInd w:val="0"/>
        <w:snapToGrid w:val="0"/>
        <w:spacing w:line="360" w:lineRule="auto"/>
        <w:ind w:firstLine="480" w:firstLineChars="200"/>
      </w:pPr>
      <w:r>
        <w:t>急广播内容表的详细字段定义进行本地预览查看，按照标准规范进行表分析。</w:t>
      </w:r>
    </w:p>
    <w:p>
      <w:pPr>
        <w:autoSpaceDE w:val="0"/>
        <w:autoSpaceDN w:val="0"/>
        <w:adjustRightInd w:val="0"/>
        <w:snapToGrid w:val="0"/>
        <w:spacing w:line="360" w:lineRule="auto"/>
        <w:ind w:firstLine="480" w:firstLineChars="200"/>
      </w:pPr>
      <w:r>
        <w:t>具备数字电视复用功能，复用系统输出的复用流必须符合国家标准；</w:t>
      </w:r>
    </w:p>
    <w:p>
      <w:pPr>
        <w:autoSpaceDE w:val="0"/>
        <w:autoSpaceDN w:val="0"/>
        <w:adjustRightInd w:val="0"/>
        <w:snapToGrid w:val="0"/>
        <w:spacing w:line="360" w:lineRule="auto"/>
        <w:ind w:firstLine="480" w:firstLineChars="200"/>
      </w:pPr>
      <w:r>
        <w:t>复用系统必须支持PID 的重新映射，支持对PID 码流的过滤；</w:t>
      </w:r>
    </w:p>
    <w:p>
      <w:pPr>
        <w:autoSpaceDE w:val="0"/>
        <w:autoSpaceDN w:val="0"/>
        <w:adjustRightInd w:val="0"/>
        <w:snapToGrid w:val="0"/>
        <w:spacing w:line="360" w:lineRule="auto"/>
        <w:ind w:firstLine="480" w:firstLineChars="200"/>
      </w:pPr>
      <w:r>
        <w:t>具备1路及以上ASI 输入、1路及以上ASI 输出接口。</w:t>
      </w:r>
    </w:p>
    <w:p>
      <w:pPr>
        <w:autoSpaceDE w:val="0"/>
        <w:autoSpaceDN w:val="0"/>
        <w:adjustRightInd w:val="0"/>
        <w:snapToGrid w:val="0"/>
        <w:spacing w:line="360" w:lineRule="auto"/>
        <w:ind w:firstLine="480" w:firstLineChars="200"/>
      </w:pPr>
      <w:r>
        <w:t>4.安全加密功能要求</w:t>
      </w:r>
    </w:p>
    <w:p>
      <w:pPr>
        <w:autoSpaceDE w:val="0"/>
        <w:autoSpaceDN w:val="0"/>
        <w:adjustRightInd w:val="0"/>
        <w:snapToGrid w:val="0"/>
        <w:spacing w:line="360" w:lineRule="auto"/>
        <w:ind w:firstLine="480" w:firstLineChars="200"/>
      </w:pPr>
      <w:r>
        <w:t>具备两个及以上USB 接口，内置安全模块。</w:t>
      </w:r>
    </w:p>
    <w:p>
      <w:pPr>
        <w:autoSpaceDE w:val="0"/>
        <w:autoSpaceDN w:val="0"/>
        <w:adjustRightInd w:val="0"/>
        <w:snapToGrid w:val="0"/>
        <w:spacing w:line="360" w:lineRule="auto"/>
        <w:ind w:firstLine="480" w:firstLineChars="200"/>
      </w:pPr>
      <w:r>
        <w:t>具备对加载有国密算法保护的应急广播协议的封装功能。</w:t>
      </w:r>
    </w:p>
    <w:p>
      <w:pPr>
        <w:autoSpaceDE w:val="0"/>
        <w:autoSpaceDN w:val="0"/>
        <w:adjustRightInd w:val="0"/>
        <w:snapToGrid w:val="0"/>
        <w:spacing w:line="360" w:lineRule="auto"/>
        <w:ind w:firstLine="480" w:firstLineChars="200"/>
      </w:pPr>
      <w:r>
        <w:t>5.接口要求</w:t>
      </w:r>
    </w:p>
    <w:p>
      <w:pPr>
        <w:autoSpaceDE w:val="0"/>
        <w:autoSpaceDN w:val="0"/>
        <w:adjustRightInd w:val="0"/>
        <w:snapToGrid w:val="0"/>
        <w:spacing w:line="360" w:lineRule="auto"/>
        <w:ind w:firstLine="480" w:firstLineChars="200"/>
      </w:pPr>
      <w:r>
        <w:t>采用19 英寸标准机架式设计，插卡式结构，可根据不同应用场景配置不同的板卡。</w:t>
      </w:r>
    </w:p>
    <w:p>
      <w:pPr>
        <w:autoSpaceDE w:val="0"/>
        <w:autoSpaceDN w:val="0"/>
        <w:adjustRightInd w:val="0"/>
        <w:snapToGrid w:val="0"/>
        <w:spacing w:line="360" w:lineRule="auto"/>
        <w:ind w:firstLine="480" w:firstLineChars="200"/>
      </w:pPr>
      <w:r>
        <w:t>具有2个及以上千兆IP 接口。</w:t>
      </w:r>
    </w:p>
    <w:p>
      <w:pPr>
        <w:autoSpaceDE w:val="0"/>
        <w:autoSpaceDN w:val="0"/>
        <w:adjustRightInd w:val="0"/>
        <w:snapToGrid w:val="0"/>
        <w:spacing w:line="360" w:lineRule="auto"/>
        <w:ind w:firstLine="480" w:firstLineChars="200"/>
      </w:pPr>
      <w:r>
        <w:t>具备1路串口，接口类型：RS232。</w:t>
      </w:r>
    </w:p>
    <w:p>
      <w:pPr>
        <w:autoSpaceDE w:val="0"/>
        <w:autoSpaceDN w:val="0"/>
        <w:adjustRightInd w:val="0"/>
        <w:snapToGrid w:val="0"/>
        <w:spacing w:line="360" w:lineRule="auto"/>
        <w:ind w:firstLine="480" w:firstLineChars="200"/>
      </w:pPr>
      <w:r>
        <w:t>具备1路网管IP 接口，接口类型：RJ45。</w:t>
      </w:r>
    </w:p>
    <w:p>
      <w:pPr>
        <w:autoSpaceDE w:val="0"/>
        <w:autoSpaceDN w:val="0"/>
        <w:adjustRightInd w:val="0"/>
        <w:snapToGrid w:val="0"/>
        <w:spacing w:line="360" w:lineRule="auto"/>
        <w:ind w:firstLine="480" w:firstLineChars="200"/>
      </w:pPr>
      <w:r>
        <w:t>具备2个USB 接口，接口类型：USB TypeA。</w:t>
      </w:r>
    </w:p>
    <w:p>
      <w:pPr>
        <w:autoSpaceDE w:val="0"/>
        <w:autoSpaceDN w:val="0"/>
        <w:adjustRightInd w:val="0"/>
        <w:snapToGrid w:val="0"/>
        <w:spacing w:line="360" w:lineRule="auto"/>
        <w:ind w:firstLine="480" w:firstLineChars="200"/>
      </w:pPr>
      <w:r>
        <w:t>具备1路及以上ASI 输入、1路及以上ASI 输出接口，接口类型：BNC。</w:t>
      </w:r>
    </w:p>
    <w:p>
      <w:pPr>
        <w:autoSpaceDE w:val="0"/>
        <w:autoSpaceDN w:val="0"/>
        <w:adjustRightInd w:val="0"/>
        <w:snapToGrid w:val="0"/>
        <w:spacing w:line="360" w:lineRule="auto"/>
        <w:ind w:firstLine="480" w:firstLineChars="200"/>
      </w:pPr>
      <w:r>
        <w:t>具备2路交流电源输入接口，接口类型：三芯电源插座。</w:t>
      </w:r>
    </w:p>
    <w:p>
      <w:pPr>
        <w:pStyle w:val="4"/>
        <w:spacing w:line="360" w:lineRule="auto"/>
        <w:ind w:firstLine="562"/>
        <w:rPr>
          <w:rFonts w:ascii="宋体" w:hAnsi="宋体" w:eastAsia="宋体" w:cs="宋体"/>
          <w:b/>
          <w:bCs/>
          <w:sz w:val="28"/>
          <w:szCs w:val="28"/>
        </w:rPr>
      </w:pPr>
      <w:bookmarkStart w:id="111" w:name="_Toc117014030"/>
      <w:r>
        <w:rPr>
          <w:rFonts w:hint="eastAsia" w:ascii="宋体" w:hAnsi="宋体" w:eastAsia="宋体" w:cs="宋体"/>
          <w:b/>
          <w:bCs/>
          <w:sz w:val="28"/>
          <w:szCs w:val="28"/>
        </w:rPr>
        <w:t>七、有线数字电视应急广播对接系统设备</w:t>
      </w:r>
      <w:bookmarkEnd w:id="111"/>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7.1、有线数字电视应急广播适配器</w:t>
      </w:r>
    </w:p>
    <w:p>
      <w:pPr>
        <w:autoSpaceDE w:val="0"/>
        <w:autoSpaceDN w:val="0"/>
        <w:adjustRightInd w:val="0"/>
        <w:snapToGrid w:val="0"/>
        <w:spacing w:line="360" w:lineRule="auto"/>
        <w:ind w:firstLine="480" w:firstLineChars="200"/>
      </w:pPr>
      <w:r>
        <w:t>满足《GD/J 083—2018 应急广播平台接口规范》、《GDJ 086-2018 有线数字电视应急广播技术规范》要求。</w:t>
      </w:r>
    </w:p>
    <w:p>
      <w:pPr>
        <w:autoSpaceDE w:val="0"/>
        <w:autoSpaceDN w:val="0"/>
        <w:adjustRightInd w:val="0"/>
        <w:snapToGrid w:val="0"/>
        <w:spacing w:line="360" w:lineRule="auto"/>
        <w:ind w:firstLine="480" w:firstLineChars="200"/>
      </w:pPr>
      <w:r>
        <w:t>（一）应急广播平台联动功能要求</w:t>
      </w:r>
    </w:p>
    <w:p>
      <w:pPr>
        <w:widowControl w:val="0"/>
        <w:numPr>
          <w:ilvl w:val="0"/>
          <w:numId w:val="4"/>
        </w:numPr>
        <w:autoSpaceDE w:val="0"/>
        <w:autoSpaceDN w:val="0"/>
        <w:adjustRightInd w:val="0"/>
        <w:snapToGrid w:val="0"/>
        <w:spacing w:line="360" w:lineRule="auto"/>
        <w:ind w:firstLineChars="200"/>
      </w:pPr>
      <w:r>
        <w:rPr>
          <w:rFonts w:hint="eastAsia"/>
        </w:rPr>
        <w:t>具备与上级应急广播平台对接的接口，接口实现符合《GD/J 083—2018 应急广播平台接口规范》。</w:t>
      </w:r>
    </w:p>
    <w:p>
      <w:pPr>
        <w:widowControl w:val="0"/>
        <w:numPr>
          <w:ilvl w:val="0"/>
          <w:numId w:val="4"/>
        </w:numPr>
        <w:autoSpaceDE w:val="0"/>
        <w:autoSpaceDN w:val="0"/>
        <w:adjustRightInd w:val="0"/>
        <w:snapToGrid w:val="0"/>
        <w:spacing w:line="360" w:lineRule="auto"/>
        <w:ind w:firstLineChars="200"/>
      </w:pPr>
      <w:r>
        <w:rPr>
          <w:rFonts w:hint="eastAsia"/>
        </w:rPr>
        <w:t>可接收上级应急广播平台发来的应急广播消息，按照标准规范实现协议解析。</w:t>
      </w:r>
    </w:p>
    <w:p>
      <w:pPr>
        <w:widowControl w:val="0"/>
        <w:numPr>
          <w:ilvl w:val="0"/>
          <w:numId w:val="4"/>
        </w:numPr>
        <w:autoSpaceDE w:val="0"/>
        <w:autoSpaceDN w:val="0"/>
        <w:adjustRightInd w:val="0"/>
        <w:snapToGrid w:val="0"/>
        <w:spacing w:line="360" w:lineRule="auto"/>
        <w:ind w:firstLineChars="200"/>
      </w:pPr>
      <w:r>
        <w:rPr>
          <w:rFonts w:hint="eastAsia"/>
        </w:rPr>
        <w:t>内置符合国密算法的安全模块，具备对接收到的应急广播消息进行验签，对向下级发送的应急广播表进行签名的功能，处理符合《GD/J 081—2018 应急广播安全保护技术规范 数字签名》；</w:t>
      </w:r>
    </w:p>
    <w:p>
      <w:pPr>
        <w:widowControl w:val="0"/>
        <w:numPr>
          <w:ilvl w:val="0"/>
          <w:numId w:val="4"/>
        </w:numPr>
        <w:autoSpaceDE w:val="0"/>
        <w:autoSpaceDN w:val="0"/>
        <w:adjustRightInd w:val="0"/>
        <w:snapToGrid w:val="0"/>
        <w:spacing w:line="360" w:lineRule="auto"/>
        <w:ind w:firstLineChars="200"/>
      </w:pPr>
      <w:r>
        <w:rPr>
          <w:rFonts w:hint="eastAsia"/>
        </w:rPr>
        <w:t>能够与应急广播平台实现接口联动，实现如下功能对接：应急广播消息播发请求、应急广播消息播发状态查询、应急广播消息播发状态反馈、运维数据请求、台站（前端）信息上报、适配器信息上报、传输覆盖播出设备信息上报、播发记录上报、适配器状态上报、传输覆盖播出设备状态上报、心跳检测、处理结果通知</w:t>
      </w:r>
    </w:p>
    <w:p>
      <w:pPr>
        <w:widowControl w:val="0"/>
        <w:numPr>
          <w:ilvl w:val="0"/>
          <w:numId w:val="4"/>
        </w:numPr>
        <w:autoSpaceDE w:val="0"/>
        <w:autoSpaceDN w:val="0"/>
        <w:adjustRightInd w:val="0"/>
        <w:snapToGrid w:val="0"/>
        <w:spacing w:line="360" w:lineRule="auto"/>
        <w:ind w:firstLineChars="200"/>
      </w:pPr>
      <w:r>
        <w:rPr>
          <w:rFonts w:hint="eastAsia"/>
        </w:rPr>
        <w:t>实现有线数字电视的应急广播协议封装、适配、发送，包括有线数字电视TS流的应急广播索引表、应急广播内容表，以及应急广播音视频传输流的处理，输出信号符合《GDJ 086-2018 有线数字电视应急广播技术规范》；有线数字电视机顶盒可依据该规范接收该应急广播消息，实现字幕、图片、音频、音视频的应急广播功能。</w:t>
      </w:r>
    </w:p>
    <w:p>
      <w:pPr>
        <w:autoSpaceDE w:val="0"/>
        <w:autoSpaceDN w:val="0"/>
        <w:adjustRightInd w:val="0"/>
        <w:snapToGrid w:val="0"/>
        <w:spacing w:line="360" w:lineRule="auto"/>
        <w:ind w:firstLine="480" w:firstLineChars="200"/>
      </w:pPr>
      <w:r>
        <w:t>（二）基本功能要求</w:t>
      </w:r>
    </w:p>
    <w:p>
      <w:pPr>
        <w:widowControl w:val="0"/>
        <w:numPr>
          <w:ilvl w:val="0"/>
          <w:numId w:val="5"/>
        </w:numPr>
        <w:autoSpaceDE w:val="0"/>
        <w:autoSpaceDN w:val="0"/>
        <w:adjustRightInd w:val="0"/>
        <w:snapToGrid w:val="0"/>
        <w:spacing w:line="360" w:lineRule="auto"/>
        <w:ind w:firstLineChars="200"/>
      </w:pPr>
      <w:r>
        <w:rPr>
          <w:rFonts w:hint="eastAsia"/>
        </w:rPr>
        <w:t>具备前面板液晶屏及按键，可查询IP地址和设备告警状态。</w:t>
      </w:r>
    </w:p>
    <w:p>
      <w:pPr>
        <w:widowControl w:val="0"/>
        <w:numPr>
          <w:ilvl w:val="0"/>
          <w:numId w:val="5"/>
        </w:numPr>
        <w:autoSpaceDE w:val="0"/>
        <w:autoSpaceDN w:val="0"/>
        <w:adjustRightInd w:val="0"/>
        <w:snapToGrid w:val="0"/>
        <w:spacing w:line="360" w:lineRule="auto"/>
        <w:ind w:firstLineChars="200"/>
      </w:pPr>
      <w:r>
        <w:rPr>
          <w:rFonts w:hint="eastAsia"/>
        </w:rPr>
        <w:t>整机采用嵌入式专用设备设计，以确保广播电视安全播出的稳定可靠。</w:t>
      </w:r>
    </w:p>
    <w:p>
      <w:pPr>
        <w:widowControl w:val="0"/>
        <w:numPr>
          <w:ilvl w:val="0"/>
          <w:numId w:val="5"/>
        </w:numPr>
        <w:autoSpaceDE w:val="0"/>
        <w:autoSpaceDN w:val="0"/>
        <w:adjustRightInd w:val="0"/>
        <w:snapToGrid w:val="0"/>
        <w:spacing w:line="360" w:lineRule="auto"/>
        <w:ind w:firstLineChars="200"/>
      </w:pPr>
      <w:r>
        <w:rPr>
          <w:rFonts w:hint="eastAsia"/>
        </w:rPr>
        <w:t>设备配置管理，应急广播业务配置与监测，均可通过浏览器访问操作。</w:t>
      </w:r>
    </w:p>
    <w:p>
      <w:pPr>
        <w:widowControl w:val="0"/>
        <w:numPr>
          <w:ilvl w:val="0"/>
          <w:numId w:val="5"/>
        </w:numPr>
        <w:autoSpaceDE w:val="0"/>
        <w:autoSpaceDN w:val="0"/>
        <w:adjustRightInd w:val="0"/>
        <w:snapToGrid w:val="0"/>
        <w:spacing w:line="360" w:lineRule="auto"/>
        <w:ind w:firstLineChars="200"/>
      </w:pPr>
      <w:r>
        <w:rPr>
          <w:rFonts w:hint="eastAsia"/>
        </w:rPr>
        <w:t>设备处理TS流符合MPEG-2标准，204/188包长可灵活设置。</w:t>
      </w:r>
    </w:p>
    <w:p>
      <w:pPr>
        <w:widowControl w:val="0"/>
        <w:numPr>
          <w:ilvl w:val="0"/>
          <w:numId w:val="5"/>
        </w:numPr>
        <w:autoSpaceDE w:val="0"/>
        <w:autoSpaceDN w:val="0"/>
        <w:adjustRightInd w:val="0"/>
        <w:snapToGrid w:val="0"/>
        <w:spacing w:line="360" w:lineRule="auto"/>
        <w:ind w:firstLineChars="200"/>
      </w:pPr>
      <w:r>
        <w:rPr>
          <w:rFonts w:hint="eastAsia"/>
        </w:rPr>
        <w:t>具备2个及以上千兆IP接口，确保应急广播并发能力。</w:t>
      </w:r>
    </w:p>
    <w:p>
      <w:pPr>
        <w:widowControl w:val="0"/>
        <w:numPr>
          <w:ilvl w:val="0"/>
          <w:numId w:val="5"/>
        </w:numPr>
        <w:autoSpaceDE w:val="0"/>
        <w:autoSpaceDN w:val="0"/>
        <w:adjustRightInd w:val="0"/>
        <w:snapToGrid w:val="0"/>
        <w:spacing w:line="360" w:lineRule="auto"/>
        <w:ind w:firstLineChars="200"/>
      </w:pPr>
      <w:r>
        <w:rPr>
          <w:rFonts w:hint="eastAsia"/>
        </w:rPr>
        <w:t>支持应急广播节目的接收和存储、解码。</w:t>
      </w:r>
    </w:p>
    <w:p>
      <w:pPr>
        <w:widowControl w:val="0"/>
        <w:numPr>
          <w:ilvl w:val="0"/>
          <w:numId w:val="5"/>
        </w:numPr>
        <w:autoSpaceDE w:val="0"/>
        <w:autoSpaceDN w:val="0"/>
        <w:adjustRightInd w:val="0"/>
        <w:snapToGrid w:val="0"/>
        <w:spacing w:line="360" w:lineRule="auto"/>
        <w:ind w:firstLineChars="200"/>
      </w:pPr>
      <w:r>
        <w:rPr>
          <w:rFonts w:hint="eastAsia"/>
        </w:rPr>
        <w:t>支持应急广播指令的接收和存储、分析。</w:t>
      </w:r>
    </w:p>
    <w:p>
      <w:pPr>
        <w:widowControl w:val="0"/>
        <w:numPr>
          <w:ilvl w:val="0"/>
          <w:numId w:val="5"/>
        </w:numPr>
        <w:autoSpaceDE w:val="0"/>
        <w:autoSpaceDN w:val="0"/>
        <w:adjustRightInd w:val="0"/>
        <w:snapToGrid w:val="0"/>
        <w:spacing w:line="360" w:lineRule="auto"/>
        <w:ind w:firstLineChars="200"/>
      </w:pPr>
      <w:r>
        <w:rPr>
          <w:rFonts w:hint="eastAsia"/>
        </w:rPr>
        <w:t>具备RS232接口，可外接其他应急广播监测设备。</w:t>
      </w:r>
    </w:p>
    <w:p>
      <w:pPr>
        <w:widowControl w:val="0"/>
        <w:numPr>
          <w:ilvl w:val="0"/>
          <w:numId w:val="5"/>
        </w:numPr>
        <w:autoSpaceDE w:val="0"/>
        <w:autoSpaceDN w:val="0"/>
        <w:adjustRightInd w:val="0"/>
        <w:snapToGrid w:val="0"/>
        <w:spacing w:line="360" w:lineRule="auto"/>
        <w:ind w:firstLineChars="200"/>
      </w:pPr>
      <w:r>
        <w:rPr>
          <w:rFonts w:hint="eastAsia"/>
        </w:rPr>
        <w:t>系统必须具有灵活、先进的备份机制，具备包括设备1+1热备份、板卡备份、端口备份、节目备份在内的多级备份能力，确保安全播出。</w:t>
      </w:r>
    </w:p>
    <w:p>
      <w:pPr>
        <w:widowControl w:val="0"/>
        <w:numPr>
          <w:ilvl w:val="0"/>
          <w:numId w:val="5"/>
        </w:numPr>
        <w:autoSpaceDE w:val="0"/>
        <w:autoSpaceDN w:val="0"/>
        <w:adjustRightInd w:val="0"/>
        <w:snapToGrid w:val="0"/>
        <w:spacing w:line="360" w:lineRule="auto"/>
        <w:ind w:firstLineChars="200"/>
      </w:pPr>
      <w:r>
        <w:rPr>
          <w:rFonts w:hint="eastAsia"/>
        </w:rPr>
        <w:t>设备支持实时告警功能。</w:t>
      </w:r>
    </w:p>
    <w:p>
      <w:pPr>
        <w:widowControl w:val="0"/>
        <w:numPr>
          <w:ilvl w:val="0"/>
          <w:numId w:val="5"/>
        </w:numPr>
        <w:autoSpaceDE w:val="0"/>
        <w:autoSpaceDN w:val="0"/>
        <w:adjustRightInd w:val="0"/>
        <w:snapToGrid w:val="0"/>
        <w:spacing w:line="360" w:lineRule="auto"/>
        <w:ind w:firstLineChars="200"/>
      </w:pPr>
      <w:r>
        <w:rPr>
          <w:rFonts w:hint="eastAsia"/>
        </w:rPr>
        <w:t>设备具有100Base-T以太网接口，可实现基于SNMP的集中网络管理。可通过统一网管软件系统的监控管理进行设备配置，并实现通过网管统一集中进行状态监控；</w:t>
      </w:r>
    </w:p>
    <w:p>
      <w:pPr>
        <w:widowControl w:val="0"/>
        <w:numPr>
          <w:ilvl w:val="0"/>
          <w:numId w:val="5"/>
        </w:numPr>
        <w:autoSpaceDE w:val="0"/>
        <w:autoSpaceDN w:val="0"/>
        <w:adjustRightInd w:val="0"/>
        <w:snapToGrid w:val="0"/>
        <w:spacing w:line="360" w:lineRule="auto"/>
        <w:ind w:firstLineChars="200"/>
      </w:pPr>
      <w:r>
        <w:rPr>
          <w:rFonts w:hint="eastAsia"/>
        </w:rPr>
        <w:t>设备要求具备网管IP接口，可支持软件升级。</w:t>
      </w:r>
    </w:p>
    <w:p>
      <w:pPr>
        <w:autoSpaceDE w:val="0"/>
        <w:autoSpaceDN w:val="0"/>
        <w:adjustRightInd w:val="0"/>
        <w:snapToGrid w:val="0"/>
        <w:spacing w:line="360" w:lineRule="auto"/>
        <w:ind w:firstLine="480" w:firstLineChars="200"/>
      </w:pPr>
      <w:r>
        <w:t>（三） 有线数字电视功能要求</w:t>
      </w:r>
    </w:p>
    <w:p>
      <w:pPr>
        <w:widowControl w:val="0"/>
        <w:numPr>
          <w:ilvl w:val="0"/>
          <w:numId w:val="6"/>
        </w:numPr>
        <w:autoSpaceDE w:val="0"/>
        <w:autoSpaceDN w:val="0"/>
        <w:adjustRightInd w:val="0"/>
        <w:snapToGrid w:val="0"/>
        <w:spacing w:line="360" w:lineRule="auto"/>
        <w:ind w:firstLineChars="200"/>
      </w:pPr>
      <w:r>
        <w:rPr>
          <w:rFonts w:hint="eastAsia"/>
        </w:rPr>
        <w:t>具备数字电视TS流的应急广播索引表、应急广播内容表，以及应急广播音视频传输流的输出接口，支持ASI、IP输出。</w:t>
      </w:r>
    </w:p>
    <w:p>
      <w:pPr>
        <w:widowControl w:val="0"/>
        <w:numPr>
          <w:ilvl w:val="0"/>
          <w:numId w:val="6"/>
        </w:numPr>
        <w:autoSpaceDE w:val="0"/>
        <w:autoSpaceDN w:val="0"/>
        <w:adjustRightInd w:val="0"/>
        <w:snapToGrid w:val="0"/>
        <w:spacing w:line="360" w:lineRule="auto"/>
        <w:ind w:firstLineChars="200"/>
      </w:pPr>
      <w:r>
        <w:rPr>
          <w:rFonts w:hint="eastAsia"/>
        </w:rPr>
        <w:t>ASI与千兆IP接口支持MPTS与SPTS，支持GbE全双工输入和输出。</w:t>
      </w:r>
    </w:p>
    <w:p>
      <w:pPr>
        <w:widowControl w:val="0"/>
        <w:numPr>
          <w:ilvl w:val="0"/>
          <w:numId w:val="6"/>
        </w:numPr>
        <w:autoSpaceDE w:val="0"/>
        <w:autoSpaceDN w:val="0"/>
        <w:adjustRightInd w:val="0"/>
        <w:snapToGrid w:val="0"/>
        <w:spacing w:line="360" w:lineRule="auto"/>
        <w:ind w:firstLineChars="200"/>
      </w:pPr>
      <w:r>
        <w:rPr>
          <w:rFonts w:hint="eastAsia"/>
        </w:rPr>
        <w:t>支持数字电视TS流的PSI/SI表编辑、修改、插入功能。</w:t>
      </w:r>
    </w:p>
    <w:p>
      <w:pPr>
        <w:widowControl w:val="0"/>
        <w:numPr>
          <w:ilvl w:val="0"/>
          <w:numId w:val="6"/>
        </w:numPr>
        <w:autoSpaceDE w:val="0"/>
        <w:autoSpaceDN w:val="0"/>
        <w:adjustRightInd w:val="0"/>
        <w:snapToGrid w:val="0"/>
        <w:spacing w:line="360" w:lineRule="auto"/>
        <w:ind w:firstLineChars="200"/>
      </w:pPr>
      <w:r>
        <w:rPr>
          <w:rFonts w:hint="eastAsia"/>
        </w:rPr>
        <w:t>支持应急广播表预览功能，能够对下发的应急广播索引表和应急广播内容表的详细字段定义进行本地预览查看，按照标准规范进行表分析。</w:t>
      </w:r>
    </w:p>
    <w:p>
      <w:pPr>
        <w:widowControl w:val="0"/>
        <w:numPr>
          <w:ilvl w:val="0"/>
          <w:numId w:val="6"/>
        </w:numPr>
        <w:autoSpaceDE w:val="0"/>
        <w:autoSpaceDN w:val="0"/>
        <w:adjustRightInd w:val="0"/>
        <w:snapToGrid w:val="0"/>
        <w:spacing w:line="360" w:lineRule="auto"/>
        <w:ind w:firstLineChars="200"/>
      </w:pPr>
      <w:r>
        <w:rPr>
          <w:rFonts w:hint="eastAsia"/>
        </w:rPr>
        <w:t>具备数字电视复用功能，复用系统输出的复用流必须符合国家标准；</w:t>
      </w:r>
    </w:p>
    <w:p>
      <w:pPr>
        <w:widowControl w:val="0"/>
        <w:numPr>
          <w:ilvl w:val="0"/>
          <w:numId w:val="6"/>
        </w:numPr>
        <w:autoSpaceDE w:val="0"/>
        <w:autoSpaceDN w:val="0"/>
        <w:adjustRightInd w:val="0"/>
        <w:snapToGrid w:val="0"/>
        <w:spacing w:line="360" w:lineRule="auto"/>
        <w:ind w:firstLineChars="200"/>
      </w:pPr>
      <w:r>
        <w:rPr>
          <w:rFonts w:hint="eastAsia"/>
        </w:rPr>
        <w:t>复用系统必须支持PID的重新映射，支持对PID码流的过滤；</w:t>
      </w:r>
    </w:p>
    <w:p>
      <w:pPr>
        <w:widowControl w:val="0"/>
        <w:numPr>
          <w:ilvl w:val="0"/>
          <w:numId w:val="6"/>
        </w:numPr>
        <w:autoSpaceDE w:val="0"/>
        <w:autoSpaceDN w:val="0"/>
        <w:adjustRightInd w:val="0"/>
        <w:snapToGrid w:val="0"/>
        <w:spacing w:line="360" w:lineRule="auto"/>
        <w:ind w:firstLineChars="200"/>
      </w:pPr>
      <w:r>
        <w:rPr>
          <w:rFonts w:hint="eastAsia"/>
        </w:rPr>
        <w:t>具备1路及以上ASI输入、1路及以上ASI输出接口。</w:t>
      </w:r>
    </w:p>
    <w:p>
      <w:pPr>
        <w:autoSpaceDE w:val="0"/>
        <w:autoSpaceDN w:val="0"/>
        <w:adjustRightInd w:val="0"/>
        <w:snapToGrid w:val="0"/>
        <w:spacing w:line="360" w:lineRule="auto"/>
        <w:ind w:firstLine="480" w:firstLineChars="200"/>
        <w:rPr>
          <w:bCs/>
        </w:rPr>
      </w:pPr>
      <w:r>
        <w:rPr>
          <w:bCs/>
        </w:rPr>
        <w:t>（</w:t>
      </w:r>
      <w:r>
        <w:rPr>
          <w:bCs/>
          <w:lang w:val="zh-CN"/>
        </w:rPr>
        <w:t>四</w:t>
      </w:r>
      <w:r>
        <w:rPr>
          <w:bCs/>
        </w:rPr>
        <w:t>）</w:t>
      </w:r>
      <w:r>
        <w:rPr>
          <w:bCs/>
          <w:lang w:val="zh-CN"/>
        </w:rPr>
        <w:t>安全加密功能要求</w:t>
      </w:r>
    </w:p>
    <w:p>
      <w:pPr>
        <w:widowControl w:val="0"/>
        <w:numPr>
          <w:ilvl w:val="0"/>
          <w:numId w:val="7"/>
        </w:numPr>
        <w:autoSpaceDE w:val="0"/>
        <w:autoSpaceDN w:val="0"/>
        <w:adjustRightInd w:val="0"/>
        <w:snapToGrid w:val="0"/>
        <w:spacing w:line="360" w:lineRule="auto"/>
        <w:ind w:firstLineChars="200"/>
      </w:pPr>
      <w:r>
        <w:rPr>
          <w:rFonts w:hint="eastAsia"/>
        </w:rPr>
        <w:t>具备两个及以上USB接口，内置安全模块。</w:t>
      </w:r>
    </w:p>
    <w:p>
      <w:pPr>
        <w:widowControl w:val="0"/>
        <w:numPr>
          <w:ilvl w:val="0"/>
          <w:numId w:val="7"/>
        </w:numPr>
        <w:autoSpaceDE w:val="0"/>
        <w:autoSpaceDN w:val="0"/>
        <w:adjustRightInd w:val="0"/>
        <w:snapToGrid w:val="0"/>
        <w:spacing w:line="360" w:lineRule="auto"/>
        <w:ind w:firstLineChars="200"/>
      </w:pPr>
      <w:r>
        <w:rPr>
          <w:rFonts w:hint="eastAsia"/>
        </w:rPr>
        <w:t>具备对加载有国密算法保护的应急广播协议的封装功能；</w:t>
      </w:r>
    </w:p>
    <w:p>
      <w:pPr>
        <w:autoSpaceDE w:val="0"/>
        <w:autoSpaceDN w:val="0"/>
        <w:adjustRightInd w:val="0"/>
        <w:snapToGrid w:val="0"/>
        <w:spacing w:line="360" w:lineRule="auto"/>
        <w:ind w:firstLine="480" w:firstLineChars="200"/>
      </w:pPr>
      <w:r>
        <w:t>（五）接口要求</w:t>
      </w:r>
    </w:p>
    <w:p>
      <w:pPr>
        <w:widowControl w:val="0"/>
        <w:numPr>
          <w:ilvl w:val="0"/>
          <w:numId w:val="8"/>
        </w:numPr>
        <w:autoSpaceDE w:val="0"/>
        <w:autoSpaceDN w:val="0"/>
        <w:adjustRightInd w:val="0"/>
        <w:snapToGrid w:val="0"/>
        <w:spacing w:line="360" w:lineRule="auto"/>
        <w:ind w:firstLineChars="200"/>
      </w:pPr>
      <w:r>
        <w:rPr>
          <w:rFonts w:hint="eastAsia"/>
        </w:rPr>
        <w:t>采用19英寸标准机架式设计，插卡式结构，可根据不同应用场景配置不同的板卡。</w:t>
      </w:r>
    </w:p>
    <w:p>
      <w:pPr>
        <w:widowControl w:val="0"/>
        <w:numPr>
          <w:ilvl w:val="0"/>
          <w:numId w:val="8"/>
        </w:numPr>
        <w:autoSpaceDE w:val="0"/>
        <w:autoSpaceDN w:val="0"/>
        <w:adjustRightInd w:val="0"/>
        <w:snapToGrid w:val="0"/>
        <w:spacing w:line="360" w:lineRule="auto"/>
        <w:ind w:firstLineChars="200"/>
      </w:pPr>
      <w:r>
        <w:rPr>
          <w:rFonts w:hint="eastAsia"/>
        </w:rPr>
        <w:t>具有2个及以上千兆IP接口。</w:t>
      </w:r>
    </w:p>
    <w:p>
      <w:pPr>
        <w:widowControl w:val="0"/>
        <w:numPr>
          <w:ilvl w:val="0"/>
          <w:numId w:val="8"/>
        </w:numPr>
        <w:autoSpaceDE w:val="0"/>
        <w:autoSpaceDN w:val="0"/>
        <w:adjustRightInd w:val="0"/>
        <w:snapToGrid w:val="0"/>
        <w:spacing w:line="360" w:lineRule="auto"/>
        <w:ind w:firstLineChars="200"/>
      </w:pPr>
      <w:r>
        <w:rPr>
          <w:rFonts w:hint="eastAsia"/>
        </w:rPr>
        <w:t>具备1路串口，接口类型：RS232。</w:t>
      </w:r>
    </w:p>
    <w:p>
      <w:pPr>
        <w:widowControl w:val="0"/>
        <w:numPr>
          <w:ilvl w:val="0"/>
          <w:numId w:val="8"/>
        </w:numPr>
        <w:autoSpaceDE w:val="0"/>
        <w:autoSpaceDN w:val="0"/>
        <w:adjustRightInd w:val="0"/>
        <w:snapToGrid w:val="0"/>
        <w:spacing w:line="360" w:lineRule="auto"/>
        <w:ind w:firstLineChars="200"/>
      </w:pPr>
      <w:r>
        <w:rPr>
          <w:rFonts w:hint="eastAsia"/>
        </w:rPr>
        <w:t>具备1路网管IP接口，接口类型：RJ45。</w:t>
      </w:r>
    </w:p>
    <w:p>
      <w:pPr>
        <w:widowControl w:val="0"/>
        <w:numPr>
          <w:ilvl w:val="0"/>
          <w:numId w:val="8"/>
        </w:numPr>
        <w:autoSpaceDE w:val="0"/>
        <w:autoSpaceDN w:val="0"/>
        <w:adjustRightInd w:val="0"/>
        <w:snapToGrid w:val="0"/>
        <w:spacing w:line="360" w:lineRule="auto"/>
        <w:ind w:firstLineChars="200"/>
      </w:pPr>
      <w:r>
        <w:rPr>
          <w:rFonts w:hint="eastAsia"/>
        </w:rPr>
        <w:t>具备2个USB接口，接口类型：USB TypeA。</w:t>
      </w:r>
    </w:p>
    <w:p>
      <w:pPr>
        <w:widowControl w:val="0"/>
        <w:numPr>
          <w:ilvl w:val="0"/>
          <w:numId w:val="8"/>
        </w:numPr>
        <w:autoSpaceDE w:val="0"/>
        <w:autoSpaceDN w:val="0"/>
        <w:adjustRightInd w:val="0"/>
        <w:snapToGrid w:val="0"/>
        <w:spacing w:line="360" w:lineRule="auto"/>
        <w:ind w:firstLineChars="200"/>
      </w:pPr>
      <w:r>
        <w:rPr>
          <w:rFonts w:hint="eastAsia"/>
        </w:rPr>
        <w:t>具备1路及以上ASI输入、1路及以上ASI输出接口，接口类型：BNC。</w:t>
      </w:r>
    </w:p>
    <w:p>
      <w:pPr>
        <w:widowControl w:val="0"/>
        <w:numPr>
          <w:ilvl w:val="0"/>
          <w:numId w:val="8"/>
        </w:numPr>
        <w:autoSpaceDE w:val="0"/>
        <w:autoSpaceDN w:val="0"/>
        <w:adjustRightInd w:val="0"/>
        <w:snapToGrid w:val="0"/>
        <w:spacing w:line="360" w:lineRule="auto"/>
        <w:ind w:firstLineChars="200"/>
      </w:pPr>
      <w:r>
        <w:rPr>
          <w:rFonts w:hint="eastAsia"/>
        </w:rPr>
        <w:t>具备2路交流电源输入接口，接口类型：三芯电源插座。</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7.2、有线数字电视QAM调制器</w:t>
      </w:r>
    </w:p>
    <w:p>
      <w:pPr>
        <w:widowControl w:val="0"/>
        <w:numPr>
          <w:ilvl w:val="0"/>
          <w:numId w:val="9"/>
        </w:numPr>
        <w:autoSpaceDE w:val="0"/>
        <w:autoSpaceDN w:val="0"/>
        <w:adjustRightInd w:val="0"/>
        <w:snapToGrid w:val="0"/>
        <w:spacing w:line="360" w:lineRule="auto"/>
        <w:ind w:firstLineChars="200"/>
        <w:rPr>
          <w:szCs w:val="21"/>
        </w:rPr>
      </w:pPr>
      <w:r>
        <w:rPr>
          <w:szCs w:val="21"/>
        </w:rPr>
        <w:t>1U标准机架式模块化设备，设备具备多功能扩展卡槽，可扩展如卫星/有线/无线解调接收与调制、加解扰、多格式编转码、多格式适配等多种功能；</w:t>
      </w:r>
    </w:p>
    <w:p>
      <w:pPr>
        <w:widowControl w:val="0"/>
        <w:numPr>
          <w:ilvl w:val="0"/>
          <w:numId w:val="9"/>
        </w:numPr>
        <w:autoSpaceDE w:val="0"/>
        <w:autoSpaceDN w:val="0"/>
        <w:adjustRightInd w:val="0"/>
        <w:snapToGrid w:val="0"/>
        <w:spacing w:line="360" w:lineRule="auto"/>
        <w:ind w:firstLineChars="200"/>
        <w:rPr>
          <w:szCs w:val="21"/>
        </w:rPr>
      </w:pPr>
      <w:r>
        <w:rPr>
          <w:szCs w:val="21"/>
        </w:rPr>
        <w:t>采用基于芯片设计的纯硬件设备，不得采用基于CPU架构的服务器/工控机；</w:t>
      </w:r>
    </w:p>
    <w:p>
      <w:pPr>
        <w:widowControl w:val="0"/>
        <w:numPr>
          <w:ilvl w:val="0"/>
          <w:numId w:val="9"/>
        </w:numPr>
        <w:autoSpaceDE w:val="0"/>
        <w:autoSpaceDN w:val="0"/>
        <w:adjustRightInd w:val="0"/>
        <w:snapToGrid w:val="0"/>
        <w:spacing w:line="360" w:lineRule="auto"/>
        <w:ind w:firstLineChars="200"/>
        <w:rPr>
          <w:szCs w:val="21"/>
        </w:rPr>
      </w:pPr>
      <w:r>
        <w:rPr>
          <w:szCs w:val="21"/>
        </w:rPr>
        <w:t>主机具备2个ASI输入接口、2个ASI输出接口；</w:t>
      </w:r>
    </w:p>
    <w:p>
      <w:pPr>
        <w:widowControl w:val="0"/>
        <w:numPr>
          <w:ilvl w:val="0"/>
          <w:numId w:val="9"/>
        </w:numPr>
        <w:autoSpaceDE w:val="0"/>
        <w:autoSpaceDN w:val="0"/>
        <w:adjustRightInd w:val="0"/>
        <w:snapToGrid w:val="0"/>
        <w:spacing w:line="360" w:lineRule="auto"/>
        <w:ind w:firstLineChars="200"/>
        <w:rPr>
          <w:szCs w:val="21"/>
        </w:rPr>
      </w:pPr>
      <w:r>
        <w:rPr>
          <w:szCs w:val="21"/>
        </w:rPr>
        <w:t>主机具备1个百千兆自适应的IP接口，支持12路输入和12路输出功能；</w:t>
      </w:r>
    </w:p>
    <w:p>
      <w:pPr>
        <w:widowControl w:val="0"/>
        <w:numPr>
          <w:ilvl w:val="0"/>
          <w:numId w:val="9"/>
        </w:numPr>
        <w:autoSpaceDE w:val="0"/>
        <w:autoSpaceDN w:val="0"/>
        <w:adjustRightInd w:val="0"/>
        <w:snapToGrid w:val="0"/>
        <w:spacing w:line="360" w:lineRule="auto"/>
        <w:ind w:firstLineChars="200"/>
        <w:rPr>
          <w:szCs w:val="21"/>
        </w:rPr>
      </w:pPr>
      <w:r>
        <w:rPr>
          <w:szCs w:val="21"/>
        </w:rPr>
        <w:t>具备1个QAM调频输出接口，单个接口支持至少8个频点输出功能；</w:t>
      </w:r>
    </w:p>
    <w:p>
      <w:pPr>
        <w:widowControl w:val="0"/>
        <w:numPr>
          <w:ilvl w:val="0"/>
          <w:numId w:val="9"/>
        </w:numPr>
        <w:autoSpaceDE w:val="0"/>
        <w:autoSpaceDN w:val="0"/>
        <w:adjustRightInd w:val="0"/>
        <w:snapToGrid w:val="0"/>
        <w:spacing w:line="360" w:lineRule="auto"/>
        <w:ind w:firstLineChars="200"/>
        <w:rPr>
          <w:szCs w:val="21"/>
        </w:rPr>
      </w:pPr>
      <w:r>
        <w:rPr>
          <w:szCs w:val="21"/>
        </w:rPr>
        <w:t>支持16/32/64/128/256QAM的调制方式；</w:t>
      </w:r>
    </w:p>
    <w:p>
      <w:pPr>
        <w:widowControl w:val="0"/>
        <w:numPr>
          <w:ilvl w:val="0"/>
          <w:numId w:val="9"/>
        </w:numPr>
        <w:autoSpaceDE w:val="0"/>
        <w:autoSpaceDN w:val="0"/>
        <w:adjustRightInd w:val="0"/>
        <w:snapToGrid w:val="0"/>
        <w:spacing w:line="360" w:lineRule="auto"/>
        <w:ind w:firstLineChars="200"/>
        <w:rPr>
          <w:szCs w:val="21"/>
        </w:rPr>
      </w:pPr>
      <w:r>
        <w:rPr>
          <w:szCs w:val="21"/>
        </w:rPr>
        <w:t>支持48-862MHz的调制频率；</w:t>
      </w:r>
    </w:p>
    <w:p>
      <w:pPr>
        <w:widowControl w:val="0"/>
        <w:numPr>
          <w:ilvl w:val="0"/>
          <w:numId w:val="9"/>
        </w:numPr>
        <w:autoSpaceDE w:val="0"/>
        <w:autoSpaceDN w:val="0"/>
        <w:adjustRightInd w:val="0"/>
        <w:snapToGrid w:val="0"/>
        <w:spacing w:line="360" w:lineRule="auto"/>
        <w:ind w:firstLineChars="200"/>
        <w:rPr>
          <w:szCs w:val="21"/>
        </w:rPr>
      </w:pPr>
      <w:r>
        <w:rPr>
          <w:szCs w:val="21"/>
        </w:rPr>
        <w:t>支持MPTS与SPTS输入输出，支持188、204字节的包长；</w:t>
      </w:r>
    </w:p>
    <w:p>
      <w:pPr>
        <w:widowControl w:val="0"/>
        <w:numPr>
          <w:ilvl w:val="0"/>
          <w:numId w:val="9"/>
        </w:numPr>
        <w:autoSpaceDE w:val="0"/>
        <w:autoSpaceDN w:val="0"/>
        <w:adjustRightInd w:val="0"/>
        <w:snapToGrid w:val="0"/>
        <w:spacing w:line="360" w:lineRule="auto"/>
        <w:ind w:firstLineChars="200"/>
        <w:rPr>
          <w:szCs w:val="21"/>
        </w:rPr>
      </w:pPr>
      <w:r>
        <w:rPr>
          <w:szCs w:val="21"/>
        </w:rPr>
        <w:t>支持EPG通过ASI或IP的方式插入，支持PSI/SI表格的生成功能；</w:t>
      </w:r>
    </w:p>
    <w:p>
      <w:pPr>
        <w:widowControl w:val="0"/>
        <w:numPr>
          <w:ilvl w:val="0"/>
          <w:numId w:val="9"/>
        </w:numPr>
        <w:autoSpaceDE w:val="0"/>
        <w:autoSpaceDN w:val="0"/>
        <w:adjustRightInd w:val="0"/>
        <w:snapToGrid w:val="0"/>
        <w:spacing w:line="360" w:lineRule="auto"/>
        <w:ind w:firstLineChars="200"/>
        <w:rPr>
          <w:szCs w:val="21"/>
        </w:rPr>
      </w:pPr>
      <w:r>
        <w:rPr>
          <w:szCs w:val="21"/>
        </w:rPr>
        <w:t>支持FEC前向纠错功能；</w:t>
      </w:r>
    </w:p>
    <w:p>
      <w:pPr>
        <w:widowControl w:val="0"/>
        <w:numPr>
          <w:ilvl w:val="0"/>
          <w:numId w:val="9"/>
        </w:numPr>
        <w:autoSpaceDE w:val="0"/>
        <w:autoSpaceDN w:val="0"/>
        <w:adjustRightInd w:val="0"/>
        <w:snapToGrid w:val="0"/>
        <w:spacing w:line="360" w:lineRule="auto"/>
        <w:ind w:firstLineChars="200"/>
        <w:rPr>
          <w:szCs w:val="21"/>
        </w:rPr>
      </w:pPr>
      <w:r>
        <w:rPr>
          <w:szCs w:val="21"/>
        </w:rPr>
        <w:t>设备支持高标清信号源、MPEG-2、H.264、AVS+及Data等数据的混传功能；</w:t>
      </w:r>
    </w:p>
    <w:p>
      <w:pPr>
        <w:widowControl w:val="0"/>
        <w:numPr>
          <w:ilvl w:val="0"/>
          <w:numId w:val="9"/>
        </w:numPr>
        <w:autoSpaceDE w:val="0"/>
        <w:autoSpaceDN w:val="0"/>
        <w:adjustRightInd w:val="0"/>
        <w:snapToGrid w:val="0"/>
        <w:spacing w:line="360" w:lineRule="auto"/>
        <w:ind w:firstLineChars="200"/>
        <w:rPr>
          <w:szCs w:val="21"/>
        </w:rPr>
      </w:pPr>
      <w:r>
        <w:rPr>
          <w:szCs w:val="21"/>
        </w:rPr>
        <w:t>支持流级、节目级、PID级的映射和透传功能；</w:t>
      </w:r>
    </w:p>
    <w:p>
      <w:pPr>
        <w:widowControl w:val="0"/>
        <w:numPr>
          <w:ilvl w:val="0"/>
          <w:numId w:val="9"/>
        </w:numPr>
        <w:autoSpaceDE w:val="0"/>
        <w:autoSpaceDN w:val="0"/>
        <w:adjustRightInd w:val="0"/>
        <w:snapToGrid w:val="0"/>
        <w:spacing w:line="360" w:lineRule="auto"/>
        <w:ind w:firstLineChars="200"/>
        <w:rPr>
          <w:szCs w:val="21"/>
        </w:rPr>
      </w:pPr>
      <w:r>
        <w:rPr>
          <w:szCs w:val="21"/>
        </w:rPr>
        <w:t>支持UDP、RTP、ICMP、IGMP等协议；</w:t>
      </w:r>
    </w:p>
    <w:p>
      <w:pPr>
        <w:widowControl w:val="0"/>
        <w:numPr>
          <w:ilvl w:val="0"/>
          <w:numId w:val="9"/>
        </w:numPr>
        <w:autoSpaceDE w:val="0"/>
        <w:autoSpaceDN w:val="0"/>
        <w:adjustRightInd w:val="0"/>
        <w:snapToGrid w:val="0"/>
        <w:spacing w:line="360" w:lineRule="auto"/>
        <w:ind w:firstLineChars="200"/>
        <w:rPr>
          <w:szCs w:val="21"/>
        </w:rPr>
      </w:pPr>
      <w:r>
        <w:rPr>
          <w:szCs w:val="21"/>
        </w:rPr>
        <w:t>支持PSI/SI表自动搜索、重映射、编辑、透传等功能，支持PCR、video、audio、PMT等PID的重映射和过滤功能；</w:t>
      </w:r>
    </w:p>
    <w:p>
      <w:pPr>
        <w:widowControl w:val="0"/>
        <w:numPr>
          <w:ilvl w:val="0"/>
          <w:numId w:val="9"/>
        </w:numPr>
        <w:autoSpaceDE w:val="0"/>
        <w:autoSpaceDN w:val="0"/>
        <w:adjustRightInd w:val="0"/>
        <w:snapToGrid w:val="0"/>
        <w:spacing w:line="360" w:lineRule="auto"/>
        <w:ind w:firstLineChars="200"/>
        <w:rPr>
          <w:szCs w:val="21"/>
        </w:rPr>
      </w:pPr>
      <w:r>
        <w:rPr>
          <w:szCs w:val="21"/>
        </w:rPr>
        <w:t>具有码率检测功能并能实时监测码率最新状态，包括总码率和有效码率；</w:t>
      </w:r>
    </w:p>
    <w:p>
      <w:pPr>
        <w:widowControl w:val="0"/>
        <w:numPr>
          <w:ilvl w:val="0"/>
          <w:numId w:val="9"/>
        </w:numPr>
        <w:autoSpaceDE w:val="0"/>
        <w:autoSpaceDN w:val="0"/>
        <w:adjustRightInd w:val="0"/>
        <w:snapToGrid w:val="0"/>
        <w:spacing w:line="360" w:lineRule="auto"/>
        <w:ind w:firstLineChars="200"/>
        <w:rPr>
          <w:szCs w:val="21"/>
        </w:rPr>
      </w:pPr>
      <w:r>
        <w:rPr>
          <w:szCs w:val="21"/>
        </w:rPr>
        <w:t>支持故障通道隔离功能，当某路输入码流异常后，不会影响复用输出的其他通道的节目；</w:t>
      </w:r>
    </w:p>
    <w:p>
      <w:pPr>
        <w:widowControl w:val="0"/>
        <w:numPr>
          <w:ilvl w:val="0"/>
          <w:numId w:val="9"/>
        </w:numPr>
        <w:autoSpaceDE w:val="0"/>
        <w:autoSpaceDN w:val="0"/>
        <w:adjustRightInd w:val="0"/>
        <w:snapToGrid w:val="0"/>
        <w:spacing w:line="360" w:lineRule="auto"/>
        <w:ind w:firstLineChars="200"/>
        <w:rPr>
          <w:szCs w:val="21"/>
        </w:rPr>
      </w:pPr>
      <w:r>
        <w:rPr>
          <w:szCs w:val="21"/>
        </w:rPr>
        <w:t>具有断电参数保持功能；</w:t>
      </w:r>
    </w:p>
    <w:p>
      <w:pPr>
        <w:widowControl w:val="0"/>
        <w:numPr>
          <w:ilvl w:val="0"/>
          <w:numId w:val="9"/>
        </w:numPr>
        <w:autoSpaceDE w:val="0"/>
        <w:autoSpaceDN w:val="0"/>
        <w:adjustRightInd w:val="0"/>
        <w:snapToGrid w:val="0"/>
        <w:spacing w:line="360" w:lineRule="auto"/>
        <w:ind w:firstLineChars="200"/>
        <w:rPr>
          <w:szCs w:val="21"/>
        </w:rPr>
      </w:pPr>
      <w:r>
        <w:rPr>
          <w:szCs w:val="21"/>
        </w:rPr>
        <w:t>具备独立的网络管理接口，支持WEB 网管和统一网管的控制，支持 SNMP v1/v2c 的标准 Mib 库用于第三方集成；</w:t>
      </w:r>
    </w:p>
    <w:p>
      <w:pPr>
        <w:widowControl w:val="0"/>
        <w:numPr>
          <w:ilvl w:val="0"/>
          <w:numId w:val="9"/>
        </w:numPr>
        <w:autoSpaceDE w:val="0"/>
        <w:autoSpaceDN w:val="0"/>
        <w:adjustRightInd w:val="0"/>
        <w:snapToGrid w:val="0"/>
        <w:spacing w:line="360" w:lineRule="auto"/>
        <w:ind w:firstLineChars="200"/>
        <w:rPr>
          <w:szCs w:val="21"/>
        </w:rPr>
      </w:pPr>
      <w:r>
        <w:rPr>
          <w:szCs w:val="21"/>
        </w:rPr>
        <w:t>调制器支持复用功能的，可与IP复用器合并为一台设备。</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7.3、IP复用器</w:t>
      </w:r>
    </w:p>
    <w:p>
      <w:pPr>
        <w:widowControl w:val="0"/>
        <w:numPr>
          <w:ilvl w:val="0"/>
          <w:numId w:val="10"/>
        </w:numPr>
        <w:autoSpaceDE w:val="0"/>
        <w:autoSpaceDN w:val="0"/>
        <w:adjustRightInd w:val="0"/>
        <w:snapToGrid w:val="0"/>
        <w:spacing w:line="360" w:lineRule="auto"/>
        <w:rPr>
          <w:szCs w:val="21"/>
        </w:rPr>
      </w:pPr>
      <w:r>
        <w:rPr>
          <w:rFonts w:hint="eastAsia"/>
          <w:szCs w:val="21"/>
        </w:rPr>
        <w:t>符合ISO13818和EN300468标准</w:t>
      </w:r>
    </w:p>
    <w:p>
      <w:pPr>
        <w:widowControl w:val="0"/>
        <w:numPr>
          <w:ilvl w:val="0"/>
          <w:numId w:val="10"/>
        </w:numPr>
        <w:autoSpaceDE w:val="0"/>
        <w:autoSpaceDN w:val="0"/>
        <w:adjustRightInd w:val="0"/>
        <w:snapToGrid w:val="0"/>
        <w:spacing w:line="360" w:lineRule="auto"/>
        <w:ind w:firstLineChars="200"/>
        <w:rPr>
          <w:szCs w:val="21"/>
        </w:rPr>
      </w:pPr>
      <w:r>
        <w:rPr>
          <w:rFonts w:hint="eastAsia"/>
          <w:szCs w:val="21"/>
        </w:rPr>
        <w:t>支持不少于</w:t>
      </w:r>
      <w:r>
        <w:rPr>
          <w:szCs w:val="21"/>
        </w:rPr>
        <w:t>12</w:t>
      </w:r>
      <w:r>
        <w:rPr>
          <w:rFonts w:hint="eastAsia"/>
          <w:szCs w:val="21"/>
        </w:rPr>
        <w:t>路 IP输入（MPTS或者SPTS)</w:t>
      </w:r>
    </w:p>
    <w:p>
      <w:pPr>
        <w:widowControl w:val="0"/>
        <w:numPr>
          <w:ilvl w:val="0"/>
          <w:numId w:val="10"/>
        </w:numPr>
        <w:autoSpaceDE w:val="0"/>
        <w:autoSpaceDN w:val="0"/>
        <w:adjustRightInd w:val="0"/>
        <w:snapToGrid w:val="0"/>
        <w:spacing w:line="360" w:lineRule="auto"/>
        <w:ind w:firstLineChars="200"/>
        <w:rPr>
          <w:szCs w:val="21"/>
        </w:rPr>
      </w:pPr>
      <w:r>
        <w:rPr>
          <w:rFonts w:hint="eastAsia"/>
          <w:szCs w:val="21"/>
        </w:rPr>
        <w:t>支持2路ASI输出</w:t>
      </w:r>
    </w:p>
    <w:p>
      <w:pPr>
        <w:widowControl w:val="0"/>
        <w:numPr>
          <w:ilvl w:val="0"/>
          <w:numId w:val="10"/>
        </w:numPr>
        <w:autoSpaceDE w:val="0"/>
        <w:autoSpaceDN w:val="0"/>
        <w:adjustRightInd w:val="0"/>
        <w:snapToGrid w:val="0"/>
        <w:spacing w:line="360" w:lineRule="auto"/>
        <w:ind w:firstLineChars="200"/>
        <w:rPr>
          <w:szCs w:val="21"/>
        </w:rPr>
      </w:pPr>
      <w:r>
        <w:rPr>
          <w:rFonts w:hint="eastAsia"/>
          <w:szCs w:val="21"/>
        </w:rPr>
        <w:t>支持</w:t>
      </w:r>
      <w:r>
        <w:rPr>
          <w:szCs w:val="21"/>
        </w:rPr>
        <w:t>1</w:t>
      </w:r>
      <w:r>
        <w:rPr>
          <w:rFonts w:hint="eastAsia"/>
          <w:szCs w:val="21"/>
        </w:rPr>
        <w:t>路IP输出</w:t>
      </w:r>
    </w:p>
    <w:p>
      <w:pPr>
        <w:widowControl w:val="0"/>
        <w:numPr>
          <w:ilvl w:val="0"/>
          <w:numId w:val="10"/>
        </w:numPr>
        <w:autoSpaceDE w:val="0"/>
        <w:autoSpaceDN w:val="0"/>
        <w:adjustRightInd w:val="0"/>
        <w:snapToGrid w:val="0"/>
        <w:spacing w:line="360" w:lineRule="auto"/>
        <w:ind w:firstLineChars="200"/>
        <w:rPr>
          <w:szCs w:val="21"/>
        </w:rPr>
      </w:pPr>
      <w:r>
        <w:rPr>
          <w:rFonts w:hint="eastAsia"/>
          <w:szCs w:val="21"/>
        </w:rPr>
        <w:t>支持PCR精确调整</w:t>
      </w:r>
    </w:p>
    <w:p>
      <w:pPr>
        <w:widowControl w:val="0"/>
        <w:numPr>
          <w:ilvl w:val="0"/>
          <w:numId w:val="10"/>
        </w:numPr>
        <w:autoSpaceDE w:val="0"/>
        <w:autoSpaceDN w:val="0"/>
        <w:adjustRightInd w:val="0"/>
        <w:snapToGrid w:val="0"/>
        <w:spacing w:line="360" w:lineRule="auto"/>
        <w:ind w:firstLineChars="200"/>
        <w:rPr>
          <w:szCs w:val="21"/>
        </w:rPr>
      </w:pPr>
      <w:r>
        <w:rPr>
          <w:rFonts w:hint="eastAsia"/>
          <w:szCs w:val="21"/>
        </w:rPr>
        <w:t>支持超大缓存，抗突发码流</w:t>
      </w:r>
    </w:p>
    <w:p>
      <w:pPr>
        <w:widowControl w:val="0"/>
        <w:numPr>
          <w:ilvl w:val="0"/>
          <w:numId w:val="10"/>
        </w:numPr>
        <w:autoSpaceDE w:val="0"/>
        <w:autoSpaceDN w:val="0"/>
        <w:adjustRightInd w:val="0"/>
        <w:snapToGrid w:val="0"/>
        <w:spacing w:line="360" w:lineRule="auto"/>
        <w:ind w:firstLineChars="200"/>
        <w:rPr>
          <w:szCs w:val="21"/>
        </w:rPr>
      </w:pPr>
      <w:r>
        <w:rPr>
          <w:rFonts w:hint="eastAsia"/>
          <w:szCs w:val="21"/>
        </w:rPr>
        <w:t>支持SDT表插入</w:t>
      </w:r>
    </w:p>
    <w:p>
      <w:pPr>
        <w:widowControl w:val="0"/>
        <w:numPr>
          <w:ilvl w:val="0"/>
          <w:numId w:val="10"/>
        </w:numPr>
        <w:autoSpaceDE w:val="0"/>
        <w:autoSpaceDN w:val="0"/>
        <w:adjustRightInd w:val="0"/>
        <w:snapToGrid w:val="0"/>
        <w:spacing w:line="360" w:lineRule="auto"/>
        <w:ind w:firstLineChars="200"/>
        <w:rPr>
          <w:szCs w:val="21"/>
        </w:rPr>
      </w:pPr>
      <w:r>
        <w:rPr>
          <w:rFonts w:hint="eastAsia"/>
          <w:szCs w:val="21"/>
        </w:rPr>
        <w:t>支持PID透传</w:t>
      </w:r>
    </w:p>
    <w:p>
      <w:pPr>
        <w:widowControl w:val="0"/>
        <w:numPr>
          <w:ilvl w:val="0"/>
          <w:numId w:val="10"/>
        </w:numPr>
        <w:autoSpaceDE w:val="0"/>
        <w:autoSpaceDN w:val="0"/>
        <w:adjustRightInd w:val="0"/>
        <w:snapToGrid w:val="0"/>
        <w:spacing w:line="360" w:lineRule="auto"/>
        <w:ind w:firstLineChars="200"/>
        <w:rPr>
          <w:szCs w:val="21"/>
        </w:rPr>
      </w:pPr>
      <w:r>
        <w:rPr>
          <w:rFonts w:hint="eastAsia"/>
          <w:szCs w:val="21"/>
        </w:rPr>
        <w:t xml:space="preserve">每一路复用支持不少于512个PID </w:t>
      </w:r>
    </w:p>
    <w:p>
      <w:pPr>
        <w:widowControl w:val="0"/>
        <w:numPr>
          <w:ilvl w:val="0"/>
          <w:numId w:val="10"/>
        </w:numPr>
        <w:autoSpaceDE w:val="0"/>
        <w:autoSpaceDN w:val="0"/>
        <w:adjustRightInd w:val="0"/>
        <w:snapToGrid w:val="0"/>
        <w:spacing w:line="360" w:lineRule="auto"/>
        <w:ind w:firstLineChars="200"/>
        <w:rPr>
          <w:szCs w:val="21"/>
        </w:rPr>
      </w:pPr>
      <w:r>
        <w:rPr>
          <w:rFonts w:hint="eastAsia"/>
          <w:szCs w:val="21"/>
        </w:rPr>
        <w:t>支持中英文液晶显示和按键操作，Web网管。</w:t>
      </w:r>
    </w:p>
    <w:p>
      <w:pPr>
        <w:pStyle w:val="4"/>
        <w:spacing w:line="360" w:lineRule="auto"/>
        <w:ind w:firstLine="562"/>
        <w:rPr>
          <w:rFonts w:ascii="宋体" w:hAnsi="宋体" w:eastAsia="宋体" w:cs="宋体"/>
          <w:b/>
          <w:bCs/>
          <w:sz w:val="28"/>
          <w:szCs w:val="28"/>
        </w:rPr>
      </w:pPr>
      <w:bookmarkStart w:id="112" w:name="_Toc117014031"/>
      <w:r>
        <w:rPr>
          <w:rFonts w:hint="eastAsia" w:ascii="宋体" w:hAnsi="宋体" w:eastAsia="宋体" w:cs="宋体"/>
          <w:b/>
          <w:bCs/>
          <w:sz w:val="28"/>
          <w:szCs w:val="28"/>
        </w:rPr>
        <w:t>八、机房环境监测系统设备</w:t>
      </w:r>
      <w:bookmarkEnd w:id="112"/>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8.1、网络摄像头</w:t>
      </w:r>
    </w:p>
    <w:p>
      <w:pPr>
        <w:widowControl w:val="0"/>
        <w:autoSpaceDE w:val="0"/>
        <w:autoSpaceDN w:val="0"/>
        <w:adjustRightInd w:val="0"/>
        <w:snapToGrid w:val="0"/>
        <w:spacing w:line="360" w:lineRule="auto"/>
        <w:ind w:left="240" w:leftChars="100"/>
      </w:pPr>
      <w:r>
        <w:t>1.采用 200 万星光级 1/2.7”CMOS ICR 红外阵列网络摄像机；</w:t>
      </w:r>
    </w:p>
    <w:p>
      <w:pPr>
        <w:widowControl w:val="0"/>
        <w:autoSpaceDE w:val="0"/>
        <w:autoSpaceDN w:val="0"/>
        <w:adjustRightInd w:val="0"/>
        <w:snapToGrid w:val="0"/>
        <w:spacing w:line="360" w:lineRule="auto"/>
        <w:ind w:left="240" w:leftChars="100"/>
      </w:pPr>
      <w:r>
        <w:t>2.快门支持 1/3 秒至 1/100000 秒；</w:t>
      </w:r>
    </w:p>
    <w:p>
      <w:pPr>
        <w:widowControl w:val="0"/>
        <w:autoSpaceDE w:val="0"/>
        <w:autoSpaceDN w:val="0"/>
        <w:adjustRightInd w:val="0"/>
        <w:snapToGrid w:val="0"/>
        <w:spacing w:line="360" w:lineRule="auto"/>
        <w:ind w:left="240" w:leftChars="100"/>
      </w:pPr>
      <w:r>
        <w:t>3.支持背光补偿功能；</w:t>
      </w:r>
    </w:p>
    <w:p>
      <w:pPr>
        <w:widowControl w:val="0"/>
        <w:autoSpaceDE w:val="0"/>
        <w:autoSpaceDN w:val="0"/>
        <w:adjustRightInd w:val="0"/>
        <w:snapToGrid w:val="0"/>
        <w:spacing w:line="360" w:lineRule="auto"/>
        <w:ind w:left="240" w:leftChars="100"/>
      </w:pPr>
      <w:r>
        <w:t>4.支持 3D 数字降噪功能；</w:t>
      </w:r>
    </w:p>
    <w:p>
      <w:pPr>
        <w:widowControl w:val="0"/>
        <w:autoSpaceDE w:val="0"/>
        <w:autoSpaceDN w:val="0"/>
        <w:adjustRightInd w:val="0"/>
        <w:snapToGrid w:val="0"/>
        <w:spacing w:line="360" w:lineRule="auto"/>
        <w:ind w:left="240" w:leftChars="100"/>
      </w:pPr>
      <w:r>
        <w:t>5.支持 H.264/MJPEG 视频压缩标准；</w:t>
      </w:r>
    </w:p>
    <w:p>
      <w:pPr>
        <w:widowControl w:val="0"/>
        <w:autoSpaceDE w:val="0"/>
        <w:autoSpaceDN w:val="0"/>
        <w:adjustRightInd w:val="0"/>
        <w:snapToGrid w:val="0"/>
        <w:spacing w:line="360" w:lineRule="auto"/>
        <w:ind w:left="240" w:leftChars="100"/>
      </w:pPr>
      <w:r>
        <w:t>6.压缩码率支持 32Kbps-8Mbps；</w:t>
      </w:r>
    </w:p>
    <w:p>
      <w:pPr>
        <w:widowControl w:val="0"/>
        <w:autoSpaceDE w:val="0"/>
        <w:autoSpaceDN w:val="0"/>
        <w:adjustRightInd w:val="0"/>
        <w:snapToGrid w:val="0"/>
        <w:spacing w:line="360" w:lineRule="auto"/>
        <w:ind w:left="240" w:leftChars="100"/>
      </w:pPr>
      <w:r>
        <w:t>7.分辨率支持 1920*1080、1280*960、1280*720；</w:t>
      </w:r>
    </w:p>
    <w:p>
      <w:pPr>
        <w:widowControl w:val="0"/>
        <w:autoSpaceDE w:val="0"/>
        <w:autoSpaceDN w:val="0"/>
        <w:adjustRightInd w:val="0"/>
        <w:snapToGrid w:val="0"/>
        <w:spacing w:line="360" w:lineRule="auto"/>
        <w:ind w:left="240" w:leftChars="100"/>
      </w:pPr>
      <w:r>
        <w:t>8.支持移动侦测、越界侦测、区域入侵侦测、动态分析、遮挡报警等功能；</w:t>
      </w:r>
    </w:p>
    <w:p>
      <w:pPr>
        <w:widowControl w:val="0"/>
        <w:autoSpaceDE w:val="0"/>
        <w:autoSpaceDN w:val="0"/>
        <w:adjustRightInd w:val="0"/>
        <w:snapToGrid w:val="0"/>
        <w:spacing w:line="360" w:lineRule="auto"/>
        <w:ind w:left="240" w:leftChars="100"/>
      </w:pPr>
      <w:r>
        <w:t>9.支持防闪烁、双码流、心跳、镜像、密码保护、视频遮盖、水印技术等功能。</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8.2、4 路硬盘刻录机</w:t>
      </w:r>
    </w:p>
    <w:p>
      <w:pPr>
        <w:widowControl w:val="0"/>
        <w:autoSpaceDE w:val="0"/>
        <w:autoSpaceDN w:val="0"/>
        <w:adjustRightInd w:val="0"/>
        <w:snapToGrid w:val="0"/>
        <w:spacing w:line="360" w:lineRule="auto"/>
        <w:ind w:left="240" w:leftChars="100"/>
      </w:pPr>
      <w:r>
        <w:t>1.支持 4 路视频输入；</w:t>
      </w:r>
    </w:p>
    <w:p>
      <w:pPr>
        <w:widowControl w:val="0"/>
        <w:autoSpaceDE w:val="0"/>
        <w:autoSpaceDN w:val="0"/>
        <w:adjustRightInd w:val="0"/>
        <w:snapToGrid w:val="0"/>
        <w:spacing w:line="360" w:lineRule="auto"/>
        <w:ind w:left="240" w:leftChars="100"/>
      </w:pPr>
      <w:r>
        <w:t>2.具备 HDMI、VGA、音频输出接口；</w:t>
      </w:r>
    </w:p>
    <w:p>
      <w:pPr>
        <w:widowControl w:val="0"/>
        <w:autoSpaceDE w:val="0"/>
        <w:autoSpaceDN w:val="0"/>
        <w:adjustRightInd w:val="0"/>
        <w:snapToGrid w:val="0"/>
        <w:spacing w:line="360" w:lineRule="auto"/>
        <w:ind w:left="240" w:leftChars="100"/>
      </w:pPr>
      <w:r>
        <w:t>3.支持 4 路同步回放功能；</w:t>
      </w:r>
    </w:p>
    <w:p>
      <w:pPr>
        <w:widowControl w:val="0"/>
        <w:autoSpaceDE w:val="0"/>
        <w:autoSpaceDN w:val="0"/>
        <w:adjustRightInd w:val="0"/>
        <w:snapToGrid w:val="0"/>
        <w:spacing w:line="360" w:lineRule="auto"/>
        <w:ind w:left="240" w:leftChars="100"/>
      </w:pPr>
      <w:r>
        <w:t>4.支持即时回放、常规回放、事件回放、标签回放、日志回放等功能；</w:t>
      </w:r>
    </w:p>
    <w:p>
      <w:pPr>
        <w:widowControl w:val="0"/>
        <w:autoSpaceDE w:val="0"/>
        <w:autoSpaceDN w:val="0"/>
        <w:adjustRightInd w:val="0"/>
        <w:snapToGrid w:val="0"/>
        <w:spacing w:line="360" w:lineRule="auto"/>
        <w:ind w:left="240" w:leftChars="100"/>
      </w:pPr>
      <w:r>
        <w:t>5.支持常规备份、事件备份、录像剪辑备份等功能；</w:t>
      </w:r>
    </w:p>
    <w:p>
      <w:pPr>
        <w:widowControl w:val="0"/>
        <w:autoSpaceDE w:val="0"/>
        <w:autoSpaceDN w:val="0"/>
        <w:adjustRightInd w:val="0"/>
        <w:snapToGrid w:val="0"/>
        <w:spacing w:line="360" w:lineRule="auto"/>
        <w:ind w:left="240" w:leftChars="100"/>
      </w:pPr>
      <w:r>
        <w:t>6.支持手动录像、定时录像、移动侦测录像、报警录像、动测或报警录像等功能；</w:t>
      </w:r>
    </w:p>
    <w:p>
      <w:pPr>
        <w:widowControl w:val="0"/>
        <w:autoSpaceDE w:val="0"/>
        <w:autoSpaceDN w:val="0"/>
        <w:adjustRightInd w:val="0"/>
        <w:snapToGrid w:val="0"/>
        <w:spacing w:line="360" w:lineRule="auto"/>
        <w:ind w:left="240" w:leftChars="100"/>
      </w:pPr>
      <w:r>
        <w:t>7.至少具备 4 路 10/100Mbps 的 PoE 接口，接口类型 RJ45；</w:t>
      </w:r>
    </w:p>
    <w:p>
      <w:pPr>
        <w:widowControl w:val="0"/>
        <w:autoSpaceDE w:val="0"/>
        <w:autoSpaceDN w:val="0"/>
        <w:adjustRightInd w:val="0"/>
        <w:snapToGrid w:val="0"/>
        <w:spacing w:line="360" w:lineRule="auto"/>
        <w:ind w:left="240" w:leftChars="100"/>
      </w:pPr>
      <w:r>
        <w:t>8.至少具备 1 个 USB 接口；</w:t>
      </w:r>
    </w:p>
    <w:p>
      <w:pPr>
        <w:widowControl w:val="0"/>
        <w:autoSpaceDE w:val="0"/>
        <w:autoSpaceDN w:val="0"/>
        <w:adjustRightInd w:val="0"/>
        <w:snapToGrid w:val="0"/>
        <w:spacing w:line="360" w:lineRule="auto"/>
        <w:ind w:left="240" w:leftChars="100"/>
      </w:pPr>
      <w:r>
        <w:t>9.至少具备 1 个 10/100/1000Mbps 的 RJ45 接口。</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8.3、门禁系统</w:t>
      </w:r>
    </w:p>
    <w:p>
      <w:pPr>
        <w:widowControl w:val="0"/>
        <w:autoSpaceDE w:val="0"/>
        <w:autoSpaceDN w:val="0"/>
        <w:adjustRightInd w:val="0"/>
        <w:snapToGrid w:val="0"/>
        <w:spacing w:line="360" w:lineRule="auto"/>
        <w:ind w:left="240" w:leftChars="100"/>
      </w:pPr>
      <w:r>
        <w:t>1.系统组成分为读卡器和门禁控制器，锁具，支架，闭门器，卡片等，重点突出读卡器和控制器，读卡器仅支持卡开门；</w:t>
      </w:r>
    </w:p>
    <w:p>
      <w:pPr>
        <w:widowControl w:val="0"/>
        <w:autoSpaceDE w:val="0"/>
        <w:autoSpaceDN w:val="0"/>
        <w:adjustRightInd w:val="0"/>
        <w:snapToGrid w:val="0"/>
        <w:spacing w:line="360" w:lineRule="auto"/>
        <w:ind w:left="240" w:leftChars="100"/>
      </w:pPr>
      <w:r>
        <w:t>2.门禁读卡器支持 Mifare 卡；</w:t>
      </w:r>
    </w:p>
    <w:p>
      <w:pPr>
        <w:widowControl w:val="0"/>
        <w:autoSpaceDE w:val="0"/>
        <w:autoSpaceDN w:val="0"/>
        <w:adjustRightInd w:val="0"/>
        <w:snapToGrid w:val="0"/>
        <w:spacing w:line="360" w:lineRule="auto"/>
        <w:ind w:left="240" w:leftChars="100"/>
      </w:pPr>
      <w:r>
        <w:t>3.门禁读卡器支持 RS485 协议；</w:t>
      </w:r>
    </w:p>
    <w:p>
      <w:pPr>
        <w:widowControl w:val="0"/>
        <w:autoSpaceDE w:val="0"/>
        <w:autoSpaceDN w:val="0"/>
        <w:adjustRightInd w:val="0"/>
        <w:snapToGrid w:val="0"/>
        <w:spacing w:line="360" w:lineRule="auto"/>
        <w:ind w:left="240" w:leftChars="100"/>
      </w:pPr>
      <w:r>
        <w:t>4.门禁读卡器支持防拆报警功能，内置看门口狗程序；</w:t>
      </w:r>
    </w:p>
    <w:p>
      <w:pPr>
        <w:widowControl w:val="0"/>
        <w:autoSpaceDE w:val="0"/>
        <w:autoSpaceDN w:val="0"/>
        <w:adjustRightInd w:val="0"/>
        <w:snapToGrid w:val="0"/>
        <w:spacing w:line="360" w:lineRule="auto"/>
        <w:ind w:left="240" w:leftChars="100"/>
      </w:pPr>
      <w:r>
        <w:t>5.门禁读卡器支持过流和过压保护功能；</w:t>
      </w:r>
    </w:p>
    <w:p>
      <w:pPr>
        <w:widowControl w:val="0"/>
        <w:autoSpaceDE w:val="0"/>
        <w:autoSpaceDN w:val="0"/>
        <w:adjustRightInd w:val="0"/>
        <w:snapToGrid w:val="0"/>
        <w:spacing w:line="360" w:lineRule="auto"/>
        <w:ind w:left="240" w:leftChars="100"/>
      </w:pPr>
      <w:r>
        <w:t>6.门禁控制器集成报警、门禁、视频监控、消防报警接入功能；</w:t>
      </w:r>
    </w:p>
    <w:p>
      <w:pPr>
        <w:widowControl w:val="0"/>
        <w:autoSpaceDE w:val="0"/>
        <w:autoSpaceDN w:val="0"/>
        <w:adjustRightInd w:val="0"/>
        <w:snapToGrid w:val="0"/>
        <w:spacing w:line="360" w:lineRule="auto"/>
        <w:ind w:left="240" w:leftChars="100"/>
      </w:pPr>
      <w:r>
        <w:t>7.门禁控制器支持 TCP/IP 通讯方式；</w:t>
      </w:r>
    </w:p>
    <w:p>
      <w:pPr>
        <w:widowControl w:val="0"/>
        <w:autoSpaceDE w:val="0"/>
        <w:autoSpaceDN w:val="0"/>
        <w:adjustRightInd w:val="0"/>
        <w:snapToGrid w:val="0"/>
        <w:spacing w:line="360" w:lineRule="auto"/>
        <w:ind w:left="240" w:leftChars="100"/>
      </w:pPr>
      <w:r>
        <w:t>8.门禁控制器支持 RS485 协议；</w:t>
      </w:r>
    </w:p>
    <w:p>
      <w:pPr>
        <w:widowControl w:val="0"/>
        <w:autoSpaceDE w:val="0"/>
        <w:autoSpaceDN w:val="0"/>
        <w:adjustRightInd w:val="0"/>
        <w:snapToGrid w:val="0"/>
        <w:spacing w:line="360" w:lineRule="auto"/>
        <w:ind w:left="240" w:leftChars="100"/>
      </w:pPr>
      <w:r>
        <w:t>9.门禁控制器支持防反潜、多重验证、远程验证、平台视频联动等多项专项功能，支持首卡开门；</w:t>
      </w:r>
    </w:p>
    <w:p>
      <w:pPr>
        <w:widowControl w:val="0"/>
        <w:autoSpaceDE w:val="0"/>
        <w:autoSpaceDN w:val="0"/>
        <w:adjustRightInd w:val="0"/>
        <w:snapToGrid w:val="0"/>
        <w:spacing w:line="360" w:lineRule="auto"/>
        <w:ind w:left="240" w:leftChars="100"/>
      </w:pPr>
      <w:r>
        <w:t>10.门禁控制器支持非法闯入报警、开门超时报警。</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8.4、环境监测主机</w:t>
      </w:r>
    </w:p>
    <w:p>
      <w:pPr>
        <w:widowControl w:val="0"/>
        <w:autoSpaceDE w:val="0"/>
        <w:autoSpaceDN w:val="0"/>
        <w:adjustRightInd w:val="0"/>
        <w:snapToGrid w:val="0"/>
        <w:spacing w:line="360" w:lineRule="auto"/>
        <w:ind w:left="240" w:leftChars="100"/>
      </w:pPr>
      <w:r>
        <w:t>1.支持模拟量实时数据监测，超阈值报警联动输出；</w:t>
      </w:r>
    </w:p>
    <w:p>
      <w:pPr>
        <w:widowControl w:val="0"/>
        <w:autoSpaceDE w:val="0"/>
        <w:autoSpaceDN w:val="0"/>
        <w:adjustRightInd w:val="0"/>
        <w:snapToGrid w:val="0"/>
        <w:spacing w:line="360" w:lineRule="auto"/>
        <w:ind w:left="240" w:leftChars="100"/>
      </w:pPr>
      <w:r>
        <w:t>2.支持通用 TCP/IP 实现数据上传；</w:t>
      </w:r>
    </w:p>
    <w:p>
      <w:pPr>
        <w:widowControl w:val="0"/>
        <w:autoSpaceDE w:val="0"/>
        <w:autoSpaceDN w:val="0"/>
        <w:adjustRightInd w:val="0"/>
        <w:snapToGrid w:val="0"/>
        <w:spacing w:line="360" w:lineRule="auto"/>
        <w:ind w:left="240" w:leftChars="100"/>
      </w:pPr>
      <w:r>
        <w:t>3.支持报警联动抓图功能；</w:t>
      </w:r>
    </w:p>
    <w:p>
      <w:pPr>
        <w:widowControl w:val="0"/>
        <w:autoSpaceDE w:val="0"/>
        <w:autoSpaceDN w:val="0"/>
        <w:adjustRightInd w:val="0"/>
        <w:snapToGrid w:val="0"/>
        <w:spacing w:line="360" w:lineRule="auto"/>
        <w:ind w:left="240" w:leftChars="100"/>
      </w:pPr>
      <w:r>
        <w:t>4.支持告警关联过滤功能，并可自定义告警关联过滤策略；</w:t>
      </w:r>
    </w:p>
    <w:p>
      <w:pPr>
        <w:widowControl w:val="0"/>
        <w:autoSpaceDE w:val="0"/>
        <w:autoSpaceDN w:val="0"/>
        <w:adjustRightInd w:val="0"/>
        <w:snapToGrid w:val="0"/>
        <w:spacing w:line="360" w:lineRule="auto"/>
        <w:ind w:left="240" w:leftChars="100"/>
      </w:pPr>
      <w:r>
        <w:t>5.支持配置参数掉电保护；</w:t>
      </w:r>
    </w:p>
    <w:p>
      <w:pPr>
        <w:widowControl w:val="0"/>
        <w:autoSpaceDE w:val="0"/>
        <w:autoSpaceDN w:val="0"/>
        <w:adjustRightInd w:val="0"/>
        <w:snapToGrid w:val="0"/>
        <w:spacing w:line="360" w:lineRule="auto"/>
        <w:ind w:left="240" w:leftChars="100"/>
      </w:pPr>
      <w:r>
        <w:t>6.支持远程报警事件检索；</w:t>
      </w:r>
    </w:p>
    <w:p>
      <w:pPr>
        <w:widowControl w:val="0"/>
        <w:autoSpaceDE w:val="0"/>
        <w:autoSpaceDN w:val="0"/>
        <w:adjustRightInd w:val="0"/>
        <w:snapToGrid w:val="0"/>
        <w:spacing w:line="360" w:lineRule="auto"/>
        <w:ind w:left="240" w:leftChars="100"/>
      </w:pPr>
      <w:r>
        <w:t>7.支持远程 WEB 访问、查询及配置外设，支持快速设置；</w:t>
      </w:r>
    </w:p>
    <w:p>
      <w:pPr>
        <w:widowControl w:val="0"/>
        <w:autoSpaceDE w:val="0"/>
        <w:autoSpaceDN w:val="0"/>
        <w:adjustRightInd w:val="0"/>
        <w:snapToGrid w:val="0"/>
        <w:spacing w:line="360" w:lineRule="auto"/>
        <w:ind w:left="240" w:leftChars="100"/>
      </w:pPr>
      <w:r>
        <w:t>8.支持 WEB 端导入导出模拟量配置、485 配置、点位配置；</w:t>
      </w:r>
    </w:p>
    <w:p>
      <w:pPr>
        <w:widowControl w:val="0"/>
        <w:autoSpaceDE w:val="0"/>
        <w:autoSpaceDN w:val="0"/>
        <w:adjustRightInd w:val="0"/>
        <w:snapToGrid w:val="0"/>
        <w:spacing w:line="360" w:lineRule="auto"/>
        <w:ind w:left="240" w:leftChars="100"/>
      </w:pPr>
      <w:r>
        <w:t>9.支持 WEB 端搜索历史数据，并通过 WEB 端以图标显示；</w:t>
      </w:r>
    </w:p>
    <w:p>
      <w:pPr>
        <w:widowControl w:val="0"/>
        <w:autoSpaceDE w:val="0"/>
        <w:autoSpaceDN w:val="0"/>
        <w:adjustRightInd w:val="0"/>
        <w:snapToGrid w:val="0"/>
        <w:spacing w:line="360" w:lineRule="auto"/>
        <w:ind w:left="240" w:leftChars="100"/>
      </w:pPr>
      <w:r>
        <w:t>10.支持日志记录功能，包括报警事件、操作日志，时间带日期等。</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8.5、温湿度传感器</w:t>
      </w:r>
    </w:p>
    <w:p>
      <w:pPr>
        <w:widowControl w:val="0"/>
        <w:autoSpaceDE w:val="0"/>
        <w:autoSpaceDN w:val="0"/>
        <w:adjustRightInd w:val="0"/>
        <w:snapToGrid w:val="0"/>
        <w:spacing w:line="360" w:lineRule="auto"/>
        <w:ind w:left="240" w:leftChars="100"/>
      </w:pPr>
      <w:r>
        <w:t>1.采用温湿度一体式传感器；</w:t>
      </w:r>
    </w:p>
    <w:p>
      <w:pPr>
        <w:widowControl w:val="0"/>
        <w:autoSpaceDE w:val="0"/>
        <w:autoSpaceDN w:val="0"/>
        <w:adjustRightInd w:val="0"/>
        <w:snapToGrid w:val="0"/>
        <w:spacing w:line="360" w:lineRule="auto"/>
        <w:ind w:left="240" w:leftChars="100"/>
      </w:pPr>
      <w:r>
        <w:t>2.自带 LCD 屏幕，可显示采集的现场温度、湿度数据；</w:t>
      </w:r>
    </w:p>
    <w:p>
      <w:pPr>
        <w:widowControl w:val="0"/>
        <w:autoSpaceDE w:val="0"/>
        <w:autoSpaceDN w:val="0"/>
        <w:adjustRightInd w:val="0"/>
        <w:snapToGrid w:val="0"/>
        <w:spacing w:line="360" w:lineRule="auto"/>
        <w:ind w:left="240" w:leftChars="100"/>
      </w:pPr>
      <w:r>
        <w:t>3.有效工作面积 10-20 平方米；</w:t>
      </w:r>
    </w:p>
    <w:p>
      <w:pPr>
        <w:widowControl w:val="0"/>
        <w:autoSpaceDE w:val="0"/>
        <w:autoSpaceDN w:val="0"/>
        <w:adjustRightInd w:val="0"/>
        <w:snapToGrid w:val="0"/>
        <w:spacing w:line="360" w:lineRule="auto"/>
        <w:ind w:left="240" w:leftChars="100"/>
      </w:pPr>
      <w:r>
        <w:t>4.温度探测范围-20~70℃，测量精度±0.5℃；</w:t>
      </w:r>
    </w:p>
    <w:p>
      <w:pPr>
        <w:widowControl w:val="0"/>
        <w:autoSpaceDE w:val="0"/>
        <w:autoSpaceDN w:val="0"/>
        <w:adjustRightInd w:val="0"/>
        <w:snapToGrid w:val="0"/>
        <w:spacing w:line="360" w:lineRule="auto"/>
        <w:ind w:left="240" w:leftChars="100"/>
      </w:pPr>
      <w:r>
        <w:t>5.湿度探测范围 0～100%RH，测量精度±3%RH。</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8.6、烟雾传感器</w:t>
      </w:r>
    </w:p>
    <w:p>
      <w:pPr>
        <w:widowControl w:val="0"/>
        <w:autoSpaceDE w:val="0"/>
        <w:autoSpaceDN w:val="0"/>
        <w:adjustRightInd w:val="0"/>
        <w:snapToGrid w:val="0"/>
        <w:spacing w:line="360" w:lineRule="auto"/>
        <w:ind w:left="240" w:leftChars="100"/>
      </w:pPr>
      <w:r>
        <w:t>1.支持报警 LED 灯保持常亮，发出声响，并启动继电器输出；</w:t>
      </w:r>
    </w:p>
    <w:p>
      <w:pPr>
        <w:widowControl w:val="0"/>
        <w:autoSpaceDE w:val="0"/>
        <w:autoSpaceDN w:val="0"/>
        <w:adjustRightInd w:val="0"/>
        <w:snapToGrid w:val="0"/>
        <w:spacing w:line="360" w:lineRule="auto"/>
        <w:ind w:left="240" w:leftChars="100"/>
      </w:pPr>
      <w:r>
        <w:t>2.报警输出常开常闭可选，出厂默认常闭；</w:t>
      </w:r>
    </w:p>
    <w:p>
      <w:pPr>
        <w:widowControl w:val="0"/>
        <w:autoSpaceDE w:val="0"/>
        <w:autoSpaceDN w:val="0"/>
        <w:adjustRightInd w:val="0"/>
        <w:snapToGrid w:val="0"/>
        <w:spacing w:line="360" w:lineRule="auto"/>
        <w:ind w:left="240" w:leftChars="100"/>
      </w:pPr>
      <w:r>
        <w:t>3.报警烟雾灵敏度 0.15～0.3dB/m；</w:t>
      </w:r>
    </w:p>
    <w:p>
      <w:pPr>
        <w:widowControl w:val="0"/>
        <w:autoSpaceDE w:val="0"/>
        <w:autoSpaceDN w:val="0"/>
        <w:adjustRightInd w:val="0"/>
        <w:snapToGrid w:val="0"/>
        <w:spacing w:line="360" w:lineRule="auto"/>
        <w:ind w:left="240" w:leftChars="100"/>
      </w:pPr>
      <w:r>
        <w:t>4.报警方式：联网输出/LED 指示报警。</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8.7、漏水报警传感器</w:t>
      </w:r>
    </w:p>
    <w:p>
      <w:pPr>
        <w:widowControl w:val="0"/>
        <w:autoSpaceDE w:val="0"/>
        <w:autoSpaceDN w:val="0"/>
        <w:adjustRightInd w:val="0"/>
        <w:snapToGrid w:val="0"/>
        <w:spacing w:line="360" w:lineRule="auto"/>
        <w:ind w:left="240" w:leftChars="100"/>
      </w:pPr>
      <w:r>
        <w:t>1.采用光电原理液体泄漏检测；</w:t>
      </w:r>
    </w:p>
    <w:p>
      <w:pPr>
        <w:widowControl w:val="0"/>
        <w:autoSpaceDE w:val="0"/>
        <w:autoSpaceDN w:val="0"/>
        <w:adjustRightInd w:val="0"/>
        <w:snapToGrid w:val="0"/>
        <w:spacing w:line="360" w:lineRule="auto"/>
        <w:ind w:left="240" w:leftChars="100"/>
      </w:pPr>
      <w:r>
        <w:t>2.支持水、弱酸弱碱、汽油、柴油等的泄露检测。</w:t>
      </w:r>
    </w:p>
    <w:p>
      <w:pPr>
        <w:widowControl w:val="0"/>
        <w:autoSpaceDE w:val="0"/>
        <w:autoSpaceDN w:val="0"/>
        <w:adjustRightInd w:val="0"/>
        <w:snapToGrid w:val="0"/>
        <w:spacing w:line="360" w:lineRule="auto"/>
        <w:ind w:left="240" w:leftChars="100"/>
      </w:pPr>
      <w:r>
        <w:t>3.采用密封设计，产品稳定可靠；</w:t>
      </w:r>
    </w:p>
    <w:p>
      <w:pPr>
        <w:widowControl w:val="0"/>
        <w:autoSpaceDE w:val="0"/>
        <w:autoSpaceDN w:val="0"/>
        <w:adjustRightInd w:val="0"/>
        <w:snapToGrid w:val="0"/>
        <w:spacing w:line="360" w:lineRule="auto"/>
        <w:ind w:left="240" w:leftChars="100"/>
      </w:pPr>
      <w:r>
        <w:t>4.采用高精度、高灵敏度，响应时间快；</w:t>
      </w:r>
    </w:p>
    <w:p>
      <w:pPr>
        <w:widowControl w:val="0"/>
        <w:autoSpaceDE w:val="0"/>
        <w:autoSpaceDN w:val="0"/>
        <w:adjustRightInd w:val="0"/>
        <w:snapToGrid w:val="0"/>
        <w:spacing w:line="360" w:lineRule="auto"/>
        <w:ind w:left="240" w:leftChars="100"/>
      </w:pPr>
      <w:r>
        <w:t>5.报警常开输出。</w:t>
      </w:r>
    </w:p>
    <w:p>
      <w:pPr>
        <w:spacing w:line="360" w:lineRule="auto"/>
        <w:rPr>
          <w:rFonts w:ascii="宋体" w:hAnsi="宋体" w:eastAsia="宋体" w:cs="宋体"/>
          <w:b/>
          <w:bCs/>
          <w:sz w:val="28"/>
          <w:szCs w:val="28"/>
        </w:rPr>
      </w:pPr>
      <w:bookmarkStart w:id="113" w:name="_Toc117014032"/>
    </w:p>
    <w:p>
      <w:pPr>
        <w:spacing w:line="360" w:lineRule="auto"/>
        <w:rPr>
          <w:rFonts w:ascii="宋体" w:hAnsi="宋体" w:eastAsia="宋体" w:cs="宋体"/>
          <w:b/>
          <w:bCs/>
          <w:sz w:val="28"/>
          <w:szCs w:val="28"/>
        </w:rPr>
      </w:pPr>
    </w:p>
    <w:p>
      <w:pPr>
        <w:pStyle w:val="4"/>
        <w:spacing w:line="360" w:lineRule="auto"/>
        <w:ind w:firstLine="562"/>
        <w:rPr>
          <w:rFonts w:ascii="宋体" w:hAnsi="宋体" w:eastAsia="宋体" w:cs="宋体"/>
          <w:b/>
          <w:bCs/>
          <w:sz w:val="28"/>
          <w:szCs w:val="28"/>
        </w:rPr>
      </w:pPr>
      <w:r>
        <w:rPr>
          <w:rFonts w:hint="eastAsia" w:ascii="宋体" w:hAnsi="宋体" w:eastAsia="宋体" w:cs="宋体"/>
          <w:b/>
          <w:bCs/>
          <w:sz w:val="28"/>
          <w:szCs w:val="28"/>
        </w:rPr>
        <w:t>九、乡镇应急广播分控平台及终端设备</w:t>
      </w:r>
      <w:bookmarkEnd w:id="113"/>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9.1、乡镇级应急广播大喇叭适配器</w:t>
      </w:r>
    </w:p>
    <w:p>
      <w:pPr>
        <w:autoSpaceDE w:val="0"/>
        <w:autoSpaceDN w:val="0"/>
        <w:adjustRightInd w:val="0"/>
        <w:snapToGrid w:val="0"/>
        <w:spacing w:line="360" w:lineRule="auto"/>
        <w:ind w:firstLine="480" w:firstLineChars="200"/>
      </w:pPr>
      <w:r>
        <w:t>1.总体要求</w:t>
      </w:r>
    </w:p>
    <w:p>
      <w:pPr>
        <w:autoSpaceDE w:val="0"/>
        <w:autoSpaceDN w:val="0"/>
        <w:adjustRightInd w:val="0"/>
        <w:snapToGrid w:val="0"/>
        <w:spacing w:line="360" w:lineRule="auto"/>
        <w:ind w:firstLine="480" w:firstLineChars="200"/>
      </w:pPr>
      <w:r>
        <w:t>应预留通过直播卫星进行远程唤醒播发应急广播消息的接口；</w:t>
      </w:r>
    </w:p>
    <w:p>
      <w:pPr>
        <w:autoSpaceDE w:val="0"/>
        <w:autoSpaceDN w:val="0"/>
        <w:adjustRightInd w:val="0"/>
        <w:snapToGrid w:val="0"/>
        <w:spacing w:line="360" w:lineRule="auto"/>
        <w:ind w:firstLine="480" w:firstLineChars="200"/>
      </w:pPr>
      <w:r>
        <w:t>可接收上级调频信号，解调出音频信号及RDS 数据，做出相应的播发/停止动作。信号处理符合GD/J 085—2018 模拟调频应急广播技术规范；</w:t>
      </w:r>
    </w:p>
    <w:p>
      <w:pPr>
        <w:autoSpaceDE w:val="0"/>
        <w:autoSpaceDN w:val="0"/>
        <w:adjustRightInd w:val="0"/>
        <w:snapToGrid w:val="0"/>
        <w:spacing w:line="360" w:lineRule="auto"/>
        <w:ind w:firstLine="480" w:firstLineChars="200"/>
      </w:pPr>
      <w:r>
        <w:t>可接收上级DTMB/DVB-C 信号，解调出音频信号及控制信号，做出相应的播发/停止动作。信号处理符合GD/J 087—2018 地面数字电视应急广播技术规范和GD/J 086—2018 有线数字电视应急广播技术规范；</w:t>
      </w:r>
    </w:p>
    <w:p>
      <w:pPr>
        <w:autoSpaceDE w:val="0"/>
        <w:autoSpaceDN w:val="0"/>
        <w:adjustRightInd w:val="0"/>
        <w:snapToGrid w:val="0"/>
        <w:spacing w:line="360" w:lineRule="auto"/>
        <w:ind w:firstLine="480" w:firstLineChars="200"/>
      </w:pPr>
      <w:r>
        <w:t>可接收上级IP 信号（有线和4G），解调出音频信号及控制信号，做出相应的播发/停止动作。信号处理符合GD/J 089—2018 应急广播大喇叭系统技术规范附录D；</w:t>
      </w:r>
    </w:p>
    <w:p>
      <w:pPr>
        <w:autoSpaceDE w:val="0"/>
        <w:autoSpaceDN w:val="0"/>
        <w:adjustRightInd w:val="0"/>
        <w:snapToGrid w:val="0"/>
        <w:spacing w:line="360" w:lineRule="auto"/>
        <w:ind w:firstLine="480" w:firstLineChars="200"/>
      </w:pPr>
      <w:r>
        <w:t>具有本地音源和上级收转信号调频编码输出，可输出标准的RDS 调频信号，进行信号传输。信号输出符合GD/J 085—2018 模拟调频应急广播技术规范；</w:t>
      </w:r>
    </w:p>
    <w:p>
      <w:pPr>
        <w:autoSpaceDE w:val="0"/>
        <w:autoSpaceDN w:val="0"/>
        <w:adjustRightInd w:val="0"/>
        <w:snapToGrid w:val="0"/>
        <w:spacing w:line="360" w:lineRule="auto"/>
        <w:ind w:firstLine="480" w:firstLineChars="200"/>
      </w:pPr>
      <w:r>
        <w:t>具备输出IP 音频信号及IP 指令信号，控制终端进行应急广播消息播发的功能，输出信号符合GD/J 089—2018 应急广播大喇叭系统技术规范附录D。</w:t>
      </w:r>
    </w:p>
    <w:p>
      <w:pPr>
        <w:autoSpaceDE w:val="0"/>
        <w:autoSpaceDN w:val="0"/>
        <w:adjustRightInd w:val="0"/>
        <w:snapToGrid w:val="0"/>
        <w:spacing w:line="360" w:lineRule="auto"/>
        <w:ind w:firstLine="480" w:firstLineChars="200"/>
      </w:pPr>
      <w:r>
        <w:t>2.功能要求</w:t>
      </w:r>
    </w:p>
    <w:p>
      <w:pPr>
        <w:autoSpaceDE w:val="0"/>
        <w:autoSpaceDN w:val="0"/>
        <w:adjustRightInd w:val="0"/>
        <w:snapToGrid w:val="0"/>
        <w:spacing w:line="360" w:lineRule="auto"/>
        <w:ind w:firstLine="480" w:firstLineChars="200"/>
      </w:pPr>
      <w:r>
        <w:t>可通过前面板液晶屏及按键，对设备IP 地址、端口号进行设置；</w:t>
      </w:r>
    </w:p>
    <w:p>
      <w:pPr>
        <w:autoSpaceDE w:val="0"/>
        <w:autoSpaceDN w:val="0"/>
        <w:adjustRightInd w:val="0"/>
        <w:snapToGrid w:val="0"/>
        <w:spacing w:line="360" w:lineRule="auto"/>
        <w:ind w:firstLine="480" w:firstLineChars="200"/>
      </w:pPr>
      <w:r>
        <w:t>可脱离管理平台实现本级广播的功能；</w:t>
      </w:r>
    </w:p>
    <w:p>
      <w:pPr>
        <w:autoSpaceDE w:val="0"/>
        <w:autoSpaceDN w:val="0"/>
        <w:adjustRightInd w:val="0"/>
        <w:snapToGrid w:val="0"/>
        <w:spacing w:line="360" w:lineRule="auto"/>
        <w:ind w:firstLine="480" w:firstLineChars="200"/>
      </w:pPr>
      <w:r>
        <w:t>支持本地音源广播，包括U盘（MP3 格式文件）广播、线路广播、话筒广播可通过按键选择上下曲；</w:t>
      </w:r>
    </w:p>
    <w:p>
      <w:pPr>
        <w:autoSpaceDE w:val="0"/>
        <w:autoSpaceDN w:val="0"/>
        <w:adjustRightInd w:val="0"/>
        <w:snapToGrid w:val="0"/>
        <w:spacing w:line="360" w:lineRule="auto"/>
        <w:ind w:firstLine="480" w:firstLineChars="200"/>
      </w:pPr>
      <w:r>
        <w:t>具有监听功能：内置监听喇叭，监听音量可调节，具有音频存储功能，音频编码格式为MP3,标称存储容量≥8GB；</w:t>
      </w:r>
    </w:p>
    <w:p>
      <w:pPr>
        <w:autoSpaceDE w:val="0"/>
        <w:autoSpaceDN w:val="0"/>
        <w:adjustRightInd w:val="0"/>
        <w:snapToGrid w:val="0"/>
        <w:spacing w:line="360" w:lineRule="auto"/>
        <w:ind w:firstLine="480" w:firstLineChars="200"/>
      </w:pPr>
      <w:r>
        <w:t>可设置定时广播（≥3个时间段），广播音源可选择话筒广播、U 盘、调频接收、线路输入；</w:t>
      </w:r>
    </w:p>
    <w:p>
      <w:pPr>
        <w:autoSpaceDE w:val="0"/>
        <w:autoSpaceDN w:val="0"/>
        <w:adjustRightInd w:val="0"/>
        <w:snapToGrid w:val="0"/>
        <w:spacing w:line="360" w:lineRule="auto"/>
        <w:ind w:firstLine="480" w:firstLineChars="200"/>
      </w:pPr>
      <w:r>
        <w:t>支持远程对本设备的网络参数、应急广播资源编码、回传参数工作参数配置；</w:t>
      </w:r>
    </w:p>
    <w:p>
      <w:pPr>
        <w:autoSpaceDE w:val="0"/>
        <w:autoSpaceDN w:val="0"/>
        <w:adjustRightInd w:val="0"/>
        <w:snapToGrid w:val="0"/>
        <w:spacing w:line="360" w:lineRule="auto"/>
        <w:ind w:firstLine="480" w:firstLineChars="200"/>
      </w:pPr>
      <w:r>
        <w:t>支持读取安全模块编号功能，支持管理平台更新证书；</w:t>
      </w:r>
    </w:p>
    <w:p>
      <w:pPr>
        <w:autoSpaceDE w:val="0"/>
        <w:autoSpaceDN w:val="0"/>
        <w:adjustRightInd w:val="0"/>
        <w:snapToGrid w:val="0"/>
        <w:spacing w:line="360" w:lineRule="auto"/>
        <w:ind w:firstLine="480" w:firstLineChars="200"/>
      </w:pPr>
      <w:r>
        <w:t>具备响应管理平台发出的控制和读取状态指令的功能；</w:t>
      </w:r>
    </w:p>
    <w:p>
      <w:pPr>
        <w:autoSpaceDE w:val="0"/>
        <w:autoSpaceDN w:val="0"/>
        <w:adjustRightInd w:val="0"/>
        <w:snapToGrid w:val="0"/>
        <w:spacing w:line="360" w:lineRule="auto"/>
        <w:ind w:firstLine="480" w:firstLineChars="200"/>
      </w:pPr>
      <w:r>
        <w:t>支持将话筒广播一键切换为紧急模式；</w:t>
      </w:r>
    </w:p>
    <w:p>
      <w:pPr>
        <w:autoSpaceDE w:val="0"/>
        <w:autoSpaceDN w:val="0"/>
        <w:adjustRightInd w:val="0"/>
        <w:snapToGrid w:val="0"/>
        <w:spacing w:line="360" w:lineRule="auto"/>
        <w:ind w:firstLine="480" w:firstLineChars="200"/>
      </w:pPr>
      <w:r>
        <w:t>集成国密算法芯片，具有签名、验签功能。符合《GD/J 081-2018应急广播安全保护技术规范 数字签名》要求；</w:t>
      </w:r>
    </w:p>
    <w:p>
      <w:pPr>
        <w:autoSpaceDE w:val="0"/>
        <w:autoSpaceDN w:val="0"/>
        <w:adjustRightInd w:val="0"/>
        <w:snapToGrid w:val="0"/>
        <w:spacing w:line="360" w:lineRule="auto"/>
        <w:ind w:firstLine="480" w:firstLineChars="200"/>
      </w:pPr>
      <w:r>
        <w:t>支持通道，必须支持IP 和调频、DTMB（输入）、DVB-C（输入），4G 播发应急广播消息通道；</w:t>
      </w:r>
    </w:p>
    <w:p>
      <w:pPr>
        <w:autoSpaceDE w:val="0"/>
        <w:autoSpaceDN w:val="0"/>
        <w:adjustRightInd w:val="0"/>
        <w:snapToGrid w:val="0"/>
        <w:spacing w:line="360" w:lineRule="auto"/>
        <w:ind w:firstLine="480" w:firstLineChars="200"/>
      </w:pPr>
      <w:r>
        <w:t>具备本地播发、上级信号接收播发功能；</w:t>
      </w:r>
    </w:p>
    <w:p>
      <w:pPr>
        <w:autoSpaceDE w:val="0"/>
        <w:autoSpaceDN w:val="0"/>
        <w:adjustRightInd w:val="0"/>
        <w:snapToGrid w:val="0"/>
        <w:spacing w:line="360" w:lineRule="auto"/>
        <w:ind w:firstLine="480" w:firstLineChars="200"/>
      </w:pPr>
      <w:r>
        <w:t>具备本地多音源切换功能；</w:t>
      </w:r>
    </w:p>
    <w:p>
      <w:pPr>
        <w:autoSpaceDE w:val="0"/>
        <w:autoSpaceDN w:val="0"/>
        <w:adjustRightInd w:val="0"/>
        <w:snapToGrid w:val="0"/>
        <w:spacing w:line="360" w:lineRule="auto"/>
        <w:ind w:firstLine="480" w:firstLineChars="200"/>
      </w:pPr>
      <w:r>
        <w:t>支持分区域播发控制；</w:t>
      </w:r>
    </w:p>
    <w:p>
      <w:pPr>
        <w:autoSpaceDE w:val="0"/>
        <w:autoSpaceDN w:val="0"/>
        <w:adjustRightInd w:val="0"/>
        <w:snapToGrid w:val="0"/>
        <w:spacing w:line="360" w:lineRule="auto"/>
        <w:ind w:firstLine="480" w:firstLineChars="200"/>
      </w:pPr>
      <w:r>
        <w:t>支持广播模式自动切换功能，当设备处于日常广播模式时，应急广播消息能自动切断日常广播播发应急消息，应急广播消息播发完毕，切换回原来的日常广播状态。</w:t>
      </w:r>
    </w:p>
    <w:p>
      <w:pPr>
        <w:autoSpaceDE w:val="0"/>
        <w:autoSpaceDN w:val="0"/>
        <w:adjustRightInd w:val="0"/>
        <w:snapToGrid w:val="0"/>
        <w:spacing w:line="360" w:lineRule="auto"/>
        <w:ind w:firstLine="480" w:firstLineChars="200"/>
      </w:pPr>
      <w:r>
        <w:t>3.接口要求</w:t>
      </w:r>
    </w:p>
    <w:p>
      <w:pPr>
        <w:autoSpaceDE w:val="0"/>
        <w:autoSpaceDN w:val="0"/>
        <w:adjustRightInd w:val="0"/>
        <w:snapToGrid w:val="0"/>
        <w:spacing w:line="360" w:lineRule="auto"/>
        <w:ind w:firstLine="480" w:firstLineChars="200"/>
      </w:pPr>
      <w:r>
        <w:t>采用19英寸机架式设计；</w:t>
      </w:r>
    </w:p>
    <w:p>
      <w:pPr>
        <w:autoSpaceDE w:val="0"/>
        <w:autoSpaceDN w:val="0"/>
        <w:adjustRightInd w:val="0"/>
        <w:snapToGrid w:val="0"/>
        <w:spacing w:line="360" w:lineRule="auto"/>
        <w:ind w:firstLine="480" w:firstLineChars="200"/>
      </w:pPr>
      <w:r>
        <w:t>具有1路AC220V 可控电源输出；</w:t>
      </w:r>
    </w:p>
    <w:p>
      <w:pPr>
        <w:autoSpaceDE w:val="0"/>
        <w:autoSpaceDN w:val="0"/>
        <w:adjustRightInd w:val="0"/>
        <w:snapToGrid w:val="0"/>
        <w:spacing w:line="360" w:lineRule="auto"/>
        <w:ind w:firstLine="480" w:firstLineChars="200"/>
      </w:pPr>
      <w:r>
        <w:t>具有1路及以上音频输出，接口类型：RCA 莲花母座；</w:t>
      </w:r>
    </w:p>
    <w:p>
      <w:pPr>
        <w:autoSpaceDE w:val="0"/>
        <w:autoSpaceDN w:val="0"/>
        <w:adjustRightInd w:val="0"/>
        <w:snapToGrid w:val="0"/>
        <w:spacing w:line="360" w:lineRule="auto"/>
        <w:ind w:firstLine="480" w:firstLineChars="200"/>
      </w:pPr>
      <w:r>
        <w:t>具有2路及以上线路音频输入接口，RCA 莲花母座或BNC；</w:t>
      </w:r>
    </w:p>
    <w:p>
      <w:pPr>
        <w:autoSpaceDE w:val="0"/>
        <w:autoSpaceDN w:val="0"/>
        <w:adjustRightInd w:val="0"/>
        <w:snapToGrid w:val="0"/>
        <w:spacing w:line="360" w:lineRule="auto"/>
        <w:ind w:firstLine="480" w:firstLineChars="200"/>
      </w:pPr>
      <w:r>
        <w:t>话筒输入：具有6.5mm 和3.5mm 两个话筒接口；</w:t>
      </w:r>
    </w:p>
    <w:p>
      <w:pPr>
        <w:autoSpaceDE w:val="0"/>
        <w:autoSpaceDN w:val="0"/>
        <w:adjustRightInd w:val="0"/>
        <w:snapToGrid w:val="0"/>
        <w:spacing w:line="360" w:lineRule="auto"/>
        <w:ind w:firstLine="480" w:firstLineChars="200"/>
      </w:pPr>
      <w:r>
        <w:t>网络接口：RJ45，≥100M，1个；</w:t>
      </w:r>
    </w:p>
    <w:p>
      <w:pPr>
        <w:autoSpaceDE w:val="0"/>
        <w:autoSpaceDN w:val="0"/>
        <w:adjustRightInd w:val="0"/>
        <w:snapToGrid w:val="0"/>
        <w:spacing w:line="360" w:lineRule="auto"/>
        <w:ind w:firstLine="480" w:firstLineChars="200"/>
      </w:pPr>
      <w:r>
        <w:t>FM 输入接口：公制F母座，1路输入内置2分配，配置2个调谐器；</w:t>
      </w:r>
    </w:p>
    <w:p>
      <w:pPr>
        <w:autoSpaceDE w:val="0"/>
        <w:autoSpaceDN w:val="0"/>
        <w:adjustRightInd w:val="0"/>
        <w:snapToGrid w:val="0"/>
        <w:spacing w:line="360" w:lineRule="auto"/>
        <w:ind w:firstLine="480" w:firstLineChars="200"/>
      </w:pPr>
      <w:r>
        <w:t>FM 输出接口：公制F母座，输出1路；</w:t>
      </w:r>
    </w:p>
    <w:p>
      <w:pPr>
        <w:autoSpaceDE w:val="0"/>
        <w:autoSpaceDN w:val="0"/>
        <w:adjustRightInd w:val="0"/>
        <w:snapToGrid w:val="0"/>
        <w:spacing w:line="360" w:lineRule="auto"/>
        <w:ind w:firstLine="480" w:firstLineChars="200"/>
      </w:pPr>
      <w:r>
        <w:t>RDS 输出接口：BNC，输出幅度0～1Vp-p 通过旋钮可调，输出阻抗低阻，测试负载600 欧姆；</w:t>
      </w:r>
    </w:p>
    <w:p>
      <w:pPr>
        <w:autoSpaceDE w:val="0"/>
        <w:autoSpaceDN w:val="0"/>
        <w:adjustRightInd w:val="0"/>
        <w:snapToGrid w:val="0"/>
        <w:spacing w:line="360" w:lineRule="auto"/>
        <w:ind w:firstLine="480" w:firstLineChars="200"/>
      </w:pPr>
      <w:r>
        <w:t>DTMB（DVB-C）或独立输入接口：英制F母座，1路及以上；</w:t>
      </w:r>
    </w:p>
    <w:p>
      <w:pPr>
        <w:autoSpaceDE w:val="0"/>
        <w:autoSpaceDN w:val="0"/>
        <w:adjustRightInd w:val="0"/>
        <w:snapToGrid w:val="0"/>
        <w:spacing w:line="360" w:lineRule="auto"/>
        <w:ind w:firstLine="480" w:firstLineChars="200"/>
      </w:pPr>
      <w:r>
        <w:t>监听接口：具有监听喇叭和3.5mm 耳机插孔，监听音量通过旋钮可调。</w:t>
      </w:r>
    </w:p>
    <w:p>
      <w:pPr>
        <w:autoSpaceDE w:val="0"/>
        <w:autoSpaceDN w:val="0"/>
        <w:adjustRightInd w:val="0"/>
        <w:snapToGrid w:val="0"/>
        <w:spacing w:line="360" w:lineRule="auto"/>
        <w:ind w:firstLine="480" w:firstLineChars="200"/>
      </w:pPr>
      <w:r>
        <w:t>4.性能要求</w:t>
      </w:r>
    </w:p>
    <w:p>
      <w:pPr>
        <w:autoSpaceDE w:val="0"/>
        <w:autoSpaceDN w:val="0"/>
        <w:adjustRightInd w:val="0"/>
        <w:snapToGrid w:val="0"/>
        <w:spacing w:line="360" w:lineRule="auto"/>
        <w:ind w:firstLine="480" w:firstLineChars="200"/>
      </w:pPr>
      <w:r>
        <w:t>工作电压范围：AC:160V～260V；</w:t>
      </w:r>
    </w:p>
    <w:p>
      <w:pPr>
        <w:autoSpaceDE w:val="0"/>
        <w:autoSpaceDN w:val="0"/>
        <w:adjustRightInd w:val="0"/>
        <w:snapToGrid w:val="0"/>
        <w:spacing w:line="360" w:lineRule="auto"/>
        <w:ind w:firstLine="480" w:firstLineChars="200"/>
      </w:pPr>
      <w:r>
        <w:t>信噪比：≥65dB（本设备音频输入输出：线路0dBu）；</w:t>
      </w:r>
    </w:p>
    <w:p>
      <w:pPr>
        <w:autoSpaceDE w:val="0"/>
        <w:autoSpaceDN w:val="0"/>
        <w:adjustRightInd w:val="0"/>
        <w:snapToGrid w:val="0"/>
        <w:spacing w:line="360" w:lineRule="auto"/>
        <w:ind w:firstLine="480" w:firstLineChars="200"/>
      </w:pPr>
      <w:r>
        <w:t>频响：40Hz～15KHz (±3dB)（本设备音频输入输出：线路0dBu）；</w:t>
      </w:r>
    </w:p>
    <w:p>
      <w:pPr>
        <w:autoSpaceDE w:val="0"/>
        <w:autoSpaceDN w:val="0"/>
        <w:adjustRightInd w:val="0"/>
        <w:snapToGrid w:val="0"/>
        <w:spacing w:line="360" w:lineRule="auto"/>
        <w:ind w:firstLine="480" w:firstLineChars="200"/>
      </w:pPr>
      <w:r>
        <w:t>谐波失真：≤1%（本设备音频输入输出：线路0dBu）；</w:t>
      </w:r>
    </w:p>
    <w:p>
      <w:pPr>
        <w:autoSpaceDE w:val="0"/>
        <w:autoSpaceDN w:val="0"/>
        <w:adjustRightInd w:val="0"/>
        <w:snapToGrid w:val="0"/>
        <w:spacing w:line="360" w:lineRule="auto"/>
        <w:ind w:firstLine="480" w:firstLineChars="200"/>
      </w:pPr>
      <w:r>
        <w:t>音频输出电平：0.775±10% V（r.m.s）（线路0dBu）；</w:t>
      </w:r>
    </w:p>
    <w:p>
      <w:pPr>
        <w:autoSpaceDE w:val="0"/>
        <w:autoSpaceDN w:val="0"/>
        <w:adjustRightInd w:val="0"/>
        <w:snapToGrid w:val="0"/>
        <w:spacing w:line="360" w:lineRule="auto"/>
        <w:ind w:firstLine="480" w:firstLineChars="200"/>
      </w:pPr>
      <w:r>
        <w:t>音频输出阻抗：低阻，&lt;100 欧姆；</w:t>
      </w:r>
    </w:p>
    <w:p>
      <w:pPr>
        <w:autoSpaceDE w:val="0"/>
        <w:autoSpaceDN w:val="0"/>
        <w:adjustRightInd w:val="0"/>
        <w:snapToGrid w:val="0"/>
        <w:spacing w:line="360" w:lineRule="auto"/>
        <w:ind w:firstLine="480" w:firstLineChars="200"/>
      </w:pPr>
      <w:r>
        <w:t>音频输入阻抗：高阻，&gt;10K 欧姆；</w:t>
      </w:r>
    </w:p>
    <w:p>
      <w:pPr>
        <w:autoSpaceDE w:val="0"/>
        <w:autoSpaceDN w:val="0"/>
        <w:adjustRightInd w:val="0"/>
        <w:snapToGrid w:val="0"/>
        <w:spacing w:line="360" w:lineRule="auto"/>
        <w:ind w:firstLine="480" w:firstLineChars="200"/>
      </w:pPr>
      <w:r>
        <w:t>FM 输入/输出频率范围：87MHz～108MHz；</w:t>
      </w:r>
    </w:p>
    <w:p>
      <w:pPr>
        <w:autoSpaceDE w:val="0"/>
        <w:autoSpaceDN w:val="0"/>
        <w:adjustRightInd w:val="0"/>
        <w:snapToGrid w:val="0"/>
        <w:spacing w:line="360" w:lineRule="auto"/>
        <w:ind w:firstLine="480" w:firstLineChars="200"/>
      </w:pPr>
      <w:r>
        <w:t>DTMB 频段：470MHz～802MHz；</w:t>
      </w:r>
    </w:p>
    <w:p>
      <w:pPr>
        <w:autoSpaceDE w:val="0"/>
        <w:autoSpaceDN w:val="0"/>
        <w:adjustRightInd w:val="0"/>
        <w:snapToGrid w:val="0"/>
        <w:spacing w:line="360" w:lineRule="auto"/>
        <w:ind w:firstLine="480" w:firstLineChars="200"/>
      </w:pPr>
      <w:r>
        <w:t>DVB-C 频段：470MHz～802MHz。</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9.2、乡镇应急广播分控平台软件</w:t>
      </w:r>
    </w:p>
    <w:p>
      <w:pPr>
        <w:autoSpaceDE w:val="0"/>
        <w:autoSpaceDN w:val="0"/>
        <w:adjustRightInd w:val="0"/>
        <w:snapToGrid w:val="0"/>
        <w:spacing w:line="360" w:lineRule="auto"/>
        <w:ind w:firstLine="480" w:firstLineChars="200"/>
      </w:pPr>
      <w:r>
        <w:t>1.自动播出控制</w:t>
      </w:r>
    </w:p>
    <w:p>
      <w:pPr>
        <w:autoSpaceDE w:val="0"/>
        <w:autoSpaceDN w:val="0"/>
        <w:adjustRightInd w:val="0"/>
        <w:snapToGrid w:val="0"/>
        <w:spacing w:line="360" w:lineRule="auto"/>
        <w:ind w:firstLine="480" w:firstLineChars="200"/>
      </w:pPr>
      <w:r>
        <w:t>满足各乡镇和行政村的广播全覆盖需要，并为今后扩容终端提供支持。可以实现乡镇和行政村联机开关，自动实现每天不同时间段的开、关机，能够实现全系统无人值守；具备实现乡镇和行政村本地或远程应急控制功能，上一级平台能够控制所辖区域内的任一前端和接收终端设备的开关，并能实现对特定区域的广播。</w:t>
      </w:r>
    </w:p>
    <w:p>
      <w:pPr>
        <w:autoSpaceDE w:val="0"/>
        <w:autoSpaceDN w:val="0"/>
        <w:adjustRightInd w:val="0"/>
        <w:snapToGrid w:val="0"/>
        <w:spacing w:line="360" w:lineRule="auto"/>
        <w:ind w:firstLine="480" w:firstLineChars="200"/>
      </w:pPr>
      <w:r>
        <w:t>2.各级独立播出</w:t>
      </w:r>
    </w:p>
    <w:p>
      <w:pPr>
        <w:autoSpaceDE w:val="0"/>
        <w:autoSpaceDN w:val="0"/>
        <w:adjustRightInd w:val="0"/>
        <w:snapToGrid w:val="0"/>
        <w:spacing w:line="360" w:lineRule="auto"/>
        <w:ind w:firstLine="480" w:firstLineChars="200"/>
      </w:pPr>
      <w:r>
        <w:t>乡镇平台应在没有上级信号支持的情况下具备独立播出能力。村级在设置广播室的情况下可播出本级简单信息，在未设置广播室的情况下可通过通讯工具或其它方式实现村级信息的插播。</w:t>
      </w:r>
    </w:p>
    <w:p>
      <w:pPr>
        <w:autoSpaceDE w:val="0"/>
        <w:autoSpaceDN w:val="0"/>
        <w:adjustRightInd w:val="0"/>
        <w:snapToGrid w:val="0"/>
        <w:spacing w:line="360" w:lineRule="auto"/>
        <w:ind w:firstLine="480" w:firstLineChars="200"/>
      </w:pPr>
      <w:r>
        <w:t>3.应急插播</w:t>
      </w:r>
    </w:p>
    <w:p>
      <w:pPr>
        <w:autoSpaceDE w:val="0"/>
        <w:autoSpaceDN w:val="0"/>
        <w:adjustRightInd w:val="0"/>
        <w:snapToGrid w:val="0"/>
        <w:spacing w:line="360" w:lineRule="auto"/>
        <w:ind w:firstLine="480" w:firstLineChars="200"/>
      </w:pPr>
      <w:r>
        <w:t>应急状态下可按照应急播出优先原则实现各级系统的应急插播：在应急状态下，可直接点亮紧急信号灯，同时接受终端的音量自动调整为最大状态，应急广播结束后自动回复到原设置值。</w:t>
      </w:r>
    </w:p>
    <w:p>
      <w:pPr>
        <w:autoSpaceDE w:val="0"/>
        <w:autoSpaceDN w:val="0"/>
        <w:adjustRightInd w:val="0"/>
        <w:snapToGrid w:val="0"/>
        <w:spacing w:line="360" w:lineRule="auto"/>
        <w:ind w:firstLine="480" w:firstLineChars="200"/>
      </w:pPr>
      <w:r>
        <w:t>4.播出层级优先控制</w:t>
      </w:r>
    </w:p>
    <w:p>
      <w:pPr>
        <w:autoSpaceDE w:val="0"/>
        <w:autoSpaceDN w:val="0"/>
        <w:adjustRightInd w:val="0"/>
        <w:snapToGrid w:val="0"/>
        <w:spacing w:line="360" w:lineRule="auto"/>
        <w:ind w:firstLine="480" w:firstLineChars="200"/>
      </w:pPr>
      <w:r>
        <w:t>系统播出控制的优先级设计应遵循上级节目播出优先于下级节目的总体原则。</w:t>
      </w:r>
    </w:p>
    <w:p>
      <w:pPr>
        <w:autoSpaceDE w:val="0"/>
        <w:autoSpaceDN w:val="0"/>
        <w:adjustRightInd w:val="0"/>
        <w:snapToGrid w:val="0"/>
        <w:spacing w:line="360" w:lineRule="auto"/>
        <w:ind w:firstLine="480" w:firstLineChars="200"/>
      </w:pPr>
      <w:r>
        <w:t>5.在日常播出状态下，各级系统应能满足省市节目联播的需要；非联播时段，各级系统可播出本机信息，但当上级系统播出时下级系统不能插播。</w:t>
      </w:r>
    </w:p>
    <w:p>
      <w:pPr>
        <w:autoSpaceDE w:val="0"/>
        <w:autoSpaceDN w:val="0"/>
        <w:adjustRightInd w:val="0"/>
        <w:snapToGrid w:val="0"/>
        <w:spacing w:line="360" w:lineRule="auto"/>
        <w:ind w:firstLine="480" w:firstLineChars="200"/>
      </w:pPr>
      <w:r>
        <w:t>6.在非日常固定播出时段，上级系统可根据需要打开下级系统或不通过下级系统直接打开终端播出通知等信息；镇、村级系统可随时插播本级信息，非固定时段的信息播出也应遵循上级优先原则。</w:t>
      </w:r>
    </w:p>
    <w:p>
      <w:pPr>
        <w:autoSpaceDE w:val="0"/>
        <w:autoSpaceDN w:val="0"/>
        <w:adjustRightInd w:val="0"/>
        <w:snapToGrid w:val="0"/>
        <w:spacing w:line="360" w:lineRule="auto"/>
        <w:ind w:firstLine="480" w:firstLineChars="200"/>
      </w:pPr>
      <w:r>
        <w:t>7.应急状态下，各级系统均可打断本级正在播出的上级或本级正常节目，通过输入应急编码插播本级应急信息。各级应急播出均可通过远程控制方式实现；应急播出也应遵循上级优先原则，即上级正在播放应急信息时，下级不能插播应急信息。</w:t>
      </w:r>
    </w:p>
    <w:p>
      <w:pPr>
        <w:autoSpaceDE w:val="0"/>
        <w:autoSpaceDN w:val="0"/>
        <w:adjustRightInd w:val="0"/>
        <w:snapToGrid w:val="0"/>
        <w:spacing w:line="360" w:lineRule="auto"/>
        <w:ind w:firstLine="480" w:firstLineChars="200"/>
      </w:pPr>
      <w:r>
        <w:t>8.系统应具备完善的技术措施保障上述的优先级原则，同时系统也应具备用户根据需要调整优先级的技术能力。</w:t>
      </w:r>
    </w:p>
    <w:p>
      <w:pPr>
        <w:autoSpaceDE w:val="0"/>
        <w:autoSpaceDN w:val="0"/>
        <w:adjustRightInd w:val="0"/>
        <w:snapToGrid w:val="0"/>
        <w:spacing w:line="360" w:lineRule="auto"/>
        <w:ind w:firstLine="480" w:firstLineChars="200"/>
      </w:pPr>
      <w:r>
        <w:t>9.终端可寻址控制</w:t>
      </w:r>
    </w:p>
    <w:p>
      <w:pPr>
        <w:autoSpaceDE w:val="0"/>
        <w:autoSpaceDN w:val="0"/>
        <w:adjustRightInd w:val="0"/>
        <w:snapToGrid w:val="0"/>
        <w:spacing w:line="360" w:lineRule="auto"/>
        <w:ind w:firstLine="480" w:firstLineChars="200"/>
      </w:pPr>
      <w:r>
        <w:t>系统可以实现乡镇和行政村按照各自不同的行政级别和区域划分（逻辑码）实现对大喇叭终端分组控制，分组广播；也可以通过终端点对点对终端进行控制。理论上应可控制终端所有广播参数，如音量、开关机等。需要调节音量时可以通过设置在前端</w:t>
      </w:r>
      <w:r>
        <w:rPr>
          <w:rFonts w:hint="eastAsia"/>
        </w:rPr>
        <w:t>设备</w:t>
      </w:r>
      <w:r>
        <w:t>方便的实现远程智能调节；开关机操作时能够实现声音的渐强渐弱，即淡入淡出功能。</w:t>
      </w:r>
    </w:p>
    <w:p>
      <w:pPr>
        <w:autoSpaceDE w:val="0"/>
        <w:autoSpaceDN w:val="0"/>
        <w:adjustRightInd w:val="0"/>
        <w:snapToGrid w:val="0"/>
        <w:spacing w:line="360" w:lineRule="auto"/>
        <w:ind w:firstLine="480" w:firstLineChars="200"/>
      </w:pPr>
      <w:r>
        <w:t>10.安全播出控制</w:t>
      </w:r>
    </w:p>
    <w:p>
      <w:pPr>
        <w:autoSpaceDE w:val="0"/>
        <w:autoSpaceDN w:val="0"/>
        <w:adjustRightInd w:val="0"/>
        <w:snapToGrid w:val="0"/>
        <w:spacing w:line="360" w:lineRule="auto"/>
        <w:ind w:firstLine="480" w:firstLineChars="200"/>
      </w:pPr>
      <w:r>
        <w:t>整个系统应具备安全防范功能：整个系统应具备完善的抗干扰、防插播、防盗播、防错播、防漏播等安全播出技术措施，确保系统安全播出。</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9.3、话筒</w:t>
      </w:r>
    </w:p>
    <w:p>
      <w:pPr>
        <w:autoSpaceDE w:val="0"/>
        <w:autoSpaceDN w:val="0"/>
        <w:adjustRightInd w:val="0"/>
        <w:snapToGrid w:val="0"/>
        <w:spacing w:line="360" w:lineRule="auto"/>
        <w:ind w:firstLine="480" w:firstLineChars="200"/>
      </w:pPr>
      <w:r>
        <w:t>类型：动圈话筒；</w:t>
      </w:r>
    </w:p>
    <w:p>
      <w:pPr>
        <w:autoSpaceDE w:val="0"/>
        <w:autoSpaceDN w:val="0"/>
        <w:adjustRightInd w:val="0"/>
        <w:snapToGrid w:val="0"/>
        <w:spacing w:line="360" w:lineRule="auto"/>
        <w:ind w:firstLine="480" w:firstLineChars="200"/>
      </w:pPr>
      <w:r>
        <w:t>指向性：心型指向；</w:t>
      </w:r>
    </w:p>
    <w:p>
      <w:pPr>
        <w:autoSpaceDE w:val="0"/>
        <w:autoSpaceDN w:val="0"/>
        <w:adjustRightInd w:val="0"/>
        <w:snapToGrid w:val="0"/>
        <w:spacing w:line="360" w:lineRule="auto"/>
        <w:ind w:firstLine="480" w:firstLineChars="200"/>
      </w:pPr>
      <w:r>
        <w:t>适用范围：会议话筒；</w:t>
      </w:r>
    </w:p>
    <w:p>
      <w:pPr>
        <w:autoSpaceDE w:val="0"/>
        <w:autoSpaceDN w:val="0"/>
        <w:adjustRightInd w:val="0"/>
        <w:snapToGrid w:val="0"/>
        <w:spacing w:line="360" w:lineRule="auto"/>
        <w:ind w:firstLine="480" w:firstLineChars="200"/>
      </w:pPr>
      <w:r>
        <w:t>频率范围：40～15000Hz；</w:t>
      </w:r>
    </w:p>
    <w:p>
      <w:pPr>
        <w:autoSpaceDE w:val="0"/>
        <w:autoSpaceDN w:val="0"/>
        <w:adjustRightInd w:val="0"/>
        <w:snapToGrid w:val="0"/>
        <w:spacing w:line="360" w:lineRule="auto"/>
        <w:ind w:firstLine="480" w:firstLineChars="200"/>
      </w:pPr>
      <w:r>
        <w:t>供电电源： DC 3V；</w:t>
      </w:r>
    </w:p>
    <w:p>
      <w:pPr>
        <w:autoSpaceDE w:val="0"/>
        <w:autoSpaceDN w:val="0"/>
        <w:adjustRightInd w:val="0"/>
        <w:snapToGrid w:val="0"/>
        <w:spacing w:line="360" w:lineRule="auto"/>
        <w:ind w:firstLine="480" w:firstLineChars="200"/>
      </w:pPr>
      <w:r>
        <w:t>灵敏度：-45dB(3.5mV/Pa)3dB；</w:t>
      </w:r>
    </w:p>
    <w:p>
      <w:pPr>
        <w:autoSpaceDE w:val="0"/>
        <w:autoSpaceDN w:val="0"/>
        <w:adjustRightInd w:val="0"/>
        <w:snapToGrid w:val="0"/>
        <w:spacing w:line="360" w:lineRule="auto"/>
        <w:ind w:firstLine="480" w:firstLineChars="200"/>
      </w:pPr>
      <w:r>
        <w:t>输出阻抗：600Ω；</w:t>
      </w:r>
    </w:p>
    <w:p>
      <w:pPr>
        <w:autoSpaceDE w:val="0"/>
        <w:autoSpaceDN w:val="0"/>
        <w:adjustRightInd w:val="0"/>
        <w:snapToGrid w:val="0"/>
        <w:spacing w:line="360" w:lineRule="auto"/>
        <w:ind w:firstLine="480" w:firstLineChars="200"/>
      </w:pPr>
      <w:r>
        <w:t>参考适音距离:(20-50)cm。</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9.4、PC 机</w:t>
      </w:r>
    </w:p>
    <w:p>
      <w:pPr>
        <w:autoSpaceDE w:val="0"/>
        <w:autoSpaceDN w:val="0"/>
        <w:adjustRightInd w:val="0"/>
        <w:snapToGrid w:val="0"/>
        <w:spacing w:line="360" w:lineRule="auto"/>
        <w:ind w:firstLine="480" w:firstLineChars="200"/>
        <w:rPr>
          <w:szCs w:val="21"/>
        </w:rPr>
      </w:pPr>
      <w:r>
        <w:rPr>
          <w:szCs w:val="21"/>
        </w:rPr>
        <w:t>国产品牌台式机；</w:t>
      </w:r>
    </w:p>
    <w:p>
      <w:pPr>
        <w:autoSpaceDE w:val="0"/>
        <w:autoSpaceDN w:val="0"/>
        <w:adjustRightInd w:val="0"/>
        <w:spacing w:line="360" w:lineRule="auto"/>
        <w:ind w:firstLine="420"/>
        <w:rPr>
          <w:szCs w:val="21"/>
        </w:rPr>
      </w:pPr>
      <w:r>
        <w:rPr>
          <w:szCs w:val="21"/>
        </w:rPr>
        <w:t>CPU:不低于3.6GHz；</w:t>
      </w:r>
    </w:p>
    <w:p>
      <w:pPr>
        <w:autoSpaceDE w:val="0"/>
        <w:autoSpaceDN w:val="0"/>
        <w:adjustRightInd w:val="0"/>
        <w:spacing w:line="360" w:lineRule="auto"/>
        <w:ind w:firstLine="420"/>
        <w:rPr>
          <w:szCs w:val="21"/>
        </w:rPr>
      </w:pPr>
      <w:r>
        <w:rPr>
          <w:szCs w:val="21"/>
        </w:rPr>
        <w:t>内存：不低于8GB DDR4；</w:t>
      </w:r>
    </w:p>
    <w:p>
      <w:pPr>
        <w:autoSpaceDE w:val="0"/>
        <w:autoSpaceDN w:val="0"/>
        <w:adjustRightInd w:val="0"/>
        <w:spacing w:line="360" w:lineRule="auto"/>
        <w:ind w:firstLine="420"/>
        <w:rPr>
          <w:szCs w:val="21"/>
        </w:rPr>
      </w:pPr>
      <w:r>
        <w:rPr>
          <w:szCs w:val="21"/>
        </w:rPr>
        <w:t>硬盘：不少于1TB；</w:t>
      </w:r>
    </w:p>
    <w:p>
      <w:pPr>
        <w:autoSpaceDE w:val="0"/>
        <w:autoSpaceDN w:val="0"/>
        <w:adjustRightInd w:val="0"/>
        <w:spacing w:line="360" w:lineRule="auto"/>
        <w:ind w:firstLine="420"/>
        <w:rPr>
          <w:szCs w:val="21"/>
        </w:rPr>
      </w:pPr>
      <w:r>
        <w:rPr>
          <w:szCs w:val="21"/>
        </w:rPr>
        <w:t>显卡：</w:t>
      </w:r>
      <w:r>
        <w:rPr>
          <w:rFonts w:hint="eastAsia"/>
          <w:szCs w:val="21"/>
        </w:rPr>
        <w:t>独立</w:t>
      </w:r>
      <w:r>
        <w:rPr>
          <w:szCs w:val="21"/>
        </w:rPr>
        <w:t>显卡；</w:t>
      </w:r>
    </w:p>
    <w:p>
      <w:pPr>
        <w:autoSpaceDE w:val="0"/>
        <w:autoSpaceDN w:val="0"/>
        <w:adjustRightInd w:val="0"/>
        <w:spacing w:line="360" w:lineRule="auto"/>
        <w:ind w:firstLine="420"/>
        <w:rPr>
          <w:szCs w:val="21"/>
        </w:rPr>
      </w:pPr>
      <w:r>
        <w:rPr>
          <w:szCs w:val="21"/>
        </w:rPr>
        <w:t>显示器：液晶不小于21英寸；</w:t>
      </w:r>
    </w:p>
    <w:p>
      <w:pPr>
        <w:autoSpaceDE w:val="0"/>
        <w:autoSpaceDN w:val="0"/>
        <w:adjustRightInd w:val="0"/>
        <w:spacing w:line="360" w:lineRule="auto"/>
        <w:ind w:firstLine="420"/>
        <w:rPr>
          <w:szCs w:val="21"/>
        </w:rPr>
      </w:pPr>
      <w:r>
        <w:rPr>
          <w:szCs w:val="21"/>
        </w:rPr>
        <w:t>含Windows 操作系统；</w:t>
      </w:r>
    </w:p>
    <w:p>
      <w:pPr>
        <w:autoSpaceDE w:val="0"/>
        <w:autoSpaceDN w:val="0"/>
        <w:adjustRightInd w:val="0"/>
        <w:spacing w:line="360" w:lineRule="auto"/>
        <w:ind w:firstLine="420"/>
      </w:pPr>
      <w:r>
        <w:rPr>
          <w:szCs w:val="21"/>
        </w:rPr>
        <w:t>含USB 鼠标键盘</w:t>
      </w:r>
      <w:r>
        <w:t>。</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9.5、播控桌及机柜</w:t>
      </w:r>
    </w:p>
    <w:p>
      <w:pPr>
        <w:autoSpaceDE w:val="0"/>
        <w:autoSpaceDN w:val="0"/>
        <w:adjustRightInd w:val="0"/>
        <w:snapToGrid w:val="0"/>
        <w:spacing w:line="360" w:lineRule="auto"/>
        <w:ind w:firstLine="480" w:firstLineChars="200"/>
      </w:pPr>
      <w:r>
        <w:t>尺寸：桌面宽度600mm，长度台面深度1200mm，柜体台面高度750mm。</w:t>
      </w:r>
    </w:p>
    <w:p>
      <w:pPr>
        <w:autoSpaceDE w:val="0"/>
        <w:autoSpaceDN w:val="0"/>
        <w:adjustRightInd w:val="0"/>
        <w:snapToGrid w:val="0"/>
        <w:spacing w:line="360" w:lineRule="auto"/>
        <w:ind w:firstLine="480" w:firstLineChars="200"/>
      </w:pPr>
      <w:r>
        <w:t>静电喷粉设计工艺，表面光滑无毛刺，防腐。</w:t>
      </w:r>
    </w:p>
    <w:p>
      <w:pPr>
        <w:autoSpaceDE w:val="0"/>
        <w:autoSpaceDN w:val="0"/>
        <w:adjustRightInd w:val="0"/>
        <w:snapToGrid w:val="0"/>
        <w:spacing w:line="360" w:lineRule="auto"/>
        <w:ind w:firstLine="480" w:firstLineChars="200"/>
      </w:pPr>
      <w:r>
        <w:t>控制桌面为全平。</w:t>
      </w:r>
    </w:p>
    <w:p>
      <w:pPr>
        <w:autoSpaceDE w:val="0"/>
        <w:autoSpaceDN w:val="0"/>
        <w:adjustRightInd w:val="0"/>
        <w:snapToGrid w:val="0"/>
        <w:spacing w:line="360" w:lineRule="auto"/>
        <w:ind w:firstLine="480" w:firstLineChars="200"/>
      </w:pPr>
      <w:r>
        <w:t>台面配有推拉式键盘抽屉，最右边预留有鼠标线孔，动圈话筒线多余长度可放入该孔进行隐藏。</w:t>
      </w:r>
    </w:p>
    <w:p>
      <w:pPr>
        <w:autoSpaceDE w:val="0"/>
        <w:autoSpaceDN w:val="0"/>
        <w:adjustRightInd w:val="0"/>
        <w:snapToGrid w:val="0"/>
        <w:spacing w:line="360" w:lineRule="auto"/>
        <w:ind w:firstLine="480" w:firstLineChars="200"/>
      </w:pPr>
      <w:r>
        <w:t>播控桌台面下方自带机架式机柜。</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9.6、UPS 电源</w:t>
      </w:r>
    </w:p>
    <w:p>
      <w:pPr>
        <w:autoSpaceDE w:val="0"/>
        <w:autoSpaceDN w:val="0"/>
        <w:adjustRightInd w:val="0"/>
        <w:snapToGrid w:val="0"/>
        <w:spacing w:line="360" w:lineRule="auto"/>
        <w:ind w:firstLine="480" w:firstLineChars="200"/>
      </w:pPr>
      <w:r>
        <w:t>在断电时，应急供电功率≮500W，满载后备时间2小时；</w:t>
      </w:r>
    </w:p>
    <w:p>
      <w:pPr>
        <w:autoSpaceDE w:val="0"/>
        <w:autoSpaceDN w:val="0"/>
        <w:adjustRightInd w:val="0"/>
        <w:snapToGrid w:val="0"/>
        <w:spacing w:line="360" w:lineRule="auto"/>
        <w:ind w:firstLine="480" w:firstLineChars="200"/>
      </w:pPr>
      <w:r>
        <w:t>整机效率 达到90%；</w:t>
      </w:r>
    </w:p>
    <w:p>
      <w:pPr>
        <w:autoSpaceDE w:val="0"/>
        <w:autoSpaceDN w:val="0"/>
        <w:adjustRightInd w:val="0"/>
        <w:snapToGrid w:val="0"/>
        <w:spacing w:line="360" w:lineRule="auto"/>
        <w:ind w:firstLine="480" w:firstLineChars="200"/>
      </w:pPr>
      <w:r>
        <w:t>输入电压范围 115-300V；</w:t>
      </w:r>
    </w:p>
    <w:p>
      <w:pPr>
        <w:autoSpaceDE w:val="0"/>
        <w:autoSpaceDN w:val="0"/>
        <w:adjustRightInd w:val="0"/>
        <w:snapToGrid w:val="0"/>
        <w:spacing w:line="360" w:lineRule="auto"/>
        <w:ind w:firstLine="480" w:firstLineChars="200"/>
      </w:pPr>
      <w:r>
        <w:t>输入频率范围 46-64Hz，50/60Hz；</w:t>
      </w:r>
    </w:p>
    <w:p>
      <w:pPr>
        <w:autoSpaceDE w:val="0"/>
        <w:autoSpaceDN w:val="0"/>
        <w:adjustRightInd w:val="0"/>
        <w:snapToGrid w:val="0"/>
        <w:spacing w:line="360" w:lineRule="auto"/>
        <w:ind w:firstLine="480" w:firstLineChars="200"/>
      </w:pPr>
      <w:r>
        <w:t>输入功因 ≥0.99；</w:t>
      </w:r>
    </w:p>
    <w:p>
      <w:pPr>
        <w:autoSpaceDE w:val="0"/>
        <w:autoSpaceDN w:val="0"/>
        <w:adjustRightInd w:val="0"/>
        <w:snapToGrid w:val="0"/>
        <w:spacing w:line="360" w:lineRule="auto"/>
        <w:ind w:firstLine="480" w:firstLineChars="200"/>
      </w:pPr>
      <w:r>
        <w:t>输出电压范围 AC220（1±2%）V；</w:t>
      </w:r>
    </w:p>
    <w:p>
      <w:pPr>
        <w:autoSpaceDE w:val="0"/>
        <w:autoSpaceDN w:val="0"/>
        <w:adjustRightInd w:val="0"/>
        <w:snapToGrid w:val="0"/>
        <w:spacing w:line="360" w:lineRule="auto"/>
        <w:ind w:firstLine="480" w:firstLineChars="200"/>
      </w:pPr>
      <w:r>
        <w:t>输出频率范围 50±0.2%Hz；</w:t>
      </w:r>
    </w:p>
    <w:p>
      <w:pPr>
        <w:autoSpaceDE w:val="0"/>
        <w:autoSpaceDN w:val="0"/>
        <w:adjustRightInd w:val="0"/>
        <w:snapToGrid w:val="0"/>
        <w:spacing w:line="360" w:lineRule="auto"/>
        <w:ind w:firstLine="480" w:firstLineChars="200"/>
      </w:pPr>
      <w:r>
        <w:t>电流峰值比 3:1；</w:t>
      </w:r>
    </w:p>
    <w:p>
      <w:pPr>
        <w:autoSpaceDE w:val="0"/>
        <w:autoSpaceDN w:val="0"/>
        <w:adjustRightInd w:val="0"/>
        <w:snapToGrid w:val="0"/>
        <w:spacing w:line="360" w:lineRule="auto"/>
        <w:ind w:firstLine="480" w:firstLineChars="200"/>
      </w:pPr>
      <w:r>
        <w:t>输出功因 0.8；</w:t>
      </w:r>
    </w:p>
    <w:p>
      <w:pPr>
        <w:autoSpaceDE w:val="0"/>
        <w:autoSpaceDN w:val="0"/>
        <w:adjustRightInd w:val="0"/>
        <w:snapToGrid w:val="0"/>
        <w:spacing w:line="360" w:lineRule="auto"/>
        <w:ind w:firstLine="480" w:firstLineChars="200"/>
      </w:pPr>
      <w:r>
        <w:t>过载能力 负载≤125%，维持1min；≤150%，维持30s；≥150%，立即转旁路；</w:t>
      </w:r>
    </w:p>
    <w:p>
      <w:pPr>
        <w:autoSpaceDE w:val="0"/>
        <w:autoSpaceDN w:val="0"/>
        <w:adjustRightInd w:val="0"/>
        <w:snapToGrid w:val="0"/>
        <w:spacing w:line="360" w:lineRule="auto"/>
        <w:ind w:firstLine="480" w:firstLineChars="200"/>
      </w:pPr>
      <w:r>
        <w:t>噪音值 &lt;50dB。</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9.7、交换机</w:t>
      </w:r>
    </w:p>
    <w:p>
      <w:pPr>
        <w:autoSpaceDE w:val="0"/>
        <w:autoSpaceDN w:val="0"/>
        <w:adjustRightInd w:val="0"/>
        <w:snapToGrid w:val="0"/>
        <w:spacing w:line="360" w:lineRule="auto"/>
        <w:ind w:firstLine="480" w:firstLineChars="200"/>
      </w:pPr>
      <w:r>
        <w:t>以太网交换机；</w:t>
      </w:r>
    </w:p>
    <w:p>
      <w:pPr>
        <w:autoSpaceDE w:val="0"/>
        <w:autoSpaceDN w:val="0"/>
        <w:adjustRightInd w:val="0"/>
        <w:snapToGrid w:val="0"/>
        <w:spacing w:line="360" w:lineRule="auto"/>
        <w:ind w:firstLine="480" w:firstLineChars="200"/>
      </w:pPr>
      <w:r>
        <w:t>不少于8个10/100/1000Mbps RJ45端口；</w:t>
      </w:r>
    </w:p>
    <w:p>
      <w:pPr>
        <w:autoSpaceDE w:val="0"/>
        <w:autoSpaceDN w:val="0"/>
        <w:adjustRightInd w:val="0"/>
        <w:snapToGrid w:val="0"/>
        <w:spacing w:line="360" w:lineRule="auto"/>
        <w:ind w:firstLine="480" w:firstLineChars="200"/>
      </w:pPr>
      <w:r>
        <w:t>每个端口支持自适应、双工模式。</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9.8、PDU 8 位插座</w:t>
      </w:r>
    </w:p>
    <w:p>
      <w:pPr>
        <w:autoSpaceDE w:val="0"/>
        <w:autoSpaceDN w:val="0"/>
        <w:adjustRightInd w:val="0"/>
        <w:snapToGrid w:val="0"/>
        <w:spacing w:line="360" w:lineRule="auto"/>
        <w:ind w:firstLine="480" w:firstLineChars="200"/>
      </w:pPr>
      <w:r>
        <w:t>插孔数量不少于8个；</w:t>
      </w:r>
    </w:p>
    <w:p>
      <w:pPr>
        <w:autoSpaceDE w:val="0"/>
        <w:autoSpaceDN w:val="0"/>
        <w:adjustRightInd w:val="0"/>
        <w:snapToGrid w:val="0"/>
        <w:spacing w:line="360" w:lineRule="auto"/>
        <w:ind w:firstLine="480" w:firstLineChars="200"/>
      </w:pPr>
      <w:r>
        <w:t>额定电压：250V；</w:t>
      </w:r>
    </w:p>
    <w:p>
      <w:pPr>
        <w:autoSpaceDE w:val="0"/>
        <w:autoSpaceDN w:val="0"/>
        <w:adjustRightInd w:val="0"/>
        <w:snapToGrid w:val="0"/>
        <w:spacing w:line="360" w:lineRule="auto"/>
        <w:ind w:firstLine="480" w:firstLineChars="200"/>
      </w:pPr>
      <w:r>
        <w:t>额定电流不小于10A；</w:t>
      </w:r>
    </w:p>
    <w:p>
      <w:pPr>
        <w:autoSpaceDE w:val="0"/>
        <w:autoSpaceDN w:val="0"/>
        <w:adjustRightInd w:val="0"/>
        <w:snapToGrid w:val="0"/>
        <w:spacing w:line="360" w:lineRule="auto"/>
        <w:ind w:firstLine="480" w:firstLineChars="200"/>
      </w:pPr>
      <w:r>
        <w:t>额定功率不小于 2500W。</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9.9、多模音柱</w:t>
      </w:r>
    </w:p>
    <w:p>
      <w:pPr>
        <w:spacing w:line="360" w:lineRule="auto"/>
        <w:ind w:left="420" w:leftChars="175"/>
        <w:rPr>
          <w:lang w:bidi="zh-CN"/>
        </w:rPr>
      </w:pPr>
      <w:r>
        <w:rPr>
          <w:rFonts w:hint="eastAsia"/>
          <w:lang w:bidi="zh-CN"/>
        </w:rPr>
        <w:t>（</w:t>
      </w:r>
      <w:r>
        <w:rPr>
          <w:rFonts w:hint="eastAsia"/>
          <w:lang w:val="zh-CN" w:bidi="zh-CN"/>
        </w:rPr>
        <w:t>一</w:t>
      </w:r>
      <w:r>
        <w:rPr>
          <w:rFonts w:hint="eastAsia"/>
          <w:lang w:bidi="zh-CN"/>
        </w:rPr>
        <w:t>）</w:t>
      </w:r>
      <w:r>
        <w:rPr>
          <w:rFonts w:hint="eastAsia"/>
          <w:lang w:val="zh-CN" w:bidi="zh-CN"/>
        </w:rPr>
        <w:t>功能要求</w:t>
      </w:r>
    </w:p>
    <w:p>
      <w:pPr>
        <w:spacing w:line="360" w:lineRule="auto"/>
        <w:ind w:left="420" w:leftChars="175"/>
        <w:rPr>
          <w:lang w:val="zh-CN" w:bidi="zh-CN"/>
        </w:rPr>
      </w:pPr>
      <w:r>
        <w:rPr>
          <w:lang w:val="zh-CN" w:bidi="zh-CN"/>
        </w:rPr>
        <w:t>1.可设置本设备IP地址、端口号等参数；</w:t>
      </w:r>
    </w:p>
    <w:p>
      <w:pPr>
        <w:spacing w:line="360" w:lineRule="auto"/>
        <w:ind w:left="420" w:leftChars="175"/>
        <w:rPr>
          <w:lang w:val="zh-CN" w:bidi="zh-CN"/>
        </w:rPr>
      </w:pPr>
      <w:r>
        <w:rPr>
          <w:lang w:val="zh-CN" w:bidi="zh-CN"/>
        </w:rPr>
        <w:t>2.可接收来自上级调频信号、IP信号（有线和4G）、DTMB/DVB-C信号，实现远程广播控制功能；</w:t>
      </w:r>
    </w:p>
    <w:p>
      <w:pPr>
        <w:spacing w:line="360" w:lineRule="auto"/>
        <w:ind w:left="420" w:leftChars="175"/>
        <w:rPr>
          <w:lang w:val="zh-CN" w:bidi="zh-CN"/>
        </w:rPr>
      </w:pPr>
      <w:r>
        <w:rPr>
          <w:lang w:val="zh-CN" w:bidi="zh-CN"/>
        </w:rPr>
        <w:t>3.支持管理平台远程配置工作参数（包括：音量、调频频率、DTMB频率等）；</w:t>
      </w:r>
    </w:p>
    <w:p>
      <w:pPr>
        <w:spacing w:line="360" w:lineRule="auto"/>
        <w:ind w:left="420" w:leftChars="175"/>
        <w:rPr>
          <w:lang w:val="zh-CN" w:bidi="zh-CN"/>
        </w:rPr>
      </w:pPr>
      <w:r>
        <w:rPr>
          <w:lang w:val="zh-CN" w:bidi="zh-CN"/>
        </w:rPr>
        <w:t>4.集成国密算法芯片，具有验签功能。符合GD/J 081—2018 应急广播安全保护技术规范 数字签名；</w:t>
      </w:r>
    </w:p>
    <w:p>
      <w:pPr>
        <w:spacing w:line="360" w:lineRule="auto"/>
        <w:ind w:left="420" w:leftChars="175"/>
        <w:rPr>
          <w:lang w:val="zh-CN" w:bidi="zh-CN"/>
        </w:rPr>
      </w:pPr>
      <w:r>
        <w:rPr>
          <w:lang w:val="zh-CN" w:bidi="zh-CN"/>
        </w:rPr>
        <w:t>5.</w:t>
      </w:r>
      <w:r>
        <w:t xml:space="preserve"> 支持</w:t>
      </w:r>
      <w:r>
        <w:rPr>
          <w:rFonts w:hint="eastAsia"/>
        </w:rPr>
        <w:t>I</w:t>
      </w:r>
      <w:r>
        <w:t>P</w:t>
      </w:r>
      <w:r>
        <w:rPr>
          <w:rFonts w:hint="eastAsia"/>
        </w:rPr>
        <w:t>、调频、或地面数字电视等</w:t>
      </w:r>
      <w:r>
        <w:t>2种以上</w:t>
      </w:r>
      <w:r>
        <w:rPr>
          <w:rFonts w:hint="eastAsia"/>
        </w:rPr>
        <w:t>不同</w:t>
      </w:r>
      <w:r>
        <w:t>信号同时激活工作</w:t>
      </w:r>
      <w:r>
        <w:rPr>
          <w:lang w:val="zh-CN" w:bidi="zh-CN"/>
        </w:rPr>
        <w:t>，优先级可选；</w:t>
      </w:r>
    </w:p>
    <w:p>
      <w:pPr>
        <w:spacing w:line="360" w:lineRule="auto"/>
        <w:ind w:left="420" w:leftChars="175"/>
        <w:rPr>
          <w:lang w:val="zh-CN" w:bidi="zh-CN"/>
        </w:rPr>
      </w:pPr>
      <w:r>
        <w:rPr>
          <w:lang w:val="zh-CN" w:bidi="zh-CN"/>
        </w:rPr>
        <w:t>6.配置通信模块支持回传功能；</w:t>
      </w:r>
    </w:p>
    <w:p>
      <w:pPr>
        <w:spacing w:line="360" w:lineRule="auto"/>
        <w:ind w:left="420" w:leftChars="175"/>
        <w:rPr>
          <w:lang w:val="zh-CN" w:bidi="zh-CN"/>
        </w:rPr>
      </w:pPr>
      <w:r>
        <w:rPr>
          <w:lang w:val="zh-CN" w:bidi="zh-CN"/>
        </w:rPr>
        <w:t>7.具有防雷防水和短路保护功能。</w:t>
      </w:r>
    </w:p>
    <w:p>
      <w:pPr>
        <w:spacing w:line="360" w:lineRule="auto"/>
        <w:ind w:left="420" w:leftChars="175"/>
        <w:rPr>
          <w:lang w:val="zh-CN" w:bidi="zh-CN"/>
        </w:rPr>
      </w:pPr>
      <w:r>
        <w:rPr>
          <w:rFonts w:hint="eastAsia"/>
          <w:lang w:val="zh-CN" w:bidi="zh-CN"/>
        </w:rPr>
        <w:t>（二）接口要求</w:t>
      </w:r>
    </w:p>
    <w:p>
      <w:pPr>
        <w:spacing w:line="360" w:lineRule="auto"/>
        <w:ind w:left="420" w:leftChars="175"/>
        <w:rPr>
          <w:lang w:val="zh-CN" w:bidi="zh-CN"/>
        </w:rPr>
      </w:pPr>
      <w:r>
        <w:rPr>
          <w:lang w:val="zh-CN" w:bidi="zh-CN"/>
        </w:rPr>
        <w:t>1.FM输入接口：公制F母座，1路输入内置2分配，配置2个调谐器；</w:t>
      </w:r>
    </w:p>
    <w:p>
      <w:pPr>
        <w:spacing w:line="360" w:lineRule="auto"/>
        <w:ind w:left="420" w:leftChars="175"/>
        <w:rPr>
          <w:lang w:val="zh-CN" w:bidi="zh-CN"/>
        </w:rPr>
      </w:pPr>
      <w:r>
        <w:rPr>
          <w:lang w:val="zh-CN" w:bidi="zh-CN"/>
        </w:rPr>
        <w:t>2.DTMB（DVB-C）或独立输入接口：英制 F 母座，1 路及以上；</w:t>
      </w:r>
    </w:p>
    <w:p>
      <w:pPr>
        <w:spacing w:line="360" w:lineRule="auto"/>
        <w:ind w:left="420" w:leftChars="175"/>
        <w:rPr>
          <w:lang w:val="zh-CN" w:bidi="zh-CN"/>
        </w:rPr>
      </w:pPr>
      <w:r>
        <w:rPr>
          <w:lang w:val="zh-CN" w:bidi="zh-CN"/>
        </w:rPr>
        <w:t>3.网络接口：RJ45；</w:t>
      </w:r>
    </w:p>
    <w:p>
      <w:pPr>
        <w:spacing w:line="360" w:lineRule="auto"/>
        <w:ind w:left="420" w:leftChars="175"/>
        <w:rPr>
          <w:lang w:val="zh-CN" w:bidi="zh-CN"/>
        </w:rPr>
      </w:pPr>
      <w:r>
        <w:rPr>
          <w:lang w:val="zh-CN" w:bidi="zh-CN"/>
        </w:rPr>
        <w:t>4.内置扬声器输出。</w:t>
      </w:r>
    </w:p>
    <w:p>
      <w:pPr>
        <w:spacing w:line="360" w:lineRule="auto"/>
        <w:ind w:left="420" w:leftChars="175"/>
        <w:rPr>
          <w:lang w:val="zh-CN" w:bidi="zh-CN"/>
        </w:rPr>
      </w:pPr>
      <w:r>
        <w:rPr>
          <w:rFonts w:hint="eastAsia"/>
          <w:lang w:val="zh-CN" w:bidi="zh-CN"/>
        </w:rPr>
        <w:t>（三）性能要求</w:t>
      </w:r>
    </w:p>
    <w:p>
      <w:pPr>
        <w:spacing w:line="360" w:lineRule="auto"/>
        <w:ind w:left="420" w:leftChars="175"/>
        <w:rPr>
          <w:lang w:val="zh-CN" w:bidi="zh-CN"/>
        </w:rPr>
      </w:pPr>
      <w:r>
        <w:rPr>
          <w:lang w:val="zh-CN" w:bidi="zh-CN"/>
        </w:rPr>
        <w:t>1.工作电压范围：AC:160V～260V；</w:t>
      </w:r>
    </w:p>
    <w:p>
      <w:pPr>
        <w:spacing w:line="360" w:lineRule="auto"/>
        <w:ind w:left="420" w:leftChars="175"/>
        <w:rPr>
          <w:lang w:val="zh-CN" w:bidi="zh-CN"/>
        </w:rPr>
      </w:pPr>
      <w:r>
        <w:rPr>
          <w:lang w:val="zh-CN" w:bidi="zh-CN"/>
        </w:rPr>
        <w:t>2.FM输入频率范围：87MHz～108MHz；</w:t>
      </w:r>
    </w:p>
    <w:p>
      <w:pPr>
        <w:spacing w:line="360" w:lineRule="auto"/>
        <w:ind w:left="420" w:leftChars="175"/>
        <w:rPr>
          <w:lang w:val="zh-CN" w:bidi="zh-CN"/>
        </w:rPr>
      </w:pPr>
      <w:r>
        <w:rPr>
          <w:lang w:val="zh-CN" w:bidi="zh-CN"/>
        </w:rPr>
        <w:t>3.DTMB/DVB-C频段：470MHz～802MHz。</w:t>
      </w:r>
    </w:p>
    <w:p>
      <w:pPr>
        <w:spacing w:line="360" w:lineRule="auto"/>
        <w:ind w:left="420" w:leftChars="175"/>
        <w:rPr>
          <w:lang w:val="zh-CN" w:bidi="zh-CN"/>
        </w:rPr>
      </w:pPr>
      <w:r>
        <w:rPr>
          <w:lang w:val="zh-CN" w:bidi="zh-CN"/>
        </w:rPr>
        <w:t>4.额定输出功率：不小于25瓦。</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9.10、辅材</w:t>
      </w:r>
    </w:p>
    <w:p>
      <w:pPr>
        <w:autoSpaceDE w:val="0"/>
        <w:autoSpaceDN w:val="0"/>
        <w:adjustRightInd w:val="0"/>
        <w:spacing w:line="360" w:lineRule="auto"/>
        <w:ind w:firstLine="420"/>
      </w:pPr>
      <w:r>
        <w:t>包括设备安装、连通、调试直至正常工作需要的所有线缆辅材等。</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9.11、安装调试</w:t>
      </w:r>
    </w:p>
    <w:p>
      <w:pPr>
        <w:autoSpaceDE w:val="0"/>
        <w:autoSpaceDN w:val="0"/>
        <w:adjustRightInd w:val="0"/>
        <w:spacing w:line="360" w:lineRule="auto"/>
        <w:ind w:firstLine="420"/>
      </w:pPr>
      <w:r>
        <w:t>包括设备安装、连通、调试直至正常工作需要的所有附属设备设施和相关服务等。</w:t>
      </w:r>
    </w:p>
    <w:p>
      <w:pPr>
        <w:pStyle w:val="4"/>
        <w:spacing w:line="360" w:lineRule="auto"/>
        <w:ind w:firstLine="562"/>
        <w:rPr>
          <w:rFonts w:ascii="宋体" w:hAnsi="宋体" w:eastAsia="宋体" w:cs="宋体"/>
          <w:b/>
          <w:bCs/>
          <w:sz w:val="28"/>
          <w:szCs w:val="28"/>
        </w:rPr>
      </w:pPr>
      <w:bookmarkStart w:id="114" w:name="_Toc117014033"/>
      <w:r>
        <w:rPr>
          <w:rFonts w:hint="eastAsia" w:ascii="宋体" w:hAnsi="宋体" w:eastAsia="宋体" w:cs="宋体"/>
          <w:b/>
          <w:bCs/>
          <w:sz w:val="28"/>
          <w:szCs w:val="28"/>
        </w:rPr>
        <w:t>十、行政村（社区）应急广播平台及终端设备</w:t>
      </w:r>
      <w:bookmarkEnd w:id="114"/>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10.1、村级应急广播大喇叭适配器</w:t>
      </w:r>
    </w:p>
    <w:p>
      <w:pPr>
        <w:autoSpaceDE w:val="0"/>
        <w:autoSpaceDN w:val="0"/>
        <w:adjustRightInd w:val="0"/>
        <w:snapToGrid w:val="0"/>
        <w:spacing w:line="360" w:lineRule="auto"/>
        <w:ind w:firstLine="480" w:firstLineChars="200"/>
      </w:pPr>
      <w:r>
        <w:t>1.总体要求</w:t>
      </w:r>
    </w:p>
    <w:p>
      <w:pPr>
        <w:autoSpaceDE w:val="0"/>
        <w:autoSpaceDN w:val="0"/>
        <w:adjustRightInd w:val="0"/>
        <w:snapToGrid w:val="0"/>
        <w:spacing w:line="360" w:lineRule="auto"/>
        <w:ind w:firstLine="480" w:firstLineChars="200"/>
      </w:pPr>
      <w:r>
        <w:t>应预留通过直播卫星进行远程唤醒播发应急广播消息的接口；</w:t>
      </w:r>
    </w:p>
    <w:p>
      <w:pPr>
        <w:autoSpaceDE w:val="0"/>
        <w:autoSpaceDN w:val="0"/>
        <w:adjustRightInd w:val="0"/>
        <w:snapToGrid w:val="0"/>
        <w:spacing w:line="360" w:lineRule="auto"/>
        <w:ind w:firstLine="480" w:firstLineChars="200"/>
      </w:pPr>
      <w:r>
        <w:t>可接收上级调频信号，解调出音频信号及RDS 数据，做出相应的播发/停止动作。信号处理符合GD/J 085—2018 模拟调频应急广播技术规范；</w:t>
      </w:r>
    </w:p>
    <w:p>
      <w:pPr>
        <w:autoSpaceDE w:val="0"/>
        <w:autoSpaceDN w:val="0"/>
        <w:adjustRightInd w:val="0"/>
        <w:snapToGrid w:val="0"/>
        <w:spacing w:line="360" w:lineRule="auto"/>
        <w:ind w:firstLine="480" w:firstLineChars="200"/>
      </w:pPr>
      <w:r>
        <w:t>可接收上级DTMB/DVB-C 信号，解调出音频信号及控制信号，做出相应的播发/停止动作。信号处理符合GD/J 087—2018 地面数字电视应急广播技术规范和GD/J 086—2018 有线数字电视应急广播技术规范；</w:t>
      </w:r>
    </w:p>
    <w:p>
      <w:pPr>
        <w:autoSpaceDE w:val="0"/>
        <w:autoSpaceDN w:val="0"/>
        <w:adjustRightInd w:val="0"/>
        <w:snapToGrid w:val="0"/>
        <w:spacing w:line="360" w:lineRule="auto"/>
        <w:ind w:firstLine="480" w:firstLineChars="200"/>
      </w:pPr>
      <w:r>
        <w:t>可接收上级IP 信号（有线和4G），解调出音频信号及控制信号，做出相应的播发/停止动作。信号处理符合GD/J 089—2018 应急广播大喇叭系统技术规范附录D；</w:t>
      </w:r>
    </w:p>
    <w:p>
      <w:pPr>
        <w:autoSpaceDE w:val="0"/>
        <w:autoSpaceDN w:val="0"/>
        <w:adjustRightInd w:val="0"/>
        <w:snapToGrid w:val="0"/>
        <w:spacing w:line="360" w:lineRule="auto"/>
        <w:ind w:firstLine="480" w:firstLineChars="200"/>
      </w:pPr>
      <w:r>
        <w:t>具有本地音源和上级收转信号调频编码输出，可输出标准的RDS 调频信号，进行信号传输。信号输出符合GD/J 085—2018 模拟调频应急广播技术规范；</w:t>
      </w:r>
    </w:p>
    <w:p>
      <w:pPr>
        <w:autoSpaceDE w:val="0"/>
        <w:autoSpaceDN w:val="0"/>
        <w:adjustRightInd w:val="0"/>
        <w:snapToGrid w:val="0"/>
        <w:spacing w:line="360" w:lineRule="auto"/>
        <w:ind w:firstLine="480" w:firstLineChars="200"/>
      </w:pPr>
      <w:r>
        <w:t>具备输出IP 音频信号及IP 指令信号，控制终端进行应急广播消息播发的功能，输出信号符合GD/J 089—2018 应急广播大喇叭系统技术规范附录D。</w:t>
      </w:r>
    </w:p>
    <w:p>
      <w:pPr>
        <w:autoSpaceDE w:val="0"/>
        <w:autoSpaceDN w:val="0"/>
        <w:adjustRightInd w:val="0"/>
        <w:snapToGrid w:val="0"/>
        <w:spacing w:line="360" w:lineRule="auto"/>
        <w:ind w:firstLine="480" w:firstLineChars="200"/>
      </w:pPr>
      <w:r>
        <w:t>2.功能要求</w:t>
      </w:r>
    </w:p>
    <w:p>
      <w:pPr>
        <w:autoSpaceDE w:val="0"/>
        <w:autoSpaceDN w:val="0"/>
        <w:adjustRightInd w:val="0"/>
        <w:snapToGrid w:val="0"/>
        <w:spacing w:line="360" w:lineRule="auto"/>
        <w:ind w:firstLine="480" w:firstLineChars="200"/>
      </w:pPr>
      <w:r>
        <w:t>可通过前面板液晶屏及按键，对设备IP 地址、端口号进行设置；</w:t>
      </w:r>
    </w:p>
    <w:p>
      <w:pPr>
        <w:autoSpaceDE w:val="0"/>
        <w:autoSpaceDN w:val="0"/>
        <w:adjustRightInd w:val="0"/>
        <w:snapToGrid w:val="0"/>
        <w:spacing w:line="360" w:lineRule="auto"/>
        <w:ind w:firstLine="480" w:firstLineChars="200"/>
      </w:pPr>
      <w:r>
        <w:t>可脱离管理平台实现本级广播的功能；</w:t>
      </w:r>
    </w:p>
    <w:p>
      <w:pPr>
        <w:autoSpaceDE w:val="0"/>
        <w:autoSpaceDN w:val="0"/>
        <w:adjustRightInd w:val="0"/>
        <w:snapToGrid w:val="0"/>
        <w:spacing w:line="360" w:lineRule="auto"/>
        <w:ind w:firstLine="480" w:firstLineChars="200"/>
      </w:pPr>
      <w:r>
        <w:t>支持本地音源广播，包括U盘（MP3 格式文件）广播、线路广播、话筒广播可通过按键选择上下曲；</w:t>
      </w:r>
    </w:p>
    <w:p>
      <w:pPr>
        <w:autoSpaceDE w:val="0"/>
        <w:autoSpaceDN w:val="0"/>
        <w:adjustRightInd w:val="0"/>
        <w:snapToGrid w:val="0"/>
        <w:spacing w:line="360" w:lineRule="auto"/>
        <w:ind w:firstLine="480" w:firstLineChars="200"/>
      </w:pPr>
      <w:r>
        <w:t>具有监听功能：内置监听喇叭，监听音量可调节，具有音频存储功能，音频编码格式为MP3,标称存储容量≥8GB；</w:t>
      </w:r>
    </w:p>
    <w:p>
      <w:pPr>
        <w:autoSpaceDE w:val="0"/>
        <w:autoSpaceDN w:val="0"/>
        <w:adjustRightInd w:val="0"/>
        <w:snapToGrid w:val="0"/>
        <w:spacing w:line="360" w:lineRule="auto"/>
        <w:ind w:firstLine="480" w:firstLineChars="200"/>
      </w:pPr>
      <w:r>
        <w:t>可设置定时广播（≥3个时间段），广播音源可选择话筒广播、U 盘、调频接收、线路输入；</w:t>
      </w:r>
    </w:p>
    <w:p>
      <w:pPr>
        <w:autoSpaceDE w:val="0"/>
        <w:autoSpaceDN w:val="0"/>
        <w:adjustRightInd w:val="0"/>
        <w:snapToGrid w:val="0"/>
        <w:spacing w:line="360" w:lineRule="auto"/>
        <w:ind w:firstLine="480" w:firstLineChars="200"/>
      </w:pPr>
      <w:r>
        <w:t>支持远程对本设备的网络参数、应急广播资源编码、回传参数工作参数配置；</w:t>
      </w:r>
    </w:p>
    <w:p>
      <w:pPr>
        <w:autoSpaceDE w:val="0"/>
        <w:autoSpaceDN w:val="0"/>
        <w:adjustRightInd w:val="0"/>
        <w:snapToGrid w:val="0"/>
        <w:spacing w:line="360" w:lineRule="auto"/>
        <w:ind w:firstLine="480" w:firstLineChars="200"/>
      </w:pPr>
      <w:r>
        <w:t>支持读取安全模块编号功能，支持管理平台更新证书；</w:t>
      </w:r>
    </w:p>
    <w:p>
      <w:pPr>
        <w:autoSpaceDE w:val="0"/>
        <w:autoSpaceDN w:val="0"/>
        <w:adjustRightInd w:val="0"/>
        <w:snapToGrid w:val="0"/>
        <w:spacing w:line="360" w:lineRule="auto"/>
        <w:ind w:firstLine="480" w:firstLineChars="200"/>
      </w:pPr>
      <w:r>
        <w:t>具备响应管理平台发出的控制和读取状态指令的功能；</w:t>
      </w:r>
    </w:p>
    <w:p>
      <w:pPr>
        <w:autoSpaceDE w:val="0"/>
        <w:autoSpaceDN w:val="0"/>
        <w:adjustRightInd w:val="0"/>
        <w:snapToGrid w:val="0"/>
        <w:spacing w:line="360" w:lineRule="auto"/>
        <w:ind w:firstLine="480" w:firstLineChars="200"/>
      </w:pPr>
      <w:r>
        <w:t>支持将话筒广播一键切换为紧急模式；</w:t>
      </w:r>
    </w:p>
    <w:p>
      <w:pPr>
        <w:autoSpaceDE w:val="0"/>
        <w:autoSpaceDN w:val="0"/>
        <w:adjustRightInd w:val="0"/>
        <w:snapToGrid w:val="0"/>
        <w:spacing w:line="360" w:lineRule="auto"/>
        <w:ind w:firstLine="480" w:firstLineChars="200"/>
      </w:pPr>
      <w:r>
        <w:t>集成国密算法芯片，具有签名、验签功能。符合《GD/J 081-2018应急广播安全保护技术规范 数字签名》要求；</w:t>
      </w:r>
    </w:p>
    <w:p>
      <w:pPr>
        <w:autoSpaceDE w:val="0"/>
        <w:autoSpaceDN w:val="0"/>
        <w:adjustRightInd w:val="0"/>
        <w:snapToGrid w:val="0"/>
        <w:spacing w:line="360" w:lineRule="auto"/>
        <w:ind w:firstLine="480" w:firstLineChars="200"/>
      </w:pPr>
      <w:r>
        <w:t>支持通道，必须支持IP 和调频、DTMB（输入）、DVB-C（输入），4G 播发应急广播消息通道；</w:t>
      </w:r>
    </w:p>
    <w:p>
      <w:pPr>
        <w:autoSpaceDE w:val="0"/>
        <w:autoSpaceDN w:val="0"/>
        <w:adjustRightInd w:val="0"/>
        <w:snapToGrid w:val="0"/>
        <w:spacing w:line="360" w:lineRule="auto"/>
        <w:ind w:firstLine="480" w:firstLineChars="200"/>
      </w:pPr>
      <w:r>
        <w:t>具备本地播发、上级信号接收播发功能；</w:t>
      </w:r>
    </w:p>
    <w:p>
      <w:pPr>
        <w:autoSpaceDE w:val="0"/>
        <w:autoSpaceDN w:val="0"/>
        <w:adjustRightInd w:val="0"/>
        <w:snapToGrid w:val="0"/>
        <w:spacing w:line="360" w:lineRule="auto"/>
        <w:ind w:firstLine="480" w:firstLineChars="200"/>
      </w:pPr>
      <w:r>
        <w:t>具备本地多音源切换功能；</w:t>
      </w:r>
    </w:p>
    <w:p>
      <w:pPr>
        <w:autoSpaceDE w:val="0"/>
        <w:autoSpaceDN w:val="0"/>
        <w:adjustRightInd w:val="0"/>
        <w:snapToGrid w:val="0"/>
        <w:spacing w:line="360" w:lineRule="auto"/>
        <w:ind w:firstLine="480" w:firstLineChars="200"/>
      </w:pPr>
      <w:r>
        <w:t>支持分区域播发控制；</w:t>
      </w:r>
    </w:p>
    <w:p>
      <w:pPr>
        <w:autoSpaceDE w:val="0"/>
        <w:autoSpaceDN w:val="0"/>
        <w:adjustRightInd w:val="0"/>
        <w:snapToGrid w:val="0"/>
        <w:spacing w:line="360" w:lineRule="auto"/>
        <w:ind w:firstLine="480" w:firstLineChars="200"/>
      </w:pPr>
      <w:r>
        <w:t>支持广播模式自动切换功能，当设备处于日常广播模式时，应急广播消息能自动切断日常广播播发应急消息，应急广播消息播发完毕，切换回原来的日常广播状态。</w:t>
      </w:r>
    </w:p>
    <w:p>
      <w:pPr>
        <w:autoSpaceDE w:val="0"/>
        <w:autoSpaceDN w:val="0"/>
        <w:adjustRightInd w:val="0"/>
        <w:snapToGrid w:val="0"/>
        <w:spacing w:line="360" w:lineRule="auto"/>
        <w:ind w:firstLine="480" w:firstLineChars="200"/>
      </w:pPr>
      <w:r>
        <w:t>3.接口要求</w:t>
      </w:r>
    </w:p>
    <w:p>
      <w:pPr>
        <w:autoSpaceDE w:val="0"/>
        <w:autoSpaceDN w:val="0"/>
        <w:adjustRightInd w:val="0"/>
        <w:snapToGrid w:val="0"/>
        <w:spacing w:line="360" w:lineRule="auto"/>
        <w:ind w:firstLine="480" w:firstLineChars="200"/>
      </w:pPr>
      <w:r>
        <w:t>采用19英寸机架式设计；</w:t>
      </w:r>
    </w:p>
    <w:p>
      <w:pPr>
        <w:autoSpaceDE w:val="0"/>
        <w:autoSpaceDN w:val="0"/>
        <w:adjustRightInd w:val="0"/>
        <w:snapToGrid w:val="0"/>
        <w:spacing w:line="360" w:lineRule="auto"/>
        <w:ind w:firstLine="480" w:firstLineChars="200"/>
      </w:pPr>
      <w:r>
        <w:t>具有1路AC220V 可控电源输出；</w:t>
      </w:r>
    </w:p>
    <w:p>
      <w:pPr>
        <w:autoSpaceDE w:val="0"/>
        <w:autoSpaceDN w:val="0"/>
        <w:adjustRightInd w:val="0"/>
        <w:snapToGrid w:val="0"/>
        <w:spacing w:line="360" w:lineRule="auto"/>
        <w:ind w:firstLine="480" w:firstLineChars="200"/>
      </w:pPr>
      <w:r>
        <w:t>具有1路及以上音频输出，接口类型：RCA 莲花母座；</w:t>
      </w:r>
    </w:p>
    <w:p>
      <w:pPr>
        <w:autoSpaceDE w:val="0"/>
        <w:autoSpaceDN w:val="0"/>
        <w:adjustRightInd w:val="0"/>
        <w:snapToGrid w:val="0"/>
        <w:spacing w:line="360" w:lineRule="auto"/>
        <w:ind w:firstLine="480" w:firstLineChars="200"/>
      </w:pPr>
      <w:r>
        <w:t>具有2路及以上线路音频输入接口，RCA 莲花母座或BNC；</w:t>
      </w:r>
    </w:p>
    <w:p>
      <w:pPr>
        <w:autoSpaceDE w:val="0"/>
        <w:autoSpaceDN w:val="0"/>
        <w:adjustRightInd w:val="0"/>
        <w:snapToGrid w:val="0"/>
        <w:spacing w:line="360" w:lineRule="auto"/>
        <w:ind w:firstLine="480" w:firstLineChars="200"/>
      </w:pPr>
      <w:r>
        <w:t>话筒输入：具有6.5mm 和3.5mm 两个话筒接口；</w:t>
      </w:r>
    </w:p>
    <w:p>
      <w:pPr>
        <w:autoSpaceDE w:val="0"/>
        <w:autoSpaceDN w:val="0"/>
        <w:adjustRightInd w:val="0"/>
        <w:snapToGrid w:val="0"/>
        <w:spacing w:line="360" w:lineRule="auto"/>
        <w:ind w:firstLine="480" w:firstLineChars="200"/>
      </w:pPr>
      <w:r>
        <w:t>网络接口：RJ45，≥100M，1个；</w:t>
      </w:r>
    </w:p>
    <w:p>
      <w:pPr>
        <w:autoSpaceDE w:val="0"/>
        <w:autoSpaceDN w:val="0"/>
        <w:adjustRightInd w:val="0"/>
        <w:snapToGrid w:val="0"/>
        <w:spacing w:line="360" w:lineRule="auto"/>
        <w:ind w:firstLine="480" w:firstLineChars="200"/>
      </w:pPr>
      <w:r>
        <w:t>FM 输入接口：公制F母座，1路输入内置2分配，配置2个调谐器；</w:t>
      </w:r>
    </w:p>
    <w:p>
      <w:pPr>
        <w:autoSpaceDE w:val="0"/>
        <w:autoSpaceDN w:val="0"/>
        <w:adjustRightInd w:val="0"/>
        <w:snapToGrid w:val="0"/>
        <w:spacing w:line="360" w:lineRule="auto"/>
        <w:ind w:firstLine="480" w:firstLineChars="200"/>
      </w:pPr>
      <w:r>
        <w:t>FM 输出接口：公制F母座，输出1路；</w:t>
      </w:r>
    </w:p>
    <w:p>
      <w:pPr>
        <w:autoSpaceDE w:val="0"/>
        <w:autoSpaceDN w:val="0"/>
        <w:adjustRightInd w:val="0"/>
        <w:snapToGrid w:val="0"/>
        <w:spacing w:line="360" w:lineRule="auto"/>
        <w:ind w:firstLine="480" w:firstLineChars="200"/>
      </w:pPr>
      <w:r>
        <w:t>RDS 输出接口：BNC，输出幅度0～1Vp-p 通过旋钮可调，输出阻抗低阻，测试负载600 欧姆；</w:t>
      </w:r>
    </w:p>
    <w:p>
      <w:pPr>
        <w:autoSpaceDE w:val="0"/>
        <w:autoSpaceDN w:val="0"/>
        <w:adjustRightInd w:val="0"/>
        <w:snapToGrid w:val="0"/>
        <w:spacing w:line="360" w:lineRule="auto"/>
        <w:ind w:firstLine="480" w:firstLineChars="200"/>
      </w:pPr>
      <w:r>
        <w:t>DTMB（DVB-C）或独立输入接口：英制F母座，1路及以上；</w:t>
      </w:r>
    </w:p>
    <w:p>
      <w:pPr>
        <w:autoSpaceDE w:val="0"/>
        <w:autoSpaceDN w:val="0"/>
        <w:adjustRightInd w:val="0"/>
        <w:snapToGrid w:val="0"/>
        <w:spacing w:line="360" w:lineRule="auto"/>
        <w:ind w:firstLine="480" w:firstLineChars="200"/>
      </w:pPr>
      <w:r>
        <w:t>监听接口：具有监听喇叭和3.5mm 耳机插孔，监听音量通过旋钮可调。</w:t>
      </w:r>
    </w:p>
    <w:p>
      <w:pPr>
        <w:autoSpaceDE w:val="0"/>
        <w:autoSpaceDN w:val="0"/>
        <w:adjustRightInd w:val="0"/>
        <w:snapToGrid w:val="0"/>
        <w:spacing w:line="360" w:lineRule="auto"/>
        <w:ind w:firstLine="480" w:firstLineChars="200"/>
      </w:pPr>
      <w:r>
        <w:t>4.性能要求</w:t>
      </w:r>
    </w:p>
    <w:p>
      <w:pPr>
        <w:autoSpaceDE w:val="0"/>
        <w:autoSpaceDN w:val="0"/>
        <w:adjustRightInd w:val="0"/>
        <w:snapToGrid w:val="0"/>
        <w:spacing w:line="360" w:lineRule="auto"/>
        <w:ind w:firstLine="480" w:firstLineChars="200"/>
      </w:pPr>
      <w:r>
        <w:t>工作电压范围：AC:160V～260V；</w:t>
      </w:r>
    </w:p>
    <w:p>
      <w:pPr>
        <w:autoSpaceDE w:val="0"/>
        <w:autoSpaceDN w:val="0"/>
        <w:adjustRightInd w:val="0"/>
        <w:snapToGrid w:val="0"/>
        <w:spacing w:line="360" w:lineRule="auto"/>
        <w:ind w:firstLine="480" w:firstLineChars="200"/>
      </w:pPr>
      <w:r>
        <w:t>信噪比：≥65dB（本设备音频输入输出：线路0dBu）；</w:t>
      </w:r>
    </w:p>
    <w:p>
      <w:pPr>
        <w:autoSpaceDE w:val="0"/>
        <w:autoSpaceDN w:val="0"/>
        <w:adjustRightInd w:val="0"/>
        <w:snapToGrid w:val="0"/>
        <w:spacing w:line="360" w:lineRule="auto"/>
        <w:ind w:firstLine="480" w:firstLineChars="200"/>
      </w:pPr>
      <w:r>
        <w:t>频响：40Hz～15KHz (±3dB)（本设备音频输入输出：线路0dBu）；</w:t>
      </w:r>
    </w:p>
    <w:p>
      <w:pPr>
        <w:autoSpaceDE w:val="0"/>
        <w:autoSpaceDN w:val="0"/>
        <w:adjustRightInd w:val="0"/>
        <w:snapToGrid w:val="0"/>
        <w:spacing w:line="360" w:lineRule="auto"/>
        <w:ind w:firstLine="480" w:firstLineChars="200"/>
      </w:pPr>
      <w:r>
        <w:t>谐波失真：≤1%（本设备音频输入输出：线路0dBu）；</w:t>
      </w:r>
    </w:p>
    <w:p>
      <w:pPr>
        <w:autoSpaceDE w:val="0"/>
        <w:autoSpaceDN w:val="0"/>
        <w:adjustRightInd w:val="0"/>
        <w:snapToGrid w:val="0"/>
        <w:spacing w:line="360" w:lineRule="auto"/>
        <w:ind w:firstLine="480" w:firstLineChars="200"/>
      </w:pPr>
      <w:r>
        <w:t>音频输出电平：0.775±10% V（r.m.s）（线路0dBu）；</w:t>
      </w:r>
    </w:p>
    <w:p>
      <w:pPr>
        <w:autoSpaceDE w:val="0"/>
        <w:autoSpaceDN w:val="0"/>
        <w:adjustRightInd w:val="0"/>
        <w:snapToGrid w:val="0"/>
        <w:spacing w:line="360" w:lineRule="auto"/>
        <w:ind w:firstLine="480" w:firstLineChars="200"/>
      </w:pPr>
      <w:r>
        <w:t>音频输出阻抗：低阻，&lt;100 欧姆；</w:t>
      </w:r>
    </w:p>
    <w:p>
      <w:pPr>
        <w:autoSpaceDE w:val="0"/>
        <w:autoSpaceDN w:val="0"/>
        <w:adjustRightInd w:val="0"/>
        <w:snapToGrid w:val="0"/>
        <w:spacing w:line="360" w:lineRule="auto"/>
        <w:ind w:firstLine="480" w:firstLineChars="200"/>
      </w:pPr>
      <w:r>
        <w:t>音频输入阻抗：高阻，&gt;10K 欧姆；</w:t>
      </w:r>
    </w:p>
    <w:p>
      <w:pPr>
        <w:autoSpaceDE w:val="0"/>
        <w:autoSpaceDN w:val="0"/>
        <w:adjustRightInd w:val="0"/>
        <w:snapToGrid w:val="0"/>
        <w:spacing w:line="360" w:lineRule="auto"/>
        <w:ind w:firstLine="480" w:firstLineChars="200"/>
      </w:pPr>
      <w:r>
        <w:t>FM 输入/输出频率范围：87MHz～108MHz；</w:t>
      </w:r>
    </w:p>
    <w:p>
      <w:pPr>
        <w:autoSpaceDE w:val="0"/>
        <w:autoSpaceDN w:val="0"/>
        <w:adjustRightInd w:val="0"/>
        <w:snapToGrid w:val="0"/>
        <w:spacing w:line="360" w:lineRule="auto"/>
        <w:ind w:firstLine="480" w:firstLineChars="200"/>
      </w:pPr>
      <w:r>
        <w:t>DTMB 频段：470MHz～802MHz；</w:t>
      </w:r>
    </w:p>
    <w:p>
      <w:pPr>
        <w:autoSpaceDE w:val="0"/>
        <w:autoSpaceDN w:val="0"/>
        <w:adjustRightInd w:val="0"/>
        <w:snapToGrid w:val="0"/>
        <w:spacing w:line="360" w:lineRule="auto"/>
        <w:ind w:firstLine="480" w:firstLineChars="200"/>
      </w:pPr>
      <w:r>
        <w:t>DVB-C 频段：470MHz～802MHz。</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10.2、话筒</w:t>
      </w:r>
    </w:p>
    <w:p>
      <w:pPr>
        <w:autoSpaceDE w:val="0"/>
        <w:autoSpaceDN w:val="0"/>
        <w:adjustRightInd w:val="0"/>
        <w:snapToGrid w:val="0"/>
        <w:spacing w:line="360" w:lineRule="auto"/>
        <w:ind w:firstLine="480" w:firstLineChars="200"/>
      </w:pPr>
      <w:r>
        <w:t>类型：动圈话筒；</w:t>
      </w:r>
    </w:p>
    <w:p>
      <w:pPr>
        <w:autoSpaceDE w:val="0"/>
        <w:autoSpaceDN w:val="0"/>
        <w:adjustRightInd w:val="0"/>
        <w:snapToGrid w:val="0"/>
        <w:spacing w:line="360" w:lineRule="auto"/>
        <w:ind w:firstLine="480" w:firstLineChars="200"/>
      </w:pPr>
      <w:r>
        <w:t>指向性：心型指向；</w:t>
      </w:r>
    </w:p>
    <w:p>
      <w:pPr>
        <w:autoSpaceDE w:val="0"/>
        <w:autoSpaceDN w:val="0"/>
        <w:adjustRightInd w:val="0"/>
        <w:snapToGrid w:val="0"/>
        <w:spacing w:line="360" w:lineRule="auto"/>
        <w:ind w:firstLine="480" w:firstLineChars="200"/>
      </w:pPr>
      <w:r>
        <w:t>适用范围：会议话筒；</w:t>
      </w:r>
    </w:p>
    <w:p>
      <w:pPr>
        <w:autoSpaceDE w:val="0"/>
        <w:autoSpaceDN w:val="0"/>
        <w:adjustRightInd w:val="0"/>
        <w:snapToGrid w:val="0"/>
        <w:spacing w:line="360" w:lineRule="auto"/>
        <w:ind w:firstLine="480" w:firstLineChars="200"/>
      </w:pPr>
      <w:r>
        <w:t>频率范围：40～15000Hz；</w:t>
      </w:r>
    </w:p>
    <w:p>
      <w:pPr>
        <w:autoSpaceDE w:val="0"/>
        <w:autoSpaceDN w:val="0"/>
        <w:adjustRightInd w:val="0"/>
        <w:snapToGrid w:val="0"/>
        <w:spacing w:line="360" w:lineRule="auto"/>
        <w:ind w:firstLine="480" w:firstLineChars="200"/>
      </w:pPr>
      <w:r>
        <w:t>供电电源： DC 3V；</w:t>
      </w:r>
    </w:p>
    <w:p>
      <w:pPr>
        <w:autoSpaceDE w:val="0"/>
        <w:autoSpaceDN w:val="0"/>
        <w:adjustRightInd w:val="0"/>
        <w:snapToGrid w:val="0"/>
        <w:spacing w:line="360" w:lineRule="auto"/>
        <w:ind w:firstLine="480" w:firstLineChars="200"/>
      </w:pPr>
      <w:r>
        <w:t>灵敏度：-45dB(3.5mV/Pa)3dB；</w:t>
      </w:r>
    </w:p>
    <w:p>
      <w:pPr>
        <w:autoSpaceDE w:val="0"/>
        <w:autoSpaceDN w:val="0"/>
        <w:adjustRightInd w:val="0"/>
        <w:snapToGrid w:val="0"/>
        <w:spacing w:line="360" w:lineRule="auto"/>
        <w:ind w:firstLine="480" w:firstLineChars="200"/>
      </w:pPr>
      <w:r>
        <w:t>输出阻抗：600Ω；</w:t>
      </w:r>
    </w:p>
    <w:p>
      <w:pPr>
        <w:autoSpaceDE w:val="0"/>
        <w:autoSpaceDN w:val="0"/>
        <w:adjustRightInd w:val="0"/>
        <w:snapToGrid w:val="0"/>
        <w:spacing w:line="360" w:lineRule="auto"/>
        <w:ind w:firstLine="480" w:firstLineChars="200"/>
      </w:pPr>
      <w:r>
        <w:t>参考适音距离:(20-50)cm。</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10.3、UPS 电源</w:t>
      </w:r>
    </w:p>
    <w:p>
      <w:pPr>
        <w:autoSpaceDE w:val="0"/>
        <w:autoSpaceDN w:val="0"/>
        <w:adjustRightInd w:val="0"/>
        <w:snapToGrid w:val="0"/>
        <w:spacing w:line="360" w:lineRule="auto"/>
        <w:ind w:firstLine="480" w:firstLineChars="200"/>
      </w:pPr>
      <w:r>
        <w:t>在断电时，应急供电功率≮500W，满载后备时间2小时；</w:t>
      </w:r>
    </w:p>
    <w:p>
      <w:pPr>
        <w:autoSpaceDE w:val="0"/>
        <w:autoSpaceDN w:val="0"/>
        <w:adjustRightInd w:val="0"/>
        <w:snapToGrid w:val="0"/>
        <w:spacing w:line="360" w:lineRule="auto"/>
        <w:ind w:firstLine="480" w:firstLineChars="200"/>
      </w:pPr>
      <w:r>
        <w:t>整机效率 达到90%；</w:t>
      </w:r>
    </w:p>
    <w:p>
      <w:pPr>
        <w:autoSpaceDE w:val="0"/>
        <w:autoSpaceDN w:val="0"/>
        <w:adjustRightInd w:val="0"/>
        <w:snapToGrid w:val="0"/>
        <w:spacing w:line="360" w:lineRule="auto"/>
        <w:ind w:firstLine="480" w:firstLineChars="200"/>
      </w:pPr>
      <w:r>
        <w:t>输入电压范围 115-300V；</w:t>
      </w:r>
    </w:p>
    <w:p>
      <w:pPr>
        <w:autoSpaceDE w:val="0"/>
        <w:autoSpaceDN w:val="0"/>
        <w:adjustRightInd w:val="0"/>
        <w:snapToGrid w:val="0"/>
        <w:spacing w:line="360" w:lineRule="auto"/>
        <w:ind w:firstLine="480" w:firstLineChars="200"/>
      </w:pPr>
      <w:r>
        <w:t>输入频率范围 46-64Hz，50/60Hz；</w:t>
      </w:r>
    </w:p>
    <w:p>
      <w:pPr>
        <w:autoSpaceDE w:val="0"/>
        <w:autoSpaceDN w:val="0"/>
        <w:adjustRightInd w:val="0"/>
        <w:snapToGrid w:val="0"/>
        <w:spacing w:line="360" w:lineRule="auto"/>
        <w:ind w:firstLine="480" w:firstLineChars="200"/>
      </w:pPr>
      <w:r>
        <w:t>输入功因 ≥0.99；</w:t>
      </w:r>
    </w:p>
    <w:p>
      <w:pPr>
        <w:autoSpaceDE w:val="0"/>
        <w:autoSpaceDN w:val="0"/>
        <w:adjustRightInd w:val="0"/>
        <w:snapToGrid w:val="0"/>
        <w:spacing w:line="360" w:lineRule="auto"/>
        <w:ind w:firstLine="480" w:firstLineChars="200"/>
      </w:pPr>
      <w:r>
        <w:t>输出电压范围 AC220（1±2%）V；</w:t>
      </w:r>
    </w:p>
    <w:p>
      <w:pPr>
        <w:autoSpaceDE w:val="0"/>
        <w:autoSpaceDN w:val="0"/>
        <w:adjustRightInd w:val="0"/>
        <w:snapToGrid w:val="0"/>
        <w:spacing w:line="360" w:lineRule="auto"/>
        <w:ind w:firstLine="480" w:firstLineChars="200"/>
      </w:pPr>
      <w:r>
        <w:t>输出频率范围 50±0.2%Hz；</w:t>
      </w:r>
    </w:p>
    <w:p>
      <w:pPr>
        <w:autoSpaceDE w:val="0"/>
        <w:autoSpaceDN w:val="0"/>
        <w:adjustRightInd w:val="0"/>
        <w:snapToGrid w:val="0"/>
        <w:spacing w:line="360" w:lineRule="auto"/>
        <w:ind w:firstLine="480" w:firstLineChars="200"/>
      </w:pPr>
      <w:r>
        <w:t>电流峰值比 3:1；</w:t>
      </w:r>
    </w:p>
    <w:p>
      <w:pPr>
        <w:autoSpaceDE w:val="0"/>
        <w:autoSpaceDN w:val="0"/>
        <w:adjustRightInd w:val="0"/>
        <w:snapToGrid w:val="0"/>
        <w:spacing w:line="360" w:lineRule="auto"/>
        <w:ind w:firstLine="480" w:firstLineChars="200"/>
      </w:pPr>
      <w:r>
        <w:t>输出功因 0.8；</w:t>
      </w:r>
    </w:p>
    <w:p>
      <w:pPr>
        <w:autoSpaceDE w:val="0"/>
        <w:autoSpaceDN w:val="0"/>
        <w:adjustRightInd w:val="0"/>
        <w:snapToGrid w:val="0"/>
        <w:spacing w:line="360" w:lineRule="auto"/>
        <w:ind w:firstLine="480" w:firstLineChars="200"/>
      </w:pPr>
      <w:r>
        <w:t>过载能力 负载≤125%，维持1min；≤150%，维持30s；≥150%，立即转旁路；</w:t>
      </w:r>
    </w:p>
    <w:p>
      <w:pPr>
        <w:autoSpaceDE w:val="0"/>
        <w:autoSpaceDN w:val="0"/>
        <w:adjustRightInd w:val="0"/>
        <w:snapToGrid w:val="0"/>
        <w:spacing w:line="360" w:lineRule="auto"/>
        <w:ind w:firstLine="480" w:firstLineChars="200"/>
      </w:pPr>
      <w:r>
        <w:t>噪音值 &lt;50dB。</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10.4、多模收扩机</w:t>
      </w:r>
    </w:p>
    <w:p>
      <w:pPr>
        <w:spacing w:line="360" w:lineRule="auto"/>
        <w:ind w:left="420" w:leftChars="175"/>
        <w:rPr>
          <w:lang w:val="zh-CN" w:bidi="zh-CN"/>
        </w:rPr>
      </w:pPr>
      <w:r>
        <w:rPr>
          <w:rFonts w:hint="eastAsia"/>
          <w:lang w:val="zh-CN" w:bidi="zh-CN"/>
        </w:rPr>
        <w:t>（一）功能要求</w:t>
      </w:r>
    </w:p>
    <w:p>
      <w:pPr>
        <w:spacing w:line="360" w:lineRule="auto"/>
        <w:ind w:left="420" w:leftChars="175"/>
        <w:rPr>
          <w:lang w:val="zh-CN" w:bidi="zh-CN"/>
        </w:rPr>
      </w:pPr>
      <w:r>
        <w:rPr>
          <w:lang w:val="zh-CN" w:bidi="zh-CN"/>
        </w:rPr>
        <w:t>1.可设置本设备IP地址、端口号等参数；</w:t>
      </w:r>
    </w:p>
    <w:p>
      <w:pPr>
        <w:spacing w:line="360" w:lineRule="auto"/>
        <w:ind w:left="420" w:leftChars="175"/>
        <w:rPr>
          <w:lang w:val="zh-CN" w:bidi="zh-CN"/>
        </w:rPr>
      </w:pPr>
      <w:r>
        <w:rPr>
          <w:lang w:val="zh-CN" w:bidi="zh-CN"/>
        </w:rPr>
        <w:t>2.可接收来自上级调频信号、IP信号（有线和4G）、DTMB/DVB-C信号，实现远程广播控制功能；</w:t>
      </w:r>
    </w:p>
    <w:p>
      <w:pPr>
        <w:spacing w:line="360" w:lineRule="auto"/>
        <w:ind w:left="420" w:leftChars="175"/>
        <w:rPr>
          <w:lang w:val="zh-CN" w:bidi="zh-CN"/>
        </w:rPr>
      </w:pPr>
      <w:r>
        <w:rPr>
          <w:lang w:val="zh-CN" w:bidi="zh-CN"/>
        </w:rPr>
        <w:t>3.支持管理平台远程配置工作参数（包括：音量、调频频率、DTMB频率等）；</w:t>
      </w:r>
    </w:p>
    <w:p>
      <w:pPr>
        <w:spacing w:line="360" w:lineRule="auto"/>
        <w:ind w:left="420" w:leftChars="175"/>
        <w:rPr>
          <w:lang w:val="zh-CN" w:bidi="zh-CN"/>
        </w:rPr>
      </w:pPr>
      <w:r>
        <w:rPr>
          <w:lang w:val="zh-CN" w:bidi="zh-CN"/>
        </w:rPr>
        <w:t>4.集成国密算法芯片，具有验签功能。符合GD/J 081—2018 应急广播安全保护技术规范 数字签名；</w:t>
      </w:r>
    </w:p>
    <w:p>
      <w:pPr>
        <w:spacing w:line="360" w:lineRule="auto"/>
        <w:ind w:left="420" w:leftChars="175"/>
        <w:rPr>
          <w:lang w:val="zh-CN" w:bidi="zh-CN"/>
        </w:rPr>
      </w:pPr>
      <w:r>
        <w:rPr>
          <w:lang w:val="zh-CN" w:bidi="zh-CN"/>
        </w:rPr>
        <w:t>5.</w:t>
      </w:r>
      <w:r>
        <w:t xml:space="preserve"> 支持</w:t>
      </w:r>
      <w:r>
        <w:rPr>
          <w:rFonts w:hint="eastAsia"/>
        </w:rPr>
        <w:t>I</w:t>
      </w:r>
      <w:r>
        <w:t>P</w:t>
      </w:r>
      <w:r>
        <w:rPr>
          <w:rFonts w:hint="eastAsia"/>
        </w:rPr>
        <w:t>、调频、或地面数字电视等</w:t>
      </w:r>
      <w:r>
        <w:t>2种以上</w:t>
      </w:r>
      <w:r>
        <w:rPr>
          <w:rFonts w:hint="eastAsia"/>
        </w:rPr>
        <w:t>不同</w:t>
      </w:r>
      <w:r>
        <w:t>信号同时激活工作</w:t>
      </w:r>
      <w:r>
        <w:rPr>
          <w:lang w:val="zh-CN" w:bidi="zh-CN"/>
        </w:rPr>
        <w:t>，优先级可选；</w:t>
      </w:r>
    </w:p>
    <w:p>
      <w:pPr>
        <w:spacing w:line="360" w:lineRule="auto"/>
        <w:ind w:left="420" w:leftChars="175"/>
        <w:rPr>
          <w:lang w:val="zh-CN" w:bidi="zh-CN"/>
        </w:rPr>
      </w:pPr>
      <w:r>
        <w:rPr>
          <w:lang w:val="zh-CN" w:bidi="zh-CN"/>
        </w:rPr>
        <w:t>6.配置通信模块支持回传功能；</w:t>
      </w:r>
    </w:p>
    <w:p>
      <w:pPr>
        <w:spacing w:line="360" w:lineRule="auto"/>
        <w:ind w:left="420" w:leftChars="175"/>
        <w:rPr>
          <w:lang w:val="zh-CN" w:bidi="zh-CN"/>
        </w:rPr>
      </w:pPr>
      <w:r>
        <w:rPr>
          <w:lang w:val="zh-CN" w:bidi="zh-CN"/>
        </w:rPr>
        <w:t>7.具有防雷防水和短路保护功能。</w:t>
      </w:r>
    </w:p>
    <w:p>
      <w:pPr>
        <w:spacing w:line="360" w:lineRule="auto"/>
        <w:ind w:left="420" w:leftChars="175"/>
        <w:rPr>
          <w:lang w:val="zh-CN" w:bidi="zh-CN"/>
        </w:rPr>
      </w:pPr>
      <w:r>
        <w:rPr>
          <w:rFonts w:hint="eastAsia"/>
          <w:lang w:val="zh-CN" w:bidi="zh-CN"/>
        </w:rPr>
        <w:t>（二）接口要求</w:t>
      </w:r>
    </w:p>
    <w:p>
      <w:pPr>
        <w:spacing w:line="360" w:lineRule="auto"/>
        <w:ind w:left="420" w:leftChars="175"/>
        <w:rPr>
          <w:lang w:val="zh-CN" w:bidi="zh-CN"/>
        </w:rPr>
      </w:pPr>
      <w:r>
        <w:rPr>
          <w:lang w:val="zh-CN" w:bidi="zh-CN"/>
        </w:rPr>
        <w:t>1.FM输入接口：公制F母座，1路输入内置2分配，配置2个调谐器；</w:t>
      </w:r>
    </w:p>
    <w:p>
      <w:pPr>
        <w:spacing w:line="360" w:lineRule="auto"/>
        <w:ind w:left="420" w:leftChars="175"/>
        <w:rPr>
          <w:lang w:val="zh-CN" w:bidi="zh-CN"/>
        </w:rPr>
      </w:pPr>
      <w:r>
        <w:rPr>
          <w:lang w:val="zh-CN" w:bidi="zh-CN"/>
        </w:rPr>
        <w:t>2.DTMB（DVB-C）或独立输入接口：英制 F 母座，1 路及以上；</w:t>
      </w:r>
    </w:p>
    <w:p>
      <w:pPr>
        <w:spacing w:line="360" w:lineRule="auto"/>
        <w:ind w:left="420" w:leftChars="175"/>
        <w:rPr>
          <w:lang w:val="zh-CN" w:bidi="zh-CN"/>
        </w:rPr>
      </w:pPr>
      <w:r>
        <w:rPr>
          <w:lang w:val="zh-CN" w:bidi="zh-CN"/>
        </w:rPr>
        <w:t>3.网络接口：RJ45；</w:t>
      </w:r>
    </w:p>
    <w:p>
      <w:pPr>
        <w:spacing w:line="360" w:lineRule="auto"/>
        <w:ind w:left="420" w:leftChars="175"/>
        <w:rPr>
          <w:lang w:val="zh-CN" w:bidi="zh-CN"/>
        </w:rPr>
      </w:pPr>
      <w:r>
        <w:rPr>
          <w:lang w:val="zh-CN" w:bidi="zh-CN"/>
        </w:rPr>
        <w:t>4.输出接口：音频接线柱。</w:t>
      </w:r>
    </w:p>
    <w:p>
      <w:pPr>
        <w:spacing w:line="360" w:lineRule="auto"/>
        <w:ind w:left="420" w:leftChars="175"/>
        <w:rPr>
          <w:lang w:val="zh-CN" w:bidi="zh-CN"/>
        </w:rPr>
      </w:pPr>
      <w:r>
        <w:rPr>
          <w:rFonts w:hint="eastAsia"/>
          <w:lang w:val="zh-CN" w:bidi="zh-CN"/>
        </w:rPr>
        <w:t>（三）性能要求</w:t>
      </w:r>
    </w:p>
    <w:p>
      <w:pPr>
        <w:spacing w:line="360" w:lineRule="auto"/>
        <w:ind w:left="420" w:leftChars="175"/>
        <w:rPr>
          <w:lang w:val="zh-CN" w:bidi="zh-CN"/>
        </w:rPr>
      </w:pPr>
      <w:r>
        <w:rPr>
          <w:lang w:val="zh-CN" w:bidi="zh-CN"/>
        </w:rPr>
        <w:t>1.工作电压范围：AC:160V～260V；</w:t>
      </w:r>
    </w:p>
    <w:p>
      <w:pPr>
        <w:spacing w:line="360" w:lineRule="auto"/>
        <w:ind w:left="420" w:leftChars="175"/>
        <w:rPr>
          <w:lang w:val="zh-CN" w:bidi="zh-CN"/>
        </w:rPr>
      </w:pPr>
      <w:r>
        <w:rPr>
          <w:lang w:val="zh-CN" w:bidi="zh-CN"/>
        </w:rPr>
        <w:t>2.FM输入频率范围：87MHz～108MHz；</w:t>
      </w:r>
    </w:p>
    <w:p>
      <w:pPr>
        <w:spacing w:line="360" w:lineRule="auto"/>
        <w:ind w:left="420" w:leftChars="175"/>
        <w:rPr>
          <w:lang w:val="zh-CN" w:bidi="zh-CN"/>
        </w:rPr>
      </w:pPr>
      <w:r>
        <w:rPr>
          <w:lang w:val="zh-CN" w:bidi="zh-CN"/>
        </w:rPr>
        <w:t>3.DTMB/DVB-C频段：470MHz～802MHz。</w:t>
      </w:r>
    </w:p>
    <w:p>
      <w:pPr>
        <w:spacing w:line="360" w:lineRule="auto"/>
        <w:ind w:left="420" w:leftChars="175"/>
        <w:rPr>
          <w:lang w:val="zh-CN" w:bidi="zh-CN"/>
        </w:rPr>
      </w:pPr>
      <w:r>
        <w:rPr>
          <w:lang w:val="zh-CN" w:bidi="zh-CN"/>
        </w:rPr>
        <w:t>4.额定输出功率：不小于外接扬声器功率总和。</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10.5、高音喇叭</w:t>
      </w:r>
    </w:p>
    <w:p>
      <w:pPr>
        <w:autoSpaceDE w:val="0"/>
        <w:autoSpaceDN w:val="0"/>
        <w:adjustRightInd w:val="0"/>
        <w:snapToGrid w:val="0"/>
        <w:spacing w:line="360" w:lineRule="auto"/>
        <w:ind w:firstLine="480" w:firstLineChars="200"/>
      </w:pPr>
      <w:r>
        <w:t>额定功率:25W；</w:t>
      </w:r>
    </w:p>
    <w:p>
      <w:pPr>
        <w:autoSpaceDE w:val="0"/>
        <w:autoSpaceDN w:val="0"/>
        <w:adjustRightInd w:val="0"/>
        <w:snapToGrid w:val="0"/>
        <w:spacing w:line="360" w:lineRule="auto"/>
        <w:ind w:firstLine="480" w:firstLineChars="200"/>
      </w:pPr>
      <w:r>
        <w:t>阻抗:16 欧姆；</w:t>
      </w:r>
    </w:p>
    <w:p>
      <w:pPr>
        <w:autoSpaceDE w:val="0"/>
        <w:autoSpaceDN w:val="0"/>
        <w:adjustRightInd w:val="0"/>
        <w:snapToGrid w:val="0"/>
        <w:spacing w:line="360" w:lineRule="auto"/>
        <w:ind w:firstLine="480" w:firstLineChars="200"/>
      </w:pPr>
      <w:r>
        <w:t>灵敏度级:≥100；</w:t>
      </w:r>
    </w:p>
    <w:p>
      <w:pPr>
        <w:autoSpaceDE w:val="0"/>
        <w:autoSpaceDN w:val="0"/>
        <w:adjustRightInd w:val="0"/>
        <w:snapToGrid w:val="0"/>
        <w:spacing w:line="360" w:lineRule="auto"/>
        <w:ind w:firstLine="480" w:firstLineChars="200"/>
      </w:pPr>
      <w:r>
        <w:t>频率范围:500-6000 Hz。</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10.6、多模音柱</w:t>
      </w:r>
    </w:p>
    <w:p>
      <w:pPr>
        <w:widowControl w:val="0"/>
        <w:autoSpaceDE w:val="0"/>
        <w:autoSpaceDN w:val="0"/>
        <w:adjustRightInd w:val="0"/>
        <w:snapToGrid w:val="0"/>
        <w:spacing w:line="360" w:lineRule="auto"/>
        <w:ind w:left="480"/>
      </w:pPr>
      <w:r>
        <w:rPr>
          <w:rFonts w:hint="eastAsia"/>
        </w:rPr>
        <w:t>（一）功能要求</w:t>
      </w:r>
    </w:p>
    <w:p>
      <w:pPr>
        <w:widowControl w:val="0"/>
        <w:autoSpaceDE w:val="0"/>
        <w:autoSpaceDN w:val="0"/>
        <w:adjustRightInd w:val="0"/>
        <w:snapToGrid w:val="0"/>
        <w:spacing w:line="360" w:lineRule="auto"/>
        <w:ind w:left="480"/>
      </w:pPr>
      <w:r>
        <w:t>1.可设置本设备IP地址、端口号等参数；</w:t>
      </w:r>
    </w:p>
    <w:p>
      <w:pPr>
        <w:widowControl w:val="0"/>
        <w:autoSpaceDE w:val="0"/>
        <w:autoSpaceDN w:val="0"/>
        <w:adjustRightInd w:val="0"/>
        <w:snapToGrid w:val="0"/>
        <w:spacing w:line="360" w:lineRule="auto"/>
        <w:ind w:left="480"/>
      </w:pPr>
      <w:r>
        <w:t>2.可接收来自上级调频信号、IP信号（有线和4G）、DTMB/DVB-C信号，实现远程广播控制功能；</w:t>
      </w:r>
    </w:p>
    <w:p>
      <w:pPr>
        <w:widowControl w:val="0"/>
        <w:autoSpaceDE w:val="0"/>
        <w:autoSpaceDN w:val="0"/>
        <w:adjustRightInd w:val="0"/>
        <w:snapToGrid w:val="0"/>
        <w:spacing w:line="360" w:lineRule="auto"/>
        <w:ind w:left="480"/>
      </w:pPr>
      <w:r>
        <w:t>3.支持管理平台远程配置工作参数（包括：音量、调频频率、DTMB频率等）；</w:t>
      </w:r>
    </w:p>
    <w:p>
      <w:pPr>
        <w:widowControl w:val="0"/>
        <w:autoSpaceDE w:val="0"/>
        <w:autoSpaceDN w:val="0"/>
        <w:adjustRightInd w:val="0"/>
        <w:snapToGrid w:val="0"/>
        <w:spacing w:line="360" w:lineRule="auto"/>
        <w:ind w:left="480"/>
      </w:pPr>
      <w:r>
        <w:t>4.集成国密算法芯片，具有验签功能。符合GD/J 081—2018 应急广播安全保护技术规范 数字签名；</w:t>
      </w:r>
    </w:p>
    <w:p>
      <w:pPr>
        <w:widowControl w:val="0"/>
        <w:autoSpaceDE w:val="0"/>
        <w:autoSpaceDN w:val="0"/>
        <w:adjustRightInd w:val="0"/>
        <w:snapToGrid w:val="0"/>
        <w:spacing w:line="360" w:lineRule="auto"/>
        <w:ind w:left="480"/>
      </w:pPr>
      <w:r>
        <w:t>5.支持</w:t>
      </w:r>
      <w:r>
        <w:rPr>
          <w:rFonts w:hint="eastAsia"/>
        </w:rPr>
        <w:t>I</w:t>
      </w:r>
      <w:r>
        <w:t>P</w:t>
      </w:r>
      <w:r>
        <w:rPr>
          <w:rFonts w:hint="eastAsia"/>
        </w:rPr>
        <w:t>、调频、或地面数字电视等</w:t>
      </w:r>
      <w:r>
        <w:t>2种以上</w:t>
      </w:r>
      <w:r>
        <w:rPr>
          <w:rFonts w:hint="eastAsia"/>
        </w:rPr>
        <w:t>不同</w:t>
      </w:r>
      <w:r>
        <w:t>信号同时激活工作，优先级可选；</w:t>
      </w:r>
    </w:p>
    <w:p>
      <w:pPr>
        <w:widowControl w:val="0"/>
        <w:autoSpaceDE w:val="0"/>
        <w:autoSpaceDN w:val="0"/>
        <w:adjustRightInd w:val="0"/>
        <w:snapToGrid w:val="0"/>
        <w:spacing w:line="360" w:lineRule="auto"/>
        <w:ind w:left="480"/>
      </w:pPr>
      <w:r>
        <w:t>6.配置通信模块支持回传功能；</w:t>
      </w:r>
    </w:p>
    <w:p>
      <w:pPr>
        <w:widowControl w:val="0"/>
        <w:autoSpaceDE w:val="0"/>
        <w:autoSpaceDN w:val="0"/>
        <w:adjustRightInd w:val="0"/>
        <w:snapToGrid w:val="0"/>
        <w:spacing w:line="360" w:lineRule="auto"/>
        <w:ind w:left="480"/>
      </w:pPr>
      <w:r>
        <w:t>7.具有防雷防水和短路保护功能。</w:t>
      </w:r>
    </w:p>
    <w:p>
      <w:pPr>
        <w:widowControl w:val="0"/>
        <w:autoSpaceDE w:val="0"/>
        <w:autoSpaceDN w:val="0"/>
        <w:adjustRightInd w:val="0"/>
        <w:snapToGrid w:val="0"/>
        <w:spacing w:line="360" w:lineRule="auto"/>
        <w:ind w:left="480"/>
      </w:pPr>
      <w:r>
        <w:rPr>
          <w:rFonts w:hint="eastAsia"/>
        </w:rPr>
        <w:t>（二）接口要求</w:t>
      </w:r>
    </w:p>
    <w:p>
      <w:pPr>
        <w:widowControl w:val="0"/>
        <w:autoSpaceDE w:val="0"/>
        <w:autoSpaceDN w:val="0"/>
        <w:adjustRightInd w:val="0"/>
        <w:snapToGrid w:val="0"/>
        <w:spacing w:line="360" w:lineRule="auto"/>
        <w:ind w:left="480"/>
      </w:pPr>
      <w:r>
        <w:t>1.FM输入接口：公制F母座，1路输入内置2分配，配置2个调谐器；</w:t>
      </w:r>
    </w:p>
    <w:p>
      <w:pPr>
        <w:widowControl w:val="0"/>
        <w:autoSpaceDE w:val="0"/>
        <w:autoSpaceDN w:val="0"/>
        <w:adjustRightInd w:val="0"/>
        <w:snapToGrid w:val="0"/>
        <w:spacing w:line="360" w:lineRule="auto"/>
        <w:ind w:left="480"/>
      </w:pPr>
      <w:r>
        <w:t>2.DTMB（DVB-C）或独立输入接口：英制 F 母座，1 路及以上；</w:t>
      </w:r>
    </w:p>
    <w:p>
      <w:pPr>
        <w:widowControl w:val="0"/>
        <w:autoSpaceDE w:val="0"/>
        <w:autoSpaceDN w:val="0"/>
        <w:adjustRightInd w:val="0"/>
        <w:snapToGrid w:val="0"/>
        <w:spacing w:line="360" w:lineRule="auto"/>
        <w:ind w:left="480"/>
      </w:pPr>
      <w:r>
        <w:t>3.网络接口：RJ45；</w:t>
      </w:r>
    </w:p>
    <w:p>
      <w:pPr>
        <w:widowControl w:val="0"/>
        <w:autoSpaceDE w:val="0"/>
        <w:autoSpaceDN w:val="0"/>
        <w:adjustRightInd w:val="0"/>
        <w:snapToGrid w:val="0"/>
        <w:spacing w:line="360" w:lineRule="auto"/>
        <w:ind w:left="480"/>
      </w:pPr>
      <w:r>
        <w:t>4.内置扬声器输出。</w:t>
      </w:r>
    </w:p>
    <w:p>
      <w:pPr>
        <w:widowControl w:val="0"/>
        <w:autoSpaceDE w:val="0"/>
        <w:autoSpaceDN w:val="0"/>
        <w:adjustRightInd w:val="0"/>
        <w:snapToGrid w:val="0"/>
        <w:spacing w:line="360" w:lineRule="auto"/>
        <w:ind w:left="480"/>
      </w:pPr>
      <w:r>
        <w:rPr>
          <w:rFonts w:hint="eastAsia"/>
        </w:rPr>
        <w:t>（三）性能要求</w:t>
      </w:r>
    </w:p>
    <w:p>
      <w:pPr>
        <w:widowControl w:val="0"/>
        <w:autoSpaceDE w:val="0"/>
        <w:autoSpaceDN w:val="0"/>
        <w:adjustRightInd w:val="0"/>
        <w:snapToGrid w:val="0"/>
        <w:spacing w:line="360" w:lineRule="auto"/>
        <w:ind w:left="480"/>
      </w:pPr>
      <w:r>
        <w:t>1.工作电压范围：AC:160V～260V；</w:t>
      </w:r>
    </w:p>
    <w:p>
      <w:pPr>
        <w:widowControl w:val="0"/>
        <w:autoSpaceDE w:val="0"/>
        <w:autoSpaceDN w:val="0"/>
        <w:adjustRightInd w:val="0"/>
        <w:snapToGrid w:val="0"/>
        <w:spacing w:line="360" w:lineRule="auto"/>
        <w:ind w:left="480"/>
      </w:pPr>
      <w:r>
        <w:t>2.FM输入频率范围：87MHz～108MHz；</w:t>
      </w:r>
    </w:p>
    <w:p>
      <w:pPr>
        <w:widowControl w:val="0"/>
        <w:autoSpaceDE w:val="0"/>
        <w:autoSpaceDN w:val="0"/>
        <w:adjustRightInd w:val="0"/>
        <w:snapToGrid w:val="0"/>
        <w:spacing w:line="360" w:lineRule="auto"/>
        <w:ind w:left="480"/>
      </w:pPr>
      <w:r>
        <w:t>3.DTMB/DVB-C频段：470MHz～802MHz。</w:t>
      </w:r>
    </w:p>
    <w:p>
      <w:pPr>
        <w:widowControl w:val="0"/>
        <w:autoSpaceDE w:val="0"/>
        <w:autoSpaceDN w:val="0"/>
        <w:adjustRightInd w:val="0"/>
        <w:snapToGrid w:val="0"/>
        <w:spacing w:line="360" w:lineRule="auto"/>
        <w:ind w:left="480"/>
      </w:pPr>
      <w:r>
        <w:t>4.额定输出功率：不小于25瓦。</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10.7、辅材</w:t>
      </w:r>
    </w:p>
    <w:p>
      <w:pPr>
        <w:spacing w:line="360" w:lineRule="auto"/>
        <w:ind w:firstLine="420"/>
      </w:pPr>
      <w:r>
        <w:rPr>
          <w:rFonts w:hint="eastAsia"/>
        </w:rPr>
        <w:t>包括设备安装、连通、调试直至正常工作需要的所有线缆辅材等。</w:t>
      </w:r>
    </w:p>
    <w:p>
      <w:pPr>
        <w:pStyle w:val="5"/>
        <w:spacing w:line="360" w:lineRule="auto"/>
        <w:rPr>
          <w:rFonts w:ascii="宋体" w:hAnsi="宋体" w:eastAsia="宋体" w:cs="宋体"/>
          <w:b/>
          <w:bCs/>
          <w:sz w:val="28"/>
          <w:szCs w:val="28"/>
        </w:rPr>
      </w:pPr>
      <w:r>
        <w:rPr>
          <w:rFonts w:hint="eastAsia" w:ascii="宋体" w:hAnsi="宋体" w:eastAsia="宋体" w:cs="宋体"/>
          <w:b/>
          <w:bCs/>
          <w:sz w:val="28"/>
          <w:szCs w:val="28"/>
        </w:rPr>
        <w:t>10.8、安装调试</w:t>
      </w:r>
    </w:p>
    <w:p>
      <w:pPr>
        <w:spacing w:line="360" w:lineRule="auto"/>
        <w:ind w:firstLine="420"/>
        <w:rPr>
          <w:b/>
        </w:rPr>
      </w:pPr>
      <w:r>
        <w:rPr>
          <w:rFonts w:hint="eastAsia"/>
        </w:rPr>
        <w:t>包括设备安装、连通、调试直至正常工作需要的所有附属设备设施和相关服务等。</w:t>
      </w:r>
    </w:p>
    <w:p>
      <w:pPr>
        <w:rPr>
          <w:rFonts w:ascii="宋体" w:hAnsi="宋体" w:eastAsia="宋体"/>
        </w:rPr>
      </w:pPr>
    </w:p>
    <w:p>
      <w:pPr>
        <w:pStyle w:val="4"/>
        <w:spacing w:line="360" w:lineRule="auto"/>
        <w:ind w:firstLine="0" w:firstLineChars="0"/>
        <w:rPr>
          <w:rFonts w:ascii="宋体" w:hAnsi="宋体" w:eastAsia="宋体"/>
          <w:b/>
          <w:bCs/>
          <w:kern w:val="32"/>
          <w:sz w:val="28"/>
          <w:szCs w:val="28"/>
        </w:rPr>
      </w:pPr>
      <w:bookmarkStart w:id="115" w:name="_Toc120103964"/>
      <w:r>
        <w:rPr>
          <w:rFonts w:hint="eastAsia" w:ascii="宋体" w:hAnsi="宋体" w:eastAsia="宋体"/>
          <w:b/>
          <w:bCs/>
          <w:kern w:val="32"/>
          <w:sz w:val="28"/>
          <w:szCs w:val="28"/>
        </w:rPr>
        <w:t>五、服务要求</w:t>
      </w:r>
      <w:bookmarkEnd w:id="115"/>
    </w:p>
    <w:p>
      <w:pPr>
        <w:pStyle w:val="13"/>
        <w:spacing w:line="360" w:lineRule="auto"/>
        <w:ind w:firstLine="480" w:firstLineChars="20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1.供应商负责派技术人员到现场进行安装、调试至验收合格。</w:t>
      </w:r>
    </w:p>
    <w:p>
      <w:pPr>
        <w:pStyle w:val="13"/>
        <w:spacing w:line="360" w:lineRule="auto"/>
        <w:ind w:firstLine="480" w:firstLineChars="20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2.供应商负责派专业人员上门技术培训，应包含设备（产品）使用操作、保养、维修等培训内容。</w:t>
      </w:r>
    </w:p>
    <w:p>
      <w:pPr>
        <w:pStyle w:val="13"/>
        <w:spacing w:line="360" w:lineRule="auto"/>
        <w:ind w:firstLine="480" w:firstLineChars="20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3.要求供应商提供全年7</w:t>
      </w:r>
      <w:r>
        <w:rPr>
          <w:rFonts w:ascii="Arial" w:hAnsi="Arial" w:cs="Arial"/>
          <w:color w:val="000000"/>
          <w:sz w:val="24"/>
          <w:szCs w:val="24"/>
        </w:rPr>
        <w:t>×</w:t>
      </w:r>
      <w:r>
        <w:rPr>
          <w:rFonts w:hint="eastAsia" w:asciiTheme="minorEastAsia" w:hAnsiTheme="minorEastAsia" w:cstheme="minorEastAsia"/>
          <w:color w:val="000000"/>
          <w:sz w:val="24"/>
          <w:szCs w:val="24"/>
        </w:rPr>
        <w:t>24小时的技术咨询服务。</w:t>
      </w:r>
    </w:p>
    <w:p>
      <w:pPr>
        <w:pStyle w:val="4"/>
        <w:spacing w:line="360" w:lineRule="auto"/>
        <w:ind w:firstLine="0" w:firstLineChars="0"/>
        <w:rPr>
          <w:rFonts w:ascii="宋体" w:hAnsi="宋体" w:eastAsia="宋体"/>
          <w:b/>
          <w:bCs/>
          <w:kern w:val="32"/>
          <w:sz w:val="28"/>
          <w:szCs w:val="28"/>
        </w:rPr>
      </w:pPr>
      <w:bookmarkStart w:id="116" w:name="_Toc120103965"/>
      <w:r>
        <w:rPr>
          <w:rFonts w:hint="eastAsia" w:ascii="宋体" w:hAnsi="宋体" w:eastAsia="宋体"/>
          <w:b/>
          <w:bCs/>
          <w:kern w:val="32"/>
          <w:sz w:val="28"/>
          <w:szCs w:val="28"/>
        </w:rPr>
        <w:t>六、商务要求</w:t>
      </w:r>
      <w:bookmarkEnd w:id="116"/>
    </w:p>
    <w:p>
      <w:pPr>
        <w:pStyle w:val="13"/>
        <w:spacing w:line="360" w:lineRule="auto"/>
        <w:ind w:firstLine="0"/>
        <w:rPr>
          <w:spacing w:val="-10"/>
          <w:sz w:val="24"/>
          <w:szCs w:val="24"/>
        </w:rPr>
      </w:pPr>
      <w:r>
        <w:rPr>
          <w:rFonts w:hint="eastAsia" w:asciiTheme="minorEastAsia" w:hAnsiTheme="minorEastAsia" w:cstheme="minorEastAsia"/>
          <w:color w:val="000000"/>
          <w:sz w:val="24"/>
          <w:szCs w:val="24"/>
        </w:rPr>
        <w:t>1、交货期：</w:t>
      </w:r>
      <w:r>
        <w:rPr>
          <w:rFonts w:hint="eastAsia"/>
          <w:spacing w:val="-10"/>
          <w:sz w:val="24"/>
          <w:szCs w:val="24"/>
        </w:rPr>
        <w:t>自合同签订后60个日历日</w:t>
      </w:r>
    </w:p>
    <w:p>
      <w:pPr>
        <w:tabs>
          <w:tab w:val="left" w:pos="1440"/>
        </w:tabs>
        <w:spacing w:line="360" w:lineRule="auto"/>
        <w:rPr>
          <w:rFonts w:asciiTheme="minorEastAsia" w:hAnsiTheme="minorEastAsia" w:cstheme="minorEastAsia"/>
        </w:rPr>
      </w:pPr>
      <w:r>
        <w:rPr>
          <w:rFonts w:hint="eastAsia" w:asciiTheme="minorEastAsia" w:hAnsiTheme="minorEastAsia" w:cstheme="minorEastAsia"/>
        </w:rPr>
        <w:t>2、款项结算</w:t>
      </w:r>
    </w:p>
    <w:p>
      <w:pPr>
        <w:tabs>
          <w:tab w:val="left" w:pos="1440"/>
        </w:tabs>
        <w:spacing w:line="360" w:lineRule="auto"/>
        <w:rPr>
          <w:rFonts w:asciiTheme="minorEastAsia" w:hAnsiTheme="minorEastAsia" w:cstheme="minorEastAsia"/>
        </w:rPr>
      </w:pPr>
      <w:r>
        <w:rPr>
          <w:rFonts w:hint="eastAsia" w:asciiTheme="minorEastAsia" w:hAnsiTheme="minorEastAsia" w:cstheme="minorEastAsia"/>
        </w:rPr>
        <w:t>（1）合同签订后10个日历日内甲方向乙方预付合同总金额40%款项，所有合同清单货物送至甲方指定地点后，甲方支付乙方合同总金额40%的款项，项目验收后10个日历日内甲方支付乙方合同金额20%的款项。</w:t>
      </w:r>
    </w:p>
    <w:p>
      <w:pPr>
        <w:tabs>
          <w:tab w:val="left" w:pos="1440"/>
        </w:tabs>
        <w:spacing w:line="360" w:lineRule="auto"/>
        <w:rPr>
          <w:rFonts w:asciiTheme="minorEastAsia" w:hAnsiTheme="minorEastAsia" w:cstheme="minorEastAsia"/>
          <w:highlight w:val="yellow"/>
        </w:rPr>
      </w:pPr>
      <w:r>
        <w:rPr>
          <w:rFonts w:hint="eastAsia" w:asciiTheme="minorEastAsia" w:hAnsiTheme="minorEastAsia" w:cstheme="minorEastAsia"/>
        </w:rPr>
        <w:t>（2）</w:t>
      </w:r>
      <w:r>
        <w:rPr>
          <w:rFonts w:hint="eastAsia" w:asciiTheme="minorEastAsia" w:hAnsiTheme="minorEastAsia" w:cstheme="minorEastAsia"/>
          <w:color w:val="000000"/>
        </w:rPr>
        <w:t>结算方式：银行转账。</w:t>
      </w:r>
    </w:p>
    <w:p>
      <w:pPr>
        <w:tabs>
          <w:tab w:val="left" w:pos="1440"/>
        </w:tabs>
        <w:spacing w:line="360" w:lineRule="auto"/>
        <w:rPr>
          <w:rFonts w:asciiTheme="minorEastAsia" w:hAnsiTheme="minorEastAsia" w:cstheme="minorEastAsia"/>
          <w:color w:val="000000"/>
        </w:rPr>
      </w:pPr>
      <w:r>
        <w:rPr>
          <w:rFonts w:hint="eastAsia" w:asciiTheme="minorEastAsia" w:hAnsiTheme="minorEastAsia" w:cstheme="minorEastAsia"/>
          <w:color w:val="000000"/>
        </w:rPr>
        <w:t>（3）结算单位：由采购人负责结算，乙方开具合同总价数的全额发票交采购人。</w:t>
      </w:r>
    </w:p>
    <w:p>
      <w:pPr>
        <w:tabs>
          <w:tab w:val="left" w:pos="1440"/>
        </w:tabs>
        <w:spacing w:line="360" w:lineRule="auto"/>
        <w:ind w:firstLine="240" w:firstLineChars="100"/>
        <w:rPr>
          <w:rFonts w:asciiTheme="minorEastAsia" w:hAnsiTheme="minorEastAsia" w:cstheme="minorEastAsia"/>
          <w:color w:val="000000"/>
        </w:rPr>
      </w:pPr>
      <w:r>
        <w:rPr>
          <w:rFonts w:hint="eastAsia" w:asciiTheme="minorEastAsia" w:hAnsiTheme="minorEastAsia" w:cstheme="minorEastAsia"/>
          <w:color w:val="000000"/>
        </w:rPr>
        <w:t>(4 )售后服务：提供7*24小时在线技术支持服务；在接到采购方服务需求时，保证在30分钟内响应，12小时内提供远程技术支持服务，24小时内提供现场解决故障支持服务；因为设备原因导致的故障且无法现场修复的，在72小时内提供同类设备替换，直到故障设备修复为止。</w:t>
      </w:r>
    </w:p>
    <w:p>
      <w:pPr>
        <w:numPr>
          <w:ilvl w:val="0"/>
          <w:numId w:val="11"/>
        </w:numPr>
        <w:tabs>
          <w:tab w:val="left" w:pos="1440"/>
        </w:tabs>
        <w:spacing w:line="360" w:lineRule="auto"/>
        <w:rPr>
          <w:rFonts w:hint="eastAsia" w:asciiTheme="minorEastAsia" w:hAnsiTheme="minorEastAsia" w:cstheme="minorEastAsia"/>
          <w:color w:val="000000"/>
        </w:rPr>
      </w:pPr>
      <w:r>
        <w:rPr>
          <w:rFonts w:hint="eastAsia" w:asciiTheme="minorEastAsia" w:hAnsiTheme="minorEastAsia" w:cstheme="minorEastAsia"/>
          <w:color w:val="000000"/>
        </w:rPr>
        <w:t>质保期：一年</w:t>
      </w:r>
    </w:p>
    <w:p>
      <w:pPr>
        <w:pStyle w:val="2"/>
        <w:numPr>
          <w:ilvl w:val="0"/>
          <w:numId w:val="0"/>
        </w:numPr>
      </w:pPr>
    </w:p>
    <w:p/>
    <w:p>
      <w:pPr>
        <w:pStyle w:val="2"/>
      </w:pPr>
    </w:p>
    <w:p/>
    <w:p>
      <w:pPr>
        <w:pStyle w:val="2"/>
      </w:pPr>
    </w:p>
    <w:p/>
    <w:p>
      <w:pPr>
        <w:pStyle w:val="2"/>
      </w:pPr>
    </w:p>
    <w:p/>
    <w:p>
      <w:pPr>
        <w:pStyle w:val="2"/>
      </w:pPr>
    </w:p>
    <w:p>
      <w:pPr>
        <w:pStyle w:val="38"/>
        <w:ind w:left="480" w:firstLine="480"/>
        <w:rPr>
          <w:rFonts w:ascii="宋体" w:hAnsi="宋体" w:eastAsia="宋体"/>
        </w:rPr>
      </w:pPr>
    </w:p>
    <w:p>
      <w:pPr>
        <w:pStyle w:val="3"/>
        <w:rPr>
          <w:rFonts w:ascii="宋体" w:hAnsi="宋体" w:eastAsia="宋体"/>
        </w:rPr>
      </w:pPr>
      <w:bookmarkStart w:id="117" w:name="_Toc120103966"/>
      <w:bookmarkStart w:id="118" w:name="_Toc100219615"/>
      <w:r>
        <w:rPr>
          <w:rFonts w:hint="eastAsia" w:ascii="宋体" w:hAnsi="宋体" w:eastAsia="宋体"/>
        </w:rPr>
        <w:t>第四章  合同文本</w:t>
      </w:r>
      <w:bookmarkEnd w:id="117"/>
      <w:bookmarkEnd w:id="118"/>
    </w:p>
    <w:p>
      <w:pPr>
        <w:pStyle w:val="17"/>
        <w:spacing w:before="7"/>
        <w:ind w:left="0"/>
        <w:rPr>
          <w:b/>
          <w:sz w:val="39"/>
        </w:rPr>
      </w:pPr>
    </w:p>
    <w:p>
      <w:pPr>
        <w:spacing w:before="1"/>
        <w:ind w:right="294"/>
        <w:jc w:val="center"/>
        <w:outlineLvl w:val="1"/>
        <w:rPr>
          <w:b/>
          <w:sz w:val="40"/>
        </w:rPr>
      </w:pPr>
      <w:bookmarkStart w:id="119" w:name="_Toc12573"/>
      <w:bookmarkStart w:id="120" w:name="_Toc120103967"/>
      <w:r>
        <w:rPr>
          <w:b/>
          <w:sz w:val="40"/>
        </w:rPr>
        <w:t>政府采购合同</w:t>
      </w:r>
      <w:bookmarkEnd w:id="119"/>
      <w:bookmarkEnd w:id="120"/>
    </w:p>
    <w:p>
      <w:pPr>
        <w:pStyle w:val="17"/>
        <w:ind w:left="0"/>
        <w:rPr>
          <w:b/>
          <w:sz w:val="30"/>
        </w:rPr>
      </w:pPr>
    </w:p>
    <w:p>
      <w:pPr>
        <w:pStyle w:val="5"/>
        <w:ind w:right="299"/>
      </w:pPr>
      <w:bookmarkStart w:id="121" w:name="_Toc120103968"/>
      <w:r>
        <w:t>（参考格式）</w:t>
      </w:r>
      <w:bookmarkEnd w:id="121"/>
    </w:p>
    <w:p>
      <w:pPr>
        <w:pStyle w:val="17"/>
        <w:ind w:left="0"/>
        <w:rPr>
          <w:sz w:val="28"/>
        </w:rPr>
      </w:pPr>
    </w:p>
    <w:p>
      <w:pPr>
        <w:pStyle w:val="17"/>
        <w:ind w:left="0"/>
        <w:rPr>
          <w:sz w:val="28"/>
        </w:rPr>
      </w:pPr>
    </w:p>
    <w:p>
      <w:pPr>
        <w:pStyle w:val="17"/>
        <w:ind w:left="0"/>
        <w:rPr>
          <w:sz w:val="28"/>
        </w:rPr>
      </w:pPr>
    </w:p>
    <w:p>
      <w:pPr>
        <w:pStyle w:val="17"/>
        <w:ind w:left="0"/>
        <w:rPr>
          <w:sz w:val="28"/>
        </w:rPr>
      </w:pPr>
    </w:p>
    <w:p>
      <w:pPr>
        <w:pStyle w:val="17"/>
        <w:ind w:left="0"/>
        <w:rPr>
          <w:sz w:val="28"/>
        </w:rPr>
      </w:pPr>
    </w:p>
    <w:p>
      <w:pPr>
        <w:pStyle w:val="17"/>
        <w:ind w:left="0"/>
        <w:rPr>
          <w:sz w:val="28"/>
        </w:rPr>
      </w:pPr>
    </w:p>
    <w:p>
      <w:pPr>
        <w:pStyle w:val="17"/>
        <w:ind w:left="0"/>
        <w:rPr>
          <w:sz w:val="28"/>
        </w:rPr>
      </w:pPr>
    </w:p>
    <w:p>
      <w:pPr>
        <w:pStyle w:val="17"/>
        <w:spacing w:before="8"/>
        <w:ind w:left="0"/>
        <w:rPr>
          <w:sz w:val="35"/>
        </w:rPr>
      </w:pPr>
    </w:p>
    <w:p>
      <w:pPr>
        <w:pStyle w:val="4"/>
        <w:tabs>
          <w:tab w:val="left" w:pos="3316"/>
        </w:tabs>
        <w:ind w:right="64" w:firstLine="3020" w:firstLineChars="1000"/>
        <w:rPr>
          <w:rFonts w:ascii="Times New Roman" w:eastAsia="Times New Roman"/>
        </w:rPr>
      </w:pPr>
      <w:bookmarkStart w:id="122" w:name="_Toc13134"/>
      <w:bookmarkStart w:id="123" w:name="_Toc120103969"/>
      <w:r>
        <w:rPr>
          <w:spacing w:val="-1"/>
          <w:w w:val="95"/>
        </w:rPr>
        <w:t>合同编号：</w:t>
      </w:r>
      <w:bookmarkEnd w:id="122"/>
      <w:bookmarkEnd w:id="123"/>
    </w:p>
    <w:p>
      <w:pPr>
        <w:pStyle w:val="17"/>
        <w:ind w:left="0"/>
        <w:rPr>
          <w:rFonts w:ascii="Times New Roman"/>
          <w:b/>
          <w:sz w:val="20"/>
        </w:rPr>
      </w:pPr>
    </w:p>
    <w:p>
      <w:pPr>
        <w:pStyle w:val="17"/>
        <w:ind w:left="0"/>
        <w:rPr>
          <w:rFonts w:ascii="Times New Roman"/>
          <w:b/>
          <w:sz w:val="20"/>
        </w:rPr>
      </w:pPr>
    </w:p>
    <w:p>
      <w:pPr>
        <w:pStyle w:val="17"/>
        <w:ind w:left="0"/>
        <w:rPr>
          <w:rFonts w:ascii="Times New Roman"/>
          <w:b/>
          <w:sz w:val="20"/>
        </w:rPr>
      </w:pPr>
    </w:p>
    <w:p>
      <w:pPr>
        <w:pStyle w:val="17"/>
        <w:ind w:left="0"/>
        <w:rPr>
          <w:rFonts w:ascii="Times New Roman"/>
          <w:b/>
          <w:sz w:val="20"/>
        </w:rPr>
      </w:pPr>
    </w:p>
    <w:p>
      <w:pPr>
        <w:pStyle w:val="17"/>
        <w:ind w:left="0"/>
        <w:rPr>
          <w:rFonts w:ascii="Times New Roman"/>
          <w:b/>
          <w:sz w:val="20"/>
        </w:rPr>
      </w:pPr>
    </w:p>
    <w:p>
      <w:pPr>
        <w:pStyle w:val="17"/>
        <w:ind w:left="0"/>
        <w:rPr>
          <w:rFonts w:ascii="Times New Roman"/>
          <w:b/>
          <w:sz w:val="20"/>
        </w:rPr>
      </w:pPr>
    </w:p>
    <w:p>
      <w:pPr>
        <w:pStyle w:val="17"/>
        <w:ind w:left="0"/>
        <w:rPr>
          <w:rFonts w:ascii="Times New Roman"/>
          <w:b/>
          <w:sz w:val="20"/>
        </w:rPr>
      </w:pPr>
    </w:p>
    <w:p>
      <w:pPr>
        <w:pStyle w:val="4"/>
        <w:tabs>
          <w:tab w:val="left" w:pos="7876"/>
        </w:tabs>
        <w:spacing w:before="247"/>
        <w:ind w:left="1060" w:firstLine="601"/>
        <w:jc w:val="left"/>
        <w:rPr>
          <w:rFonts w:ascii="Times New Roman" w:eastAsia="Times New Roman"/>
        </w:rPr>
      </w:pPr>
      <w:bookmarkStart w:id="124" w:name="_Toc120103970"/>
      <w:bookmarkStart w:id="125" w:name="_Toc28625"/>
      <w:r>
        <w:rPr>
          <w:spacing w:val="-1"/>
          <w:w w:val="95"/>
        </w:rPr>
        <w:t>项目名称：</w:t>
      </w:r>
      <w:bookmarkEnd w:id="124"/>
      <w:bookmarkEnd w:id="125"/>
      <w:r>
        <w:rPr>
          <w:rFonts w:ascii="Times New Roman" w:eastAsia="Times New Roman"/>
          <w:u w:val="single"/>
        </w:rPr>
        <w:t xml:space="preserve"> </w:t>
      </w:r>
      <w:r>
        <w:rPr>
          <w:rFonts w:ascii="Times New Roman" w:eastAsia="Times New Roman"/>
          <w:u w:val="single"/>
        </w:rPr>
        <w:tab/>
      </w:r>
    </w:p>
    <w:p>
      <w:pPr>
        <w:pStyle w:val="17"/>
        <w:spacing w:before="5"/>
        <w:ind w:left="0"/>
        <w:rPr>
          <w:rFonts w:ascii="Times New Roman"/>
          <w:b/>
          <w:sz w:val="20"/>
        </w:rPr>
      </w:pPr>
    </w:p>
    <w:p>
      <w:pPr>
        <w:pStyle w:val="4"/>
        <w:tabs>
          <w:tab w:val="left" w:pos="7876"/>
        </w:tabs>
        <w:spacing w:before="71"/>
        <w:ind w:left="1060"/>
        <w:jc w:val="left"/>
        <w:rPr>
          <w:rFonts w:ascii="Times New Roman" w:eastAsia="Times New Roman"/>
        </w:rPr>
      </w:pPr>
      <w:bookmarkStart w:id="126" w:name="_Toc24751"/>
      <w:bookmarkStart w:id="127" w:name="_Toc120103971"/>
      <w:r>
        <w:t>采</w:t>
      </w:r>
      <w:r>
        <w:rPr>
          <w:spacing w:val="-5"/>
        </w:rPr>
        <w:t xml:space="preserve"> </w:t>
      </w:r>
      <w:r>
        <w:t>购</w:t>
      </w:r>
      <w:r>
        <w:rPr>
          <w:spacing w:val="-1"/>
        </w:rPr>
        <w:t xml:space="preserve"> </w:t>
      </w:r>
      <w:r>
        <w:t>人：</w:t>
      </w:r>
      <w:bookmarkEnd w:id="126"/>
      <w:bookmarkEnd w:id="127"/>
      <w:r>
        <w:rPr>
          <w:rFonts w:ascii="Times New Roman" w:eastAsia="Times New Roman"/>
          <w:u w:val="single"/>
        </w:rPr>
        <w:t xml:space="preserve"> </w:t>
      </w:r>
      <w:r>
        <w:rPr>
          <w:rFonts w:ascii="Times New Roman" w:eastAsia="Times New Roman"/>
          <w:u w:val="single"/>
        </w:rPr>
        <w:tab/>
      </w:r>
    </w:p>
    <w:p>
      <w:pPr>
        <w:pStyle w:val="17"/>
        <w:spacing w:before="3"/>
        <w:ind w:left="0"/>
        <w:rPr>
          <w:rFonts w:ascii="Times New Roman"/>
          <w:b/>
          <w:sz w:val="21"/>
        </w:rPr>
      </w:pPr>
    </w:p>
    <w:p>
      <w:pPr>
        <w:pStyle w:val="4"/>
        <w:tabs>
          <w:tab w:val="left" w:pos="7849"/>
        </w:tabs>
        <w:spacing w:before="62" w:line="364" w:lineRule="auto"/>
        <w:ind w:left="1680" w:leftChars="700" w:right="2079" w:firstLine="0" w:firstLineChars="0"/>
        <w:jc w:val="left"/>
        <w:rPr>
          <w:rFonts w:ascii="Times New Roman" w:eastAsia="Times New Roman"/>
        </w:rPr>
      </w:pPr>
      <w:bookmarkStart w:id="128" w:name="_Toc120103972"/>
      <w:bookmarkStart w:id="129" w:name="_Toc3023"/>
      <w:r>
        <w:t>供 应</w:t>
      </w:r>
      <w:r>
        <w:rPr>
          <w:spacing w:val="-6"/>
        </w:rPr>
        <w:t xml:space="preserve"> </w:t>
      </w:r>
      <w:r>
        <w:t>商：</w:t>
      </w:r>
      <w:r>
        <w:rPr>
          <w:rFonts w:ascii="Times New Roman" w:eastAsia="Times New Roman"/>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38"/>
          <w:u w:val="single"/>
        </w:rPr>
        <w:t xml:space="preserve"> </w:t>
      </w:r>
      <w:r>
        <w:rPr>
          <w:spacing w:val="-1"/>
          <w:w w:val="95"/>
        </w:rPr>
        <w:t>签署日期：</w:t>
      </w:r>
      <w:bookmarkEnd w:id="128"/>
      <w:bookmarkEnd w:id="129"/>
      <w:r>
        <w:rPr>
          <w:rFonts w:ascii="Times New Roman" w:eastAsia="Times New Roman"/>
          <w:u w:val="single"/>
        </w:rPr>
        <w:t xml:space="preserve"> </w:t>
      </w:r>
      <w:r>
        <w:rPr>
          <w:rFonts w:ascii="Times New Roman" w:eastAsia="Times New Roman"/>
          <w:u w:val="single"/>
        </w:rPr>
        <w:tab/>
      </w:r>
    </w:p>
    <w:p>
      <w:pPr>
        <w:spacing w:line="364" w:lineRule="auto"/>
        <w:rPr>
          <w:rFonts w:ascii="Times New Roman" w:eastAsia="Times New Roman"/>
        </w:rPr>
        <w:sectPr>
          <w:footerReference r:id="rId3" w:type="default"/>
          <w:footerReference r:id="rId4" w:type="even"/>
          <w:pgSz w:w="11910" w:h="16840"/>
          <w:pgMar w:top="1320" w:right="840" w:bottom="1140" w:left="1140" w:header="0" w:footer="955" w:gutter="0"/>
          <w:pgNumType w:start="1"/>
          <w:cols w:space="720" w:num="1"/>
          <w:titlePg/>
          <w:docGrid w:linePitch="326" w:charSpace="0"/>
        </w:sectPr>
      </w:pPr>
    </w:p>
    <w:p>
      <w:pPr>
        <w:spacing w:before="25"/>
        <w:ind w:right="296"/>
        <w:jc w:val="center"/>
        <w:outlineLvl w:val="1"/>
        <w:rPr>
          <w:b/>
          <w:sz w:val="40"/>
        </w:rPr>
      </w:pPr>
      <w:bookmarkStart w:id="130" w:name="_Toc120103973"/>
      <w:bookmarkStart w:id="131" w:name="_Toc32373"/>
      <w:r>
        <w:rPr>
          <w:b/>
          <w:sz w:val="40"/>
        </w:rPr>
        <w:t>合同条款</w:t>
      </w:r>
      <w:bookmarkEnd w:id="130"/>
      <w:bookmarkEnd w:id="131"/>
    </w:p>
    <w:p>
      <w:pPr>
        <w:pStyle w:val="17"/>
        <w:spacing w:before="10"/>
        <w:ind w:left="0"/>
        <w:rPr>
          <w:b/>
          <w:sz w:val="27"/>
        </w:rPr>
      </w:pPr>
    </w:p>
    <w:p>
      <w:pPr>
        <w:pStyle w:val="17"/>
        <w:spacing w:line="480" w:lineRule="auto"/>
        <w:ind w:left="220"/>
        <w:outlineLvl w:val="1"/>
      </w:pPr>
      <w:bookmarkStart w:id="132" w:name="_Toc120103974"/>
      <w:bookmarkStart w:id="133" w:name="_Toc17128"/>
      <w:r>
        <w:t>一、供货合同格式</w:t>
      </w:r>
      <w:bookmarkEnd w:id="132"/>
      <w:bookmarkEnd w:id="133"/>
    </w:p>
    <w:p>
      <w:pPr>
        <w:pStyle w:val="17"/>
        <w:spacing w:line="480" w:lineRule="auto"/>
        <w:ind w:left="220" w:right="517" w:firstLine="480"/>
        <w:jc w:val="both"/>
      </w:pPr>
      <w:r>
        <w:rPr>
          <w:rFonts w:hint="eastAsia"/>
        </w:rPr>
        <w:t>2022年陕西省县级应急广播体系建设</w:t>
      </w:r>
      <w:r>
        <w:t>，由陕西中海招标有限公司组织公开招标，</w:t>
      </w:r>
      <w:r>
        <w:rPr>
          <w:rFonts w:hint="eastAsia"/>
          <w:lang w:val="en-US"/>
        </w:rPr>
        <w:t>蓝田县融媒体中心（蓝田县广播电视台）</w:t>
      </w:r>
      <w:r>
        <w:t>(以下简称“买方”) 确定 (中标单位名称) （以下简称“卖方”）为中标单位。</w:t>
      </w:r>
    </w:p>
    <w:p>
      <w:pPr>
        <w:pStyle w:val="17"/>
        <w:spacing w:line="480" w:lineRule="auto"/>
        <w:ind w:left="220" w:right="761" w:firstLine="480"/>
        <w:jc w:val="both"/>
      </w:pPr>
      <w:r>
        <w:t>依据《中华人民共和国合同法》和《中华人民共和国政府采购法》，买方通过公</w:t>
      </w:r>
      <w:r>
        <w:rPr>
          <w:spacing w:val="-15"/>
        </w:rPr>
        <w:t>开招标采购</w:t>
      </w:r>
      <w:r>
        <w:t>（</w:t>
      </w:r>
      <w:r>
        <w:rPr>
          <w:u w:val="single"/>
        </w:rPr>
        <w:t>项目名称）</w:t>
      </w:r>
      <w:r>
        <w:rPr>
          <w:spacing w:val="-17"/>
        </w:rPr>
        <w:t xml:space="preserve"> ，并接受了卖方以价格</w:t>
      </w:r>
      <w:r>
        <w:rPr>
          <w:rFonts w:ascii="Times New Roman" w:hAnsi="Times New Roman" w:eastAsia="Times New Roman"/>
          <w:u w:val="single"/>
        </w:rPr>
        <w:t xml:space="preserve">  </w:t>
      </w:r>
      <w:r>
        <w:rPr>
          <w:u w:val="single"/>
        </w:rPr>
        <w:t>(中标金额大写)</w:t>
      </w:r>
      <w:r>
        <w:rPr>
          <w:spacing w:val="-21"/>
        </w:rPr>
        <w:t>(以下简称“合同价”)</w:t>
      </w:r>
      <w:r>
        <w:t>提供的产品及服务。</w:t>
      </w:r>
    </w:p>
    <w:p>
      <w:pPr>
        <w:pStyle w:val="17"/>
        <w:spacing w:line="480" w:lineRule="auto"/>
        <w:ind w:left="700"/>
      </w:pPr>
      <w:r>
        <w:t>本合同在此声明如下：</w:t>
      </w:r>
    </w:p>
    <w:p>
      <w:pPr>
        <w:pStyle w:val="17"/>
        <w:spacing w:line="480" w:lineRule="auto"/>
        <w:ind w:left="700"/>
      </w:pPr>
      <w:r>
        <w:t>1、本合同中的词语和术语的含义与合同条款中定义的相同。</w:t>
      </w:r>
    </w:p>
    <w:p>
      <w:pPr>
        <w:pStyle w:val="17"/>
        <w:spacing w:line="480" w:lineRule="auto"/>
        <w:ind w:left="700"/>
      </w:pPr>
      <w:r>
        <w:t>2、下述文件是本合同的一部分，并与本合同一起阅读和解释：</w:t>
      </w:r>
    </w:p>
    <w:p>
      <w:pPr>
        <w:pStyle w:val="84"/>
        <w:widowControl w:val="0"/>
        <w:numPr>
          <w:ilvl w:val="0"/>
          <w:numId w:val="12"/>
        </w:numPr>
        <w:tabs>
          <w:tab w:val="left" w:pos="1062"/>
        </w:tabs>
        <w:autoSpaceDE w:val="0"/>
        <w:autoSpaceDN w:val="0"/>
        <w:spacing w:line="480" w:lineRule="auto"/>
        <w:ind w:hanging="362"/>
        <w:contextualSpacing w:val="0"/>
      </w:pPr>
      <w:r>
        <w:t>合同条款</w:t>
      </w:r>
    </w:p>
    <w:p>
      <w:pPr>
        <w:pStyle w:val="84"/>
        <w:widowControl w:val="0"/>
        <w:numPr>
          <w:ilvl w:val="0"/>
          <w:numId w:val="12"/>
        </w:numPr>
        <w:tabs>
          <w:tab w:val="left" w:pos="1062"/>
        </w:tabs>
        <w:autoSpaceDE w:val="0"/>
        <w:autoSpaceDN w:val="0"/>
        <w:spacing w:line="480" w:lineRule="auto"/>
        <w:ind w:hanging="362"/>
        <w:contextualSpacing w:val="0"/>
      </w:pPr>
      <w:r>
        <w:t>合同条款附件</w:t>
      </w:r>
    </w:p>
    <w:p>
      <w:pPr>
        <w:pStyle w:val="84"/>
        <w:widowControl w:val="0"/>
        <w:numPr>
          <w:ilvl w:val="0"/>
          <w:numId w:val="12"/>
        </w:numPr>
        <w:tabs>
          <w:tab w:val="left" w:pos="1062"/>
        </w:tabs>
        <w:autoSpaceDE w:val="0"/>
        <w:autoSpaceDN w:val="0"/>
        <w:spacing w:line="480" w:lineRule="auto"/>
        <w:ind w:hanging="362"/>
        <w:contextualSpacing w:val="0"/>
      </w:pPr>
      <w:r>
        <w:t>中标通知书</w:t>
      </w:r>
    </w:p>
    <w:p>
      <w:pPr>
        <w:pStyle w:val="84"/>
        <w:widowControl w:val="0"/>
        <w:numPr>
          <w:ilvl w:val="0"/>
          <w:numId w:val="12"/>
        </w:numPr>
        <w:tabs>
          <w:tab w:val="left" w:pos="1062"/>
        </w:tabs>
        <w:autoSpaceDE w:val="0"/>
        <w:autoSpaceDN w:val="0"/>
        <w:spacing w:line="480" w:lineRule="auto"/>
        <w:ind w:hanging="362"/>
        <w:contextualSpacing w:val="0"/>
      </w:pPr>
      <w:r>
        <w:t>招标文件</w:t>
      </w:r>
    </w:p>
    <w:p>
      <w:pPr>
        <w:pStyle w:val="84"/>
        <w:widowControl w:val="0"/>
        <w:numPr>
          <w:ilvl w:val="0"/>
          <w:numId w:val="12"/>
        </w:numPr>
        <w:tabs>
          <w:tab w:val="left" w:pos="1062"/>
        </w:tabs>
        <w:autoSpaceDE w:val="0"/>
        <w:autoSpaceDN w:val="0"/>
        <w:spacing w:line="480" w:lineRule="auto"/>
        <w:ind w:hanging="362"/>
        <w:contextualSpacing w:val="0"/>
      </w:pPr>
      <w:r>
        <w:t>投标文件</w:t>
      </w:r>
    </w:p>
    <w:p>
      <w:pPr>
        <w:pStyle w:val="17"/>
        <w:spacing w:line="480" w:lineRule="auto"/>
        <w:ind w:left="220" w:right="521" w:firstLine="480"/>
      </w:pPr>
      <w:r>
        <w:t>3</w:t>
      </w:r>
      <w:r>
        <w:rPr>
          <w:spacing w:val="-9"/>
        </w:rPr>
        <w:t>、考虑到买方将按照本合同向卖方支付货款，卖方在此保证全部按照合同的规定向</w:t>
      </w:r>
      <w:r>
        <w:t>买方提供货物和服务，并修补缺陷。</w:t>
      </w:r>
    </w:p>
    <w:p>
      <w:pPr>
        <w:pStyle w:val="17"/>
        <w:spacing w:line="480" w:lineRule="auto"/>
        <w:ind w:left="220" w:right="521" w:firstLine="480"/>
      </w:pPr>
      <w:r>
        <w:t>4</w:t>
      </w:r>
      <w:r>
        <w:rPr>
          <w:spacing w:val="-9"/>
        </w:rPr>
        <w:t>、考虑到卖方提供的货物和服务并修补缺陷，买方在此保证按照合同规定的时间和</w:t>
      </w:r>
      <w:r>
        <w:t>方式向卖方支付合同价或其他按合同规定应支付的金额。</w:t>
      </w:r>
    </w:p>
    <w:p>
      <w:pPr>
        <w:pStyle w:val="17"/>
        <w:spacing w:line="480" w:lineRule="auto"/>
        <w:ind w:left="220" w:right="521" w:firstLine="480"/>
        <w:rPr>
          <w:lang w:val="en-US"/>
        </w:rPr>
      </w:pPr>
      <w:r>
        <w:rPr>
          <w:rFonts w:hint="eastAsia"/>
          <w:lang w:val="en-US"/>
        </w:rPr>
        <w:t>5、交货期：自合同签订后</w:t>
      </w:r>
      <w:r>
        <w:rPr>
          <w:rFonts w:hint="eastAsia"/>
          <w:u w:val="single"/>
          <w:lang w:val="en-US"/>
        </w:rPr>
        <w:t xml:space="preserve">   </w:t>
      </w:r>
      <w:r>
        <w:rPr>
          <w:rFonts w:hint="eastAsia"/>
          <w:lang w:val="en-US"/>
        </w:rPr>
        <w:t>日历日</w:t>
      </w:r>
    </w:p>
    <w:p>
      <w:pPr>
        <w:pStyle w:val="17"/>
        <w:spacing w:line="480" w:lineRule="auto"/>
        <w:ind w:left="220" w:right="521" w:firstLine="480"/>
        <w:rPr>
          <w:spacing w:val="-9"/>
        </w:rPr>
      </w:pPr>
      <w:r>
        <w:rPr>
          <w:rFonts w:hint="eastAsia"/>
          <w:spacing w:val="-9"/>
        </w:rPr>
        <w:t>6</w:t>
      </w:r>
      <w:r>
        <w:rPr>
          <w:spacing w:val="-9"/>
        </w:rPr>
        <w:t>、付款方式：</w:t>
      </w:r>
      <w:r>
        <w:rPr>
          <w:rFonts w:hint="eastAsia"/>
          <w:spacing w:val="-9"/>
        </w:rPr>
        <w:t>（1）合同签订后10个日历日内甲方向乙方预付合同总金额40%款项，所有合同清单货物送至甲方指定地点后，甲方支付乙方合同总金额40%的款项，项目验收后10个日历日内甲方支付乙方合同金额20%的款项。</w:t>
      </w:r>
    </w:p>
    <w:p>
      <w:pPr>
        <w:pStyle w:val="17"/>
        <w:spacing w:line="480" w:lineRule="auto"/>
        <w:ind w:left="220" w:right="521" w:firstLine="480"/>
        <w:rPr>
          <w:spacing w:val="-9"/>
        </w:rPr>
      </w:pPr>
      <w:r>
        <w:rPr>
          <w:rFonts w:hint="eastAsia"/>
          <w:spacing w:val="-9"/>
          <w:lang w:val="en-US"/>
        </w:rPr>
        <w:t>7</w:t>
      </w:r>
      <w:r>
        <w:rPr>
          <w:rFonts w:hint="eastAsia"/>
          <w:spacing w:val="-9"/>
        </w:rPr>
        <w:t>、本合同一式陆份，其中，买方贰份，卖方贰份，区财政局政府采购与行政事业单位资产管理处壹份备案，采购代理机构壹份。</w:t>
      </w:r>
    </w:p>
    <w:p>
      <w:pPr>
        <w:pStyle w:val="17"/>
        <w:spacing w:line="480" w:lineRule="auto"/>
        <w:ind w:left="700"/>
      </w:pPr>
      <w:r>
        <w:rPr>
          <w:rFonts w:hint="eastAsia"/>
          <w:lang w:val="en-US"/>
        </w:rPr>
        <w:t>8</w:t>
      </w:r>
      <w:r>
        <w:t>、本合同由买卖双方及鉴证方共同签字盖章，自签字盖章之日起生效。</w:t>
      </w:r>
    </w:p>
    <w:p>
      <w:pPr>
        <w:spacing w:line="480" w:lineRule="auto"/>
      </w:pPr>
    </w:p>
    <w:p>
      <w:pPr>
        <w:pStyle w:val="38"/>
        <w:ind w:left="0" w:leftChars="0" w:firstLine="0" w:firstLineChars="0"/>
      </w:pPr>
    </w:p>
    <w:p>
      <w:pPr>
        <w:pStyle w:val="38"/>
        <w:ind w:left="0" w:leftChars="0" w:firstLine="0" w:firstLineChars="0"/>
      </w:pPr>
    </w:p>
    <w:p>
      <w:pPr>
        <w:pStyle w:val="38"/>
        <w:ind w:left="0" w:leftChars="0" w:firstLine="0" w:firstLineChars="0"/>
      </w:pPr>
    </w:p>
    <w:p>
      <w:pPr>
        <w:pStyle w:val="38"/>
        <w:ind w:left="0" w:leftChars="0" w:firstLine="0" w:firstLineChars="0"/>
      </w:pPr>
    </w:p>
    <w:p>
      <w:pPr>
        <w:pStyle w:val="38"/>
        <w:ind w:left="0" w:leftChars="0" w:firstLine="0" w:firstLineChars="0"/>
      </w:pPr>
    </w:p>
    <w:p>
      <w:pPr>
        <w:pStyle w:val="17"/>
        <w:tabs>
          <w:tab w:val="left" w:pos="1586"/>
        </w:tabs>
        <w:spacing w:line="480" w:lineRule="auto"/>
        <w:ind w:left="0" w:firstLine="840" w:firstLineChars="350"/>
      </w:pPr>
      <w:r>
        <w:t>买方名称</w:t>
      </w:r>
      <w:r>
        <w:rPr>
          <w:spacing w:val="-18"/>
        </w:rPr>
        <w:t xml:space="preserve">： </w:t>
      </w:r>
      <w:r>
        <w:rPr>
          <w:rFonts w:hint="eastAsia"/>
          <w:spacing w:val="-18"/>
          <w:lang w:val="en-US"/>
        </w:rPr>
        <w:t xml:space="preserve">                       </w:t>
      </w:r>
      <w:r>
        <w:rPr>
          <w:spacing w:val="-18"/>
          <w:lang w:val="en-US"/>
        </w:rPr>
        <w:t xml:space="preserve">                          </w:t>
      </w:r>
      <w:r>
        <w:rPr>
          <w:rFonts w:hint="eastAsia"/>
          <w:spacing w:val="-18"/>
          <w:lang w:val="en-US"/>
        </w:rPr>
        <w:t xml:space="preserve">  </w:t>
      </w:r>
      <w:r>
        <w:t>卖方名称</w:t>
      </w:r>
      <w:r>
        <w:rPr>
          <w:spacing w:val="-19"/>
        </w:rPr>
        <w:t xml:space="preserve">： </w:t>
      </w:r>
    </w:p>
    <w:p>
      <w:pPr>
        <w:pStyle w:val="17"/>
        <w:tabs>
          <w:tab w:val="left" w:pos="1586"/>
        </w:tabs>
        <w:spacing w:line="480" w:lineRule="auto"/>
        <w:ind w:left="0" w:firstLine="840" w:firstLineChars="350"/>
        <w:rPr>
          <w:lang w:val="en-US"/>
        </w:rPr>
      </w:pPr>
      <w:r>
        <w:t>地</w:t>
      </w:r>
      <w:r>
        <w:tab/>
      </w:r>
      <w:r>
        <w:t>址</w:t>
      </w:r>
      <w:r>
        <w:rPr>
          <w:spacing w:val="-18"/>
        </w:rPr>
        <w:t>：</w:t>
      </w:r>
      <w:r>
        <w:rPr>
          <w:rFonts w:hint="eastAsia"/>
          <w:spacing w:val="-18"/>
          <w:lang w:val="en-US"/>
        </w:rPr>
        <w:t xml:space="preserve">                      </w:t>
      </w:r>
      <w:r>
        <w:rPr>
          <w:spacing w:val="-18"/>
          <w:lang w:val="en-US"/>
        </w:rPr>
        <w:t xml:space="preserve">                       </w:t>
      </w:r>
      <w:r>
        <w:rPr>
          <w:rFonts w:hint="eastAsia"/>
          <w:spacing w:val="-18"/>
          <w:lang w:val="en-US"/>
        </w:rPr>
        <w:t xml:space="preserve">    </w:t>
      </w:r>
      <w:r>
        <w:rPr>
          <w:spacing w:val="-18"/>
          <w:lang w:val="en-US"/>
        </w:rPr>
        <w:t xml:space="preserve">   </w:t>
      </w:r>
      <w:r>
        <w:t>地</w:t>
      </w:r>
      <w:r>
        <w:rPr>
          <w:rFonts w:hint="eastAsia"/>
          <w:lang w:val="en-US"/>
        </w:rPr>
        <w:t xml:space="preserve">    </w:t>
      </w:r>
      <w:r>
        <w:t>址</w:t>
      </w:r>
      <w:r>
        <w:rPr>
          <w:spacing w:val="-18"/>
        </w:rPr>
        <w:t>：</w:t>
      </w:r>
    </w:p>
    <w:p>
      <w:pPr>
        <w:pStyle w:val="17"/>
        <w:tabs>
          <w:tab w:val="left" w:pos="1586"/>
        </w:tabs>
        <w:spacing w:line="480" w:lineRule="auto"/>
        <w:ind w:left="0" w:firstLine="840" w:firstLineChars="350"/>
      </w:pPr>
      <w:r>
        <w:t>邮</w:t>
      </w:r>
      <w:r>
        <w:tab/>
      </w:r>
      <w:r>
        <w:t>编：</w:t>
      </w:r>
      <w:r>
        <w:rPr>
          <w:rFonts w:hint="eastAsia"/>
          <w:lang w:val="en-US"/>
        </w:rPr>
        <w:t xml:space="preserve">                  </w:t>
      </w:r>
      <w:r>
        <w:rPr>
          <w:lang w:val="en-US"/>
        </w:rPr>
        <w:t xml:space="preserve">              </w:t>
      </w:r>
      <w:r>
        <w:rPr>
          <w:rFonts w:hint="eastAsia"/>
          <w:lang w:val="en-US"/>
        </w:rPr>
        <w:t xml:space="preserve">    </w:t>
      </w:r>
      <w:r>
        <w:t>邮</w:t>
      </w:r>
      <w:r>
        <w:rPr>
          <w:rFonts w:hint="eastAsia"/>
          <w:lang w:val="en-US"/>
        </w:rPr>
        <w:t xml:space="preserve">    </w:t>
      </w:r>
      <w:r>
        <w:t>编：</w:t>
      </w:r>
    </w:p>
    <w:p>
      <w:pPr>
        <w:pStyle w:val="17"/>
        <w:tabs>
          <w:tab w:val="left" w:pos="1586"/>
        </w:tabs>
        <w:spacing w:line="480" w:lineRule="auto"/>
        <w:ind w:left="0" w:firstLine="840" w:firstLineChars="350"/>
      </w:pPr>
      <w:r>
        <w:t>电</w:t>
      </w:r>
      <w:r>
        <w:tab/>
      </w:r>
      <w:r>
        <w:t>话：</w:t>
      </w:r>
      <w:r>
        <w:rPr>
          <w:rFonts w:hint="eastAsia"/>
          <w:lang w:val="en-US"/>
        </w:rPr>
        <w:t xml:space="preserve">                    </w:t>
      </w:r>
      <w:r>
        <w:rPr>
          <w:lang w:val="en-US"/>
        </w:rPr>
        <w:t xml:space="preserve">           </w:t>
      </w:r>
      <w:r>
        <w:rPr>
          <w:rFonts w:hint="eastAsia"/>
          <w:lang w:val="en-US"/>
        </w:rPr>
        <w:t xml:space="preserve"> </w:t>
      </w:r>
      <w:r>
        <w:rPr>
          <w:lang w:val="en-US"/>
        </w:rPr>
        <w:t xml:space="preserve">   </w:t>
      </w:r>
      <w:r>
        <w:rPr>
          <w:rFonts w:hint="eastAsia"/>
          <w:lang w:val="en-US"/>
        </w:rPr>
        <w:t xml:space="preserve"> </w:t>
      </w:r>
      <w:r>
        <w:t>电</w:t>
      </w:r>
      <w:r>
        <w:tab/>
      </w:r>
      <w:r>
        <w:rPr>
          <w:rFonts w:hint="eastAsia"/>
          <w:lang w:val="en-US"/>
        </w:rPr>
        <w:t xml:space="preserve">   </w:t>
      </w:r>
      <w:r>
        <w:t>话：</w:t>
      </w:r>
    </w:p>
    <w:p>
      <w:pPr>
        <w:pStyle w:val="17"/>
        <w:tabs>
          <w:tab w:val="left" w:pos="1586"/>
        </w:tabs>
        <w:spacing w:line="480" w:lineRule="auto"/>
        <w:ind w:left="0" w:firstLine="840" w:firstLineChars="350"/>
      </w:pPr>
      <w:r>
        <w:t>传</w:t>
      </w:r>
      <w:r>
        <w:tab/>
      </w:r>
      <w:r>
        <w:t>真：</w:t>
      </w:r>
      <w:r>
        <w:rPr>
          <w:rFonts w:hint="eastAsia"/>
          <w:lang w:val="en-US"/>
        </w:rPr>
        <w:t xml:space="preserve">                      </w:t>
      </w:r>
      <w:r>
        <w:rPr>
          <w:lang w:val="en-US"/>
        </w:rPr>
        <w:t xml:space="preserve">              </w:t>
      </w:r>
      <w:r>
        <w:t>传</w:t>
      </w:r>
      <w:r>
        <w:rPr>
          <w:rFonts w:hint="eastAsia"/>
          <w:lang w:val="en-US"/>
        </w:rPr>
        <w:t xml:space="preserve">    </w:t>
      </w:r>
      <w:r>
        <w:t>真：</w:t>
      </w:r>
    </w:p>
    <w:p>
      <w:pPr>
        <w:pStyle w:val="38"/>
        <w:spacing w:after="0" w:line="480" w:lineRule="auto"/>
        <w:ind w:left="0" w:leftChars="0" w:firstLine="840" w:firstLineChars="350"/>
      </w:pPr>
      <w:r>
        <w:rPr>
          <w:rFonts w:hint="eastAsia"/>
        </w:rPr>
        <w:t>法定</w:t>
      </w:r>
      <w:r>
        <w:t>代表签字：</w:t>
      </w:r>
      <w:r>
        <w:rPr>
          <w:rFonts w:hint="eastAsia"/>
        </w:rPr>
        <w:t xml:space="preserve">                                法定</w:t>
      </w:r>
      <w:r>
        <w:t>代表签字：</w:t>
      </w:r>
    </w:p>
    <w:p>
      <w:pPr>
        <w:pStyle w:val="38"/>
        <w:spacing w:after="0" w:line="480" w:lineRule="auto"/>
        <w:ind w:left="0" w:leftChars="0" w:firstLine="840" w:firstLineChars="350"/>
      </w:pPr>
      <w:r>
        <w:t>盖</w:t>
      </w:r>
      <w:r>
        <w:rPr>
          <w:rFonts w:hint="eastAsia"/>
        </w:rPr>
        <w:t xml:space="preserve">        </w:t>
      </w:r>
      <w:r>
        <w:t>章：</w:t>
      </w:r>
      <w:r>
        <w:rPr>
          <w:rFonts w:hint="eastAsia"/>
        </w:rPr>
        <w:t xml:space="preserve">                                </w:t>
      </w:r>
      <w:r>
        <w:t>盖</w:t>
      </w:r>
      <w:r>
        <w:rPr>
          <w:rFonts w:hint="eastAsia"/>
        </w:rPr>
        <w:t xml:space="preserve">        </w:t>
      </w:r>
      <w:r>
        <w:t>章：</w:t>
      </w:r>
    </w:p>
    <w:p>
      <w:pPr>
        <w:pStyle w:val="38"/>
        <w:spacing w:after="0" w:line="480" w:lineRule="auto"/>
        <w:ind w:left="0" w:leftChars="0" w:firstLine="840" w:firstLineChars="350"/>
        <w:sectPr>
          <w:pgSz w:w="11910" w:h="16840"/>
          <w:pgMar w:top="1460" w:right="840" w:bottom="1140" w:left="1140" w:header="0" w:footer="955" w:gutter="0"/>
          <w:cols w:space="720" w:num="1"/>
        </w:sectPr>
      </w:pPr>
      <w:r>
        <w:rPr>
          <w:rFonts w:hint="eastAsia"/>
        </w:rPr>
        <w:t>日      期：                                  日      期：</w:t>
      </w:r>
    </w:p>
    <w:p>
      <w:pPr>
        <w:pStyle w:val="17"/>
        <w:spacing w:before="210" w:beforeLines="50" w:after="210" w:afterLines="50"/>
        <w:ind w:left="0" w:firstLine="480" w:firstLineChars="200"/>
        <w:outlineLvl w:val="1"/>
        <w:rPr>
          <w:rFonts w:asciiTheme="minorEastAsia" w:hAnsiTheme="minorEastAsia" w:eastAsiaTheme="minorEastAsia"/>
        </w:rPr>
      </w:pPr>
      <w:bookmarkStart w:id="134" w:name="_Toc30476"/>
      <w:bookmarkStart w:id="135" w:name="_Toc120103975"/>
      <w:r>
        <w:rPr>
          <w:rFonts w:hint="eastAsia" w:asciiTheme="minorEastAsia" w:hAnsiTheme="minorEastAsia" w:eastAsiaTheme="minorEastAsia"/>
        </w:rPr>
        <w:t>二、合同条款</w:t>
      </w:r>
      <w:bookmarkEnd w:id="134"/>
      <w:bookmarkEnd w:id="135"/>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1、定义</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本合同下列术语应解释为：</w:t>
      </w:r>
    </w:p>
    <w:p>
      <w:pPr>
        <w:pStyle w:val="84"/>
        <w:widowControl w:val="0"/>
        <w:numPr>
          <w:ilvl w:val="1"/>
          <w:numId w:val="13"/>
        </w:numPr>
        <w:tabs>
          <w:tab w:val="left" w:pos="1062"/>
        </w:tabs>
        <w:autoSpaceDE w:val="0"/>
        <w:autoSpaceDN w:val="0"/>
        <w:spacing w:before="210" w:beforeLines="50" w:after="210" w:afterLines="50"/>
        <w:ind w:left="0" w:firstLine="444" w:firstLineChars="200"/>
        <w:contextualSpacing w:val="0"/>
        <w:rPr>
          <w:rFonts w:asciiTheme="minorEastAsia" w:hAnsiTheme="minorEastAsia"/>
        </w:rPr>
      </w:pPr>
      <w:r>
        <w:rPr>
          <w:rFonts w:hint="eastAsia" w:asciiTheme="minorEastAsia" w:hAnsiTheme="minorEastAsia"/>
          <w:spacing w:val="-9"/>
        </w:rPr>
        <w:t>、“合同”系指买卖双方签署的、合同格式中载明的买卖双方所达成的协议，包</w:t>
      </w:r>
      <w:r>
        <w:rPr>
          <w:rFonts w:hint="eastAsia" w:asciiTheme="minorEastAsia" w:hAnsiTheme="minorEastAsia"/>
        </w:rPr>
        <w:t>括所有的附件、附录和招标文件所提到的构成合同的所有文件。</w:t>
      </w:r>
    </w:p>
    <w:p>
      <w:pPr>
        <w:pStyle w:val="84"/>
        <w:widowControl w:val="0"/>
        <w:numPr>
          <w:ilvl w:val="1"/>
          <w:numId w:val="13"/>
        </w:numPr>
        <w:tabs>
          <w:tab w:val="left" w:pos="1062"/>
        </w:tabs>
        <w:autoSpaceDE w:val="0"/>
        <w:autoSpaceDN w:val="0"/>
        <w:spacing w:before="210" w:beforeLines="50" w:after="210" w:afterLines="50"/>
        <w:ind w:left="0" w:firstLine="444" w:firstLineChars="200"/>
        <w:contextualSpacing w:val="0"/>
        <w:rPr>
          <w:rFonts w:asciiTheme="minorEastAsia" w:hAnsiTheme="minorEastAsia"/>
        </w:rPr>
      </w:pPr>
      <w:r>
        <w:rPr>
          <w:rFonts w:hint="eastAsia" w:asciiTheme="minorEastAsia" w:hAnsiTheme="minorEastAsia"/>
          <w:spacing w:val="-9"/>
        </w:rPr>
        <w:t>、“合同价”系指根据本合同规定卖方在正确地完全履行合同义务后买方应支付</w:t>
      </w:r>
      <w:r>
        <w:rPr>
          <w:rFonts w:hint="eastAsia" w:asciiTheme="minorEastAsia" w:hAnsiTheme="minorEastAsia"/>
        </w:rPr>
        <w:t>给卖方的价款。</w:t>
      </w:r>
    </w:p>
    <w:p>
      <w:pPr>
        <w:pStyle w:val="84"/>
        <w:widowControl w:val="0"/>
        <w:numPr>
          <w:ilvl w:val="1"/>
          <w:numId w:val="13"/>
        </w:numPr>
        <w:tabs>
          <w:tab w:val="left" w:pos="1062"/>
        </w:tabs>
        <w:autoSpaceDE w:val="0"/>
        <w:autoSpaceDN w:val="0"/>
        <w:spacing w:before="210" w:beforeLines="50" w:after="210" w:afterLines="50"/>
        <w:ind w:left="0" w:firstLine="420" w:firstLineChars="200"/>
        <w:contextualSpacing w:val="0"/>
        <w:rPr>
          <w:rFonts w:asciiTheme="minorEastAsia" w:hAnsiTheme="minorEastAsia"/>
        </w:rPr>
      </w:pPr>
      <w:r>
        <w:rPr>
          <w:rFonts w:hint="eastAsia" w:asciiTheme="minorEastAsia" w:hAnsiTheme="minorEastAsia"/>
          <w:spacing w:val="-15"/>
        </w:rPr>
        <w:t>、“货物”系指卖方根据本合同规定须向买方提供的一切产品、部件或其它材料。</w:t>
      </w:r>
    </w:p>
    <w:p>
      <w:pPr>
        <w:pStyle w:val="84"/>
        <w:widowControl w:val="0"/>
        <w:numPr>
          <w:ilvl w:val="1"/>
          <w:numId w:val="13"/>
        </w:numPr>
        <w:tabs>
          <w:tab w:val="left" w:pos="1062"/>
        </w:tabs>
        <w:autoSpaceDE w:val="0"/>
        <w:autoSpaceDN w:val="0"/>
        <w:spacing w:before="210" w:beforeLines="50" w:after="210" w:afterLines="50"/>
        <w:ind w:left="0" w:firstLine="444" w:firstLineChars="200"/>
        <w:contextualSpacing w:val="0"/>
        <w:jc w:val="both"/>
        <w:rPr>
          <w:rFonts w:asciiTheme="minorEastAsia" w:hAnsiTheme="minorEastAsia"/>
        </w:rPr>
      </w:pPr>
      <w:r>
        <w:rPr>
          <w:rFonts w:hint="eastAsia" w:asciiTheme="minorEastAsia" w:hAnsiTheme="minorEastAsia"/>
          <w:spacing w:val="-9"/>
        </w:rPr>
        <w:t>、“服务”系指根据本合同规定卖方承担与供货有关的辅助服务如运输、保险以</w:t>
      </w:r>
      <w:r>
        <w:rPr>
          <w:rFonts w:hint="eastAsia" w:asciiTheme="minorEastAsia" w:hAnsiTheme="minorEastAsia"/>
        </w:rPr>
        <w:t>及其它的伴随服务，例如调试、提供技术援助、培训和合同中规定卖方应承担的其它义务。</w:t>
      </w:r>
    </w:p>
    <w:p>
      <w:pPr>
        <w:pStyle w:val="84"/>
        <w:widowControl w:val="0"/>
        <w:numPr>
          <w:ilvl w:val="1"/>
          <w:numId w:val="13"/>
        </w:numPr>
        <w:tabs>
          <w:tab w:val="left" w:pos="1062"/>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、“项目现场”系指本合同项下货物安装、运行的场地。</w:t>
      </w:r>
    </w:p>
    <w:p>
      <w:pPr>
        <w:pStyle w:val="84"/>
        <w:widowControl w:val="0"/>
        <w:numPr>
          <w:ilvl w:val="1"/>
          <w:numId w:val="13"/>
        </w:numPr>
        <w:tabs>
          <w:tab w:val="left" w:pos="1062"/>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、“合同条款”系指本合同条款。</w:t>
      </w:r>
    </w:p>
    <w:p>
      <w:pPr>
        <w:pStyle w:val="84"/>
        <w:widowControl w:val="0"/>
        <w:numPr>
          <w:ilvl w:val="1"/>
          <w:numId w:val="13"/>
        </w:numPr>
        <w:tabs>
          <w:tab w:val="left" w:pos="1062"/>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、“买方”是指购买货物和服务的单位即西乡县文化和旅游局。</w:t>
      </w:r>
    </w:p>
    <w:p>
      <w:pPr>
        <w:pStyle w:val="84"/>
        <w:widowControl w:val="0"/>
        <w:numPr>
          <w:ilvl w:val="1"/>
          <w:numId w:val="13"/>
        </w:numPr>
        <w:tabs>
          <w:tab w:val="left" w:pos="1062"/>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、“卖方”是指提供本合同内的货物和服务的公司或其它实体即成交人。</w:t>
      </w:r>
    </w:p>
    <w:p>
      <w:pPr>
        <w:pStyle w:val="84"/>
        <w:widowControl w:val="0"/>
        <w:numPr>
          <w:ilvl w:val="1"/>
          <w:numId w:val="13"/>
        </w:numPr>
        <w:tabs>
          <w:tab w:val="left" w:pos="1062"/>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、“天”指日历天数。</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2、适用性</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本合同条款适用于没有被本项目招标文件规定条款、卖方的投标文件承诺条款所取代的范围。</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3、使用合同文件和资料</w:t>
      </w:r>
    </w:p>
    <w:p>
      <w:pPr>
        <w:pStyle w:val="84"/>
        <w:widowControl w:val="0"/>
        <w:numPr>
          <w:ilvl w:val="1"/>
          <w:numId w:val="14"/>
        </w:numPr>
        <w:tabs>
          <w:tab w:val="left" w:pos="1062"/>
        </w:tabs>
        <w:autoSpaceDE w:val="0"/>
        <w:autoSpaceDN w:val="0"/>
        <w:spacing w:before="210" w:beforeLines="50" w:after="210" w:afterLines="50"/>
        <w:ind w:left="0" w:firstLine="448" w:firstLineChars="200"/>
        <w:contextualSpacing w:val="0"/>
        <w:rPr>
          <w:rFonts w:asciiTheme="minorEastAsia" w:hAnsiTheme="minorEastAsia"/>
        </w:rPr>
      </w:pPr>
      <w:r>
        <w:rPr>
          <w:rFonts w:hint="eastAsia" w:asciiTheme="minorEastAsia" w:hAnsiTheme="minorEastAsia"/>
          <w:spacing w:val="-8"/>
        </w:rPr>
        <w:t>、没有买方事先书面同意，卖方不得将买方或代表买方提供的有关合同或任何合</w:t>
      </w:r>
      <w:r>
        <w:rPr>
          <w:rFonts w:hint="eastAsia" w:asciiTheme="minorEastAsia" w:hAnsiTheme="minorEastAsia"/>
          <w:spacing w:val="-11"/>
        </w:rPr>
        <w:t xml:space="preserve">同条文、规格、计划、图纸、模型、样品或资料提供给与履行本合同无关的任何其他人， </w:t>
      </w:r>
      <w:r>
        <w:rPr>
          <w:rFonts w:hint="eastAsia" w:asciiTheme="minorEastAsia" w:hAnsiTheme="minorEastAsia"/>
        </w:rPr>
        <w:t>即使向与履行本合同有关的人员提供，也应注意保密并限于履行合同必须的范围。</w:t>
      </w:r>
    </w:p>
    <w:p>
      <w:pPr>
        <w:pStyle w:val="84"/>
        <w:widowControl w:val="0"/>
        <w:numPr>
          <w:ilvl w:val="1"/>
          <w:numId w:val="14"/>
        </w:numPr>
        <w:tabs>
          <w:tab w:val="left" w:pos="1062"/>
        </w:tabs>
        <w:autoSpaceDE w:val="0"/>
        <w:autoSpaceDN w:val="0"/>
        <w:spacing w:before="210" w:beforeLines="50" w:after="210" w:afterLines="50"/>
        <w:ind w:left="0" w:firstLine="472" w:firstLineChars="200"/>
        <w:contextualSpacing w:val="0"/>
        <w:rPr>
          <w:rFonts w:asciiTheme="minorEastAsia" w:hAnsiTheme="minorEastAsia"/>
        </w:rPr>
      </w:pPr>
      <w:r>
        <w:rPr>
          <w:rFonts w:hint="eastAsia" w:asciiTheme="minorEastAsia" w:hAnsiTheme="minorEastAsia"/>
          <w:spacing w:val="-2"/>
        </w:rPr>
        <w:t xml:space="preserve">、没有买方事先书面同意，除了履行本合同之外，卖方不应使用合同条款第 </w:t>
      </w:r>
      <w:r>
        <w:rPr>
          <w:rFonts w:hint="eastAsia" w:asciiTheme="minorEastAsia" w:hAnsiTheme="minorEastAsia"/>
          <w:spacing w:val="-6"/>
        </w:rPr>
        <w:t xml:space="preserve">3-1 </w:t>
      </w:r>
      <w:r>
        <w:rPr>
          <w:rFonts w:hint="eastAsia" w:asciiTheme="minorEastAsia" w:hAnsiTheme="minorEastAsia"/>
        </w:rPr>
        <w:t>条所列举的任何文件和资料。</w:t>
      </w:r>
    </w:p>
    <w:p>
      <w:pPr>
        <w:pStyle w:val="84"/>
        <w:widowControl w:val="0"/>
        <w:numPr>
          <w:ilvl w:val="1"/>
          <w:numId w:val="14"/>
        </w:numPr>
        <w:tabs>
          <w:tab w:val="left" w:pos="1062"/>
        </w:tabs>
        <w:autoSpaceDE w:val="0"/>
        <w:autoSpaceDN w:val="0"/>
        <w:spacing w:before="210" w:beforeLines="50" w:after="210" w:afterLines="50"/>
        <w:ind w:left="0" w:firstLine="440" w:firstLineChars="200"/>
        <w:contextualSpacing w:val="0"/>
        <w:rPr>
          <w:rFonts w:asciiTheme="minorEastAsia" w:hAnsiTheme="minorEastAsia"/>
        </w:rPr>
      </w:pPr>
      <w:r>
        <w:rPr>
          <w:rFonts w:hint="eastAsia" w:asciiTheme="minorEastAsia" w:hAnsiTheme="minorEastAsia"/>
          <w:spacing w:val="-10"/>
        </w:rPr>
        <w:t xml:space="preserve">、除了合同本身以外，合同条款第 </w:t>
      </w:r>
      <w:r>
        <w:rPr>
          <w:rFonts w:hint="eastAsia" w:asciiTheme="minorEastAsia" w:hAnsiTheme="minorEastAsia"/>
        </w:rPr>
        <w:t>3-1</w:t>
      </w:r>
      <w:r>
        <w:rPr>
          <w:rFonts w:hint="eastAsia" w:asciiTheme="minorEastAsia" w:hAnsiTheme="minorEastAsia"/>
          <w:spacing w:val="-10"/>
        </w:rPr>
        <w:t xml:space="preserve"> 条所列举的任何文件是买方的财产。如果</w:t>
      </w:r>
      <w:r>
        <w:rPr>
          <w:rFonts w:hint="eastAsia" w:asciiTheme="minorEastAsia" w:hAnsiTheme="minorEastAsia"/>
        </w:rPr>
        <w:t>买方有要求，卖方在完成合同后应将这些文件及全部复制件还给买方。</w:t>
      </w:r>
    </w:p>
    <w:p>
      <w:pPr>
        <w:pStyle w:val="17"/>
        <w:numPr>
          <w:ilvl w:val="0"/>
          <w:numId w:val="15"/>
        </w:numPr>
        <w:spacing w:before="210" w:beforeLines="50" w:after="210" w:afterLines="50"/>
        <w:ind w:left="1181" w:firstLine="480" w:firstLineChars="200"/>
        <w:rPr>
          <w:rFonts w:asciiTheme="minorEastAsia" w:hAnsiTheme="minorEastAsia" w:eastAsiaTheme="minorEastAsia"/>
        </w:rPr>
      </w:pPr>
      <w:r>
        <w:rPr>
          <w:rFonts w:hint="eastAsia" w:asciiTheme="minorEastAsia" w:hAnsiTheme="minorEastAsia" w:eastAsiaTheme="minorEastAsia"/>
        </w:rPr>
        <w:t>专利权</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卖方应保证，买方在使用该产品或产品的任何一部分，免受第三方提出的侵犯（其专利权）、商标权、著作权或其它知识产权的起诉。</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5、技术规格</w:t>
      </w:r>
    </w:p>
    <w:p>
      <w:pPr>
        <w:pStyle w:val="17"/>
        <w:spacing w:before="210" w:beforeLines="50" w:after="210" w:afterLines="50"/>
        <w:ind w:left="0" w:firstLine="480" w:firstLineChars="200"/>
        <w:jc w:val="both"/>
        <w:rPr>
          <w:rFonts w:asciiTheme="minorEastAsia" w:hAnsiTheme="minorEastAsia" w:eastAsiaTheme="minorEastAsia"/>
        </w:rPr>
      </w:pPr>
      <w:r>
        <w:rPr>
          <w:rFonts w:hint="eastAsia" w:asciiTheme="minorEastAsia" w:hAnsiTheme="minorEastAsia" w:eastAsiaTheme="minorEastAsia"/>
        </w:rPr>
        <w:t>本合同下交付的货物必须等同或优于本项目招标文件《采购内容及需求》所述的标准。若卖方在其投标文件中承诺的技术标准优于本项目招标文件《采购内容及需求》所述标准的，按投标文件的承诺执行。</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6、检验和测试</w:t>
      </w:r>
    </w:p>
    <w:p>
      <w:pPr>
        <w:pStyle w:val="84"/>
        <w:widowControl w:val="0"/>
        <w:numPr>
          <w:ilvl w:val="1"/>
          <w:numId w:val="16"/>
        </w:numPr>
        <w:tabs>
          <w:tab w:val="left" w:pos="1062"/>
        </w:tabs>
        <w:autoSpaceDE w:val="0"/>
        <w:autoSpaceDN w:val="0"/>
        <w:spacing w:before="210" w:beforeLines="50" w:after="210" w:afterLines="50"/>
        <w:ind w:left="0" w:firstLine="448" w:firstLineChars="200"/>
        <w:contextualSpacing w:val="0"/>
        <w:jc w:val="both"/>
        <w:rPr>
          <w:rFonts w:asciiTheme="minorEastAsia" w:hAnsiTheme="minorEastAsia"/>
        </w:rPr>
      </w:pPr>
      <w:r>
        <w:rPr>
          <w:rFonts w:hint="eastAsia" w:asciiTheme="minorEastAsia" w:hAnsiTheme="minorEastAsia"/>
          <w:spacing w:val="-8"/>
        </w:rPr>
        <w:t>、买方或其代表应有权检验和测试产品及其部件，以确认所供产品是否符合合同</w:t>
      </w:r>
      <w:r>
        <w:rPr>
          <w:rFonts w:hint="eastAsia" w:asciiTheme="minorEastAsia" w:hAnsiTheme="minorEastAsia"/>
        </w:rPr>
        <w:t>规格的要求，并且不承担额外的费用。买方要求进行的检验和测试，以及在何处进行这些检验和测试，以书面形式通知卖方。</w:t>
      </w:r>
    </w:p>
    <w:p>
      <w:pPr>
        <w:pStyle w:val="84"/>
        <w:widowControl w:val="0"/>
        <w:numPr>
          <w:ilvl w:val="1"/>
          <w:numId w:val="16"/>
        </w:numPr>
        <w:tabs>
          <w:tab w:val="left" w:pos="1062"/>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、检验和测试在买方指定的交货地点进行。</w:t>
      </w:r>
    </w:p>
    <w:p>
      <w:pPr>
        <w:pStyle w:val="84"/>
        <w:widowControl w:val="0"/>
        <w:numPr>
          <w:ilvl w:val="1"/>
          <w:numId w:val="16"/>
        </w:numPr>
        <w:tabs>
          <w:tab w:val="left" w:pos="1062"/>
        </w:tabs>
        <w:autoSpaceDE w:val="0"/>
        <w:autoSpaceDN w:val="0"/>
        <w:spacing w:before="210" w:beforeLines="50" w:after="210" w:afterLines="50"/>
        <w:ind w:left="0" w:firstLine="448" w:firstLineChars="200"/>
        <w:contextualSpacing w:val="0"/>
        <w:jc w:val="both"/>
        <w:rPr>
          <w:rFonts w:asciiTheme="minorEastAsia" w:hAnsiTheme="minorEastAsia"/>
        </w:rPr>
      </w:pPr>
      <w:r>
        <w:rPr>
          <w:rFonts w:hint="eastAsia" w:asciiTheme="minorEastAsia" w:hAnsiTheme="minorEastAsia"/>
          <w:spacing w:val="-8"/>
        </w:rPr>
        <w:t>、如果任何被检验或测试的产品或部件不能满足招标文件及合同的要求，买方可</w:t>
      </w:r>
      <w:r>
        <w:rPr>
          <w:rFonts w:hint="eastAsia" w:asciiTheme="minorEastAsia" w:hAnsiTheme="minorEastAsia"/>
        </w:rPr>
        <w:t>以拒绝接受该产品或部件，卖方应更换被拒绝的产品或部件，或者免费进行必要的修改以满足规格的要求。</w:t>
      </w:r>
    </w:p>
    <w:p>
      <w:pPr>
        <w:pStyle w:val="84"/>
        <w:widowControl w:val="0"/>
        <w:numPr>
          <w:ilvl w:val="1"/>
          <w:numId w:val="16"/>
        </w:numPr>
        <w:tabs>
          <w:tab w:val="left" w:pos="1062"/>
        </w:tabs>
        <w:autoSpaceDE w:val="0"/>
        <w:autoSpaceDN w:val="0"/>
        <w:spacing w:before="210" w:beforeLines="50" w:after="210" w:afterLines="50"/>
        <w:ind w:left="0" w:firstLine="444" w:firstLineChars="200"/>
        <w:contextualSpacing w:val="0"/>
        <w:jc w:val="both"/>
        <w:rPr>
          <w:rFonts w:asciiTheme="minorEastAsia" w:hAnsiTheme="minorEastAsia"/>
        </w:rPr>
      </w:pPr>
      <w:r>
        <w:rPr>
          <w:rFonts w:hint="eastAsia" w:asciiTheme="minorEastAsia" w:hAnsiTheme="minorEastAsia"/>
          <w:spacing w:val="-9"/>
        </w:rPr>
        <w:t>、在交货前，卖方应让制造商对产品及其部件的质量、规格、性能、数量和重量</w:t>
      </w:r>
      <w:r>
        <w:rPr>
          <w:rFonts w:hint="eastAsia" w:asciiTheme="minorEastAsia" w:hAnsiTheme="minorEastAsia"/>
        </w:rPr>
        <w:t>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pStyle w:val="84"/>
        <w:widowControl w:val="0"/>
        <w:numPr>
          <w:ilvl w:val="1"/>
          <w:numId w:val="16"/>
        </w:numPr>
        <w:tabs>
          <w:tab w:val="left" w:pos="1062"/>
        </w:tabs>
        <w:autoSpaceDE w:val="0"/>
        <w:autoSpaceDN w:val="0"/>
        <w:spacing w:before="210" w:beforeLines="50" w:after="210" w:afterLines="50"/>
        <w:ind w:left="0" w:firstLine="456" w:firstLineChars="200"/>
        <w:contextualSpacing w:val="0"/>
        <w:rPr>
          <w:rFonts w:asciiTheme="minorEastAsia" w:hAnsiTheme="minorEastAsia"/>
        </w:rPr>
      </w:pPr>
      <w:r>
        <w:rPr>
          <w:rFonts w:hint="eastAsia" w:asciiTheme="minorEastAsia" w:hAnsiTheme="minorEastAsia"/>
          <w:spacing w:val="-6"/>
        </w:rPr>
        <w:t>、如果在产品使用寿命期内，根据检验结果，发现产品的质量或规格与合同要求</w:t>
      </w:r>
      <w:r>
        <w:rPr>
          <w:rFonts w:hint="eastAsia" w:asciiTheme="minorEastAsia" w:hAnsiTheme="minorEastAsia"/>
          <w:spacing w:val="-10"/>
        </w:rPr>
        <w:t>不符，或被证实有缺陷，包含潜在的缺陷或使用不合适的材料，买方应向卖方提出索赔。</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7、包装及运输</w:t>
      </w:r>
    </w:p>
    <w:p>
      <w:pPr>
        <w:pStyle w:val="84"/>
        <w:widowControl w:val="0"/>
        <w:numPr>
          <w:ilvl w:val="1"/>
          <w:numId w:val="17"/>
        </w:numPr>
        <w:tabs>
          <w:tab w:val="left" w:pos="1062"/>
        </w:tabs>
        <w:autoSpaceDE w:val="0"/>
        <w:autoSpaceDN w:val="0"/>
        <w:spacing w:before="210" w:beforeLines="50" w:after="210" w:afterLines="50"/>
        <w:ind w:left="0" w:firstLine="452" w:firstLineChars="200"/>
        <w:contextualSpacing w:val="0"/>
        <w:rPr>
          <w:rFonts w:asciiTheme="minorEastAsia" w:hAnsiTheme="minorEastAsia"/>
        </w:rPr>
      </w:pPr>
      <w:r>
        <w:rPr>
          <w:rFonts w:hint="eastAsia" w:asciiTheme="minorEastAsia" w:hAnsiTheme="minorEastAsia"/>
          <w:spacing w:val="-7"/>
        </w:rPr>
        <w:t>、卖方负责货物到达交货地点前的所有包装、运输、装卸及保险事项，相关费用</w:t>
      </w:r>
      <w:r>
        <w:rPr>
          <w:rFonts w:hint="eastAsia" w:asciiTheme="minorEastAsia" w:hAnsiTheme="minorEastAsia"/>
        </w:rPr>
        <w:t>应包括在合同总价中。</w:t>
      </w:r>
    </w:p>
    <w:p>
      <w:pPr>
        <w:pStyle w:val="84"/>
        <w:widowControl w:val="0"/>
        <w:numPr>
          <w:ilvl w:val="1"/>
          <w:numId w:val="17"/>
        </w:numPr>
        <w:tabs>
          <w:tab w:val="left" w:pos="1062"/>
        </w:tabs>
        <w:autoSpaceDE w:val="0"/>
        <w:autoSpaceDN w:val="0"/>
        <w:spacing w:before="210" w:beforeLines="50" w:after="210" w:afterLines="50"/>
        <w:ind w:left="0" w:firstLine="452" w:firstLineChars="200"/>
        <w:contextualSpacing w:val="0"/>
        <w:rPr>
          <w:rFonts w:asciiTheme="minorEastAsia" w:hAnsiTheme="minorEastAsia"/>
        </w:rPr>
      </w:pPr>
      <w:r>
        <w:rPr>
          <w:rFonts w:hint="eastAsia" w:asciiTheme="minorEastAsia" w:hAnsiTheme="minorEastAsia"/>
          <w:spacing w:val="-7"/>
        </w:rPr>
        <w:t>、卖方应提供货物运至合同规定的最终目的地所需要的包装，以防止货物在运转</w:t>
      </w:r>
      <w:r>
        <w:rPr>
          <w:rFonts w:hint="eastAsia" w:asciiTheme="minorEastAsia" w:hAnsiTheme="minorEastAsia"/>
          <w:spacing w:val="-10"/>
        </w:rPr>
        <w:t>中损坏。这类包装应采取防漏、防晒、防腐蚀、防震动及防止其它损坏的必要保护措施。</w:t>
      </w:r>
      <w:r>
        <w:rPr>
          <w:rFonts w:hint="eastAsia" w:asciiTheme="minorEastAsia" w:hAnsiTheme="minorEastAsia"/>
        </w:rPr>
        <w:t>卖方应承担由于其包装或其防护措施不妥而引起货物锈蚀、损坏和丢失的任何损失责任和费用。</w:t>
      </w:r>
    </w:p>
    <w:p>
      <w:pPr>
        <w:pStyle w:val="17"/>
        <w:spacing w:before="210" w:beforeLines="50" w:after="210" w:afterLines="50"/>
        <w:ind w:left="0" w:firstLine="456" w:firstLineChars="200"/>
        <w:rPr>
          <w:rFonts w:asciiTheme="minorEastAsia" w:hAnsiTheme="minorEastAsia" w:eastAsiaTheme="minorEastAsia"/>
        </w:rPr>
      </w:pPr>
      <w:r>
        <w:rPr>
          <w:rFonts w:hint="eastAsia" w:asciiTheme="minorEastAsia" w:hAnsiTheme="minorEastAsia" w:eastAsiaTheme="minorEastAsia"/>
          <w:spacing w:val="-6"/>
          <w:lang w:val="en-US"/>
        </w:rPr>
        <w:t xml:space="preserve">7-3 </w:t>
      </w:r>
      <w:r>
        <w:rPr>
          <w:rFonts w:hint="eastAsia" w:asciiTheme="minorEastAsia" w:hAnsiTheme="minorEastAsia" w:eastAsiaTheme="minorEastAsia"/>
          <w:spacing w:val="-6"/>
        </w:rPr>
        <w:t>、货物的运输方式由卖方自行选择，但包装必须满足货物运输和装卸的要求，保</w:t>
      </w:r>
      <w:r>
        <w:rPr>
          <w:rFonts w:hint="eastAsia" w:asciiTheme="minorEastAsia" w:hAnsiTheme="minorEastAsia" w:eastAsiaTheme="minorEastAsia"/>
        </w:rPr>
        <w:t>证买方收到的是无任何损伤的货物。否则，因此造成的损失由卖方自行承担。</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8、伴随服务</w:t>
      </w:r>
    </w:p>
    <w:p>
      <w:pPr>
        <w:pStyle w:val="84"/>
        <w:widowControl w:val="0"/>
        <w:numPr>
          <w:ilvl w:val="1"/>
          <w:numId w:val="18"/>
        </w:numPr>
        <w:tabs>
          <w:tab w:val="left" w:pos="1062"/>
        </w:tabs>
        <w:autoSpaceDE w:val="0"/>
        <w:autoSpaceDN w:val="0"/>
        <w:spacing w:before="210" w:beforeLines="50" w:after="210" w:afterLines="50"/>
        <w:ind w:left="0" w:firstLine="456" w:firstLineChars="200"/>
        <w:contextualSpacing w:val="0"/>
        <w:rPr>
          <w:rFonts w:asciiTheme="minorEastAsia" w:hAnsiTheme="minorEastAsia"/>
        </w:rPr>
      </w:pPr>
      <w:r>
        <w:rPr>
          <w:rFonts w:hint="eastAsia" w:asciiTheme="minorEastAsia" w:hAnsiTheme="minorEastAsia"/>
          <w:spacing w:val="-6"/>
        </w:rPr>
        <w:t>、卖方必须在合同生效后三十</w:t>
      </w:r>
      <w:r>
        <w:rPr>
          <w:rFonts w:hint="eastAsia" w:asciiTheme="minorEastAsia" w:hAnsiTheme="minorEastAsia"/>
        </w:rPr>
        <w:t>(30)</w:t>
      </w:r>
      <w:r>
        <w:rPr>
          <w:rFonts w:hint="eastAsia" w:asciiTheme="minorEastAsia" w:hAnsiTheme="minorEastAsia"/>
          <w:spacing w:val="-2"/>
        </w:rPr>
        <w:t>天内向买方提交所供货物的技术文件</w:t>
      </w:r>
      <w:r>
        <w:rPr>
          <w:rFonts w:hint="eastAsia" w:asciiTheme="minorEastAsia" w:hAnsiTheme="minorEastAsia"/>
        </w:rPr>
        <w:t>（中文技术文件</w:t>
      </w:r>
      <w:r>
        <w:rPr>
          <w:rFonts w:hint="eastAsia" w:asciiTheme="minorEastAsia" w:hAnsiTheme="minorEastAsia"/>
          <w:spacing w:val="-8"/>
        </w:rPr>
        <w:t>）</w:t>
      </w:r>
      <w:r>
        <w:rPr>
          <w:rFonts w:hint="eastAsia" w:asciiTheme="minorEastAsia" w:hAnsiTheme="minorEastAsia"/>
          <w:spacing w:val="-9"/>
        </w:rPr>
        <w:t>，例如：产品说明、图纸、操作手册、使用说明、维护手册和／或服务指南等。</w:t>
      </w:r>
    </w:p>
    <w:p>
      <w:pPr>
        <w:pStyle w:val="84"/>
        <w:widowControl w:val="0"/>
        <w:numPr>
          <w:ilvl w:val="1"/>
          <w:numId w:val="18"/>
        </w:numPr>
        <w:tabs>
          <w:tab w:val="left" w:pos="1062"/>
        </w:tabs>
        <w:autoSpaceDE w:val="0"/>
        <w:autoSpaceDN w:val="0"/>
        <w:spacing w:before="210" w:beforeLines="50" w:after="210" w:afterLines="50"/>
        <w:ind w:left="0" w:firstLine="448" w:firstLineChars="200"/>
        <w:contextualSpacing w:val="0"/>
        <w:rPr>
          <w:rFonts w:asciiTheme="minorEastAsia" w:hAnsiTheme="minorEastAsia"/>
        </w:rPr>
      </w:pPr>
      <w:r>
        <w:rPr>
          <w:rFonts w:hint="eastAsia" w:asciiTheme="minorEastAsia" w:hAnsiTheme="minorEastAsia"/>
          <w:spacing w:val="-8"/>
        </w:rPr>
        <w:t>、卖方应向买方提供下列所有服务，包括本项目招标文件“商务条款”与“技术</w:t>
      </w:r>
      <w:r>
        <w:rPr>
          <w:rFonts w:hint="eastAsia" w:asciiTheme="minorEastAsia" w:hAnsiTheme="minorEastAsia"/>
        </w:rPr>
        <w:t>规格与要求”中规定的附加服务（如果有的话）：</w:t>
      </w:r>
    </w:p>
    <w:p>
      <w:pPr>
        <w:pStyle w:val="84"/>
        <w:widowControl w:val="0"/>
        <w:numPr>
          <w:ilvl w:val="0"/>
          <w:numId w:val="19"/>
        </w:numPr>
        <w:tabs>
          <w:tab w:val="left" w:pos="1302"/>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实施或监督所供货物的现场组装和/或试运行；</w:t>
      </w:r>
    </w:p>
    <w:p>
      <w:pPr>
        <w:pStyle w:val="84"/>
        <w:widowControl w:val="0"/>
        <w:numPr>
          <w:ilvl w:val="0"/>
          <w:numId w:val="19"/>
        </w:numPr>
        <w:tabs>
          <w:tab w:val="left" w:pos="1302"/>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提供货物组装和/或维修所需的工具；</w:t>
      </w:r>
    </w:p>
    <w:p>
      <w:pPr>
        <w:pStyle w:val="84"/>
        <w:widowControl w:val="0"/>
        <w:numPr>
          <w:ilvl w:val="0"/>
          <w:numId w:val="19"/>
        </w:numPr>
        <w:tabs>
          <w:tab w:val="left" w:pos="1302"/>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为所供货物的每一适当的单台设备提供详细的操作和维护手册；</w:t>
      </w:r>
    </w:p>
    <w:p>
      <w:pPr>
        <w:pStyle w:val="84"/>
        <w:widowControl w:val="0"/>
        <w:numPr>
          <w:ilvl w:val="0"/>
          <w:numId w:val="19"/>
        </w:numPr>
        <w:tabs>
          <w:tab w:val="left" w:pos="1302"/>
        </w:tabs>
        <w:autoSpaceDE w:val="0"/>
        <w:autoSpaceDN w:val="0"/>
        <w:spacing w:before="210" w:beforeLines="50" w:after="210" w:afterLines="50"/>
        <w:ind w:left="0" w:firstLine="476" w:firstLineChars="200"/>
        <w:contextualSpacing w:val="0"/>
        <w:rPr>
          <w:rFonts w:asciiTheme="minorEastAsia" w:hAnsiTheme="minorEastAsia"/>
        </w:rPr>
      </w:pPr>
      <w:r>
        <w:rPr>
          <w:rFonts w:hint="eastAsia" w:asciiTheme="minorEastAsia" w:hAnsiTheme="minorEastAsia"/>
          <w:spacing w:val="-1"/>
        </w:rPr>
        <w:t>在双方商定的一定期限内对所供货物实施运行或监督或维护或修理，但前提</w:t>
      </w:r>
      <w:r>
        <w:rPr>
          <w:rFonts w:hint="eastAsia" w:asciiTheme="minorEastAsia" w:hAnsiTheme="minorEastAsia"/>
          <w:spacing w:val="-4"/>
        </w:rPr>
        <w:t>条件是该服务并不能免除卖方在合同保证期内所承担的义务；</w:t>
      </w:r>
    </w:p>
    <w:p>
      <w:pPr>
        <w:pStyle w:val="84"/>
        <w:widowControl w:val="0"/>
        <w:numPr>
          <w:ilvl w:val="0"/>
          <w:numId w:val="19"/>
        </w:numPr>
        <w:tabs>
          <w:tab w:val="left" w:pos="1302"/>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在卖方或制造厂和/</w:t>
      </w:r>
      <w:r>
        <w:rPr>
          <w:rFonts w:hint="eastAsia" w:asciiTheme="minorEastAsia" w:hAnsiTheme="minorEastAsia"/>
          <w:spacing w:val="-3"/>
        </w:rPr>
        <w:t>或在项目现场就所供货物的组装、试运行、运行、维护和</w:t>
      </w:r>
      <w:r>
        <w:rPr>
          <w:rFonts w:hint="eastAsia" w:asciiTheme="minorEastAsia" w:hAnsiTheme="minorEastAsia"/>
          <w:spacing w:val="-17"/>
        </w:rPr>
        <w:t xml:space="preserve">/ </w:t>
      </w:r>
      <w:r>
        <w:rPr>
          <w:rFonts w:hint="eastAsia" w:asciiTheme="minorEastAsia" w:hAnsiTheme="minorEastAsia"/>
        </w:rPr>
        <w:t>或修理、软硬件升级对买方人员进行培训。</w:t>
      </w:r>
    </w:p>
    <w:p>
      <w:pPr>
        <w:pStyle w:val="84"/>
        <w:widowControl w:val="0"/>
        <w:numPr>
          <w:ilvl w:val="1"/>
          <w:numId w:val="18"/>
        </w:numPr>
        <w:tabs>
          <w:tab w:val="left" w:pos="1062"/>
        </w:tabs>
        <w:autoSpaceDE w:val="0"/>
        <w:autoSpaceDN w:val="0"/>
        <w:spacing w:before="210" w:beforeLines="50" w:after="210" w:afterLines="50"/>
        <w:ind w:left="0" w:firstLine="448" w:firstLineChars="200"/>
        <w:contextualSpacing w:val="0"/>
        <w:rPr>
          <w:rFonts w:asciiTheme="minorEastAsia" w:hAnsiTheme="minorEastAsia"/>
        </w:rPr>
      </w:pPr>
      <w:r>
        <w:rPr>
          <w:rFonts w:hint="eastAsia" w:asciiTheme="minorEastAsia" w:hAnsiTheme="minorEastAsia"/>
          <w:spacing w:val="-8"/>
        </w:rPr>
        <w:t>、卖方应提供本项目招标文件“商务条款”和“技术规格与要求”中规定的所有</w:t>
      </w:r>
      <w:r>
        <w:rPr>
          <w:rFonts w:hint="eastAsia" w:asciiTheme="minorEastAsia" w:hAnsiTheme="minorEastAsia"/>
        </w:rPr>
        <w:t>服务。为履行要求的伴随服务的报价或双方商定的费用应包括在合同价中。</w:t>
      </w:r>
    </w:p>
    <w:p>
      <w:pPr>
        <w:pStyle w:val="84"/>
        <w:widowControl w:val="0"/>
        <w:numPr>
          <w:ilvl w:val="1"/>
          <w:numId w:val="18"/>
        </w:numPr>
        <w:tabs>
          <w:tab w:val="left" w:pos="1062"/>
        </w:tabs>
        <w:autoSpaceDE w:val="0"/>
        <w:autoSpaceDN w:val="0"/>
        <w:spacing w:before="210" w:beforeLines="50" w:after="210" w:afterLines="50"/>
        <w:ind w:left="0" w:firstLine="448" w:firstLineChars="200"/>
        <w:contextualSpacing w:val="0"/>
        <w:rPr>
          <w:rFonts w:asciiTheme="minorEastAsia" w:hAnsiTheme="minorEastAsia"/>
        </w:rPr>
      </w:pPr>
      <w:r>
        <w:rPr>
          <w:rFonts w:hint="eastAsia" w:asciiTheme="minorEastAsia" w:hAnsiTheme="minorEastAsia"/>
          <w:spacing w:val="-8"/>
        </w:rPr>
        <w:t>、如果卖方或制造厂提供的伴随服务的费用未含在货物的合同价中，双方应事先</w:t>
      </w:r>
      <w:r>
        <w:rPr>
          <w:rFonts w:hint="eastAsia" w:asciiTheme="minorEastAsia" w:hAnsiTheme="minorEastAsia"/>
        </w:rPr>
        <w:t>就其达成协议，但其费用单价不应超过卖方向其他人提供类似服务所收取的现行单价。</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9、备品备件</w:t>
      </w:r>
    </w:p>
    <w:p>
      <w:pPr>
        <w:pStyle w:val="84"/>
        <w:widowControl w:val="0"/>
        <w:numPr>
          <w:ilvl w:val="1"/>
          <w:numId w:val="20"/>
        </w:numPr>
        <w:tabs>
          <w:tab w:val="left" w:pos="1062"/>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、卖方可能被要求提供下列与备品备件有关的材料、通知和资料：</w:t>
      </w:r>
    </w:p>
    <w:p>
      <w:pPr>
        <w:pStyle w:val="84"/>
        <w:widowControl w:val="0"/>
        <w:numPr>
          <w:ilvl w:val="0"/>
          <w:numId w:val="21"/>
        </w:numPr>
        <w:tabs>
          <w:tab w:val="left" w:pos="1302"/>
        </w:tabs>
        <w:autoSpaceDE w:val="0"/>
        <w:autoSpaceDN w:val="0"/>
        <w:spacing w:before="210" w:beforeLines="50" w:after="210" w:afterLines="50"/>
        <w:ind w:left="0" w:firstLine="468" w:firstLineChars="200"/>
        <w:contextualSpacing w:val="0"/>
        <w:rPr>
          <w:rFonts w:asciiTheme="minorEastAsia" w:hAnsiTheme="minorEastAsia"/>
        </w:rPr>
      </w:pPr>
      <w:r>
        <w:rPr>
          <w:rFonts w:hint="eastAsia" w:asciiTheme="minorEastAsia" w:hAnsiTheme="minorEastAsia"/>
          <w:spacing w:val="-3"/>
        </w:rPr>
        <w:t>买方从卖方选购备品备件，但前提条件是该选择并不能免除卖方在合同保证</w:t>
      </w:r>
      <w:r>
        <w:rPr>
          <w:rFonts w:hint="eastAsia" w:asciiTheme="minorEastAsia" w:hAnsiTheme="minorEastAsia"/>
          <w:spacing w:val="-4"/>
        </w:rPr>
        <w:t>期内所承担的义务；</w:t>
      </w:r>
    </w:p>
    <w:p>
      <w:pPr>
        <w:pStyle w:val="84"/>
        <w:widowControl w:val="0"/>
        <w:numPr>
          <w:ilvl w:val="0"/>
          <w:numId w:val="21"/>
        </w:numPr>
        <w:tabs>
          <w:tab w:val="left" w:pos="1302"/>
        </w:tabs>
        <w:autoSpaceDE w:val="0"/>
        <w:autoSpaceDN w:val="0"/>
        <w:spacing w:before="210" w:beforeLines="50" w:after="210" w:afterLines="50"/>
        <w:ind w:left="0" w:firstLine="472" w:firstLineChars="200"/>
        <w:contextualSpacing w:val="0"/>
        <w:rPr>
          <w:rFonts w:asciiTheme="minorEastAsia" w:hAnsiTheme="minorEastAsia"/>
        </w:rPr>
      </w:pPr>
      <w:r>
        <w:rPr>
          <w:rFonts w:hint="eastAsia" w:asciiTheme="minorEastAsia" w:hAnsiTheme="minorEastAsia"/>
          <w:spacing w:val="-2"/>
        </w:rPr>
        <w:t>在备品备件停止生产的情况下，卖方应事先将要停止生产的计划通知买方使</w:t>
      </w:r>
      <w:r>
        <w:rPr>
          <w:rFonts w:hint="eastAsia" w:asciiTheme="minorEastAsia" w:hAnsiTheme="minorEastAsia"/>
          <w:spacing w:val="-4"/>
        </w:rPr>
        <w:t>买方有足够的时间采购所需的备品备件；</w:t>
      </w:r>
    </w:p>
    <w:p>
      <w:pPr>
        <w:pStyle w:val="84"/>
        <w:widowControl w:val="0"/>
        <w:numPr>
          <w:ilvl w:val="0"/>
          <w:numId w:val="21"/>
        </w:numPr>
        <w:tabs>
          <w:tab w:val="left" w:pos="1302"/>
        </w:tabs>
        <w:autoSpaceDE w:val="0"/>
        <w:autoSpaceDN w:val="0"/>
        <w:spacing w:before="210" w:beforeLines="50" w:after="210" w:afterLines="50"/>
        <w:ind w:left="0" w:firstLine="464" w:firstLineChars="200"/>
        <w:contextualSpacing w:val="0"/>
        <w:rPr>
          <w:rFonts w:asciiTheme="minorEastAsia" w:hAnsiTheme="minorEastAsia"/>
        </w:rPr>
      </w:pPr>
      <w:r>
        <w:rPr>
          <w:rFonts w:hint="eastAsia" w:asciiTheme="minorEastAsia" w:hAnsiTheme="minorEastAsia"/>
          <w:spacing w:val="-4"/>
        </w:rPr>
        <w:t>在备品备件停止生产后，如果买方要求，卖方应免费向买方提供备品备件的蓝</w:t>
      </w:r>
      <w:r>
        <w:rPr>
          <w:rFonts w:hint="eastAsia" w:asciiTheme="minorEastAsia" w:hAnsiTheme="minorEastAsia"/>
        </w:rPr>
        <w:t>图、图纸和规格。</w:t>
      </w:r>
    </w:p>
    <w:p>
      <w:pPr>
        <w:pStyle w:val="84"/>
        <w:widowControl w:val="0"/>
        <w:numPr>
          <w:ilvl w:val="1"/>
          <w:numId w:val="20"/>
        </w:numPr>
        <w:tabs>
          <w:tab w:val="left" w:pos="1062"/>
        </w:tabs>
        <w:autoSpaceDE w:val="0"/>
        <w:autoSpaceDN w:val="0"/>
        <w:spacing w:before="210" w:beforeLines="50" w:after="210" w:afterLines="50"/>
        <w:ind w:left="0" w:firstLine="420" w:firstLineChars="200"/>
        <w:contextualSpacing w:val="0"/>
        <w:rPr>
          <w:rFonts w:asciiTheme="minorEastAsia" w:hAnsiTheme="minorEastAsia"/>
        </w:rPr>
      </w:pPr>
      <w:r>
        <w:rPr>
          <w:rFonts w:hint="eastAsia" w:asciiTheme="minorEastAsia" w:hAnsiTheme="minorEastAsia"/>
          <w:spacing w:val="-15"/>
        </w:rPr>
        <w:t>、卖方应按照本项目招标文件“采购内容及需求”中的规定提供所需的备品备件。</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10、质量保证</w:t>
      </w:r>
    </w:p>
    <w:p>
      <w:pPr>
        <w:pStyle w:val="84"/>
        <w:widowControl w:val="0"/>
        <w:numPr>
          <w:ilvl w:val="1"/>
          <w:numId w:val="22"/>
        </w:numPr>
        <w:tabs>
          <w:tab w:val="left" w:pos="1182"/>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、质量保证期为终验合格之日起</w:t>
      </w:r>
      <w:r>
        <w:rPr>
          <w:rFonts w:hint="eastAsia" w:asciiTheme="minorEastAsia" w:hAnsiTheme="minorEastAsia"/>
          <w:u w:val="single"/>
        </w:rPr>
        <w:t xml:space="preserve"> 不少于12 </w:t>
      </w:r>
      <w:r>
        <w:rPr>
          <w:rFonts w:hint="eastAsia" w:asciiTheme="minorEastAsia" w:hAnsiTheme="minorEastAsia"/>
        </w:rPr>
        <w:t>个月。</w:t>
      </w:r>
    </w:p>
    <w:p>
      <w:pPr>
        <w:pStyle w:val="84"/>
        <w:widowControl w:val="0"/>
        <w:numPr>
          <w:ilvl w:val="1"/>
          <w:numId w:val="22"/>
        </w:numPr>
        <w:tabs>
          <w:tab w:val="left" w:pos="1182"/>
        </w:tabs>
        <w:autoSpaceDE w:val="0"/>
        <w:autoSpaceDN w:val="0"/>
        <w:spacing w:before="210" w:beforeLines="50" w:after="210" w:afterLines="50"/>
        <w:ind w:left="0" w:firstLine="452" w:firstLineChars="200"/>
        <w:contextualSpacing w:val="0"/>
        <w:rPr>
          <w:rFonts w:asciiTheme="minorEastAsia" w:hAnsiTheme="minorEastAsia"/>
        </w:rPr>
      </w:pPr>
      <w:r>
        <w:rPr>
          <w:rFonts w:hint="eastAsia" w:asciiTheme="minorEastAsia" w:hAnsiTheme="minorEastAsia"/>
          <w:spacing w:val="-7"/>
        </w:rPr>
        <w:t xml:space="preserve">、卖方应保证合同项下所供货物是合同规定厂家制造的、全新的、未使用过的， </w:t>
      </w:r>
      <w:r>
        <w:rPr>
          <w:rFonts w:hint="eastAsia" w:asciiTheme="minorEastAsia" w:hAnsiTheme="minorEastAsia"/>
        </w:rPr>
        <w:t>并完全符合合同规定的质量、规格和性能要求的合格产品。卖方应保证其货物在正确安装、正常使用和保养条件下，在其使用寿命期内应具有满意的性能。在货物的质量保证期内，卖方对由于设计、工艺或材料的缺陷而产生的故障负责。</w:t>
      </w:r>
    </w:p>
    <w:p>
      <w:pPr>
        <w:pStyle w:val="84"/>
        <w:widowControl w:val="0"/>
        <w:numPr>
          <w:ilvl w:val="1"/>
          <w:numId w:val="22"/>
        </w:numPr>
        <w:tabs>
          <w:tab w:val="left" w:pos="1184"/>
        </w:tabs>
        <w:autoSpaceDE w:val="0"/>
        <w:autoSpaceDN w:val="0"/>
        <w:spacing w:before="210" w:beforeLines="50" w:after="210" w:afterLines="50"/>
        <w:ind w:left="0" w:firstLine="480" w:firstLineChars="200"/>
        <w:contextualSpacing w:val="0"/>
        <w:jc w:val="both"/>
        <w:rPr>
          <w:rFonts w:asciiTheme="minorEastAsia" w:hAnsiTheme="minorEastAsia"/>
        </w:rPr>
      </w:pPr>
      <w:r>
        <w:rPr>
          <w:rFonts w:hint="eastAsia" w:asciiTheme="minorEastAsia" w:hAnsiTheme="minorEastAsia"/>
        </w:rPr>
        <w:t>、根据检验结果或者在质量保证期内，如果货物的数量、质量或规格与合同不符，或证实货物是有缺陷的，包括潜在的缺陷，买方应尽快以书面形式向卖方提出所发现的缺陷。</w:t>
      </w:r>
    </w:p>
    <w:p>
      <w:pPr>
        <w:pStyle w:val="84"/>
        <w:widowControl w:val="0"/>
        <w:numPr>
          <w:ilvl w:val="1"/>
          <w:numId w:val="22"/>
        </w:numPr>
        <w:tabs>
          <w:tab w:val="left" w:pos="1184"/>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、卖方收到通知后应在招标文件规定的时间内以合理的速度免费维修或更换有缺陷的货物或部件。</w:t>
      </w:r>
    </w:p>
    <w:p>
      <w:pPr>
        <w:pStyle w:val="84"/>
        <w:widowControl w:val="0"/>
        <w:numPr>
          <w:ilvl w:val="1"/>
          <w:numId w:val="22"/>
        </w:numPr>
        <w:tabs>
          <w:tab w:val="left" w:pos="1184"/>
        </w:tabs>
        <w:autoSpaceDE w:val="0"/>
        <w:autoSpaceDN w:val="0"/>
        <w:spacing w:before="210" w:beforeLines="50" w:after="210" w:afterLines="50"/>
        <w:ind w:left="0" w:firstLine="480" w:firstLineChars="200"/>
        <w:contextualSpacing w:val="0"/>
        <w:jc w:val="both"/>
        <w:rPr>
          <w:rFonts w:asciiTheme="minorEastAsia" w:hAnsiTheme="minorEastAsia"/>
        </w:rPr>
      </w:pPr>
      <w:r>
        <w:rPr>
          <w:rFonts w:hint="eastAsia" w:asciiTheme="minorEastAsia" w:hAnsiTheme="minorEastAsia"/>
        </w:rPr>
        <w:t>、如果卖方收到通知后在招标文件规定的时间内没有及时修补缺陷，买方可提出索赔，并可采取必要的补救措施，但其风险和费用将由卖方承担，买方根据合同规定对卖方行使的其他权力不受影响。</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11、索赔</w:t>
      </w:r>
    </w:p>
    <w:p>
      <w:pPr>
        <w:pStyle w:val="84"/>
        <w:widowControl w:val="0"/>
        <w:numPr>
          <w:ilvl w:val="1"/>
          <w:numId w:val="23"/>
        </w:numPr>
        <w:tabs>
          <w:tab w:val="left" w:pos="1184"/>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、如果卖方对偏差负有责任，而买方在安装、调试、验收和质量保证期内提出了索赔，卖方应按照买方同意的下列一种或几种方式结合起来解决索赔事宜：</w:t>
      </w:r>
    </w:p>
    <w:p>
      <w:pPr>
        <w:pStyle w:val="84"/>
        <w:widowControl w:val="0"/>
        <w:numPr>
          <w:ilvl w:val="0"/>
          <w:numId w:val="24"/>
        </w:numPr>
        <w:tabs>
          <w:tab w:val="left" w:pos="1302"/>
        </w:tabs>
        <w:autoSpaceDE w:val="0"/>
        <w:autoSpaceDN w:val="0"/>
        <w:spacing w:before="210" w:beforeLines="50" w:after="210" w:afterLines="50"/>
        <w:ind w:left="0" w:firstLine="472" w:firstLineChars="200"/>
        <w:contextualSpacing w:val="0"/>
        <w:jc w:val="both"/>
        <w:rPr>
          <w:rFonts w:asciiTheme="minorEastAsia" w:hAnsiTheme="minorEastAsia"/>
        </w:rPr>
      </w:pPr>
      <w:r>
        <w:rPr>
          <w:rFonts w:hint="eastAsia" w:asciiTheme="minorEastAsia" w:hAnsiTheme="minorEastAsia"/>
          <w:spacing w:val="-2"/>
        </w:rPr>
        <w:t>卖方同意退货并用合同规定的货币将货款退还给买方，并承担由此发生的一</w:t>
      </w:r>
      <w:r>
        <w:rPr>
          <w:rFonts w:hint="eastAsia" w:asciiTheme="minorEastAsia" w:hAnsiTheme="minorEastAsia"/>
          <w:spacing w:val="-4"/>
        </w:rPr>
        <w:t>切损失和费用，包括利息、银行手续费、运费、保险费、检验费、仓储费、装卸费以及为看管和保护退回货物所需的其它必要费用。</w:t>
      </w:r>
    </w:p>
    <w:p>
      <w:pPr>
        <w:pStyle w:val="84"/>
        <w:widowControl w:val="0"/>
        <w:numPr>
          <w:ilvl w:val="0"/>
          <w:numId w:val="24"/>
        </w:numPr>
        <w:tabs>
          <w:tab w:val="left" w:pos="1302"/>
        </w:tabs>
        <w:autoSpaceDE w:val="0"/>
        <w:autoSpaceDN w:val="0"/>
        <w:spacing w:before="210" w:beforeLines="50" w:after="210" w:afterLines="50"/>
        <w:ind w:left="0" w:firstLine="460" w:firstLineChars="200"/>
        <w:contextualSpacing w:val="0"/>
        <w:rPr>
          <w:rFonts w:asciiTheme="minorEastAsia" w:hAnsiTheme="minorEastAsia"/>
        </w:rPr>
      </w:pPr>
      <w:r>
        <w:rPr>
          <w:rFonts w:hint="eastAsia" w:asciiTheme="minorEastAsia" w:hAnsiTheme="minorEastAsia"/>
          <w:spacing w:val="-5"/>
        </w:rPr>
        <w:t>根据货物的偏差情况、损坏程度、以及买方所遭受损失的金额，经买卖双方商</w:t>
      </w:r>
      <w:r>
        <w:rPr>
          <w:rFonts w:hint="eastAsia" w:asciiTheme="minorEastAsia" w:hAnsiTheme="minorEastAsia"/>
        </w:rPr>
        <w:t>定降低货物的价格。</w:t>
      </w:r>
    </w:p>
    <w:p>
      <w:pPr>
        <w:pStyle w:val="84"/>
        <w:widowControl w:val="0"/>
        <w:numPr>
          <w:ilvl w:val="0"/>
          <w:numId w:val="24"/>
        </w:numPr>
        <w:tabs>
          <w:tab w:val="left" w:pos="1306"/>
        </w:tabs>
        <w:autoSpaceDE w:val="0"/>
        <w:autoSpaceDN w:val="0"/>
        <w:spacing w:before="210" w:beforeLines="50" w:after="210" w:afterLines="50"/>
        <w:ind w:left="0" w:firstLine="480" w:firstLineChars="200"/>
        <w:contextualSpacing w:val="0"/>
        <w:jc w:val="both"/>
        <w:rPr>
          <w:rFonts w:asciiTheme="minorEastAsia" w:hAnsiTheme="minorEastAsia"/>
        </w:rPr>
      </w:pPr>
      <w:r>
        <w:rPr>
          <w:rFonts w:hint="eastAsia" w:asciiTheme="minorEastAsia" w:hAnsiTheme="minorEastAsia"/>
        </w:rPr>
        <w:t>用符合合同规定的规格、质量和性能要求的新零件、部件和/或设备来更换有缺陷的部分和/</w:t>
      </w:r>
      <w:r>
        <w:rPr>
          <w:rFonts w:hint="eastAsia" w:asciiTheme="minorEastAsia" w:hAnsiTheme="minorEastAsia"/>
          <w:spacing w:val="-7"/>
        </w:rPr>
        <w:t>或修补缺陷部分，卖方应承担一切费用和风险并负担买方蒙受的全部直接</w:t>
      </w:r>
      <w:r>
        <w:rPr>
          <w:rFonts w:hint="eastAsia" w:asciiTheme="minorEastAsia" w:hAnsiTheme="minorEastAsia"/>
          <w:spacing w:val="-8"/>
        </w:rPr>
        <w:t>损失费用。同时，卖方应按合同条款第</w:t>
      </w:r>
      <w:r>
        <w:rPr>
          <w:rFonts w:hint="eastAsia" w:asciiTheme="minorEastAsia" w:hAnsiTheme="minorEastAsia"/>
        </w:rPr>
        <w:t>10-1</w:t>
      </w:r>
      <w:r>
        <w:rPr>
          <w:rFonts w:hint="eastAsia" w:asciiTheme="minorEastAsia" w:hAnsiTheme="minorEastAsia"/>
          <w:spacing w:val="-5"/>
        </w:rPr>
        <w:t>条规定，相应延长所更换货物的质量保证期。</w:t>
      </w:r>
    </w:p>
    <w:p>
      <w:pPr>
        <w:pStyle w:val="84"/>
        <w:widowControl w:val="0"/>
        <w:numPr>
          <w:ilvl w:val="1"/>
          <w:numId w:val="23"/>
        </w:numPr>
        <w:tabs>
          <w:tab w:val="left" w:pos="1184"/>
        </w:tabs>
        <w:autoSpaceDE w:val="0"/>
        <w:autoSpaceDN w:val="0"/>
        <w:spacing w:before="210" w:beforeLines="50" w:after="210" w:afterLines="50"/>
        <w:ind w:left="0" w:firstLine="480" w:firstLineChars="200"/>
        <w:contextualSpacing w:val="0"/>
        <w:jc w:val="both"/>
        <w:rPr>
          <w:rFonts w:asciiTheme="minorEastAsia" w:hAnsiTheme="minorEastAsia"/>
        </w:rPr>
      </w:pPr>
      <w:r>
        <w:rPr>
          <w:rFonts w:hint="eastAsia" w:asciiTheme="minorEastAsia" w:hAnsiTheme="minorEastAsia"/>
        </w:rPr>
        <w:t>、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从卖方交纳的履约保证金中扣回索赔金额。若索赔金额超过未付货款或履约保证金的， 卖方必须用已收货款进行弥补。</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12、变更指令</w:t>
      </w:r>
    </w:p>
    <w:p>
      <w:pPr>
        <w:pStyle w:val="84"/>
        <w:widowControl w:val="0"/>
        <w:numPr>
          <w:ilvl w:val="1"/>
          <w:numId w:val="25"/>
        </w:numPr>
        <w:tabs>
          <w:tab w:val="left" w:pos="1184"/>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、买方可以在任何时候书面向卖方发出指令，在本合同的一般范围内变更下述一项或几项：</w:t>
      </w:r>
    </w:p>
    <w:p>
      <w:pPr>
        <w:pStyle w:val="84"/>
        <w:widowControl w:val="0"/>
        <w:numPr>
          <w:ilvl w:val="0"/>
          <w:numId w:val="26"/>
        </w:numPr>
        <w:tabs>
          <w:tab w:val="left" w:pos="1302"/>
        </w:tabs>
        <w:autoSpaceDE w:val="0"/>
        <w:autoSpaceDN w:val="0"/>
        <w:spacing w:before="210" w:beforeLines="50" w:after="210" w:afterLines="50"/>
        <w:ind w:left="0" w:firstLine="440" w:firstLineChars="200"/>
        <w:contextualSpacing w:val="0"/>
        <w:rPr>
          <w:rFonts w:asciiTheme="minorEastAsia" w:hAnsiTheme="minorEastAsia"/>
        </w:rPr>
      </w:pPr>
      <w:r>
        <w:rPr>
          <w:rFonts w:hint="eastAsia" w:asciiTheme="minorEastAsia" w:hAnsiTheme="minorEastAsia"/>
          <w:spacing w:val="-10"/>
        </w:rPr>
        <w:t>本合同项下提供的货物是专为买方制造时，变更图纸、设计或规格；</w:t>
      </w:r>
    </w:p>
    <w:p>
      <w:pPr>
        <w:pStyle w:val="84"/>
        <w:widowControl w:val="0"/>
        <w:numPr>
          <w:ilvl w:val="0"/>
          <w:numId w:val="26"/>
        </w:numPr>
        <w:tabs>
          <w:tab w:val="left" w:pos="1302"/>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运输或包装的方法；</w:t>
      </w:r>
    </w:p>
    <w:p>
      <w:pPr>
        <w:pStyle w:val="84"/>
        <w:widowControl w:val="0"/>
        <w:numPr>
          <w:ilvl w:val="0"/>
          <w:numId w:val="26"/>
        </w:numPr>
        <w:tabs>
          <w:tab w:val="left" w:pos="1302"/>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交货地点；</w:t>
      </w:r>
    </w:p>
    <w:p>
      <w:pPr>
        <w:pStyle w:val="84"/>
        <w:widowControl w:val="0"/>
        <w:numPr>
          <w:ilvl w:val="0"/>
          <w:numId w:val="26"/>
        </w:numPr>
        <w:tabs>
          <w:tab w:val="left" w:pos="1302"/>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卖方提供的服务。</w:t>
      </w:r>
    </w:p>
    <w:p>
      <w:pPr>
        <w:pStyle w:val="84"/>
        <w:widowControl w:val="0"/>
        <w:numPr>
          <w:ilvl w:val="1"/>
          <w:numId w:val="25"/>
        </w:numPr>
        <w:tabs>
          <w:tab w:val="left" w:pos="1156"/>
        </w:tabs>
        <w:autoSpaceDE w:val="0"/>
        <w:autoSpaceDN w:val="0"/>
        <w:spacing w:before="210" w:beforeLines="50" w:after="210" w:afterLines="50"/>
        <w:ind w:left="0" w:firstLine="476" w:firstLineChars="200"/>
        <w:contextualSpacing w:val="0"/>
        <w:jc w:val="both"/>
        <w:rPr>
          <w:rFonts w:asciiTheme="minorEastAsia" w:hAnsiTheme="minorEastAsia"/>
        </w:rPr>
      </w:pPr>
      <w:r>
        <w:rPr>
          <w:rFonts w:hint="eastAsia" w:asciiTheme="minorEastAsia" w:hAnsiTheme="minorEastAsia"/>
          <w:spacing w:val="-1"/>
        </w:rPr>
        <w:t>、如果上述变更使卖方履行合同义务的费用或时间增加或减少，将对合同价或交货时间或两者进行公平的调整，同时相应修改合同。卖方根据本条进行调整的要求必须在收到买方的变更指令后三十（30）天内提出。</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13、合同修改</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除了合同条款第12条的情况，不应对合同条款进行任何变更或修改，除非双方同意并签订书面的合同修改书。</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14、转让</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未经买方事先书面同意，卖方不得部分转让或全部转让其应履行的合同义务。15、卖方履约延误</w:t>
      </w:r>
    </w:p>
    <w:p>
      <w:pPr>
        <w:pStyle w:val="84"/>
        <w:widowControl w:val="0"/>
        <w:numPr>
          <w:ilvl w:val="1"/>
          <w:numId w:val="27"/>
        </w:numPr>
        <w:tabs>
          <w:tab w:val="left" w:pos="1182"/>
        </w:tabs>
        <w:autoSpaceDE w:val="0"/>
        <w:autoSpaceDN w:val="0"/>
        <w:spacing w:before="210" w:beforeLines="50" w:after="210" w:afterLines="50"/>
        <w:ind w:left="0" w:firstLine="452" w:firstLineChars="200"/>
        <w:contextualSpacing w:val="0"/>
        <w:rPr>
          <w:rFonts w:asciiTheme="minorEastAsia" w:hAnsiTheme="minorEastAsia"/>
        </w:rPr>
      </w:pPr>
      <w:r>
        <w:rPr>
          <w:rFonts w:hint="eastAsia" w:asciiTheme="minorEastAsia" w:hAnsiTheme="minorEastAsia"/>
          <w:spacing w:val="-7"/>
        </w:rPr>
        <w:t>、卖方应按照本项目招标文件“商务条款”中规定的交货时间交货和提供服务。</w:t>
      </w:r>
    </w:p>
    <w:p>
      <w:pPr>
        <w:pStyle w:val="84"/>
        <w:widowControl w:val="0"/>
        <w:numPr>
          <w:ilvl w:val="1"/>
          <w:numId w:val="27"/>
        </w:numPr>
        <w:tabs>
          <w:tab w:val="left" w:pos="1184"/>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、在履行合同过程中，如果卖方遇到妨碍按时交货和提供服务的情况时，应及</w:t>
      </w:r>
      <w:r>
        <w:rPr>
          <w:rFonts w:hint="eastAsia" w:asciiTheme="minorEastAsia" w:hAnsiTheme="minorEastAsia"/>
          <w:spacing w:val="-5"/>
        </w:rPr>
        <w:t xml:space="preserve">时以书面形式将拖延的事实、可能拖延的时间和原因通知买方。买方在收到卖方通知后， </w:t>
      </w:r>
      <w:r>
        <w:rPr>
          <w:rFonts w:hint="eastAsia" w:asciiTheme="minorEastAsia" w:hAnsiTheme="minorEastAsia"/>
        </w:rPr>
        <w:t>应尽快对情况进行评价，并确定是否同意延长交货时间以及是否收取误期赔偿费。延期应通过修改合同的方式由双方认可。</w:t>
      </w:r>
    </w:p>
    <w:p>
      <w:pPr>
        <w:pStyle w:val="84"/>
        <w:widowControl w:val="0"/>
        <w:numPr>
          <w:ilvl w:val="1"/>
          <w:numId w:val="27"/>
        </w:numPr>
        <w:tabs>
          <w:tab w:val="left" w:pos="1182"/>
        </w:tabs>
        <w:autoSpaceDE w:val="0"/>
        <w:autoSpaceDN w:val="0"/>
        <w:spacing w:before="210" w:beforeLines="50" w:after="210" w:afterLines="50"/>
        <w:ind w:left="0" w:firstLine="444" w:firstLineChars="200"/>
        <w:contextualSpacing w:val="0"/>
        <w:jc w:val="both"/>
        <w:rPr>
          <w:rFonts w:asciiTheme="minorEastAsia" w:hAnsiTheme="minorEastAsia"/>
        </w:rPr>
      </w:pPr>
      <w:r>
        <w:rPr>
          <w:rFonts w:hint="eastAsia" w:asciiTheme="minorEastAsia" w:hAnsiTheme="minorEastAsia"/>
          <w:spacing w:val="-9"/>
        </w:rPr>
        <w:t>、除合同条款第</w:t>
      </w:r>
      <w:r>
        <w:rPr>
          <w:rFonts w:hint="eastAsia" w:asciiTheme="minorEastAsia" w:hAnsiTheme="minorEastAsia"/>
        </w:rPr>
        <w:t>19条规定的情况外,除非拖延是根据合同条款第15-2</w:t>
      </w:r>
      <w:r>
        <w:rPr>
          <w:rFonts w:hint="eastAsia" w:asciiTheme="minorEastAsia" w:hAnsiTheme="minorEastAsia"/>
          <w:spacing w:val="-4"/>
        </w:rPr>
        <w:t>条的规定取</w:t>
      </w:r>
      <w:r>
        <w:rPr>
          <w:rFonts w:hint="eastAsia" w:asciiTheme="minorEastAsia" w:hAnsiTheme="minorEastAsia"/>
        </w:rPr>
        <w:t>得同意而不收取误期赔偿费之外，卖方延误交货，将按合同条款第16条的规定被收取误期赔偿费。</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16、误期赔偿费</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除合同条款第18条规定的情况外，如果卖方没有按照合同规定的时间交货和提供服务，买方应在不影响合同项下的其他补救措施的情况下，从合同价中扣除误期赔偿费。每延误一周的赔偿费按合同价的0.5％</w:t>
      </w:r>
      <w:r>
        <w:rPr>
          <w:rFonts w:hint="eastAsia" w:asciiTheme="minorEastAsia" w:hAnsiTheme="minorEastAsia" w:eastAsiaTheme="minorEastAsia"/>
          <w:spacing w:val="-8"/>
        </w:rPr>
        <w:t>计收，直至交货或提供服务为止。误期赔偿费的最</w:t>
      </w:r>
      <w:r>
        <w:rPr>
          <w:rFonts w:hint="eastAsia" w:asciiTheme="minorEastAsia" w:hAnsiTheme="minorEastAsia" w:eastAsiaTheme="minorEastAsia"/>
        </w:rPr>
        <w:t>高限额为合同价格的百分之五（5%）。一旦达到误期赔偿费的最高限额，买方可考虑根据合同条款18条的规定终止合同。</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17、违约终止合同</w:t>
      </w:r>
    </w:p>
    <w:p>
      <w:pPr>
        <w:pStyle w:val="84"/>
        <w:widowControl w:val="0"/>
        <w:numPr>
          <w:ilvl w:val="1"/>
          <w:numId w:val="28"/>
        </w:numPr>
        <w:tabs>
          <w:tab w:val="left" w:pos="1184"/>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、在买方对卖方违约而采取的任何补救措施不受影响的情况下，买方可向卖方发出书面违约通知书，提出终止部分或全部合同：</w:t>
      </w:r>
    </w:p>
    <w:p>
      <w:pPr>
        <w:pStyle w:val="84"/>
        <w:widowControl w:val="0"/>
        <w:numPr>
          <w:ilvl w:val="0"/>
          <w:numId w:val="29"/>
        </w:numPr>
        <w:tabs>
          <w:tab w:val="left" w:pos="1302"/>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如果卖方未能在合同规定的期限内或买方根据合同条款第14.2条的规定同意</w:t>
      </w:r>
      <w:r>
        <w:rPr>
          <w:rFonts w:hint="eastAsia" w:asciiTheme="minorEastAsia" w:hAnsiTheme="minorEastAsia"/>
          <w:spacing w:val="-5"/>
        </w:rPr>
        <w:t>延长的期限内提供部分或全部货物；或误期赔偿费达到最高限额。</w:t>
      </w:r>
    </w:p>
    <w:p>
      <w:pPr>
        <w:pStyle w:val="84"/>
        <w:widowControl w:val="0"/>
        <w:numPr>
          <w:ilvl w:val="0"/>
          <w:numId w:val="29"/>
        </w:numPr>
        <w:tabs>
          <w:tab w:val="left" w:pos="1302"/>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如果卖方未能履行合同规定的其它任何义务。</w:t>
      </w:r>
    </w:p>
    <w:p>
      <w:pPr>
        <w:pStyle w:val="84"/>
        <w:widowControl w:val="0"/>
        <w:numPr>
          <w:ilvl w:val="0"/>
          <w:numId w:val="29"/>
        </w:numPr>
        <w:tabs>
          <w:tab w:val="left" w:pos="1302"/>
        </w:tabs>
        <w:autoSpaceDE w:val="0"/>
        <w:autoSpaceDN w:val="0"/>
        <w:spacing w:before="210" w:beforeLines="50" w:after="210" w:afterLines="50"/>
        <w:ind w:left="0" w:firstLine="468" w:firstLineChars="200"/>
        <w:contextualSpacing w:val="0"/>
        <w:rPr>
          <w:rFonts w:asciiTheme="minorEastAsia" w:hAnsiTheme="minorEastAsia"/>
        </w:rPr>
      </w:pPr>
      <w:r>
        <w:rPr>
          <w:rFonts w:hint="eastAsia" w:asciiTheme="minorEastAsia" w:hAnsiTheme="minorEastAsia"/>
          <w:spacing w:val="-3"/>
        </w:rPr>
        <w:t>如果买方认为卖方在本合同的竞争和实施过程中有腐败和欺诈行为。为此目的</w:t>
      </w:r>
      <w:r>
        <w:rPr>
          <w:rFonts w:hint="eastAsia" w:asciiTheme="minorEastAsia" w:hAnsiTheme="minorEastAsia"/>
          <w:spacing w:val="-4"/>
        </w:rPr>
        <w:t>，定义下述条件：</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“腐败行为”是指提供、给予、接受或索取任何有价值的物品来影响买方在采购过程或合同实施过程中的行为。</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“欺诈行为”是指为了影响采购过程或合同实施过程而谎报或隐瞒事实，损害买方利益的行为。</w:t>
      </w:r>
    </w:p>
    <w:p>
      <w:pPr>
        <w:pStyle w:val="84"/>
        <w:widowControl w:val="0"/>
        <w:numPr>
          <w:ilvl w:val="1"/>
          <w:numId w:val="28"/>
        </w:numPr>
        <w:tabs>
          <w:tab w:val="left" w:pos="1184"/>
        </w:tabs>
        <w:autoSpaceDE w:val="0"/>
        <w:autoSpaceDN w:val="0"/>
        <w:spacing w:before="210" w:beforeLines="50" w:after="210" w:afterLines="50"/>
        <w:ind w:left="0" w:firstLine="480" w:firstLineChars="200"/>
        <w:contextualSpacing w:val="0"/>
        <w:jc w:val="both"/>
        <w:rPr>
          <w:rFonts w:asciiTheme="minorEastAsia" w:hAnsiTheme="minorEastAsia"/>
        </w:rPr>
      </w:pPr>
      <w:r>
        <w:rPr>
          <w:rFonts w:hint="eastAsia" w:asciiTheme="minorEastAsia" w:hAnsiTheme="minorEastAsia"/>
        </w:rPr>
        <w:t>、如果买方根据上述第17-1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18、不可抗力</w:t>
      </w:r>
    </w:p>
    <w:p>
      <w:pPr>
        <w:pStyle w:val="84"/>
        <w:widowControl w:val="0"/>
        <w:numPr>
          <w:ilvl w:val="1"/>
          <w:numId w:val="30"/>
        </w:numPr>
        <w:tabs>
          <w:tab w:val="left" w:pos="1184"/>
        </w:tabs>
        <w:autoSpaceDE w:val="0"/>
        <w:autoSpaceDN w:val="0"/>
        <w:spacing w:before="210" w:beforeLines="50" w:after="210" w:afterLines="50"/>
        <w:ind w:left="0" w:firstLine="480" w:firstLineChars="200"/>
        <w:contextualSpacing w:val="0"/>
        <w:jc w:val="both"/>
        <w:rPr>
          <w:rFonts w:asciiTheme="minorEastAsia" w:hAnsiTheme="minorEastAsia"/>
        </w:rPr>
      </w:pPr>
      <w:r>
        <w:rPr>
          <w:rFonts w:hint="eastAsia" w:asciiTheme="minorEastAsia" w:hAnsiTheme="minorEastAsia"/>
        </w:rPr>
        <w:t>、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pStyle w:val="84"/>
        <w:widowControl w:val="0"/>
        <w:numPr>
          <w:ilvl w:val="1"/>
          <w:numId w:val="30"/>
        </w:numPr>
        <w:tabs>
          <w:tab w:val="left" w:pos="1184"/>
        </w:tabs>
        <w:autoSpaceDE w:val="0"/>
        <w:autoSpaceDN w:val="0"/>
        <w:spacing w:before="210" w:beforeLines="50" w:after="210" w:afterLines="50"/>
        <w:ind w:left="0" w:firstLine="480" w:firstLineChars="200"/>
        <w:contextualSpacing w:val="0"/>
        <w:jc w:val="both"/>
        <w:rPr>
          <w:rFonts w:asciiTheme="minorEastAsia" w:hAnsiTheme="minorEastAsia"/>
        </w:rPr>
      </w:pPr>
      <w:r>
        <w:rPr>
          <w:rFonts w:hint="eastAsia" w:asciiTheme="minorEastAsia" w:hAnsiTheme="minorEastAsia"/>
        </w:rPr>
        <w:t>、受影响一方应在不可抗力事件发生后尽快用书面形式通知对方，并于不可抗力事件发生后十四（14）天内将有关当局出具的证明文件用特快专递或挂号信寄给对方</w:t>
      </w:r>
      <w:r>
        <w:rPr>
          <w:rFonts w:hint="eastAsia" w:asciiTheme="minorEastAsia" w:hAnsiTheme="minorEastAsia"/>
          <w:spacing w:val="-4"/>
        </w:rPr>
        <w:t>审阅确认。一旦不可抗力事件的影响持续一百二十天</w:t>
      </w:r>
      <w:r>
        <w:rPr>
          <w:rFonts w:hint="eastAsia" w:asciiTheme="minorEastAsia" w:hAnsiTheme="minorEastAsia"/>
          <w:spacing w:val="-3"/>
        </w:rPr>
        <w:t>（120）</w:t>
      </w:r>
      <w:r>
        <w:rPr>
          <w:rFonts w:hint="eastAsia" w:asciiTheme="minorEastAsia" w:hAnsiTheme="minorEastAsia"/>
          <w:spacing w:val="-5"/>
        </w:rPr>
        <w:t>天以上，双方应通过友好协</w:t>
      </w:r>
      <w:r>
        <w:rPr>
          <w:rFonts w:hint="eastAsia" w:asciiTheme="minorEastAsia" w:hAnsiTheme="minorEastAsia"/>
        </w:rPr>
        <w:t>商在合理的时间内达成进一步履行合同的协议。</w:t>
      </w:r>
    </w:p>
    <w:p>
      <w:pPr>
        <w:pStyle w:val="84"/>
        <w:widowControl w:val="0"/>
        <w:numPr>
          <w:ilvl w:val="1"/>
          <w:numId w:val="30"/>
        </w:numPr>
        <w:tabs>
          <w:tab w:val="left" w:pos="1184"/>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、因合同一方迟延履行合同后发生不可抗力的，不能免除迟延履行方的相应责任。</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19、因破产而终止合同</w:t>
      </w:r>
    </w:p>
    <w:p>
      <w:pPr>
        <w:pStyle w:val="17"/>
        <w:spacing w:before="210" w:beforeLines="50" w:after="210" w:afterLines="50"/>
        <w:ind w:left="0" w:firstLine="480" w:firstLineChars="200"/>
        <w:jc w:val="both"/>
        <w:rPr>
          <w:rFonts w:asciiTheme="minorEastAsia" w:hAnsiTheme="minorEastAsia" w:eastAsiaTheme="minorEastAsia"/>
        </w:rPr>
      </w:pPr>
      <w:r>
        <w:rPr>
          <w:rFonts w:hint="eastAsia" w:asciiTheme="minorEastAsia" w:hAnsiTheme="minorEastAsia" w:eastAsiaTheme="minorEastAsia"/>
        </w:rPr>
        <w:t>如果卖方破产或无清偿能力，买方可在任何时候以书面形式通知卖方，提出终止合同而不给卖方补偿。该合同的终止将不损害或影响买方已经采取或将要采取的任何行动或补救措施的权力。</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20、因买方的便利而终止合同</w:t>
      </w:r>
    </w:p>
    <w:p>
      <w:pPr>
        <w:pStyle w:val="84"/>
        <w:widowControl w:val="0"/>
        <w:numPr>
          <w:ilvl w:val="1"/>
          <w:numId w:val="31"/>
        </w:numPr>
        <w:tabs>
          <w:tab w:val="left" w:pos="1182"/>
        </w:tabs>
        <w:autoSpaceDE w:val="0"/>
        <w:autoSpaceDN w:val="0"/>
        <w:spacing w:before="210" w:beforeLines="50" w:after="210" w:afterLines="50"/>
        <w:ind w:left="0" w:firstLine="444" w:firstLineChars="200"/>
        <w:contextualSpacing w:val="0"/>
        <w:rPr>
          <w:rFonts w:asciiTheme="minorEastAsia" w:hAnsiTheme="minorEastAsia"/>
        </w:rPr>
      </w:pPr>
      <w:r>
        <w:rPr>
          <w:rFonts w:hint="eastAsia" w:asciiTheme="minorEastAsia" w:hAnsiTheme="minorEastAsia"/>
          <w:spacing w:val="-9"/>
        </w:rPr>
        <w:t xml:space="preserve">、买方可在任何时候出于自身的便利向卖方发出书面通知全部或部分终止合同， </w:t>
      </w:r>
      <w:r>
        <w:rPr>
          <w:rFonts w:hint="eastAsia" w:asciiTheme="minorEastAsia" w:hAnsiTheme="minorEastAsia"/>
        </w:rPr>
        <w:t>终止通知应明确该终止合同是出于买方的便利，并明确合同终止的程度，以及终止的生效日期。</w:t>
      </w:r>
    </w:p>
    <w:p>
      <w:pPr>
        <w:pStyle w:val="84"/>
        <w:widowControl w:val="0"/>
        <w:numPr>
          <w:ilvl w:val="1"/>
          <w:numId w:val="31"/>
        </w:numPr>
        <w:tabs>
          <w:tab w:val="left" w:pos="1184"/>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、对卖方收到终止通知后三十（30）天内已完成并准备装运的货物，买方应按原合同价格和条款予以接收，对于剩下的货物，买方可：</w:t>
      </w:r>
    </w:p>
    <w:p>
      <w:pPr>
        <w:pStyle w:val="84"/>
        <w:widowControl w:val="0"/>
        <w:numPr>
          <w:ilvl w:val="0"/>
          <w:numId w:val="32"/>
        </w:numPr>
        <w:tabs>
          <w:tab w:val="left" w:pos="1302"/>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仅对部分货物按照原来的合同价格和条款予以接受；</w:t>
      </w:r>
    </w:p>
    <w:p>
      <w:pPr>
        <w:pStyle w:val="84"/>
        <w:widowControl w:val="0"/>
        <w:numPr>
          <w:ilvl w:val="0"/>
          <w:numId w:val="32"/>
        </w:numPr>
        <w:tabs>
          <w:tab w:val="left" w:pos="1302"/>
        </w:tabs>
        <w:autoSpaceDE w:val="0"/>
        <w:autoSpaceDN w:val="0"/>
        <w:spacing w:before="210" w:beforeLines="50" w:after="210" w:afterLines="50"/>
        <w:ind w:left="0" w:firstLine="468" w:firstLineChars="200"/>
        <w:contextualSpacing w:val="0"/>
        <w:rPr>
          <w:rFonts w:asciiTheme="minorEastAsia" w:hAnsiTheme="minorEastAsia"/>
        </w:rPr>
      </w:pPr>
      <w:r>
        <w:rPr>
          <w:rFonts w:hint="eastAsia" w:asciiTheme="minorEastAsia" w:hAnsiTheme="minorEastAsia"/>
          <w:spacing w:val="-3"/>
        </w:rPr>
        <w:t>取消对所剩货物的采购，并按双方商定的金额向卖方支付部分完成的货物和</w:t>
      </w:r>
      <w:r>
        <w:rPr>
          <w:rFonts w:hint="eastAsia" w:asciiTheme="minorEastAsia" w:hAnsiTheme="minorEastAsia"/>
          <w:spacing w:val="-4"/>
        </w:rPr>
        <w:t>服务以及卖方以前已采购的材料和部件的费用。</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21、争议的解决</w:t>
      </w:r>
    </w:p>
    <w:p>
      <w:pPr>
        <w:pStyle w:val="84"/>
        <w:widowControl w:val="0"/>
        <w:numPr>
          <w:ilvl w:val="1"/>
          <w:numId w:val="33"/>
        </w:numPr>
        <w:tabs>
          <w:tab w:val="left" w:pos="1186"/>
        </w:tabs>
        <w:autoSpaceDE w:val="0"/>
        <w:autoSpaceDN w:val="0"/>
        <w:spacing w:before="210" w:beforeLines="50" w:after="210" w:afterLines="50"/>
        <w:ind w:left="0" w:firstLine="492" w:firstLineChars="200"/>
        <w:contextualSpacing w:val="0"/>
        <w:jc w:val="both"/>
        <w:rPr>
          <w:rFonts w:asciiTheme="minorEastAsia" w:hAnsiTheme="minorEastAsia"/>
        </w:rPr>
      </w:pPr>
      <w:r>
        <w:rPr>
          <w:rFonts w:hint="eastAsia" w:asciiTheme="minorEastAsia" w:hAnsiTheme="minorEastAsia"/>
          <w:spacing w:val="3"/>
        </w:rPr>
        <w:t>、因执行本合同所发生的或与本合同有关的一切争议,双方应通过友好协商解决。如果协商开始后六十（60）天还不能解决，任何一方均可按中华人民共和国有关法律的规定提交仲裁。仲裁地点为采购人当地仲裁委员会（汉中市仲裁委员会）。</w:t>
      </w:r>
    </w:p>
    <w:p>
      <w:pPr>
        <w:pStyle w:val="84"/>
        <w:widowControl w:val="0"/>
        <w:numPr>
          <w:ilvl w:val="1"/>
          <w:numId w:val="33"/>
        </w:numPr>
        <w:tabs>
          <w:tab w:val="left" w:pos="1182"/>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、仲裁裁决应为最终裁决，对双方均具有约束力。</w:t>
      </w:r>
    </w:p>
    <w:p>
      <w:pPr>
        <w:pStyle w:val="84"/>
        <w:widowControl w:val="0"/>
        <w:numPr>
          <w:ilvl w:val="1"/>
          <w:numId w:val="33"/>
        </w:numPr>
        <w:tabs>
          <w:tab w:val="left" w:pos="1182"/>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、对仲裁裁决不服的，可向汉中市中级人民法院申请撤销仲裁；</w:t>
      </w:r>
    </w:p>
    <w:p>
      <w:pPr>
        <w:pStyle w:val="84"/>
        <w:widowControl w:val="0"/>
        <w:numPr>
          <w:ilvl w:val="1"/>
          <w:numId w:val="33"/>
        </w:numPr>
        <w:tabs>
          <w:tab w:val="left" w:pos="1182"/>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、仲裁费除仲裁机关另有裁决外均应由败诉方负担。</w:t>
      </w:r>
    </w:p>
    <w:p>
      <w:pPr>
        <w:pStyle w:val="84"/>
        <w:widowControl w:val="0"/>
        <w:numPr>
          <w:ilvl w:val="1"/>
          <w:numId w:val="33"/>
        </w:numPr>
        <w:tabs>
          <w:tab w:val="left" w:pos="1182"/>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、在仲裁期间，除正在进行仲裁的部分外，本合同其它部分应继续执行。</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22、适用法律</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本合同应按照中华人民共和国的现行法律进行解释。</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23、通知</w:t>
      </w:r>
    </w:p>
    <w:p>
      <w:pPr>
        <w:pStyle w:val="84"/>
        <w:widowControl w:val="0"/>
        <w:numPr>
          <w:ilvl w:val="1"/>
          <w:numId w:val="34"/>
        </w:numPr>
        <w:tabs>
          <w:tab w:val="left" w:pos="1184"/>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、本合同一方给对方的通知应用书面形式送到合同专用条款中规定的对方的地址。传真要经书面确认。</w:t>
      </w:r>
    </w:p>
    <w:p>
      <w:pPr>
        <w:pStyle w:val="84"/>
        <w:widowControl w:val="0"/>
        <w:numPr>
          <w:ilvl w:val="1"/>
          <w:numId w:val="34"/>
        </w:numPr>
        <w:tabs>
          <w:tab w:val="left" w:pos="1184"/>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、通知以送到日期或通知书的生效日期为生效日期，两者中以晚的一个日期为准。</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24、税款</w:t>
      </w:r>
    </w:p>
    <w:p>
      <w:pPr>
        <w:pStyle w:val="84"/>
        <w:widowControl w:val="0"/>
        <w:numPr>
          <w:ilvl w:val="1"/>
          <w:numId w:val="35"/>
        </w:numPr>
        <w:tabs>
          <w:tab w:val="left" w:pos="1184"/>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、按照中华人民共和国税法和有关部门的规定，买方需交纳的与本合同有关的一切税费均应由买方负担。</w:t>
      </w:r>
    </w:p>
    <w:p>
      <w:pPr>
        <w:pStyle w:val="84"/>
        <w:widowControl w:val="0"/>
        <w:numPr>
          <w:ilvl w:val="1"/>
          <w:numId w:val="35"/>
        </w:numPr>
        <w:tabs>
          <w:tab w:val="left" w:pos="1184"/>
        </w:tabs>
        <w:autoSpaceDE w:val="0"/>
        <w:autoSpaceDN w:val="0"/>
        <w:spacing w:before="210" w:beforeLines="50" w:after="210" w:afterLines="50"/>
        <w:ind w:left="0" w:firstLine="480" w:firstLineChars="200"/>
        <w:contextualSpacing w:val="0"/>
        <w:rPr>
          <w:rFonts w:asciiTheme="minorEastAsia" w:hAnsiTheme="minorEastAsia"/>
        </w:rPr>
      </w:pPr>
      <w:r>
        <w:rPr>
          <w:rFonts w:hint="eastAsia" w:asciiTheme="minorEastAsia" w:hAnsiTheme="minorEastAsia"/>
        </w:rPr>
        <w:t>、按照中华人民共和国税法和有关部门的规定，卖方需交纳的与本合同有关的一切税费均应由卖方负担。</w:t>
      </w:r>
    </w:p>
    <w:p>
      <w:pPr>
        <w:pStyle w:val="17"/>
        <w:spacing w:before="210" w:beforeLines="50" w:after="210" w:afterLines="50"/>
        <w:ind w:left="0" w:firstLine="480" w:firstLineChars="200"/>
        <w:rPr>
          <w:rFonts w:asciiTheme="minorEastAsia" w:hAnsiTheme="minorEastAsia" w:eastAsiaTheme="minorEastAsia"/>
        </w:rPr>
      </w:pPr>
      <w:r>
        <w:rPr>
          <w:rFonts w:hint="eastAsia" w:asciiTheme="minorEastAsia" w:hAnsiTheme="minorEastAsia" w:eastAsiaTheme="minorEastAsia"/>
        </w:rPr>
        <w:t>25、合同生效</w:t>
      </w:r>
    </w:p>
    <w:p>
      <w:pPr>
        <w:pStyle w:val="17"/>
        <w:spacing w:before="210" w:beforeLines="50" w:after="210" w:afterLines="50"/>
        <w:ind w:left="0" w:firstLine="480" w:firstLineChars="200"/>
      </w:pPr>
      <w:r>
        <w:rPr>
          <w:rFonts w:hint="eastAsia" w:asciiTheme="minorEastAsia" w:hAnsiTheme="minorEastAsia" w:eastAsiaTheme="minorEastAsia"/>
        </w:rPr>
        <w:t>本合同由买卖双方及鉴证方共同签字盖章，自签字盖章之日起生效。</w:t>
      </w:r>
    </w:p>
    <w:p>
      <w:r>
        <w:rPr>
          <w:rFonts w:hint="eastAsia"/>
        </w:rPr>
        <w:br w:type="page"/>
      </w:r>
    </w:p>
    <w:p>
      <w:pPr>
        <w:pStyle w:val="3"/>
        <w:rPr>
          <w:rFonts w:ascii="宋体" w:hAnsi="宋体" w:eastAsia="宋体"/>
        </w:rPr>
      </w:pPr>
      <w:bookmarkStart w:id="136" w:name="_Toc100219616"/>
      <w:bookmarkStart w:id="137" w:name="_Toc120103976"/>
      <w:r>
        <w:rPr>
          <w:rFonts w:hint="eastAsia" w:ascii="宋体" w:hAnsi="宋体" w:eastAsia="宋体"/>
        </w:rPr>
        <w:t>第五章  投标文件构成及格式</w:t>
      </w:r>
      <w:bookmarkEnd w:id="136"/>
      <w:bookmarkEnd w:id="137"/>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p>
    <w:p>
      <w:pPr>
        <w:spacing w:line="560" w:lineRule="exact"/>
        <w:jc w:val="both"/>
        <w:rPr>
          <w:rFonts w:ascii="宋体" w:hAnsi="宋体" w:eastAsia="宋体"/>
          <w:sz w:val="32"/>
          <w:szCs w:val="32"/>
        </w:rPr>
      </w:pPr>
    </w:p>
    <w:p>
      <w:pPr>
        <w:pStyle w:val="3"/>
        <w:rPr>
          <w:rFonts w:ascii="宋体" w:hAnsi="宋体" w:eastAsia="宋体"/>
        </w:rPr>
      </w:pPr>
      <w:bookmarkStart w:id="138" w:name="_Toc120103977"/>
      <w:r>
        <w:rPr>
          <w:rFonts w:ascii="宋体" w:hAnsi="宋体" w:eastAsia="宋体"/>
        </w:rPr>
        <w:t>〈项目名称〉</w:t>
      </w:r>
      <w:bookmarkEnd w:id="138"/>
    </w:p>
    <w:p>
      <w:pPr>
        <w:pStyle w:val="3"/>
        <w:rPr>
          <w:rFonts w:ascii="宋体" w:hAnsi="宋体" w:eastAsia="宋体"/>
        </w:rPr>
      </w:pPr>
      <w:bookmarkStart w:id="139" w:name="_Toc120103978"/>
      <w:r>
        <w:rPr>
          <w:rFonts w:ascii="宋体" w:hAnsi="宋体" w:eastAsia="宋体"/>
        </w:rPr>
        <w:t>投标文件</w:t>
      </w:r>
      <w:bookmarkEnd w:id="139"/>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pStyle w:val="4"/>
        <w:jc w:val="center"/>
        <w:rPr>
          <w:rFonts w:ascii="宋体" w:hAnsi="宋体" w:eastAsia="宋体"/>
        </w:rPr>
      </w:pPr>
      <w:bookmarkStart w:id="140" w:name="_Toc120103979"/>
      <w:r>
        <w:rPr>
          <w:rFonts w:ascii="宋体" w:hAnsi="宋体" w:eastAsia="宋体"/>
        </w:rPr>
        <w:t>（项目编号：〈项目编号〉）</w:t>
      </w:r>
      <w:bookmarkEnd w:id="140"/>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p>
    <w:p>
      <w:pPr>
        <w:spacing w:line="560" w:lineRule="exact"/>
        <w:ind w:firstLine="640" w:firstLineChars="200"/>
        <w:jc w:val="center"/>
        <w:rPr>
          <w:rFonts w:ascii="宋体" w:hAnsi="宋体" w:eastAsia="宋体"/>
          <w:sz w:val="32"/>
          <w:szCs w:val="32"/>
        </w:rPr>
      </w:pPr>
      <w:r>
        <w:rPr>
          <w:rFonts w:ascii="宋体" w:hAnsi="宋体" w:eastAsia="宋体"/>
          <w:sz w:val="32"/>
          <w:szCs w:val="32"/>
        </w:rPr>
        <w:t>供应商：__________________</w:t>
      </w:r>
    </w:p>
    <w:p>
      <w:pPr>
        <w:spacing w:line="560" w:lineRule="exact"/>
        <w:ind w:firstLine="640" w:firstLineChars="200"/>
        <w:jc w:val="center"/>
        <w:rPr>
          <w:rFonts w:ascii="宋体" w:hAnsi="宋体" w:eastAsia="宋体"/>
          <w:sz w:val="32"/>
          <w:szCs w:val="32"/>
        </w:rPr>
      </w:pPr>
      <w:r>
        <w:rPr>
          <w:rFonts w:ascii="宋体" w:hAnsi="宋体" w:eastAsia="宋体"/>
          <w:sz w:val="32"/>
          <w:szCs w:val="32"/>
        </w:rPr>
        <w:t>时  间：__________________</w:t>
      </w:r>
    </w:p>
    <w:p>
      <w:pPr>
        <w:spacing w:line="560" w:lineRule="exact"/>
        <w:ind w:firstLine="640" w:firstLineChars="200"/>
        <w:jc w:val="both"/>
        <w:rPr>
          <w:rFonts w:ascii="宋体" w:hAnsi="宋体" w:eastAsia="宋体"/>
          <w:sz w:val="32"/>
          <w:szCs w:val="32"/>
        </w:rPr>
      </w:pPr>
      <w:r>
        <w:rPr>
          <w:rFonts w:ascii="宋体" w:hAnsi="宋体" w:eastAsia="宋体"/>
          <w:sz w:val="32"/>
          <w:szCs w:val="32"/>
        </w:rPr>
        <w:br w:type="page"/>
      </w:r>
    </w:p>
    <w:p>
      <w:pPr>
        <w:spacing w:line="560" w:lineRule="exact"/>
        <w:ind w:firstLine="880" w:firstLineChars="200"/>
        <w:jc w:val="center"/>
        <w:rPr>
          <w:rFonts w:ascii="宋体" w:hAnsi="宋体" w:eastAsia="宋体"/>
          <w:sz w:val="44"/>
          <w:szCs w:val="44"/>
        </w:rPr>
      </w:pPr>
    </w:p>
    <w:p>
      <w:pPr>
        <w:spacing w:line="560" w:lineRule="exact"/>
        <w:ind w:firstLine="880" w:firstLineChars="200"/>
        <w:jc w:val="center"/>
        <w:rPr>
          <w:rFonts w:ascii="宋体" w:hAnsi="宋体" w:eastAsia="宋体"/>
          <w:sz w:val="44"/>
          <w:szCs w:val="44"/>
        </w:rPr>
      </w:pPr>
      <w:r>
        <w:rPr>
          <w:rFonts w:hint="eastAsia" w:ascii="宋体" w:hAnsi="宋体" w:eastAsia="宋体"/>
          <w:sz w:val="44"/>
          <w:szCs w:val="44"/>
        </w:rPr>
        <w:t>目    录</w:t>
      </w:r>
    </w:p>
    <w:p>
      <w:pPr>
        <w:spacing w:line="560" w:lineRule="exact"/>
        <w:ind w:firstLine="640" w:firstLineChars="200"/>
        <w:jc w:val="both"/>
        <w:rPr>
          <w:rFonts w:ascii="宋体" w:hAnsi="宋体" w:eastAsia="宋体"/>
          <w:sz w:val="32"/>
          <w:szCs w:val="32"/>
        </w:rPr>
      </w:pPr>
    </w:p>
    <w:p>
      <w:pPr>
        <w:spacing w:line="480" w:lineRule="auto"/>
        <w:ind w:firstLine="640" w:firstLineChars="200"/>
        <w:jc w:val="both"/>
        <w:rPr>
          <w:rFonts w:ascii="宋体" w:hAnsi="宋体" w:eastAsia="宋体"/>
          <w:sz w:val="32"/>
          <w:szCs w:val="32"/>
        </w:rPr>
      </w:pPr>
      <w:r>
        <w:rPr>
          <w:rFonts w:ascii="宋体" w:hAnsi="宋体" w:eastAsia="宋体"/>
          <w:sz w:val="32"/>
          <w:szCs w:val="32"/>
        </w:rPr>
        <w:t>第一部</w:t>
      </w:r>
      <w:r>
        <w:rPr>
          <w:rFonts w:hint="eastAsia" w:ascii="宋体" w:hAnsi="宋体" w:eastAsia="宋体"/>
          <w:sz w:val="32"/>
          <w:szCs w:val="32"/>
        </w:rPr>
        <w:t>分  投</w:t>
      </w:r>
      <w:r>
        <w:rPr>
          <w:rFonts w:ascii="宋体" w:hAnsi="宋体" w:eastAsia="宋体"/>
          <w:sz w:val="32"/>
          <w:szCs w:val="32"/>
        </w:rPr>
        <w:t>标函</w:t>
      </w:r>
    </w:p>
    <w:p>
      <w:pPr>
        <w:spacing w:line="480" w:lineRule="auto"/>
        <w:ind w:firstLine="640" w:firstLineChars="200"/>
        <w:jc w:val="both"/>
        <w:rPr>
          <w:rFonts w:ascii="宋体" w:hAnsi="宋体" w:eastAsia="宋体"/>
          <w:sz w:val="32"/>
          <w:szCs w:val="32"/>
        </w:rPr>
      </w:pPr>
      <w:r>
        <w:rPr>
          <w:rFonts w:ascii="宋体" w:hAnsi="宋体" w:eastAsia="宋体"/>
          <w:sz w:val="32"/>
          <w:szCs w:val="32"/>
        </w:rPr>
        <w:t>第二部</w:t>
      </w:r>
      <w:r>
        <w:rPr>
          <w:rFonts w:hint="eastAsia" w:ascii="宋体" w:hAnsi="宋体" w:eastAsia="宋体"/>
          <w:sz w:val="32"/>
          <w:szCs w:val="32"/>
        </w:rPr>
        <w:t>分  开</w:t>
      </w:r>
      <w:r>
        <w:rPr>
          <w:rFonts w:ascii="宋体" w:hAnsi="宋体" w:eastAsia="宋体"/>
          <w:sz w:val="32"/>
          <w:szCs w:val="32"/>
        </w:rPr>
        <w:t>标一览表</w:t>
      </w:r>
    </w:p>
    <w:p>
      <w:pPr>
        <w:spacing w:line="480" w:lineRule="auto"/>
        <w:ind w:firstLine="640" w:firstLineChars="200"/>
        <w:jc w:val="both"/>
        <w:rPr>
          <w:rFonts w:ascii="宋体" w:hAnsi="宋体" w:eastAsia="宋体"/>
          <w:sz w:val="32"/>
          <w:szCs w:val="32"/>
        </w:rPr>
      </w:pPr>
      <w:r>
        <w:rPr>
          <w:rFonts w:ascii="宋体" w:hAnsi="宋体" w:eastAsia="宋体"/>
          <w:sz w:val="32"/>
          <w:szCs w:val="32"/>
        </w:rPr>
        <w:t>第三部</w:t>
      </w:r>
      <w:r>
        <w:rPr>
          <w:rFonts w:hint="eastAsia" w:ascii="宋体" w:hAnsi="宋体" w:eastAsia="宋体"/>
          <w:sz w:val="32"/>
          <w:szCs w:val="32"/>
        </w:rPr>
        <w:t>分  资</w:t>
      </w:r>
      <w:r>
        <w:rPr>
          <w:rFonts w:ascii="宋体" w:hAnsi="宋体" w:eastAsia="宋体"/>
          <w:sz w:val="32"/>
          <w:szCs w:val="32"/>
        </w:rPr>
        <w:t>格证明文件</w:t>
      </w:r>
    </w:p>
    <w:p>
      <w:pPr>
        <w:spacing w:line="480" w:lineRule="auto"/>
        <w:ind w:firstLine="640" w:firstLineChars="200"/>
        <w:jc w:val="both"/>
        <w:rPr>
          <w:rFonts w:ascii="宋体" w:hAnsi="宋体" w:eastAsia="宋体"/>
          <w:sz w:val="32"/>
          <w:szCs w:val="32"/>
        </w:rPr>
      </w:pPr>
      <w:r>
        <w:rPr>
          <w:rFonts w:ascii="宋体" w:hAnsi="宋体" w:eastAsia="宋体"/>
          <w:sz w:val="32"/>
          <w:szCs w:val="32"/>
        </w:rPr>
        <w:t>第四部</w:t>
      </w:r>
      <w:r>
        <w:rPr>
          <w:rFonts w:hint="eastAsia" w:ascii="宋体" w:hAnsi="宋体" w:eastAsia="宋体"/>
          <w:sz w:val="32"/>
          <w:szCs w:val="32"/>
        </w:rPr>
        <w:t>分  供</w:t>
      </w:r>
      <w:r>
        <w:rPr>
          <w:rFonts w:ascii="宋体" w:hAnsi="宋体" w:eastAsia="宋体"/>
          <w:sz w:val="32"/>
          <w:szCs w:val="32"/>
        </w:rPr>
        <w:t>应商概况</w:t>
      </w:r>
    </w:p>
    <w:p>
      <w:pPr>
        <w:spacing w:line="480" w:lineRule="auto"/>
        <w:ind w:firstLine="640" w:firstLineChars="200"/>
        <w:jc w:val="both"/>
        <w:rPr>
          <w:rFonts w:ascii="宋体" w:hAnsi="宋体" w:eastAsia="宋体"/>
          <w:sz w:val="32"/>
          <w:szCs w:val="32"/>
        </w:rPr>
      </w:pPr>
      <w:r>
        <w:rPr>
          <w:rFonts w:ascii="宋体" w:hAnsi="宋体" w:eastAsia="宋体"/>
          <w:sz w:val="32"/>
          <w:szCs w:val="32"/>
        </w:rPr>
        <w:t>第五部</w:t>
      </w:r>
      <w:r>
        <w:rPr>
          <w:rFonts w:hint="eastAsia" w:ascii="宋体" w:hAnsi="宋体" w:eastAsia="宋体"/>
          <w:sz w:val="32"/>
          <w:szCs w:val="32"/>
        </w:rPr>
        <w:t>分  供</w:t>
      </w:r>
      <w:r>
        <w:rPr>
          <w:rFonts w:ascii="宋体" w:hAnsi="宋体" w:eastAsia="宋体"/>
          <w:sz w:val="32"/>
          <w:szCs w:val="32"/>
        </w:rPr>
        <w:t>应商参加政府采购活动承诺书</w:t>
      </w:r>
    </w:p>
    <w:p>
      <w:pPr>
        <w:spacing w:line="480" w:lineRule="auto"/>
        <w:ind w:firstLine="640" w:firstLineChars="200"/>
        <w:jc w:val="both"/>
        <w:rPr>
          <w:rFonts w:ascii="宋体" w:hAnsi="宋体" w:eastAsia="宋体"/>
          <w:sz w:val="32"/>
          <w:szCs w:val="32"/>
        </w:rPr>
      </w:pPr>
      <w:r>
        <w:rPr>
          <w:rFonts w:ascii="宋体" w:hAnsi="宋体" w:eastAsia="宋体"/>
          <w:sz w:val="32"/>
          <w:szCs w:val="32"/>
        </w:rPr>
        <w:t>第六部</w:t>
      </w:r>
      <w:r>
        <w:rPr>
          <w:rFonts w:hint="eastAsia" w:ascii="宋体" w:hAnsi="宋体" w:eastAsia="宋体"/>
          <w:sz w:val="32"/>
          <w:szCs w:val="32"/>
        </w:rPr>
        <w:t>分  投</w:t>
      </w:r>
      <w:r>
        <w:rPr>
          <w:rFonts w:ascii="宋体" w:hAnsi="宋体" w:eastAsia="宋体"/>
          <w:sz w:val="32"/>
          <w:szCs w:val="32"/>
        </w:rPr>
        <w:t>标方案</w:t>
      </w:r>
    </w:p>
    <w:p>
      <w:pPr>
        <w:rPr>
          <w:rFonts w:ascii="宋体" w:hAnsi="宋体" w:eastAsia="宋体"/>
          <w:sz w:val="32"/>
          <w:szCs w:val="32"/>
        </w:rPr>
      </w:pPr>
      <w:r>
        <w:rPr>
          <w:rFonts w:ascii="宋体" w:hAnsi="宋体" w:eastAsia="宋体"/>
        </w:rPr>
        <w:br w:type="page"/>
      </w:r>
    </w:p>
    <w:p>
      <w:pPr>
        <w:pStyle w:val="4"/>
        <w:ind w:firstLine="643"/>
        <w:jc w:val="center"/>
        <w:rPr>
          <w:rFonts w:ascii="宋体" w:hAnsi="宋体" w:eastAsia="宋体"/>
          <w:b/>
          <w:bCs/>
        </w:rPr>
      </w:pPr>
      <w:bookmarkStart w:id="141" w:name="_Toc120103980"/>
      <w:r>
        <w:rPr>
          <w:rFonts w:hint="eastAsia" w:ascii="宋体" w:hAnsi="宋体" w:eastAsia="宋体"/>
          <w:b/>
          <w:bCs/>
        </w:rPr>
        <w:t>第一部分  投标函</w:t>
      </w:r>
      <w:bookmarkEnd w:id="141"/>
    </w:p>
    <w:p>
      <w:pPr>
        <w:spacing w:line="460" w:lineRule="exact"/>
        <w:ind w:firstLine="560" w:firstLineChars="200"/>
        <w:jc w:val="both"/>
        <w:rPr>
          <w:rFonts w:ascii="宋体" w:hAnsi="宋体" w:eastAsia="宋体"/>
          <w:sz w:val="28"/>
          <w:szCs w:val="28"/>
        </w:rPr>
      </w:pPr>
      <w:r>
        <w:rPr>
          <w:rFonts w:hint="eastAsia" w:ascii="宋体" w:hAnsi="宋体" w:eastAsia="宋体"/>
          <w:sz w:val="28"/>
          <w:szCs w:val="28"/>
        </w:rPr>
        <w:t>〈政府采购代理机构〉：</w:t>
      </w:r>
    </w:p>
    <w:p>
      <w:pPr>
        <w:spacing w:line="460" w:lineRule="exact"/>
        <w:ind w:firstLine="560" w:firstLineChars="200"/>
        <w:jc w:val="both"/>
        <w:rPr>
          <w:rFonts w:ascii="宋体" w:hAnsi="宋体" w:eastAsia="宋体"/>
          <w:sz w:val="28"/>
          <w:szCs w:val="28"/>
        </w:rPr>
      </w:pPr>
      <w:r>
        <w:rPr>
          <w:rFonts w:ascii="宋体" w:hAnsi="宋体" w:eastAsia="宋体"/>
          <w:sz w:val="28"/>
          <w:szCs w:val="28"/>
        </w:rPr>
        <w:t>我方收到贵中心发布的〈项目名称〉（项目编号：〈项目编号〉）</w:t>
      </w:r>
      <w:r>
        <w:rPr>
          <w:rFonts w:hint="eastAsia" w:ascii="宋体" w:hAnsi="宋体" w:eastAsia="宋体"/>
          <w:sz w:val="28"/>
          <w:szCs w:val="28"/>
        </w:rPr>
        <w:t>招标文件</w:t>
      </w:r>
      <w:r>
        <w:rPr>
          <w:rFonts w:ascii="宋体" w:hAnsi="宋体" w:eastAsia="宋体"/>
          <w:sz w:val="28"/>
          <w:szCs w:val="28"/>
        </w:rPr>
        <w:t>，经详细研究，我方决定参加该项目的</w:t>
      </w:r>
      <w:r>
        <w:rPr>
          <w:rFonts w:hint="eastAsia" w:ascii="宋体" w:hAnsi="宋体" w:eastAsia="宋体"/>
          <w:sz w:val="28"/>
          <w:szCs w:val="28"/>
        </w:rPr>
        <w:t>招标</w:t>
      </w:r>
      <w:r>
        <w:rPr>
          <w:rFonts w:ascii="宋体" w:hAnsi="宋体" w:eastAsia="宋体"/>
          <w:sz w:val="28"/>
          <w:szCs w:val="28"/>
        </w:rPr>
        <w:t>活动。</w:t>
      </w:r>
      <w:r>
        <w:rPr>
          <w:rFonts w:hint="eastAsia" w:ascii="宋体" w:hAnsi="宋体" w:eastAsia="宋体"/>
          <w:sz w:val="28"/>
          <w:szCs w:val="28"/>
        </w:rPr>
        <w:t>为此，我方郑重声明以下诸点，并负法律责任。</w:t>
      </w:r>
    </w:p>
    <w:p>
      <w:pPr>
        <w:spacing w:line="460" w:lineRule="exact"/>
        <w:ind w:firstLine="560" w:firstLineChars="200"/>
        <w:jc w:val="both"/>
        <w:rPr>
          <w:rFonts w:ascii="宋体" w:hAnsi="宋体" w:eastAsia="宋体"/>
          <w:sz w:val="28"/>
          <w:szCs w:val="28"/>
        </w:rPr>
      </w:pPr>
      <w:r>
        <w:rPr>
          <w:rFonts w:hint="eastAsia" w:ascii="宋体" w:hAnsi="宋体" w:eastAsia="宋体"/>
          <w:sz w:val="28"/>
          <w:szCs w:val="28"/>
        </w:rPr>
        <w:t>1．我方已详细阅读了招标文件，完全理解并同意招标文件的所有事项及内容。</w:t>
      </w:r>
    </w:p>
    <w:p>
      <w:pPr>
        <w:spacing w:line="460" w:lineRule="exact"/>
        <w:ind w:firstLine="560" w:firstLineChars="200"/>
        <w:jc w:val="both"/>
        <w:rPr>
          <w:rFonts w:ascii="宋体" w:hAnsi="宋体" w:eastAsia="宋体"/>
          <w:sz w:val="28"/>
          <w:szCs w:val="28"/>
        </w:rPr>
      </w:pPr>
      <w:r>
        <w:rPr>
          <w:rFonts w:hint="eastAsia" w:ascii="宋体" w:hAnsi="宋体" w:eastAsia="宋体"/>
          <w:sz w:val="28"/>
          <w:szCs w:val="28"/>
        </w:rPr>
        <w:t>2．我方已悉知并及时关注了贵中心在陕西省政府采购网、全国公共资源交易平台（陕西省</w:t>
      </w:r>
      <w:r>
        <w:rPr>
          <w:rFonts w:ascii="宋体" w:hAnsi="宋体" w:eastAsia="宋体"/>
          <w:sz w:val="28"/>
          <w:szCs w:val="28"/>
        </w:rPr>
        <w:t>·</w:t>
      </w:r>
      <w:r>
        <w:rPr>
          <w:rFonts w:hint="eastAsia" w:ascii="宋体" w:hAnsi="宋体" w:eastAsia="宋体"/>
          <w:sz w:val="28"/>
          <w:szCs w:val="28"/>
        </w:rPr>
        <w:t>西安市）上发布的关于本项目的有关变更公告（包括但不限于对招标文件做出的修改或澄清、答疑纪要，以及项目暂停、重启、延期、终止等）。</w:t>
      </w:r>
    </w:p>
    <w:p>
      <w:pPr>
        <w:spacing w:line="460" w:lineRule="exact"/>
        <w:ind w:firstLine="560" w:firstLineChars="200"/>
        <w:jc w:val="both"/>
        <w:rPr>
          <w:rFonts w:ascii="宋体" w:hAnsi="宋体" w:eastAsia="宋体"/>
          <w:sz w:val="28"/>
          <w:szCs w:val="28"/>
        </w:rPr>
      </w:pPr>
      <w:r>
        <w:rPr>
          <w:rFonts w:hint="eastAsia" w:ascii="宋体" w:hAnsi="宋体" w:eastAsia="宋体"/>
          <w:sz w:val="28"/>
          <w:szCs w:val="28"/>
        </w:rPr>
        <w:t>3．我方同意向贵中心提供与本次招标有关的全部证明材料，并保证所提交的证明材料真实、合法、有效。</w:t>
      </w:r>
    </w:p>
    <w:p>
      <w:pPr>
        <w:spacing w:line="460" w:lineRule="exact"/>
        <w:ind w:firstLine="560" w:firstLineChars="200"/>
        <w:jc w:val="both"/>
        <w:rPr>
          <w:rFonts w:ascii="宋体" w:hAnsi="宋体" w:eastAsia="宋体"/>
          <w:sz w:val="28"/>
          <w:szCs w:val="28"/>
        </w:rPr>
      </w:pPr>
      <w:r>
        <w:rPr>
          <w:rFonts w:hint="eastAsia" w:ascii="宋体" w:hAnsi="宋体" w:eastAsia="宋体"/>
          <w:sz w:val="28"/>
          <w:szCs w:val="28"/>
        </w:rPr>
        <w:t>4．我方理解最低价不是成交的唯一条件，并尊重评标委员会的评审结果。</w:t>
      </w:r>
    </w:p>
    <w:p>
      <w:pPr>
        <w:spacing w:line="460" w:lineRule="exact"/>
        <w:ind w:firstLine="560" w:firstLineChars="200"/>
        <w:jc w:val="both"/>
        <w:rPr>
          <w:rFonts w:ascii="宋体" w:hAnsi="宋体" w:eastAsia="宋体"/>
          <w:sz w:val="28"/>
          <w:szCs w:val="28"/>
        </w:rPr>
      </w:pPr>
      <w:r>
        <w:rPr>
          <w:rFonts w:hint="eastAsia" w:ascii="宋体" w:hAnsi="宋体" w:eastAsia="宋体"/>
          <w:sz w:val="28"/>
          <w:szCs w:val="28"/>
        </w:rPr>
        <w:t>5．我方投标文件在开启之日起___个日历日（应不少于90个日历日）内有效。</w:t>
      </w:r>
    </w:p>
    <w:p>
      <w:pPr>
        <w:spacing w:line="460" w:lineRule="exact"/>
        <w:ind w:firstLine="560" w:firstLineChars="200"/>
        <w:jc w:val="both"/>
        <w:rPr>
          <w:rFonts w:ascii="宋体" w:hAnsi="宋体" w:eastAsia="宋体"/>
          <w:sz w:val="28"/>
          <w:szCs w:val="28"/>
        </w:rPr>
      </w:pPr>
      <w:r>
        <w:rPr>
          <w:rFonts w:hint="eastAsia" w:ascii="宋体" w:hAnsi="宋体" w:eastAsia="宋体"/>
          <w:sz w:val="28"/>
          <w:szCs w:val="28"/>
        </w:rPr>
        <w:t>6．若我方成交，我方承诺：（1）将投标文件有效期延长至合同执行完毕；（2）收到成交通知书后提交纸质投标文件一正两副；（3）遵照招标文件中的要求，完成本项目的合同责任和义务。</w:t>
      </w:r>
    </w:p>
    <w:p>
      <w:pPr>
        <w:spacing w:line="460" w:lineRule="exact"/>
        <w:ind w:firstLine="560" w:firstLineChars="200"/>
        <w:jc w:val="both"/>
        <w:rPr>
          <w:rFonts w:ascii="宋体" w:hAnsi="宋体" w:eastAsia="宋体"/>
          <w:sz w:val="28"/>
          <w:szCs w:val="28"/>
        </w:rPr>
      </w:pPr>
      <w:r>
        <w:rPr>
          <w:rFonts w:hint="eastAsia" w:ascii="宋体" w:hAnsi="宋体" w:eastAsia="宋体"/>
          <w:sz w:val="28"/>
          <w:szCs w:val="28"/>
        </w:rPr>
        <w:t>7．所有关于此次招标活动的函电，请按下列方式联系：</w:t>
      </w:r>
    </w:p>
    <w:p>
      <w:pPr>
        <w:spacing w:line="460" w:lineRule="exact"/>
        <w:ind w:firstLine="560" w:firstLineChars="200"/>
        <w:jc w:val="both"/>
        <w:rPr>
          <w:rFonts w:ascii="宋体" w:hAnsi="宋体" w:eastAsia="宋体"/>
          <w:sz w:val="28"/>
          <w:szCs w:val="28"/>
        </w:rPr>
      </w:pPr>
      <w:r>
        <w:rPr>
          <w:rFonts w:ascii="宋体" w:hAnsi="宋体" w:eastAsia="宋体"/>
          <w:sz w:val="28"/>
          <w:szCs w:val="28"/>
        </w:rPr>
        <w:t>供应商：（供应商全称并加盖公章）</w:t>
      </w:r>
    </w:p>
    <w:p>
      <w:pPr>
        <w:spacing w:line="460" w:lineRule="exact"/>
        <w:ind w:firstLine="560" w:firstLineChars="200"/>
        <w:jc w:val="both"/>
        <w:rPr>
          <w:rFonts w:ascii="宋体" w:hAnsi="宋体" w:eastAsia="宋体"/>
          <w:sz w:val="28"/>
          <w:szCs w:val="28"/>
        </w:rPr>
      </w:pPr>
      <w:r>
        <w:rPr>
          <w:rFonts w:ascii="宋体" w:hAnsi="宋体" w:eastAsia="宋体"/>
          <w:sz w:val="28"/>
          <w:szCs w:val="28"/>
        </w:rPr>
        <w:t>法定代表人（主要负责人）或委托代理人：（签字或盖章）</w:t>
      </w:r>
    </w:p>
    <w:p>
      <w:pPr>
        <w:spacing w:line="460" w:lineRule="exact"/>
        <w:ind w:firstLine="560" w:firstLineChars="200"/>
        <w:jc w:val="both"/>
        <w:rPr>
          <w:rFonts w:ascii="宋体" w:hAnsi="宋体" w:eastAsia="宋体"/>
          <w:sz w:val="28"/>
          <w:szCs w:val="28"/>
        </w:rPr>
      </w:pPr>
      <w:r>
        <w:rPr>
          <w:rFonts w:hint="eastAsia" w:ascii="宋体" w:hAnsi="宋体" w:eastAsia="宋体"/>
          <w:sz w:val="28"/>
          <w:szCs w:val="28"/>
        </w:rPr>
        <w:t>联系</w:t>
      </w:r>
      <w:r>
        <w:rPr>
          <w:rFonts w:ascii="宋体" w:hAnsi="宋体" w:eastAsia="宋体"/>
          <w:sz w:val="28"/>
          <w:szCs w:val="28"/>
        </w:rPr>
        <w:t>电话：</w:t>
      </w:r>
    </w:p>
    <w:p>
      <w:pPr>
        <w:spacing w:line="460" w:lineRule="exact"/>
        <w:ind w:firstLine="560" w:firstLineChars="200"/>
        <w:jc w:val="both"/>
        <w:rPr>
          <w:rFonts w:ascii="宋体" w:hAnsi="宋体" w:eastAsia="宋体"/>
          <w:sz w:val="28"/>
          <w:szCs w:val="28"/>
        </w:rPr>
      </w:pPr>
      <w:r>
        <w:rPr>
          <w:rFonts w:ascii="宋体" w:hAnsi="宋体" w:eastAsia="宋体"/>
          <w:sz w:val="28"/>
          <w:szCs w:val="28"/>
        </w:rPr>
        <w:t>通讯地址：</w:t>
      </w:r>
    </w:p>
    <w:p>
      <w:pPr>
        <w:spacing w:line="460" w:lineRule="exact"/>
        <w:ind w:firstLine="560" w:firstLineChars="200"/>
        <w:jc w:val="both"/>
        <w:rPr>
          <w:rFonts w:ascii="宋体" w:hAnsi="宋体" w:eastAsia="宋体"/>
          <w:sz w:val="28"/>
          <w:szCs w:val="28"/>
        </w:rPr>
      </w:pPr>
      <w:r>
        <w:rPr>
          <w:rFonts w:ascii="宋体" w:hAnsi="宋体" w:eastAsia="宋体"/>
          <w:sz w:val="28"/>
          <w:szCs w:val="28"/>
        </w:rPr>
        <w:t>邮</w:t>
      </w:r>
      <w:r>
        <w:rPr>
          <w:rFonts w:hint="eastAsia" w:ascii="宋体" w:hAnsi="宋体" w:eastAsia="宋体"/>
          <w:sz w:val="28"/>
          <w:szCs w:val="28"/>
        </w:rPr>
        <w:t xml:space="preserve">    </w:t>
      </w:r>
      <w:r>
        <w:rPr>
          <w:rFonts w:ascii="宋体" w:hAnsi="宋体" w:eastAsia="宋体"/>
          <w:sz w:val="28"/>
          <w:szCs w:val="28"/>
        </w:rPr>
        <w:t>编：</w:t>
      </w:r>
    </w:p>
    <w:p>
      <w:pPr>
        <w:spacing w:line="460" w:lineRule="exact"/>
        <w:ind w:firstLine="560" w:firstLineChars="200"/>
        <w:jc w:val="both"/>
        <w:rPr>
          <w:rFonts w:ascii="宋体" w:hAnsi="宋体" w:eastAsia="宋体"/>
          <w:sz w:val="28"/>
          <w:szCs w:val="28"/>
        </w:rPr>
      </w:pPr>
      <w:r>
        <w:rPr>
          <w:rFonts w:ascii="宋体" w:hAnsi="宋体" w:eastAsia="宋体"/>
          <w:sz w:val="28"/>
          <w:szCs w:val="28"/>
        </w:rPr>
        <w:t>电子邮箱：</w:t>
      </w:r>
    </w:p>
    <w:p>
      <w:pPr>
        <w:spacing w:line="460" w:lineRule="exact"/>
        <w:ind w:firstLine="560" w:firstLineChars="200"/>
        <w:jc w:val="both"/>
        <w:rPr>
          <w:rFonts w:ascii="宋体" w:hAnsi="宋体" w:eastAsia="宋体"/>
          <w:sz w:val="28"/>
          <w:szCs w:val="28"/>
        </w:rPr>
      </w:pPr>
      <w:r>
        <w:rPr>
          <w:rFonts w:ascii="宋体" w:hAnsi="宋体" w:eastAsia="宋体"/>
          <w:sz w:val="28"/>
          <w:szCs w:val="28"/>
        </w:rPr>
        <w:t>日</w:t>
      </w:r>
      <w:r>
        <w:rPr>
          <w:rFonts w:hint="eastAsia" w:ascii="宋体" w:hAnsi="宋体" w:eastAsia="宋体"/>
          <w:sz w:val="28"/>
          <w:szCs w:val="28"/>
        </w:rPr>
        <w:t xml:space="preserve">    </w:t>
      </w:r>
      <w:r>
        <w:rPr>
          <w:rFonts w:ascii="宋体" w:hAnsi="宋体" w:eastAsia="宋体"/>
          <w:sz w:val="28"/>
          <w:szCs w:val="28"/>
        </w:rPr>
        <w:t>期：    年  月  日</w:t>
      </w:r>
    </w:p>
    <w:p>
      <w:pPr>
        <w:spacing w:line="460" w:lineRule="exact"/>
        <w:rPr>
          <w:rFonts w:ascii="宋体" w:hAnsi="宋体" w:eastAsia="宋体"/>
          <w:sz w:val="28"/>
          <w:szCs w:val="28"/>
        </w:rPr>
      </w:pPr>
      <w:r>
        <w:rPr>
          <w:rFonts w:ascii="宋体" w:hAnsi="宋体" w:eastAsia="宋体"/>
          <w:sz w:val="22"/>
          <w:szCs w:val="22"/>
        </w:rPr>
        <w:br w:type="page"/>
      </w:r>
    </w:p>
    <w:p>
      <w:pPr>
        <w:pStyle w:val="4"/>
        <w:ind w:firstLine="643"/>
        <w:jc w:val="center"/>
        <w:rPr>
          <w:rFonts w:ascii="宋体" w:hAnsi="宋体" w:eastAsia="宋体"/>
          <w:b/>
          <w:bCs/>
        </w:rPr>
      </w:pPr>
      <w:bookmarkStart w:id="142" w:name="_Toc120103981"/>
      <w:r>
        <w:rPr>
          <w:rFonts w:ascii="宋体" w:hAnsi="宋体" w:eastAsia="宋体"/>
          <w:b/>
          <w:bCs/>
        </w:rPr>
        <w:t>第二部分</w:t>
      </w:r>
      <w:r>
        <w:rPr>
          <w:rFonts w:hint="eastAsia" w:ascii="宋体" w:hAnsi="宋体" w:eastAsia="宋体"/>
          <w:b/>
          <w:bCs/>
        </w:rPr>
        <w:t xml:space="preserve">  </w:t>
      </w:r>
      <w:r>
        <w:rPr>
          <w:rFonts w:ascii="宋体" w:hAnsi="宋体" w:eastAsia="宋体"/>
          <w:b/>
          <w:bCs/>
        </w:rPr>
        <w:t>开标一览表</w:t>
      </w:r>
      <w:bookmarkEnd w:id="142"/>
    </w:p>
    <w:tbl>
      <w:tblPr>
        <w:tblStyle w:val="39"/>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4"/>
        <w:gridCol w:w="2691"/>
        <w:gridCol w:w="3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964" w:type="dxa"/>
            <w:vMerge w:val="restart"/>
            <w:tcBorders>
              <w:top w:val="single" w:color="auto" w:sz="12" w:space="0"/>
              <w:left w:val="single" w:color="auto" w:sz="12" w:space="0"/>
              <w:tl2br w:val="single" w:color="auto" w:sz="4" w:space="0"/>
            </w:tcBorders>
            <w:shd w:val="clear" w:color="auto" w:fill="F1F1F1" w:themeFill="background1" w:themeFillShade="F2"/>
            <w:vAlign w:val="center"/>
          </w:tcPr>
          <w:p>
            <w:pPr>
              <w:spacing w:line="560" w:lineRule="exact"/>
              <w:jc w:val="center"/>
              <w:rPr>
                <w:rFonts w:ascii="宋体" w:hAnsi="宋体" w:eastAsia="宋体"/>
                <w:sz w:val="28"/>
                <w:szCs w:val="28"/>
              </w:rPr>
            </w:pPr>
            <w:r>
              <w:rPr>
                <w:rFonts w:ascii="宋体" w:hAnsi="宋体" w:eastAsia="宋体"/>
                <w:sz w:val="28"/>
                <w:szCs w:val="28"/>
              </w:rPr>
              <w:t>报价内容</w:t>
            </w:r>
          </w:p>
          <w:p>
            <w:pPr>
              <w:spacing w:line="560" w:lineRule="exact"/>
              <w:rPr>
                <w:rFonts w:ascii="宋体" w:hAnsi="宋体" w:eastAsia="宋体"/>
                <w:sz w:val="28"/>
                <w:szCs w:val="28"/>
              </w:rPr>
            </w:pPr>
          </w:p>
          <w:p>
            <w:pPr>
              <w:spacing w:line="560" w:lineRule="exact"/>
              <w:jc w:val="center"/>
              <w:rPr>
                <w:rFonts w:ascii="宋体" w:hAnsi="宋体" w:eastAsia="宋体"/>
                <w:sz w:val="28"/>
                <w:szCs w:val="28"/>
              </w:rPr>
            </w:pPr>
            <w:r>
              <w:rPr>
                <w:rFonts w:ascii="宋体" w:hAnsi="宋体" w:eastAsia="宋体"/>
                <w:sz w:val="28"/>
                <w:szCs w:val="28"/>
              </w:rPr>
              <w:t>项目名称</w:t>
            </w:r>
          </w:p>
        </w:tc>
        <w:tc>
          <w:tcPr>
            <w:tcW w:w="2691" w:type="dxa"/>
            <w:tcBorders>
              <w:top w:val="single" w:color="auto" w:sz="12" w:space="0"/>
            </w:tcBorders>
            <w:shd w:val="clear" w:color="auto" w:fill="D0CECE" w:themeFill="background2" w:themeFillShade="E6"/>
            <w:vAlign w:val="center"/>
          </w:tcPr>
          <w:p>
            <w:pPr>
              <w:spacing w:line="560" w:lineRule="exact"/>
              <w:jc w:val="center"/>
              <w:rPr>
                <w:rFonts w:ascii="宋体" w:hAnsi="宋体" w:eastAsia="宋体"/>
                <w:sz w:val="28"/>
                <w:szCs w:val="28"/>
              </w:rPr>
            </w:pPr>
          </w:p>
        </w:tc>
        <w:tc>
          <w:tcPr>
            <w:tcW w:w="3213" w:type="dxa"/>
            <w:tcBorders>
              <w:top w:val="single" w:color="auto" w:sz="12" w:space="0"/>
              <w:right w:val="single" w:color="auto" w:sz="12" w:space="0"/>
            </w:tcBorders>
            <w:shd w:val="clear" w:color="auto" w:fill="D0CECE" w:themeFill="background2" w:themeFillShade="E6"/>
            <w:vAlign w:val="center"/>
          </w:tcPr>
          <w:p>
            <w:pPr>
              <w:spacing w:line="560" w:lineRule="exact"/>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964" w:type="dxa"/>
            <w:vMerge w:val="continue"/>
            <w:tcBorders>
              <w:left w:val="single" w:color="auto" w:sz="12" w:space="0"/>
              <w:tl2br w:val="single" w:color="auto" w:sz="4" w:space="0"/>
            </w:tcBorders>
            <w:shd w:val="clear" w:color="auto" w:fill="F1F1F1" w:themeFill="background1" w:themeFillShade="F2"/>
            <w:vAlign w:val="center"/>
          </w:tcPr>
          <w:p>
            <w:pPr>
              <w:spacing w:line="560" w:lineRule="exact"/>
              <w:jc w:val="center"/>
              <w:rPr>
                <w:rFonts w:ascii="宋体" w:hAnsi="宋体" w:eastAsia="宋体"/>
                <w:sz w:val="28"/>
                <w:szCs w:val="28"/>
              </w:rPr>
            </w:pPr>
          </w:p>
        </w:tc>
        <w:tc>
          <w:tcPr>
            <w:tcW w:w="2691" w:type="dxa"/>
            <w:shd w:val="clear" w:color="auto" w:fill="ECECEC" w:themeFill="accent3" w:themeFillTint="33"/>
            <w:vAlign w:val="center"/>
          </w:tcPr>
          <w:p>
            <w:pPr>
              <w:spacing w:line="560" w:lineRule="exact"/>
              <w:jc w:val="center"/>
              <w:rPr>
                <w:rFonts w:ascii="宋体" w:hAnsi="宋体" w:eastAsia="宋体"/>
                <w:sz w:val="28"/>
                <w:szCs w:val="28"/>
              </w:rPr>
            </w:pPr>
            <w:r>
              <w:rPr>
                <w:rFonts w:ascii="宋体" w:hAnsi="宋体" w:eastAsia="宋体"/>
                <w:sz w:val="28"/>
                <w:szCs w:val="28"/>
              </w:rPr>
              <w:t>合计（元）</w:t>
            </w:r>
          </w:p>
        </w:tc>
        <w:tc>
          <w:tcPr>
            <w:tcW w:w="3213" w:type="dxa"/>
            <w:tcBorders>
              <w:right w:val="single" w:color="auto" w:sz="12" w:space="0"/>
            </w:tcBorders>
            <w:shd w:val="clear" w:color="auto" w:fill="ECECEC" w:themeFill="accent3" w:themeFillTint="33"/>
            <w:vAlign w:val="center"/>
          </w:tcPr>
          <w:p>
            <w:pPr>
              <w:spacing w:line="560" w:lineRule="exact"/>
              <w:jc w:val="center"/>
              <w:rPr>
                <w:rFonts w:ascii="宋体" w:hAnsi="宋体" w:eastAsia="宋体"/>
                <w:sz w:val="28"/>
                <w:szCs w:val="28"/>
              </w:rPr>
            </w:pPr>
            <w:r>
              <w:rPr>
                <w:rFonts w:ascii="宋体" w:hAnsi="宋体" w:eastAsia="宋体"/>
                <w:sz w:val="28"/>
                <w:szCs w:val="28"/>
              </w:rPr>
              <w:t>服务期</w:t>
            </w:r>
            <w:r>
              <w:rPr>
                <w:rFonts w:hint="eastAsia" w:ascii="宋体" w:hAnsi="宋体" w:eastAsia="宋体"/>
                <w:sz w:val="28"/>
                <w:szCs w:val="28"/>
              </w:rPr>
              <w:t>/交付期/工期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2964" w:type="dxa"/>
            <w:tcBorders>
              <w:left w:val="single" w:color="auto" w:sz="12" w:space="0"/>
            </w:tcBorders>
            <w:shd w:val="clear" w:color="auto" w:fill="F1F1F1" w:themeFill="background1" w:themeFillShade="F2"/>
            <w:vAlign w:val="center"/>
          </w:tcPr>
          <w:p>
            <w:pPr>
              <w:spacing w:line="560" w:lineRule="exact"/>
              <w:jc w:val="center"/>
              <w:rPr>
                <w:rFonts w:ascii="宋体" w:hAnsi="宋体" w:eastAsia="宋体"/>
                <w:sz w:val="28"/>
                <w:szCs w:val="28"/>
              </w:rPr>
            </w:pPr>
            <w:r>
              <w:rPr>
                <w:rFonts w:ascii="宋体" w:hAnsi="宋体" w:eastAsia="宋体"/>
                <w:sz w:val="28"/>
                <w:szCs w:val="28"/>
              </w:rPr>
              <w:t>〈项目名称〉</w:t>
            </w:r>
          </w:p>
        </w:tc>
        <w:tc>
          <w:tcPr>
            <w:tcW w:w="2691" w:type="dxa"/>
            <w:vAlign w:val="center"/>
          </w:tcPr>
          <w:p>
            <w:pPr>
              <w:spacing w:line="560" w:lineRule="exact"/>
              <w:jc w:val="center"/>
              <w:rPr>
                <w:rFonts w:ascii="宋体" w:hAnsi="宋体" w:eastAsia="宋体"/>
                <w:sz w:val="28"/>
                <w:szCs w:val="28"/>
              </w:rPr>
            </w:pPr>
          </w:p>
        </w:tc>
        <w:tc>
          <w:tcPr>
            <w:tcW w:w="3213" w:type="dxa"/>
            <w:tcBorders>
              <w:right w:val="single" w:color="auto" w:sz="12" w:space="0"/>
            </w:tcBorders>
            <w:vAlign w:val="center"/>
          </w:tcPr>
          <w:p>
            <w:pPr>
              <w:spacing w:line="560" w:lineRule="exact"/>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964" w:type="dxa"/>
            <w:tcBorders>
              <w:left w:val="single" w:color="auto" w:sz="12" w:space="0"/>
              <w:bottom w:val="single" w:color="auto" w:sz="12" w:space="0"/>
            </w:tcBorders>
            <w:shd w:val="clear" w:color="auto" w:fill="F1F1F1" w:themeFill="background1" w:themeFillShade="F2"/>
            <w:vAlign w:val="center"/>
          </w:tcPr>
          <w:p>
            <w:pPr>
              <w:spacing w:line="560" w:lineRule="exact"/>
              <w:jc w:val="center"/>
              <w:rPr>
                <w:rFonts w:ascii="宋体" w:hAnsi="宋体" w:eastAsia="宋体"/>
                <w:sz w:val="28"/>
                <w:szCs w:val="28"/>
              </w:rPr>
            </w:pPr>
            <w:r>
              <w:rPr>
                <w:rFonts w:ascii="宋体" w:hAnsi="宋体" w:eastAsia="宋体"/>
                <w:sz w:val="28"/>
                <w:szCs w:val="28"/>
              </w:rPr>
              <w:t>合计（大写）</w:t>
            </w:r>
          </w:p>
        </w:tc>
        <w:tc>
          <w:tcPr>
            <w:tcW w:w="5904" w:type="dxa"/>
            <w:gridSpan w:val="2"/>
            <w:tcBorders>
              <w:bottom w:val="single" w:color="auto" w:sz="12" w:space="0"/>
              <w:right w:val="single" w:color="auto" w:sz="12" w:space="0"/>
            </w:tcBorders>
            <w:vAlign w:val="center"/>
          </w:tcPr>
          <w:p>
            <w:pPr>
              <w:spacing w:line="560" w:lineRule="exact"/>
              <w:jc w:val="center"/>
              <w:rPr>
                <w:rFonts w:ascii="宋体" w:hAnsi="宋体" w:eastAsia="宋体"/>
                <w:sz w:val="28"/>
                <w:szCs w:val="28"/>
              </w:rPr>
            </w:pPr>
          </w:p>
        </w:tc>
      </w:tr>
    </w:tbl>
    <w:p>
      <w:pPr>
        <w:spacing w:line="560" w:lineRule="exact"/>
        <w:ind w:firstLine="3222" w:firstLineChars="1151"/>
        <w:jc w:val="both"/>
        <w:rPr>
          <w:rFonts w:ascii="宋体" w:hAnsi="宋体" w:eastAsia="宋体"/>
          <w:sz w:val="28"/>
          <w:szCs w:val="28"/>
        </w:rPr>
      </w:pPr>
      <w:r>
        <w:rPr>
          <w:rFonts w:ascii="宋体" w:hAnsi="宋体" w:eastAsia="宋体"/>
          <w:sz w:val="28"/>
          <w:szCs w:val="28"/>
        </w:rPr>
        <w:t>供应商：（供应商全称并加盖公章）</w:t>
      </w:r>
    </w:p>
    <w:p>
      <w:pPr>
        <w:spacing w:line="560" w:lineRule="exact"/>
        <w:ind w:firstLine="560" w:firstLineChars="200"/>
        <w:jc w:val="both"/>
        <w:rPr>
          <w:rFonts w:ascii="宋体" w:hAnsi="宋体" w:eastAsia="宋体"/>
          <w:sz w:val="28"/>
          <w:szCs w:val="28"/>
        </w:rPr>
      </w:pPr>
    </w:p>
    <w:p>
      <w:pPr>
        <w:spacing w:line="560" w:lineRule="exact"/>
        <w:ind w:firstLine="560" w:firstLineChars="200"/>
        <w:jc w:val="both"/>
        <w:rPr>
          <w:rFonts w:ascii="宋体" w:hAnsi="宋体" w:eastAsia="宋体"/>
          <w:sz w:val="28"/>
          <w:szCs w:val="28"/>
        </w:rPr>
      </w:pPr>
      <w:r>
        <w:rPr>
          <w:rFonts w:ascii="宋体" w:hAnsi="宋体" w:eastAsia="宋体"/>
          <w:sz w:val="28"/>
          <w:szCs w:val="28"/>
        </w:rPr>
        <w:t>注：出现</w:t>
      </w:r>
      <w:r>
        <w:rPr>
          <w:rFonts w:hint="eastAsia" w:ascii="宋体" w:hAnsi="宋体" w:eastAsia="宋体"/>
          <w:sz w:val="28"/>
          <w:szCs w:val="28"/>
        </w:rPr>
        <w:t>下列情形的按无效投标处理</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1．A栏未按阿拉伯小写金额样式填写；</w:t>
      </w:r>
      <w:r>
        <w:rPr>
          <w:rFonts w:ascii="宋体" w:hAnsi="宋体" w:eastAsia="宋体"/>
          <w:sz w:val="28"/>
          <w:szCs w:val="28"/>
        </w:rPr>
        <w:t>B</w:t>
      </w:r>
      <w:r>
        <w:rPr>
          <w:rFonts w:hint="eastAsia" w:ascii="宋体" w:hAnsi="宋体" w:eastAsia="宋体"/>
          <w:sz w:val="28"/>
          <w:szCs w:val="28"/>
        </w:rPr>
        <w:t>栏未填写服务期/交付期/工期。</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2．“合计（大写）”栏未按银行大写金额样式进行填写。样式参考：壹、贰、叁、肆、伍、陆、柒、捌、玖、拾、佰、仟、万、亿、元（圆）、角、分、零、整（正）。</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3．“合计（大写）”金额与</w:t>
      </w:r>
      <w:r>
        <w:rPr>
          <w:rFonts w:ascii="宋体" w:hAnsi="宋体" w:eastAsia="宋体"/>
          <w:sz w:val="28"/>
          <w:szCs w:val="28"/>
        </w:rPr>
        <w:t>A</w:t>
      </w:r>
      <w:r>
        <w:rPr>
          <w:rFonts w:hint="eastAsia" w:ascii="宋体" w:hAnsi="宋体" w:eastAsia="宋体"/>
          <w:sz w:val="28"/>
          <w:szCs w:val="28"/>
        </w:rPr>
        <w:t>栏“合计”不一致的。</w:t>
      </w:r>
    </w:p>
    <w:p>
      <w:pPr>
        <w:spacing w:line="560" w:lineRule="exact"/>
        <w:ind w:firstLine="640" w:firstLineChars="200"/>
        <w:jc w:val="both"/>
        <w:rPr>
          <w:rFonts w:ascii="宋体" w:hAnsi="宋体" w:eastAsia="宋体"/>
          <w:sz w:val="32"/>
          <w:szCs w:val="32"/>
        </w:rPr>
      </w:pPr>
      <w:r>
        <w:rPr>
          <w:rFonts w:ascii="宋体" w:hAnsi="宋体" w:eastAsia="宋体"/>
          <w:sz w:val="32"/>
          <w:szCs w:val="32"/>
        </w:rPr>
        <w:br w:type="page"/>
      </w:r>
    </w:p>
    <w:p>
      <w:pPr>
        <w:pStyle w:val="110"/>
        <w:rPr>
          <w:rFonts w:ascii="宋体" w:hAnsi="宋体" w:eastAsia="宋体"/>
        </w:rPr>
      </w:pPr>
      <w:r>
        <w:rPr>
          <w:rFonts w:hint="eastAsia" w:ascii="宋体" w:hAnsi="宋体" w:eastAsia="宋体"/>
        </w:rPr>
        <w:t>分项报价表</w:t>
      </w:r>
    </w:p>
    <w:p>
      <w:pPr>
        <w:spacing w:line="560" w:lineRule="exact"/>
        <w:jc w:val="right"/>
        <w:rPr>
          <w:rFonts w:ascii="宋体" w:hAnsi="宋体" w:eastAsia="宋体"/>
          <w:sz w:val="32"/>
          <w:szCs w:val="32"/>
        </w:rPr>
      </w:pPr>
      <w:r>
        <w:rPr>
          <w:rFonts w:ascii="宋体" w:hAnsi="宋体" w:eastAsia="宋体"/>
          <w:sz w:val="32"/>
          <w:szCs w:val="32"/>
        </w:rPr>
        <w:t>单位：元</w:t>
      </w:r>
    </w:p>
    <w:tbl>
      <w:tblPr>
        <w:tblStyle w:val="3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661"/>
        <w:gridCol w:w="1401"/>
        <w:gridCol w:w="1554"/>
        <w:gridCol w:w="1331"/>
        <w:gridCol w:w="949"/>
        <w:gridCol w:w="950"/>
        <w:gridCol w:w="1038"/>
        <w:gridCol w:w="20"/>
        <w:gridCol w:w="96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shd w:val="clear" w:color="auto" w:fill="auto"/>
            <w:noWrap/>
            <w:tcMar>
              <w:top w:w="20" w:type="dxa"/>
              <w:left w:w="20" w:type="dxa"/>
              <w:bottom w:w="0" w:type="dxa"/>
              <w:right w:w="20" w:type="dxa"/>
            </w:tcMar>
            <w:vAlign w:val="center"/>
          </w:tcPr>
          <w:p>
            <w:pPr>
              <w:jc w:val="center"/>
              <w:rPr>
                <w:rFonts w:ascii="宋体" w:hAnsi="宋体" w:eastAsia="宋体"/>
                <w:sz w:val="28"/>
                <w:szCs w:val="28"/>
              </w:rPr>
            </w:pPr>
            <w:r>
              <w:rPr>
                <w:rFonts w:ascii="宋体" w:hAnsi="宋体" w:eastAsia="宋体"/>
                <w:sz w:val="28"/>
                <w:szCs w:val="28"/>
              </w:rPr>
              <w:t>序号</w:t>
            </w:r>
          </w:p>
        </w:tc>
        <w:tc>
          <w:tcPr>
            <w:tcW w:w="1401" w:type="dxa"/>
            <w:shd w:val="clear" w:color="auto" w:fill="auto"/>
            <w:noWrap/>
            <w:tcMar>
              <w:top w:w="20" w:type="dxa"/>
              <w:left w:w="20" w:type="dxa"/>
              <w:bottom w:w="0" w:type="dxa"/>
              <w:right w:w="20" w:type="dxa"/>
            </w:tcMar>
            <w:vAlign w:val="center"/>
          </w:tcPr>
          <w:p>
            <w:pPr>
              <w:jc w:val="center"/>
              <w:rPr>
                <w:rFonts w:ascii="宋体" w:hAnsi="宋体" w:eastAsia="宋体"/>
                <w:sz w:val="28"/>
                <w:szCs w:val="28"/>
              </w:rPr>
            </w:pPr>
            <w:r>
              <w:rPr>
                <w:rFonts w:ascii="宋体" w:hAnsi="宋体" w:eastAsia="宋体"/>
                <w:sz w:val="28"/>
                <w:szCs w:val="28"/>
              </w:rPr>
              <w:t>产品名称</w:t>
            </w:r>
          </w:p>
        </w:tc>
        <w:tc>
          <w:tcPr>
            <w:tcW w:w="1554" w:type="dxa"/>
            <w:shd w:val="clear" w:color="auto" w:fill="auto"/>
            <w:noWrap/>
            <w:tcMar>
              <w:top w:w="20" w:type="dxa"/>
              <w:left w:w="20" w:type="dxa"/>
              <w:bottom w:w="0" w:type="dxa"/>
              <w:right w:w="20" w:type="dxa"/>
            </w:tcMar>
            <w:vAlign w:val="center"/>
          </w:tcPr>
          <w:p>
            <w:pPr>
              <w:jc w:val="center"/>
              <w:rPr>
                <w:rFonts w:ascii="宋体" w:hAnsi="宋体" w:eastAsia="宋体"/>
                <w:sz w:val="28"/>
                <w:szCs w:val="28"/>
              </w:rPr>
            </w:pPr>
            <w:r>
              <w:rPr>
                <w:rFonts w:ascii="宋体" w:hAnsi="宋体" w:eastAsia="宋体"/>
                <w:sz w:val="28"/>
                <w:szCs w:val="28"/>
              </w:rPr>
              <w:t>品牌及</w:t>
            </w:r>
          </w:p>
          <w:p>
            <w:pPr>
              <w:jc w:val="center"/>
              <w:rPr>
                <w:rFonts w:ascii="宋体" w:hAnsi="宋体" w:eastAsia="宋体"/>
                <w:sz w:val="28"/>
                <w:szCs w:val="28"/>
              </w:rPr>
            </w:pPr>
            <w:r>
              <w:rPr>
                <w:rFonts w:ascii="宋体" w:hAnsi="宋体" w:eastAsia="宋体"/>
                <w:sz w:val="28"/>
                <w:szCs w:val="28"/>
              </w:rPr>
              <w:t>规格型号</w:t>
            </w:r>
          </w:p>
        </w:tc>
        <w:tc>
          <w:tcPr>
            <w:tcW w:w="1331" w:type="dxa"/>
            <w:shd w:val="clear" w:color="auto" w:fill="auto"/>
            <w:noWrap/>
            <w:tcMar>
              <w:top w:w="20" w:type="dxa"/>
              <w:left w:w="20" w:type="dxa"/>
              <w:bottom w:w="0" w:type="dxa"/>
              <w:right w:w="20" w:type="dxa"/>
            </w:tcMar>
            <w:vAlign w:val="center"/>
          </w:tcPr>
          <w:p>
            <w:pPr>
              <w:jc w:val="center"/>
              <w:rPr>
                <w:rFonts w:ascii="宋体" w:hAnsi="宋体" w:eastAsia="宋体"/>
                <w:sz w:val="28"/>
                <w:szCs w:val="28"/>
              </w:rPr>
            </w:pPr>
            <w:r>
              <w:rPr>
                <w:rFonts w:ascii="宋体" w:hAnsi="宋体" w:eastAsia="宋体"/>
                <w:sz w:val="28"/>
                <w:szCs w:val="28"/>
              </w:rPr>
              <w:t>生产厂家</w:t>
            </w:r>
          </w:p>
        </w:tc>
        <w:tc>
          <w:tcPr>
            <w:tcW w:w="949" w:type="dxa"/>
            <w:shd w:val="clear" w:color="auto" w:fill="auto"/>
            <w:noWrap/>
            <w:tcMar>
              <w:top w:w="20" w:type="dxa"/>
              <w:left w:w="20" w:type="dxa"/>
              <w:bottom w:w="0" w:type="dxa"/>
              <w:right w:w="20" w:type="dxa"/>
            </w:tcMar>
            <w:vAlign w:val="center"/>
          </w:tcPr>
          <w:p>
            <w:pPr>
              <w:jc w:val="center"/>
              <w:rPr>
                <w:rFonts w:ascii="宋体" w:hAnsi="宋体" w:eastAsia="宋体"/>
                <w:sz w:val="28"/>
                <w:szCs w:val="28"/>
              </w:rPr>
            </w:pPr>
            <w:r>
              <w:rPr>
                <w:rFonts w:ascii="宋体" w:hAnsi="宋体" w:eastAsia="宋体"/>
                <w:sz w:val="28"/>
                <w:szCs w:val="28"/>
              </w:rPr>
              <w:t>是否小微企业产品</w:t>
            </w:r>
          </w:p>
        </w:tc>
        <w:tc>
          <w:tcPr>
            <w:tcW w:w="950" w:type="dxa"/>
            <w:shd w:val="clear" w:color="auto" w:fill="auto"/>
            <w:noWrap/>
            <w:tcMar>
              <w:top w:w="20" w:type="dxa"/>
              <w:left w:w="20" w:type="dxa"/>
              <w:bottom w:w="0" w:type="dxa"/>
              <w:right w:w="20" w:type="dxa"/>
            </w:tcMar>
            <w:vAlign w:val="center"/>
          </w:tcPr>
          <w:p>
            <w:pPr>
              <w:jc w:val="center"/>
              <w:rPr>
                <w:rFonts w:ascii="宋体" w:hAnsi="宋体" w:eastAsia="宋体"/>
                <w:sz w:val="28"/>
                <w:szCs w:val="28"/>
              </w:rPr>
            </w:pPr>
            <w:r>
              <w:rPr>
                <w:rFonts w:ascii="宋体" w:hAnsi="宋体" w:eastAsia="宋体"/>
                <w:sz w:val="28"/>
                <w:szCs w:val="28"/>
              </w:rPr>
              <w:t>数量</w:t>
            </w:r>
          </w:p>
        </w:tc>
        <w:tc>
          <w:tcPr>
            <w:tcW w:w="1038" w:type="dxa"/>
            <w:shd w:val="clear" w:color="auto" w:fill="auto"/>
            <w:noWrap/>
            <w:tcMar>
              <w:top w:w="20" w:type="dxa"/>
              <w:left w:w="20" w:type="dxa"/>
              <w:bottom w:w="0" w:type="dxa"/>
              <w:right w:w="20" w:type="dxa"/>
            </w:tcMar>
            <w:vAlign w:val="center"/>
          </w:tcPr>
          <w:p>
            <w:pPr>
              <w:jc w:val="center"/>
              <w:rPr>
                <w:rFonts w:ascii="宋体" w:hAnsi="宋体" w:eastAsia="宋体"/>
                <w:sz w:val="28"/>
                <w:szCs w:val="28"/>
              </w:rPr>
            </w:pPr>
            <w:r>
              <w:rPr>
                <w:rFonts w:ascii="宋体" w:hAnsi="宋体" w:eastAsia="宋体"/>
                <w:sz w:val="28"/>
                <w:szCs w:val="28"/>
              </w:rPr>
              <w:t>单价</w:t>
            </w:r>
          </w:p>
        </w:tc>
        <w:tc>
          <w:tcPr>
            <w:tcW w:w="984" w:type="dxa"/>
            <w:gridSpan w:val="2"/>
            <w:shd w:val="clear" w:color="auto" w:fill="auto"/>
            <w:vAlign w:val="center"/>
          </w:tcPr>
          <w:p>
            <w:pPr>
              <w:jc w:val="center"/>
              <w:rPr>
                <w:rFonts w:ascii="宋体" w:hAnsi="宋体" w:eastAsia="宋体"/>
                <w:sz w:val="28"/>
                <w:szCs w:val="28"/>
              </w:rPr>
            </w:pPr>
            <w:r>
              <w:rPr>
                <w:rFonts w:ascii="宋体" w:hAnsi="宋体" w:eastAsia="宋体"/>
                <w:sz w:val="28"/>
                <w:szCs w:val="28"/>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宋体" w:hAnsi="宋体" w:eastAsia="宋体"/>
                <w:sz w:val="28"/>
                <w:szCs w:val="28"/>
              </w:rPr>
            </w:pPr>
          </w:p>
        </w:tc>
        <w:tc>
          <w:tcPr>
            <w:tcW w:w="1401" w:type="dxa"/>
            <w:noWrap/>
            <w:tcMar>
              <w:top w:w="20" w:type="dxa"/>
              <w:left w:w="20" w:type="dxa"/>
              <w:bottom w:w="0" w:type="dxa"/>
              <w:right w:w="20" w:type="dxa"/>
            </w:tcMar>
            <w:vAlign w:val="center"/>
          </w:tcPr>
          <w:p>
            <w:pPr>
              <w:jc w:val="center"/>
              <w:rPr>
                <w:rFonts w:ascii="宋体" w:hAnsi="宋体" w:eastAsia="宋体"/>
                <w:sz w:val="28"/>
                <w:szCs w:val="28"/>
              </w:rPr>
            </w:pPr>
          </w:p>
        </w:tc>
        <w:tc>
          <w:tcPr>
            <w:tcW w:w="1554" w:type="dxa"/>
            <w:noWrap/>
            <w:tcMar>
              <w:top w:w="20" w:type="dxa"/>
              <w:left w:w="20" w:type="dxa"/>
              <w:bottom w:w="0" w:type="dxa"/>
              <w:right w:w="20" w:type="dxa"/>
            </w:tcMar>
            <w:vAlign w:val="center"/>
          </w:tcPr>
          <w:p>
            <w:pPr>
              <w:jc w:val="center"/>
              <w:rPr>
                <w:rFonts w:ascii="宋体" w:hAnsi="宋体" w:eastAsia="宋体"/>
                <w:sz w:val="28"/>
                <w:szCs w:val="28"/>
              </w:rPr>
            </w:pPr>
          </w:p>
        </w:tc>
        <w:tc>
          <w:tcPr>
            <w:tcW w:w="1331" w:type="dxa"/>
            <w:noWrap/>
            <w:tcMar>
              <w:top w:w="20" w:type="dxa"/>
              <w:left w:w="20" w:type="dxa"/>
              <w:bottom w:w="0" w:type="dxa"/>
              <w:right w:w="20" w:type="dxa"/>
            </w:tcMar>
            <w:vAlign w:val="center"/>
          </w:tcPr>
          <w:p>
            <w:pPr>
              <w:jc w:val="center"/>
              <w:rPr>
                <w:rFonts w:ascii="宋体" w:hAnsi="宋体" w:eastAsia="宋体"/>
                <w:sz w:val="28"/>
                <w:szCs w:val="28"/>
              </w:rPr>
            </w:pPr>
          </w:p>
        </w:tc>
        <w:tc>
          <w:tcPr>
            <w:tcW w:w="949" w:type="dxa"/>
            <w:noWrap/>
            <w:tcMar>
              <w:top w:w="20" w:type="dxa"/>
              <w:left w:w="20" w:type="dxa"/>
              <w:bottom w:w="0" w:type="dxa"/>
              <w:right w:w="20" w:type="dxa"/>
            </w:tcMar>
            <w:vAlign w:val="center"/>
          </w:tcPr>
          <w:p>
            <w:pPr>
              <w:jc w:val="center"/>
              <w:rPr>
                <w:rFonts w:ascii="宋体" w:hAnsi="宋体" w:eastAsia="宋体"/>
                <w:sz w:val="28"/>
                <w:szCs w:val="28"/>
              </w:rPr>
            </w:pPr>
          </w:p>
        </w:tc>
        <w:tc>
          <w:tcPr>
            <w:tcW w:w="950" w:type="dxa"/>
            <w:noWrap/>
            <w:tcMar>
              <w:top w:w="20" w:type="dxa"/>
              <w:left w:w="20" w:type="dxa"/>
              <w:bottom w:w="0" w:type="dxa"/>
              <w:right w:w="20" w:type="dxa"/>
            </w:tcMar>
            <w:vAlign w:val="center"/>
          </w:tcPr>
          <w:p>
            <w:pPr>
              <w:jc w:val="center"/>
              <w:rPr>
                <w:rFonts w:ascii="宋体" w:hAnsi="宋体" w:eastAsia="宋体"/>
                <w:sz w:val="28"/>
                <w:szCs w:val="28"/>
              </w:rPr>
            </w:pPr>
          </w:p>
        </w:tc>
        <w:tc>
          <w:tcPr>
            <w:tcW w:w="1038" w:type="dxa"/>
            <w:noWrap/>
            <w:tcMar>
              <w:top w:w="20" w:type="dxa"/>
              <w:left w:w="20" w:type="dxa"/>
              <w:bottom w:w="0" w:type="dxa"/>
              <w:right w:w="20" w:type="dxa"/>
            </w:tcMar>
            <w:vAlign w:val="center"/>
          </w:tcPr>
          <w:p>
            <w:pPr>
              <w:jc w:val="center"/>
              <w:rPr>
                <w:rFonts w:ascii="宋体" w:hAnsi="宋体" w:eastAsia="宋体"/>
                <w:sz w:val="28"/>
                <w:szCs w:val="28"/>
              </w:rPr>
            </w:pPr>
          </w:p>
        </w:tc>
        <w:tc>
          <w:tcPr>
            <w:tcW w:w="984" w:type="dxa"/>
            <w:gridSpan w:val="2"/>
            <w:vAlign w:val="center"/>
          </w:tcPr>
          <w:p>
            <w:pPr>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宋体" w:hAnsi="宋体" w:eastAsia="宋体"/>
                <w:sz w:val="28"/>
                <w:szCs w:val="28"/>
              </w:rPr>
            </w:pPr>
          </w:p>
        </w:tc>
        <w:tc>
          <w:tcPr>
            <w:tcW w:w="1401" w:type="dxa"/>
            <w:noWrap/>
            <w:tcMar>
              <w:top w:w="20" w:type="dxa"/>
              <w:left w:w="20" w:type="dxa"/>
              <w:bottom w:w="0" w:type="dxa"/>
              <w:right w:w="20" w:type="dxa"/>
            </w:tcMar>
            <w:vAlign w:val="center"/>
          </w:tcPr>
          <w:p>
            <w:pPr>
              <w:jc w:val="center"/>
              <w:rPr>
                <w:rFonts w:ascii="宋体" w:hAnsi="宋体" w:eastAsia="宋体"/>
                <w:sz w:val="28"/>
                <w:szCs w:val="28"/>
              </w:rPr>
            </w:pPr>
          </w:p>
        </w:tc>
        <w:tc>
          <w:tcPr>
            <w:tcW w:w="1554" w:type="dxa"/>
            <w:noWrap/>
            <w:tcMar>
              <w:top w:w="20" w:type="dxa"/>
              <w:left w:w="20" w:type="dxa"/>
              <w:bottom w:w="0" w:type="dxa"/>
              <w:right w:w="20" w:type="dxa"/>
            </w:tcMar>
            <w:vAlign w:val="center"/>
          </w:tcPr>
          <w:p>
            <w:pPr>
              <w:jc w:val="center"/>
              <w:rPr>
                <w:rFonts w:ascii="宋体" w:hAnsi="宋体" w:eastAsia="宋体"/>
                <w:sz w:val="28"/>
                <w:szCs w:val="28"/>
              </w:rPr>
            </w:pPr>
          </w:p>
        </w:tc>
        <w:tc>
          <w:tcPr>
            <w:tcW w:w="1331" w:type="dxa"/>
            <w:noWrap/>
            <w:tcMar>
              <w:top w:w="20" w:type="dxa"/>
              <w:left w:w="20" w:type="dxa"/>
              <w:bottom w:w="0" w:type="dxa"/>
              <w:right w:w="20" w:type="dxa"/>
            </w:tcMar>
            <w:vAlign w:val="center"/>
          </w:tcPr>
          <w:p>
            <w:pPr>
              <w:jc w:val="center"/>
              <w:rPr>
                <w:rFonts w:ascii="宋体" w:hAnsi="宋体" w:eastAsia="宋体"/>
                <w:sz w:val="28"/>
                <w:szCs w:val="28"/>
              </w:rPr>
            </w:pPr>
          </w:p>
        </w:tc>
        <w:tc>
          <w:tcPr>
            <w:tcW w:w="949" w:type="dxa"/>
            <w:noWrap/>
            <w:tcMar>
              <w:top w:w="20" w:type="dxa"/>
              <w:left w:w="20" w:type="dxa"/>
              <w:bottom w:w="0" w:type="dxa"/>
              <w:right w:w="20" w:type="dxa"/>
            </w:tcMar>
            <w:vAlign w:val="center"/>
          </w:tcPr>
          <w:p>
            <w:pPr>
              <w:jc w:val="center"/>
              <w:rPr>
                <w:rFonts w:ascii="宋体" w:hAnsi="宋体" w:eastAsia="宋体"/>
                <w:sz w:val="28"/>
                <w:szCs w:val="28"/>
              </w:rPr>
            </w:pPr>
          </w:p>
        </w:tc>
        <w:tc>
          <w:tcPr>
            <w:tcW w:w="950" w:type="dxa"/>
            <w:noWrap/>
            <w:tcMar>
              <w:top w:w="20" w:type="dxa"/>
              <w:left w:w="20" w:type="dxa"/>
              <w:bottom w:w="0" w:type="dxa"/>
              <w:right w:w="20" w:type="dxa"/>
            </w:tcMar>
            <w:vAlign w:val="center"/>
          </w:tcPr>
          <w:p>
            <w:pPr>
              <w:jc w:val="center"/>
              <w:rPr>
                <w:rFonts w:ascii="宋体" w:hAnsi="宋体" w:eastAsia="宋体"/>
                <w:sz w:val="28"/>
                <w:szCs w:val="28"/>
              </w:rPr>
            </w:pPr>
          </w:p>
        </w:tc>
        <w:tc>
          <w:tcPr>
            <w:tcW w:w="1038" w:type="dxa"/>
            <w:noWrap/>
            <w:tcMar>
              <w:top w:w="20" w:type="dxa"/>
              <w:left w:w="20" w:type="dxa"/>
              <w:bottom w:w="0" w:type="dxa"/>
              <w:right w:w="20" w:type="dxa"/>
            </w:tcMar>
            <w:vAlign w:val="center"/>
          </w:tcPr>
          <w:p>
            <w:pPr>
              <w:jc w:val="center"/>
              <w:rPr>
                <w:rFonts w:ascii="宋体" w:hAnsi="宋体" w:eastAsia="宋体"/>
                <w:sz w:val="28"/>
                <w:szCs w:val="28"/>
              </w:rPr>
            </w:pPr>
          </w:p>
        </w:tc>
        <w:tc>
          <w:tcPr>
            <w:tcW w:w="984" w:type="dxa"/>
            <w:gridSpan w:val="2"/>
            <w:vAlign w:val="center"/>
          </w:tcPr>
          <w:p>
            <w:pPr>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宋体" w:hAnsi="宋体" w:eastAsia="宋体"/>
                <w:sz w:val="28"/>
                <w:szCs w:val="28"/>
              </w:rPr>
            </w:pPr>
          </w:p>
        </w:tc>
        <w:tc>
          <w:tcPr>
            <w:tcW w:w="1401" w:type="dxa"/>
            <w:noWrap/>
            <w:tcMar>
              <w:top w:w="20" w:type="dxa"/>
              <w:left w:w="20" w:type="dxa"/>
              <w:bottom w:w="0" w:type="dxa"/>
              <w:right w:w="20" w:type="dxa"/>
            </w:tcMar>
            <w:vAlign w:val="center"/>
          </w:tcPr>
          <w:p>
            <w:pPr>
              <w:jc w:val="center"/>
              <w:rPr>
                <w:rFonts w:ascii="宋体" w:hAnsi="宋体" w:eastAsia="宋体"/>
                <w:sz w:val="28"/>
                <w:szCs w:val="28"/>
              </w:rPr>
            </w:pPr>
          </w:p>
        </w:tc>
        <w:tc>
          <w:tcPr>
            <w:tcW w:w="1554" w:type="dxa"/>
            <w:noWrap/>
            <w:tcMar>
              <w:top w:w="20" w:type="dxa"/>
              <w:left w:w="20" w:type="dxa"/>
              <w:bottom w:w="0" w:type="dxa"/>
              <w:right w:w="20" w:type="dxa"/>
            </w:tcMar>
            <w:vAlign w:val="center"/>
          </w:tcPr>
          <w:p>
            <w:pPr>
              <w:jc w:val="center"/>
              <w:rPr>
                <w:rFonts w:ascii="宋体" w:hAnsi="宋体" w:eastAsia="宋体"/>
                <w:sz w:val="28"/>
                <w:szCs w:val="28"/>
              </w:rPr>
            </w:pPr>
          </w:p>
        </w:tc>
        <w:tc>
          <w:tcPr>
            <w:tcW w:w="1331" w:type="dxa"/>
            <w:noWrap/>
            <w:tcMar>
              <w:top w:w="20" w:type="dxa"/>
              <w:left w:w="20" w:type="dxa"/>
              <w:bottom w:w="0" w:type="dxa"/>
              <w:right w:w="20" w:type="dxa"/>
            </w:tcMar>
            <w:vAlign w:val="center"/>
          </w:tcPr>
          <w:p>
            <w:pPr>
              <w:jc w:val="center"/>
              <w:rPr>
                <w:rFonts w:ascii="宋体" w:hAnsi="宋体" w:eastAsia="宋体"/>
                <w:sz w:val="28"/>
                <w:szCs w:val="28"/>
              </w:rPr>
            </w:pPr>
          </w:p>
        </w:tc>
        <w:tc>
          <w:tcPr>
            <w:tcW w:w="949" w:type="dxa"/>
            <w:noWrap/>
            <w:tcMar>
              <w:top w:w="20" w:type="dxa"/>
              <w:left w:w="20" w:type="dxa"/>
              <w:bottom w:w="0" w:type="dxa"/>
              <w:right w:w="20" w:type="dxa"/>
            </w:tcMar>
            <w:vAlign w:val="center"/>
          </w:tcPr>
          <w:p>
            <w:pPr>
              <w:jc w:val="center"/>
              <w:rPr>
                <w:rFonts w:ascii="宋体" w:hAnsi="宋体" w:eastAsia="宋体"/>
                <w:sz w:val="28"/>
                <w:szCs w:val="28"/>
              </w:rPr>
            </w:pPr>
          </w:p>
        </w:tc>
        <w:tc>
          <w:tcPr>
            <w:tcW w:w="950" w:type="dxa"/>
            <w:noWrap/>
            <w:tcMar>
              <w:top w:w="20" w:type="dxa"/>
              <w:left w:w="20" w:type="dxa"/>
              <w:bottom w:w="0" w:type="dxa"/>
              <w:right w:w="20" w:type="dxa"/>
            </w:tcMar>
            <w:vAlign w:val="center"/>
          </w:tcPr>
          <w:p>
            <w:pPr>
              <w:jc w:val="center"/>
              <w:rPr>
                <w:rFonts w:ascii="宋体" w:hAnsi="宋体" w:eastAsia="宋体"/>
                <w:sz w:val="28"/>
                <w:szCs w:val="28"/>
              </w:rPr>
            </w:pPr>
          </w:p>
        </w:tc>
        <w:tc>
          <w:tcPr>
            <w:tcW w:w="1038" w:type="dxa"/>
            <w:noWrap/>
            <w:tcMar>
              <w:top w:w="20" w:type="dxa"/>
              <w:left w:w="20" w:type="dxa"/>
              <w:bottom w:w="0" w:type="dxa"/>
              <w:right w:w="20" w:type="dxa"/>
            </w:tcMar>
            <w:vAlign w:val="center"/>
          </w:tcPr>
          <w:p>
            <w:pPr>
              <w:jc w:val="center"/>
              <w:rPr>
                <w:rFonts w:ascii="宋体" w:hAnsi="宋体" w:eastAsia="宋体"/>
                <w:sz w:val="28"/>
                <w:szCs w:val="28"/>
              </w:rPr>
            </w:pPr>
          </w:p>
        </w:tc>
        <w:tc>
          <w:tcPr>
            <w:tcW w:w="984" w:type="dxa"/>
            <w:gridSpan w:val="2"/>
            <w:vAlign w:val="center"/>
          </w:tcPr>
          <w:p>
            <w:pPr>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宋体" w:hAnsi="宋体" w:eastAsia="宋体"/>
                <w:sz w:val="28"/>
                <w:szCs w:val="28"/>
              </w:rPr>
            </w:pPr>
          </w:p>
        </w:tc>
        <w:tc>
          <w:tcPr>
            <w:tcW w:w="1401" w:type="dxa"/>
            <w:noWrap/>
            <w:tcMar>
              <w:top w:w="20" w:type="dxa"/>
              <w:left w:w="20" w:type="dxa"/>
              <w:bottom w:w="0" w:type="dxa"/>
              <w:right w:w="20" w:type="dxa"/>
            </w:tcMar>
            <w:vAlign w:val="center"/>
          </w:tcPr>
          <w:p>
            <w:pPr>
              <w:jc w:val="center"/>
              <w:rPr>
                <w:rFonts w:ascii="宋体" w:hAnsi="宋体" w:eastAsia="宋体"/>
                <w:sz w:val="28"/>
                <w:szCs w:val="28"/>
              </w:rPr>
            </w:pPr>
          </w:p>
        </w:tc>
        <w:tc>
          <w:tcPr>
            <w:tcW w:w="1554" w:type="dxa"/>
            <w:noWrap/>
            <w:tcMar>
              <w:top w:w="20" w:type="dxa"/>
              <w:left w:w="20" w:type="dxa"/>
              <w:bottom w:w="0" w:type="dxa"/>
              <w:right w:w="20" w:type="dxa"/>
            </w:tcMar>
            <w:vAlign w:val="center"/>
          </w:tcPr>
          <w:p>
            <w:pPr>
              <w:jc w:val="center"/>
              <w:rPr>
                <w:rFonts w:ascii="宋体" w:hAnsi="宋体" w:eastAsia="宋体"/>
                <w:sz w:val="28"/>
                <w:szCs w:val="28"/>
              </w:rPr>
            </w:pPr>
          </w:p>
        </w:tc>
        <w:tc>
          <w:tcPr>
            <w:tcW w:w="1331" w:type="dxa"/>
            <w:noWrap/>
            <w:tcMar>
              <w:top w:w="20" w:type="dxa"/>
              <w:left w:w="20" w:type="dxa"/>
              <w:bottom w:w="0" w:type="dxa"/>
              <w:right w:w="20" w:type="dxa"/>
            </w:tcMar>
            <w:vAlign w:val="center"/>
          </w:tcPr>
          <w:p>
            <w:pPr>
              <w:jc w:val="center"/>
              <w:rPr>
                <w:rFonts w:ascii="宋体" w:hAnsi="宋体" w:eastAsia="宋体"/>
                <w:sz w:val="28"/>
                <w:szCs w:val="28"/>
              </w:rPr>
            </w:pPr>
          </w:p>
        </w:tc>
        <w:tc>
          <w:tcPr>
            <w:tcW w:w="949" w:type="dxa"/>
            <w:noWrap/>
            <w:tcMar>
              <w:top w:w="20" w:type="dxa"/>
              <w:left w:w="20" w:type="dxa"/>
              <w:bottom w:w="0" w:type="dxa"/>
              <w:right w:w="20" w:type="dxa"/>
            </w:tcMar>
            <w:vAlign w:val="center"/>
          </w:tcPr>
          <w:p>
            <w:pPr>
              <w:jc w:val="center"/>
              <w:rPr>
                <w:rFonts w:ascii="宋体" w:hAnsi="宋体" w:eastAsia="宋体"/>
                <w:sz w:val="28"/>
                <w:szCs w:val="28"/>
              </w:rPr>
            </w:pPr>
          </w:p>
        </w:tc>
        <w:tc>
          <w:tcPr>
            <w:tcW w:w="950" w:type="dxa"/>
            <w:noWrap/>
            <w:tcMar>
              <w:top w:w="20" w:type="dxa"/>
              <w:left w:w="20" w:type="dxa"/>
              <w:bottom w:w="0" w:type="dxa"/>
              <w:right w:w="20" w:type="dxa"/>
            </w:tcMar>
            <w:vAlign w:val="center"/>
          </w:tcPr>
          <w:p>
            <w:pPr>
              <w:jc w:val="center"/>
              <w:rPr>
                <w:rFonts w:ascii="宋体" w:hAnsi="宋体" w:eastAsia="宋体"/>
                <w:sz w:val="28"/>
                <w:szCs w:val="28"/>
              </w:rPr>
            </w:pPr>
          </w:p>
        </w:tc>
        <w:tc>
          <w:tcPr>
            <w:tcW w:w="1038" w:type="dxa"/>
            <w:noWrap/>
            <w:tcMar>
              <w:top w:w="20" w:type="dxa"/>
              <w:left w:w="20" w:type="dxa"/>
              <w:bottom w:w="0" w:type="dxa"/>
              <w:right w:w="20" w:type="dxa"/>
            </w:tcMar>
            <w:vAlign w:val="center"/>
          </w:tcPr>
          <w:p>
            <w:pPr>
              <w:jc w:val="center"/>
              <w:rPr>
                <w:rFonts w:ascii="宋体" w:hAnsi="宋体" w:eastAsia="宋体"/>
                <w:sz w:val="28"/>
                <w:szCs w:val="28"/>
              </w:rPr>
            </w:pPr>
          </w:p>
        </w:tc>
        <w:tc>
          <w:tcPr>
            <w:tcW w:w="984" w:type="dxa"/>
            <w:gridSpan w:val="2"/>
            <w:vAlign w:val="center"/>
          </w:tcPr>
          <w:p>
            <w:pPr>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宋体" w:hAnsi="宋体" w:eastAsia="宋体"/>
                <w:sz w:val="28"/>
                <w:szCs w:val="28"/>
              </w:rPr>
            </w:pPr>
          </w:p>
        </w:tc>
        <w:tc>
          <w:tcPr>
            <w:tcW w:w="1401" w:type="dxa"/>
            <w:noWrap/>
            <w:tcMar>
              <w:top w:w="20" w:type="dxa"/>
              <w:left w:w="20" w:type="dxa"/>
              <w:bottom w:w="0" w:type="dxa"/>
              <w:right w:w="20" w:type="dxa"/>
            </w:tcMar>
            <w:vAlign w:val="center"/>
          </w:tcPr>
          <w:p>
            <w:pPr>
              <w:jc w:val="center"/>
              <w:rPr>
                <w:rFonts w:ascii="宋体" w:hAnsi="宋体" w:eastAsia="宋体"/>
                <w:sz w:val="28"/>
                <w:szCs w:val="28"/>
              </w:rPr>
            </w:pPr>
          </w:p>
        </w:tc>
        <w:tc>
          <w:tcPr>
            <w:tcW w:w="1554" w:type="dxa"/>
            <w:noWrap/>
            <w:tcMar>
              <w:top w:w="20" w:type="dxa"/>
              <w:left w:w="20" w:type="dxa"/>
              <w:bottom w:w="0" w:type="dxa"/>
              <w:right w:w="20" w:type="dxa"/>
            </w:tcMar>
            <w:vAlign w:val="center"/>
          </w:tcPr>
          <w:p>
            <w:pPr>
              <w:jc w:val="center"/>
              <w:rPr>
                <w:rFonts w:ascii="宋体" w:hAnsi="宋体" w:eastAsia="宋体"/>
                <w:sz w:val="28"/>
                <w:szCs w:val="28"/>
              </w:rPr>
            </w:pPr>
          </w:p>
        </w:tc>
        <w:tc>
          <w:tcPr>
            <w:tcW w:w="1331" w:type="dxa"/>
            <w:noWrap/>
            <w:tcMar>
              <w:top w:w="20" w:type="dxa"/>
              <w:left w:w="20" w:type="dxa"/>
              <w:bottom w:w="0" w:type="dxa"/>
              <w:right w:w="20" w:type="dxa"/>
            </w:tcMar>
            <w:vAlign w:val="center"/>
          </w:tcPr>
          <w:p>
            <w:pPr>
              <w:jc w:val="center"/>
              <w:rPr>
                <w:rFonts w:ascii="宋体" w:hAnsi="宋体" w:eastAsia="宋体"/>
                <w:sz w:val="28"/>
                <w:szCs w:val="28"/>
              </w:rPr>
            </w:pPr>
          </w:p>
        </w:tc>
        <w:tc>
          <w:tcPr>
            <w:tcW w:w="949" w:type="dxa"/>
            <w:noWrap/>
            <w:tcMar>
              <w:top w:w="20" w:type="dxa"/>
              <w:left w:w="20" w:type="dxa"/>
              <w:bottom w:w="0" w:type="dxa"/>
              <w:right w:w="20" w:type="dxa"/>
            </w:tcMar>
            <w:vAlign w:val="center"/>
          </w:tcPr>
          <w:p>
            <w:pPr>
              <w:jc w:val="center"/>
              <w:rPr>
                <w:rFonts w:ascii="宋体" w:hAnsi="宋体" w:eastAsia="宋体"/>
                <w:sz w:val="28"/>
                <w:szCs w:val="28"/>
              </w:rPr>
            </w:pPr>
          </w:p>
        </w:tc>
        <w:tc>
          <w:tcPr>
            <w:tcW w:w="950" w:type="dxa"/>
            <w:noWrap/>
            <w:tcMar>
              <w:top w:w="20" w:type="dxa"/>
              <w:left w:w="20" w:type="dxa"/>
              <w:bottom w:w="0" w:type="dxa"/>
              <w:right w:w="20" w:type="dxa"/>
            </w:tcMar>
            <w:vAlign w:val="center"/>
          </w:tcPr>
          <w:p>
            <w:pPr>
              <w:jc w:val="center"/>
              <w:rPr>
                <w:rFonts w:ascii="宋体" w:hAnsi="宋体" w:eastAsia="宋体"/>
                <w:sz w:val="28"/>
                <w:szCs w:val="28"/>
              </w:rPr>
            </w:pPr>
          </w:p>
        </w:tc>
        <w:tc>
          <w:tcPr>
            <w:tcW w:w="1038" w:type="dxa"/>
            <w:noWrap/>
            <w:tcMar>
              <w:top w:w="20" w:type="dxa"/>
              <w:left w:w="20" w:type="dxa"/>
              <w:bottom w:w="0" w:type="dxa"/>
              <w:right w:w="20" w:type="dxa"/>
            </w:tcMar>
            <w:vAlign w:val="center"/>
          </w:tcPr>
          <w:p>
            <w:pPr>
              <w:jc w:val="center"/>
              <w:rPr>
                <w:rFonts w:ascii="宋体" w:hAnsi="宋体" w:eastAsia="宋体"/>
                <w:sz w:val="28"/>
                <w:szCs w:val="28"/>
              </w:rPr>
            </w:pPr>
          </w:p>
        </w:tc>
        <w:tc>
          <w:tcPr>
            <w:tcW w:w="984" w:type="dxa"/>
            <w:gridSpan w:val="2"/>
            <w:vAlign w:val="center"/>
          </w:tcPr>
          <w:p>
            <w:pPr>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1" w:type="dxa"/>
            <w:noWrap/>
            <w:tcMar>
              <w:top w:w="20" w:type="dxa"/>
              <w:left w:w="20" w:type="dxa"/>
              <w:bottom w:w="0" w:type="dxa"/>
              <w:right w:w="20" w:type="dxa"/>
            </w:tcMar>
            <w:vAlign w:val="center"/>
          </w:tcPr>
          <w:p>
            <w:pPr>
              <w:jc w:val="center"/>
              <w:rPr>
                <w:rFonts w:ascii="宋体" w:hAnsi="宋体" w:eastAsia="宋体"/>
                <w:sz w:val="28"/>
                <w:szCs w:val="28"/>
              </w:rPr>
            </w:pPr>
          </w:p>
        </w:tc>
        <w:tc>
          <w:tcPr>
            <w:tcW w:w="1401" w:type="dxa"/>
            <w:noWrap/>
            <w:tcMar>
              <w:top w:w="20" w:type="dxa"/>
              <w:left w:w="20" w:type="dxa"/>
              <w:bottom w:w="0" w:type="dxa"/>
              <w:right w:w="20" w:type="dxa"/>
            </w:tcMar>
            <w:vAlign w:val="center"/>
          </w:tcPr>
          <w:p>
            <w:pPr>
              <w:jc w:val="center"/>
              <w:rPr>
                <w:rFonts w:ascii="宋体" w:hAnsi="宋体" w:eastAsia="宋体"/>
                <w:sz w:val="28"/>
                <w:szCs w:val="28"/>
              </w:rPr>
            </w:pPr>
          </w:p>
        </w:tc>
        <w:tc>
          <w:tcPr>
            <w:tcW w:w="1554" w:type="dxa"/>
            <w:noWrap/>
            <w:tcMar>
              <w:top w:w="20" w:type="dxa"/>
              <w:left w:w="20" w:type="dxa"/>
              <w:bottom w:w="0" w:type="dxa"/>
              <w:right w:w="20" w:type="dxa"/>
            </w:tcMar>
            <w:vAlign w:val="center"/>
          </w:tcPr>
          <w:p>
            <w:pPr>
              <w:jc w:val="center"/>
              <w:rPr>
                <w:rFonts w:ascii="宋体" w:hAnsi="宋体" w:eastAsia="宋体"/>
                <w:sz w:val="28"/>
                <w:szCs w:val="28"/>
              </w:rPr>
            </w:pPr>
          </w:p>
        </w:tc>
        <w:tc>
          <w:tcPr>
            <w:tcW w:w="1331" w:type="dxa"/>
            <w:noWrap/>
            <w:tcMar>
              <w:top w:w="20" w:type="dxa"/>
              <w:left w:w="20" w:type="dxa"/>
              <w:bottom w:w="0" w:type="dxa"/>
              <w:right w:w="20" w:type="dxa"/>
            </w:tcMar>
            <w:vAlign w:val="center"/>
          </w:tcPr>
          <w:p>
            <w:pPr>
              <w:jc w:val="center"/>
              <w:rPr>
                <w:rFonts w:ascii="宋体" w:hAnsi="宋体" w:eastAsia="宋体"/>
                <w:sz w:val="28"/>
                <w:szCs w:val="28"/>
              </w:rPr>
            </w:pPr>
          </w:p>
        </w:tc>
        <w:tc>
          <w:tcPr>
            <w:tcW w:w="949" w:type="dxa"/>
            <w:noWrap/>
            <w:tcMar>
              <w:top w:w="20" w:type="dxa"/>
              <w:left w:w="20" w:type="dxa"/>
              <w:bottom w:w="0" w:type="dxa"/>
              <w:right w:w="20" w:type="dxa"/>
            </w:tcMar>
            <w:vAlign w:val="center"/>
          </w:tcPr>
          <w:p>
            <w:pPr>
              <w:jc w:val="center"/>
              <w:rPr>
                <w:rFonts w:ascii="宋体" w:hAnsi="宋体" w:eastAsia="宋体"/>
                <w:sz w:val="28"/>
                <w:szCs w:val="28"/>
              </w:rPr>
            </w:pPr>
          </w:p>
        </w:tc>
        <w:tc>
          <w:tcPr>
            <w:tcW w:w="950" w:type="dxa"/>
            <w:noWrap/>
            <w:tcMar>
              <w:top w:w="20" w:type="dxa"/>
              <w:left w:w="20" w:type="dxa"/>
              <w:bottom w:w="0" w:type="dxa"/>
              <w:right w:w="20" w:type="dxa"/>
            </w:tcMar>
            <w:vAlign w:val="center"/>
          </w:tcPr>
          <w:p>
            <w:pPr>
              <w:jc w:val="center"/>
              <w:rPr>
                <w:rFonts w:ascii="宋体" w:hAnsi="宋体" w:eastAsia="宋体"/>
                <w:sz w:val="28"/>
                <w:szCs w:val="28"/>
              </w:rPr>
            </w:pPr>
          </w:p>
        </w:tc>
        <w:tc>
          <w:tcPr>
            <w:tcW w:w="1038" w:type="dxa"/>
            <w:noWrap/>
            <w:tcMar>
              <w:top w:w="20" w:type="dxa"/>
              <w:left w:w="20" w:type="dxa"/>
              <w:bottom w:w="0" w:type="dxa"/>
              <w:right w:w="20" w:type="dxa"/>
            </w:tcMar>
            <w:vAlign w:val="center"/>
          </w:tcPr>
          <w:p>
            <w:pPr>
              <w:jc w:val="center"/>
              <w:rPr>
                <w:rFonts w:ascii="宋体" w:hAnsi="宋体" w:eastAsia="宋体"/>
                <w:sz w:val="28"/>
                <w:szCs w:val="28"/>
              </w:rPr>
            </w:pPr>
          </w:p>
        </w:tc>
        <w:tc>
          <w:tcPr>
            <w:tcW w:w="984" w:type="dxa"/>
            <w:gridSpan w:val="2"/>
            <w:vAlign w:val="center"/>
          </w:tcPr>
          <w:p>
            <w:pPr>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7904" w:type="dxa"/>
            <w:gridSpan w:val="8"/>
            <w:noWrap/>
            <w:tcMar>
              <w:top w:w="20" w:type="dxa"/>
              <w:left w:w="20" w:type="dxa"/>
              <w:bottom w:w="0" w:type="dxa"/>
              <w:right w:w="20" w:type="dxa"/>
            </w:tcMar>
            <w:vAlign w:val="center"/>
          </w:tcPr>
          <w:p>
            <w:pPr>
              <w:jc w:val="center"/>
              <w:rPr>
                <w:rFonts w:ascii="宋体" w:hAnsi="宋体" w:eastAsia="宋体"/>
                <w:sz w:val="28"/>
                <w:szCs w:val="28"/>
              </w:rPr>
            </w:pPr>
            <w:r>
              <w:rPr>
                <w:rFonts w:ascii="宋体" w:hAnsi="宋体" w:eastAsia="宋体"/>
                <w:sz w:val="28"/>
                <w:szCs w:val="28"/>
              </w:rPr>
              <w:t>总计</w:t>
            </w:r>
          </w:p>
        </w:tc>
        <w:tc>
          <w:tcPr>
            <w:tcW w:w="964" w:type="dxa"/>
            <w:vAlign w:val="center"/>
          </w:tcPr>
          <w:p>
            <w:pPr>
              <w:jc w:val="center"/>
              <w:rPr>
                <w:rFonts w:ascii="宋体" w:hAnsi="宋体" w:eastAsia="宋体"/>
                <w:sz w:val="28"/>
                <w:szCs w:val="28"/>
              </w:rPr>
            </w:pPr>
          </w:p>
        </w:tc>
      </w:tr>
    </w:tbl>
    <w:p>
      <w:pPr>
        <w:spacing w:line="560" w:lineRule="exact"/>
        <w:ind w:firstLine="3222" w:firstLineChars="1151"/>
        <w:jc w:val="both"/>
        <w:rPr>
          <w:rFonts w:ascii="宋体" w:hAnsi="宋体" w:eastAsia="宋体"/>
          <w:sz w:val="28"/>
          <w:szCs w:val="28"/>
        </w:rPr>
      </w:pPr>
      <w:r>
        <w:rPr>
          <w:rFonts w:ascii="宋体" w:hAnsi="宋体" w:eastAsia="宋体"/>
          <w:sz w:val="28"/>
          <w:szCs w:val="28"/>
        </w:rPr>
        <w:t>供应商：（供应商全称并加盖公章）</w:t>
      </w:r>
    </w:p>
    <w:p>
      <w:pPr>
        <w:spacing w:line="560" w:lineRule="exact"/>
        <w:ind w:firstLine="560" w:firstLineChars="200"/>
        <w:jc w:val="both"/>
        <w:rPr>
          <w:rFonts w:ascii="宋体" w:hAnsi="宋体" w:eastAsia="宋体"/>
          <w:sz w:val="28"/>
          <w:szCs w:val="28"/>
        </w:rPr>
      </w:pPr>
    </w:p>
    <w:p>
      <w:pPr>
        <w:spacing w:line="560" w:lineRule="exact"/>
        <w:ind w:firstLine="560" w:firstLineChars="200"/>
        <w:jc w:val="both"/>
        <w:rPr>
          <w:rFonts w:ascii="宋体" w:hAnsi="宋体" w:eastAsia="宋体"/>
          <w:sz w:val="28"/>
          <w:szCs w:val="28"/>
        </w:rPr>
      </w:pPr>
      <w:r>
        <w:rPr>
          <w:rFonts w:ascii="宋体" w:hAnsi="宋体" w:eastAsia="宋体"/>
          <w:sz w:val="28"/>
          <w:szCs w:val="28"/>
        </w:rPr>
        <w:t>注：1</w:t>
      </w:r>
      <w:r>
        <w:rPr>
          <w:rFonts w:hint="eastAsia" w:ascii="宋体" w:hAnsi="宋体" w:eastAsia="宋体"/>
          <w:sz w:val="28"/>
          <w:szCs w:val="28"/>
        </w:rPr>
        <w:t>．</w:t>
      </w:r>
      <w:r>
        <w:rPr>
          <w:rFonts w:ascii="宋体" w:hAnsi="宋体" w:eastAsia="宋体"/>
          <w:sz w:val="28"/>
          <w:szCs w:val="28"/>
        </w:rPr>
        <w:t>监狱企业、残疾人福利性单位视同小微企业。</w:t>
      </w:r>
    </w:p>
    <w:p>
      <w:pPr>
        <w:spacing w:line="560" w:lineRule="exact"/>
        <w:ind w:firstLine="560" w:firstLineChars="200"/>
        <w:jc w:val="both"/>
        <w:rPr>
          <w:rFonts w:ascii="宋体" w:hAnsi="宋体" w:eastAsia="宋体"/>
          <w:sz w:val="32"/>
          <w:szCs w:val="32"/>
        </w:rPr>
      </w:pPr>
      <w:r>
        <w:rPr>
          <w:rFonts w:ascii="宋体" w:hAnsi="宋体" w:eastAsia="宋体"/>
          <w:sz w:val="28"/>
          <w:szCs w:val="28"/>
        </w:rPr>
        <w:t>2</w:t>
      </w:r>
      <w:r>
        <w:rPr>
          <w:rFonts w:hint="eastAsia" w:ascii="宋体" w:hAnsi="宋体" w:eastAsia="宋体"/>
          <w:sz w:val="28"/>
          <w:szCs w:val="28"/>
        </w:rPr>
        <w:t>．</w:t>
      </w:r>
      <w:r>
        <w:rPr>
          <w:rFonts w:ascii="宋体" w:hAnsi="宋体" w:eastAsia="宋体"/>
          <w:sz w:val="28"/>
          <w:szCs w:val="28"/>
        </w:rPr>
        <w:t>表格空间不足时，可自行扩展。</w:t>
      </w:r>
      <w:r>
        <w:rPr>
          <w:rFonts w:ascii="宋体" w:hAnsi="宋体" w:eastAsia="宋体"/>
          <w:sz w:val="32"/>
          <w:szCs w:val="32"/>
        </w:rPr>
        <w:br w:type="page"/>
      </w:r>
    </w:p>
    <w:p>
      <w:pPr>
        <w:pStyle w:val="4"/>
        <w:ind w:firstLine="643"/>
        <w:jc w:val="center"/>
        <w:rPr>
          <w:rFonts w:ascii="宋体" w:hAnsi="宋体" w:eastAsia="宋体"/>
          <w:b/>
          <w:bCs/>
        </w:rPr>
      </w:pPr>
      <w:bookmarkStart w:id="143" w:name="_Toc120103982"/>
      <w:r>
        <w:rPr>
          <w:rFonts w:ascii="宋体" w:hAnsi="宋体" w:eastAsia="宋体"/>
          <w:b/>
          <w:bCs/>
        </w:rPr>
        <w:t>第三部分</w:t>
      </w:r>
      <w:r>
        <w:rPr>
          <w:rFonts w:hint="eastAsia" w:ascii="宋体" w:hAnsi="宋体" w:eastAsia="宋体"/>
          <w:b/>
          <w:bCs/>
        </w:rPr>
        <w:t xml:space="preserve">  </w:t>
      </w:r>
      <w:r>
        <w:rPr>
          <w:rFonts w:ascii="宋体" w:hAnsi="宋体" w:eastAsia="宋体"/>
          <w:b/>
          <w:bCs/>
        </w:rPr>
        <w:t>资格证明文件</w:t>
      </w:r>
      <w:bookmarkEnd w:id="143"/>
    </w:p>
    <w:p>
      <w:pPr>
        <w:spacing w:line="560" w:lineRule="exact"/>
        <w:ind w:firstLine="640" w:firstLineChars="200"/>
        <w:jc w:val="both"/>
        <w:rPr>
          <w:rFonts w:ascii="宋体" w:hAnsi="宋体" w:eastAsia="宋体"/>
          <w:sz w:val="32"/>
          <w:szCs w:val="32"/>
        </w:rPr>
      </w:pPr>
      <w:r>
        <w:rPr>
          <w:rFonts w:hint="eastAsia" w:ascii="宋体" w:hAnsi="宋体" w:eastAsia="宋体"/>
          <w:sz w:val="32"/>
          <w:szCs w:val="32"/>
        </w:rPr>
        <w:t>按照招标文件第一章《招标公告》所列“供应商资格要求”提供各项资格证明文件，未按要求提供的，其投标文件将被视为无效文件。</w:t>
      </w:r>
    </w:p>
    <w:p>
      <w:pPr>
        <w:pStyle w:val="108"/>
        <w:spacing w:before="210" w:after="210"/>
        <w:rPr>
          <w:rFonts w:ascii="宋体" w:hAnsi="宋体" w:eastAsia="宋体"/>
        </w:rPr>
      </w:pPr>
      <w:bookmarkStart w:id="144" w:name="_Toc120103983"/>
      <w:r>
        <w:rPr>
          <w:rFonts w:ascii="宋体" w:hAnsi="宋体" w:eastAsia="宋体"/>
        </w:rPr>
        <w:t>（一）有效的登记注册证</w:t>
      </w:r>
      <w:bookmarkEnd w:id="144"/>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p>
    <w:p>
      <w:pPr>
        <w:pStyle w:val="108"/>
        <w:spacing w:before="210" w:after="210"/>
        <w:rPr>
          <w:rFonts w:ascii="宋体" w:hAnsi="宋体" w:eastAsia="宋体"/>
        </w:rPr>
      </w:pPr>
      <w:bookmarkStart w:id="145" w:name="_Toc120103984"/>
      <w:r>
        <w:rPr>
          <w:rFonts w:ascii="宋体" w:hAnsi="宋体" w:eastAsia="宋体"/>
        </w:rPr>
        <w:t>（二）财务状况报告</w:t>
      </w:r>
      <w:bookmarkEnd w:id="145"/>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p>
    <w:p>
      <w:pPr>
        <w:pStyle w:val="108"/>
        <w:spacing w:before="210" w:after="210"/>
        <w:rPr>
          <w:rFonts w:ascii="宋体" w:hAnsi="宋体" w:eastAsia="宋体"/>
        </w:rPr>
      </w:pPr>
      <w:bookmarkStart w:id="146" w:name="_Toc120103985"/>
      <w:r>
        <w:rPr>
          <w:rFonts w:ascii="宋体" w:hAnsi="宋体" w:eastAsia="宋体"/>
        </w:rPr>
        <w:t>（三）社会保障资金缴纳证明</w:t>
      </w:r>
      <w:bookmarkEnd w:id="146"/>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p>
    <w:p>
      <w:pPr>
        <w:pStyle w:val="108"/>
        <w:spacing w:before="210" w:after="210"/>
        <w:rPr>
          <w:rFonts w:ascii="宋体" w:hAnsi="宋体" w:eastAsia="宋体"/>
        </w:rPr>
      </w:pPr>
      <w:bookmarkStart w:id="147" w:name="_Toc120103986"/>
      <w:r>
        <w:rPr>
          <w:rFonts w:ascii="宋体" w:hAnsi="宋体" w:eastAsia="宋体"/>
        </w:rPr>
        <w:t>（四）税收缴纳证明</w:t>
      </w:r>
      <w:bookmarkEnd w:id="147"/>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p>
    <w:p>
      <w:pPr>
        <w:pStyle w:val="108"/>
        <w:numPr>
          <w:ilvl w:val="0"/>
          <w:numId w:val="36"/>
        </w:numPr>
        <w:spacing w:before="210" w:after="210"/>
        <w:rPr>
          <w:rFonts w:ascii="宋体" w:hAnsi="宋体" w:eastAsia="宋体"/>
        </w:rPr>
      </w:pPr>
      <w:bookmarkStart w:id="148" w:name="_Toc120103987"/>
      <w:r>
        <w:rPr>
          <w:rFonts w:ascii="宋体" w:hAnsi="宋体" w:eastAsia="宋体"/>
        </w:rPr>
        <w:t>无重大违法记录声明</w:t>
      </w:r>
    </w:p>
    <w:p>
      <w:pPr>
        <w:pStyle w:val="108"/>
        <w:spacing w:before="210" w:after="210"/>
        <w:ind w:firstLine="0" w:firstLineChars="0"/>
        <w:rPr>
          <w:rFonts w:ascii="宋体" w:hAnsi="宋体" w:eastAsia="宋体"/>
          <w:sz w:val="28"/>
          <w:szCs w:val="28"/>
        </w:rPr>
      </w:pPr>
      <w:r>
        <w:rPr>
          <w:rFonts w:ascii="宋体" w:hAnsi="宋体" w:eastAsia="宋体"/>
          <w:sz w:val="28"/>
          <w:szCs w:val="28"/>
        </w:rPr>
        <w:t>（按下方给定格式进行填写）</w:t>
      </w:r>
      <w:bookmarkEnd w:id="148"/>
    </w:p>
    <w:p>
      <w:pPr>
        <w:spacing w:line="560" w:lineRule="exact"/>
        <w:ind w:firstLine="640" w:firstLineChars="200"/>
        <w:jc w:val="both"/>
        <w:rPr>
          <w:rFonts w:ascii="宋体" w:hAnsi="宋体" w:eastAsia="宋体"/>
          <w:sz w:val="32"/>
          <w:szCs w:val="32"/>
        </w:rPr>
      </w:pPr>
      <w:r>
        <w:rPr>
          <w:rFonts w:hint="eastAsia" w:ascii="宋体" w:hAnsi="宋体" w:eastAsia="宋体"/>
          <w:sz w:val="32"/>
          <w:szCs w:val="32"/>
        </w:rPr>
        <w:t>提示</w:t>
      </w:r>
      <w:r>
        <w:rPr>
          <w:rFonts w:ascii="宋体" w:hAnsi="宋体" w:eastAsia="宋体"/>
          <w:sz w:val="32"/>
          <w:szCs w:val="32"/>
        </w:rPr>
        <w:t>：</w:t>
      </w:r>
    </w:p>
    <w:p>
      <w:pPr>
        <w:spacing w:line="560" w:lineRule="exact"/>
        <w:ind w:firstLine="640" w:firstLineChars="200"/>
        <w:jc w:val="both"/>
        <w:rPr>
          <w:rFonts w:ascii="宋体" w:hAnsi="宋体" w:eastAsia="宋体"/>
          <w:sz w:val="32"/>
          <w:szCs w:val="32"/>
        </w:rPr>
      </w:pPr>
      <w:r>
        <w:rPr>
          <w:rFonts w:ascii="宋体" w:hAnsi="宋体" w:eastAsia="宋体"/>
          <w:sz w:val="32"/>
          <w:szCs w:val="32"/>
        </w:rPr>
        <w:t>供应商在参加政府采购活动前</w:t>
      </w:r>
      <w:r>
        <w:rPr>
          <w:rFonts w:hint="eastAsia" w:ascii="宋体" w:hAnsi="宋体" w:eastAsia="宋体"/>
          <w:sz w:val="32"/>
          <w:szCs w:val="32"/>
        </w:rPr>
        <w:t>三</w:t>
      </w:r>
      <w:r>
        <w:rPr>
          <w:rFonts w:ascii="宋体" w:hAnsi="宋体" w:eastAsia="宋体"/>
          <w:sz w:val="32"/>
          <w:szCs w:val="32"/>
        </w:rPr>
        <w:t>年内因违法经营被禁止在一定期限内参加政府采购活动，期限届满的，可以参加政府采购活动，但应提供期限届满的证明材料。</w:t>
      </w:r>
    </w:p>
    <w:p>
      <w:pPr>
        <w:spacing w:line="560" w:lineRule="exact"/>
        <w:ind w:firstLine="640" w:firstLineChars="200"/>
        <w:jc w:val="center"/>
        <w:rPr>
          <w:rFonts w:ascii="宋体" w:hAnsi="宋体" w:eastAsia="宋体"/>
          <w:sz w:val="32"/>
          <w:szCs w:val="32"/>
        </w:rPr>
      </w:pPr>
      <w:r>
        <w:rPr>
          <w:rFonts w:ascii="宋体" w:hAnsi="宋体" w:eastAsia="宋体"/>
          <w:sz w:val="32"/>
          <w:szCs w:val="32"/>
        </w:rPr>
        <w:t>无重大违法记录声明</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〈政府采购代理机构〉</w:t>
      </w:r>
      <w:r>
        <w:rPr>
          <w:rFonts w:ascii="宋体" w:hAnsi="宋体" w:eastAsia="宋体"/>
          <w:sz w:val="28"/>
          <w:szCs w:val="28"/>
        </w:rPr>
        <w:t>：</w:t>
      </w:r>
    </w:p>
    <w:p>
      <w:pPr>
        <w:spacing w:line="560" w:lineRule="exact"/>
        <w:ind w:firstLine="560" w:firstLineChars="200"/>
        <w:jc w:val="both"/>
        <w:rPr>
          <w:rFonts w:ascii="宋体" w:hAnsi="宋体" w:eastAsia="宋体"/>
          <w:sz w:val="28"/>
          <w:szCs w:val="28"/>
        </w:rPr>
      </w:pPr>
      <w:r>
        <w:rPr>
          <w:rFonts w:ascii="宋体" w:hAnsi="宋体" w:eastAsia="宋体"/>
          <w:sz w:val="28"/>
          <w:szCs w:val="28"/>
        </w:rPr>
        <w:t>我方作为〈项目名称〉（项目编号：〈项目编号〉的投标供应商，在此郑重声明：</w:t>
      </w:r>
    </w:p>
    <w:p>
      <w:pPr>
        <w:spacing w:line="560" w:lineRule="exact"/>
        <w:ind w:firstLine="560" w:firstLineChars="200"/>
        <w:jc w:val="both"/>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w:t>
      </w:r>
      <w:r>
        <w:rPr>
          <w:rFonts w:ascii="宋体" w:hAnsi="宋体" w:eastAsia="宋体"/>
          <w:sz w:val="28"/>
          <w:szCs w:val="28"/>
        </w:rPr>
        <w:t>在参加本次政府采购活动前3年内的经营活动中___（填“没有”或“有”）重大违法记录。</w:t>
      </w:r>
    </w:p>
    <w:p>
      <w:pPr>
        <w:spacing w:line="560" w:lineRule="exact"/>
        <w:ind w:firstLine="560" w:firstLineChars="200"/>
        <w:jc w:val="both"/>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w:t>
      </w:r>
      <w:r>
        <w:rPr>
          <w:rFonts w:ascii="宋体" w:hAnsi="宋体" w:eastAsia="宋体"/>
          <w:sz w:val="28"/>
          <w:szCs w:val="28"/>
        </w:rPr>
        <w:t>我方___（填“未被列入”或“被列入”）失信被执行人名单。</w:t>
      </w:r>
    </w:p>
    <w:p>
      <w:pPr>
        <w:spacing w:line="560" w:lineRule="exact"/>
        <w:ind w:firstLine="560" w:firstLineChars="200"/>
        <w:jc w:val="both"/>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w:t>
      </w:r>
      <w:r>
        <w:rPr>
          <w:rFonts w:ascii="宋体" w:hAnsi="宋体" w:eastAsia="宋体"/>
          <w:sz w:val="28"/>
          <w:szCs w:val="28"/>
        </w:rPr>
        <w:t>我方___（填“未被列入”或“被列入”）重大税收违法案件当事人名单。</w:t>
      </w:r>
    </w:p>
    <w:p>
      <w:pPr>
        <w:spacing w:line="560" w:lineRule="exact"/>
        <w:ind w:firstLine="560" w:firstLineChars="200"/>
        <w:jc w:val="both"/>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w:t>
      </w:r>
      <w:r>
        <w:rPr>
          <w:rFonts w:ascii="宋体" w:hAnsi="宋体" w:eastAsia="宋体"/>
          <w:sz w:val="28"/>
          <w:szCs w:val="28"/>
        </w:rPr>
        <w:t>我方___（填“未被列入”或“被列入”）政府采购严重违法失信行为记录名单。</w:t>
      </w:r>
    </w:p>
    <w:p>
      <w:pPr>
        <w:spacing w:line="560" w:lineRule="exact"/>
        <w:ind w:firstLine="560" w:firstLineChars="200"/>
        <w:jc w:val="both"/>
        <w:rPr>
          <w:rFonts w:ascii="宋体" w:hAnsi="宋体" w:eastAsia="宋体"/>
          <w:sz w:val="28"/>
          <w:szCs w:val="28"/>
        </w:rPr>
      </w:pPr>
      <w:r>
        <w:rPr>
          <w:rFonts w:ascii="宋体" w:hAnsi="宋体" w:eastAsia="宋体"/>
          <w:sz w:val="28"/>
          <w:szCs w:val="28"/>
        </w:rPr>
        <w:t>如有不实，我方将无条件地退出本项目的采购活动，并遵照《政府采购法》有关“提供虚假材料的规定”接受处罚。</w:t>
      </w:r>
    </w:p>
    <w:p>
      <w:pPr>
        <w:spacing w:line="560" w:lineRule="exact"/>
        <w:ind w:firstLine="560" w:firstLineChars="200"/>
        <w:jc w:val="both"/>
        <w:rPr>
          <w:rFonts w:ascii="宋体" w:hAnsi="宋体" w:eastAsia="宋体"/>
          <w:sz w:val="28"/>
          <w:szCs w:val="28"/>
        </w:rPr>
      </w:pPr>
      <w:r>
        <w:rPr>
          <w:rFonts w:ascii="宋体" w:hAnsi="宋体" w:eastAsia="宋体"/>
          <w:sz w:val="28"/>
          <w:szCs w:val="28"/>
        </w:rPr>
        <w:t>特此声明。</w:t>
      </w:r>
    </w:p>
    <w:p>
      <w:pPr>
        <w:spacing w:line="560" w:lineRule="exact"/>
        <w:ind w:firstLine="560" w:firstLineChars="200"/>
        <w:jc w:val="both"/>
        <w:rPr>
          <w:rFonts w:ascii="宋体" w:hAnsi="宋体" w:eastAsia="宋体"/>
          <w:sz w:val="28"/>
          <w:szCs w:val="28"/>
        </w:rPr>
      </w:pPr>
      <w:r>
        <w:rPr>
          <w:rFonts w:ascii="宋体" w:hAnsi="宋体" w:eastAsia="宋体"/>
          <w:sz w:val="28"/>
          <w:szCs w:val="28"/>
        </w:rPr>
        <w:t>供应商：（供应商全称并加盖公章）</w:t>
      </w:r>
    </w:p>
    <w:p>
      <w:pPr>
        <w:spacing w:line="560" w:lineRule="exact"/>
        <w:ind w:firstLine="560" w:firstLineChars="200"/>
        <w:jc w:val="both"/>
        <w:rPr>
          <w:rFonts w:ascii="宋体" w:hAnsi="宋体" w:eastAsia="宋体"/>
          <w:sz w:val="28"/>
          <w:szCs w:val="28"/>
        </w:rPr>
      </w:pPr>
      <w:r>
        <w:rPr>
          <w:rFonts w:ascii="宋体" w:hAnsi="宋体" w:eastAsia="宋体"/>
          <w:sz w:val="28"/>
          <w:szCs w:val="28"/>
        </w:rPr>
        <w:t>日</w:t>
      </w:r>
      <w:r>
        <w:rPr>
          <w:rFonts w:hint="eastAsia" w:ascii="宋体" w:hAnsi="宋体" w:eastAsia="宋体"/>
          <w:sz w:val="28"/>
          <w:szCs w:val="28"/>
        </w:rPr>
        <w:t xml:space="preserve">  </w:t>
      </w:r>
      <w:r>
        <w:rPr>
          <w:rFonts w:ascii="宋体" w:hAnsi="宋体" w:eastAsia="宋体"/>
          <w:sz w:val="28"/>
          <w:szCs w:val="28"/>
        </w:rPr>
        <w:t>期：    年  月  日</w:t>
      </w:r>
    </w:p>
    <w:p>
      <w:pPr>
        <w:spacing w:line="560" w:lineRule="exact"/>
        <w:ind w:firstLine="560" w:firstLineChars="200"/>
        <w:jc w:val="both"/>
        <w:rPr>
          <w:rFonts w:ascii="宋体" w:hAnsi="宋体" w:eastAsia="宋体"/>
          <w:sz w:val="28"/>
          <w:szCs w:val="28"/>
        </w:rPr>
      </w:pPr>
      <w:r>
        <w:rPr>
          <w:rFonts w:ascii="宋体" w:hAnsi="宋体" w:eastAsia="宋体"/>
          <w:sz w:val="28"/>
          <w:szCs w:val="28"/>
        </w:rPr>
        <w:br w:type="page"/>
      </w:r>
    </w:p>
    <w:p>
      <w:pPr>
        <w:pStyle w:val="108"/>
        <w:spacing w:before="210" w:after="210"/>
        <w:rPr>
          <w:rFonts w:ascii="宋体" w:hAnsi="宋体" w:eastAsia="宋体"/>
        </w:rPr>
      </w:pPr>
      <w:bookmarkStart w:id="149" w:name="_Toc120103988"/>
      <w:r>
        <w:rPr>
          <w:rFonts w:hint="eastAsia" w:ascii="宋体" w:hAnsi="宋体" w:eastAsia="宋体"/>
        </w:rPr>
        <w:t>（六）法定代表人（主要负责人）委托授权书\身份证明</w:t>
      </w:r>
      <w:r>
        <w:rPr>
          <w:rFonts w:ascii="宋体" w:hAnsi="宋体" w:eastAsia="宋体"/>
        </w:rPr>
        <w:t>（按下方给定格式进行填写）</w:t>
      </w:r>
      <w:bookmarkEnd w:id="149"/>
    </w:p>
    <w:p>
      <w:pPr>
        <w:spacing w:line="560" w:lineRule="exact"/>
        <w:ind w:firstLine="560" w:firstLineChars="200"/>
        <w:jc w:val="both"/>
        <w:rPr>
          <w:rFonts w:ascii="宋体" w:hAnsi="宋体" w:eastAsia="宋体"/>
          <w:sz w:val="28"/>
          <w:szCs w:val="28"/>
        </w:rPr>
      </w:pPr>
      <w:r>
        <w:rPr>
          <w:rFonts w:ascii="宋体" w:hAnsi="宋体" w:eastAsia="宋体"/>
          <w:sz w:val="28"/>
          <w:szCs w:val="28"/>
        </w:rPr>
        <w:t>说明：</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1）法定代表人（主要负责人）包括：①企业法人的法定代表人；②个人独资企业的投资人；③分支机构的负责人；④合伙企业的执行事务合伙人（委派代表）；⑤个体工商户业主；⑥农民专业合作社的法定代表人。</w:t>
      </w:r>
    </w:p>
    <w:p>
      <w:pPr>
        <w:spacing w:line="560" w:lineRule="exact"/>
        <w:ind w:firstLine="560" w:firstLineChars="200"/>
        <w:jc w:val="both"/>
        <w:rPr>
          <w:rFonts w:ascii="宋体" w:hAnsi="宋体" w:eastAsia="宋体"/>
          <w:sz w:val="28"/>
          <w:szCs w:val="28"/>
        </w:rPr>
      </w:pPr>
      <w:r>
        <w:rPr>
          <w:rFonts w:ascii="宋体" w:hAnsi="宋体" w:eastAsia="宋体"/>
          <w:sz w:val="28"/>
          <w:szCs w:val="28"/>
        </w:rPr>
        <w:t>（</w:t>
      </w:r>
      <w:r>
        <w:rPr>
          <w:rFonts w:hint="eastAsia" w:ascii="宋体" w:hAnsi="宋体" w:eastAsia="宋体"/>
          <w:sz w:val="28"/>
          <w:szCs w:val="28"/>
        </w:rPr>
        <w:t>2</w:t>
      </w:r>
      <w:r>
        <w:rPr>
          <w:rFonts w:ascii="宋体" w:hAnsi="宋体" w:eastAsia="宋体"/>
          <w:sz w:val="28"/>
          <w:szCs w:val="28"/>
        </w:rPr>
        <w:t>）</w:t>
      </w:r>
      <w:r>
        <w:rPr>
          <w:rFonts w:hint="eastAsia" w:ascii="宋体" w:hAnsi="宋体" w:eastAsia="宋体"/>
          <w:sz w:val="28"/>
          <w:szCs w:val="28"/>
        </w:rPr>
        <w:t>委托授权书\</w:t>
      </w:r>
      <w:r>
        <w:rPr>
          <w:rFonts w:ascii="宋体" w:hAnsi="宋体" w:eastAsia="宋体"/>
          <w:sz w:val="28"/>
          <w:szCs w:val="28"/>
        </w:rPr>
        <w:t>身份证明</w:t>
      </w:r>
      <w:r>
        <w:rPr>
          <w:rFonts w:hint="eastAsia" w:ascii="宋体" w:hAnsi="宋体" w:eastAsia="宋体"/>
          <w:sz w:val="28"/>
          <w:szCs w:val="28"/>
        </w:rPr>
        <w:t>（</w:t>
      </w:r>
      <w:r>
        <w:rPr>
          <w:rFonts w:ascii="宋体" w:hAnsi="宋体" w:eastAsia="宋体"/>
          <w:sz w:val="28"/>
          <w:szCs w:val="28"/>
        </w:rPr>
        <w:t>二选一</w:t>
      </w:r>
      <w:r>
        <w:rPr>
          <w:rFonts w:hint="eastAsia" w:ascii="宋体" w:hAnsi="宋体" w:eastAsia="宋体"/>
          <w:sz w:val="28"/>
          <w:szCs w:val="28"/>
        </w:rPr>
        <w:t>）</w:t>
      </w:r>
      <w:r>
        <w:rPr>
          <w:rFonts w:ascii="宋体" w:hAnsi="宋体" w:eastAsia="宋体"/>
          <w:sz w:val="28"/>
          <w:szCs w:val="28"/>
        </w:rPr>
        <w:t>：</w:t>
      </w:r>
      <w:r>
        <w:rPr>
          <w:rFonts w:hint="eastAsia" w:ascii="宋体" w:hAnsi="宋体" w:eastAsia="宋体"/>
          <w:sz w:val="28"/>
          <w:szCs w:val="28"/>
        </w:rPr>
        <w:t>法定代表人（主要负责人）委托代理人参加投标时，提供法定代表人（主要负责人）委托授权书；法定代表人（主要负责人）亲自参加投标时，提供法定代表人（主要负责人）身份证明。</w:t>
      </w:r>
    </w:p>
    <w:p>
      <w:pPr>
        <w:pStyle w:val="2"/>
        <w:rPr>
          <w:rFonts w:ascii="宋体" w:hAnsi="宋体" w:eastAsia="宋体"/>
        </w:rPr>
      </w:pPr>
    </w:p>
    <w:p>
      <w:pPr>
        <w:rPr>
          <w:rFonts w:ascii="宋体" w:hAnsi="宋体" w:eastAsia="宋体"/>
          <w:sz w:val="28"/>
          <w:szCs w:val="28"/>
        </w:rPr>
      </w:pPr>
    </w:p>
    <w:p>
      <w:pPr>
        <w:pStyle w:val="2"/>
        <w:rPr>
          <w:rFonts w:ascii="宋体" w:hAnsi="宋体" w:eastAsia="宋体"/>
        </w:rPr>
      </w:pPr>
    </w:p>
    <w:p>
      <w:pPr>
        <w:rPr>
          <w:rFonts w:ascii="宋体" w:hAnsi="宋体" w:eastAsia="宋体"/>
          <w:sz w:val="28"/>
          <w:szCs w:val="28"/>
        </w:rPr>
      </w:pPr>
    </w:p>
    <w:p>
      <w:pPr>
        <w:pStyle w:val="2"/>
        <w:rPr>
          <w:rFonts w:ascii="宋体" w:hAnsi="宋体" w:eastAsia="宋体"/>
        </w:rPr>
      </w:pPr>
    </w:p>
    <w:p>
      <w:pPr>
        <w:rPr>
          <w:rFonts w:ascii="宋体" w:hAnsi="宋体" w:eastAsia="宋体"/>
          <w:sz w:val="28"/>
          <w:szCs w:val="28"/>
        </w:rPr>
      </w:pPr>
    </w:p>
    <w:p>
      <w:pPr>
        <w:pStyle w:val="2"/>
        <w:rPr>
          <w:rFonts w:ascii="宋体" w:hAnsi="宋体" w:eastAsia="宋体"/>
        </w:rPr>
      </w:pPr>
    </w:p>
    <w:p>
      <w:pPr>
        <w:rPr>
          <w:rFonts w:ascii="宋体" w:hAnsi="宋体" w:eastAsia="宋体"/>
          <w:sz w:val="28"/>
          <w:szCs w:val="28"/>
        </w:rPr>
      </w:pPr>
    </w:p>
    <w:p>
      <w:pPr>
        <w:pStyle w:val="2"/>
        <w:rPr>
          <w:rFonts w:ascii="宋体" w:hAnsi="宋体" w:eastAsia="宋体"/>
        </w:rPr>
      </w:pPr>
    </w:p>
    <w:p>
      <w:pPr>
        <w:rPr>
          <w:rFonts w:ascii="宋体" w:hAnsi="宋体" w:eastAsia="宋体"/>
          <w:sz w:val="28"/>
          <w:szCs w:val="28"/>
        </w:rPr>
      </w:pPr>
    </w:p>
    <w:p>
      <w:pPr>
        <w:pStyle w:val="2"/>
      </w:pPr>
    </w:p>
    <w:p>
      <w:pPr>
        <w:spacing w:line="560" w:lineRule="exact"/>
        <w:ind w:firstLine="560" w:firstLineChars="200"/>
        <w:jc w:val="both"/>
        <w:rPr>
          <w:rFonts w:ascii="宋体" w:hAnsi="宋体" w:eastAsia="宋体"/>
          <w:b/>
          <w:bCs/>
          <w:sz w:val="28"/>
          <w:szCs w:val="28"/>
        </w:rPr>
      </w:pPr>
      <w:r>
        <w:rPr>
          <w:rFonts w:ascii="宋体" w:hAnsi="宋体" w:eastAsia="宋体"/>
          <w:b/>
          <w:bCs/>
          <w:sz w:val="28"/>
          <w:szCs w:val="28"/>
        </w:rPr>
        <w:t>法定代表人（主要负责人）</w:t>
      </w:r>
      <w:r>
        <w:rPr>
          <w:rFonts w:hint="eastAsia" w:ascii="宋体" w:hAnsi="宋体" w:eastAsia="宋体"/>
          <w:b/>
          <w:bCs/>
          <w:sz w:val="28"/>
          <w:szCs w:val="28"/>
        </w:rPr>
        <w:t>身份证明</w:t>
      </w:r>
      <w:r>
        <w:rPr>
          <w:rFonts w:ascii="宋体" w:hAnsi="宋体" w:eastAsia="宋体"/>
          <w:b/>
          <w:bCs/>
          <w:sz w:val="28"/>
          <w:szCs w:val="28"/>
        </w:rPr>
        <w:t>（格式）</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〈政府采购代理机构〉</w:t>
      </w:r>
      <w:r>
        <w:rPr>
          <w:rFonts w:ascii="宋体" w:hAnsi="宋体" w:eastAsia="宋体"/>
          <w:sz w:val="28"/>
          <w:szCs w:val="28"/>
        </w:rPr>
        <w:t>：</w:t>
      </w:r>
    </w:p>
    <w:p>
      <w:pPr>
        <w:spacing w:line="560" w:lineRule="exact"/>
        <w:ind w:firstLine="560" w:firstLineChars="200"/>
        <w:jc w:val="both"/>
        <w:rPr>
          <w:rFonts w:ascii="宋体" w:hAnsi="宋体" w:eastAsia="宋体"/>
          <w:sz w:val="28"/>
          <w:szCs w:val="28"/>
        </w:rPr>
      </w:pPr>
      <w:r>
        <w:rPr>
          <w:rFonts w:ascii="宋体" w:hAnsi="宋体" w:eastAsia="宋体"/>
          <w:sz w:val="28"/>
          <w:szCs w:val="28"/>
        </w:rPr>
        <w:t>〈法定代表人（主要负责人）姓名〉系〈供应商全称〉的法定代表人（主要负责人），特此证明。</w:t>
      </w:r>
    </w:p>
    <w:tbl>
      <w:tblPr>
        <w:tblStyle w:val="39"/>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798" w:hRule="atLeast"/>
          <w:jc w:val="center"/>
        </w:trPr>
        <w:tc>
          <w:tcPr>
            <w:tcW w:w="9057" w:type="dxa"/>
            <w:vAlign w:val="center"/>
          </w:tcPr>
          <w:p>
            <w:pPr>
              <w:spacing w:line="560" w:lineRule="exact"/>
              <w:ind w:firstLine="560" w:firstLineChars="200"/>
              <w:jc w:val="both"/>
              <w:rPr>
                <w:rFonts w:ascii="宋体" w:hAnsi="宋体" w:eastAsia="宋体"/>
                <w:sz w:val="28"/>
                <w:szCs w:val="28"/>
              </w:rPr>
            </w:pPr>
            <w:r>
              <w:rPr>
                <w:rFonts w:ascii="宋体" w:hAnsi="宋体" w:eastAsia="宋体"/>
                <w:sz w:val="28"/>
                <w:szCs w:val="28"/>
              </w:rPr>
              <w:t>法定代表人（主要负责人）</w:t>
            </w:r>
          </w:p>
          <w:p>
            <w:pPr>
              <w:spacing w:line="560" w:lineRule="exact"/>
              <w:ind w:firstLine="560" w:firstLineChars="200"/>
              <w:jc w:val="both"/>
              <w:rPr>
                <w:rFonts w:ascii="宋体" w:hAnsi="宋体" w:eastAsia="宋体"/>
                <w:sz w:val="28"/>
                <w:szCs w:val="28"/>
              </w:rPr>
            </w:pPr>
            <w:r>
              <w:rPr>
                <w:rFonts w:ascii="宋体" w:hAnsi="宋体" w:eastAsia="宋体"/>
                <w:sz w:val="28"/>
                <w:szCs w:val="28"/>
              </w:rPr>
              <w:t>身份证正反面（扫描件）</w:t>
            </w:r>
          </w:p>
          <w:p>
            <w:pPr>
              <w:spacing w:line="560" w:lineRule="exact"/>
              <w:ind w:firstLine="560" w:firstLineChars="200"/>
              <w:jc w:val="both"/>
              <w:rPr>
                <w:rFonts w:ascii="宋体" w:hAnsi="宋体" w:eastAsia="宋体"/>
                <w:sz w:val="28"/>
                <w:szCs w:val="28"/>
              </w:rPr>
            </w:pPr>
            <w:r>
              <w:rPr>
                <w:rFonts w:ascii="宋体" w:hAnsi="宋体" w:eastAsia="宋体"/>
                <w:sz w:val="28"/>
                <w:szCs w:val="28"/>
              </w:rPr>
              <w:t>或护照资料页（扫描件）</w:t>
            </w:r>
          </w:p>
        </w:tc>
      </w:tr>
    </w:tbl>
    <w:p>
      <w:pPr>
        <w:spacing w:line="560" w:lineRule="exact"/>
        <w:ind w:firstLine="2853" w:firstLineChars="1019"/>
        <w:jc w:val="both"/>
        <w:rPr>
          <w:rFonts w:ascii="宋体" w:hAnsi="宋体" w:eastAsia="宋体"/>
          <w:sz w:val="28"/>
          <w:szCs w:val="28"/>
        </w:rPr>
      </w:pPr>
      <w:r>
        <w:rPr>
          <w:rFonts w:ascii="宋体" w:hAnsi="宋体" w:eastAsia="宋体"/>
          <w:sz w:val="28"/>
          <w:szCs w:val="28"/>
        </w:rPr>
        <w:t>供应商：（供应商全称并加盖公章）</w:t>
      </w:r>
    </w:p>
    <w:p>
      <w:pPr>
        <w:spacing w:line="560" w:lineRule="exact"/>
        <w:ind w:firstLine="2853" w:firstLineChars="1019"/>
        <w:jc w:val="both"/>
        <w:rPr>
          <w:rFonts w:ascii="宋体" w:hAnsi="宋体" w:eastAsia="宋体"/>
          <w:sz w:val="32"/>
          <w:szCs w:val="32"/>
        </w:rPr>
      </w:pPr>
      <w:r>
        <w:rPr>
          <w:rFonts w:ascii="宋体" w:hAnsi="宋体" w:eastAsia="宋体"/>
          <w:sz w:val="28"/>
          <w:szCs w:val="28"/>
        </w:rPr>
        <w:t>日期：      年  月  日</w:t>
      </w:r>
      <w:r>
        <w:rPr>
          <w:rFonts w:ascii="宋体" w:hAnsi="宋体" w:eastAsia="宋体"/>
          <w:sz w:val="32"/>
          <w:szCs w:val="32"/>
        </w:rPr>
        <w:br w:type="page"/>
      </w:r>
    </w:p>
    <w:p>
      <w:pPr>
        <w:spacing w:line="560" w:lineRule="exact"/>
        <w:ind w:firstLine="640" w:firstLineChars="200"/>
        <w:jc w:val="both"/>
        <w:rPr>
          <w:rFonts w:ascii="宋体" w:hAnsi="宋体" w:eastAsia="宋体"/>
          <w:b/>
          <w:bCs/>
          <w:sz w:val="32"/>
          <w:szCs w:val="32"/>
        </w:rPr>
      </w:pPr>
      <w:r>
        <w:rPr>
          <w:rFonts w:ascii="宋体" w:hAnsi="宋体" w:eastAsia="宋体"/>
          <w:b/>
          <w:bCs/>
          <w:sz w:val="32"/>
          <w:szCs w:val="32"/>
        </w:rPr>
        <w:t>法定代表人（主要负责人）委托授权书（格式）</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〈政府采购代理机构〉</w:t>
      </w:r>
      <w:r>
        <w:rPr>
          <w:rFonts w:ascii="宋体" w:hAnsi="宋体" w:eastAsia="宋体"/>
          <w:sz w:val="28"/>
          <w:szCs w:val="28"/>
        </w:rPr>
        <w:t>：</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现委派</w:t>
      </w:r>
      <w:r>
        <w:rPr>
          <w:rFonts w:ascii="宋体" w:hAnsi="宋体" w:eastAsia="宋体"/>
          <w:sz w:val="28"/>
          <w:szCs w:val="28"/>
        </w:rPr>
        <w:t>〈代理人姓名〉</w:t>
      </w:r>
      <w:r>
        <w:rPr>
          <w:rFonts w:hint="eastAsia" w:ascii="宋体" w:hAnsi="宋体" w:eastAsia="宋体"/>
          <w:sz w:val="28"/>
          <w:szCs w:val="28"/>
        </w:rPr>
        <w:t>代表我方参加贵中心组织的〈项目名称〉（项目编号：</w:t>
      </w:r>
      <w:r>
        <w:rPr>
          <w:rFonts w:ascii="宋体" w:hAnsi="宋体" w:eastAsia="宋体"/>
          <w:sz w:val="28"/>
          <w:szCs w:val="28"/>
        </w:rPr>
        <w:t>〈项目编号〉</w:t>
      </w:r>
      <w:r>
        <w:rPr>
          <w:rFonts w:hint="eastAsia" w:ascii="宋体" w:hAnsi="宋体" w:eastAsia="宋体"/>
          <w:sz w:val="28"/>
          <w:szCs w:val="28"/>
        </w:rPr>
        <w:t>）政府采购活动，以我方名义签署、澄清、确认、递交、撤回、修改投标文件，签订合同和全权处理一切与之有关的事宜，其法律后果由我方承担。</w:t>
      </w:r>
    </w:p>
    <w:p>
      <w:pPr>
        <w:spacing w:line="560" w:lineRule="exact"/>
        <w:ind w:firstLine="560" w:firstLineChars="200"/>
        <w:jc w:val="both"/>
        <w:rPr>
          <w:rFonts w:ascii="宋体" w:hAnsi="宋体" w:eastAsia="宋体"/>
          <w:sz w:val="28"/>
          <w:szCs w:val="28"/>
        </w:rPr>
      </w:pPr>
      <w:r>
        <w:rPr>
          <w:rFonts w:ascii="宋体" w:hAnsi="宋体" w:eastAsia="宋体"/>
          <w:sz w:val="28"/>
          <w:szCs w:val="28"/>
        </w:rPr>
        <w:t>本授权有效期与投标文件有效期一致。代理人无转委托权。</w:t>
      </w:r>
    </w:p>
    <w:p>
      <w:pPr>
        <w:spacing w:line="560" w:lineRule="exact"/>
        <w:ind w:firstLine="560" w:firstLineChars="200"/>
        <w:jc w:val="both"/>
        <w:rPr>
          <w:rFonts w:ascii="宋体" w:hAnsi="宋体" w:eastAsia="宋体"/>
          <w:sz w:val="28"/>
          <w:szCs w:val="28"/>
        </w:rPr>
      </w:pPr>
      <w:r>
        <w:rPr>
          <w:rFonts w:ascii="宋体" w:hAnsi="宋体" w:eastAsia="宋体"/>
          <w:sz w:val="28"/>
          <w:szCs w:val="28"/>
        </w:rPr>
        <w:t>代理人姓名：_________________________</w:t>
      </w:r>
      <w:r>
        <w:rPr>
          <w:rFonts w:ascii="宋体" w:hAnsi="宋体" w:eastAsia="宋体"/>
          <w:sz w:val="28"/>
          <w:szCs w:val="28"/>
        </w:rPr>
        <w:tab/>
      </w:r>
    </w:p>
    <w:p>
      <w:pPr>
        <w:spacing w:line="560" w:lineRule="exact"/>
        <w:ind w:firstLine="560" w:firstLineChars="200"/>
        <w:jc w:val="both"/>
        <w:rPr>
          <w:rFonts w:ascii="宋体" w:hAnsi="宋体" w:eastAsia="宋体"/>
          <w:sz w:val="28"/>
          <w:szCs w:val="28"/>
        </w:rPr>
      </w:pPr>
      <w:r>
        <w:rPr>
          <w:rFonts w:ascii="宋体" w:hAnsi="宋体" w:eastAsia="宋体"/>
          <w:sz w:val="28"/>
          <w:szCs w:val="28"/>
        </w:rPr>
        <w:t>联系电话：______________</w:t>
      </w:r>
    </w:p>
    <w:p>
      <w:pPr>
        <w:spacing w:line="560" w:lineRule="exact"/>
        <w:ind w:firstLine="560" w:firstLineChars="200"/>
        <w:jc w:val="both"/>
        <w:rPr>
          <w:rFonts w:ascii="宋体" w:hAnsi="宋体" w:eastAsia="宋体"/>
          <w:sz w:val="28"/>
          <w:szCs w:val="28"/>
        </w:rPr>
      </w:pPr>
      <w:r>
        <w:rPr>
          <w:rFonts w:ascii="宋体" w:hAnsi="宋体" w:eastAsia="宋体"/>
          <w:sz w:val="28"/>
          <w:szCs w:val="28"/>
        </w:rPr>
        <w:t>身份证</w:t>
      </w:r>
      <w:r>
        <w:rPr>
          <w:rFonts w:hint="eastAsia" w:ascii="宋体" w:hAnsi="宋体" w:eastAsia="宋体"/>
          <w:sz w:val="28"/>
          <w:szCs w:val="28"/>
        </w:rPr>
        <w:t>（护照）</w:t>
      </w:r>
      <w:r>
        <w:rPr>
          <w:rFonts w:ascii="宋体" w:hAnsi="宋体" w:eastAsia="宋体"/>
          <w:sz w:val="28"/>
          <w:szCs w:val="28"/>
        </w:rPr>
        <w:t>号码：_________________</w:t>
      </w:r>
      <w:r>
        <w:rPr>
          <w:rFonts w:ascii="宋体" w:hAnsi="宋体" w:eastAsia="宋体"/>
          <w:sz w:val="28"/>
          <w:szCs w:val="28"/>
        </w:rPr>
        <w:tab/>
      </w:r>
    </w:p>
    <w:p>
      <w:pPr>
        <w:spacing w:line="560" w:lineRule="exact"/>
        <w:ind w:firstLine="560" w:firstLineChars="200"/>
        <w:jc w:val="both"/>
        <w:rPr>
          <w:rFonts w:ascii="宋体" w:hAnsi="宋体" w:eastAsia="宋体"/>
          <w:sz w:val="28"/>
          <w:szCs w:val="28"/>
        </w:rPr>
      </w:pPr>
      <w:r>
        <w:rPr>
          <w:rFonts w:ascii="宋体" w:hAnsi="宋体" w:eastAsia="宋体"/>
          <w:sz w:val="28"/>
          <w:szCs w:val="28"/>
        </w:rPr>
        <w:t>职务：__________________</w:t>
      </w:r>
    </w:p>
    <w:p>
      <w:pPr>
        <w:spacing w:line="560" w:lineRule="exact"/>
        <w:ind w:left="1880" w:leftChars="200" w:hanging="1400" w:hangingChars="500"/>
        <w:rPr>
          <w:rFonts w:ascii="宋体" w:hAnsi="宋体" w:eastAsia="宋体"/>
          <w:sz w:val="28"/>
          <w:szCs w:val="28"/>
        </w:rPr>
      </w:pPr>
      <w:r>
        <w:rPr>
          <w:rFonts w:ascii="宋体" w:hAnsi="宋体" w:eastAsia="宋体"/>
          <w:sz w:val="28"/>
          <w:szCs w:val="28"/>
        </w:rPr>
        <w:t xml:space="preserve">通讯地址：_____________________________________________ </w:t>
      </w:r>
    </w:p>
    <w:p>
      <w:pPr>
        <w:spacing w:line="560" w:lineRule="exact"/>
        <w:ind w:firstLine="560" w:firstLineChars="200"/>
        <w:rPr>
          <w:rFonts w:ascii="宋体" w:hAnsi="宋体" w:eastAsia="宋体"/>
          <w:sz w:val="28"/>
          <w:szCs w:val="28"/>
        </w:rPr>
      </w:pPr>
    </w:p>
    <w:p>
      <w:pPr>
        <w:spacing w:line="560" w:lineRule="exact"/>
        <w:ind w:firstLine="640" w:firstLineChars="200"/>
        <w:rPr>
          <w:rFonts w:ascii="宋体" w:hAnsi="宋体" w:eastAsia="宋体"/>
          <w:sz w:val="32"/>
          <w:szCs w:val="32"/>
        </w:rPr>
      </w:pPr>
    </w:p>
    <w:p>
      <w:pPr>
        <w:spacing w:line="560" w:lineRule="exact"/>
        <w:ind w:firstLine="640" w:firstLineChars="200"/>
        <w:rPr>
          <w:rFonts w:ascii="宋体" w:hAnsi="宋体" w:eastAsia="宋体"/>
          <w:sz w:val="32"/>
          <w:szCs w:val="32"/>
        </w:rPr>
      </w:pPr>
    </w:p>
    <w:p>
      <w:pPr>
        <w:spacing w:line="560" w:lineRule="exact"/>
        <w:ind w:firstLine="640" w:firstLineChars="200"/>
        <w:rPr>
          <w:rFonts w:ascii="宋体" w:hAnsi="宋体" w:eastAsia="宋体"/>
          <w:sz w:val="32"/>
          <w:szCs w:val="32"/>
        </w:rPr>
      </w:pPr>
    </w:p>
    <w:p>
      <w:pPr>
        <w:spacing w:line="560" w:lineRule="exact"/>
        <w:ind w:firstLine="640" w:firstLineChars="200"/>
        <w:rPr>
          <w:rFonts w:ascii="宋体" w:hAnsi="宋体" w:eastAsia="宋体"/>
          <w:sz w:val="32"/>
          <w:szCs w:val="32"/>
        </w:rPr>
      </w:pPr>
    </w:p>
    <w:p>
      <w:pPr>
        <w:spacing w:line="560" w:lineRule="exact"/>
        <w:ind w:firstLine="640" w:firstLineChars="200"/>
        <w:rPr>
          <w:rFonts w:ascii="宋体" w:hAnsi="宋体" w:eastAsia="宋体"/>
          <w:sz w:val="32"/>
          <w:szCs w:val="32"/>
        </w:rPr>
      </w:pPr>
    </w:p>
    <w:p>
      <w:pPr>
        <w:spacing w:line="560" w:lineRule="exact"/>
        <w:ind w:firstLine="640" w:firstLineChars="200"/>
        <w:rPr>
          <w:rFonts w:ascii="宋体" w:hAnsi="宋体" w:eastAsia="宋体"/>
          <w:sz w:val="32"/>
          <w:szCs w:val="32"/>
        </w:rPr>
      </w:pPr>
    </w:p>
    <w:p>
      <w:pPr>
        <w:spacing w:line="560" w:lineRule="exact"/>
        <w:ind w:firstLine="640" w:firstLineChars="200"/>
        <w:rPr>
          <w:rFonts w:ascii="宋体" w:hAnsi="宋体" w:eastAsia="宋体"/>
          <w:sz w:val="32"/>
          <w:szCs w:val="32"/>
        </w:rPr>
      </w:pPr>
    </w:p>
    <w:tbl>
      <w:tblPr>
        <w:tblStyle w:val="3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1" w:hRule="atLeast"/>
          <w:jc w:val="center"/>
        </w:trPr>
        <w:tc>
          <w:tcPr>
            <w:tcW w:w="4717" w:type="dxa"/>
            <w:vMerge w:val="restart"/>
            <w:tcBorders>
              <w:top w:val="single" w:color="auto" w:sz="12" w:space="0"/>
              <w:left w:val="single" w:color="auto" w:sz="12" w:space="0"/>
              <w:right w:val="single" w:color="auto" w:sz="12" w:space="0"/>
            </w:tcBorders>
            <w:vAlign w:val="center"/>
          </w:tcPr>
          <w:p>
            <w:pPr>
              <w:spacing w:line="560" w:lineRule="exact"/>
              <w:ind w:firstLine="640" w:firstLineChars="200"/>
              <w:jc w:val="center"/>
              <w:rPr>
                <w:rFonts w:ascii="宋体" w:hAnsi="宋体" w:eastAsia="宋体"/>
                <w:sz w:val="32"/>
                <w:szCs w:val="32"/>
              </w:rPr>
            </w:pPr>
            <w:r>
              <w:rPr>
                <w:rFonts w:ascii="宋体" w:hAnsi="宋体" w:eastAsia="宋体"/>
                <w:sz w:val="32"/>
                <w:szCs w:val="32"/>
              </w:rPr>
              <w:t>法定代表人（主要负责人）</w:t>
            </w:r>
          </w:p>
          <w:p>
            <w:pPr>
              <w:spacing w:line="560" w:lineRule="exact"/>
              <w:ind w:firstLine="640" w:firstLineChars="200"/>
              <w:jc w:val="center"/>
              <w:rPr>
                <w:rFonts w:ascii="宋体" w:hAnsi="宋体" w:eastAsia="宋体"/>
                <w:sz w:val="32"/>
                <w:szCs w:val="32"/>
              </w:rPr>
            </w:pPr>
            <w:r>
              <w:rPr>
                <w:rFonts w:ascii="宋体" w:hAnsi="宋体" w:eastAsia="宋体"/>
                <w:sz w:val="32"/>
                <w:szCs w:val="32"/>
              </w:rPr>
              <w:t>身份证正反面（扫描件）</w:t>
            </w:r>
          </w:p>
          <w:p>
            <w:pPr>
              <w:spacing w:line="560" w:lineRule="exact"/>
              <w:ind w:firstLine="640" w:firstLineChars="200"/>
              <w:jc w:val="center"/>
              <w:rPr>
                <w:rFonts w:ascii="宋体" w:hAnsi="宋体" w:eastAsia="宋体"/>
                <w:sz w:val="32"/>
                <w:szCs w:val="32"/>
              </w:rPr>
            </w:pPr>
            <w:r>
              <w:rPr>
                <w:rFonts w:ascii="宋体" w:hAnsi="宋体" w:eastAsia="宋体"/>
                <w:sz w:val="32"/>
                <w:szCs w:val="32"/>
              </w:rPr>
              <w:t>或护照资料页（扫描件）</w:t>
            </w:r>
          </w:p>
        </w:tc>
        <w:tc>
          <w:tcPr>
            <w:tcW w:w="236" w:type="dxa"/>
            <w:tcBorders>
              <w:top w:val="nil"/>
              <w:left w:val="single" w:color="auto" w:sz="12" w:space="0"/>
              <w:bottom w:val="nil"/>
              <w:right w:val="single" w:color="auto" w:sz="12" w:space="0"/>
            </w:tcBorders>
            <w:vAlign w:val="center"/>
          </w:tcPr>
          <w:p>
            <w:pPr>
              <w:spacing w:line="560" w:lineRule="exact"/>
              <w:ind w:firstLine="640" w:firstLineChars="200"/>
              <w:jc w:val="center"/>
              <w:rPr>
                <w:rFonts w:ascii="宋体" w:hAnsi="宋体" w:eastAsia="宋体"/>
                <w:sz w:val="32"/>
                <w:szCs w:val="32"/>
              </w:rPr>
            </w:pPr>
          </w:p>
        </w:tc>
        <w:tc>
          <w:tcPr>
            <w:tcW w:w="4686" w:type="dxa"/>
            <w:vMerge w:val="restart"/>
            <w:tcBorders>
              <w:top w:val="single" w:color="auto" w:sz="12" w:space="0"/>
              <w:left w:val="single" w:color="auto" w:sz="12" w:space="0"/>
              <w:right w:val="single" w:color="auto" w:sz="12" w:space="0"/>
            </w:tcBorders>
            <w:vAlign w:val="center"/>
          </w:tcPr>
          <w:p>
            <w:pPr>
              <w:spacing w:line="560" w:lineRule="exact"/>
              <w:ind w:firstLine="640" w:firstLineChars="200"/>
              <w:jc w:val="center"/>
              <w:rPr>
                <w:rFonts w:ascii="宋体" w:hAnsi="宋体" w:eastAsia="宋体"/>
                <w:sz w:val="32"/>
                <w:szCs w:val="32"/>
              </w:rPr>
            </w:pPr>
            <w:r>
              <w:rPr>
                <w:rFonts w:ascii="宋体" w:hAnsi="宋体" w:eastAsia="宋体"/>
                <w:sz w:val="32"/>
                <w:szCs w:val="32"/>
              </w:rPr>
              <w:t>委托代理人</w:t>
            </w:r>
          </w:p>
          <w:p>
            <w:pPr>
              <w:spacing w:line="560" w:lineRule="exact"/>
              <w:ind w:firstLine="640" w:firstLineChars="200"/>
              <w:jc w:val="center"/>
              <w:rPr>
                <w:rFonts w:ascii="宋体" w:hAnsi="宋体" w:eastAsia="宋体"/>
                <w:sz w:val="32"/>
                <w:szCs w:val="32"/>
              </w:rPr>
            </w:pPr>
            <w:r>
              <w:rPr>
                <w:rFonts w:ascii="宋体" w:hAnsi="宋体" w:eastAsia="宋体"/>
                <w:sz w:val="32"/>
                <w:szCs w:val="32"/>
              </w:rPr>
              <w:t>身份证正反面（扫描件）</w:t>
            </w:r>
          </w:p>
          <w:p>
            <w:pPr>
              <w:spacing w:line="560" w:lineRule="exact"/>
              <w:ind w:firstLine="640" w:firstLineChars="200"/>
              <w:jc w:val="center"/>
              <w:rPr>
                <w:rFonts w:ascii="宋体" w:hAnsi="宋体" w:eastAsia="宋体"/>
                <w:sz w:val="32"/>
                <w:szCs w:val="32"/>
              </w:rPr>
            </w:pPr>
            <w:r>
              <w:rPr>
                <w:rFonts w:ascii="宋体" w:hAnsi="宋体" w:eastAsia="宋体"/>
                <w:sz w:val="32"/>
                <w:szCs w:val="32"/>
              </w:rPr>
              <w:t>或护照资料页（扫描件）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vMerge w:val="continue"/>
            <w:tcBorders>
              <w:left w:val="single" w:color="auto" w:sz="12" w:space="0"/>
              <w:bottom w:val="single" w:color="auto" w:sz="12" w:space="0"/>
              <w:right w:val="single" w:color="auto" w:sz="12" w:space="0"/>
            </w:tcBorders>
            <w:vAlign w:val="center"/>
          </w:tcPr>
          <w:p>
            <w:pPr>
              <w:spacing w:line="560" w:lineRule="exact"/>
              <w:ind w:firstLine="640" w:firstLineChars="200"/>
              <w:jc w:val="center"/>
              <w:rPr>
                <w:rFonts w:ascii="宋体" w:hAnsi="宋体" w:eastAsia="宋体"/>
                <w:sz w:val="32"/>
                <w:szCs w:val="32"/>
              </w:rPr>
            </w:pPr>
          </w:p>
        </w:tc>
        <w:tc>
          <w:tcPr>
            <w:tcW w:w="236" w:type="dxa"/>
            <w:tcBorders>
              <w:top w:val="nil"/>
              <w:left w:val="single" w:color="auto" w:sz="12" w:space="0"/>
              <w:bottom w:val="nil"/>
              <w:right w:val="single" w:color="auto" w:sz="12" w:space="0"/>
            </w:tcBorders>
            <w:vAlign w:val="center"/>
          </w:tcPr>
          <w:p>
            <w:pPr>
              <w:spacing w:line="560" w:lineRule="exact"/>
              <w:ind w:firstLine="640" w:firstLineChars="200"/>
              <w:jc w:val="center"/>
              <w:rPr>
                <w:rFonts w:ascii="宋体" w:hAnsi="宋体" w:eastAsia="宋体"/>
                <w:sz w:val="32"/>
                <w:szCs w:val="32"/>
              </w:rPr>
            </w:pPr>
          </w:p>
        </w:tc>
        <w:tc>
          <w:tcPr>
            <w:tcW w:w="4686" w:type="dxa"/>
            <w:vMerge w:val="continue"/>
            <w:tcBorders>
              <w:left w:val="single" w:color="auto" w:sz="12" w:space="0"/>
              <w:bottom w:val="single" w:color="auto" w:sz="12" w:space="0"/>
              <w:right w:val="single" w:color="auto" w:sz="12" w:space="0"/>
            </w:tcBorders>
            <w:vAlign w:val="center"/>
          </w:tcPr>
          <w:p>
            <w:pPr>
              <w:spacing w:line="560" w:lineRule="exact"/>
              <w:ind w:firstLine="640" w:firstLineChars="200"/>
              <w:jc w:val="center"/>
              <w:rPr>
                <w:rFonts w:ascii="宋体" w:hAnsi="宋体" w:eastAsia="宋体"/>
                <w:sz w:val="32"/>
                <w:szCs w:val="32"/>
              </w:rPr>
            </w:pPr>
          </w:p>
        </w:tc>
      </w:tr>
    </w:tbl>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p>
    <w:p>
      <w:pPr>
        <w:spacing w:line="560" w:lineRule="exact"/>
        <w:ind w:firstLine="1600" w:firstLineChars="500"/>
        <w:jc w:val="both"/>
        <w:rPr>
          <w:rFonts w:ascii="宋体" w:hAnsi="宋体" w:eastAsia="宋体"/>
          <w:sz w:val="32"/>
          <w:szCs w:val="32"/>
        </w:rPr>
      </w:pPr>
      <w:r>
        <w:rPr>
          <w:rFonts w:ascii="宋体" w:hAnsi="宋体" w:eastAsia="宋体"/>
          <w:sz w:val="32"/>
          <w:szCs w:val="32"/>
        </w:rPr>
        <w:t>法定代表人（主要负责人）：（签字或盖章）</w:t>
      </w:r>
    </w:p>
    <w:p>
      <w:pPr>
        <w:spacing w:line="560" w:lineRule="exact"/>
        <w:ind w:firstLine="2409" w:firstLineChars="753"/>
        <w:jc w:val="both"/>
        <w:rPr>
          <w:rFonts w:ascii="宋体" w:hAnsi="宋体" w:eastAsia="宋体"/>
          <w:sz w:val="32"/>
          <w:szCs w:val="32"/>
        </w:rPr>
      </w:pPr>
      <w:r>
        <w:rPr>
          <w:rFonts w:ascii="宋体" w:hAnsi="宋体" w:eastAsia="宋体"/>
          <w:sz w:val="32"/>
          <w:szCs w:val="32"/>
        </w:rPr>
        <w:t>供应商：（供应商全称并加盖公章）</w:t>
      </w:r>
    </w:p>
    <w:p>
      <w:pPr>
        <w:spacing w:line="560" w:lineRule="exact"/>
        <w:ind w:firstLine="2409" w:firstLineChars="753"/>
        <w:jc w:val="both"/>
        <w:rPr>
          <w:rFonts w:ascii="宋体" w:hAnsi="宋体" w:eastAsia="宋体"/>
          <w:sz w:val="32"/>
          <w:szCs w:val="32"/>
        </w:rPr>
      </w:pPr>
      <w:r>
        <w:rPr>
          <w:rFonts w:ascii="宋体" w:hAnsi="宋体" w:eastAsia="宋体"/>
          <w:sz w:val="32"/>
          <w:szCs w:val="32"/>
        </w:rPr>
        <w:t>授权日期：      年  月  日</w:t>
      </w:r>
    </w:p>
    <w:p>
      <w:pPr>
        <w:spacing w:line="560" w:lineRule="exact"/>
        <w:jc w:val="both"/>
        <w:rPr>
          <w:rFonts w:ascii="宋体" w:hAnsi="宋体" w:eastAsia="宋体"/>
          <w:sz w:val="32"/>
          <w:szCs w:val="32"/>
        </w:rPr>
      </w:pPr>
    </w:p>
    <w:p>
      <w:pPr>
        <w:spacing w:line="560" w:lineRule="exact"/>
        <w:jc w:val="both"/>
        <w:rPr>
          <w:rFonts w:ascii="宋体" w:hAnsi="宋体" w:eastAsia="宋体"/>
          <w:sz w:val="32"/>
          <w:szCs w:val="32"/>
        </w:rPr>
      </w:pPr>
    </w:p>
    <w:p>
      <w:pPr>
        <w:spacing w:line="560" w:lineRule="exact"/>
        <w:jc w:val="both"/>
        <w:rPr>
          <w:rFonts w:ascii="宋体" w:hAnsi="宋体" w:eastAsia="宋体"/>
          <w:sz w:val="32"/>
          <w:szCs w:val="32"/>
        </w:rPr>
      </w:pPr>
    </w:p>
    <w:p>
      <w:pPr>
        <w:spacing w:line="560" w:lineRule="exact"/>
        <w:jc w:val="both"/>
        <w:rPr>
          <w:rFonts w:ascii="宋体" w:hAnsi="宋体" w:eastAsia="宋体"/>
          <w:sz w:val="32"/>
          <w:szCs w:val="32"/>
        </w:rPr>
      </w:pPr>
    </w:p>
    <w:p>
      <w:pPr>
        <w:spacing w:line="560" w:lineRule="exact"/>
        <w:jc w:val="both"/>
        <w:rPr>
          <w:rFonts w:ascii="宋体" w:hAnsi="宋体" w:eastAsia="宋体"/>
          <w:sz w:val="32"/>
          <w:szCs w:val="32"/>
        </w:rPr>
      </w:pPr>
    </w:p>
    <w:p>
      <w:pPr>
        <w:spacing w:line="560" w:lineRule="exact"/>
        <w:jc w:val="both"/>
        <w:rPr>
          <w:rFonts w:ascii="宋体" w:hAnsi="宋体" w:eastAsia="宋体"/>
          <w:sz w:val="32"/>
          <w:szCs w:val="32"/>
        </w:rPr>
      </w:pPr>
    </w:p>
    <w:p>
      <w:pPr>
        <w:spacing w:line="560" w:lineRule="exact"/>
        <w:jc w:val="both"/>
        <w:rPr>
          <w:rFonts w:ascii="宋体" w:hAnsi="宋体" w:eastAsia="宋体"/>
          <w:sz w:val="32"/>
          <w:szCs w:val="32"/>
        </w:rPr>
      </w:pPr>
    </w:p>
    <w:p>
      <w:pPr>
        <w:spacing w:line="560" w:lineRule="exact"/>
        <w:jc w:val="both"/>
        <w:rPr>
          <w:rFonts w:ascii="宋体" w:hAnsi="宋体" w:eastAsia="宋体"/>
          <w:sz w:val="32"/>
          <w:szCs w:val="32"/>
        </w:rPr>
      </w:pPr>
    </w:p>
    <w:p>
      <w:pPr>
        <w:spacing w:line="360" w:lineRule="auto"/>
        <w:ind w:firstLine="640" w:firstLineChars="200"/>
        <w:jc w:val="both"/>
        <w:rPr>
          <w:rFonts w:ascii="宋体" w:hAnsi="宋体" w:eastAsia="宋体"/>
          <w:b/>
          <w:bCs/>
          <w:sz w:val="32"/>
          <w:szCs w:val="32"/>
        </w:rPr>
      </w:pPr>
      <w:bookmarkStart w:id="150" w:name="_Hlk120255167"/>
      <w:r>
        <w:rPr>
          <w:rFonts w:hint="eastAsia" w:ascii="宋体" w:hAnsi="宋体" w:eastAsia="宋体"/>
          <w:b/>
          <w:bCs/>
          <w:sz w:val="32"/>
          <w:szCs w:val="32"/>
        </w:rPr>
        <w:t>（七）履行合同的说明和承诺</w:t>
      </w:r>
    </w:p>
    <w:bookmarkEnd w:id="150"/>
    <w:p>
      <w:pPr>
        <w:spacing w:line="560" w:lineRule="exact"/>
        <w:jc w:val="both"/>
        <w:rPr>
          <w:rFonts w:ascii="宋体" w:hAnsi="宋体" w:eastAsia="宋体"/>
          <w:sz w:val="32"/>
          <w:szCs w:val="32"/>
        </w:rPr>
      </w:pPr>
    </w:p>
    <w:p>
      <w:pPr>
        <w:spacing w:line="560" w:lineRule="exact"/>
        <w:jc w:val="both"/>
        <w:rPr>
          <w:rFonts w:ascii="宋体" w:hAnsi="宋体" w:eastAsia="宋体"/>
          <w:sz w:val="32"/>
          <w:szCs w:val="32"/>
        </w:rPr>
      </w:pPr>
    </w:p>
    <w:p>
      <w:pPr>
        <w:spacing w:line="560" w:lineRule="exact"/>
        <w:jc w:val="both"/>
        <w:rPr>
          <w:rFonts w:ascii="宋体" w:hAnsi="宋体" w:eastAsia="宋体"/>
          <w:sz w:val="32"/>
          <w:szCs w:val="32"/>
        </w:rPr>
      </w:pPr>
    </w:p>
    <w:p>
      <w:pPr>
        <w:spacing w:line="360" w:lineRule="auto"/>
        <w:ind w:firstLine="640" w:firstLineChars="200"/>
        <w:jc w:val="both"/>
        <w:rPr>
          <w:rFonts w:ascii="宋体" w:hAnsi="宋体" w:eastAsia="宋体"/>
          <w:b/>
          <w:bCs/>
          <w:sz w:val="32"/>
          <w:szCs w:val="32"/>
        </w:rPr>
      </w:pPr>
      <w:r>
        <w:rPr>
          <w:rFonts w:ascii="宋体" w:hAnsi="宋体" w:eastAsia="宋体"/>
          <w:b/>
          <w:bCs/>
          <w:sz w:val="32"/>
          <w:szCs w:val="32"/>
        </w:rPr>
        <w:t>（八）信用记录审查结果</w:t>
      </w:r>
    </w:p>
    <w:p>
      <w:pPr>
        <w:spacing w:line="360" w:lineRule="auto"/>
        <w:ind w:firstLine="480" w:firstLineChars="200"/>
        <w:jc w:val="both"/>
        <w:rPr>
          <w:rFonts w:ascii="宋体" w:hAnsi="宋体" w:eastAsia="宋体"/>
          <w:b/>
          <w:bCs/>
          <w:sz w:val="32"/>
          <w:szCs w:val="32"/>
        </w:rPr>
      </w:pPr>
      <w:r>
        <w:t xml:space="preserve"> </w:t>
      </w:r>
      <w:r>
        <w:rPr>
          <w:rFonts w:ascii="宋体" w:hAnsi="宋体" w:eastAsia="宋体"/>
          <w:b/>
          <w:bCs/>
          <w:sz w:val="32"/>
          <w:szCs w:val="32"/>
        </w:rPr>
        <w:t>（九）控股、管理关系的查询结果 “国家企业信用信息公示系统”网站对自身信用记录及控股、管理关系进行自查。</w:t>
      </w:r>
    </w:p>
    <w:p>
      <w:pPr>
        <w:spacing w:line="360" w:lineRule="auto"/>
        <w:ind w:firstLine="640" w:firstLineChars="200"/>
        <w:jc w:val="both"/>
        <w:rPr>
          <w:rFonts w:ascii="宋体" w:hAnsi="宋体" w:eastAsia="宋体"/>
          <w:b/>
          <w:bCs/>
          <w:sz w:val="32"/>
          <w:szCs w:val="32"/>
        </w:rPr>
      </w:pPr>
      <w:r>
        <w:rPr>
          <w:rFonts w:ascii="宋体" w:hAnsi="宋体" w:eastAsia="宋体"/>
          <w:b/>
          <w:bCs/>
          <w:sz w:val="32"/>
          <w:szCs w:val="32"/>
        </w:rPr>
        <w:t xml:space="preserve"> （十）不接受联合体投</w:t>
      </w:r>
      <w:r>
        <w:rPr>
          <w:rFonts w:hint="eastAsia" w:ascii="宋体" w:hAnsi="宋体" w:eastAsia="宋体"/>
          <w:b/>
          <w:bCs/>
          <w:sz w:val="32"/>
          <w:szCs w:val="32"/>
        </w:rPr>
        <w:t>标，不允许分包</w:t>
      </w:r>
    </w:p>
    <w:p>
      <w:pPr>
        <w:spacing w:line="360" w:lineRule="auto"/>
        <w:ind w:firstLine="640" w:firstLineChars="200"/>
        <w:jc w:val="both"/>
        <w:rPr>
          <w:rFonts w:ascii="宋体" w:hAnsi="宋体" w:eastAsia="宋体"/>
          <w:b/>
          <w:bCs/>
          <w:sz w:val="32"/>
          <w:szCs w:val="32"/>
        </w:rPr>
      </w:pPr>
    </w:p>
    <w:p>
      <w:pPr>
        <w:spacing w:line="360" w:lineRule="auto"/>
        <w:ind w:firstLine="640" w:firstLineChars="200"/>
        <w:jc w:val="both"/>
        <w:rPr>
          <w:rFonts w:ascii="宋体" w:hAnsi="宋体" w:eastAsia="宋体"/>
          <w:b/>
          <w:bCs/>
          <w:sz w:val="32"/>
          <w:szCs w:val="32"/>
        </w:rPr>
      </w:pPr>
    </w:p>
    <w:p>
      <w:pPr>
        <w:spacing w:line="560" w:lineRule="exact"/>
        <w:ind w:firstLine="640" w:firstLineChars="200"/>
        <w:jc w:val="both"/>
        <w:rPr>
          <w:rFonts w:ascii="宋体" w:hAnsi="宋体" w:eastAsia="宋体"/>
          <w:b/>
          <w:bCs/>
          <w:sz w:val="32"/>
          <w:szCs w:val="32"/>
        </w:rPr>
      </w:pPr>
    </w:p>
    <w:p>
      <w:pPr>
        <w:spacing w:line="560" w:lineRule="exact"/>
        <w:ind w:firstLine="640" w:firstLineChars="200"/>
        <w:jc w:val="both"/>
        <w:rPr>
          <w:rFonts w:ascii="宋体" w:hAnsi="宋体" w:eastAsia="宋体"/>
          <w:b/>
          <w:bCs/>
          <w:sz w:val="32"/>
          <w:szCs w:val="32"/>
        </w:rPr>
      </w:pPr>
    </w:p>
    <w:p>
      <w:pPr>
        <w:spacing w:line="560" w:lineRule="exact"/>
        <w:ind w:firstLine="640" w:firstLineChars="200"/>
        <w:jc w:val="both"/>
        <w:rPr>
          <w:rFonts w:ascii="宋体" w:hAnsi="宋体" w:eastAsia="宋体"/>
          <w:b/>
          <w:bCs/>
          <w:sz w:val="32"/>
          <w:szCs w:val="32"/>
        </w:rPr>
      </w:pPr>
    </w:p>
    <w:p>
      <w:pPr>
        <w:spacing w:line="560" w:lineRule="exact"/>
        <w:ind w:firstLine="640" w:firstLineChars="200"/>
        <w:jc w:val="both"/>
        <w:rPr>
          <w:rFonts w:ascii="宋体" w:hAnsi="宋体" w:eastAsia="宋体"/>
          <w:b/>
          <w:bCs/>
          <w:sz w:val="32"/>
          <w:szCs w:val="32"/>
        </w:rPr>
      </w:pPr>
    </w:p>
    <w:p>
      <w:pPr>
        <w:pStyle w:val="2"/>
      </w:pPr>
    </w:p>
    <w:p>
      <w:pPr>
        <w:spacing w:line="560" w:lineRule="exact"/>
        <w:ind w:firstLine="640" w:firstLineChars="200"/>
        <w:jc w:val="both"/>
        <w:rPr>
          <w:rFonts w:ascii="宋体" w:hAnsi="宋体" w:eastAsia="宋体"/>
          <w:b/>
          <w:bCs/>
          <w:sz w:val="32"/>
          <w:szCs w:val="32"/>
        </w:rPr>
      </w:pPr>
    </w:p>
    <w:p>
      <w:pPr>
        <w:spacing w:line="560" w:lineRule="exact"/>
        <w:ind w:firstLine="640" w:firstLineChars="200"/>
        <w:jc w:val="both"/>
        <w:rPr>
          <w:rFonts w:ascii="宋体" w:hAnsi="宋体" w:eastAsia="宋体"/>
          <w:b/>
          <w:bCs/>
          <w:sz w:val="32"/>
          <w:szCs w:val="32"/>
        </w:rPr>
      </w:pPr>
    </w:p>
    <w:p>
      <w:pPr>
        <w:spacing w:line="560" w:lineRule="exact"/>
        <w:ind w:firstLine="640" w:firstLineChars="200"/>
        <w:jc w:val="both"/>
        <w:rPr>
          <w:rFonts w:ascii="宋体" w:hAnsi="宋体" w:eastAsia="宋体"/>
          <w:b/>
          <w:bCs/>
          <w:sz w:val="32"/>
          <w:szCs w:val="32"/>
        </w:rPr>
      </w:pPr>
    </w:p>
    <w:p>
      <w:pPr>
        <w:spacing w:line="560" w:lineRule="exact"/>
        <w:ind w:firstLine="640" w:firstLineChars="200"/>
        <w:jc w:val="both"/>
        <w:rPr>
          <w:rFonts w:ascii="宋体" w:hAnsi="宋体" w:eastAsia="宋体"/>
          <w:b/>
          <w:bCs/>
          <w:sz w:val="32"/>
          <w:szCs w:val="32"/>
        </w:rPr>
      </w:pPr>
    </w:p>
    <w:p>
      <w:pPr>
        <w:spacing w:line="560" w:lineRule="exact"/>
        <w:ind w:firstLine="640" w:firstLineChars="200"/>
        <w:jc w:val="both"/>
        <w:rPr>
          <w:rFonts w:ascii="宋体" w:hAnsi="宋体" w:eastAsia="宋体"/>
          <w:b/>
          <w:bCs/>
          <w:sz w:val="32"/>
          <w:szCs w:val="32"/>
        </w:rPr>
      </w:pPr>
    </w:p>
    <w:p>
      <w:pPr>
        <w:spacing w:line="560" w:lineRule="exact"/>
        <w:ind w:firstLine="640" w:firstLineChars="200"/>
        <w:jc w:val="both"/>
        <w:rPr>
          <w:rFonts w:ascii="宋体" w:hAnsi="宋体" w:eastAsia="宋体"/>
          <w:b/>
          <w:bCs/>
          <w:sz w:val="32"/>
          <w:szCs w:val="32"/>
        </w:rPr>
      </w:pPr>
    </w:p>
    <w:p>
      <w:pPr>
        <w:spacing w:line="560" w:lineRule="exact"/>
        <w:ind w:firstLine="640" w:firstLineChars="200"/>
        <w:jc w:val="both"/>
        <w:rPr>
          <w:rFonts w:ascii="宋体" w:hAnsi="宋体" w:eastAsia="宋体"/>
          <w:b/>
          <w:bCs/>
          <w:sz w:val="32"/>
          <w:szCs w:val="32"/>
        </w:rPr>
      </w:pPr>
    </w:p>
    <w:p>
      <w:pPr>
        <w:spacing w:line="560" w:lineRule="exact"/>
        <w:jc w:val="both"/>
        <w:rPr>
          <w:rFonts w:ascii="宋体" w:hAnsi="宋体" w:eastAsia="宋体"/>
          <w:b/>
          <w:bCs/>
          <w:sz w:val="32"/>
          <w:szCs w:val="32"/>
        </w:rPr>
      </w:pPr>
    </w:p>
    <w:p>
      <w:pPr>
        <w:pStyle w:val="4"/>
        <w:ind w:firstLine="643"/>
        <w:jc w:val="center"/>
        <w:rPr>
          <w:rFonts w:ascii="宋体" w:hAnsi="宋体" w:eastAsia="宋体"/>
          <w:b/>
          <w:bCs/>
        </w:rPr>
      </w:pPr>
      <w:bookmarkStart w:id="151" w:name="_Toc120103989"/>
      <w:r>
        <w:rPr>
          <w:rFonts w:ascii="宋体" w:hAnsi="宋体" w:eastAsia="宋体"/>
          <w:b/>
          <w:bCs/>
        </w:rPr>
        <w:t>第四部分</w:t>
      </w:r>
      <w:r>
        <w:rPr>
          <w:rFonts w:hint="eastAsia" w:ascii="宋体" w:hAnsi="宋体" w:eastAsia="宋体"/>
          <w:b/>
          <w:bCs/>
        </w:rPr>
        <w:t xml:space="preserve">  </w:t>
      </w:r>
      <w:r>
        <w:rPr>
          <w:rFonts w:ascii="宋体" w:hAnsi="宋体" w:eastAsia="宋体"/>
          <w:b/>
          <w:bCs/>
        </w:rPr>
        <w:t>供应商概况</w:t>
      </w:r>
      <w:bookmarkEnd w:id="151"/>
    </w:p>
    <w:p>
      <w:pPr>
        <w:pStyle w:val="108"/>
        <w:spacing w:before="210" w:after="210"/>
        <w:rPr>
          <w:rFonts w:ascii="宋体" w:hAnsi="宋体" w:eastAsia="宋体"/>
        </w:rPr>
      </w:pPr>
      <w:bookmarkStart w:id="152" w:name="_Toc120103990"/>
      <w:r>
        <w:rPr>
          <w:rFonts w:ascii="宋体" w:hAnsi="宋体" w:eastAsia="宋体"/>
        </w:rPr>
        <w:t>（一）供应商基本信息</w:t>
      </w:r>
      <w:bookmarkEnd w:id="152"/>
    </w:p>
    <w:tbl>
      <w:tblPr>
        <w:tblStyle w:val="100"/>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宋体" w:hAnsi="宋体" w:eastAsia="宋体"/>
                <w:kern w:val="2"/>
                <w:sz w:val="28"/>
                <w:szCs w:val="28"/>
              </w:rPr>
            </w:pPr>
            <w:r>
              <w:rPr>
                <w:rFonts w:ascii="宋体" w:hAnsi="宋体" w:eastAsia="宋体"/>
                <w:kern w:val="2"/>
                <w:sz w:val="28"/>
                <w:szCs w:val="28"/>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kern w:val="2"/>
                <w:sz w:val="28"/>
                <w:szCs w:val="28"/>
              </w:rPr>
            </w:pPr>
            <w:r>
              <w:rPr>
                <w:rFonts w:ascii="宋体" w:hAnsi="宋体" w:eastAsia="宋体"/>
                <w:kern w:val="2"/>
                <w:sz w:val="28"/>
                <w:szCs w:val="28"/>
              </w:rPr>
              <w:t>供应商全称</w:t>
            </w:r>
          </w:p>
        </w:tc>
        <w:tc>
          <w:tcPr>
            <w:tcW w:w="6756" w:type="dxa"/>
            <w:gridSpan w:val="5"/>
          </w:tcPr>
          <w:p>
            <w:pPr>
              <w:ind w:firstLine="0"/>
              <w:jc w:val="both"/>
              <w:rPr>
                <w:rFonts w:ascii="宋体" w:hAnsi="宋体" w:eastAsia="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kern w:val="2"/>
                <w:sz w:val="28"/>
                <w:szCs w:val="28"/>
              </w:rPr>
            </w:pPr>
            <w:r>
              <w:rPr>
                <w:rFonts w:ascii="宋体" w:hAnsi="宋体" w:eastAsia="宋体"/>
                <w:kern w:val="2"/>
                <w:sz w:val="28"/>
                <w:szCs w:val="28"/>
              </w:rPr>
              <w:t>注册地址</w:t>
            </w:r>
          </w:p>
        </w:tc>
        <w:tc>
          <w:tcPr>
            <w:tcW w:w="2416" w:type="dxa"/>
            <w:gridSpan w:val="2"/>
          </w:tcPr>
          <w:p>
            <w:pPr>
              <w:ind w:firstLine="0"/>
              <w:jc w:val="both"/>
              <w:rPr>
                <w:rFonts w:ascii="宋体" w:hAnsi="宋体" w:eastAsia="宋体"/>
                <w:kern w:val="2"/>
                <w:sz w:val="28"/>
                <w:szCs w:val="28"/>
              </w:rPr>
            </w:pPr>
          </w:p>
        </w:tc>
        <w:tc>
          <w:tcPr>
            <w:tcW w:w="1411" w:type="dxa"/>
          </w:tcPr>
          <w:p>
            <w:pPr>
              <w:ind w:firstLine="0"/>
              <w:jc w:val="both"/>
              <w:rPr>
                <w:rFonts w:ascii="宋体" w:hAnsi="宋体" w:eastAsia="宋体"/>
                <w:kern w:val="2"/>
                <w:sz w:val="28"/>
                <w:szCs w:val="28"/>
              </w:rPr>
            </w:pPr>
            <w:r>
              <w:rPr>
                <w:rFonts w:ascii="宋体" w:hAnsi="宋体" w:eastAsia="宋体"/>
                <w:kern w:val="2"/>
                <w:sz w:val="28"/>
                <w:szCs w:val="28"/>
              </w:rPr>
              <w:t>成立时间</w:t>
            </w:r>
          </w:p>
        </w:tc>
        <w:tc>
          <w:tcPr>
            <w:tcW w:w="2929" w:type="dxa"/>
            <w:gridSpan w:val="2"/>
          </w:tcPr>
          <w:p>
            <w:pPr>
              <w:ind w:firstLine="0"/>
              <w:jc w:val="both"/>
              <w:rPr>
                <w:rFonts w:ascii="宋体" w:hAnsi="宋体" w:eastAsia="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kern w:val="2"/>
                <w:sz w:val="28"/>
                <w:szCs w:val="28"/>
              </w:rPr>
            </w:pPr>
            <w:r>
              <w:rPr>
                <w:rFonts w:ascii="宋体" w:hAnsi="宋体" w:eastAsia="宋体"/>
                <w:kern w:val="2"/>
                <w:sz w:val="28"/>
                <w:szCs w:val="28"/>
              </w:rPr>
              <w:t>统一社会信用代码</w:t>
            </w:r>
          </w:p>
        </w:tc>
        <w:tc>
          <w:tcPr>
            <w:tcW w:w="2416" w:type="dxa"/>
            <w:gridSpan w:val="2"/>
          </w:tcPr>
          <w:p>
            <w:pPr>
              <w:ind w:firstLine="0"/>
              <w:jc w:val="both"/>
              <w:rPr>
                <w:rFonts w:ascii="宋体" w:hAnsi="宋体" w:eastAsia="宋体"/>
                <w:kern w:val="2"/>
                <w:sz w:val="28"/>
                <w:szCs w:val="28"/>
              </w:rPr>
            </w:pPr>
          </w:p>
        </w:tc>
        <w:tc>
          <w:tcPr>
            <w:tcW w:w="1411" w:type="dxa"/>
          </w:tcPr>
          <w:p>
            <w:pPr>
              <w:ind w:firstLine="0"/>
              <w:jc w:val="both"/>
              <w:rPr>
                <w:rFonts w:ascii="宋体" w:hAnsi="宋体" w:eastAsia="宋体"/>
                <w:kern w:val="2"/>
                <w:sz w:val="28"/>
                <w:szCs w:val="28"/>
              </w:rPr>
            </w:pPr>
            <w:r>
              <w:rPr>
                <w:rFonts w:ascii="宋体" w:hAnsi="宋体" w:eastAsia="宋体"/>
                <w:kern w:val="2"/>
                <w:sz w:val="28"/>
                <w:szCs w:val="28"/>
              </w:rPr>
              <w:t>单位性质</w:t>
            </w:r>
          </w:p>
        </w:tc>
        <w:tc>
          <w:tcPr>
            <w:tcW w:w="2929" w:type="dxa"/>
            <w:gridSpan w:val="2"/>
          </w:tcPr>
          <w:p>
            <w:pPr>
              <w:ind w:firstLine="0"/>
              <w:jc w:val="both"/>
              <w:rPr>
                <w:rFonts w:ascii="宋体" w:hAnsi="宋体" w:eastAsia="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kern w:val="2"/>
                <w:sz w:val="28"/>
                <w:szCs w:val="28"/>
              </w:rPr>
            </w:pPr>
            <w:r>
              <w:rPr>
                <w:rFonts w:ascii="宋体" w:hAnsi="宋体" w:eastAsia="宋体"/>
                <w:kern w:val="2"/>
                <w:sz w:val="28"/>
                <w:szCs w:val="28"/>
              </w:rPr>
              <w:t>法定代表人</w:t>
            </w:r>
            <w:r>
              <w:rPr>
                <w:rFonts w:ascii="宋体" w:hAnsi="宋体" w:eastAsia="宋体"/>
                <w:kern w:val="2"/>
                <w:sz w:val="28"/>
                <w:szCs w:val="28"/>
              </w:rPr>
              <w:br w:type="textWrapping"/>
            </w:r>
            <w:r>
              <w:rPr>
                <w:rFonts w:ascii="宋体" w:hAnsi="宋体" w:eastAsia="宋体"/>
                <w:kern w:val="2"/>
                <w:sz w:val="28"/>
                <w:szCs w:val="28"/>
              </w:rPr>
              <w:t>（主要负责人）</w:t>
            </w:r>
          </w:p>
        </w:tc>
        <w:tc>
          <w:tcPr>
            <w:tcW w:w="2416" w:type="dxa"/>
            <w:gridSpan w:val="2"/>
          </w:tcPr>
          <w:p>
            <w:pPr>
              <w:ind w:firstLine="0"/>
              <w:jc w:val="both"/>
              <w:rPr>
                <w:rFonts w:ascii="宋体" w:hAnsi="宋体" w:eastAsia="宋体"/>
                <w:kern w:val="2"/>
                <w:sz w:val="28"/>
                <w:szCs w:val="28"/>
              </w:rPr>
            </w:pPr>
          </w:p>
        </w:tc>
        <w:tc>
          <w:tcPr>
            <w:tcW w:w="1411" w:type="dxa"/>
          </w:tcPr>
          <w:p>
            <w:pPr>
              <w:ind w:firstLine="0"/>
              <w:jc w:val="both"/>
              <w:rPr>
                <w:rFonts w:ascii="宋体" w:hAnsi="宋体" w:eastAsia="宋体"/>
                <w:kern w:val="2"/>
                <w:sz w:val="28"/>
                <w:szCs w:val="28"/>
              </w:rPr>
            </w:pPr>
            <w:r>
              <w:rPr>
                <w:rFonts w:ascii="宋体" w:hAnsi="宋体" w:eastAsia="宋体"/>
                <w:kern w:val="2"/>
                <w:sz w:val="28"/>
                <w:szCs w:val="28"/>
              </w:rPr>
              <w:t>所属行业</w:t>
            </w:r>
          </w:p>
        </w:tc>
        <w:tc>
          <w:tcPr>
            <w:tcW w:w="2929" w:type="dxa"/>
            <w:gridSpan w:val="2"/>
          </w:tcPr>
          <w:p>
            <w:pPr>
              <w:ind w:firstLine="0"/>
              <w:jc w:val="both"/>
              <w:rPr>
                <w:rFonts w:ascii="宋体" w:hAnsi="宋体" w:eastAsia="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kern w:val="2"/>
                <w:sz w:val="28"/>
                <w:szCs w:val="28"/>
              </w:rPr>
            </w:pPr>
            <w:r>
              <w:rPr>
                <w:rFonts w:ascii="宋体" w:hAnsi="宋体" w:eastAsia="宋体"/>
                <w:kern w:val="2"/>
                <w:sz w:val="28"/>
                <w:szCs w:val="28"/>
              </w:rPr>
              <w:t>基本存款账户</w:t>
            </w:r>
            <w:r>
              <w:rPr>
                <w:rFonts w:ascii="宋体" w:hAnsi="宋体" w:eastAsia="宋体"/>
                <w:kern w:val="2"/>
                <w:sz w:val="28"/>
                <w:szCs w:val="28"/>
              </w:rPr>
              <w:br w:type="textWrapping"/>
            </w:r>
            <w:r>
              <w:rPr>
                <w:rFonts w:ascii="宋体" w:hAnsi="宋体" w:eastAsia="宋体"/>
                <w:kern w:val="2"/>
                <w:sz w:val="28"/>
                <w:szCs w:val="28"/>
              </w:rPr>
              <w:t>开户银行</w:t>
            </w:r>
          </w:p>
        </w:tc>
        <w:tc>
          <w:tcPr>
            <w:tcW w:w="2416" w:type="dxa"/>
            <w:gridSpan w:val="2"/>
          </w:tcPr>
          <w:p>
            <w:pPr>
              <w:ind w:firstLine="0"/>
              <w:jc w:val="both"/>
              <w:rPr>
                <w:rFonts w:ascii="宋体" w:hAnsi="宋体" w:eastAsia="宋体"/>
                <w:kern w:val="2"/>
                <w:sz w:val="28"/>
                <w:szCs w:val="28"/>
              </w:rPr>
            </w:pPr>
          </w:p>
        </w:tc>
        <w:tc>
          <w:tcPr>
            <w:tcW w:w="1411" w:type="dxa"/>
          </w:tcPr>
          <w:p>
            <w:pPr>
              <w:ind w:firstLine="0"/>
              <w:jc w:val="both"/>
              <w:rPr>
                <w:rFonts w:ascii="宋体" w:hAnsi="宋体" w:eastAsia="宋体"/>
                <w:kern w:val="2"/>
                <w:sz w:val="28"/>
                <w:szCs w:val="28"/>
              </w:rPr>
            </w:pPr>
            <w:r>
              <w:rPr>
                <w:rFonts w:ascii="宋体" w:hAnsi="宋体" w:eastAsia="宋体"/>
                <w:kern w:val="2"/>
                <w:sz w:val="28"/>
                <w:szCs w:val="28"/>
              </w:rPr>
              <w:t>基本存款</w:t>
            </w:r>
            <w:r>
              <w:rPr>
                <w:rFonts w:ascii="宋体" w:hAnsi="宋体" w:eastAsia="宋体"/>
                <w:kern w:val="2"/>
                <w:sz w:val="28"/>
                <w:szCs w:val="28"/>
              </w:rPr>
              <w:br w:type="textWrapping"/>
            </w:r>
            <w:r>
              <w:rPr>
                <w:rFonts w:ascii="宋体" w:hAnsi="宋体" w:eastAsia="宋体"/>
                <w:kern w:val="2"/>
                <w:sz w:val="28"/>
                <w:szCs w:val="28"/>
              </w:rPr>
              <w:t>账户账号</w:t>
            </w:r>
          </w:p>
        </w:tc>
        <w:tc>
          <w:tcPr>
            <w:tcW w:w="2929" w:type="dxa"/>
            <w:gridSpan w:val="2"/>
          </w:tcPr>
          <w:p>
            <w:pPr>
              <w:ind w:firstLine="0"/>
              <w:jc w:val="both"/>
              <w:rPr>
                <w:rFonts w:ascii="宋体" w:hAnsi="宋体" w:eastAsia="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kern w:val="2"/>
                <w:sz w:val="28"/>
                <w:szCs w:val="28"/>
              </w:rPr>
            </w:pPr>
            <w:r>
              <w:rPr>
                <w:rFonts w:ascii="宋体" w:hAnsi="宋体" w:eastAsia="宋体"/>
                <w:kern w:val="2"/>
                <w:sz w:val="28"/>
                <w:szCs w:val="28"/>
              </w:rPr>
              <w:t>上年度</w:t>
            </w:r>
            <w:r>
              <w:rPr>
                <w:rFonts w:ascii="宋体" w:hAnsi="宋体" w:eastAsia="宋体"/>
                <w:kern w:val="2"/>
                <w:sz w:val="28"/>
                <w:szCs w:val="28"/>
              </w:rPr>
              <w:br w:type="textWrapping"/>
            </w:r>
            <w:r>
              <w:rPr>
                <w:rFonts w:ascii="宋体" w:hAnsi="宋体" w:eastAsia="宋体"/>
                <w:kern w:val="2"/>
                <w:sz w:val="28"/>
                <w:szCs w:val="28"/>
              </w:rPr>
              <w:t>营业收入*</w:t>
            </w:r>
          </w:p>
        </w:tc>
        <w:tc>
          <w:tcPr>
            <w:tcW w:w="2416" w:type="dxa"/>
            <w:gridSpan w:val="2"/>
          </w:tcPr>
          <w:p>
            <w:pPr>
              <w:ind w:firstLine="0"/>
              <w:jc w:val="both"/>
              <w:rPr>
                <w:rFonts w:ascii="宋体" w:hAnsi="宋体" w:eastAsia="宋体"/>
                <w:kern w:val="2"/>
                <w:sz w:val="28"/>
                <w:szCs w:val="28"/>
              </w:rPr>
            </w:pPr>
          </w:p>
        </w:tc>
        <w:tc>
          <w:tcPr>
            <w:tcW w:w="1411" w:type="dxa"/>
          </w:tcPr>
          <w:p>
            <w:pPr>
              <w:ind w:firstLine="0"/>
              <w:jc w:val="both"/>
              <w:rPr>
                <w:rFonts w:ascii="宋体" w:hAnsi="宋体" w:eastAsia="宋体"/>
                <w:kern w:val="2"/>
                <w:sz w:val="28"/>
                <w:szCs w:val="28"/>
              </w:rPr>
            </w:pPr>
            <w:r>
              <w:rPr>
                <w:rFonts w:ascii="宋体" w:hAnsi="宋体" w:eastAsia="宋体"/>
                <w:kern w:val="2"/>
                <w:sz w:val="28"/>
                <w:szCs w:val="28"/>
              </w:rPr>
              <w:t>资产总额</w:t>
            </w:r>
          </w:p>
        </w:tc>
        <w:tc>
          <w:tcPr>
            <w:tcW w:w="2929" w:type="dxa"/>
            <w:gridSpan w:val="2"/>
          </w:tcPr>
          <w:p>
            <w:pPr>
              <w:ind w:firstLine="0"/>
              <w:jc w:val="both"/>
              <w:rPr>
                <w:rFonts w:ascii="宋体" w:hAnsi="宋体" w:eastAsia="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kern w:val="2"/>
                <w:sz w:val="28"/>
                <w:szCs w:val="28"/>
              </w:rPr>
            </w:pPr>
            <w:r>
              <w:rPr>
                <w:rFonts w:ascii="宋体" w:hAnsi="宋体" w:eastAsia="宋体"/>
                <w:kern w:val="2"/>
                <w:sz w:val="28"/>
                <w:szCs w:val="28"/>
              </w:rPr>
              <w:t>经营范围</w:t>
            </w:r>
          </w:p>
        </w:tc>
        <w:tc>
          <w:tcPr>
            <w:tcW w:w="6756" w:type="dxa"/>
            <w:gridSpan w:val="5"/>
          </w:tcPr>
          <w:p>
            <w:pPr>
              <w:ind w:firstLine="0"/>
              <w:jc w:val="both"/>
              <w:rPr>
                <w:rFonts w:ascii="宋体" w:hAnsi="宋体" w:eastAsia="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kern w:val="2"/>
                <w:sz w:val="28"/>
                <w:szCs w:val="28"/>
              </w:rPr>
            </w:pPr>
            <w:r>
              <w:rPr>
                <w:rFonts w:ascii="宋体" w:hAnsi="宋体" w:eastAsia="宋体"/>
                <w:kern w:val="2"/>
                <w:sz w:val="28"/>
                <w:szCs w:val="28"/>
              </w:rPr>
              <w:t>资质证书名称</w:t>
            </w:r>
          </w:p>
        </w:tc>
        <w:tc>
          <w:tcPr>
            <w:tcW w:w="2416" w:type="dxa"/>
            <w:gridSpan w:val="2"/>
          </w:tcPr>
          <w:p>
            <w:pPr>
              <w:ind w:firstLine="0"/>
              <w:jc w:val="both"/>
              <w:rPr>
                <w:rFonts w:ascii="宋体" w:hAnsi="宋体" w:eastAsia="宋体"/>
                <w:kern w:val="2"/>
                <w:sz w:val="28"/>
                <w:szCs w:val="28"/>
              </w:rPr>
            </w:pPr>
            <w:r>
              <w:rPr>
                <w:rFonts w:ascii="宋体" w:hAnsi="宋体" w:eastAsia="宋体"/>
                <w:kern w:val="2"/>
                <w:sz w:val="28"/>
                <w:szCs w:val="28"/>
              </w:rPr>
              <w:t>证书号</w:t>
            </w:r>
          </w:p>
        </w:tc>
        <w:tc>
          <w:tcPr>
            <w:tcW w:w="1411" w:type="dxa"/>
          </w:tcPr>
          <w:p>
            <w:pPr>
              <w:ind w:firstLine="0"/>
              <w:jc w:val="both"/>
              <w:rPr>
                <w:rFonts w:ascii="宋体" w:hAnsi="宋体" w:eastAsia="宋体"/>
                <w:kern w:val="2"/>
                <w:sz w:val="28"/>
                <w:szCs w:val="28"/>
              </w:rPr>
            </w:pPr>
            <w:r>
              <w:rPr>
                <w:rFonts w:ascii="宋体" w:hAnsi="宋体" w:eastAsia="宋体"/>
                <w:kern w:val="2"/>
                <w:sz w:val="28"/>
                <w:szCs w:val="28"/>
              </w:rPr>
              <w:t>等级</w:t>
            </w:r>
          </w:p>
        </w:tc>
        <w:tc>
          <w:tcPr>
            <w:tcW w:w="2929" w:type="dxa"/>
            <w:gridSpan w:val="2"/>
          </w:tcPr>
          <w:p>
            <w:pPr>
              <w:ind w:firstLine="0"/>
              <w:jc w:val="both"/>
              <w:rPr>
                <w:rFonts w:ascii="宋体" w:hAnsi="宋体" w:eastAsia="宋体"/>
                <w:kern w:val="2"/>
                <w:sz w:val="28"/>
                <w:szCs w:val="28"/>
              </w:rPr>
            </w:pPr>
            <w:r>
              <w:rPr>
                <w:rFonts w:ascii="宋体" w:hAnsi="宋体" w:eastAsia="宋体"/>
                <w:kern w:val="2"/>
                <w:sz w:val="28"/>
                <w:szCs w:val="2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kern w:val="2"/>
                <w:sz w:val="28"/>
                <w:szCs w:val="28"/>
              </w:rPr>
            </w:pPr>
          </w:p>
        </w:tc>
        <w:tc>
          <w:tcPr>
            <w:tcW w:w="2416" w:type="dxa"/>
            <w:gridSpan w:val="2"/>
          </w:tcPr>
          <w:p>
            <w:pPr>
              <w:ind w:firstLine="0"/>
              <w:jc w:val="both"/>
              <w:rPr>
                <w:rFonts w:ascii="宋体" w:hAnsi="宋体" w:eastAsia="宋体"/>
                <w:kern w:val="2"/>
                <w:sz w:val="28"/>
                <w:szCs w:val="28"/>
              </w:rPr>
            </w:pPr>
          </w:p>
        </w:tc>
        <w:tc>
          <w:tcPr>
            <w:tcW w:w="1411" w:type="dxa"/>
          </w:tcPr>
          <w:p>
            <w:pPr>
              <w:ind w:firstLine="0"/>
              <w:jc w:val="both"/>
              <w:rPr>
                <w:rFonts w:ascii="宋体" w:hAnsi="宋体" w:eastAsia="宋体"/>
                <w:kern w:val="2"/>
                <w:sz w:val="28"/>
                <w:szCs w:val="28"/>
              </w:rPr>
            </w:pPr>
          </w:p>
        </w:tc>
        <w:tc>
          <w:tcPr>
            <w:tcW w:w="2929" w:type="dxa"/>
            <w:gridSpan w:val="2"/>
          </w:tcPr>
          <w:p>
            <w:pPr>
              <w:ind w:firstLine="0"/>
              <w:jc w:val="both"/>
              <w:rPr>
                <w:rFonts w:ascii="宋体" w:hAnsi="宋体" w:eastAsia="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kern w:val="2"/>
                <w:sz w:val="28"/>
                <w:szCs w:val="28"/>
              </w:rPr>
            </w:pPr>
          </w:p>
        </w:tc>
        <w:tc>
          <w:tcPr>
            <w:tcW w:w="2416" w:type="dxa"/>
            <w:gridSpan w:val="2"/>
          </w:tcPr>
          <w:p>
            <w:pPr>
              <w:ind w:firstLine="0"/>
              <w:jc w:val="both"/>
              <w:rPr>
                <w:rFonts w:ascii="宋体" w:hAnsi="宋体" w:eastAsia="宋体"/>
                <w:kern w:val="2"/>
                <w:sz w:val="28"/>
                <w:szCs w:val="28"/>
              </w:rPr>
            </w:pPr>
          </w:p>
        </w:tc>
        <w:tc>
          <w:tcPr>
            <w:tcW w:w="1411" w:type="dxa"/>
          </w:tcPr>
          <w:p>
            <w:pPr>
              <w:ind w:firstLine="0"/>
              <w:jc w:val="both"/>
              <w:rPr>
                <w:rFonts w:ascii="宋体" w:hAnsi="宋体" w:eastAsia="宋体"/>
                <w:kern w:val="2"/>
                <w:sz w:val="28"/>
                <w:szCs w:val="28"/>
              </w:rPr>
            </w:pPr>
          </w:p>
        </w:tc>
        <w:tc>
          <w:tcPr>
            <w:tcW w:w="2929" w:type="dxa"/>
            <w:gridSpan w:val="2"/>
          </w:tcPr>
          <w:p>
            <w:pPr>
              <w:ind w:firstLine="0"/>
              <w:jc w:val="both"/>
              <w:rPr>
                <w:rFonts w:ascii="宋体" w:hAnsi="宋体" w:eastAsia="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宋体" w:hAnsi="宋体" w:eastAsia="宋体"/>
                <w:kern w:val="2"/>
                <w:sz w:val="28"/>
                <w:szCs w:val="28"/>
              </w:rPr>
            </w:pPr>
            <w:r>
              <w:rPr>
                <w:rFonts w:ascii="宋体" w:hAnsi="宋体" w:eastAsia="宋体"/>
                <w:kern w:val="2"/>
                <w:sz w:val="28"/>
                <w:szCs w:val="28"/>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tcPr>
          <w:p>
            <w:pPr>
              <w:ind w:firstLine="0"/>
              <w:jc w:val="both"/>
              <w:rPr>
                <w:rFonts w:ascii="宋体" w:hAnsi="宋体" w:eastAsia="宋体"/>
                <w:kern w:val="2"/>
                <w:sz w:val="28"/>
                <w:szCs w:val="28"/>
              </w:rPr>
            </w:pPr>
            <w:r>
              <w:rPr>
                <w:rFonts w:ascii="宋体" w:hAnsi="宋体" w:eastAsia="宋体"/>
                <w:kern w:val="2"/>
                <w:sz w:val="28"/>
                <w:szCs w:val="28"/>
              </w:rPr>
              <w:t>从业人员总数</w:t>
            </w:r>
          </w:p>
        </w:tc>
        <w:tc>
          <w:tcPr>
            <w:tcW w:w="992" w:type="dxa"/>
            <w:vMerge w:val="restart"/>
          </w:tcPr>
          <w:p>
            <w:pPr>
              <w:ind w:firstLine="0"/>
              <w:jc w:val="both"/>
              <w:rPr>
                <w:rFonts w:ascii="宋体" w:hAnsi="宋体" w:eastAsia="宋体"/>
                <w:kern w:val="2"/>
                <w:sz w:val="28"/>
                <w:szCs w:val="28"/>
              </w:rPr>
            </w:pPr>
          </w:p>
        </w:tc>
        <w:tc>
          <w:tcPr>
            <w:tcW w:w="1424" w:type="dxa"/>
          </w:tcPr>
          <w:p>
            <w:pPr>
              <w:ind w:firstLine="0"/>
              <w:jc w:val="both"/>
              <w:rPr>
                <w:rFonts w:ascii="宋体" w:hAnsi="宋体" w:eastAsia="宋体"/>
                <w:kern w:val="2"/>
                <w:sz w:val="28"/>
                <w:szCs w:val="28"/>
              </w:rPr>
            </w:pPr>
            <w:r>
              <w:rPr>
                <w:rFonts w:ascii="宋体" w:hAnsi="宋体" w:eastAsia="宋体"/>
                <w:kern w:val="2"/>
                <w:sz w:val="28"/>
                <w:szCs w:val="28"/>
              </w:rPr>
              <w:t>管理人员</w:t>
            </w:r>
            <w:r>
              <w:rPr>
                <w:rFonts w:ascii="宋体" w:hAnsi="宋体" w:eastAsia="宋体"/>
                <w:kern w:val="2"/>
                <w:sz w:val="28"/>
                <w:szCs w:val="28"/>
              </w:rPr>
              <w:br w:type="textWrapping"/>
            </w:r>
            <w:r>
              <w:rPr>
                <w:rFonts w:ascii="宋体" w:hAnsi="宋体" w:eastAsia="宋体"/>
                <w:kern w:val="2"/>
                <w:sz w:val="28"/>
                <w:szCs w:val="28"/>
              </w:rPr>
              <w:t>数量</w:t>
            </w:r>
          </w:p>
        </w:tc>
        <w:tc>
          <w:tcPr>
            <w:tcW w:w="1411" w:type="dxa"/>
          </w:tcPr>
          <w:p>
            <w:pPr>
              <w:ind w:firstLine="0"/>
              <w:jc w:val="both"/>
              <w:rPr>
                <w:rFonts w:ascii="宋体" w:hAnsi="宋体" w:eastAsia="宋体"/>
                <w:kern w:val="2"/>
                <w:sz w:val="28"/>
                <w:szCs w:val="28"/>
              </w:rPr>
            </w:pPr>
          </w:p>
        </w:tc>
        <w:tc>
          <w:tcPr>
            <w:tcW w:w="1464" w:type="dxa"/>
          </w:tcPr>
          <w:p>
            <w:pPr>
              <w:ind w:firstLine="0"/>
              <w:jc w:val="both"/>
              <w:rPr>
                <w:rFonts w:ascii="宋体" w:hAnsi="宋体" w:eastAsia="宋体"/>
                <w:kern w:val="2"/>
                <w:sz w:val="28"/>
                <w:szCs w:val="28"/>
              </w:rPr>
            </w:pPr>
            <w:r>
              <w:rPr>
                <w:rFonts w:ascii="宋体" w:hAnsi="宋体" w:eastAsia="宋体"/>
                <w:kern w:val="2"/>
                <w:sz w:val="28"/>
                <w:szCs w:val="28"/>
              </w:rPr>
              <w:t>专业技术</w:t>
            </w:r>
            <w:r>
              <w:rPr>
                <w:rFonts w:ascii="宋体" w:hAnsi="宋体" w:eastAsia="宋体"/>
                <w:kern w:val="2"/>
                <w:sz w:val="28"/>
                <w:szCs w:val="28"/>
              </w:rPr>
              <w:br w:type="textWrapping"/>
            </w:r>
            <w:r>
              <w:rPr>
                <w:rFonts w:ascii="宋体" w:hAnsi="宋体" w:eastAsia="宋体"/>
                <w:kern w:val="2"/>
                <w:sz w:val="28"/>
                <w:szCs w:val="28"/>
              </w:rPr>
              <w:t>人员数量</w:t>
            </w:r>
          </w:p>
        </w:tc>
        <w:tc>
          <w:tcPr>
            <w:tcW w:w="1465" w:type="dxa"/>
          </w:tcPr>
          <w:p>
            <w:pPr>
              <w:ind w:firstLine="0"/>
              <w:jc w:val="both"/>
              <w:rPr>
                <w:rFonts w:ascii="宋体" w:hAnsi="宋体" w:eastAsia="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tcPr>
          <w:p>
            <w:pPr>
              <w:ind w:firstLine="0"/>
              <w:jc w:val="both"/>
              <w:rPr>
                <w:rFonts w:ascii="宋体" w:hAnsi="宋体" w:eastAsia="宋体"/>
                <w:kern w:val="2"/>
                <w:sz w:val="28"/>
                <w:szCs w:val="28"/>
              </w:rPr>
            </w:pPr>
          </w:p>
        </w:tc>
        <w:tc>
          <w:tcPr>
            <w:tcW w:w="992" w:type="dxa"/>
            <w:vMerge w:val="continue"/>
          </w:tcPr>
          <w:p>
            <w:pPr>
              <w:ind w:firstLine="0"/>
              <w:jc w:val="both"/>
              <w:rPr>
                <w:rFonts w:ascii="宋体" w:hAnsi="宋体" w:eastAsia="宋体"/>
                <w:kern w:val="2"/>
                <w:sz w:val="28"/>
                <w:szCs w:val="28"/>
              </w:rPr>
            </w:pPr>
          </w:p>
        </w:tc>
        <w:tc>
          <w:tcPr>
            <w:tcW w:w="1424" w:type="dxa"/>
          </w:tcPr>
          <w:p>
            <w:pPr>
              <w:ind w:firstLine="0"/>
              <w:jc w:val="both"/>
              <w:rPr>
                <w:rFonts w:ascii="宋体" w:hAnsi="宋体" w:eastAsia="宋体"/>
                <w:kern w:val="2"/>
                <w:sz w:val="28"/>
                <w:szCs w:val="28"/>
              </w:rPr>
            </w:pPr>
            <w:r>
              <w:rPr>
                <w:rFonts w:ascii="宋体" w:hAnsi="宋体" w:eastAsia="宋体"/>
                <w:kern w:val="2"/>
                <w:sz w:val="28"/>
                <w:szCs w:val="28"/>
              </w:rPr>
              <w:t>残疾人</w:t>
            </w:r>
            <w:r>
              <w:rPr>
                <w:rFonts w:ascii="宋体" w:hAnsi="宋体" w:eastAsia="宋体"/>
                <w:kern w:val="2"/>
                <w:sz w:val="28"/>
                <w:szCs w:val="28"/>
              </w:rPr>
              <w:br w:type="textWrapping"/>
            </w:r>
            <w:r>
              <w:rPr>
                <w:rFonts w:ascii="宋体" w:hAnsi="宋体" w:eastAsia="宋体"/>
                <w:kern w:val="2"/>
                <w:sz w:val="28"/>
                <w:szCs w:val="28"/>
              </w:rPr>
              <w:t>数量</w:t>
            </w:r>
          </w:p>
        </w:tc>
        <w:tc>
          <w:tcPr>
            <w:tcW w:w="1411" w:type="dxa"/>
          </w:tcPr>
          <w:p>
            <w:pPr>
              <w:ind w:firstLine="0"/>
              <w:jc w:val="both"/>
              <w:rPr>
                <w:rFonts w:ascii="宋体" w:hAnsi="宋体" w:eastAsia="宋体"/>
                <w:kern w:val="2"/>
                <w:sz w:val="28"/>
                <w:szCs w:val="28"/>
              </w:rPr>
            </w:pPr>
          </w:p>
        </w:tc>
        <w:tc>
          <w:tcPr>
            <w:tcW w:w="1464" w:type="dxa"/>
          </w:tcPr>
          <w:p>
            <w:pPr>
              <w:ind w:firstLine="0"/>
              <w:jc w:val="both"/>
              <w:rPr>
                <w:rFonts w:ascii="宋体" w:hAnsi="宋体" w:eastAsia="宋体"/>
                <w:kern w:val="2"/>
                <w:sz w:val="28"/>
                <w:szCs w:val="28"/>
              </w:rPr>
            </w:pPr>
            <w:r>
              <w:rPr>
                <w:rFonts w:ascii="宋体" w:hAnsi="宋体" w:eastAsia="宋体"/>
                <w:kern w:val="2"/>
                <w:sz w:val="28"/>
                <w:szCs w:val="28"/>
              </w:rPr>
              <w:t>少数民族</w:t>
            </w:r>
            <w:r>
              <w:rPr>
                <w:rFonts w:ascii="宋体" w:hAnsi="宋体" w:eastAsia="宋体"/>
                <w:kern w:val="2"/>
                <w:sz w:val="28"/>
                <w:szCs w:val="28"/>
              </w:rPr>
              <w:br w:type="textWrapping"/>
            </w:r>
            <w:r>
              <w:rPr>
                <w:rFonts w:ascii="宋体" w:hAnsi="宋体" w:eastAsia="宋体"/>
                <w:kern w:val="2"/>
                <w:sz w:val="28"/>
                <w:szCs w:val="28"/>
              </w:rPr>
              <w:t>数量</w:t>
            </w:r>
          </w:p>
        </w:tc>
        <w:tc>
          <w:tcPr>
            <w:tcW w:w="1465" w:type="dxa"/>
          </w:tcPr>
          <w:p>
            <w:pPr>
              <w:ind w:firstLine="0"/>
              <w:jc w:val="both"/>
              <w:rPr>
                <w:rFonts w:ascii="宋体" w:hAnsi="宋体" w:eastAsia="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ascii="宋体" w:hAnsi="宋体" w:eastAsia="宋体"/>
                <w:kern w:val="2"/>
                <w:sz w:val="28"/>
                <w:szCs w:val="28"/>
              </w:rPr>
            </w:pPr>
            <w:r>
              <w:rPr>
                <w:rFonts w:ascii="宋体" w:hAnsi="宋体" w:eastAsia="宋体"/>
                <w:kern w:val="2"/>
                <w:sz w:val="28"/>
                <w:szCs w:val="28"/>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kern w:val="2"/>
                <w:sz w:val="28"/>
                <w:szCs w:val="28"/>
              </w:rPr>
            </w:pPr>
            <w:r>
              <w:rPr>
                <w:rFonts w:ascii="宋体" w:hAnsi="宋体" w:eastAsia="宋体"/>
                <w:kern w:val="2"/>
                <w:sz w:val="28"/>
                <w:szCs w:val="28"/>
              </w:rPr>
              <w:t>关系</w:t>
            </w:r>
          </w:p>
        </w:tc>
        <w:tc>
          <w:tcPr>
            <w:tcW w:w="6756" w:type="dxa"/>
            <w:gridSpan w:val="5"/>
          </w:tcPr>
          <w:p>
            <w:pPr>
              <w:ind w:firstLine="0"/>
              <w:jc w:val="both"/>
              <w:rPr>
                <w:rFonts w:ascii="宋体" w:hAnsi="宋体" w:eastAsia="宋体"/>
                <w:kern w:val="2"/>
                <w:sz w:val="28"/>
                <w:szCs w:val="28"/>
              </w:rPr>
            </w:pPr>
            <w:r>
              <w:rPr>
                <w:rFonts w:ascii="宋体" w:hAnsi="宋体" w:eastAsia="宋体"/>
                <w:kern w:val="2"/>
                <w:sz w:val="28"/>
                <w:szCs w:val="28"/>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kern w:val="2"/>
                <w:sz w:val="28"/>
                <w:szCs w:val="28"/>
              </w:rPr>
            </w:pPr>
          </w:p>
        </w:tc>
        <w:tc>
          <w:tcPr>
            <w:tcW w:w="6756" w:type="dxa"/>
            <w:gridSpan w:val="5"/>
          </w:tcPr>
          <w:p>
            <w:pPr>
              <w:ind w:firstLine="0"/>
              <w:jc w:val="both"/>
              <w:rPr>
                <w:rFonts w:ascii="宋体" w:hAnsi="宋体" w:eastAsia="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kern w:val="2"/>
                <w:sz w:val="28"/>
                <w:szCs w:val="28"/>
              </w:rPr>
            </w:pPr>
          </w:p>
        </w:tc>
        <w:tc>
          <w:tcPr>
            <w:tcW w:w="6756" w:type="dxa"/>
            <w:gridSpan w:val="5"/>
          </w:tcPr>
          <w:p>
            <w:pPr>
              <w:ind w:firstLine="0"/>
              <w:jc w:val="both"/>
              <w:rPr>
                <w:rFonts w:ascii="宋体" w:hAnsi="宋体" w:eastAsia="宋体"/>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ascii="宋体" w:hAnsi="宋体" w:eastAsia="宋体"/>
                <w:kern w:val="2"/>
                <w:sz w:val="28"/>
                <w:szCs w:val="28"/>
              </w:rPr>
            </w:pPr>
            <w:r>
              <w:rPr>
                <w:rFonts w:ascii="宋体" w:hAnsi="宋体" w:eastAsia="宋体"/>
                <w:kern w:val="2"/>
                <w:sz w:val="28"/>
                <w:szCs w:val="28"/>
              </w:rPr>
              <w:t>说明</w:t>
            </w:r>
          </w:p>
        </w:tc>
        <w:tc>
          <w:tcPr>
            <w:tcW w:w="6756" w:type="dxa"/>
            <w:gridSpan w:val="5"/>
          </w:tcPr>
          <w:p>
            <w:pPr>
              <w:ind w:firstLine="0"/>
              <w:jc w:val="both"/>
              <w:rPr>
                <w:rFonts w:ascii="宋体" w:hAnsi="宋体" w:eastAsia="宋体"/>
                <w:kern w:val="2"/>
                <w:sz w:val="28"/>
                <w:szCs w:val="28"/>
              </w:rPr>
            </w:pPr>
            <w:r>
              <w:rPr>
                <w:rFonts w:ascii="宋体" w:hAnsi="宋体" w:eastAsia="宋体"/>
                <w:kern w:val="2"/>
                <w:sz w:val="28"/>
                <w:szCs w:val="28"/>
              </w:rPr>
              <w:t>1</w:t>
            </w:r>
            <w:r>
              <w:rPr>
                <w:rFonts w:hint="eastAsia" w:ascii="宋体" w:hAnsi="宋体" w:eastAsia="宋体"/>
                <w:kern w:val="2"/>
                <w:sz w:val="28"/>
                <w:szCs w:val="28"/>
              </w:rPr>
              <w:t>.</w:t>
            </w:r>
            <w:r>
              <w:rPr>
                <w:rFonts w:ascii="宋体" w:hAnsi="宋体" w:eastAsia="宋体"/>
                <w:kern w:val="2"/>
                <w:sz w:val="28"/>
                <w:szCs w:val="28"/>
              </w:rPr>
              <w:t>成立时间至提交投标文件截止时间不足一年的可不填写</w:t>
            </w:r>
            <w:r>
              <w:rPr>
                <w:rFonts w:hint="eastAsia" w:ascii="宋体" w:hAnsi="宋体" w:eastAsia="宋体"/>
                <w:kern w:val="2"/>
                <w:sz w:val="28"/>
                <w:szCs w:val="28"/>
              </w:rPr>
              <w:t>“上年度营业收入”；</w:t>
            </w:r>
          </w:p>
          <w:p>
            <w:pPr>
              <w:ind w:firstLine="0"/>
              <w:jc w:val="both"/>
              <w:rPr>
                <w:rFonts w:ascii="宋体" w:hAnsi="宋体" w:eastAsia="宋体"/>
                <w:kern w:val="2"/>
                <w:sz w:val="28"/>
                <w:szCs w:val="28"/>
              </w:rPr>
            </w:pPr>
            <w:r>
              <w:rPr>
                <w:rFonts w:ascii="宋体" w:hAnsi="宋体" w:eastAsia="宋体"/>
                <w:kern w:val="2"/>
                <w:sz w:val="28"/>
                <w:szCs w:val="28"/>
              </w:rPr>
              <w:t>2.表格空间不足时，请自行扩展。</w:t>
            </w:r>
          </w:p>
        </w:tc>
      </w:tr>
    </w:tbl>
    <w:p>
      <w:pPr>
        <w:pStyle w:val="108"/>
        <w:spacing w:before="210" w:after="210"/>
        <w:rPr>
          <w:rFonts w:ascii="宋体" w:hAnsi="宋体" w:eastAsia="宋体"/>
        </w:rPr>
      </w:pPr>
      <w:bookmarkStart w:id="153" w:name="_Toc120103991"/>
      <w:r>
        <w:rPr>
          <w:rFonts w:ascii="宋体" w:hAnsi="宋体" w:eastAsia="宋体"/>
        </w:rPr>
        <w:t>（二）供应商性质</w:t>
      </w:r>
      <w:bookmarkEnd w:id="153"/>
    </w:p>
    <w:p>
      <w:pPr>
        <w:pStyle w:val="107"/>
        <w:rPr>
          <w:rFonts w:ascii="宋体" w:hAnsi="宋体" w:eastAsia="宋体"/>
        </w:rPr>
      </w:pPr>
      <w:bookmarkStart w:id="154" w:name="_Toc120103992"/>
      <w:r>
        <w:rPr>
          <w:rFonts w:hint="eastAsia" w:ascii="宋体" w:hAnsi="宋体" w:eastAsia="宋体"/>
        </w:rPr>
        <w:t>1．中小企业声明函</w:t>
      </w:r>
      <w:bookmarkEnd w:id="154"/>
    </w:p>
    <w:p>
      <w:pPr>
        <w:rPr>
          <w:rFonts w:ascii="宋体" w:hAnsi="宋体" w:eastAsia="宋体"/>
          <w:sz w:val="32"/>
          <w:szCs w:val="32"/>
        </w:rPr>
      </w:pPr>
      <w:r>
        <w:rPr>
          <w:rFonts w:ascii="宋体" w:hAnsi="宋体" w:eastAsia="宋体"/>
          <w:sz w:val="32"/>
          <w:szCs w:val="32"/>
        </w:rPr>
        <w:t>说明：当且仅当</w:t>
      </w:r>
      <w:r>
        <w:rPr>
          <w:rFonts w:hint="eastAsia" w:ascii="宋体" w:hAnsi="宋体" w:eastAsia="宋体"/>
          <w:sz w:val="32"/>
          <w:szCs w:val="32"/>
        </w:rPr>
        <w:t>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w:t>
      </w:r>
      <w:r>
        <w:rPr>
          <w:rFonts w:ascii="宋体" w:hAnsi="宋体" w:eastAsia="宋体"/>
          <w:sz w:val="32"/>
          <w:szCs w:val="32"/>
        </w:rPr>
        <w:t>20</w:t>
      </w:r>
      <w:r>
        <w:rPr>
          <w:rFonts w:hint="eastAsia" w:ascii="宋体" w:hAnsi="宋体" w:eastAsia="宋体"/>
          <w:sz w:val="32"/>
          <w:szCs w:val="32"/>
        </w:rPr>
        <w:t>〕</w:t>
      </w:r>
      <w:r>
        <w:rPr>
          <w:rFonts w:ascii="宋体" w:hAnsi="宋体" w:eastAsia="宋体"/>
          <w:sz w:val="32"/>
          <w:szCs w:val="32"/>
        </w:rPr>
        <w:t>46</w:t>
      </w:r>
      <w:r>
        <w:rPr>
          <w:rFonts w:hint="eastAsia" w:ascii="宋体" w:hAnsi="宋体" w:eastAsia="宋体"/>
          <w:sz w:val="32"/>
          <w:szCs w:val="32"/>
        </w:rPr>
        <w:t>号）相关规定。</w:t>
      </w:r>
    </w:p>
    <w:p>
      <w:pPr>
        <w:rPr>
          <w:rFonts w:ascii="宋体" w:hAnsi="宋体" w:eastAsia="宋体"/>
          <w:sz w:val="32"/>
          <w:szCs w:val="32"/>
        </w:rPr>
      </w:pPr>
      <w:r>
        <w:rPr>
          <w:rFonts w:ascii="宋体" w:hAnsi="宋体" w:eastAsia="宋体"/>
          <w:sz w:val="32"/>
          <w:szCs w:val="32"/>
        </w:rPr>
        <w:br w:type="page"/>
      </w:r>
    </w:p>
    <w:p>
      <w:pPr>
        <w:pStyle w:val="5"/>
        <w:rPr>
          <w:rFonts w:ascii="宋体" w:hAnsi="宋体" w:eastAsia="宋体"/>
        </w:rPr>
      </w:pPr>
      <w:bookmarkStart w:id="155" w:name="_Toc120103993"/>
      <w:r>
        <w:rPr>
          <w:rFonts w:ascii="宋体" w:hAnsi="宋体" w:eastAsia="宋体"/>
        </w:rPr>
        <w:t>中小企业声明函（货物格式）</w:t>
      </w:r>
      <w:bookmarkEnd w:id="155"/>
    </w:p>
    <w:p>
      <w:pPr>
        <w:rPr>
          <w:rFonts w:ascii="宋体" w:hAnsi="宋体" w:eastAsia="宋体"/>
        </w:rPr>
      </w:pPr>
    </w:p>
    <w:p>
      <w:pPr>
        <w:spacing w:line="560" w:lineRule="exact"/>
        <w:ind w:firstLine="560" w:firstLineChars="200"/>
        <w:jc w:val="both"/>
        <w:rPr>
          <w:rFonts w:ascii="宋体" w:hAnsi="宋体" w:eastAsia="宋体"/>
          <w:sz w:val="28"/>
          <w:szCs w:val="28"/>
        </w:rPr>
      </w:pPr>
      <w:r>
        <w:rPr>
          <w:rFonts w:ascii="宋体" w:hAnsi="宋体" w:eastAsia="宋体"/>
          <w:sz w:val="28"/>
          <w:szCs w:val="28"/>
        </w:rPr>
        <w:t>本公司郑重声明，根据《政府采购促进中小企业发展管理办法》（财库〔2020〕46号）的规定，本公司参加〈项目名称〉（项目编号：〈项目编号〉）采购活动，提供的货物全部由符合政策要求的中小企业制造。相关企业的具体情况如下：</w:t>
      </w:r>
    </w:p>
    <w:p>
      <w:pPr>
        <w:spacing w:line="560" w:lineRule="exact"/>
        <w:ind w:firstLine="560" w:firstLineChars="200"/>
        <w:jc w:val="both"/>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w:t>
      </w:r>
      <w:r>
        <w:rPr>
          <w:rFonts w:ascii="宋体" w:hAnsi="宋体" w:eastAsia="宋体"/>
          <w:sz w:val="28"/>
          <w:szCs w:val="28"/>
          <w:u w:val="single"/>
        </w:rPr>
        <w:t>〈标的名称〉</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ascii="宋体" w:hAnsi="宋体" w:eastAsia="宋体"/>
          <w:sz w:val="28"/>
          <w:szCs w:val="28"/>
        </w:rPr>
        <w:t>，属于</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ascii="宋体" w:hAnsi="宋体" w:eastAsia="宋体"/>
          <w:sz w:val="28"/>
          <w:szCs w:val="28"/>
        </w:rPr>
        <w:t>行业；制造商为</w:t>
      </w:r>
      <w:r>
        <w:rPr>
          <w:rFonts w:ascii="宋体" w:hAnsi="宋体" w:eastAsia="宋体"/>
          <w:sz w:val="28"/>
          <w:szCs w:val="28"/>
          <w:u w:val="single"/>
        </w:rPr>
        <w:t>〈企业名称〉</w:t>
      </w:r>
      <w:r>
        <w:rPr>
          <w:rFonts w:ascii="宋体" w:hAnsi="宋体" w:eastAsia="宋体"/>
          <w:sz w:val="28"/>
          <w:szCs w:val="28"/>
        </w:rPr>
        <w:t>，从业人员</w:t>
      </w:r>
      <w:r>
        <w:rPr>
          <w:rFonts w:ascii="宋体" w:hAnsi="宋体" w:eastAsia="宋体" w:cs="Calibri"/>
          <w:sz w:val="28"/>
          <w:szCs w:val="28"/>
          <w:u w:val="single"/>
        </w:rPr>
        <w:t>  </w:t>
      </w:r>
      <w:r>
        <w:rPr>
          <w:rFonts w:ascii="宋体" w:hAnsi="宋体" w:eastAsia="宋体"/>
          <w:sz w:val="28"/>
          <w:szCs w:val="28"/>
        </w:rPr>
        <w:t>人，营业收入为</w:t>
      </w:r>
      <w:r>
        <w:rPr>
          <w:rFonts w:ascii="宋体" w:hAnsi="宋体" w:eastAsia="宋体" w:cs="Calibri"/>
          <w:sz w:val="28"/>
          <w:szCs w:val="28"/>
          <w:u w:val="single"/>
        </w:rPr>
        <w:t xml:space="preserve">     </w:t>
      </w:r>
      <w:r>
        <w:rPr>
          <w:rFonts w:ascii="宋体" w:hAnsi="宋体" w:eastAsia="宋体"/>
          <w:sz w:val="28"/>
          <w:szCs w:val="28"/>
        </w:rPr>
        <w:t>万元，资产总额为</w:t>
      </w:r>
      <w:r>
        <w:rPr>
          <w:rFonts w:ascii="宋体" w:hAnsi="宋体" w:eastAsia="宋体" w:cs="Calibri"/>
          <w:sz w:val="28"/>
          <w:szCs w:val="28"/>
          <w:u w:val="single"/>
        </w:rPr>
        <w:t xml:space="preserve">        </w:t>
      </w:r>
      <w:r>
        <w:rPr>
          <w:rFonts w:ascii="宋体" w:hAnsi="宋体" w:eastAsia="宋体"/>
          <w:sz w:val="28"/>
          <w:szCs w:val="28"/>
        </w:rPr>
        <w:t>万元，属于</w:t>
      </w:r>
      <w:r>
        <w:rPr>
          <w:rFonts w:ascii="宋体" w:hAnsi="宋体" w:eastAsia="宋体" w:cs="Calibri"/>
          <w:sz w:val="28"/>
          <w:szCs w:val="28"/>
          <w:u w:val="single"/>
        </w:rPr>
        <w:t xml:space="preserve">   </w:t>
      </w:r>
      <w:r>
        <w:rPr>
          <w:rFonts w:ascii="宋体" w:hAnsi="宋体" w:eastAsia="宋体"/>
          <w:sz w:val="28"/>
          <w:szCs w:val="28"/>
        </w:rPr>
        <w:t>企业（选填中型企业、小型企业、微型企业）；</w:t>
      </w:r>
    </w:p>
    <w:p>
      <w:pPr>
        <w:spacing w:line="560" w:lineRule="exact"/>
        <w:ind w:firstLine="560" w:firstLineChars="200"/>
        <w:jc w:val="both"/>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w:t>
      </w:r>
      <w:r>
        <w:rPr>
          <w:rFonts w:ascii="宋体" w:hAnsi="宋体" w:eastAsia="宋体"/>
          <w:sz w:val="28"/>
          <w:szCs w:val="28"/>
          <w:u w:val="single"/>
        </w:rPr>
        <w:t>〈标的名称〉</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ascii="宋体" w:hAnsi="宋体" w:eastAsia="宋体"/>
          <w:sz w:val="28"/>
          <w:szCs w:val="28"/>
        </w:rPr>
        <w:t>，属于</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ascii="宋体" w:hAnsi="宋体" w:eastAsia="宋体"/>
          <w:sz w:val="28"/>
          <w:szCs w:val="28"/>
        </w:rPr>
        <w:t>行业；制造商为</w:t>
      </w:r>
      <w:r>
        <w:rPr>
          <w:rFonts w:ascii="宋体" w:hAnsi="宋体" w:eastAsia="宋体"/>
          <w:sz w:val="28"/>
          <w:szCs w:val="28"/>
          <w:u w:val="single"/>
        </w:rPr>
        <w:t>〈企业名称〉</w:t>
      </w:r>
      <w:r>
        <w:rPr>
          <w:rFonts w:ascii="宋体" w:hAnsi="宋体" w:eastAsia="宋体"/>
          <w:sz w:val="28"/>
          <w:szCs w:val="28"/>
        </w:rPr>
        <w:t>，从业人员</w:t>
      </w:r>
      <w:r>
        <w:rPr>
          <w:rFonts w:ascii="宋体" w:hAnsi="宋体" w:eastAsia="宋体" w:cs="Calibri"/>
          <w:sz w:val="28"/>
          <w:szCs w:val="28"/>
          <w:u w:val="single"/>
        </w:rPr>
        <w:t>  </w:t>
      </w:r>
      <w:r>
        <w:rPr>
          <w:rFonts w:ascii="宋体" w:hAnsi="宋体" w:eastAsia="宋体"/>
          <w:sz w:val="28"/>
          <w:szCs w:val="28"/>
        </w:rPr>
        <w:t>人，营业收入为</w:t>
      </w:r>
      <w:r>
        <w:rPr>
          <w:rFonts w:ascii="宋体" w:hAnsi="宋体" w:eastAsia="宋体" w:cs="Calibri"/>
          <w:sz w:val="28"/>
          <w:szCs w:val="28"/>
          <w:u w:val="single"/>
        </w:rPr>
        <w:t xml:space="preserve">     </w:t>
      </w:r>
      <w:r>
        <w:rPr>
          <w:rFonts w:ascii="宋体" w:hAnsi="宋体" w:eastAsia="宋体"/>
          <w:sz w:val="28"/>
          <w:szCs w:val="28"/>
        </w:rPr>
        <w:t>万元，资产总额为</w:t>
      </w:r>
      <w:r>
        <w:rPr>
          <w:rFonts w:ascii="宋体" w:hAnsi="宋体" w:eastAsia="宋体" w:cs="Calibri"/>
          <w:sz w:val="28"/>
          <w:szCs w:val="28"/>
          <w:u w:val="single"/>
        </w:rPr>
        <w:t xml:space="preserve">        </w:t>
      </w:r>
      <w:r>
        <w:rPr>
          <w:rFonts w:ascii="宋体" w:hAnsi="宋体" w:eastAsia="宋体"/>
          <w:sz w:val="28"/>
          <w:szCs w:val="28"/>
        </w:rPr>
        <w:t>万元，属于</w:t>
      </w:r>
      <w:r>
        <w:rPr>
          <w:rFonts w:ascii="宋体" w:hAnsi="宋体" w:eastAsia="宋体" w:cs="Calibri"/>
          <w:sz w:val="28"/>
          <w:szCs w:val="28"/>
          <w:u w:val="single"/>
        </w:rPr>
        <w:t xml:space="preserve">   </w:t>
      </w:r>
      <w:r>
        <w:rPr>
          <w:rFonts w:ascii="宋体" w:hAnsi="宋体" w:eastAsia="宋体"/>
          <w:sz w:val="28"/>
          <w:szCs w:val="28"/>
        </w:rPr>
        <w:t>企业（选填中型企业、小型企业、微型企业）；</w:t>
      </w:r>
    </w:p>
    <w:p>
      <w:pPr>
        <w:spacing w:line="560" w:lineRule="exact"/>
        <w:ind w:firstLine="560" w:firstLineChars="200"/>
        <w:jc w:val="both"/>
        <w:rPr>
          <w:rFonts w:ascii="宋体" w:hAnsi="宋体" w:eastAsia="宋体"/>
          <w:sz w:val="28"/>
          <w:szCs w:val="28"/>
        </w:rPr>
      </w:pPr>
      <w:r>
        <w:rPr>
          <w:rFonts w:ascii="宋体" w:hAnsi="宋体" w:eastAsia="宋体"/>
          <w:sz w:val="28"/>
          <w:szCs w:val="28"/>
        </w:rPr>
        <w:t>……</w:t>
      </w:r>
    </w:p>
    <w:p>
      <w:pPr>
        <w:spacing w:line="560" w:lineRule="exact"/>
        <w:ind w:firstLine="560" w:firstLineChars="200"/>
        <w:jc w:val="both"/>
        <w:rPr>
          <w:rFonts w:ascii="宋体" w:hAnsi="宋体" w:eastAsia="宋体"/>
          <w:sz w:val="28"/>
          <w:szCs w:val="28"/>
        </w:rPr>
      </w:pPr>
      <w:r>
        <w:rPr>
          <w:rFonts w:ascii="宋体" w:hAnsi="宋体" w:eastAsia="宋体"/>
          <w:sz w:val="28"/>
          <w:szCs w:val="28"/>
        </w:rPr>
        <w:t>以上企业，不属于大企业的分支机构，不存在控股股东为大企业的情形，也不存在与大企业的负责人为同一人的情形。</w:t>
      </w:r>
    </w:p>
    <w:p>
      <w:pPr>
        <w:spacing w:line="560" w:lineRule="exact"/>
        <w:ind w:firstLine="560" w:firstLineChars="200"/>
        <w:jc w:val="both"/>
        <w:rPr>
          <w:rFonts w:ascii="宋体" w:hAnsi="宋体" w:eastAsia="宋体"/>
          <w:sz w:val="28"/>
          <w:szCs w:val="28"/>
        </w:rPr>
      </w:pPr>
      <w:r>
        <w:rPr>
          <w:rFonts w:ascii="宋体" w:hAnsi="宋体" w:eastAsia="宋体"/>
          <w:sz w:val="28"/>
          <w:szCs w:val="28"/>
        </w:rPr>
        <w:t>本企业对上述声明内容的真实性负责。如有虚假，将依法承担相应责任。</w:t>
      </w:r>
    </w:p>
    <w:p>
      <w:pPr>
        <w:spacing w:line="560" w:lineRule="exact"/>
        <w:ind w:firstLine="480" w:firstLineChars="200"/>
        <w:jc w:val="both"/>
        <w:rPr>
          <w:rFonts w:ascii="宋体" w:hAnsi="宋体" w:eastAsia="宋体"/>
        </w:rPr>
      </w:pPr>
    </w:p>
    <w:p>
      <w:pPr>
        <w:spacing w:line="560" w:lineRule="exact"/>
        <w:ind w:firstLine="2853" w:firstLineChars="1019"/>
        <w:jc w:val="both"/>
        <w:rPr>
          <w:rFonts w:ascii="宋体" w:hAnsi="宋体" w:eastAsia="宋体"/>
          <w:sz w:val="28"/>
          <w:szCs w:val="28"/>
        </w:rPr>
      </w:pPr>
      <w:r>
        <w:rPr>
          <w:rFonts w:ascii="宋体" w:hAnsi="宋体" w:eastAsia="宋体"/>
          <w:sz w:val="28"/>
          <w:szCs w:val="28"/>
        </w:rPr>
        <w:t>供应商：（供应商全称并加盖公章）</w:t>
      </w:r>
    </w:p>
    <w:p>
      <w:pPr>
        <w:spacing w:line="560" w:lineRule="exact"/>
        <w:ind w:firstLine="2853" w:firstLineChars="1019"/>
        <w:jc w:val="both"/>
        <w:rPr>
          <w:rFonts w:ascii="宋体" w:hAnsi="宋体" w:eastAsia="宋体"/>
          <w:sz w:val="28"/>
          <w:szCs w:val="28"/>
        </w:rPr>
      </w:pPr>
      <w:r>
        <w:rPr>
          <w:rFonts w:ascii="宋体" w:hAnsi="宋体" w:eastAsia="宋体"/>
          <w:sz w:val="28"/>
          <w:szCs w:val="28"/>
        </w:rPr>
        <w:t>日  期：    年  月  日</w:t>
      </w:r>
    </w:p>
    <w:p>
      <w:pPr>
        <w:spacing w:line="560" w:lineRule="exact"/>
        <w:ind w:firstLine="3260" w:firstLineChars="1019"/>
        <w:jc w:val="both"/>
        <w:rPr>
          <w:rFonts w:ascii="宋体" w:hAnsi="宋体" w:eastAsia="宋体"/>
          <w:sz w:val="32"/>
          <w:szCs w:val="32"/>
        </w:rPr>
      </w:pPr>
    </w:p>
    <w:p>
      <w:pPr>
        <w:spacing w:line="560" w:lineRule="exact"/>
        <w:ind w:firstLine="3260" w:firstLineChars="1019"/>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r>
        <w:rPr>
          <w:rFonts w:hint="eastAsia" w:ascii="宋体" w:hAnsi="宋体" w:eastAsia="宋体"/>
          <w:sz w:val="32"/>
          <w:szCs w:val="32"/>
        </w:rPr>
        <w:br w:type="column"/>
      </w:r>
      <w:r>
        <w:rPr>
          <w:rFonts w:hint="eastAsia" w:ascii="宋体" w:hAnsi="宋体" w:eastAsia="宋体"/>
          <w:sz w:val="32"/>
          <w:szCs w:val="32"/>
        </w:rPr>
        <w:t>2．残疾人福利性单位声明函</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说明：</w:t>
      </w:r>
      <w:r>
        <w:rPr>
          <w:rFonts w:ascii="宋体" w:hAnsi="宋体" w:eastAsia="宋体"/>
          <w:sz w:val="28"/>
          <w:szCs w:val="28"/>
        </w:rPr>
        <w:t>当且仅当</w:t>
      </w:r>
      <w:r>
        <w:rPr>
          <w:rFonts w:hint="eastAsia" w:ascii="宋体" w:hAnsi="宋体" w:eastAsia="宋体"/>
          <w:sz w:val="28"/>
          <w:szCs w:val="28"/>
        </w:rPr>
        <w:t>供应商为残疾人福利性单位的，应按下文给定格式填写声明函。</w:t>
      </w:r>
      <w:r>
        <w:rPr>
          <w:rFonts w:ascii="宋体" w:hAnsi="宋体" w:eastAsia="宋体"/>
          <w:sz w:val="28"/>
          <w:szCs w:val="28"/>
        </w:rPr>
        <w:t>未提供或未按给定格式提供声明函的，</w:t>
      </w:r>
      <w:r>
        <w:rPr>
          <w:rFonts w:hint="eastAsia" w:ascii="宋体" w:hAnsi="宋体" w:eastAsia="宋体"/>
          <w:sz w:val="28"/>
          <w:szCs w:val="28"/>
        </w:rPr>
        <w:t>将不能享受招标文件规定的价格优惠政策，但不影响投标文件的有效性。</w:t>
      </w:r>
    </w:p>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供应商在填报前请认真阅读《财政部、民政部、中国残疾人联合会关于促进残疾人就业政府采购政策的通知》（财库〔2017〕141号）相关规定。</w:t>
      </w:r>
    </w:p>
    <w:p>
      <w:pPr>
        <w:rPr>
          <w:rFonts w:ascii="宋体" w:hAnsi="宋体" w:eastAsia="宋体"/>
          <w:sz w:val="32"/>
          <w:szCs w:val="32"/>
        </w:rPr>
      </w:pPr>
      <w:r>
        <w:rPr>
          <w:rFonts w:ascii="宋体" w:hAnsi="宋体" w:eastAsia="宋体"/>
          <w:sz w:val="32"/>
          <w:szCs w:val="32"/>
        </w:rPr>
        <w:br w:type="page"/>
      </w:r>
    </w:p>
    <w:p>
      <w:pPr>
        <w:pStyle w:val="5"/>
        <w:rPr>
          <w:rFonts w:ascii="宋体" w:hAnsi="宋体" w:eastAsia="宋体"/>
          <w:b/>
          <w:bCs/>
        </w:rPr>
      </w:pPr>
      <w:bookmarkStart w:id="156" w:name="_Toc120103994"/>
      <w:r>
        <w:rPr>
          <w:rFonts w:ascii="宋体" w:hAnsi="宋体" w:eastAsia="宋体"/>
          <w:b/>
          <w:bCs/>
        </w:rPr>
        <w:t>残疾人福利性单位声明函（格式）</w:t>
      </w:r>
      <w:bookmarkEnd w:id="156"/>
    </w:p>
    <w:p>
      <w:pPr>
        <w:spacing w:line="560" w:lineRule="exact"/>
        <w:ind w:firstLine="640" w:firstLineChars="200"/>
        <w:jc w:val="both"/>
        <w:rPr>
          <w:rFonts w:ascii="宋体" w:hAnsi="宋体" w:eastAsia="宋体"/>
          <w:sz w:val="32"/>
          <w:szCs w:val="32"/>
        </w:rPr>
      </w:pPr>
    </w:p>
    <w:p>
      <w:pPr>
        <w:spacing w:line="560" w:lineRule="exact"/>
        <w:ind w:firstLine="560" w:firstLineChars="200"/>
        <w:jc w:val="both"/>
        <w:rPr>
          <w:rFonts w:ascii="宋体" w:hAnsi="宋体" w:eastAsia="宋体"/>
          <w:sz w:val="28"/>
          <w:szCs w:val="28"/>
        </w:rPr>
      </w:pPr>
      <w:r>
        <w:rPr>
          <w:rFonts w:ascii="宋体" w:hAnsi="宋体" w:eastAsia="宋体"/>
          <w:sz w:val="28"/>
          <w:szCs w:val="28"/>
        </w:rPr>
        <w:t>本单位郑重声明，根据《财政部 民政部 中国残疾人联合会关于促进残疾人就业政府采购政策的通知》（财库〔2017〕141号）的规定，本单位为符合条件的残疾人福利性单位，且本单位参加〈项目名称〉（项目编号：〈项目编号〉）采购活动提供本单位制造的货物（由本单位承担工程/提供服务），或者提供其他残疾人福利性单位制造的货物（不包括使用非残疾人福利性单位注册商标的货物）。</w:t>
      </w:r>
    </w:p>
    <w:p>
      <w:pPr>
        <w:spacing w:line="560" w:lineRule="exact"/>
        <w:ind w:firstLine="560" w:firstLineChars="200"/>
        <w:jc w:val="both"/>
        <w:rPr>
          <w:rFonts w:ascii="宋体" w:hAnsi="宋体" w:eastAsia="宋体"/>
          <w:sz w:val="28"/>
          <w:szCs w:val="28"/>
        </w:rPr>
      </w:pPr>
      <w:r>
        <w:rPr>
          <w:rFonts w:ascii="宋体" w:hAnsi="宋体" w:eastAsia="宋体"/>
          <w:sz w:val="28"/>
          <w:szCs w:val="28"/>
        </w:rPr>
        <w:t>本单位对上述声明的真实性负责。如有虚假，将依法承担相应责任。</w:t>
      </w:r>
    </w:p>
    <w:p>
      <w:pPr>
        <w:spacing w:line="560" w:lineRule="exact"/>
        <w:ind w:firstLine="560" w:firstLineChars="200"/>
        <w:jc w:val="both"/>
        <w:rPr>
          <w:rFonts w:ascii="宋体" w:hAnsi="宋体" w:eastAsia="宋体"/>
          <w:sz w:val="28"/>
          <w:szCs w:val="28"/>
        </w:rPr>
      </w:pPr>
    </w:p>
    <w:p>
      <w:pPr>
        <w:spacing w:line="560" w:lineRule="exact"/>
        <w:ind w:firstLine="2853" w:firstLineChars="1019"/>
        <w:jc w:val="both"/>
        <w:rPr>
          <w:rFonts w:ascii="宋体" w:hAnsi="宋体" w:eastAsia="宋体"/>
          <w:sz w:val="28"/>
          <w:szCs w:val="28"/>
        </w:rPr>
      </w:pPr>
      <w:r>
        <w:rPr>
          <w:rFonts w:ascii="宋体" w:hAnsi="宋体" w:eastAsia="宋体"/>
          <w:sz w:val="28"/>
          <w:szCs w:val="28"/>
        </w:rPr>
        <w:t>供应商：（供应商全称并加盖公章）</w:t>
      </w:r>
    </w:p>
    <w:p>
      <w:pPr>
        <w:spacing w:line="560" w:lineRule="exact"/>
        <w:ind w:firstLine="2853" w:firstLineChars="1019"/>
        <w:jc w:val="both"/>
        <w:rPr>
          <w:rFonts w:ascii="宋体" w:hAnsi="宋体" w:eastAsia="宋体"/>
          <w:sz w:val="28"/>
          <w:szCs w:val="28"/>
        </w:rPr>
      </w:pPr>
      <w:r>
        <w:rPr>
          <w:rFonts w:ascii="宋体" w:hAnsi="宋体" w:eastAsia="宋体"/>
          <w:sz w:val="28"/>
          <w:szCs w:val="28"/>
        </w:rPr>
        <w:t>日  期：    年  月  日</w:t>
      </w:r>
    </w:p>
    <w:p>
      <w:pPr>
        <w:spacing w:line="560" w:lineRule="exact"/>
        <w:ind w:firstLine="560" w:firstLineChars="200"/>
        <w:jc w:val="both"/>
        <w:rPr>
          <w:rFonts w:ascii="宋体" w:hAnsi="宋体" w:eastAsia="宋体"/>
          <w:sz w:val="28"/>
          <w:szCs w:val="28"/>
        </w:rPr>
      </w:pPr>
      <w:r>
        <w:rPr>
          <w:rFonts w:ascii="宋体" w:hAnsi="宋体" w:eastAsia="宋体"/>
          <w:sz w:val="28"/>
          <w:szCs w:val="28"/>
        </w:rPr>
        <w:br w:type="page"/>
      </w:r>
    </w:p>
    <w:p>
      <w:pPr>
        <w:spacing w:line="560" w:lineRule="exact"/>
        <w:ind w:firstLine="640" w:firstLineChars="200"/>
        <w:jc w:val="both"/>
        <w:rPr>
          <w:rFonts w:ascii="宋体" w:hAnsi="宋体" w:eastAsia="宋体"/>
          <w:sz w:val="32"/>
          <w:szCs w:val="32"/>
        </w:rPr>
      </w:pPr>
      <w:r>
        <w:rPr>
          <w:rFonts w:ascii="宋体" w:hAnsi="宋体" w:eastAsia="宋体"/>
          <w:sz w:val="32"/>
          <w:szCs w:val="32"/>
        </w:rPr>
        <w:t>3</w:t>
      </w:r>
      <w:r>
        <w:rPr>
          <w:rFonts w:hint="eastAsia" w:ascii="宋体" w:hAnsi="宋体" w:eastAsia="宋体"/>
          <w:sz w:val="32"/>
          <w:szCs w:val="32"/>
        </w:rPr>
        <w:t>．监狱企业证明函</w:t>
      </w:r>
    </w:p>
    <w:p>
      <w:pPr>
        <w:spacing w:line="560" w:lineRule="exact"/>
        <w:ind w:firstLine="560" w:firstLineChars="200"/>
        <w:jc w:val="both"/>
        <w:rPr>
          <w:rFonts w:ascii="宋体" w:hAnsi="宋体" w:eastAsia="宋体"/>
          <w:sz w:val="28"/>
          <w:szCs w:val="28"/>
        </w:rPr>
      </w:pPr>
      <w:r>
        <w:rPr>
          <w:rFonts w:ascii="宋体" w:hAnsi="宋体" w:eastAsia="宋体"/>
          <w:sz w:val="28"/>
          <w:szCs w:val="28"/>
        </w:rPr>
        <w:t>说明：当且仅当供应商为监狱企业</w:t>
      </w:r>
      <w:r>
        <w:rPr>
          <w:rFonts w:hint="eastAsia" w:ascii="宋体" w:hAnsi="宋体" w:eastAsia="宋体"/>
          <w:sz w:val="28"/>
          <w:szCs w:val="28"/>
        </w:rPr>
        <w:t>的</w:t>
      </w:r>
      <w:r>
        <w:rPr>
          <w:rFonts w:ascii="宋体" w:hAnsi="宋体" w:eastAsia="宋体"/>
          <w:sz w:val="28"/>
          <w:szCs w:val="28"/>
        </w:rPr>
        <w:t>，应当提供由省级以上监狱管理局、戒毒管理局（含新疆生产建设兵团）出具的属于监狱企业的证明</w:t>
      </w:r>
      <w:r>
        <w:rPr>
          <w:rFonts w:hint="eastAsia" w:ascii="宋体" w:hAnsi="宋体" w:eastAsia="宋体"/>
          <w:sz w:val="28"/>
          <w:szCs w:val="28"/>
        </w:rPr>
        <w:t>函</w:t>
      </w:r>
      <w:r>
        <w:rPr>
          <w:rFonts w:ascii="宋体" w:hAnsi="宋体" w:eastAsia="宋体"/>
          <w:sz w:val="28"/>
          <w:szCs w:val="28"/>
        </w:rPr>
        <w:t>（格式不</w:t>
      </w:r>
      <w:r>
        <w:rPr>
          <w:rFonts w:hint="eastAsia" w:ascii="宋体" w:hAnsi="宋体" w:eastAsia="宋体"/>
          <w:sz w:val="28"/>
          <w:szCs w:val="28"/>
        </w:rPr>
        <w:t>限</w:t>
      </w:r>
      <w:r>
        <w:rPr>
          <w:rFonts w:ascii="宋体" w:hAnsi="宋体" w:eastAsia="宋体"/>
          <w:sz w:val="28"/>
          <w:szCs w:val="28"/>
        </w:rPr>
        <w:t>）。未提供证明</w:t>
      </w:r>
      <w:r>
        <w:rPr>
          <w:rFonts w:hint="eastAsia" w:ascii="宋体" w:hAnsi="宋体" w:eastAsia="宋体"/>
          <w:sz w:val="28"/>
          <w:szCs w:val="28"/>
        </w:rPr>
        <w:t>函</w:t>
      </w:r>
      <w:r>
        <w:rPr>
          <w:rFonts w:ascii="宋体" w:hAnsi="宋体" w:eastAsia="宋体"/>
          <w:sz w:val="28"/>
          <w:szCs w:val="28"/>
        </w:rPr>
        <w:t>的</w:t>
      </w:r>
      <w:r>
        <w:rPr>
          <w:rFonts w:hint="eastAsia" w:ascii="宋体" w:hAnsi="宋体" w:eastAsia="宋体"/>
          <w:sz w:val="28"/>
          <w:szCs w:val="28"/>
        </w:rPr>
        <w:t>，</w:t>
      </w:r>
      <w:r>
        <w:rPr>
          <w:rFonts w:ascii="宋体" w:hAnsi="宋体" w:eastAsia="宋体"/>
          <w:sz w:val="28"/>
          <w:szCs w:val="28"/>
        </w:rPr>
        <w:t>将不能享受</w:t>
      </w:r>
      <w:r>
        <w:rPr>
          <w:rFonts w:hint="eastAsia" w:ascii="宋体" w:hAnsi="宋体" w:eastAsia="宋体"/>
          <w:sz w:val="28"/>
          <w:szCs w:val="28"/>
        </w:rPr>
        <w:t>招标文件</w:t>
      </w:r>
      <w:r>
        <w:rPr>
          <w:rFonts w:ascii="宋体" w:hAnsi="宋体" w:eastAsia="宋体"/>
          <w:sz w:val="28"/>
          <w:szCs w:val="28"/>
        </w:rPr>
        <w:t>规定的价格</w:t>
      </w:r>
      <w:r>
        <w:rPr>
          <w:rFonts w:hint="eastAsia" w:ascii="宋体" w:hAnsi="宋体" w:eastAsia="宋体"/>
          <w:sz w:val="28"/>
          <w:szCs w:val="28"/>
        </w:rPr>
        <w:t>优惠政策</w:t>
      </w:r>
      <w:r>
        <w:rPr>
          <w:rFonts w:ascii="宋体" w:hAnsi="宋体" w:eastAsia="宋体"/>
          <w:sz w:val="28"/>
          <w:szCs w:val="28"/>
        </w:rPr>
        <w:t>，但不影响</w:t>
      </w:r>
      <w:r>
        <w:rPr>
          <w:rFonts w:hint="eastAsia" w:ascii="宋体" w:hAnsi="宋体" w:eastAsia="宋体"/>
          <w:sz w:val="28"/>
          <w:szCs w:val="28"/>
        </w:rPr>
        <w:t>投标文件</w:t>
      </w:r>
      <w:r>
        <w:rPr>
          <w:rFonts w:ascii="宋体" w:hAnsi="宋体" w:eastAsia="宋体"/>
          <w:sz w:val="28"/>
          <w:szCs w:val="28"/>
        </w:rPr>
        <w:t>的有效性。</w:t>
      </w:r>
    </w:p>
    <w:p>
      <w:pPr>
        <w:spacing w:line="560" w:lineRule="exact"/>
        <w:ind w:firstLine="640" w:firstLineChars="200"/>
        <w:jc w:val="center"/>
        <w:rPr>
          <w:rFonts w:ascii="宋体" w:hAnsi="宋体" w:eastAsia="宋体"/>
          <w:b/>
          <w:bCs/>
          <w:sz w:val="32"/>
          <w:szCs w:val="32"/>
        </w:rPr>
      </w:pPr>
      <w:r>
        <w:rPr>
          <w:rFonts w:ascii="宋体" w:hAnsi="宋体" w:eastAsia="宋体"/>
          <w:b/>
          <w:bCs/>
          <w:sz w:val="32"/>
          <w:szCs w:val="32"/>
        </w:rPr>
        <w:t>监狱企业证明函</w:t>
      </w:r>
    </w:p>
    <w:p>
      <w:pPr>
        <w:spacing w:line="560" w:lineRule="exact"/>
        <w:ind w:firstLine="560" w:firstLineChars="200"/>
        <w:jc w:val="both"/>
        <w:rPr>
          <w:rFonts w:ascii="宋体" w:hAnsi="宋体" w:eastAsia="宋体"/>
          <w:sz w:val="28"/>
          <w:szCs w:val="28"/>
        </w:rPr>
      </w:pPr>
      <w:r>
        <w:rPr>
          <w:rFonts w:ascii="宋体" w:hAnsi="宋体" w:eastAsia="宋体"/>
          <w:sz w:val="28"/>
          <w:szCs w:val="28"/>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60" w:lineRule="exact"/>
        <w:ind w:firstLine="560" w:firstLineChars="200"/>
        <w:jc w:val="both"/>
        <w:rPr>
          <w:rFonts w:ascii="宋体" w:hAnsi="宋体" w:eastAsia="宋体"/>
          <w:sz w:val="28"/>
          <w:szCs w:val="28"/>
        </w:rPr>
      </w:pPr>
      <w:r>
        <w:rPr>
          <w:rFonts w:ascii="宋体" w:hAnsi="宋体" w:eastAsia="宋体"/>
          <w:sz w:val="28"/>
          <w:szCs w:val="28"/>
        </w:rPr>
        <w:t>监狱企业参加政府采购活动时，应当提供由省级以上监狱管理局、戒毒管理局（含新疆生产建设兵团）出具的属于监狱企业的证明文件。</w:t>
      </w:r>
    </w:p>
    <w:p>
      <w:pPr>
        <w:spacing w:line="560" w:lineRule="exact"/>
        <w:ind w:firstLine="640" w:firstLineChars="200"/>
        <w:jc w:val="both"/>
        <w:rPr>
          <w:rFonts w:ascii="宋体" w:hAnsi="宋体" w:eastAsia="宋体"/>
          <w:sz w:val="32"/>
          <w:szCs w:val="32"/>
        </w:rPr>
      </w:pPr>
      <w:r>
        <w:rPr>
          <w:rFonts w:ascii="宋体" w:hAnsi="宋体" w:eastAsia="宋体"/>
          <w:sz w:val="32"/>
          <w:szCs w:val="32"/>
        </w:rPr>
        <w:br w:type="page"/>
      </w:r>
    </w:p>
    <w:p>
      <w:pPr>
        <w:pStyle w:val="4"/>
        <w:ind w:firstLine="643"/>
        <w:jc w:val="center"/>
        <w:rPr>
          <w:rFonts w:ascii="宋体" w:hAnsi="宋体" w:eastAsia="宋体"/>
          <w:b/>
          <w:bCs/>
        </w:rPr>
      </w:pPr>
      <w:bookmarkStart w:id="157" w:name="_Toc120103995"/>
      <w:r>
        <w:rPr>
          <w:rFonts w:ascii="宋体" w:hAnsi="宋体" w:eastAsia="宋体"/>
          <w:b/>
          <w:bCs/>
        </w:rPr>
        <w:t>第五部分</w:t>
      </w:r>
      <w:r>
        <w:rPr>
          <w:rFonts w:hint="eastAsia" w:ascii="宋体" w:hAnsi="宋体" w:eastAsia="宋体"/>
          <w:b/>
          <w:bCs/>
        </w:rPr>
        <w:t xml:space="preserve">  </w:t>
      </w:r>
      <w:r>
        <w:rPr>
          <w:rFonts w:ascii="宋体" w:hAnsi="宋体" w:eastAsia="宋体"/>
          <w:b/>
          <w:bCs/>
        </w:rPr>
        <w:t>供应商参加政府采购活动承诺书</w:t>
      </w:r>
      <w:bookmarkEnd w:id="157"/>
    </w:p>
    <w:p>
      <w:pPr>
        <w:spacing w:line="560" w:lineRule="exact"/>
        <w:ind w:firstLine="560" w:firstLineChars="200"/>
        <w:jc w:val="both"/>
        <w:rPr>
          <w:rFonts w:ascii="宋体" w:hAnsi="宋体" w:eastAsia="宋体"/>
          <w:sz w:val="28"/>
          <w:szCs w:val="28"/>
        </w:rPr>
      </w:pPr>
      <w:r>
        <w:rPr>
          <w:rFonts w:ascii="宋体" w:hAnsi="宋体" w:eastAsia="宋体"/>
          <w:sz w:val="28"/>
          <w:szCs w:val="28"/>
        </w:rPr>
        <w:t>未签署下列承诺书的，将被视为无效投标，其责任由供应商自行承担。</w:t>
      </w:r>
    </w:p>
    <w:p>
      <w:pPr>
        <w:pStyle w:val="5"/>
        <w:rPr>
          <w:rFonts w:ascii="宋体" w:hAnsi="宋体" w:eastAsia="宋体"/>
          <w:sz w:val="32"/>
          <w:szCs w:val="32"/>
        </w:rPr>
      </w:pPr>
      <w:bookmarkStart w:id="158" w:name="_Toc120103996"/>
      <w:r>
        <w:rPr>
          <w:rFonts w:hint="eastAsia" w:ascii="宋体" w:hAnsi="宋体" w:eastAsia="宋体"/>
          <w:sz w:val="32"/>
          <w:szCs w:val="32"/>
        </w:rPr>
        <w:t>（一）质量安全责任承诺书</w:t>
      </w:r>
      <w:bookmarkEnd w:id="158"/>
    </w:p>
    <w:p>
      <w:pPr>
        <w:spacing w:line="560" w:lineRule="exact"/>
        <w:ind w:firstLine="560" w:firstLineChars="200"/>
        <w:jc w:val="both"/>
        <w:rPr>
          <w:rFonts w:ascii="宋体" w:hAnsi="宋体" w:eastAsia="宋体"/>
          <w:sz w:val="28"/>
          <w:szCs w:val="28"/>
        </w:rPr>
      </w:pPr>
      <w:r>
        <w:rPr>
          <w:rFonts w:ascii="宋体" w:hAnsi="宋体" w:eastAsia="宋体"/>
          <w:sz w:val="28"/>
          <w:szCs w:val="28"/>
        </w:rPr>
        <w:t>为保证本采购项目顺利进行，作为投标供应商，现郑重承诺：</w:t>
      </w:r>
    </w:p>
    <w:p>
      <w:pPr>
        <w:spacing w:line="560" w:lineRule="exact"/>
        <w:ind w:firstLine="560" w:firstLineChars="200"/>
        <w:jc w:val="both"/>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w:t>
      </w:r>
      <w:r>
        <w:rPr>
          <w:rFonts w:ascii="宋体" w:hAnsi="宋体" w:eastAsia="宋体"/>
          <w:sz w:val="28"/>
          <w:szCs w:val="28"/>
        </w:rPr>
        <w:t>我方所投产品的生产（包括设计、制造、安装、改造、维修等）、投入使用的材料等均完全符合国家现行质量、安全、环保标准和要求。</w:t>
      </w:r>
    </w:p>
    <w:p>
      <w:pPr>
        <w:spacing w:line="560" w:lineRule="exact"/>
        <w:ind w:firstLine="560" w:firstLineChars="200"/>
        <w:jc w:val="both"/>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w:t>
      </w:r>
      <w:r>
        <w:rPr>
          <w:rFonts w:ascii="宋体" w:hAnsi="宋体" w:eastAsia="宋体"/>
          <w:sz w:val="28"/>
          <w:szCs w:val="28"/>
        </w:rPr>
        <w:t>我方将严格按照国家现行相关储存、运输、安装调试技术标准及规范、服务标准及规范、施工标准及规范，在规定的时限内，保质、保量完成项目全部内容，并向采购人交付合格产品。</w:t>
      </w:r>
    </w:p>
    <w:p>
      <w:pPr>
        <w:spacing w:line="560" w:lineRule="exact"/>
        <w:ind w:firstLine="560" w:firstLineChars="200"/>
        <w:jc w:val="both"/>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w:t>
      </w:r>
      <w:r>
        <w:rPr>
          <w:rFonts w:ascii="宋体" w:hAnsi="宋体" w:eastAsia="宋体"/>
          <w:sz w:val="28"/>
          <w:szCs w:val="28"/>
        </w:rPr>
        <w:t>对于因产品生产质量以及储存、运输、安装调试、服务、施工等过程中产生的任何安全事故，我方承担全部责任。</w:t>
      </w:r>
    </w:p>
    <w:p>
      <w:pPr>
        <w:spacing w:line="560" w:lineRule="exact"/>
        <w:ind w:firstLine="560" w:firstLineChars="200"/>
        <w:jc w:val="both"/>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w:t>
      </w:r>
      <w:r>
        <w:rPr>
          <w:rFonts w:ascii="宋体" w:hAnsi="宋体" w:eastAsia="宋体"/>
          <w:sz w:val="28"/>
          <w:szCs w:val="28"/>
        </w:rPr>
        <w:t>我方提供的货物、工程、服务等符合现行的国家、行业、地区、企业标准及要求，标准不一致的，以更为严格的为准，我方对提供的货物、工程、服务等的质量、安全、环保等承担全部责任。</w:t>
      </w:r>
    </w:p>
    <w:p>
      <w:pPr>
        <w:spacing w:line="560" w:lineRule="exact"/>
        <w:ind w:firstLine="560" w:firstLineChars="200"/>
        <w:jc w:val="both"/>
        <w:rPr>
          <w:rFonts w:ascii="宋体" w:hAnsi="宋体" w:eastAsia="宋体"/>
          <w:sz w:val="28"/>
          <w:szCs w:val="28"/>
        </w:rPr>
      </w:pPr>
    </w:p>
    <w:p>
      <w:pPr>
        <w:spacing w:line="560" w:lineRule="exact"/>
        <w:ind w:firstLine="3099" w:firstLineChars="1107"/>
        <w:jc w:val="both"/>
        <w:rPr>
          <w:rFonts w:ascii="宋体" w:hAnsi="宋体" w:eastAsia="宋体"/>
          <w:sz w:val="28"/>
          <w:szCs w:val="28"/>
        </w:rPr>
      </w:pPr>
      <w:r>
        <w:rPr>
          <w:rFonts w:ascii="宋体" w:hAnsi="宋体" w:eastAsia="宋体"/>
          <w:sz w:val="28"/>
          <w:szCs w:val="28"/>
        </w:rPr>
        <w:t>供应商：（供应商全称并加盖公章）</w:t>
      </w:r>
    </w:p>
    <w:p>
      <w:pPr>
        <w:spacing w:line="560" w:lineRule="exact"/>
        <w:ind w:firstLine="3099" w:firstLineChars="1107"/>
        <w:jc w:val="both"/>
        <w:rPr>
          <w:rFonts w:ascii="宋体" w:hAnsi="宋体" w:eastAsia="宋体"/>
          <w:sz w:val="28"/>
          <w:szCs w:val="28"/>
        </w:rPr>
      </w:pPr>
      <w:r>
        <w:rPr>
          <w:rFonts w:ascii="宋体" w:hAnsi="宋体" w:eastAsia="宋体"/>
          <w:sz w:val="28"/>
          <w:szCs w:val="28"/>
        </w:rPr>
        <w:t>日</w:t>
      </w:r>
      <w:r>
        <w:rPr>
          <w:rFonts w:hint="eastAsia" w:ascii="宋体" w:hAnsi="宋体" w:eastAsia="宋体"/>
          <w:sz w:val="28"/>
          <w:szCs w:val="28"/>
        </w:rPr>
        <w:t xml:space="preserve">  </w:t>
      </w:r>
      <w:r>
        <w:rPr>
          <w:rFonts w:ascii="宋体" w:hAnsi="宋体" w:eastAsia="宋体"/>
          <w:sz w:val="28"/>
          <w:szCs w:val="28"/>
        </w:rPr>
        <w:t>期：    年  月  日</w:t>
      </w:r>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p>
    <w:p>
      <w:pPr>
        <w:pStyle w:val="5"/>
        <w:spacing w:line="460" w:lineRule="exact"/>
        <w:rPr>
          <w:rFonts w:ascii="宋体" w:hAnsi="宋体" w:eastAsia="宋体"/>
          <w:sz w:val="32"/>
          <w:szCs w:val="32"/>
        </w:rPr>
      </w:pPr>
      <w:bookmarkStart w:id="159" w:name="_Toc120103997"/>
      <w:r>
        <w:rPr>
          <w:rFonts w:hint="eastAsia" w:ascii="宋体" w:hAnsi="宋体" w:eastAsia="宋体"/>
          <w:sz w:val="32"/>
          <w:szCs w:val="32"/>
        </w:rPr>
        <w:t>（二）参加政府采购活动行为自律承诺书</w:t>
      </w:r>
      <w:bookmarkEnd w:id="159"/>
    </w:p>
    <w:p>
      <w:pPr>
        <w:spacing w:line="460" w:lineRule="exact"/>
        <w:ind w:firstLine="560" w:firstLineChars="200"/>
        <w:jc w:val="both"/>
        <w:rPr>
          <w:rFonts w:ascii="宋体" w:hAnsi="宋体" w:eastAsia="宋体"/>
          <w:sz w:val="28"/>
          <w:szCs w:val="28"/>
        </w:rPr>
      </w:pPr>
      <w:r>
        <w:rPr>
          <w:rFonts w:ascii="宋体" w:hAnsi="宋体" w:eastAsia="宋体"/>
          <w:sz w:val="28"/>
          <w:szCs w:val="28"/>
        </w:rPr>
        <w:t>作为参加本次政府采购项目的供应商，我方郑重承诺在参与政府采购活动中遵纪守法、公平竞争、诚实守信，如有违反愿承担一切责任及后果：</w:t>
      </w:r>
    </w:p>
    <w:p>
      <w:pPr>
        <w:spacing w:line="460" w:lineRule="exact"/>
        <w:ind w:firstLine="560" w:firstLineChars="200"/>
        <w:jc w:val="both"/>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w:t>
      </w:r>
      <w:r>
        <w:rPr>
          <w:rFonts w:ascii="宋体" w:hAnsi="宋体" w:eastAsia="宋体"/>
          <w:sz w:val="28"/>
          <w:szCs w:val="28"/>
        </w:rPr>
        <w:t>不与采购人、采购代理机构、政府采购评审专家恶意串通，不向其行贿或提供其他不正当利益；</w:t>
      </w:r>
    </w:p>
    <w:p>
      <w:pPr>
        <w:spacing w:line="460" w:lineRule="exact"/>
        <w:ind w:firstLine="560" w:firstLineChars="200"/>
        <w:jc w:val="both"/>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w:t>
      </w:r>
      <w:r>
        <w:rPr>
          <w:rFonts w:ascii="宋体" w:hAnsi="宋体" w:eastAsia="宋体"/>
          <w:sz w:val="28"/>
          <w:szCs w:val="28"/>
        </w:rPr>
        <w:t>不与其他供应商恶意串通，采取“围标、串标、陪标”等商业欺诈手段谋取中标、成交；</w:t>
      </w:r>
    </w:p>
    <w:p>
      <w:pPr>
        <w:spacing w:line="460" w:lineRule="exact"/>
        <w:ind w:firstLine="560" w:firstLineChars="200"/>
        <w:jc w:val="both"/>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w:t>
      </w:r>
      <w:r>
        <w:rPr>
          <w:rFonts w:ascii="宋体" w:hAnsi="宋体" w:eastAsia="宋体"/>
          <w:sz w:val="28"/>
          <w:szCs w:val="28"/>
        </w:rPr>
        <w:t>不提供虚假或无效证明文件（包括但不限于资格证明文件、合同及验收文件、检验检测报告、从业人员资格证书、机构或所投产品的各类认证证书等）或虚假材料谋取中标、成交；</w:t>
      </w:r>
    </w:p>
    <w:p>
      <w:pPr>
        <w:spacing w:line="460" w:lineRule="exact"/>
        <w:ind w:firstLine="560" w:firstLineChars="200"/>
        <w:jc w:val="both"/>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w:t>
      </w:r>
      <w:r>
        <w:rPr>
          <w:rFonts w:ascii="宋体" w:hAnsi="宋体" w:eastAsia="宋体"/>
          <w:sz w:val="28"/>
          <w:szCs w:val="28"/>
        </w:rPr>
        <w:t>不采取不正当手段诋毁、排挤其他供应商；</w:t>
      </w:r>
    </w:p>
    <w:p>
      <w:pPr>
        <w:spacing w:line="460" w:lineRule="exact"/>
        <w:ind w:firstLine="560" w:firstLineChars="200"/>
        <w:jc w:val="both"/>
        <w:rPr>
          <w:rFonts w:ascii="宋体" w:hAnsi="宋体" w:eastAsia="宋体"/>
          <w:sz w:val="28"/>
          <w:szCs w:val="28"/>
        </w:rPr>
      </w:pPr>
      <w:r>
        <w:rPr>
          <w:rFonts w:ascii="宋体" w:hAnsi="宋体" w:eastAsia="宋体"/>
          <w:sz w:val="28"/>
          <w:szCs w:val="28"/>
        </w:rPr>
        <w:t>5</w:t>
      </w:r>
      <w:r>
        <w:rPr>
          <w:rFonts w:hint="eastAsia" w:ascii="宋体" w:hAnsi="宋体" w:eastAsia="宋体"/>
          <w:sz w:val="28"/>
          <w:szCs w:val="28"/>
        </w:rPr>
        <w:t>．</w:t>
      </w:r>
      <w:r>
        <w:rPr>
          <w:rFonts w:ascii="宋体" w:hAnsi="宋体" w:eastAsia="宋体"/>
          <w:sz w:val="28"/>
          <w:szCs w:val="28"/>
        </w:rPr>
        <w:t>不以不正当理由拒不与采购人签订政府采购合同，或逾期签订政府采购合同，或不按照采购文件确定的事项签订政府采购合同；</w:t>
      </w:r>
    </w:p>
    <w:p>
      <w:pPr>
        <w:spacing w:line="460" w:lineRule="exact"/>
        <w:ind w:firstLine="560" w:firstLineChars="200"/>
        <w:jc w:val="both"/>
        <w:rPr>
          <w:rFonts w:ascii="宋体" w:hAnsi="宋体" w:eastAsia="宋体"/>
          <w:sz w:val="28"/>
          <w:szCs w:val="28"/>
        </w:rPr>
      </w:pPr>
      <w:r>
        <w:rPr>
          <w:rFonts w:ascii="宋体" w:hAnsi="宋体" w:eastAsia="宋体"/>
          <w:sz w:val="28"/>
          <w:szCs w:val="28"/>
        </w:rPr>
        <w:t>6</w:t>
      </w:r>
      <w:r>
        <w:rPr>
          <w:rFonts w:hint="eastAsia" w:ascii="宋体" w:hAnsi="宋体" w:eastAsia="宋体"/>
          <w:sz w:val="28"/>
          <w:szCs w:val="28"/>
        </w:rPr>
        <w:t>．</w:t>
      </w:r>
      <w:r>
        <w:rPr>
          <w:rFonts w:ascii="宋体" w:hAnsi="宋体" w:eastAsia="宋体"/>
          <w:sz w:val="28"/>
          <w:szCs w:val="28"/>
        </w:rPr>
        <w:t>不以不正当理由拒绝履行合同义务，不会擅自变更、中止或者终止政府采购合同或将政府采购合同转包；</w:t>
      </w:r>
    </w:p>
    <w:p>
      <w:pPr>
        <w:spacing w:line="460" w:lineRule="exact"/>
        <w:ind w:firstLine="560" w:firstLineChars="200"/>
        <w:jc w:val="both"/>
        <w:rPr>
          <w:rFonts w:ascii="宋体" w:hAnsi="宋体" w:eastAsia="宋体"/>
          <w:sz w:val="28"/>
          <w:szCs w:val="28"/>
        </w:rPr>
      </w:pPr>
      <w:r>
        <w:rPr>
          <w:rFonts w:ascii="宋体" w:hAnsi="宋体" w:eastAsia="宋体"/>
          <w:sz w:val="28"/>
          <w:szCs w:val="28"/>
        </w:rPr>
        <w:t>7</w:t>
      </w:r>
      <w:r>
        <w:rPr>
          <w:rFonts w:hint="eastAsia" w:ascii="宋体" w:hAnsi="宋体" w:eastAsia="宋体"/>
          <w:sz w:val="28"/>
          <w:szCs w:val="28"/>
        </w:rPr>
        <w:t>．</w:t>
      </w:r>
      <w:r>
        <w:rPr>
          <w:rFonts w:ascii="宋体" w:hAnsi="宋体" w:eastAsia="宋体"/>
          <w:sz w:val="28"/>
          <w:szCs w:val="28"/>
        </w:rPr>
        <w:t>不在提供商品、服务或工程施工过程中提供假冒伪劣产品，损害采购人的合法权益或公共利益；</w:t>
      </w:r>
    </w:p>
    <w:p>
      <w:pPr>
        <w:spacing w:line="460" w:lineRule="exact"/>
        <w:ind w:firstLine="560" w:firstLineChars="200"/>
        <w:jc w:val="both"/>
        <w:rPr>
          <w:rFonts w:ascii="宋体" w:hAnsi="宋体" w:eastAsia="宋体"/>
          <w:sz w:val="28"/>
          <w:szCs w:val="28"/>
        </w:rPr>
      </w:pPr>
      <w:r>
        <w:rPr>
          <w:rFonts w:ascii="宋体" w:hAnsi="宋体" w:eastAsia="宋体"/>
          <w:sz w:val="28"/>
          <w:szCs w:val="28"/>
        </w:rPr>
        <w:t>8</w:t>
      </w:r>
      <w:r>
        <w:rPr>
          <w:rFonts w:hint="eastAsia" w:ascii="宋体" w:hAnsi="宋体" w:eastAsia="宋体"/>
          <w:sz w:val="28"/>
          <w:szCs w:val="28"/>
        </w:rPr>
        <w:t>．</w:t>
      </w:r>
      <w:r>
        <w:rPr>
          <w:rFonts w:ascii="宋体" w:hAnsi="宋体" w:eastAsia="宋体"/>
          <w:sz w:val="28"/>
          <w:szCs w:val="28"/>
        </w:rPr>
        <w:t>不采取捏造事实、提供虚假材料或者以非法手段取得证明材料进行质疑和投诉；</w:t>
      </w:r>
    </w:p>
    <w:p>
      <w:pPr>
        <w:spacing w:line="460" w:lineRule="exact"/>
        <w:ind w:firstLine="560" w:firstLineChars="200"/>
        <w:jc w:val="both"/>
        <w:rPr>
          <w:rFonts w:ascii="宋体" w:hAnsi="宋体" w:eastAsia="宋体"/>
          <w:sz w:val="28"/>
          <w:szCs w:val="28"/>
        </w:rPr>
      </w:pPr>
      <w:r>
        <w:rPr>
          <w:rFonts w:ascii="宋体" w:hAnsi="宋体" w:eastAsia="宋体"/>
          <w:sz w:val="28"/>
          <w:szCs w:val="28"/>
        </w:rPr>
        <w:t>9</w:t>
      </w:r>
      <w:r>
        <w:rPr>
          <w:rFonts w:hint="eastAsia" w:ascii="宋体" w:hAnsi="宋体" w:eastAsia="宋体"/>
          <w:sz w:val="28"/>
          <w:szCs w:val="28"/>
        </w:rPr>
        <w:t>．</w:t>
      </w:r>
      <w:r>
        <w:rPr>
          <w:rFonts w:ascii="宋体" w:hAnsi="宋体" w:eastAsia="宋体"/>
          <w:sz w:val="28"/>
          <w:szCs w:val="28"/>
        </w:rPr>
        <w:t>不发生其他有悖于政府采购公开、公平、公正和诚信原则的行为。</w:t>
      </w:r>
    </w:p>
    <w:p>
      <w:pPr>
        <w:spacing w:line="460" w:lineRule="exact"/>
        <w:jc w:val="both"/>
        <w:rPr>
          <w:rFonts w:ascii="宋体" w:hAnsi="宋体" w:eastAsia="宋体"/>
          <w:sz w:val="28"/>
          <w:szCs w:val="28"/>
        </w:rPr>
      </w:pPr>
      <w:r>
        <w:rPr>
          <w:rFonts w:ascii="宋体" w:hAnsi="宋体" w:eastAsia="宋体"/>
          <w:sz w:val="28"/>
          <w:szCs w:val="28"/>
        </w:rPr>
        <w:t>10</w:t>
      </w:r>
      <w:r>
        <w:rPr>
          <w:rFonts w:hint="eastAsia" w:ascii="宋体" w:hAnsi="宋体" w:eastAsia="宋体"/>
          <w:sz w:val="28"/>
          <w:szCs w:val="28"/>
        </w:rPr>
        <w:t>．</w:t>
      </w:r>
      <w:r>
        <w:rPr>
          <w:rFonts w:ascii="宋体" w:hAnsi="宋体" w:eastAsia="宋体"/>
          <w:sz w:val="28"/>
          <w:szCs w:val="28"/>
        </w:rPr>
        <w:t>尊重和接受政府采购监督管理部门的监督和采购人、采购代理机构的政府采购工作要求，愿意承担因违约行为给采购人造成的损失。</w:t>
      </w:r>
    </w:p>
    <w:p>
      <w:pPr>
        <w:spacing w:line="460" w:lineRule="exact"/>
        <w:ind w:firstLine="560" w:firstLineChars="200"/>
        <w:jc w:val="both"/>
        <w:rPr>
          <w:rFonts w:ascii="宋体" w:hAnsi="宋体" w:eastAsia="宋体"/>
          <w:sz w:val="28"/>
          <w:szCs w:val="28"/>
        </w:rPr>
      </w:pPr>
    </w:p>
    <w:p>
      <w:pPr>
        <w:spacing w:line="460" w:lineRule="exact"/>
        <w:ind w:firstLine="3099" w:firstLineChars="1107"/>
        <w:jc w:val="both"/>
        <w:rPr>
          <w:rFonts w:ascii="宋体" w:hAnsi="宋体" w:eastAsia="宋体"/>
          <w:sz w:val="28"/>
          <w:szCs w:val="28"/>
        </w:rPr>
      </w:pPr>
      <w:r>
        <w:rPr>
          <w:rFonts w:ascii="宋体" w:hAnsi="宋体" w:eastAsia="宋体"/>
          <w:sz w:val="28"/>
          <w:szCs w:val="28"/>
        </w:rPr>
        <w:t>供应商：（供应商全称并加盖公章）</w:t>
      </w:r>
    </w:p>
    <w:p>
      <w:pPr>
        <w:spacing w:line="460" w:lineRule="exact"/>
        <w:ind w:firstLine="3099" w:firstLineChars="1107"/>
        <w:jc w:val="both"/>
        <w:rPr>
          <w:rFonts w:ascii="宋体" w:hAnsi="宋体" w:eastAsia="宋体"/>
          <w:sz w:val="28"/>
          <w:szCs w:val="28"/>
        </w:rPr>
      </w:pPr>
      <w:r>
        <w:rPr>
          <w:rFonts w:ascii="宋体" w:hAnsi="宋体" w:eastAsia="宋体"/>
          <w:sz w:val="28"/>
          <w:szCs w:val="28"/>
        </w:rPr>
        <w:t>日</w:t>
      </w:r>
      <w:r>
        <w:rPr>
          <w:rFonts w:hint="eastAsia" w:ascii="宋体" w:hAnsi="宋体" w:eastAsia="宋体"/>
          <w:sz w:val="28"/>
          <w:szCs w:val="28"/>
        </w:rPr>
        <w:t xml:space="preserve">  </w:t>
      </w:r>
      <w:r>
        <w:rPr>
          <w:rFonts w:ascii="宋体" w:hAnsi="宋体" w:eastAsia="宋体"/>
          <w:sz w:val="28"/>
          <w:szCs w:val="28"/>
        </w:rPr>
        <w:t>期：    年  月  日</w:t>
      </w:r>
    </w:p>
    <w:p>
      <w:pPr>
        <w:rPr>
          <w:rFonts w:ascii="宋体" w:hAnsi="宋体" w:eastAsia="宋体"/>
          <w:sz w:val="28"/>
          <w:szCs w:val="28"/>
        </w:rPr>
      </w:pPr>
      <w:r>
        <w:rPr>
          <w:rFonts w:ascii="宋体" w:hAnsi="宋体" w:eastAsia="宋体"/>
          <w:sz w:val="22"/>
          <w:szCs w:val="22"/>
        </w:rPr>
        <w:br w:type="page"/>
      </w:r>
    </w:p>
    <w:p>
      <w:pPr>
        <w:pStyle w:val="4"/>
        <w:ind w:firstLine="643"/>
        <w:jc w:val="center"/>
        <w:rPr>
          <w:rFonts w:ascii="宋体" w:hAnsi="宋体" w:eastAsia="宋体"/>
          <w:b/>
          <w:bCs/>
        </w:rPr>
      </w:pPr>
      <w:bookmarkStart w:id="160" w:name="_Toc120103998"/>
      <w:r>
        <w:rPr>
          <w:rFonts w:ascii="宋体" w:hAnsi="宋体" w:eastAsia="宋体"/>
          <w:b/>
          <w:bCs/>
        </w:rPr>
        <w:t>第六部分</w:t>
      </w:r>
      <w:r>
        <w:rPr>
          <w:rFonts w:hint="eastAsia" w:ascii="宋体" w:hAnsi="宋体" w:eastAsia="宋体"/>
          <w:b/>
          <w:bCs/>
        </w:rPr>
        <w:t xml:space="preserve">  </w:t>
      </w:r>
      <w:r>
        <w:rPr>
          <w:rFonts w:ascii="宋体" w:hAnsi="宋体" w:eastAsia="宋体"/>
          <w:b/>
          <w:bCs/>
        </w:rPr>
        <w:t>投标方案</w:t>
      </w:r>
      <w:bookmarkEnd w:id="160"/>
    </w:p>
    <w:p>
      <w:pPr>
        <w:jc w:val="center"/>
      </w:pPr>
      <w:r>
        <w:t>（本节无要求，格式内容自拟</w:t>
      </w:r>
      <w:r>
        <w:rPr>
          <w:rFonts w:hint="eastAsia"/>
        </w:rPr>
        <w:t>）</w:t>
      </w:r>
    </w:p>
    <w:p>
      <w:pPr>
        <w:pStyle w:val="108"/>
        <w:spacing w:before="210" w:after="210"/>
        <w:rPr>
          <w:rFonts w:ascii="宋体" w:hAnsi="宋体" w:eastAsia="宋体"/>
        </w:rPr>
      </w:pPr>
      <w:bookmarkStart w:id="161" w:name="_Toc120103999"/>
      <w:r>
        <w:rPr>
          <w:rFonts w:hint="eastAsia" w:ascii="宋体" w:hAnsi="宋体" w:eastAsia="宋体"/>
        </w:rPr>
        <w:t>（一）技术（服务）要求响应索引表</w:t>
      </w:r>
      <w:bookmarkEnd w:id="161"/>
    </w:p>
    <w:tbl>
      <w:tblPr>
        <w:tblStyle w:val="3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6"/>
        <w:gridCol w:w="3213"/>
        <w:gridCol w:w="3343"/>
        <w:gridCol w:w="14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b/>
                <w:bCs/>
                <w:sz w:val="28"/>
                <w:szCs w:val="28"/>
              </w:rPr>
            </w:pPr>
            <w:r>
              <w:rPr>
                <w:rFonts w:ascii="宋体" w:hAnsi="宋体" w:eastAsia="宋体"/>
                <w:b/>
                <w:bCs/>
                <w:sz w:val="28"/>
                <w:szCs w:val="28"/>
              </w:rPr>
              <w:t>序号</w:t>
            </w:r>
          </w:p>
        </w:tc>
        <w:tc>
          <w:tcPr>
            <w:tcW w:w="3381"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b/>
                <w:bCs/>
                <w:sz w:val="28"/>
                <w:szCs w:val="28"/>
              </w:rPr>
            </w:pPr>
            <w:r>
              <w:rPr>
                <w:rFonts w:ascii="宋体" w:hAnsi="宋体" w:eastAsia="宋体"/>
                <w:b/>
                <w:bCs/>
                <w:sz w:val="28"/>
                <w:szCs w:val="28"/>
              </w:rPr>
              <w:t>招标文件</w:t>
            </w:r>
            <w:r>
              <w:rPr>
                <w:rFonts w:hint="eastAsia" w:ascii="宋体" w:hAnsi="宋体" w:eastAsia="宋体"/>
                <w:b/>
                <w:bCs/>
                <w:sz w:val="28"/>
                <w:szCs w:val="28"/>
              </w:rPr>
              <w:t>条款</w:t>
            </w:r>
            <w:r>
              <w:rPr>
                <w:rFonts w:ascii="宋体" w:hAnsi="宋体" w:eastAsia="宋体"/>
                <w:b/>
                <w:bCs/>
                <w:sz w:val="28"/>
                <w:szCs w:val="28"/>
              </w:rPr>
              <w:t>明细</w:t>
            </w:r>
          </w:p>
        </w:tc>
        <w:tc>
          <w:tcPr>
            <w:tcW w:w="3519"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b/>
                <w:bCs/>
                <w:sz w:val="28"/>
                <w:szCs w:val="28"/>
              </w:rPr>
            </w:pPr>
            <w:r>
              <w:rPr>
                <w:rFonts w:ascii="宋体" w:hAnsi="宋体" w:eastAsia="宋体"/>
                <w:b/>
                <w:bCs/>
                <w:sz w:val="28"/>
                <w:szCs w:val="28"/>
              </w:rPr>
              <w:t>响应索引</w:t>
            </w:r>
          </w:p>
        </w:tc>
        <w:tc>
          <w:tcPr>
            <w:tcW w:w="1526"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b/>
                <w:bCs/>
                <w:sz w:val="28"/>
                <w:szCs w:val="28"/>
              </w:rPr>
            </w:pPr>
            <w:r>
              <w:rPr>
                <w:rFonts w:ascii="宋体" w:hAnsi="宋体" w:eastAsia="宋体"/>
                <w:b/>
                <w:bCs/>
                <w:sz w:val="28"/>
                <w:szCs w:val="28"/>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tcBorders>
              <w:top w:val="single" w:color="auto" w:sz="2" w:space="0"/>
            </w:tcBorders>
            <w:vAlign w:val="center"/>
          </w:tcPr>
          <w:p>
            <w:pPr>
              <w:jc w:val="center"/>
              <w:rPr>
                <w:rFonts w:ascii="宋体" w:hAnsi="宋体" w:eastAsia="宋体"/>
                <w:sz w:val="28"/>
                <w:szCs w:val="28"/>
              </w:rPr>
            </w:pPr>
          </w:p>
        </w:tc>
        <w:tc>
          <w:tcPr>
            <w:tcW w:w="3381" w:type="dxa"/>
            <w:tcBorders>
              <w:top w:val="single" w:color="auto" w:sz="2" w:space="0"/>
            </w:tcBorders>
            <w:vAlign w:val="center"/>
          </w:tcPr>
          <w:p>
            <w:pPr>
              <w:jc w:val="center"/>
              <w:rPr>
                <w:rFonts w:ascii="宋体" w:hAnsi="宋体" w:eastAsia="宋体"/>
                <w:sz w:val="28"/>
                <w:szCs w:val="28"/>
              </w:rPr>
            </w:pPr>
          </w:p>
        </w:tc>
        <w:tc>
          <w:tcPr>
            <w:tcW w:w="3519" w:type="dxa"/>
            <w:tcBorders>
              <w:top w:val="single" w:color="auto" w:sz="2" w:space="0"/>
            </w:tcBorders>
            <w:vAlign w:val="center"/>
          </w:tcPr>
          <w:p>
            <w:pPr>
              <w:jc w:val="center"/>
              <w:rPr>
                <w:rFonts w:ascii="宋体" w:hAnsi="宋体" w:eastAsia="宋体"/>
                <w:sz w:val="28"/>
                <w:szCs w:val="28"/>
              </w:rPr>
            </w:pPr>
          </w:p>
        </w:tc>
        <w:tc>
          <w:tcPr>
            <w:tcW w:w="1526" w:type="dxa"/>
            <w:tcBorders>
              <w:top w:val="single" w:color="auto" w:sz="2" w:space="0"/>
            </w:tcBorders>
            <w:vAlign w:val="center"/>
          </w:tcPr>
          <w:p>
            <w:pPr>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ascii="宋体" w:hAnsi="宋体" w:eastAsia="宋体"/>
                <w:sz w:val="28"/>
                <w:szCs w:val="28"/>
              </w:rPr>
            </w:pPr>
          </w:p>
        </w:tc>
        <w:tc>
          <w:tcPr>
            <w:tcW w:w="3381" w:type="dxa"/>
            <w:vAlign w:val="center"/>
          </w:tcPr>
          <w:p>
            <w:pPr>
              <w:jc w:val="center"/>
              <w:rPr>
                <w:rFonts w:ascii="宋体" w:hAnsi="宋体" w:eastAsia="宋体"/>
                <w:sz w:val="28"/>
                <w:szCs w:val="28"/>
              </w:rPr>
            </w:pPr>
          </w:p>
        </w:tc>
        <w:tc>
          <w:tcPr>
            <w:tcW w:w="3519" w:type="dxa"/>
            <w:vAlign w:val="center"/>
          </w:tcPr>
          <w:p>
            <w:pPr>
              <w:jc w:val="center"/>
              <w:rPr>
                <w:rFonts w:ascii="宋体" w:hAnsi="宋体" w:eastAsia="宋体"/>
                <w:sz w:val="28"/>
                <w:szCs w:val="28"/>
              </w:rPr>
            </w:pPr>
          </w:p>
        </w:tc>
        <w:tc>
          <w:tcPr>
            <w:tcW w:w="1526" w:type="dxa"/>
            <w:vAlign w:val="center"/>
          </w:tcPr>
          <w:p>
            <w:pPr>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ascii="宋体" w:hAnsi="宋体" w:eastAsia="宋体"/>
                <w:sz w:val="28"/>
                <w:szCs w:val="28"/>
              </w:rPr>
            </w:pPr>
          </w:p>
        </w:tc>
        <w:tc>
          <w:tcPr>
            <w:tcW w:w="3381" w:type="dxa"/>
            <w:vAlign w:val="center"/>
          </w:tcPr>
          <w:p>
            <w:pPr>
              <w:jc w:val="center"/>
              <w:rPr>
                <w:rFonts w:ascii="宋体" w:hAnsi="宋体" w:eastAsia="宋体"/>
                <w:sz w:val="28"/>
                <w:szCs w:val="28"/>
              </w:rPr>
            </w:pPr>
          </w:p>
        </w:tc>
        <w:tc>
          <w:tcPr>
            <w:tcW w:w="3519" w:type="dxa"/>
            <w:vAlign w:val="center"/>
          </w:tcPr>
          <w:p>
            <w:pPr>
              <w:jc w:val="center"/>
              <w:rPr>
                <w:rFonts w:ascii="宋体" w:hAnsi="宋体" w:eastAsia="宋体"/>
                <w:sz w:val="28"/>
                <w:szCs w:val="28"/>
              </w:rPr>
            </w:pPr>
          </w:p>
        </w:tc>
        <w:tc>
          <w:tcPr>
            <w:tcW w:w="1526" w:type="dxa"/>
            <w:vAlign w:val="center"/>
          </w:tcPr>
          <w:p>
            <w:pPr>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ascii="宋体" w:hAnsi="宋体" w:eastAsia="宋体"/>
                <w:sz w:val="28"/>
                <w:szCs w:val="28"/>
              </w:rPr>
            </w:pPr>
          </w:p>
        </w:tc>
        <w:tc>
          <w:tcPr>
            <w:tcW w:w="3381" w:type="dxa"/>
            <w:vAlign w:val="center"/>
          </w:tcPr>
          <w:p>
            <w:pPr>
              <w:jc w:val="center"/>
              <w:rPr>
                <w:rFonts w:ascii="宋体" w:hAnsi="宋体" w:eastAsia="宋体"/>
                <w:sz w:val="28"/>
                <w:szCs w:val="28"/>
              </w:rPr>
            </w:pPr>
          </w:p>
        </w:tc>
        <w:tc>
          <w:tcPr>
            <w:tcW w:w="3519" w:type="dxa"/>
            <w:vAlign w:val="center"/>
          </w:tcPr>
          <w:p>
            <w:pPr>
              <w:jc w:val="center"/>
              <w:rPr>
                <w:rFonts w:ascii="宋体" w:hAnsi="宋体" w:eastAsia="宋体"/>
                <w:sz w:val="28"/>
                <w:szCs w:val="28"/>
              </w:rPr>
            </w:pPr>
          </w:p>
        </w:tc>
        <w:tc>
          <w:tcPr>
            <w:tcW w:w="1526" w:type="dxa"/>
            <w:vAlign w:val="center"/>
          </w:tcPr>
          <w:p>
            <w:pPr>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ascii="宋体" w:hAnsi="宋体" w:eastAsia="宋体"/>
                <w:sz w:val="28"/>
                <w:szCs w:val="28"/>
              </w:rPr>
            </w:pPr>
          </w:p>
        </w:tc>
        <w:tc>
          <w:tcPr>
            <w:tcW w:w="3381" w:type="dxa"/>
            <w:vAlign w:val="center"/>
          </w:tcPr>
          <w:p>
            <w:pPr>
              <w:jc w:val="center"/>
              <w:rPr>
                <w:rFonts w:ascii="宋体" w:hAnsi="宋体" w:eastAsia="宋体"/>
                <w:sz w:val="28"/>
                <w:szCs w:val="28"/>
              </w:rPr>
            </w:pPr>
          </w:p>
        </w:tc>
        <w:tc>
          <w:tcPr>
            <w:tcW w:w="3519" w:type="dxa"/>
            <w:vAlign w:val="center"/>
          </w:tcPr>
          <w:p>
            <w:pPr>
              <w:jc w:val="center"/>
              <w:rPr>
                <w:rFonts w:ascii="宋体" w:hAnsi="宋体" w:eastAsia="宋体"/>
                <w:sz w:val="28"/>
                <w:szCs w:val="28"/>
              </w:rPr>
            </w:pPr>
          </w:p>
        </w:tc>
        <w:tc>
          <w:tcPr>
            <w:tcW w:w="1526" w:type="dxa"/>
            <w:vAlign w:val="center"/>
          </w:tcPr>
          <w:p>
            <w:pPr>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ascii="宋体" w:hAnsi="宋体" w:eastAsia="宋体"/>
                <w:sz w:val="28"/>
                <w:szCs w:val="28"/>
              </w:rPr>
            </w:pPr>
          </w:p>
        </w:tc>
        <w:tc>
          <w:tcPr>
            <w:tcW w:w="3381" w:type="dxa"/>
            <w:vAlign w:val="center"/>
          </w:tcPr>
          <w:p>
            <w:pPr>
              <w:jc w:val="center"/>
              <w:rPr>
                <w:rFonts w:ascii="宋体" w:hAnsi="宋体" w:eastAsia="宋体"/>
                <w:sz w:val="28"/>
                <w:szCs w:val="28"/>
              </w:rPr>
            </w:pPr>
          </w:p>
        </w:tc>
        <w:tc>
          <w:tcPr>
            <w:tcW w:w="3519" w:type="dxa"/>
            <w:vAlign w:val="center"/>
          </w:tcPr>
          <w:p>
            <w:pPr>
              <w:jc w:val="center"/>
              <w:rPr>
                <w:rFonts w:ascii="宋体" w:hAnsi="宋体" w:eastAsia="宋体"/>
                <w:sz w:val="28"/>
                <w:szCs w:val="28"/>
              </w:rPr>
            </w:pPr>
          </w:p>
        </w:tc>
        <w:tc>
          <w:tcPr>
            <w:tcW w:w="1526" w:type="dxa"/>
            <w:vAlign w:val="center"/>
          </w:tcPr>
          <w:p>
            <w:pPr>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jc w:val="center"/>
              <w:rPr>
                <w:rFonts w:ascii="宋体" w:hAnsi="宋体" w:eastAsia="宋体"/>
                <w:sz w:val="28"/>
                <w:szCs w:val="28"/>
              </w:rPr>
            </w:pPr>
            <w:r>
              <w:rPr>
                <w:rFonts w:ascii="宋体" w:hAnsi="宋体" w:eastAsia="宋体"/>
                <w:sz w:val="28"/>
                <w:szCs w:val="28"/>
              </w:rPr>
              <w:t>备注</w:t>
            </w:r>
          </w:p>
        </w:tc>
        <w:tc>
          <w:tcPr>
            <w:tcW w:w="8426" w:type="dxa"/>
            <w:gridSpan w:val="3"/>
            <w:vAlign w:val="center"/>
          </w:tcPr>
          <w:p>
            <w:pPr>
              <w:jc w:val="both"/>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w:t>
            </w:r>
            <w:r>
              <w:rPr>
                <w:rFonts w:ascii="宋体" w:hAnsi="宋体" w:eastAsia="宋体"/>
                <w:sz w:val="28"/>
                <w:szCs w:val="28"/>
              </w:rPr>
              <w:t>对第三章中的技术要求做出响应。</w:t>
            </w:r>
          </w:p>
          <w:p>
            <w:pPr>
              <w:jc w:val="both"/>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w:t>
            </w:r>
            <w:r>
              <w:rPr>
                <w:rFonts w:ascii="宋体" w:hAnsi="宋体" w:eastAsia="宋体"/>
                <w:sz w:val="28"/>
                <w:szCs w:val="28"/>
              </w:rPr>
              <w:t>响应说明按实际响应情况填写“优于”、“</w:t>
            </w:r>
            <w:r>
              <w:rPr>
                <w:rFonts w:hint="eastAsia" w:ascii="宋体" w:hAnsi="宋体" w:eastAsia="宋体"/>
                <w:sz w:val="28"/>
                <w:szCs w:val="28"/>
              </w:rPr>
              <w:t>响应</w:t>
            </w:r>
            <w:r>
              <w:rPr>
                <w:rFonts w:ascii="宋体" w:hAnsi="宋体" w:eastAsia="宋体"/>
                <w:sz w:val="28"/>
                <w:szCs w:val="28"/>
              </w:rPr>
              <w:t>”、“</w:t>
            </w:r>
            <w:r>
              <w:rPr>
                <w:rFonts w:hint="eastAsia" w:ascii="宋体" w:hAnsi="宋体" w:eastAsia="宋体"/>
                <w:sz w:val="28"/>
                <w:szCs w:val="28"/>
              </w:rPr>
              <w:t>不响应</w:t>
            </w:r>
            <w:r>
              <w:rPr>
                <w:rFonts w:ascii="宋体" w:hAnsi="宋体" w:eastAsia="宋体"/>
                <w:sz w:val="28"/>
                <w:szCs w:val="28"/>
              </w:rPr>
              <w:t>”。</w:t>
            </w:r>
          </w:p>
          <w:p>
            <w:pPr>
              <w:jc w:val="both"/>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．“响应索引”单元格中注明引用位置，如“见技术（服务）响应方案4</w:t>
            </w:r>
            <w:r>
              <w:rPr>
                <w:rFonts w:ascii="宋体" w:hAnsi="宋体" w:eastAsia="宋体"/>
                <w:sz w:val="28"/>
                <w:szCs w:val="28"/>
              </w:rPr>
              <w:t>.1.1</w:t>
            </w:r>
            <w:r>
              <w:rPr>
                <w:rFonts w:hint="eastAsia" w:ascii="宋体" w:hAnsi="宋体" w:eastAsia="宋体"/>
                <w:sz w:val="28"/>
                <w:szCs w:val="28"/>
              </w:rPr>
              <w:t>”。</w:t>
            </w:r>
          </w:p>
        </w:tc>
      </w:tr>
    </w:tbl>
    <w:p>
      <w:pPr>
        <w:spacing w:line="560" w:lineRule="exact"/>
        <w:ind w:firstLine="1680" w:firstLineChars="600"/>
        <w:jc w:val="both"/>
        <w:rPr>
          <w:rFonts w:ascii="宋体" w:hAnsi="宋体" w:eastAsia="宋体"/>
          <w:sz w:val="28"/>
          <w:szCs w:val="28"/>
        </w:rPr>
      </w:pPr>
      <w:r>
        <w:rPr>
          <w:rFonts w:ascii="宋体" w:hAnsi="宋体" w:eastAsia="宋体"/>
          <w:sz w:val="28"/>
          <w:szCs w:val="28"/>
        </w:rPr>
        <w:t>供应商：（供应商全称并加盖公章）</w:t>
      </w:r>
    </w:p>
    <w:p>
      <w:pPr>
        <w:spacing w:line="560" w:lineRule="exact"/>
        <w:ind w:firstLine="560" w:firstLineChars="200"/>
        <w:jc w:val="both"/>
        <w:rPr>
          <w:rFonts w:ascii="宋体" w:hAnsi="宋体" w:eastAsia="宋体"/>
          <w:sz w:val="28"/>
          <w:szCs w:val="28"/>
        </w:rPr>
      </w:pPr>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r>
        <w:rPr>
          <w:rFonts w:ascii="宋体" w:hAnsi="宋体" w:eastAsia="宋体"/>
          <w:sz w:val="32"/>
          <w:szCs w:val="32"/>
        </w:rPr>
        <w:br w:type="page"/>
      </w:r>
    </w:p>
    <w:p>
      <w:pPr>
        <w:pStyle w:val="108"/>
        <w:spacing w:before="210" w:after="210"/>
        <w:rPr>
          <w:rFonts w:ascii="宋体" w:hAnsi="宋体" w:eastAsia="宋体"/>
        </w:rPr>
      </w:pPr>
      <w:bookmarkStart w:id="162" w:name="_Toc120104000"/>
      <w:r>
        <w:rPr>
          <w:rFonts w:hint="eastAsia" w:ascii="宋体" w:hAnsi="宋体" w:eastAsia="宋体"/>
        </w:rPr>
        <w:t>（二）商务要求响应索引表</w:t>
      </w:r>
      <w:bookmarkEnd w:id="162"/>
    </w:p>
    <w:tbl>
      <w:tblPr>
        <w:tblStyle w:val="3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6"/>
        <w:gridCol w:w="3213"/>
        <w:gridCol w:w="3343"/>
        <w:gridCol w:w="14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b/>
                <w:bCs/>
                <w:sz w:val="28"/>
                <w:szCs w:val="28"/>
              </w:rPr>
            </w:pPr>
            <w:r>
              <w:rPr>
                <w:rFonts w:ascii="宋体" w:hAnsi="宋体" w:eastAsia="宋体"/>
                <w:b/>
                <w:bCs/>
                <w:sz w:val="28"/>
                <w:szCs w:val="28"/>
              </w:rPr>
              <w:t>序号</w:t>
            </w:r>
          </w:p>
        </w:tc>
        <w:tc>
          <w:tcPr>
            <w:tcW w:w="3381"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b/>
                <w:bCs/>
                <w:sz w:val="28"/>
                <w:szCs w:val="28"/>
              </w:rPr>
            </w:pPr>
            <w:r>
              <w:rPr>
                <w:rFonts w:ascii="宋体" w:hAnsi="宋体" w:eastAsia="宋体"/>
                <w:b/>
                <w:bCs/>
                <w:sz w:val="28"/>
                <w:szCs w:val="28"/>
              </w:rPr>
              <w:t>招标文件</w:t>
            </w:r>
            <w:r>
              <w:rPr>
                <w:rFonts w:hint="eastAsia" w:ascii="宋体" w:hAnsi="宋体" w:eastAsia="宋体"/>
                <w:b/>
                <w:bCs/>
                <w:sz w:val="28"/>
                <w:szCs w:val="28"/>
              </w:rPr>
              <w:t>条款</w:t>
            </w:r>
            <w:r>
              <w:rPr>
                <w:rFonts w:ascii="宋体" w:hAnsi="宋体" w:eastAsia="宋体"/>
                <w:b/>
                <w:bCs/>
                <w:sz w:val="28"/>
                <w:szCs w:val="28"/>
              </w:rPr>
              <w:t>明细</w:t>
            </w:r>
          </w:p>
        </w:tc>
        <w:tc>
          <w:tcPr>
            <w:tcW w:w="3519"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b/>
                <w:bCs/>
                <w:sz w:val="28"/>
                <w:szCs w:val="28"/>
              </w:rPr>
            </w:pPr>
            <w:r>
              <w:rPr>
                <w:rFonts w:ascii="宋体" w:hAnsi="宋体" w:eastAsia="宋体"/>
                <w:b/>
                <w:bCs/>
                <w:sz w:val="28"/>
                <w:szCs w:val="28"/>
              </w:rPr>
              <w:t>响应索引</w:t>
            </w:r>
          </w:p>
        </w:tc>
        <w:tc>
          <w:tcPr>
            <w:tcW w:w="1526" w:type="dxa"/>
            <w:tcBorders>
              <w:top w:val="single" w:color="auto" w:sz="12" w:space="0"/>
              <w:bottom w:val="single" w:color="auto" w:sz="2" w:space="0"/>
            </w:tcBorders>
            <w:shd w:val="clear" w:color="auto" w:fill="F1F1F1" w:themeFill="background1" w:themeFillShade="F2"/>
            <w:vAlign w:val="center"/>
          </w:tcPr>
          <w:p>
            <w:pPr>
              <w:spacing w:line="560" w:lineRule="exact"/>
              <w:jc w:val="center"/>
              <w:rPr>
                <w:rFonts w:ascii="宋体" w:hAnsi="宋体" w:eastAsia="宋体"/>
                <w:b/>
                <w:bCs/>
                <w:sz w:val="28"/>
                <w:szCs w:val="28"/>
              </w:rPr>
            </w:pPr>
            <w:r>
              <w:rPr>
                <w:rFonts w:ascii="宋体" w:hAnsi="宋体" w:eastAsia="宋体"/>
                <w:b/>
                <w:bCs/>
                <w:sz w:val="28"/>
                <w:szCs w:val="28"/>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tcBorders>
              <w:top w:val="single" w:color="auto" w:sz="2" w:space="0"/>
            </w:tcBorders>
            <w:vAlign w:val="center"/>
          </w:tcPr>
          <w:p>
            <w:pPr>
              <w:spacing w:line="560" w:lineRule="exact"/>
              <w:jc w:val="center"/>
              <w:rPr>
                <w:rFonts w:ascii="宋体" w:hAnsi="宋体" w:eastAsia="宋体"/>
                <w:sz w:val="28"/>
                <w:szCs w:val="28"/>
              </w:rPr>
            </w:pPr>
          </w:p>
        </w:tc>
        <w:tc>
          <w:tcPr>
            <w:tcW w:w="3381" w:type="dxa"/>
            <w:tcBorders>
              <w:top w:val="single" w:color="auto" w:sz="2" w:space="0"/>
            </w:tcBorders>
            <w:vAlign w:val="center"/>
          </w:tcPr>
          <w:p>
            <w:pPr>
              <w:spacing w:line="560" w:lineRule="exact"/>
              <w:jc w:val="center"/>
              <w:rPr>
                <w:rFonts w:ascii="宋体" w:hAnsi="宋体" w:eastAsia="宋体"/>
                <w:sz w:val="28"/>
                <w:szCs w:val="28"/>
              </w:rPr>
            </w:pPr>
          </w:p>
        </w:tc>
        <w:tc>
          <w:tcPr>
            <w:tcW w:w="3519" w:type="dxa"/>
            <w:tcBorders>
              <w:top w:val="single" w:color="auto" w:sz="2" w:space="0"/>
            </w:tcBorders>
            <w:vAlign w:val="center"/>
          </w:tcPr>
          <w:p>
            <w:pPr>
              <w:spacing w:line="560" w:lineRule="exact"/>
              <w:jc w:val="center"/>
              <w:rPr>
                <w:rFonts w:ascii="宋体" w:hAnsi="宋体" w:eastAsia="宋体"/>
                <w:sz w:val="28"/>
                <w:szCs w:val="28"/>
              </w:rPr>
            </w:pPr>
          </w:p>
        </w:tc>
        <w:tc>
          <w:tcPr>
            <w:tcW w:w="1526" w:type="dxa"/>
            <w:tcBorders>
              <w:top w:val="single" w:color="auto" w:sz="2" w:space="0"/>
            </w:tcBorders>
            <w:vAlign w:val="center"/>
          </w:tcPr>
          <w:p>
            <w:pPr>
              <w:spacing w:line="560" w:lineRule="exact"/>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宋体" w:hAnsi="宋体" w:eastAsia="宋体"/>
                <w:sz w:val="28"/>
                <w:szCs w:val="28"/>
              </w:rPr>
            </w:pPr>
          </w:p>
        </w:tc>
        <w:tc>
          <w:tcPr>
            <w:tcW w:w="3381" w:type="dxa"/>
            <w:vAlign w:val="center"/>
          </w:tcPr>
          <w:p>
            <w:pPr>
              <w:spacing w:line="560" w:lineRule="exact"/>
              <w:jc w:val="center"/>
              <w:rPr>
                <w:rFonts w:ascii="宋体" w:hAnsi="宋体" w:eastAsia="宋体"/>
                <w:sz w:val="28"/>
                <w:szCs w:val="28"/>
              </w:rPr>
            </w:pPr>
          </w:p>
        </w:tc>
        <w:tc>
          <w:tcPr>
            <w:tcW w:w="3519" w:type="dxa"/>
            <w:vAlign w:val="center"/>
          </w:tcPr>
          <w:p>
            <w:pPr>
              <w:spacing w:line="560" w:lineRule="exact"/>
              <w:jc w:val="center"/>
              <w:rPr>
                <w:rFonts w:ascii="宋体" w:hAnsi="宋体" w:eastAsia="宋体"/>
                <w:sz w:val="28"/>
                <w:szCs w:val="28"/>
              </w:rPr>
            </w:pPr>
          </w:p>
        </w:tc>
        <w:tc>
          <w:tcPr>
            <w:tcW w:w="1526" w:type="dxa"/>
            <w:vAlign w:val="center"/>
          </w:tcPr>
          <w:p>
            <w:pPr>
              <w:spacing w:line="560" w:lineRule="exact"/>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宋体" w:hAnsi="宋体" w:eastAsia="宋体"/>
                <w:sz w:val="28"/>
                <w:szCs w:val="28"/>
              </w:rPr>
            </w:pPr>
          </w:p>
        </w:tc>
        <w:tc>
          <w:tcPr>
            <w:tcW w:w="3381" w:type="dxa"/>
            <w:vAlign w:val="center"/>
          </w:tcPr>
          <w:p>
            <w:pPr>
              <w:spacing w:line="560" w:lineRule="exact"/>
              <w:jc w:val="center"/>
              <w:rPr>
                <w:rFonts w:ascii="宋体" w:hAnsi="宋体" w:eastAsia="宋体"/>
                <w:sz w:val="28"/>
                <w:szCs w:val="28"/>
              </w:rPr>
            </w:pPr>
          </w:p>
        </w:tc>
        <w:tc>
          <w:tcPr>
            <w:tcW w:w="3519" w:type="dxa"/>
            <w:vAlign w:val="center"/>
          </w:tcPr>
          <w:p>
            <w:pPr>
              <w:spacing w:line="560" w:lineRule="exact"/>
              <w:jc w:val="center"/>
              <w:rPr>
                <w:rFonts w:ascii="宋体" w:hAnsi="宋体" w:eastAsia="宋体"/>
                <w:sz w:val="28"/>
                <w:szCs w:val="28"/>
              </w:rPr>
            </w:pPr>
          </w:p>
        </w:tc>
        <w:tc>
          <w:tcPr>
            <w:tcW w:w="1526" w:type="dxa"/>
            <w:vAlign w:val="center"/>
          </w:tcPr>
          <w:p>
            <w:pPr>
              <w:spacing w:line="560" w:lineRule="exact"/>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宋体" w:hAnsi="宋体" w:eastAsia="宋体"/>
                <w:sz w:val="28"/>
                <w:szCs w:val="28"/>
              </w:rPr>
            </w:pPr>
          </w:p>
        </w:tc>
        <w:tc>
          <w:tcPr>
            <w:tcW w:w="3381" w:type="dxa"/>
            <w:vAlign w:val="center"/>
          </w:tcPr>
          <w:p>
            <w:pPr>
              <w:spacing w:line="560" w:lineRule="exact"/>
              <w:jc w:val="center"/>
              <w:rPr>
                <w:rFonts w:ascii="宋体" w:hAnsi="宋体" w:eastAsia="宋体"/>
                <w:sz w:val="28"/>
                <w:szCs w:val="28"/>
              </w:rPr>
            </w:pPr>
          </w:p>
        </w:tc>
        <w:tc>
          <w:tcPr>
            <w:tcW w:w="3519" w:type="dxa"/>
            <w:vAlign w:val="center"/>
          </w:tcPr>
          <w:p>
            <w:pPr>
              <w:spacing w:line="560" w:lineRule="exact"/>
              <w:jc w:val="center"/>
              <w:rPr>
                <w:rFonts w:ascii="宋体" w:hAnsi="宋体" w:eastAsia="宋体"/>
                <w:sz w:val="28"/>
                <w:szCs w:val="28"/>
              </w:rPr>
            </w:pPr>
          </w:p>
        </w:tc>
        <w:tc>
          <w:tcPr>
            <w:tcW w:w="1526" w:type="dxa"/>
            <w:vAlign w:val="center"/>
          </w:tcPr>
          <w:p>
            <w:pPr>
              <w:spacing w:line="560" w:lineRule="exact"/>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宋体" w:hAnsi="宋体" w:eastAsia="宋体"/>
                <w:sz w:val="28"/>
                <w:szCs w:val="28"/>
              </w:rPr>
            </w:pPr>
          </w:p>
        </w:tc>
        <w:tc>
          <w:tcPr>
            <w:tcW w:w="3381" w:type="dxa"/>
            <w:vAlign w:val="center"/>
          </w:tcPr>
          <w:p>
            <w:pPr>
              <w:spacing w:line="560" w:lineRule="exact"/>
              <w:jc w:val="center"/>
              <w:rPr>
                <w:rFonts w:ascii="宋体" w:hAnsi="宋体" w:eastAsia="宋体"/>
                <w:sz w:val="28"/>
                <w:szCs w:val="28"/>
              </w:rPr>
            </w:pPr>
          </w:p>
        </w:tc>
        <w:tc>
          <w:tcPr>
            <w:tcW w:w="3519" w:type="dxa"/>
            <w:vAlign w:val="center"/>
          </w:tcPr>
          <w:p>
            <w:pPr>
              <w:spacing w:line="560" w:lineRule="exact"/>
              <w:jc w:val="center"/>
              <w:rPr>
                <w:rFonts w:ascii="宋体" w:hAnsi="宋体" w:eastAsia="宋体"/>
                <w:sz w:val="28"/>
                <w:szCs w:val="28"/>
              </w:rPr>
            </w:pPr>
          </w:p>
        </w:tc>
        <w:tc>
          <w:tcPr>
            <w:tcW w:w="1526" w:type="dxa"/>
            <w:vAlign w:val="center"/>
          </w:tcPr>
          <w:p>
            <w:pPr>
              <w:spacing w:line="560" w:lineRule="exact"/>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宋体" w:hAnsi="宋体" w:eastAsia="宋体"/>
                <w:sz w:val="28"/>
                <w:szCs w:val="28"/>
              </w:rPr>
            </w:pPr>
          </w:p>
        </w:tc>
        <w:tc>
          <w:tcPr>
            <w:tcW w:w="3381" w:type="dxa"/>
            <w:vAlign w:val="center"/>
          </w:tcPr>
          <w:p>
            <w:pPr>
              <w:spacing w:line="560" w:lineRule="exact"/>
              <w:jc w:val="center"/>
              <w:rPr>
                <w:rFonts w:ascii="宋体" w:hAnsi="宋体" w:eastAsia="宋体"/>
                <w:sz w:val="28"/>
                <w:szCs w:val="28"/>
              </w:rPr>
            </w:pPr>
          </w:p>
        </w:tc>
        <w:tc>
          <w:tcPr>
            <w:tcW w:w="3519" w:type="dxa"/>
            <w:vAlign w:val="center"/>
          </w:tcPr>
          <w:p>
            <w:pPr>
              <w:spacing w:line="560" w:lineRule="exact"/>
              <w:jc w:val="center"/>
              <w:rPr>
                <w:rFonts w:ascii="宋体" w:hAnsi="宋体" w:eastAsia="宋体"/>
                <w:sz w:val="28"/>
                <w:szCs w:val="28"/>
              </w:rPr>
            </w:pPr>
          </w:p>
        </w:tc>
        <w:tc>
          <w:tcPr>
            <w:tcW w:w="1526" w:type="dxa"/>
            <w:vAlign w:val="center"/>
          </w:tcPr>
          <w:p>
            <w:pPr>
              <w:spacing w:line="560" w:lineRule="exact"/>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spacing w:line="560" w:lineRule="exact"/>
              <w:jc w:val="center"/>
              <w:rPr>
                <w:rFonts w:ascii="宋体" w:hAnsi="宋体" w:eastAsia="宋体"/>
                <w:sz w:val="28"/>
                <w:szCs w:val="28"/>
              </w:rPr>
            </w:pPr>
            <w:r>
              <w:rPr>
                <w:rFonts w:ascii="宋体" w:hAnsi="宋体" w:eastAsia="宋体"/>
                <w:sz w:val="28"/>
                <w:szCs w:val="28"/>
              </w:rPr>
              <w:t>备注</w:t>
            </w:r>
          </w:p>
        </w:tc>
        <w:tc>
          <w:tcPr>
            <w:tcW w:w="8426" w:type="dxa"/>
            <w:gridSpan w:val="3"/>
            <w:vAlign w:val="center"/>
          </w:tcPr>
          <w:p>
            <w:pPr>
              <w:spacing w:line="560" w:lineRule="exact"/>
              <w:jc w:val="both"/>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w:t>
            </w:r>
            <w:r>
              <w:rPr>
                <w:rFonts w:ascii="宋体" w:hAnsi="宋体" w:eastAsia="宋体"/>
                <w:sz w:val="28"/>
                <w:szCs w:val="28"/>
              </w:rPr>
              <w:t>对第三章中的商务要求做出响应。。</w:t>
            </w:r>
          </w:p>
          <w:p>
            <w:pPr>
              <w:spacing w:line="560" w:lineRule="exact"/>
              <w:jc w:val="both"/>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w:t>
            </w:r>
            <w:r>
              <w:rPr>
                <w:rFonts w:ascii="宋体" w:hAnsi="宋体" w:eastAsia="宋体"/>
                <w:sz w:val="28"/>
                <w:szCs w:val="28"/>
              </w:rPr>
              <w:t>响应说明按实际响</w:t>
            </w:r>
            <w:r>
              <w:rPr>
                <w:rFonts w:hint="eastAsia" w:ascii="宋体" w:hAnsi="宋体" w:eastAsia="宋体"/>
                <w:sz w:val="28"/>
                <w:szCs w:val="28"/>
              </w:rPr>
              <w:t xml:space="preserve"> </w:t>
            </w:r>
            <w:r>
              <w:rPr>
                <w:rFonts w:ascii="宋体" w:hAnsi="宋体" w:eastAsia="宋体"/>
                <w:sz w:val="28"/>
                <w:szCs w:val="28"/>
              </w:rPr>
              <w:t>应情况填写“优于”、“</w:t>
            </w:r>
            <w:r>
              <w:rPr>
                <w:rFonts w:hint="eastAsia" w:ascii="宋体" w:hAnsi="宋体" w:eastAsia="宋体"/>
                <w:sz w:val="28"/>
                <w:szCs w:val="28"/>
              </w:rPr>
              <w:t>响应</w:t>
            </w:r>
            <w:r>
              <w:rPr>
                <w:rFonts w:ascii="宋体" w:hAnsi="宋体" w:eastAsia="宋体"/>
                <w:sz w:val="28"/>
                <w:szCs w:val="28"/>
              </w:rPr>
              <w:t>”、“</w:t>
            </w:r>
            <w:r>
              <w:rPr>
                <w:rFonts w:hint="eastAsia" w:ascii="宋体" w:hAnsi="宋体" w:eastAsia="宋体"/>
                <w:sz w:val="28"/>
                <w:szCs w:val="28"/>
              </w:rPr>
              <w:t>不响应</w:t>
            </w:r>
            <w:r>
              <w:rPr>
                <w:rFonts w:ascii="宋体" w:hAnsi="宋体" w:eastAsia="宋体"/>
                <w:sz w:val="28"/>
                <w:szCs w:val="28"/>
              </w:rPr>
              <w:t>”。</w:t>
            </w:r>
          </w:p>
          <w:p>
            <w:pPr>
              <w:spacing w:line="560" w:lineRule="exact"/>
              <w:jc w:val="both"/>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．“响应索引”单元格中注明引用位置，如“见商务响应方案4</w:t>
            </w:r>
            <w:r>
              <w:rPr>
                <w:rFonts w:ascii="宋体" w:hAnsi="宋体" w:eastAsia="宋体"/>
                <w:sz w:val="28"/>
                <w:szCs w:val="28"/>
              </w:rPr>
              <w:t>.1.1</w:t>
            </w:r>
            <w:r>
              <w:rPr>
                <w:rFonts w:hint="eastAsia" w:ascii="宋体" w:hAnsi="宋体" w:eastAsia="宋体"/>
                <w:sz w:val="28"/>
                <w:szCs w:val="28"/>
              </w:rPr>
              <w:t>”。</w:t>
            </w:r>
          </w:p>
        </w:tc>
      </w:tr>
    </w:tbl>
    <w:p>
      <w:pPr>
        <w:spacing w:line="560" w:lineRule="exact"/>
        <w:ind w:firstLine="3222" w:firstLineChars="1151"/>
        <w:jc w:val="both"/>
        <w:rPr>
          <w:rFonts w:ascii="宋体" w:hAnsi="宋体" w:eastAsia="宋体"/>
          <w:sz w:val="28"/>
          <w:szCs w:val="28"/>
        </w:rPr>
      </w:pPr>
      <w:r>
        <w:rPr>
          <w:rFonts w:ascii="宋体" w:hAnsi="宋体" w:eastAsia="宋体"/>
          <w:sz w:val="28"/>
          <w:szCs w:val="28"/>
        </w:rPr>
        <w:t>供应商：（供应商全称并加盖公章）</w:t>
      </w:r>
    </w:p>
    <w:p>
      <w:pPr>
        <w:spacing w:line="560" w:lineRule="exact"/>
        <w:ind w:firstLine="560" w:firstLineChars="200"/>
        <w:jc w:val="both"/>
        <w:rPr>
          <w:rFonts w:ascii="宋体" w:hAnsi="宋体" w:eastAsia="宋体"/>
          <w:sz w:val="28"/>
          <w:szCs w:val="28"/>
        </w:rPr>
      </w:pPr>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r>
        <w:rPr>
          <w:rFonts w:ascii="宋体" w:hAnsi="宋体" w:eastAsia="宋体"/>
          <w:sz w:val="32"/>
          <w:szCs w:val="32"/>
        </w:rPr>
        <w:br w:type="page"/>
      </w:r>
    </w:p>
    <w:p>
      <w:pPr>
        <w:pStyle w:val="108"/>
        <w:spacing w:before="210" w:after="210"/>
        <w:rPr>
          <w:rFonts w:ascii="宋体" w:hAnsi="宋体" w:eastAsia="宋体"/>
        </w:rPr>
      </w:pPr>
      <w:bookmarkStart w:id="163" w:name="_Toc120104001"/>
      <w:r>
        <w:rPr>
          <w:rFonts w:ascii="宋体" w:hAnsi="宋体" w:eastAsia="宋体"/>
        </w:rPr>
        <w:t>（三）合同条款响应</w:t>
      </w:r>
      <w:bookmarkEnd w:id="163"/>
    </w:p>
    <w:tbl>
      <w:tblPr>
        <w:tblStyle w:val="39"/>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88"/>
        <w:gridCol w:w="1549"/>
        <w:gridCol w:w="2517"/>
        <w:gridCol w:w="2532"/>
        <w:gridCol w:w="128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sz w:val="28"/>
                <w:szCs w:val="28"/>
              </w:rPr>
            </w:pPr>
            <w:r>
              <w:rPr>
                <w:rFonts w:ascii="宋体" w:hAnsi="宋体" w:eastAsia="宋体"/>
                <w:sz w:val="28"/>
                <w:szCs w:val="28"/>
              </w:rPr>
              <w:t>序号</w:t>
            </w:r>
          </w:p>
        </w:tc>
        <w:tc>
          <w:tcPr>
            <w:tcW w:w="1549"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sz w:val="28"/>
                <w:szCs w:val="28"/>
              </w:rPr>
            </w:pPr>
            <w:r>
              <w:rPr>
                <w:rFonts w:ascii="宋体" w:hAnsi="宋体" w:eastAsia="宋体"/>
                <w:sz w:val="28"/>
                <w:szCs w:val="28"/>
              </w:rPr>
              <w:t>条款名称</w:t>
            </w:r>
          </w:p>
        </w:tc>
        <w:tc>
          <w:tcPr>
            <w:tcW w:w="2518"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sz w:val="28"/>
                <w:szCs w:val="28"/>
              </w:rPr>
            </w:pPr>
            <w:r>
              <w:rPr>
                <w:rFonts w:ascii="宋体" w:hAnsi="宋体" w:eastAsia="宋体"/>
                <w:sz w:val="28"/>
                <w:szCs w:val="28"/>
              </w:rPr>
              <w:t>招标文件合同条款明细</w:t>
            </w:r>
          </w:p>
        </w:tc>
        <w:tc>
          <w:tcPr>
            <w:tcW w:w="2533"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sz w:val="28"/>
                <w:szCs w:val="28"/>
              </w:rPr>
            </w:pPr>
            <w:r>
              <w:rPr>
                <w:rFonts w:ascii="宋体" w:hAnsi="宋体" w:eastAsia="宋体"/>
                <w:sz w:val="28"/>
                <w:szCs w:val="28"/>
              </w:rPr>
              <w:t>投标文件合同条款响应</w:t>
            </w:r>
          </w:p>
        </w:tc>
        <w:tc>
          <w:tcPr>
            <w:tcW w:w="1282" w:type="dxa"/>
            <w:tcBorders>
              <w:top w:val="single" w:color="auto" w:sz="12" w:space="0"/>
              <w:bottom w:val="single" w:color="auto" w:sz="2" w:space="0"/>
            </w:tcBorders>
            <w:shd w:val="clear" w:color="auto" w:fill="F1F1F1" w:themeFill="background1" w:themeFillShade="F2"/>
            <w:vAlign w:val="center"/>
          </w:tcPr>
          <w:p>
            <w:pPr>
              <w:jc w:val="center"/>
              <w:rPr>
                <w:rFonts w:ascii="宋体" w:hAnsi="宋体" w:eastAsia="宋体"/>
                <w:sz w:val="28"/>
                <w:szCs w:val="28"/>
              </w:rPr>
            </w:pPr>
            <w:r>
              <w:rPr>
                <w:rFonts w:ascii="宋体" w:hAnsi="宋体" w:eastAsia="宋体"/>
                <w:sz w:val="28"/>
                <w:szCs w:val="28"/>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tcBorders>
              <w:top w:val="single" w:color="auto" w:sz="2" w:space="0"/>
            </w:tcBorders>
            <w:vAlign w:val="center"/>
          </w:tcPr>
          <w:p>
            <w:pPr>
              <w:jc w:val="center"/>
              <w:rPr>
                <w:rFonts w:ascii="宋体" w:hAnsi="宋体" w:eastAsia="宋体"/>
                <w:sz w:val="28"/>
                <w:szCs w:val="28"/>
              </w:rPr>
            </w:pPr>
          </w:p>
        </w:tc>
        <w:tc>
          <w:tcPr>
            <w:tcW w:w="1549" w:type="dxa"/>
            <w:tcBorders>
              <w:top w:val="single" w:color="auto" w:sz="2" w:space="0"/>
            </w:tcBorders>
            <w:vAlign w:val="center"/>
          </w:tcPr>
          <w:p>
            <w:pPr>
              <w:jc w:val="center"/>
              <w:rPr>
                <w:rFonts w:ascii="宋体" w:hAnsi="宋体" w:eastAsia="宋体"/>
                <w:sz w:val="28"/>
                <w:szCs w:val="28"/>
              </w:rPr>
            </w:pPr>
          </w:p>
        </w:tc>
        <w:tc>
          <w:tcPr>
            <w:tcW w:w="2518" w:type="dxa"/>
            <w:tcBorders>
              <w:top w:val="single" w:color="auto" w:sz="2" w:space="0"/>
            </w:tcBorders>
            <w:vAlign w:val="center"/>
          </w:tcPr>
          <w:p>
            <w:pPr>
              <w:jc w:val="center"/>
              <w:rPr>
                <w:rFonts w:ascii="宋体" w:hAnsi="宋体" w:eastAsia="宋体"/>
                <w:sz w:val="28"/>
                <w:szCs w:val="28"/>
              </w:rPr>
            </w:pPr>
          </w:p>
        </w:tc>
        <w:tc>
          <w:tcPr>
            <w:tcW w:w="2533" w:type="dxa"/>
            <w:tcBorders>
              <w:top w:val="single" w:color="auto" w:sz="2" w:space="0"/>
            </w:tcBorders>
            <w:vAlign w:val="center"/>
          </w:tcPr>
          <w:p>
            <w:pPr>
              <w:jc w:val="center"/>
              <w:rPr>
                <w:rFonts w:ascii="宋体" w:hAnsi="宋体" w:eastAsia="宋体"/>
                <w:sz w:val="28"/>
                <w:szCs w:val="28"/>
              </w:rPr>
            </w:pPr>
          </w:p>
        </w:tc>
        <w:tc>
          <w:tcPr>
            <w:tcW w:w="1282" w:type="dxa"/>
            <w:tcBorders>
              <w:top w:val="single" w:color="auto" w:sz="2" w:space="0"/>
            </w:tcBorders>
            <w:vAlign w:val="center"/>
          </w:tcPr>
          <w:p>
            <w:pPr>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宋体" w:hAnsi="宋体" w:eastAsia="宋体"/>
                <w:sz w:val="28"/>
                <w:szCs w:val="28"/>
              </w:rPr>
            </w:pPr>
          </w:p>
        </w:tc>
        <w:tc>
          <w:tcPr>
            <w:tcW w:w="1549" w:type="dxa"/>
            <w:vAlign w:val="center"/>
          </w:tcPr>
          <w:p>
            <w:pPr>
              <w:jc w:val="center"/>
              <w:rPr>
                <w:rFonts w:ascii="宋体" w:hAnsi="宋体" w:eastAsia="宋体"/>
                <w:sz w:val="28"/>
                <w:szCs w:val="28"/>
              </w:rPr>
            </w:pPr>
          </w:p>
        </w:tc>
        <w:tc>
          <w:tcPr>
            <w:tcW w:w="2518" w:type="dxa"/>
            <w:vAlign w:val="center"/>
          </w:tcPr>
          <w:p>
            <w:pPr>
              <w:jc w:val="center"/>
              <w:rPr>
                <w:rFonts w:ascii="宋体" w:hAnsi="宋体" w:eastAsia="宋体"/>
                <w:sz w:val="28"/>
                <w:szCs w:val="28"/>
              </w:rPr>
            </w:pPr>
          </w:p>
        </w:tc>
        <w:tc>
          <w:tcPr>
            <w:tcW w:w="2533" w:type="dxa"/>
            <w:vAlign w:val="center"/>
          </w:tcPr>
          <w:p>
            <w:pPr>
              <w:jc w:val="center"/>
              <w:rPr>
                <w:rFonts w:ascii="宋体" w:hAnsi="宋体" w:eastAsia="宋体"/>
                <w:sz w:val="28"/>
                <w:szCs w:val="28"/>
              </w:rPr>
            </w:pPr>
          </w:p>
        </w:tc>
        <w:tc>
          <w:tcPr>
            <w:tcW w:w="1282" w:type="dxa"/>
            <w:vAlign w:val="center"/>
          </w:tcPr>
          <w:p>
            <w:pPr>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宋体" w:hAnsi="宋体" w:eastAsia="宋体"/>
                <w:sz w:val="28"/>
                <w:szCs w:val="28"/>
              </w:rPr>
            </w:pPr>
          </w:p>
        </w:tc>
        <w:tc>
          <w:tcPr>
            <w:tcW w:w="1549" w:type="dxa"/>
            <w:vAlign w:val="center"/>
          </w:tcPr>
          <w:p>
            <w:pPr>
              <w:jc w:val="center"/>
              <w:rPr>
                <w:rFonts w:ascii="宋体" w:hAnsi="宋体" w:eastAsia="宋体"/>
                <w:sz w:val="28"/>
                <w:szCs w:val="28"/>
              </w:rPr>
            </w:pPr>
          </w:p>
        </w:tc>
        <w:tc>
          <w:tcPr>
            <w:tcW w:w="2518" w:type="dxa"/>
            <w:vAlign w:val="center"/>
          </w:tcPr>
          <w:p>
            <w:pPr>
              <w:jc w:val="center"/>
              <w:rPr>
                <w:rFonts w:ascii="宋体" w:hAnsi="宋体" w:eastAsia="宋体"/>
                <w:sz w:val="28"/>
                <w:szCs w:val="28"/>
              </w:rPr>
            </w:pPr>
          </w:p>
        </w:tc>
        <w:tc>
          <w:tcPr>
            <w:tcW w:w="2533" w:type="dxa"/>
            <w:vAlign w:val="center"/>
          </w:tcPr>
          <w:p>
            <w:pPr>
              <w:jc w:val="center"/>
              <w:rPr>
                <w:rFonts w:ascii="宋体" w:hAnsi="宋体" w:eastAsia="宋体"/>
                <w:sz w:val="28"/>
                <w:szCs w:val="28"/>
              </w:rPr>
            </w:pPr>
          </w:p>
        </w:tc>
        <w:tc>
          <w:tcPr>
            <w:tcW w:w="1282" w:type="dxa"/>
            <w:vAlign w:val="center"/>
          </w:tcPr>
          <w:p>
            <w:pPr>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宋体" w:hAnsi="宋体" w:eastAsia="宋体"/>
                <w:sz w:val="28"/>
                <w:szCs w:val="28"/>
              </w:rPr>
            </w:pPr>
          </w:p>
        </w:tc>
        <w:tc>
          <w:tcPr>
            <w:tcW w:w="1549" w:type="dxa"/>
            <w:vAlign w:val="center"/>
          </w:tcPr>
          <w:p>
            <w:pPr>
              <w:jc w:val="center"/>
              <w:rPr>
                <w:rFonts w:ascii="宋体" w:hAnsi="宋体" w:eastAsia="宋体"/>
                <w:sz w:val="28"/>
                <w:szCs w:val="28"/>
              </w:rPr>
            </w:pPr>
          </w:p>
        </w:tc>
        <w:tc>
          <w:tcPr>
            <w:tcW w:w="2518" w:type="dxa"/>
            <w:vAlign w:val="center"/>
          </w:tcPr>
          <w:p>
            <w:pPr>
              <w:jc w:val="center"/>
              <w:rPr>
                <w:rFonts w:ascii="宋体" w:hAnsi="宋体" w:eastAsia="宋体"/>
                <w:sz w:val="28"/>
                <w:szCs w:val="28"/>
              </w:rPr>
            </w:pPr>
          </w:p>
        </w:tc>
        <w:tc>
          <w:tcPr>
            <w:tcW w:w="2533" w:type="dxa"/>
            <w:vAlign w:val="center"/>
          </w:tcPr>
          <w:p>
            <w:pPr>
              <w:jc w:val="center"/>
              <w:rPr>
                <w:rFonts w:ascii="宋体" w:hAnsi="宋体" w:eastAsia="宋体"/>
                <w:sz w:val="28"/>
                <w:szCs w:val="28"/>
              </w:rPr>
            </w:pPr>
          </w:p>
        </w:tc>
        <w:tc>
          <w:tcPr>
            <w:tcW w:w="1282" w:type="dxa"/>
            <w:vAlign w:val="center"/>
          </w:tcPr>
          <w:p>
            <w:pPr>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宋体" w:hAnsi="宋体" w:eastAsia="宋体"/>
                <w:sz w:val="28"/>
                <w:szCs w:val="28"/>
              </w:rPr>
            </w:pPr>
          </w:p>
        </w:tc>
        <w:tc>
          <w:tcPr>
            <w:tcW w:w="1549" w:type="dxa"/>
            <w:vAlign w:val="center"/>
          </w:tcPr>
          <w:p>
            <w:pPr>
              <w:jc w:val="center"/>
              <w:rPr>
                <w:rFonts w:ascii="宋体" w:hAnsi="宋体" w:eastAsia="宋体"/>
                <w:sz w:val="28"/>
                <w:szCs w:val="28"/>
              </w:rPr>
            </w:pPr>
          </w:p>
        </w:tc>
        <w:tc>
          <w:tcPr>
            <w:tcW w:w="2518" w:type="dxa"/>
            <w:vAlign w:val="center"/>
          </w:tcPr>
          <w:p>
            <w:pPr>
              <w:jc w:val="center"/>
              <w:rPr>
                <w:rFonts w:ascii="宋体" w:hAnsi="宋体" w:eastAsia="宋体"/>
                <w:sz w:val="28"/>
                <w:szCs w:val="28"/>
              </w:rPr>
            </w:pPr>
          </w:p>
        </w:tc>
        <w:tc>
          <w:tcPr>
            <w:tcW w:w="2533" w:type="dxa"/>
            <w:vAlign w:val="center"/>
          </w:tcPr>
          <w:p>
            <w:pPr>
              <w:jc w:val="center"/>
              <w:rPr>
                <w:rFonts w:ascii="宋体" w:hAnsi="宋体" w:eastAsia="宋体"/>
                <w:sz w:val="28"/>
                <w:szCs w:val="28"/>
              </w:rPr>
            </w:pPr>
          </w:p>
        </w:tc>
        <w:tc>
          <w:tcPr>
            <w:tcW w:w="1282" w:type="dxa"/>
            <w:vAlign w:val="center"/>
          </w:tcPr>
          <w:p>
            <w:pPr>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宋体" w:hAnsi="宋体" w:eastAsia="宋体"/>
                <w:sz w:val="28"/>
                <w:szCs w:val="28"/>
              </w:rPr>
            </w:pPr>
          </w:p>
        </w:tc>
        <w:tc>
          <w:tcPr>
            <w:tcW w:w="1549" w:type="dxa"/>
            <w:vAlign w:val="center"/>
          </w:tcPr>
          <w:p>
            <w:pPr>
              <w:jc w:val="center"/>
              <w:rPr>
                <w:rFonts w:ascii="宋体" w:hAnsi="宋体" w:eastAsia="宋体"/>
                <w:sz w:val="28"/>
                <w:szCs w:val="28"/>
              </w:rPr>
            </w:pPr>
          </w:p>
        </w:tc>
        <w:tc>
          <w:tcPr>
            <w:tcW w:w="2518" w:type="dxa"/>
            <w:vAlign w:val="center"/>
          </w:tcPr>
          <w:p>
            <w:pPr>
              <w:jc w:val="center"/>
              <w:rPr>
                <w:rFonts w:ascii="宋体" w:hAnsi="宋体" w:eastAsia="宋体"/>
                <w:sz w:val="28"/>
                <w:szCs w:val="28"/>
              </w:rPr>
            </w:pPr>
          </w:p>
        </w:tc>
        <w:tc>
          <w:tcPr>
            <w:tcW w:w="2533" w:type="dxa"/>
            <w:vAlign w:val="center"/>
          </w:tcPr>
          <w:p>
            <w:pPr>
              <w:jc w:val="center"/>
              <w:rPr>
                <w:rFonts w:ascii="宋体" w:hAnsi="宋体" w:eastAsia="宋体"/>
                <w:sz w:val="28"/>
                <w:szCs w:val="28"/>
              </w:rPr>
            </w:pPr>
          </w:p>
        </w:tc>
        <w:tc>
          <w:tcPr>
            <w:tcW w:w="1282" w:type="dxa"/>
            <w:vAlign w:val="center"/>
          </w:tcPr>
          <w:p>
            <w:pPr>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宋体" w:hAnsi="宋体" w:eastAsia="宋体"/>
                <w:sz w:val="28"/>
                <w:szCs w:val="28"/>
              </w:rPr>
            </w:pPr>
          </w:p>
        </w:tc>
        <w:tc>
          <w:tcPr>
            <w:tcW w:w="1549" w:type="dxa"/>
            <w:vAlign w:val="center"/>
          </w:tcPr>
          <w:p>
            <w:pPr>
              <w:jc w:val="center"/>
              <w:rPr>
                <w:rFonts w:ascii="宋体" w:hAnsi="宋体" w:eastAsia="宋体"/>
                <w:sz w:val="28"/>
                <w:szCs w:val="28"/>
              </w:rPr>
            </w:pPr>
          </w:p>
        </w:tc>
        <w:tc>
          <w:tcPr>
            <w:tcW w:w="2518" w:type="dxa"/>
            <w:vAlign w:val="center"/>
          </w:tcPr>
          <w:p>
            <w:pPr>
              <w:jc w:val="center"/>
              <w:rPr>
                <w:rFonts w:ascii="宋体" w:hAnsi="宋体" w:eastAsia="宋体"/>
                <w:sz w:val="28"/>
                <w:szCs w:val="28"/>
              </w:rPr>
            </w:pPr>
          </w:p>
        </w:tc>
        <w:tc>
          <w:tcPr>
            <w:tcW w:w="2533" w:type="dxa"/>
            <w:vAlign w:val="center"/>
          </w:tcPr>
          <w:p>
            <w:pPr>
              <w:jc w:val="center"/>
              <w:rPr>
                <w:rFonts w:ascii="宋体" w:hAnsi="宋体" w:eastAsia="宋体"/>
                <w:sz w:val="28"/>
                <w:szCs w:val="28"/>
              </w:rPr>
            </w:pPr>
          </w:p>
        </w:tc>
        <w:tc>
          <w:tcPr>
            <w:tcW w:w="1282" w:type="dxa"/>
            <w:vAlign w:val="center"/>
          </w:tcPr>
          <w:p>
            <w:pPr>
              <w:jc w:val="center"/>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ascii="宋体" w:hAnsi="宋体" w:eastAsia="宋体"/>
                <w:sz w:val="28"/>
                <w:szCs w:val="28"/>
              </w:rPr>
            </w:pPr>
            <w:r>
              <w:rPr>
                <w:rFonts w:ascii="宋体" w:hAnsi="宋体" w:eastAsia="宋体"/>
                <w:sz w:val="28"/>
                <w:szCs w:val="28"/>
              </w:rPr>
              <w:t>备注</w:t>
            </w:r>
          </w:p>
        </w:tc>
        <w:tc>
          <w:tcPr>
            <w:tcW w:w="7882" w:type="dxa"/>
            <w:gridSpan w:val="4"/>
            <w:vAlign w:val="center"/>
          </w:tcPr>
          <w:p>
            <w:pPr>
              <w:jc w:val="both"/>
              <w:rPr>
                <w:rFonts w:ascii="宋体" w:hAnsi="宋体" w:eastAsia="宋体"/>
                <w:sz w:val="28"/>
                <w:szCs w:val="28"/>
              </w:rPr>
            </w:pPr>
            <w:r>
              <w:rPr>
                <w:rFonts w:hint="eastAsia" w:ascii="宋体" w:hAnsi="宋体" w:eastAsia="宋体"/>
                <w:sz w:val="28"/>
                <w:szCs w:val="28"/>
              </w:rPr>
              <w:t>1．“完全接受”的条款无需在本表中列出，按表下方所做“声明”执行；对于需要供应商填报的内容，以及“不能接受”或“有条件接受”的条款，则应写明该条款名称及条款明细、以及供应商所能接受的条件。</w:t>
            </w:r>
          </w:p>
          <w:p>
            <w:pPr>
              <w:jc w:val="both"/>
              <w:rPr>
                <w:rFonts w:ascii="宋体" w:hAnsi="宋体" w:eastAsia="宋体"/>
                <w:sz w:val="28"/>
                <w:szCs w:val="28"/>
              </w:rPr>
            </w:pPr>
            <w:r>
              <w:rPr>
                <w:rFonts w:hint="eastAsia" w:ascii="宋体" w:hAnsi="宋体" w:eastAsia="宋体"/>
                <w:sz w:val="28"/>
                <w:szCs w:val="28"/>
              </w:rPr>
              <w:t>2．根据《政府采购货物和服务招标投标管理办法》（财政部87号令）第六十三条，若投标文件含有采购人不能接受的附加条件的，投标无效。</w:t>
            </w:r>
          </w:p>
          <w:p>
            <w:pPr>
              <w:jc w:val="both"/>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．因表格空间因有限，不足以容纳响应内容时，允许在表后进行响应，但须在表中注明引用位置，如“见本表下方3</w:t>
            </w:r>
            <w:r>
              <w:rPr>
                <w:rFonts w:ascii="宋体" w:hAnsi="宋体" w:eastAsia="宋体"/>
                <w:sz w:val="28"/>
                <w:szCs w:val="28"/>
              </w:rPr>
              <w:t>.1.1</w:t>
            </w:r>
            <w:r>
              <w:rPr>
                <w:rFonts w:hint="eastAsia" w:ascii="宋体" w:hAnsi="宋体" w:eastAsia="宋体"/>
                <w:sz w:val="28"/>
                <w:szCs w:val="28"/>
              </w:rPr>
              <w:t>”。</w:t>
            </w:r>
          </w:p>
        </w:tc>
      </w:tr>
    </w:tbl>
    <w:p>
      <w:pPr>
        <w:spacing w:line="560" w:lineRule="exact"/>
        <w:ind w:firstLine="560" w:firstLineChars="200"/>
        <w:jc w:val="both"/>
        <w:rPr>
          <w:rFonts w:ascii="宋体" w:hAnsi="宋体" w:eastAsia="宋体"/>
          <w:sz w:val="28"/>
          <w:szCs w:val="28"/>
        </w:rPr>
      </w:pPr>
      <w:r>
        <w:rPr>
          <w:rFonts w:hint="eastAsia" w:ascii="宋体" w:hAnsi="宋体" w:eastAsia="宋体"/>
          <w:sz w:val="28"/>
          <w:szCs w:val="28"/>
        </w:rPr>
        <w:t>声明：除上表所列的合同条款外，招标文件中的其他合同条款我方均完全接受。</w:t>
      </w:r>
    </w:p>
    <w:p>
      <w:pPr>
        <w:spacing w:line="560" w:lineRule="exact"/>
        <w:ind w:firstLine="560" w:firstLineChars="200"/>
        <w:jc w:val="both"/>
        <w:rPr>
          <w:rFonts w:ascii="宋体" w:hAnsi="宋体" w:eastAsia="宋体"/>
          <w:sz w:val="32"/>
          <w:szCs w:val="32"/>
        </w:rPr>
      </w:pPr>
      <w:r>
        <w:rPr>
          <w:rFonts w:ascii="宋体" w:hAnsi="宋体" w:eastAsia="宋体"/>
          <w:sz w:val="28"/>
          <w:szCs w:val="28"/>
        </w:rPr>
        <w:t>供应商：（供应商全称并加盖公章）</w:t>
      </w:r>
      <w:r>
        <w:rPr>
          <w:rFonts w:ascii="宋体" w:hAnsi="宋体" w:eastAsia="宋体"/>
          <w:sz w:val="32"/>
          <w:szCs w:val="32"/>
        </w:rPr>
        <w:br w:type="page"/>
      </w:r>
    </w:p>
    <w:p>
      <w:pPr>
        <w:pStyle w:val="108"/>
        <w:spacing w:before="210" w:after="210"/>
        <w:rPr>
          <w:rFonts w:ascii="宋体" w:hAnsi="宋体" w:eastAsia="宋体"/>
        </w:rPr>
      </w:pPr>
      <w:bookmarkStart w:id="164" w:name="_Toc120104002"/>
      <w:r>
        <w:rPr>
          <w:rFonts w:hint="eastAsia" w:ascii="宋体" w:hAnsi="宋体" w:eastAsia="宋体"/>
        </w:rPr>
        <w:t>（四）其他需要供应商提供的材料</w:t>
      </w:r>
      <w:bookmarkEnd w:id="164"/>
    </w:p>
    <w:p>
      <w:pPr>
        <w:spacing w:line="560" w:lineRule="exact"/>
        <w:ind w:firstLine="640" w:firstLineChars="200"/>
        <w:jc w:val="both"/>
        <w:rPr>
          <w:rFonts w:ascii="宋体" w:hAnsi="宋体" w:eastAsia="宋体"/>
          <w:sz w:val="32"/>
          <w:szCs w:val="32"/>
        </w:rPr>
      </w:pPr>
      <w:r>
        <w:rPr>
          <w:rFonts w:hint="eastAsia" w:ascii="宋体" w:hAnsi="宋体" w:eastAsia="宋体"/>
          <w:sz w:val="32"/>
          <w:szCs w:val="32"/>
        </w:rPr>
        <w:t>1．</w:t>
      </w:r>
      <w:r>
        <w:rPr>
          <w:rFonts w:ascii="宋体" w:hAnsi="宋体" w:eastAsia="宋体"/>
          <w:sz w:val="32"/>
          <w:szCs w:val="32"/>
        </w:rPr>
        <w:t>项目实施人员情况表</w:t>
      </w:r>
    </w:p>
    <w:tbl>
      <w:tblPr>
        <w:tblStyle w:val="39"/>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938"/>
        <w:gridCol w:w="1217"/>
        <w:gridCol w:w="23"/>
        <w:gridCol w:w="1315"/>
        <w:gridCol w:w="17"/>
        <w:gridCol w:w="6"/>
        <w:gridCol w:w="1524"/>
        <w:gridCol w:w="1677"/>
        <w:gridCol w:w="40"/>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85" w:type="dxa"/>
            <w:gridSpan w:val="11"/>
            <w:tcBorders>
              <w:top w:val="single" w:color="auto" w:sz="12"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ascii="宋体" w:hAnsi="宋体" w:eastAsia="宋体"/>
                <w:sz w:val="28"/>
                <w:szCs w:val="28"/>
              </w:rPr>
            </w:pPr>
            <w:r>
              <w:rPr>
                <w:rFonts w:ascii="宋体" w:hAnsi="宋体" w:eastAsia="宋体"/>
                <w:sz w:val="28"/>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宋体" w:hAnsi="宋体" w:eastAsia="宋体"/>
                <w:sz w:val="28"/>
                <w:szCs w:val="28"/>
              </w:rPr>
            </w:pPr>
            <w:r>
              <w:rPr>
                <w:rFonts w:ascii="宋体" w:hAnsi="宋体" w:eastAsia="宋体"/>
                <w:sz w:val="28"/>
                <w:szCs w:val="28"/>
              </w:rPr>
              <w:t>姓名</w:t>
            </w:r>
          </w:p>
        </w:tc>
        <w:tc>
          <w:tcPr>
            <w:tcW w:w="969" w:type="dxa"/>
            <w:tcBorders>
              <w:left w:val="single" w:color="auto" w:sz="6" w:space="0"/>
            </w:tcBorders>
            <w:vAlign w:val="center"/>
          </w:tcPr>
          <w:p>
            <w:pPr>
              <w:jc w:val="both"/>
              <w:rPr>
                <w:rFonts w:ascii="宋体" w:hAnsi="宋体" w:eastAsia="宋体"/>
                <w:sz w:val="28"/>
                <w:szCs w:val="28"/>
              </w:rPr>
            </w:pPr>
            <w:r>
              <w:rPr>
                <w:rFonts w:ascii="宋体" w:hAnsi="宋体" w:eastAsia="宋体"/>
                <w:sz w:val="28"/>
                <w:szCs w:val="28"/>
              </w:rPr>
              <w:t>年龄</w:t>
            </w:r>
          </w:p>
        </w:tc>
        <w:tc>
          <w:tcPr>
            <w:tcW w:w="1260" w:type="dxa"/>
            <w:vAlign w:val="center"/>
          </w:tcPr>
          <w:p>
            <w:pPr>
              <w:jc w:val="both"/>
              <w:rPr>
                <w:rFonts w:ascii="宋体" w:hAnsi="宋体" w:eastAsia="宋体"/>
                <w:sz w:val="28"/>
                <w:szCs w:val="28"/>
              </w:rPr>
            </w:pPr>
            <w:r>
              <w:rPr>
                <w:rFonts w:ascii="宋体" w:hAnsi="宋体" w:eastAsia="宋体"/>
                <w:sz w:val="28"/>
                <w:szCs w:val="28"/>
              </w:rPr>
              <w:t>资格</w:t>
            </w:r>
          </w:p>
        </w:tc>
        <w:tc>
          <w:tcPr>
            <w:tcW w:w="1387" w:type="dxa"/>
            <w:gridSpan w:val="2"/>
            <w:vAlign w:val="center"/>
          </w:tcPr>
          <w:p>
            <w:pPr>
              <w:jc w:val="both"/>
              <w:rPr>
                <w:rFonts w:ascii="宋体" w:hAnsi="宋体" w:eastAsia="宋体"/>
                <w:sz w:val="28"/>
                <w:szCs w:val="28"/>
              </w:rPr>
            </w:pPr>
            <w:r>
              <w:rPr>
                <w:rFonts w:ascii="宋体" w:hAnsi="宋体" w:eastAsia="宋体"/>
                <w:sz w:val="28"/>
                <w:szCs w:val="28"/>
              </w:rPr>
              <w:t>职称</w:t>
            </w:r>
          </w:p>
        </w:tc>
        <w:tc>
          <w:tcPr>
            <w:tcW w:w="1604" w:type="dxa"/>
            <w:gridSpan w:val="3"/>
            <w:vAlign w:val="center"/>
          </w:tcPr>
          <w:p>
            <w:pPr>
              <w:jc w:val="both"/>
              <w:rPr>
                <w:rFonts w:ascii="宋体" w:hAnsi="宋体" w:eastAsia="宋体"/>
                <w:sz w:val="28"/>
                <w:szCs w:val="28"/>
              </w:rPr>
            </w:pPr>
            <w:r>
              <w:rPr>
                <w:rFonts w:ascii="宋体" w:hAnsi="宋体" w:eastAsia="宋体"/>
                <w:sz w:val="28"/>
                <w:szCs w:val="28"/>
              </w:rPr>
              <w:t>在本行业从业工作年限</w:t>
            </w:r>
          </w:p>
        </w:tc>
        <w:tc>
          <w:tcPr>
            <w:tcW w:w="1740" w:type="dxa"/>
            <w:tcBorders>
              <w:right w:val="single" w:color="auto" w:sz="2" w:space="0"/>
            </w:tcBorders>
            <w:vAlign w:val="center"/>
          </w:tcPr>
          <w:p>
            <w:pPr>
              <w:jc w:val="both"/>
              <w:rPr>
                <w:rFonts w:ascii="宋体" w:hAnsi="宋体" w:eastAsia="宋体"/>
                <w:sz w:val="28"/>
                <w:szCs w:val="28"/>
              </w:rPr>
            </w:pPr>
            <w:r>
              <w:rPr>
                <w:rFonts w:ascii="宋体" w:hAnsi="宋体" w:eastAsia="宋体"/>
                <w:sz w:val="28"/>
                <w:szCs w:val="28"/>
              </w:rPr>
              <w:t>主要工作</w:t>
            </w:r>
          </w:p>
          <w:p>
            <w:pPr>
              <w:jc w:val="both"/>
              <w:rPr>
                <w:rFonts w:ascii="宋体" w:hAnsi="宋体" w:eastAsia="宋体"/>
                <w:sz w:val="28"/>
                <w:szCs w:val="28"/>
              </w:rPr>
            </w:pPr>
            <w:r>
              <w:rPr>
                <w:rFonts w:ascii="宋体" w:hAnsi="宋体" w:eastAsia="宋体"/>
                <w:sz w:val="28"/>
                <w:szCs w:val="28"/>
              </w:rPr>
              <w:t>业绩和经历</w:t>
            </w:r>
          </w:p>
        </w:tc>
        <w:tc>
          <w:tcPr>
            <w:tcW w:w="1091" w:type="dxa"/>
            <w:gridSpan w:val="2"/>
            <w:tcBorders>
              <w:left w:val="single" w:color="auto" w:sz="2" w:space="0"/>
              <w:right w:val="single" w:color="auto" w:sz="12" w:space="0"/>
            </w:tcBorders>
            <w:vAlign w:val="center"/>
          </w:tcPr>
          <w:p>
            <w:pPr>
              <w:jc w:val="both"/>
              <w:rPr>
                <w:rFonts w:ascii="宋体" w:hAnsi="宋体" w:eastAsia="宋体"/>
                <w:sz w:val="28"/>
                <w:szCs w:val="28"/>
              </w:rPr>
            </w:pPr>
            <w:r>
              <w:rPr>
                <w:rFonts w:ascii="宋体" w:hAnsi="宋体" w:eastAsia="宋体"/>
                <w:sz w:val="28"/>
                <w:szCs w:val="28"/>
              </w:rPr>
              <w:t>拟派</w:t>
            </w:r>
          </w:p>
          <w:p>
            <w:pPr>
              <w:jc w:val="both"/>
              <w:rPr>
                <w:rFonts w:ascii="宋体" w:hAnsi="宋体" w:eastAsia="宋体"/>
                <w:sz w:val="28"/>
                <w:szCs w:val="28"/>
              </w:rPr>
            </w:pPr>
            <w:r>
              <w:rPr>
                <w:rFonts w:ascii="宋体" w:hAnsi="宋体" w:eastAsia="宋体"/>
                <w:sz w:val="28"/>
                <w:szCs w:val="28"/>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宋体" w:hAnsi="宋体" w:eastAsia="宋体"/>
                <w:sz w:val="28"/>
                <w:szCs w:val="28"/>
              </w:rPr>
            </w:pPr>
          </w:p>
        </w:tc>
        <w:tc>
          <w:tcPr>
            <w:tcW w:w="969" w:type="dxa"/>
            <w:tcBorders>
              <w:left w:val="single" w:color="auto" w:sz="6" w:space="0"/>
            </w:tcBorders>
            <w:vAlign w:val="center"/>
          </w:tcPr>
          <w:p>
            <w:pPr>
              <w:jc w:val="both"/>
              <w:rPr>
                <w:rFonts w:ascii="宋体" w:hAnsi="宋体" w:eastAsia="宋体"/>
                <w:sz w:val="28"/>
                <w:szCs w:val="28"/>
              </w:rPr>
            </w:pPr>
          </w:p>
        </w:tc>
        <w:tc>
          <w:tcPr>
            <w:tcW w:w="1260" w:type="dxa"/>
            <w:vAlign w:val="center"/>
          </w:tcPr>
          <w:p>
            <w:pPr>
              <w:jc w:val="both"/>
              <w:rPr>
                <w:rFonts w:ascii="宋体" w:hAnsi="宋体" w:eastAsia="宋体"/>
                <w:sz w:val="28"/>
                <w:szCs w:val="28"/>
              </w:rPr>
            </w:pPr>
          </w:p>
        </w:tc>
        <w:tc>
          <w:tcPr>
            <w:tcW w:w="1387" w:type="dxa"/>
            <w:gridSpan w:val="2"/>
            <w:vAlign w:val="center"/>
          </w:tcPr>
          <w:p>
            <w:pPr>
              <w:jc w:val="both"/>
              <w:rPr>
                <w:rFonts w:ascii="宋体" w:hAnsi="宋体" w:eastAsia="宋体"/>
                <w:sz w:val="28"/>
                <w:szCs w:val="28"/>
              </w:rPr>
            </w:pPr>
          </w:p>
        </w:tc>
        <w:tc>
          <w:tcPr>
            <w:tcW w:w="1604" w:type="dxa"/>
            <w:gridSpan w:val="3"/>
            <w:vAlign w:val="center"/>
          </w:tcPr>
          <w:p>
            <w:pPr>
              <w:jc w:val="both"/>
              <w:rPr>
                <w:rFonts w:ascii="宋体" w:hAnsi="宋体" w:eastAsia="宋体"/>
                <w:sz w:val="28"/>
                <w:szCs w:val="28"/>
              </w:rPr>
            </w:pPr>
          </w:p>
        </w:tc>
        <w:tc>
          <w:tcPr>
            <w:tcW w:w="1740" w:type="dxa"/>
            <w:tcBorders>
              <w:right w:val="single" w:color="auto" w:sz="2" w:space="0"/>
            </w:tcBorders>
            <w:vAlign w:val="center"/>
          </w:tcPr>
          <w:p>
            <w:pPr>
              <w:jc w:val="both"/>
              <w:rPr>
                <w:rFonts w:ascii="宋体" w:hAnsi="宋体" w:eastAsia="宋体"/>
                <w:sz w:val="28"/>
                <w:szCs w:val="28"/>
              </w:rPr>
            </w:pPr>
          </w:p>
        </w:tc>
        <w:tc>
          <w:tcPr>
            <w:tcW w:w="1091" w:type="dxa"/>
            <w:gridSpan w:val="2"/>
            <w:tcBorders>
              <w:left w:val="single" w:color="auto" w:sz="2" w:space="0"/>
              <w:right w:val="single" w:color="auto" w:sz="12" w:space="0"/>
            </w:tcBorders>
            <w:vAlign w:val="center"/>
          </w:tcPr>
          <w:p>
            <w:pPr>
              <w:jc w:val="both"/>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宋体" w:hAnsi="宋体" w:eastAsia="宋体"/>
                <w:sz w:val="28"/>
                <w:szCs w:val="28"/>
              </w:rPr>
            </w:pPr>
          </w:p>
        </w:tc>
        <w:tc>
          <w:tcPr>
            <w:tcW w:w="969" w:type="dxa"/>
            <w:tcBorders>
              <w:left w:val="single" w:color="auto" w:sz="6" w:space="0"/>
            </w:tcBorders>
            <w:vAlign w:val="center"/>
          </w:tcPr>
          <w:p>
            <w:pPr>
              <w:jc w:val="both"/>
              <w:rPr>
                <w:rFonts w:ascii="宋体" w:hAnsi="宋体" w:eastAsia="宋体"/>
                <w:sz w:val="28"/>
                <w:szCs w:val="28"/>
              </w:rPr>
            </w:pPr>
          </w:p>
        </w:tc>
        <w:tc>
          <w:tcPr>
            <w:tcW w:w="1260" w:type="dxa"/>
            <w:vAlign w:val="center"/>
          </w:tcPr>
          <w:p>
            <w:pPr>
              <w:jc w:val="both"/>
              <w:rPr>
                <w:rFonts w:ascii="宋体" w:hAnsi="宋体" w:eastAsia="宋体"/>
                <w:sz w:val="28"/>
                <w:szCs w:val="28"/>
              </w:rPr>
            </w:pPr>
          </w:p>
        </w:tc>
        <w:tc>
          <w:tcPr>
            <w:tcW w:w="1387" w:type="dxa"/>
            <w:gridSpan w:val="2"/>
            <w:vAlign w:val="center"/>
          </w:tcPr>
          <w:p>
            <w:pPr>
              <w:jc w:val="both"/>
              <w:rPr>
                <w:rFonts w:ascii="宋体" w:hAnsi="宋体" w:eastAsia="宋体"/>
                <w:sz w:val="28"/>
                <w:szCs w:val="28"/>
              </w:rPr>
            </w:pPr>
          </w:p>
        </w:tc>
        <w:tc>
          <w:tcPr>
            <w:tcW w:w="1604" w:type="dxa"/>
            <w:gridSpan w:val="3"/>
            <w:vAlign w:val="center"/>
          </w:tcPr>
          <w:p>
            <w:pPr>
              <w:jc w:val="both"/>
              <w:rPr>
                <w:rFonts w:ascii="宋体" w:hAnsi="宋体" w:eastAsia="宋体"/>
                <w:sz w:val="28"/>
                <w:szCs w:val="28"/>
              </w:rPr>
            </w:pPr>
          </w:p>
        </w:tc>
        <w:tc>
          <w:tcPr>
            <w:tcW w:w="1740" w:type="dxa"/>
            <w:tcBorders>
              <w:right w:val="single" w:color="auto" w:sz="2" w:space="0"/>
            </w:tcBorders>
            <w:vAlign w:val="center"/>
          </w:tcPr>
          <w:p>
            <w:pPr>
              <w:jc w:val="both"/>
              <w:rPr>
                <w:rFonts w:ascii="宋体" w:hAnsi="宋体" w:eastAsia="宋体"/>
                <w:sz w:val="28"/>
                <w:szCs w:val="28"/>
              </w:rPr>
            </w:pPr>
          </w:p>
        </w:tc>
        <w:tc>
          <w:tcPr>
            <w:tcW w:w="1091" w:type="dxa"/>
            <w:gridSpan w:val="2"/>
            <w:tcBorders>
              <w:left w:val="single" w:color="auto" w:sz="2" w:space="0"/>
              <w:right w:val="single" w:color="auto" w:sz="12" w:space="0"/>
            </w:tcBorders>
            <w:vAlign w:val="center"/>
          </w:tcPr>
          <w:p>
            <w:pPr>
              <w:jc w:val="both"/>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85"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ascii="宋体" w:hAnsi="宋体" w:eastAsia="宋体"/>
                <w:sz w:val="28"/>
                <w:szCs w:val="28"/>
              </w:rPr>
            </w:pPr>
            <w:r>
              <w:rPr>
                <w:rFonts w:ascii="宋体" w:hAnsi="宋体" w:eastAsia="宋体"/>
                <w:sz w:val="28"/>
                <w:szCs w:val="28"/>
              </w:rPr>
              <w:t>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宋体" w:hAnsi="宋体" w:eastAsia="宋体"/>
                <w:sz w:val="28"/>
                <w:szCs w:val="28"/>
              </w:rPr>
            </w:pPr>
            <w:r>
              <w:rPr>
                <w:rFonts w:ascii="宋体" w:hAnsi="宋体" w:eastAsia="宋体"/>
                <w:sz w:val="28"/>
                <w:szCs w:val="28"/>
              </w:rPr>
              <w:t>姓名</w:t>
            </w:r>
          </w:p>
        </w:tc>
        <w:tc>
          <w:tcPr>
            <w:tcW w:w="969" w:type="dxa"/>
            <w:tcBorders>
              <w:left w:val="single" w:color="auto" w:sz="6" w:space="0"/>
            </w:tcBorders>
            <w:vAlign w:val="center"/>
          </w:tcPr>
          <w:p>
            <w:pPr>
              <w:jc w:val="both"/>
              <w:rPr>
                <w:rFonts w:ascii="宋体" w:hAnsi="宋体" w:eastAsia="宋体"/>
                <w:sz w:val="28"/>
                <w:szCs w:val="28"/>
              </w:rPr>
            </w:pPr>
            <w:r>
              <w:rPr>
                <w:rFonts w:ascii="宋体" w:hAnsi="宋体" w:eastAsia="宋体"/>
                <w:sz w:val="28"/>
                <w:szCs w:val="28"/>
              </w:rPr>
              <w:t>年龄</w:t>
            </w:r>
          </w:p>
        </w:tc>
        <w:tc>
          <w:tcPr>
            <w:tcW w:w="1260" w:type="dxa"/>
            <w:vAlign w:val="center"/>
          </w:tcPr>
          <w:p>
            <w:pPr>
              <w:jc w:val="both"/>
              <w:rPr>
                <w:rFonts w:ascii="宋体" w:hAnsi="宋体" w:eastAsia="宋体"/>
                <w:sz w:val="28"/>
                <w:szCs w:val="28"/>
              </w:rPr>
            </w:pPr>
            <w:r>
              <w:rPr>
                <w:rFonts w:ascii="宋体" w:hAnsi="宋体" w:eastAsia="宋体"/>
                <w:sz w:val="28"/>
                <w:szCs w:val="28"/>
              </w:rPr>
              <w:t>资格</w:t>
            </w:r>
          </w:p>
        </w:tc>
        <w:tc>
          <w:tcPr>
            <w:tcW w:w="1404" w:type="dxa"/>
            <w:gridSpan w:val="3"/>
            <w:vAlign w:val="center"/>
          </w:tcPr>
          <w:p>
            <w:pPr>
              <w:jc w:val="both"/>
              <w:rPr>
                <w:rFonts w:ascii="宋体" w:hAnsi="宋体" w:eastAsia="宋体"/>
                <w:sz w:val="28"/>
                <w:szCs w:val="28"/>
              </w:rPr>
            </w:pPr>
            <w:r>
              <w:rPr>
                <w:rFonts w:ascii="宋体" w:hAnsi="宋体" w:eastAsia="宋体"/>
                <w:sz w:val="28"/>
                <w:szCs w:val="28"/>
              </w:rPr>
              <w:t>职称</w:t>
            </w:r>
          </w:p>
        </w:tc>
        <w:tc>
          <w:tcPr>
            <w:tcW w:w="1587" w:type="dxa"/>
            <w:gridSpan w:val="2"/>
            <w:vAlign w:val="center"/>
          </w:tcPr>
          <w:p>
            <w:pPr>
              <w:jc w:val="both"/>
              <w:rPr>
                <w:rFonts w:ascii="宋体" w:hAnsi="宋体" w:eastAsia="宋体"/>
                <w:sz w:val="28"/>
                <w:szCs w:val="28"/>
              </w:rPr>
            </w:pPr>
            <w:r>
              <w:rPr>
                <w:rFonts w:ascii="宋体" w:hAnsi="宋体" w:eastAsia="宋体"/>
                <w:sz w:val="28"/>
                <w:szCs w:val="28"/>
              </w:rPr>
              <w:t>在本行业从业工作年限</w:t>
            </w:r>
          </w:p>
        </w:tc>
        <w:tc>
          <w:tcPr>
            <w:tcW w:w="1782" w:type="dxa"/>
            <w:gridSpan w:val="2"/>
            <w:vAlign w:val="center"/>
          </w:tcPr>
          <w:p>
            <w:pPr>
              <w:jc w:val="both"/>
              <w:rPr>
                <w:rFonts w:ascii="宋体" w:hAnsi="宋体" w:eastAsia="宋体"/>
                <w:sz w:val="28"/>
                <w:szCs w:val="28"/>
              </w:rPr>
            </w:pPr>
            <w:r>
              <w:rPr>
                <w:rFonts w:ascii="宋体" w:hAnsi="宋体" w:eastAsia="宋体"/>
                <w:sz w:val="28"/>
                <w:szCs w:val="28"/>
              </w:rPr>
              <w:t>主要工作</w:t>
            </w:r>
          </w:p>
          <w:p>
            <w:pPr>
              <w:jc w:val="both"/>
              <w:rPr>
                <w:rFonts w:ascii="宋体" w:hAnsi="宋体" w:eastAsia="宋体"/>
                <w:sz w:val="28"/>
                <w:szCs w:val="28"/>
              </w:rPr>
            </w:pPr>
            <w:r>
              <w:rPr>
                <w:rFonts w:ascii="宋体" w:hAnsi="宋体" w:eastAsia="宋体"/>
                <w:sz w:val="28"/>
                <w:szCs w:val="28"/>
              </w:rPr>
              <w:t>业绩和经历</w:t>
            </w:r>
          </w:p>
        </w:tc>
        <w:tc>
          <w:tcPr>
            <w:tcW w:w="1049" w:type="dxa"/>
            <w:tcBorders>
              <w:right w:val="single" w:color="auto" w:sz="12" w:space="0"/>
            </w:tcBorders>
            <w:vAlign w:val="center"/>
          </w:tcPr>
          <w:p>
            <w:pPr>
              <w:jc w:val="both"/>
              <w:rPr>
                <w:rFonts w:ascii="宋体" w:hAnsi="宋体" w:eastAsia="宋体"/>
                <w:sz w:val="28"/>
                <w:szCs w:val="28"/>
              </w:rPr>
            </w:pPr>
            <w:r>
              <w:rPr>
                <w:rFonts w:ascii="宋体" w:hAnsi="宋体" w:eastAsia="宋体"/>
                <w:sz w:val="28"/>
                <w:szCs w:val="28"/>
              </w:rPr>
              <w:t>拟派</w:t>
            </w:r>
          </w:p>
          <w:p>
            <w:pPr>
              <w:jc w:val="both"/>
              <w:rPr>
                <w:rFonts w:ascii="宋体" w:hAnsi="宋体" w:eastAsia="宋体"/>
                <w:sz w:val="28"/>
                <w:szCs w:val="28"/>
              </w:rPr>
            </w:pPr>
            <w:r>
              <w:rPr>
                <w:rFonts w:ascii="宋体" w:hAnsi="宋体" w:eastAsia="宋体"/>
                <w:sz w:val="28"/>
                <w:szCs w:val="28"/>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宋体" w:hAnsi="宋体" w:eastAsia="宋体"/>
                <w:sz w:val="28"/>
                <w:szCs w:val="28"/>
              </w:rPr>
            </w:pPr>
          </w:p>
        </w:tc>
        <w:tc>
          <w:tcPr>
            <w:tcW w:w="969" w:type="dxa"/>
            <w:tcBorders>
              <w:left w:val="single" w:color="auto" w:sz="6" w:space="0"/>
            </w:tcBorders>
            <w:vAlign w:val="center"/>
          </w:tcPr>
          <w:p>
            <w:pPr>
              <w:jc w:val="both"/>
              <w:rPr>
                <w:rFonts w:ascii="宋体" w:hAnsi="宋体" w:eastAsia="宋体"/>
                <w:sz w:val="28"/>
                <w:szCs w:val="28"/>
              </w:rPr>
            </w:pPr>
          </w:p>
        </w:tc>
        <w:tc>
          <w:tcPr>
            <w:tcW w:w="1260" w:type="dxa"/>
            <w:vAlign w:val="center"/>
          </w:tcPr>
          <w:p>
            <w:pPr>
              <w:jc w:val="both"/>
              <w:rPr>
                <w:rFonts w:ascii="宋体" w:hAnsi="宋体" w:eastAsia="宋体"/>
                <w:sz w:val="28"/>
                <w:szCs w:val="28"/>
              </w:rPr>
            </w:pPr>
          </w:p>
        </w:tc>
        <w:tc>
          <w:tcPr>
            <w:tcW w:w="1404" w:type="dxa"/>
            <w:gridSpan w:val="3"/>
            <w:vAlign w:val="center"/>
          </w:tcPr>
          <w:p>
            <w:pPr>
              <w:jc w:val="both"/>
              <w:rPr>
                <w:rFonts w:ascii="宋体" w:hAnsi="宋体" w:eastAsia="宋体"/>
                <w:sz w:val="28"/>
                <w:szCs w:val="28"/>
              </w:rPr>
            </w:pPr>
          </w:p>
        </w:tc>
        <w:tc>
          <w:tcPr>
            <w:tcW w:w="1587" w:type="dxa"/>
            <w:gridSpan w:val="2"/>
            <w:vAlign w:val="center"/>
          </w:tcPr>
          <w:p>
            <w:pPr>
              <w:jc w:val="both"/>
              <w:rPr>
                <w:rFonts w:ascii="宋体" w:hAnsi="宋体" w:eastAsia="宋体"/>
                <w:sz w:val="28"/>
                <w:szCs w:val="28"/>
              </w:rPr>
            </w:pPr>
          </w:p>
        </w:tc>
        <w:tc>
          <w:tcPr>
            <w:tcW w:w="1782" w:type="dxa"/>
            <w:gridSpan w:val="2"/>
            <w:vAlign w:val="center"/>
          </w:tcPr>
          <w:p>
            <w:pPr>
              <w:jc w:val="both"/>
              <w:rPr>
                <w:rFonts w:ascii="宋体" w:hAnsi="宋体" w:eastAsia="宋体"/>
                <w:sz w:val="28"/>
                <w:szCs w:val="28"/>
              </w:rPr>
            </w:pPr>
          </w:p>
        </w:tc>
        <w:tc>
          <w:tcPr>
            <w:tcW w:w="1049" w:type="dxa"/>
            <w:tcBorders>
              <w:right w:val="single" w:color="auto" w:sz="12" w:space="0"/>
            </w:tcBorders>
            <w:vAlign w:val="center"/>
          </w:tcPr>
          <w:p>
            <w:pPr>
              <w:jc w:val="both"/>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宋体" w:hAnsi="宋体" w:eastAsia="宋体"/>
                <w:sz w:val="28"/>
                <w:szCs w:val="28"/>
              </w:rPr>
            </w:pPr>
          </w:p>
        </w:tc>
        <w:tc>
          <w:tcPr>
            <w:tcW w:w="969" w:type="dxa"/>
            <w:tcBorders>
              <w:left w:val="single" w:color="auto" w:sz="6" w:space="0"/>
            </w:tcBorders>
            <w:vAlign w:val="center"/>
          </w:tcPr>
          <w:p>
            <w:pPr>
              <w:jc w:val="both"/>
              <w:rPr>
                <w:rFonts w:ascii="宋体" w:hAnsi="宋体" w:eastAsia="宋体"/>
                <w:sz w:val="28"/>
                <w:szCs w:val="28"/>
              </w:rPr>
            </w:pPr>
          </w:p>
        </w:tc>
        <w:tc>
          <w:tcPr>
            <w:tcW w:w="1260" w:type="dxa"/>
            <w:vAlign w:val="center"/>
          </w:tcPr>
          <w:p>
            <w:pPr>
              <w:jc w:val="both"/>
              <w:rPr>
                <w:rFonts w:ascii="宋体" w:hAnsi="宋体" w:eastAsia="宋体"/>
                <w:sz w:val="28"/>
                <w:szCs w:val="28"/>
              </w:rPr>
            </w:pPr>
          </w:p>
        </w:tc>
        <w:tc>
          <w:tcPr>
            <w:tcW w:w="1404" w:type="dxa"/>
            <w:gridSpan w:val="3"/>
            <w:vAlign w:val="center"/>
          </w:tcPr>
          <w:p>
            <w:pPr>
              <w:jc w:val="both"/>
              <w:rPr>
                <w:rFonts w:ascii="宋体" w:hAnsi="宋体" w:eastAsia="宋体"/>
                <w:sz w:val="28"/>
                <w:szCs w:val="28"/>
              </w:rPr>
            </w:pPr>
          </w:p>
        </w:tc>
        <w:tc>
          <w:tcPr>
            <w:tcW w:w="1587" w:type="dxa"/>
            <w:gridSpan w:val="2"/>
            <w:vAlign w:val="center"/>
          </w:tcPr>
          <w:p>
            <w:pPr>
              <w:jc w:val="both"/>
              <w:rPr>
                <w:rFonts w:ascii="宋体" w:hAnsi="宋体" w:eastAsia="宋体"/>
                <w:sz w:val="28"/>
                <w:szCs w:val="28"/>
              </w:rPr>
            </w:pPr>
          </w:p>
        </w:tc>
        <w:tc>
          <w:tcPr>
            <w:tcW w:w="1782" w:type="dxa"/>
            <w:gridSpan w:val="2"/>
            <w:vAlign w:val="center"/>
          </w:tcPr>
          <w:p>
            <w:pPr>
              <w:jc w:val="both"/>
              <w:rPr>
                <w:rFonts w:ascii="宋体" w:hAnsi="宋体" w:eastAsia="宋体"/>
                <w:sz w:val="28"/>
                <w:szCs w:val="28"/>
              </w:rPr>
            </w:pPr>
          </w:p>
        </w:tc>
        <w:tc>
          <w:tcPr>
            <w:tcW w:w="1049" w:type="dxa"/>
            <w:tcBorders>
              <w:right w:val="single" w:color="auto" w:sz="12" w:space="0"/>
            </w:tcBorders>
            <w:vAlign w:val="center"/>
          </w:tcPr>
          <w:p>
            <w:pPr>
              <w:jc w:val="both"/>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宋体" w:hAnsi="宋体" w:eastAsia="宋体"/>
                <w:sz w:val="28"/>
                <w:szCs w:val="28"/>
              </w:rPr>
            </w:pPr>
          </w:p>
        </w:tc>
        <w:tc>
          <w:tcPr>
            <w:tcW w:w="969" w:type="dxa"/>
            <w:tcBorders>
              <w:left w:val="single" w:color="auto" w:sz="6" w:space="0"/>
            </w:tcBorders>
            <w:vAlign w:val="center"/>
          </w:tcPr>
          <w:p>
            <w:pPr>
              <w:jc w:val="both"/>
              <w:rPr>
                <w:rFonts w:ascii="宋体" w:hAnsi="宋体" w:eastAsia="宋体"/>
                <w:sz w:val="28"/>
                <w:szCs w:val="28"/>
              </w:rPr>
            </w:pPr>
          </w:p>
        </w:tc>
        <w:tc>
          <w:tcPr>
            <w:tcW w:w="1260" w:type="dxa"/>
            <w:vAlign w:val="center"/>
          </w:tcPr>
          <w:p>
            <w:pPr>
              <w:jc w:val="both"/>
              <w:rPr>
                <w:rFonts w:ascii="宋体" w:hAnsi="宋体" w:eastAsia="宋体"/>
                <w:sz w:val="28"/>
                <w:szCs w:val="28"/>
              </w:rPr>
            </w:pPr>
          </w:p>
        </w:tc>
        <w:tc>
          <w:tcPr>
            <w:tcW w:w="1404" w:type="dxa"/>
            <w:gridSpan w:val="3"/>
            <w:vAlign w:val="center"/>
          </w:tcPr>
          <w:p>
            <w:pPr>
              <w:jc w:val="both"/>
              <w:rPr>
                <w:rFonts w:ascii="宋体" w:hAnsi="宋体" w:eastAsia="宋体"/>
                <w:sz w:val="28"/>
                <w:szCs w:val="28"/>
              </w:rPr>
            </w:pPr>
          </w:p>
        </w:tc>
        <w:tc>
          <w:tcPr>
            <w:tcW w:w="1587" w:type="dxa"/>
            <w:gridSpan w:val="2"/>
            <w:vAlign w:val="center"/>
          </w:tcPr>
          <w:p>
            <w:pPr>
              <w:jc w:val="both"/>
              <w:rPr>
                <w:rFonts w:ascii="宋体" w:hAnsi="宋体" w:eastAsia="宋体"/>
                <w:sz w:val="28"/>
                <w:szCs w:val="28"/>
              </w:rPr>
            </w:pPr>
          </w:p>
        </w:tc>
        <w:tc>
          <w:tcPr>
            <w:tcW w:w="1782" w:type="dxa"/>
            <w:gridSpan w:val="2"/>
            <w:vAlign w:val="center"/>
          </w:tcPr>
          <w:p>
            <w:pPr>
              <w:jc w:val="both"/>
              <w:rPr>
                <w:rFonts w:ascii="宋体" w:hAnsi="宋体" w:eastAsia="宋体"/>
                <w:sz w:val="28"/>
                <w:szCs w:val="28"/>
              </w:rPr>
            </w:pPr>
          </w:p>
        </w:tc>
        <w:tc>
          <w:tcPr>
            <w:tcW w:w="1049" w:type="dxa"/>
            <w:tcBorders>
              <w:right w:val="single" w:color="auto" w:sz="12" w:space="0"/>
            </w:tcBorders>
            <w:vAlign w:val="center"/>
          </w:tcPr>
          <w:p>
            <w:pPr>
              <w:jc w:val="both"/>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85"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ascii="宋体" w:hAnsi="宋体" w:eastAsia="宋体"/>
                <w:sz w:val="28"/>
                <w:szCs w:val="28"/>
              </w:rPr>
            </w:pPr>
            <w:r>
              <w:rPr>
                <w:rFonts w:ascii="宋体" w:hAnsi="宋体" w:eastAsia="宋体"/>
                <w:sz w:val="28"/>
                <w:szCs w:val="28"/>
              </w:rPr>
              <w:t>技术人员</w:t>
            </w:r>
            <w:r>
              <w:rPr>
                <w:rFonts w:hint="eastAsia" w:ascii="宋体" w:hAnsi="宋体" w:eastAsia="宋体"/>
                <w:sz w:val="28"/>
                <w:szCs w:val="28"/>
              </w:rPr>
              <w:t>/服务人员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宋体" w:hAnsi="宋体" w:eastAsia="宋体"/>
                <w:sz w:val="28"/>
                <w:szCs w:val="28"/>
              </w:rPr>
            </w:pPr>
            <w:r>
              <w:rPr>
                <w:rFonts w:ascii="宋体" w:hAnsi="宋体" w:eastAsia="宋体"/>
                <w:sz w:val="28"/>
                <w:szCs w:val="28"/>
              </w:rPr>
              <w:t>姓名</w:t>
            </w:r>
          </w:p>
        </w:tc>
        <w:tc>
          <w:tcPr>
            <w:tcW w:w="969" w:type="dxa"/>
            <w:tcBorders>
              <w:left w:val="single" w:color="auto" w:sz="6" w:space="0"/>
            </w:tcBorders>
            <w:vAlign w:val="center"/>
          </w:tcPr>
          <w:p>
            <w:pPr>
              <w:jc w:val="both"/>
              <w:rPr>
                <w:rFonts w:ascii="宋体" w:hAnsi="宋体" w:eastAsia="宋体"/>
                <w:sz w:val="28"/>
                <w:szCs w:val="28"/>
              </w:rPr>
            </w:pPr>
            <w:r>
              <w:rPr>
                <w:rFonts w:ascii="宋体" w:hAnsi="宋体" w:eastAsia="宋体"/>
                <w:sz w:val="28"/>
                <w:szCs w:val="28"/>
              </w:rPr>
              <w:t>年龄</w:t>
            </w:r>
          </w:p>
        </w:tc>
        <w:tc>
          <w:tcPr>
            <w:tcW w:w="1284" w:type="dxa"/>
            <w:gridSpan w:val="2"/>
            <w:tcBorders>
              <w:right w:val="single" w:color="auto" w:sz="2" w:space="0"/>
            </w:tcBorders>
            <w:vAlign w:val="center"/>
          </w:tcPr>
          <w:p>
            <w:pPr>
              <w:jc w:val="both"/>
              <w:rPr>
                <w:rFonts w:ascii="宋体" w:hAnsi="宋体" w:eastAsia="宋体"/>
                <w:sz w:val="28"/>
                <w:szCs w:val="28"/>
              </w:rPr>
            </w:pPr>
            <w:r>
              <w:rPr>
                <w:rFonts w:ascii="宋体" w:hAnsi="宋体" w:eastAsia="宋体"/>
                <w:sz w:val="28"/>
                <w:szCs w:val="28"/>
              </w:rPr>
              <w:t>学历</w:t>
            </w:r>
          </w:p>
        </w:tc>
        <w:tc>
          <w:tcPr>
            <w:tcW w:w="1386" w:type="dxa"/>
            <w:gridSpan w:val="3"/>
            <w:tcBorders>
              <w:left w:val="single" w:color="auto" w:sz="2" w:space="0"/>
            </w:tcBorders>
            <w:vAlign w:val="center"/>
          </w:tcPr>
          <w:p>
            <w:pPr>
              <w:jc w:val="both"/>
              <w:rPr>
                <w:rFonts w:ascii="宋体" w:hAnsi="宋体" w:eastAsia="宋体"/>
                <w:sz w:val="28"/>
                <w:szCs w:val="28"/>
              </w:rPr>
            </w:pPr>
            <w:r>
              <w:rPr>
                <w:rFonts w:ascii="宋体" w:hAnsi="宋体" w:eastAsia="宋体"/>
                <w:sz w:val="28"/>
                <w:szCs w:val="28"/>
              </w:rPr>
              <w:t>职称</w:t>
            </w:r>
          </w:p>
        </w:tc>
        <w:tc>
          <w:tcPr>
            <w:tcW w:w="1581" w:type="dxa"/>
            <w:vAlign w:val="center"/>
          </w:tcPr>
          <w:p>
            <w:pPr>
              <w:jc w:val="both"/>
              <w:rPr>
                <w:rFonts w:ascii="宋体" w:hAnsi="宋体" w:eastAsia="宋体"/>
                <w:sz w:val="28"/>
                <w:szCs w:val="28"/>
              </w:rPr>
            </w:pPr>
            <w:r>
              <w:rPr>
                <w:rFonts w:ascii="宋体" w:hAnsi="宋体" w:eastAsia="宋体"/>
                <w:sz w:val="28"/>
                <w:szCs w:val="28"/>
              </w:rPr>
              <w:t>从事类似项目工作年限</w:t>
            </w:r>
          </w:p>
        </w:tc>
        <w:tc>
          <w:tcPr>
            <w:tcW w:w="1782" w:type="dxa"/>
            <w:gridSpan w:val="2"/>
            <w:vAlign w:val="center"/>
          </w:tcPr>
          <w:p>
            <w:pPr>
              <w:jc w:val="both"/>
              <w:rPr>
                <w:rFonts w:ascii="宋体" w:hAnsi="宋体" w:eastAsia="宋体"/>
                <w:sz w:val="28"/>
                <w:szCs w:val="28"/>
              </w:rPr>
            </w:pPr>
            <w:r>
              <w:rPr>
                <w:rFonts w:ascii="宋体" w:hAnsi="宋体" w:eastAsia="宋体"/>
                <w:sz w:val="28"/>
                <w:szCs w:val="28"/>
              </w:rPr>
              <w:t>主要工作</w:t>
            </w:r>
          </w:p>
          <w:p>
            <w:pPr>
              <w:jc w:val="both"/>
              <w:rPr>
                <w:rFonts w:ascii="宋体" w:hAnsi="宋体" w:eastAsia="宋体"/>
                <w:sz w:val="28"/>
                <w:szCs w:val="28"/>
              </w:rPr>
            </w:pPr>
            <w:r>
              <w:rPr>
                <w:rFonts w:ascii="宋体" w:hAnsi="宋体" w:eastAsia="宋体"/>
                <w:sz w:val="28"/>
                <w:szCs w:val="28"/>
              </w:rPr>
              <w:t>业绩和经历</w:t>
            </w:r>
          </w:p>
        </w:tc>
        <w:tc>
          <w:tcPr>
            <w:tcW w:w="1049" w:type="dxa"/>
            <w:tcBorders>
              <w:right w:val="single" w:color="auto" w:sz="12" w:space="0"/>
            </w:tcBorders>
            <w:vAlign w:val="center"/>
          </w:tcPr>
          <w:p>
            <w:pPr>
              <w:jc w:val="both"/>
              <w:rPr>
                <w:rFonts w:ascii="宋体" w:hAnsi="宋体" w:eastAsia="宋体"/>
                <w:sz w:val="28"/>
                <w:szCs w:val="28"/>
              </w:rPr>
            </w:pPr>
            <w:r>
              <w:rPr>
                <w:rFonts w:ascii="宋体" w:hAnsi="宋体" w:eastAsia="宋体"/>
                <w:sz w:val="28"/>
                <w:szCs w:val="28"/>
              </w:rPr>
              <w:t>拟派</w:t>
            </w:r>
          </w:p>
          <w:p>
            <w:pPr>
              <w:jc w:val="both"/>
              <w:rPr>
                <w:rFonts w:ascii="宋体" w:hAnsi="宋体" w:eastAsia="宋体"/>
                <w:sz w:val="28"/>
                <w:szCs w:val="28"/>
              </w:rPr>
            </w:pPr>
            <w:r>
              <w:rPr>
                <w:rFonts w:ascii="宋体" w:hAnsi="宋体" w:eastAsia="宋体"/>
                <w:sz w:val="28"/>
                <w:szCs w:val="28"/>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宋体" w:hAnsi="宋体" w:eastAsia="宋体"/>
                <w:sz w:val="28"/>
                <w:szCs w:val="28"/>
              </w:rPr>
            </w:pPr>
          </w:p>
        </w:tc>
        <w:tc>
          <w:tcPr>
            <w:tcW w:w="969" w:type="dxa"/>
            <w:tcBorders>
              <w:left w:val="single" w:color="auto" w:sz="6" w:space="0"/>
            </w:tcBorders>
            <w:vAlign w:val="center"/>
          </w:tcPr>
          <w:p>
            <w:pPr>
              <w:jc w:val="both"/>
              <w:rPr>
                <w:rFonts w:ascii="宋体" w:hAnsi="宋体" w:eastAsia="宋体"/>
                <w:sz w:val="28"/>
                <w:szCs w:val="28"/>
              </w:rPr>
            </w:pPr>
          </w:p>
        </w:tc>
        <w:tc>
          <w:tcPr>
            <w:tcW w:w="1284" w:type="dxa"/>
            <w:gridSpan w:val="2"/>
            <w:tcBorders>
              <w:right w:val="single" w:color="auto" w:sz="2" w:space="0"/>
            </w:tcBorders>
            <w:vAlign w:val="center"/>
          </w:tcPr>
          <w:p>
            <w:pPr>
              <w:jc w:val="both"/>
              <w:rPr>
                <w:rFonts w:ascii="宋体" w:hAnsi="宋体" w:eastAsia="宋体"/>
                <w:sz w:val="28"/>
                <w:szCs w:val="28"/>
              </w:rPr>
            </w:pPr>
          </w:p>
        </w:tc>
        <w:tc>
          <w:tcPr>
            <w:tcW w:w="1386" w:type="dxa"/>
            <w:gridSpan w:val="3"/>
            <w:tcBorders>
              <w:left w:val="single" w:color="auto" w:sz="2" w:space="0"/>
            </w:tcBorders>
            <w:vAlign w:val="center"/>
          </w:tcPr>
          <w:p>
            <w:pPr>
              <w:jc w:val="both"/>
              <w:rPr>
                <w:rFonts w:ascii="宋体" w:hAnsi="宋体" w:eastAsia="宋体"/>
                <w:sz w:val="28"/>
                <w:szCs w:val="28"/>
              </w:rPr>
            </w:pPr>
          </w:p>
        </w:tc>
        <w:tc>
          <w:tcPr>
            <w:tcW w:w="1581" w:type="dxa"/>
            <w:vAlign w:val="center"/>
          </w:tcPr>
          <w:p>
            <w:pPr>
              <w:jc w:val="both"/>
              <w:rPr>
                <w:rFonts w:ascii="宋体" w:hAnsi="宋体" w:eastAsia="宋体"/>
                <w:sz w:val="28"/>
                <w:szCs w:val="28"/>
              </w:rPr>
            </w:pPr>
          </w:p>
        </w:tc>
        <w:tc>
          <w:tcPr>
            <w:tcW w:w="1782" w:type="dxa"/>
            <w:gridSpan w:val="2"/>
            <w:vAlign w:val="center"/>
          </w:tcPr>
          <w:p>
            <w:pPr>
              <w:jc w:val="both"/>
              <w:rPr>
                <w:rFonts w:ascii="宋体" w:hAnsi="宋体" w:eastAsia="宋体"/>
                <w:sz w:val="28"/>
                <w:szCs w:val="28"/>
              </w:rPr>
            </w:pPr>
          </w:p>
        </w:tc>
        <w:tc>
          <w:tcPr>
            <w:tcW w:w="1049" w:type="dxa"/>
            <w:tcBorders>
              <w:right w:val="single" w:color="auto" w:sz="12" w:space="0"/>
            </w:tcBorders>
            <w:vAlign w:val="center"/>
          </w:tcPr>
          <w:p>
            <w:pPr>
              <w:jc w:val="both"/>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宋体" w:hAnsi="宋体" w:eastAsia="宋体"/>
                <w:sz w:val="28"/>
                <w:szCs w:val="28"/>
              </w:rPr>
            </w:pPr>
          </w:p>
        </w:tc>
        <w:tc>
          <w:tcPr>
            <w:tcW w:w="969" w:type="dxa"/>
            <w:tcBorders>
              <w:left w:val="single" w:color="auto" w:sz="6" w:space="0"/>
            </w:tcBorders>
            <w:vAlign w:val="center"/>
          </w:tcPr>
          <w:p>
            <w:pPr>
              <w:jc w:val="both"/>
              <w:rPr>
                <w:rFonts w:ascii="宋体" w:hAnsi="宋体" w:eastAsia="宋体"/>
                <w:sz w:val="28"/>
                <w:szCs w:val="28"/>
              </w:rPr>
            </w:pPr>
          </w:p>
        </w:tc>
        <w:tc>
          <w:tcPr>
            <w:tcW w:w="1284" w:type="dxa"/>
            <w:gridSpan w:val="2"/>
            <w:tcBorders>
              <w:right w:val="single" w:color="auto" w:sz="2" w:space="0"/>
            </w:tcBorders>
            <w:vAlign w:val="center"/>
          </w:tcPr>
          <w:p>
            <w:pPr>
              <w:jc w:val="both"/>
              <w:rPr>
                <w:rFonts w:ascii="宋体" w:hAnsi="宋体" w:eastAsia="宋体"/>
                <w:sz w:val="28"/>
                <w:szCs w:val="28"/>
              </w:rPr>
            </w:pPr>
          </w:p>
        </w:tc>
        <w:tc>
          <w:tcPr>
            <w:tcW w:w="1386" w:type="dxa"/>
            <w:gridSpan w:val="3"/>
            <w:tcBorders>
              <w:left w:val="single" w:color="auto" w:sz="2" w:space="0"/>
            </w:tcBorders>
            <w:vAlign w:val="center"/>
          </w:tcPr>
          <w:p>
            <w:pPr>
              <w:jc w:val="both"/>
              <w:rPr>
                <w:rFonts w:ascii="宋体" w:hAnsi="宋体" w:eastAsia="宋体"/>
                <w:sz w:val="28"/>
                <w:szCs w:val="28"/>
              </w:rPr>
            </w:pPr>
          </w:p>
        </w:tc>
        <w:tc>
          <w:tcPr>
            <w:tcW w:w="1581" w:type="dxa"/>
            <w:vAlign w:val="center"/>
          </w:tcPr>
          <w:p>
            <w:pPr>
              <w:jc w:val="both"/>
              <w:rPr>
                <w:rFonts w:ascii="宋体" w:hAnsi="宋体" w:eastAsia="宋体"/>
                <w:sz w:val="28"/>
                <w:szCs w:val="28"/>
              </w:rPr>
            </w:pPr>
          </w:p>
        </w:tc>
        <w:tc>
          <w:tcPr>
            <w:tcW w:w="1782" w:type="dxa"/>
            <w:gridSpan w:val="2"/>
            <w:vAlign w:val="center"/>
          </w:tcPr>
          <w:p>
            <w:pPr>
              <w:jc w:val="both"/>
              <w:rPr>
                <w:rFonts w:ascii="宋体" w:hAnsi="宋体" w:eastAsia="宋体"/>
                <w:sz w:val="28"/>
                <w:szCs w:val="28"/>
              </w:rPr>
            </w:pPr>
          </w:p>
        </w:tc>
        <w:tc>
          <w:tcPr>
            <w:tcW w:w="1049" w:type="dxa"/>
            <w:tcBorders>
              <w:right w:val="single" w:color="auto" w:sz="12" w:space="0"/>
            </w:tcBorders>
            <w:vAlign w:val="center"/>
          </w:tcPr>
          <w:p>
            <w:pPr>
              <w:jc w:val="both"/>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宋体" w:hAnsi="宋体" w:eastAsia="宋体"/>
                <w:sz w:val="28"/>
                <w:szCs w:val="28"/>
              </w:rPr>
            </w:pPr>
          </w:p>
        </w:tc>
        <w:tc>
          <w:tcPr>
            <w:tcW w:w="969" w:type="dxa"/>
            <w:tcBorders>
              <w:left w:val="single" w:color="auto" w:sz="6" w:space="0"/>
            </w:tcBorders>
            <w:vAlign w:val="center"/>
          </w:tcPr>
          <w:p>
            <w:pPr>
              <w:jc w:val="both"/>
              <w:rPr>
                <w:rFonts w:ascii="宋体" w:hAnsi="宋体" w:eastAsia="宋体"/>
                <w:sz w:val="28"/>
                <w:szCs w:val="28"/>
              </w:rPr>
            </w:pPr>
          </w:p>
        </w:tc>
        <w:tc>
          <w:tcPr>
            <w:tcW w:w="1284" w:type="dxa"/>
            <w:gridSpan w:val="2"/>
            <w:tcBorders>
              <w:right w:val="single" w:color="auto" w:sz="2" w:space="0"/>
            </w:tcBorders>
            <w:vAlign w:val="center"/>
          </w:tcPr>
          <w:p>
            <w:pPr>
              <w:jc w:val="both"/>
              <w:rPr>
                <w:rFonts w:ascii="宋体" w:hAnsi="宋体" w:eastAsia="宋体"/>
                <w:sz w:val="28"/>
                <w:szCs w:val="28"/>
              </w:rPr>
            </w:pPr>
          </w:p>
        </w:tc>
        <w:tc>
          <w:tcPr>
            <w:tcW w:w="1386" w:type="dxa"/>
            <w:gridSpan w:val="3"/>
            <w:tcBorders>
              <w:left w:val="single" w:color="auto" w:sz="2" w:space="0"/>
            </w:tcBorders>
            <w:vAlign w:val="center"/>
          </w:tcPr>
          <w:p>
            <w:pPr>
              <w:jc w:val="both"/>
              <w:rPr>
                <w:rFonts w:ascii="宋体" w:hAnsi="宋体" w:eastAsia="宋体"/>
                <w:sz w:val="28"/>
                <w:szCs w:val="28"/>
              </w:rPr>
            </w:pPr>
          </w:p>
        </w:tc>
        <w:tc>
          <w:tcPr>
            <w:tcW w:w="1581" w:type="dxa"/>
            <w:vAlign w:val="center"/>
          </w:tcPr>
          <w:p>
            <w:pPr>
              <w:jc w:val="both"/>
              <w:rPr>
                <w:rFonts w:ascii="宋体" w:hAnsi="宋体" w:eastAsia="宋体"/>
                <w:sz w:val="28"/>
                <w:szCs w:val="28"/>
              </w:rPr>
            </w:pPr>
          </w:p>
        </w:tc>
        <w:tc>
          <w:tcPr>
            <w:tcW w:w="1782" w:type="dxa"/>
            <w:gridSpan w:val="2"/>
            <w:vAlign w:val="center"/>
          </w:tcPr>
          <w:p>
            <w:pPr>
              <w:jc w:val="both"/>
              <w:rPr>
                <w:rFonts w:ascii="宋体" w:hAnsi="宋体" w:eastAsia="宋体"/>
                <w:sz w:val="28"/>
                <w:szCs w:val="28"/>
              </w:rPr>
            </w:pPr>
          </w:p>
        </w:tc>
        <w:tc>
          <w:tcPr>
            <w:tcW w:w="1049" w:type="dxa"/>
            <w:tcBorders>
              <w:right w:val="single" w:color="auto" w:sz="12" w:space="0"/>
            </w:tcBorders>
            <w:vAlign w:val="center"/>
          </w:tcPr>
          <w:p>
            <w:pPr>
              <w:jc w:val="both"/>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85" w:type="dxa"/>
            <w:gridSpan w:val="11"/>
            <w:tcBorders>
              <w:top w:val="single" w:color="auto" w:sz="6" w:space="0"/>
              <w:left w:val="single" w:color="auto" w:sz="12" w:space="0"/>
              <w:bottom w:val="single" w:color="auto" w:sz="6" w:space="0"/>
              <w:right w:val="single" w:color="auto" w:sz="12" w:space="0"/>
            </w:tcBorders>
            <w:shd w:val="clear" w:color="auto" w:fill="F1F1F1" w:themeFill="background1" w:themeFillShade="F2"/>
            <w:vAlign w:val="center"/>
          </w:tcPr>
          <w:p>
            <w:pPr>
              <w:jc w:val="both"/>
              <w:rPr>
                <w:rFonts w:ascii="宋体" w:hAnsi="宋体" w:eastAsia="宋体"/>
                <w:sz w:val="28"/>
                <w:szCs w:val="28"/>
              </w:rPr>
            </w:pPr>
            <w:r>
              <w:rPr>
                <w:rFonts w:hint="eastAsia" w:ascii="宋体" w:hAnsi="宋体" w:eastAsia="宋体"/>
                <w:sz w:val="28"/>
                <w:szCs w:val="28"/>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宋体" w:hAnsi="宋体" w:eastAsia="宋体"/>
                <w:sz w:val="28"/>
                <w:szCs w:val="28"/>
              </w:rPr>
            </w:pPr>
            <w:r>
              <w:rPr>
                <w:rFonts w:ascii="宋体" w:hAnsi="宋体" w:eastAsia="宋体"/>
                <w:sz w:val="28"/>
                <w:szCs w:val="28"/>
              </w:rPr>
              <w:t>姓名</w:t>
            </w:r>
          </w:p>
        </w:tc>
        <w:tc>
          <w:tcPr>
            <w:tcW w:w="969" w:type="dxa"/>
            <w:tcBorders>
              <w:left w:val="single" w:color="auto" w:sz="6" w:space="0"/>
            </w:tcBorders>
            <w:vAlign w:val="center"/>
          </w:tcPr>
          <w:p>
            <w:pPr>
              <w:jc w:val="both"/>
              <w:rPr>
                <w:rFonts w:ascii="宋体" w:hAnsi="宋体" w:eastAsia="宋体"/>
                <w:sz w:val="28"/>
                <w:szCs w:val="28"/>
              </w:rPr>
            </w:pPr>
            <w:r>
              <w:rPr>
                <w:rFonts w:ascii="宋体" w:hAnsi="宋体" w:eastAsia="宋体"/>
                <w:sz w:val="28"/>
                <w:szCs w:val="28"/>
              </w:rPr>
              <w:t>年龄</w:t>
            </w:r>
          </w:p>
        </w:tc>
        <w:tc>
          <w:tcPr>
            <w:tcW w:w="1284" w:type="dxa"/>
            <w:gridSpan w:val="2"/>
            <w:tcBorders>
              <w:right w:val="single" w:color="auto" w:sz="2" w:space="0"/>
            </w:tcBorders>
            <w:vAlign w:val="center"/>
          </w:tcPr>
          <w:p>
            <w:pPr>
              <w:jc w:val="both"/>
              <w:rPr>
                <w:rFonts w:ascii="宋体" w:hAnsi="宋体" w:eastAsia="宋体"/>
                <w:sz w:val="28"/>
                <w:szCs w:val="28"/>
              </w:rPr>
            </w:pPr>
            <w:r>
              <w:rPr>
                <w:rFonts w:ascii="宋体" w:hAnsi="宋体" w:eastAsia="宋体"/>
                <w:sz w:val="28"/>
                <w:szCs w:val="28"/>
              </w:rPr>
              <w:t>学历</w:t>
            </w:r>
          </w:p>
        </w:tc>
        <w:tc>
          <w:tcPr>
            <w:tcW w:w="1386" w:type="dxa"/>
            <w:gridSpan w:val="3"/>
            <w:tcBorders>
              <w:left w:val="single" w:color="auto" w:sz="2" w:space="0"/>
            </w:tcBorders>
            <w:vAlign w:val="center"/>
          </w:tcPr>
          <w:p>
            <w:pPr>
              <w:jc w:val="both"/>
              <w:rPr>
                <w:rFonts w:ascii="宋体" w:hAnsi="宋体" w:eastAsia="宋体"/>
                <w:sz w:val="28"/>
                <w:szCs w:val="28"/>
              </w:rPr>
            </w:pPr>
            <w:r>
              <w:rPr>
                <w:rFonts w:ascii="宋体" w:hAnsi="宋体" w:eastAsia="宋体"/>
                <w:sz w:val="28"/>
                <w:szCs w:val="28"/>
              </w:rPr>
              <w:t>职称</w:t>
            </w:r>
          </w:p>
        </w:tc>
        <w:tc>
          <w:tcPr>
            <w:tcW w:w="1581" w:type="dxa"/>
            <w:vAlign w:val="center"/>
          </w:tcPr>
          <w:p>
            <w:pPr>
              <w:jc w:val="both"/>
              <w:rPr>
                <w:rFonts w:ascii="宋体" w:hAnsi="宋体" w:eastAsia="宋体"/>
                <w:sz w:val="28"/>
                <w:szCs w:val="28"/>
              </w:rPr>
            </w:pPr>
            <w:r>
              <w:rPr>
                <w:rFonts w:ascii="宋体" w:hAnsi="宋体" w:eastAsia="宋体"/>
                <w:sz w:val="28"/>
                <w:szCs w:val="28"/>
              </w:rPr>
              <w:t>从事类似项目工作年限</w:t>
            </w:r>
          </w:p>
        </w:tc>
        <w:tc>
          <w:tcPr>
            <w:tcW w:w="1782" w:type="dxa"/>
            <w:gridSpan w:val="2"/>
            <w:vAlign w:val="center"/>
          </w:tcPr>
          <w:p>
            <w:pPr>
              <w:jc w:val="both"/>
              <w:rPr>
                <w:rFonts w:ascii="宋体" w:hAnsi="宋体" w:eastAsia="宋体"/>
                <w:sz w:val="28"/>
                <w:szCs w:val="28"/>
              </w:rPr>
            </w:pPr>
            <w:r>
              <w:rPr>
                <w:rFonts w:ascii="宋体" w:hAnsi="宋体" w:eastAsia="宋体"/>
                <w:sz w:val="28"/>
                <w:szCs w:val="28"/>
              </w:rPr>
              <w:t>主要工作</w:t>
            </w:r>
          </w:p>
          <w:p>
            <w:pPr>
              <w:jc w:val="both"/>
              <w:rPr>
                <w:rFonts w:ascii="宋体" w:hAnsi="宋体" w:eastAsia="宋体"/>
                <w:sz w:val="28"/>
                <w:szCs w:val="28"/>
              </w:rPr>
            </w:pPr>
            <w:r>
              <w:rPr>
                <w:rFonts w:ascii="宋体" w:hAnsi="宋体" w:eastAsia="宋体"/>
                <w:sz w:val="28"/>
                <w:szCs w:val="28"/>
              </w:rPr>
              <w:t>业绩和经历</w:t>
            </w:r>
          </w:p>
        </w:tc>
        <w:tc>
          <w:tcPr>
            <w:tcW w:w="1049" w:type="dxa"/>
            <w:tcBorders>
              <w:right w:val="single" w:color="auto" w:sz="12" w:space="0"/>
            </w:tcBorders>
            <w:vAlign w:val="center"/>
          </w:tcPr>
          <w:p>
            <w:pPr>
              <w:jc w:val="both"/>
              <w:rPr>
                <w:rFonts w:ascii="宋体" w:hAnsi="宋体" w:eastAsia="宋体"/>
                <w:sz w:val="28"/>
                <w:szCs w:val="28"/>
              </w:rPr>
            </w:pPr>
            <w:r>
              <w:rPr>
                <w:rFonts w:ascii="宋体" w:hAnsi="宋体" w:eastAsia="宋体"/>
                <w:sz w:val="28"/>
                <w:szCs w:val="28"/>
              </w:rPr>
              <w:t>拟派</w:t>
            </w:r>
          </w:p>
          <w:p>
            <w:pPr>
              <w:jc w:val="both"/>
              <w:rPr>
                <w:rFonts w:ascii="宋体" w:hAnsi="宋体" w:eastAsia="宋体"/>
                <w:sz w:val="28"/>
                <w:szCs w:val="28"/>
              </w:rPr>
            </w:pPr>
            <w:r>
              <w:rPr>
                <w:rFonts w:ascii="宋体" w:hAnsi="宋体" w:eastAsia="宋体"/>
                <w:sz w:val="28"/>
                <w:szCs w:val="28"/>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宋体" w:hAnsi="宋体" w:eastAsia="宋体"/>
                <w:sz w:val="28"/>
                <w:szCs w:val="28"/>
              </w:rPr>
            </w:pPr>
          </w:p>
        </w:tc>
        <w:tc>
          <w:tcPr>
            <w:tcW w:w="969" w:type="dxa"/>
            <w:tcBorders>
              <w:left w:val="single" w:color="auto" w:sz="6" w:space="0"/>
            </w:tcBorders>
            <w:vAlign w:val="center"/>
          </w:tcPr>
          <w:p>
            <w:pPr>
              <w:jc w:val="both"/>
              <w:rPr>
                <w:rFonts w:ascii="宋体" w:hAnsi="宋体" w:eastAsia="宋体"/>
                <w:sz w:val="28"/>
                <w:szCs w:val="28"/>
              </w:rPr>
            </w:pPr>
          </w:p>
        </w:tc>
        <w:tc>
          <w:tcPr>
            <w:tcW w:w="1284" w:type="dxa"/>
            <w:gridSpan w:val="2"/>
            <w:tcBorders>
              <w:right w:val="single" w:color="auto" w:sz="2" w:space="0"/>
            </w:tcBorders>
            <w:vAlign w:val="center"/>
          </w:tcPr>
          <w:p>
            <w:pPr>
              <w:jc w:val="both"/>
              <w:rPr>
                <w:rFonts w:ascii="宋体" w:hAnsi="宋体" w:eastAsia="宋体"/>
                <w:sz w:val="28"/>
                <w:szCs w:val="28"/>
              </w:rPr>
            </w:pPr>
          </w:p>
        </w:tc>
        <w:tc>
          <w:tcPr>
            <w:tcW w:w="1386" w:type="dxa"/>
            <w:gridSpan w:val="3"/>
            <w:tcBorders>
              <w:left w:val="single" w:color="auto" w:sz="2" w:space="0"/>
            </w:tcBorders>
            <w:vAlign w:val="center"/>
          </w:tcPr>
          <w:p>
            <w:pPr>
              <w:jc w:val="both"/>
              <w:rPr>
                <w:rFonts w:ascii="宋体" w:hAnsi="宋体" w:eastAsia="宋体"/>
                <w:sz w:val="28"/>
                <w:szCs w:val="28"/>
              </w:rPr>
            </w:pPr>
          </w:p>
        </w:tc>
        <w:tc>
          <w:tcPr>
            <w:tcW w:w="1581" w:type="dxa"/>
            <w:vAlign w:val="center"/>
          </w:tcPr>
          <w:p>
            <w:pPr>
              <w:jc w:val="both"/>
              <w:rPr>
                <w:rFonts w:ascii="宋体" w:hAnsi="宋体" w:eastAsia="宋体"/>
                <w:sz w:val="28"/>
                <w:szCs w:val="28"/>
              </w:rPr>
            </w:pPr>
          </w:p>
        </w:tc>
        <w:tc>
          <w:tcPr>
            <w:tcW w:w="1782" w:type="dxa"/>
            <w:gridSpan w:val="2"/>
            <w:vAlign w:val="center"/>
          </w:tcPr>
          <w:p>
            <w:pPr>
              <w:jc w:val="both"/>
              <w:rPr>
                <w:rFonts w:ascii="宋体" w:hAnsi="宋体" w:eastAsia="宋体"/>
                <w:sz w:val="28"/>
                <w:szCs w:val="28"/>
              </w:rPr>
            </w:pPr>
          </w:p>
        </w:tc>
        <w:tc>
          <w:tcPr>
            <w:tcW w:w="1049" w:type="dxa"/>
            <w:tcBorders>
              <w:right w:val="single" w:color="auto" w:sz="12" w:space="0"/>
            </w:tcBorders>
            <w:vAlign w:val="center"/>
          </w:tcPr>
          <w:p>
            <w:pPr>
              <w:jc w:val="both"/>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both"/>
              <w:rPr>
                <w:rFonts w:ascii="宋体" w:hAnsi="宋体" w:eastAsia="宋体"/>
                <w:sz w:val="28"/>
                <w:szCs w:val="28"/>
              </w:rPr>
            </w:pPr>
          </w:p>
        </w:tc>
        <w:tc>
          <w:tcPr>
            <w:tcW w:w="969" w:type="dxa"/>
            <w:tcBorders>
              <w:left w:val="single" w:color="auto" w:sz="6" w:space="0"/>
            </w:tcBorders>
            <w:vAlign w:val="center"/>
          </w:tcPr>
          <w:p>
            <w:pPr>
              <w:jc w:val="both"/>
              <w:rPr>
                <w:rFonts w:ascii="宋体" w:hAnsi="宋体" w:eastAsia="宋体"/>
                <w:sz w:val="28"/>
                <w:szCs w:val="28"/>
              </w:rPr>
            </w:pPr>
          </w:p>
        </w:tc>
        <w:tc>
          <w:tcPr>
            <w:tcW w:w="1284" w:type="dxa"/>
            <w:gridSpan w:val="2"/>
            <w:tcBorders>
              <w:right w:val="single" w:color="auto" w:sz="2" w:space="0"/>
            </w:tcBorders>
            <w:vAlign w:val="center"/>
          </w:tcPr>
          <w:p>
            <w:pPr>
              <w:jc w:val="both"/>
              <w:rPr>
                <w:rFonts w:ascii="宋体" w:hAnsi="宋体" w:eastAsia="宋体"/>
                <w:sz w:val="28"/>
                <w:szCs w:val="28"/>
              </w:rPr>
            </w:pPr>
          </w:p>
        </w:tc>
        <w:tc>
          <w:tcPr>
            <w:tcW w:w="1386" w:type="dxa"/>
            <w:gridSpan w:val="3"/>
            <w:tcBorders>
              <w:left w:val="single" w:color="auto" w:sz="2" w:space="0"/>
            </w:tcBorders>
            <w:vAlign w:val="center"/>
          </w:tcPr>
          <w:p>
            <w:pPr>
              <w:jc w:val="both"/>
              <w:rPr>
                <w:rFonts w:ascii="宋体" w:hAnsi="宋体" w:eastAsia="宋体"/>
                <w:sz w:val="28"/>
                <w:szCs w:val="28"/>
              </w:rPr>
            </w:pPr>
          </w:p>
        </w:tc>
        <w:tc>
          <w:tcPr>
            <w:tcW w:w="1581" w:type="dxa"/>
            <w:vAlign w:val="center"/>
          </w:tcPr>
          <w:p>
            <w:pPr>
              <w:jc w:val="both"/>
              <w:rPr>
                <w:rFonts w:ascii="宋体" w:hAnsi="宋体" w:eastAsia="宋体"/>
                <w:sz w:val="28"/>
                <w:szCs w:val="28"/>
              </w:rPr>
            </w:pPr>
          </w:p>
        </w:tc>
        <w:tc>
          <w:tcPr>
            <w:tcW w:w="1782" w:type="dxa"/>
            <w:gridSpan w:val="2"/>
            <w:vAlign w:val="center"/>
          </w:tcPr>
          <w:p>
            <w:pPr>
              <w:jc w:val="both"/>
              <w:rPr>
                <w:rFonts w:ascii="宋体" w:hAnsi="宋体" w:eastAsia="宋体"/>
                <w:sz w:val="28"/>
                <w:szCs w:val="28"/>
              </w:rPr>
            </w:pPr>
          </w:p>
        </w:tc>
        <w:tc>
          <w:tcPr>
            <w:tcW w:w="1049" w:type="dxa"/>
            <w:tcBorders>
              <w:right w:val="single" w:color="auto" w:sz="12" w:space="0"/>
            </w:tcBorders>
            <w:vAlign w:val="center"/>
          </w:tcPr>
          <w:p>
            <w:pPr>
              <w:jc w:val="both"/>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pPr>
              <w:jc w:val="both"/>
              <w:rPr>
                <w:rFonts w:ascii="宋体" w:hAnsi="宋体" w:eastAsia="宋体"/>
                <w:sz w:val="28"/>
                <w:szCs w:val="28"/>
              </w:rPr>
            </w:pPr>
            <w:r>
              <w:rPr>
                <w:rFonts w:ascii="宋体" w:hAnsi="宋体" w:eastAsia="宋体"/>
                <w:sz w:val="28"/>
                <w:szCs w:val="28"/>
              </w:rPr>
              <w:t>备注</w:t>
            </w:r>
          </w:p>
        </w:tc>
        <w:tc>
          <w:tcPr>
            <w:tcW w:w="8051" w:type="dxa"/>
            <w:gridSpan w:val="10"/>
            <w:tcBorders>
              <w:left w:val="single" w:color="auto" w:sz="6" w:space="0"/>
              <w:bottom w:val="single" w:color="auto" w:sz="12" w:space="0"/>
              <w:right w:val="single" w:color="auto" w:sz="12" w:space="0"/>
            </w:tcBorders>
            <w:vAlign w:val="center"/>
          </w:tcPr>
          <w:p>
            <w:pPr>
              <w:jc w:val="both"/>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表格行数不足时请自行扩展。</w:t>
            </w:r>
          </w:p>
          <w:p>
            <w:pPr>
              <w:jc w:val="both"/>
              <w:rPr>
                <w:rFonts w:ascii="宋体" w:hAnsi="宋体" w:eastAsia="宋体"/>
                <w:sz w:val="28"/>
                <w:szCs w:val="28"/>
              </w:rPr>
            </w:pPr>
            <w:r>
              <w:rPr>
                <w:rFonts w:hint="eastAsia" w:ascii="宋体" w:hAnsi="宋体" w:eastAsia="宋体"/>
                <w:sz w:val="28"/>
                <w:szCs w:val="28"/>
              </w:rPr>
              <w:t>2．表中所列“项目负责人、管理人员、技术人员/服务人员、辅助人员”仅为示例，供应商可根据招标文件要求自行安排人员类别。</w:t>
            </w:r>
          </w:p>
          <w:p>
            <w:pPr>
              <w:jc w:val="both"/>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．招标文件对人员“资格\学历\职称”提出要求的，应在本表下方附相应的“资格证\学历证\职称证”等证明文件。</w:t>
            </w:r>
          </w:p>
        </w:tc>
      </w:tr>
    </w:tbl>
    <w:p>
      <w:pPr>
        <w:spacing w:line="560" w:lineRule="exact"/>
        <w:ind w:firstLine="3683" w:firstLineChars="1151"/>
        <w:jc w:val="both"/>
        <w:rPr>
          <w:rFonts w:ascii="宋体" w:hAnsi="宋体" w:eastAsia="宋体"/>
          <w:sz w:val="32"/>
          <w:szCs w:val="32"/>
        </w:rPr>
      </w:pPr>
      <w:r>
        <w:rPr>
          <w:rFonts w:ascii="宋体" w:hAnsi="宋体" w:eastAsia="宋体"/>
          <w:sz w:val="32"/>
          <w:szCs w:val="32"/>
        </w:rPr>
        <w:t>供应商：（供应商全称并加盖公章）</w:t>
      </w:r>
    </w:p>
    <w:p>
      <w:pPr>
        <w:spacing w:line="560" w:lineRule="exact"/>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r>
        <w:rPr>
          <w:rFonts w:hint="eastAsia" w:ascii="宋体" w:hAnsi="宋体" w:eastAsia="宋体"/>
          <w:sz w:val="32"/>
          <w:szCs w:val="32"/>
        </w:rPr>
        <w:t>2．拟投入项目的专业设备情况表</w:t>
      </w:r>
    </w:p>
    <w:tbl>
      <w:tblPr>
        <w:tblStyle w:val="100"/>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52"/>
        <w:gridCol w:w="1361"/>
        <w:gridCol w:w="1474"/>
        <w:gridCol w:w="851"/>
        <w:gridCol w:w="1559"/>
        <w:gridCol w:w="1418"/>
        <w:gridCol w:w="165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tcBorders>
              <w:top w:val="single" w:color="auto" w:sz="12" w:space="0"/>
              <w:bottom w:val="single" w:color="auto" w:sz="2" w:space="0"/>
            </w:tcBorders>
            <w:shd w:val="clear" w:color="auto" w:fill="F1F1F1" w:themeFill="background1" w:themeFillShade="F2"/>
            <w:vAlign w:val="center"/>
          </w:tcPr>
          <w:p>
            <w:pPr>
              <w:ind w:firstLine="0"/>
              <w:jc w:val="both"/>
              <w:rPr>
                <w:rFonts w:ascii="宋体" w:hAnsi="宋体" w:eastAsia="宋体"/>
                <w:kern w:val="2"/>
                <w:sz w:val="28"/>
                <w:szCs w:val="28"/>
              </w:rPr>
            </w:pPr>
            <w:r>
              <w:rPr>
                <w:rFonts w:ascii="宋体" w:hAnsi="宋体" w:eastAsia="宋体"/>
                <w:kern w:val="2"/>
                <w:sz w:val="28"/>
                <w:szCs w:val="28"/>
              </w:rPr>
              <w:t>序号</w:t>
            </w:r>
          </w:p>
        </w:tc>
        <w:tc>
          <w:tcPr>
            <w:tcW w:w="1361" w:type="dxa"/>
            <w:tcBorders>
              <w:top w:val="single" w:color="auto" w:sz="12" w:space="0"/>
              <w:bottom w:val="single" w:color="auto" w:sz="2" w:space="0"/>
            </w:tcBorders>
            <w:shd w:val="clear" w:color="auto" w:fill="F1F1F1" w:themeFill="background1" w:themeFillShade="F2"/>
            <w:vAlign w:val="center"/>
          </w:tcPr>
          <w:p>
            <w:pPr>
              <w:ind w:firstLine="0"/>
              <w:jc w:val="both"/>
              <w:rPr>
                <w:rFonts w:ascii="宋体" w:hAnsi="宋体" w:eastAsia="宋体"/>
                <w:kern w:val="2"/>
                <w:sz w:val="28"/>
                <w:szCs w:val="28"/>
              </w:rPr>
            </w:pPr>
            <w:r>
              <w:rPr>
                <w:rFonts w:ascii="宋体" w:hAnsi="宋体" w:eastAsia="宋体"/>
                <w:kern w:val="2"/>
                <w:sz w:val="28"/>
                <w:szCs w:val="28"/>
              </w:rPr>
              <w:t>设备名称</w:t>
            </w:r>
          </w:p>
        </w:tc>
        <w:tc>
          <w:tcPr>
            <w:tcW w:w="1474" w:type="dxa"/>
            <w:tcBorders>
              <w:top w:val="single" w:color="auto" w:sz="12" w:space="0"/>
              <w:bottom w:val="single" w:color="auto" w:sz="2" w:space="0"/>
            </w:tcBorders>
            <w:shd w:val="clear" w:color="auto" w:fill="F1F1F1" w:themeFill="background1" w:themeFillShade="F2"/>
            <w:vAlign w:val="center"/>
          </w:tcPr>
          <w:p>
            <w:pPr>
              <w:ind w:firstLine="0"/>
              <w:jc w:val="both"/>
              <w:rPr>
                <w:rFonts w:ascii="宋体" w:hAnsi="宋体" w:eastAsia="宋体"/>
                <w:kern w:val="2"/>
                <w:sz w:val="28"/>
                <w:szCs w:val="28"/>
              </w:rPr>
            </w:pPr>
            <w:r>
              <w:rPr>
                <w:rFonts w:ascii="宋体" w:hAnsi="宋体" w:eastAsia="宋体"/>
                <w:kern w:val="2"/>
                <w:sz w:val="28"/>
                <w:szCs w:val="28"/>
              </w:rPr>
              <w:t>计量单位</w:t>
            </w:r>
          </w:p>
        </w:tc>
        <w:tc>
          <w:tcPr>
            <w:tcW w:w="851" w:type="dxa"/>
            <w:tcBorders>
              <w:top w:val="single" w:color="auto" w:sz="12" w:space="0"/>
              <w:bottom w:val="single" w:color="auto" w:sz="2" w:space="0"/>
            </w:tcBorders>
            <w:shd w:val="clear" w:color="auto" w:fill="F1F1F1" w:themeFill="background1" w:themeFillShade="F2"/>
            <w:vAlign w:val="center"/>
          </w:tcPr>
          <w:p>
            <w:pPr>
              <w:ind w:firstLine="0"/>
              <w:jc w:val="both"/>
              <w:rPr>
                <w:rFonts w:ascii="宋体" w:hAnsi="宋体" w:eastAsia="宋体"/>
                <w:kern w:val="2"/>
                <w:sz w:val="28"/>
                <w:szCs w:val="28"/>
              </w:rPr>
            </w:pPr>
            <w:r>
              <w:rPr>
                <w:rFonts w:ascii="宋体" w:hAnsi="宋体" w:eastAsia="宋体"/>
                <w:kern w:val="2"/>
                <w:sz w:val="28"/>
                <w:szCs w:val="28"/>
              </w:rPr>
              <w:t>数量</w:t>
            </w:r>
          </w:p>
        </w:tc>
        <w:tc>
          <w:tcPr>
            <w:tcW w:w="1559" w:type="dxa"/>
            <w:tcBorders>
              <w:top w:val="single" w:color="auto" w:sz="12" w:space="0"/>
              <w:bottom w:val="single" w:color="auto" w:sz="2" w:space="0"/>
            </w:tcBorders>
            <w:shd w:val="clear" w:color="auto" w:fill="F1F1F1" w:themeFill="background1" w:themeFillShade="F2"/>
            <w:vAlign w:val="center"/>
          </w:tcPr>
          <w:p>
            <w:pPr>
              <w:ind w:firstLine="0"/>
              <w:jc w:val="both"/>
              <w:rPr>
                <w:rFonts w:ascii="宋体" w:hAnsi="宋体" w:eastAsia="宋体"/>
                <w:kern w:val="2"/>
                <w:sz w:val="28"/>
                <w:szCs w:val="28"/>
              </w:rPr>
            </w:pPr>
            <w:r>
              <w:rPr>
                <w:rFonts w:ascii="宋体" w:hAnsi="宋体" w:eastAsia="宋体"/>
                <w:kern w:val="2"/>
                <w:sz w:val="28"/>
                <w:szCs w:val="28"/>
              </w:rPr>
              <w:t>生产企业</w:t>
            </w:r>
          </w:p>
        </w:tc>
        <w:tc>
          <w:tcPr>
            <w:tcW w:w="1418" w:type="dxa"/>
            <w:tcBorders>
              <w:top w:val="single" w:color="auto" w:sz="12" w:space="0"/>
              <w:bottom w:val="single" w:color="auto" w:sz="2" w:space="0"/>
            </w:tcBorders>
            <w:shd w:val="clear" w:color="auto" w:fill="F1F1F1" w:themeFill="background1" w:themeFillShade="F2"/>
            <w:vAlign w:val="center"/>
          </w:tcPr>
          <w:p>
            <w:pPr>
              <w:ind w:firstLine="0"/>
              <w:jc w:val="both"/>
              <w:rPr>
                <w:rFonts w:ascii="宋体" w:hAnsi="宋体" w:eastAsia="宋体"/>
                <w:kern w:val="2"/>
                <w:sz w:val="28"/>
                <w:szCs w:val="28"/>
              </w:rPr>
            </w:pPr>
            <w:r>
              <w:rPr>
                <w:rFonts w:ascii="宋体" w:hAnsi="宋体" w:eastAsia="宋体"/>
                <w:kern w:val="2"/>
                <w:sz w:val="28"/>
                <w:szCs w:val="28"/>
              </w:rPr>
              <w:t>使用年限</w:t>
            </w:r>
          </w:p>
        </w:tc>
        <w:tc>
          <w:tcPr>
            <w:tcW w:w="1653" w:type="dxa"/>
            <w:tcBorders>
              <w:top w:val="single" w:color="auto" w:sz="12" w:space="0"/>
              <w:bottom w:val="single" w:color="auto" w:sz="2" w:space="0"/>
            </w:tcBorders>
            <w:shd w:val="clear" w:color="auto" w:fill="F1F1F1" w:themeFill="background1" w:themeFillShade="F2"/>
            <w:vAlign w:val="center"/>
          </w:tcPr>
          <w:p>
            <w:pPr>
              <w:ind w:firstLine="0"/>
              <w:jc w:val="both"/>
              <w:rPr>
                <w:rFonts w:ascii="宋体" w:hAnsi="宋体" w:eastAsia="宋体"/>
                <w:kern w:val="2"/>
                <w:sz w:val="28"/>
                <w:szCs w:val="28"/>
              </w:rPr>
            </w:pPr>
            <w:r>
              <w:rPr>
                <w:rFonts w:ascii="宋体" w:hAnsi="宋体" w:eastAsia="宋体"/>
                <w:kern w:val="2"/>
                <w:sz w:val="28"/>
                <w:szCs w:val="28"/>
              </w:rPr>
              <w:t>自购</w:t>
            </w:r>
            <w:r>
              <w:rPr>
                <w:rFonts w:hint="eastAsia" w:ascii="宋体" w:hAnsi="宋体" w:eastAsia="宋体"/>
                <w:kern w:val="2"/>
                <w:sz w:val="28"/>
                <w:szCs w:val="28"/>
              </w:rPr>
              <w:t>/外协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tcBorders>
              <w:top w:val="single" w:color="auto" w:sz="2" w:space="0"/>
            </w:tcBorders>
            <w:shd w:val="clear" w:color="auto" w:fill="auto"/>
            <w:vAlign w:val="center"/>
          </w:tcPr>
          <w:p>
            <w:pPr>
              <w:ind w:firstLine="0"/>
              <w:jc w:val="both"/>
              <w:rPr>
                <w:rFonts w:ascii="宋体" w:hAnsi="宋体" w:eastAsia="宋体"/>
                <w:kern w:val="2"/>
                <w:sz w:val="28"/>
                <w:szCs w:val="28"/>
              </w:rPr>
            </w:pPr>
          </w:p>
        </w:tc>
        <w:tc>
          <w:tcPr>
            <w:tcW w:w="1361" w:type="dxa"/>
            <w:tcBorders>
              <w:top w:val="single" w:color="auto" w:sz="2" w:space="0"/>
            </w:tcBorders>
            <w:shd w:val="clear" w:color="auto" w:fill="auto"/>
            <w:vAlign w:val="center"/>
          </w:tcPr>
          <w:p>
            <w:pPr>
              <w:ind w:firstLine="0"/>
              <w:jc w:val="both"/>
              <w:rPr>
                <w:rFonts w:ascii="宋体" w:hAnsi="宋体" w:eastAsia="宋体"/>
                <w:kern w:val="2"/>
                <w:sz w:val="28"/>
                <w:szCs w:val="28"/>
              </w:rPr>
            </w:pPr>
          </w:p>
        </w:tc>
        <w:tc>
          <w:tcPr>
            <w:tcW w:w="1474" w:type="dxa"/>
            <w:tcBorders>
              <w:top w:val="single" w:color="auto" w:sz="2" w:space="0"/>
            </w:tcBorders>
            <w:shd w:val="clear" w:color="auto" w:fill="auto"/>
            <w:vAlign w:val="center"/>
          </w:tcPr>
          <w:p>
            <w:pPr>
              <w:ind w:firstLine="0"/>
              <w:jc w:val="both"/>
              <w:rPr>
                <w:rFonts w:ascii="宋体" w:hAnsi="宋体" w:eastAsia="宋体"/>
                <w:kern w:val="2"/>
                <w:sz w:val="28"/>
                <w:szCs w:val="28"/>
              </w:rPr>
            </w:pPr>
          </w:p>
        </w:tc>
        <w:tc>
          <w:tcPr>
            <w:tcW w:w="851" w:type="dxa"/>
            <w:tcBorders>
              <w:top w:val="single" w:color="auto" w:sz="2" w:space="0"/>
            </w:tcBorders>
            <w:shd w:val="clear" w:color="auto" w:fill="auto"/>
            <w:vAlign w:val="center"/>
          </w:tcPr>
          <w:p>
            <w:pPr>
              <w:ind w:firstLine="0"/>
              <w:jc w:val="both"/>
              <w:rPr>
                <w:rFonts w:ascii="宋体" w:hAnsi="宋体" w:eastAsia="宋体"/>
                <w:kern w:val="2"/>
                <w:sz w:val="28"/>
                <w:szCs w:val="28"/>
              </w:rPr>
            </w:pPr>
          </w:p>
        </w:tc>
        <w:tc>
          <w:tcPr>
            <w:tcW w:w="1559" w:type="dxa"/>
            <w:tcBorders>
              <w:top w:val="single" w:color="auto" w:sz="2" w:space="0"/>
            </w:tcBorders>
            <w:shd w:val="clear" w:color="auto" w:fill="auto"/>
            <w:vAlign w:val="center"/>
          </w:tcPr>
          <w:p>
            <w:pPr>
              <w:ind w:firstLine="0"/>
              <w:jc w:val="both"/>
              <w:rPr>
                <w:rFonts w:ascii="宋体" w:hAnsi="宋体" w:eastAsia="宋体"/>
                <w:kern w:val="2"/>
                <w:sz w:val="28"/>
                <w:szCs w:val="28"/>
              </w:rPr>
            </w:pPr>
          </w:p>
        </w:tc>
        <w:tc>
          <w:tcPr>
            <w:tcW w:w="1418" w:type="dxa"/>
            <w:tcBorders>
              <w:top w:val="single" w:color="auto" w:sz="2" w:space="0"/>
            </w:tcBorders>
            <w:shd w:val="clear" w:color="auto" w:fill="auto"/>
            <w:vAlign w:val="center"/>
          </w:tcPr>
          <w:p>
            <w:pPr>
              <w:ind w:firstLine="0"/>
              <w:jc w:val="both"/>
              <w:rPr>
                <w:rFonts w:ascii="宋体" w:hAnsi="宋体" w:eastAsia="宋体"/>
                <w:kern w:val="2"/>
                <w:sz w:val="28"/>
                <w:szCs w:val="28"/>
              </w:rPr>
            </w:pPr>
          </w:p>
        </w:tc>
        <w:tc>
          <w:tcPr>
            <w:tcW w:w="1653" w:type="dxa"/>
            <w:tcBorders>
              <w:top w:val="single" w:color="auto" w:sz="2" w:space="0"/>
            </w:tcBorders>
            <w:shd w:val="clear" w:color="auto" w:fill="auto"/>
            <w:vAlign w:val="center"/>
          </w:tcPr>
          <w:p>
            <w:pPr>
              <w:ind w:firstLine="0"/>
              <w:jc w:val="both"/>
              <w:rPr>
                <w:rFonts w:ascii="宋体" w:hAnsi="宋体" w:eastAsia="宋体"/>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宋体" w:hAnsi="宋体" w:eastAsia="宋体"/>
                <w:kern w:val="2"/>
                <w:sz w:val="28"/>
                <w:szCs w:val="28"/>
              </w:rPr>
            </w:pPr>
          </w:p>
        </w:tc>
        <w:tc>
          <w:tcPr>
            <w:tcW w:w="1361" w:type="dxa"/>
            <w:shd w:val="clear" w:color="auto" w:fill="auto"/>
            <w:vAlign w:val="center"/>
          </w:tcPr>
          <w:p>
            <w:pPr>
              <w:ind w:firstLine="0"/>
              <w:jc w:val="both"/>
              <w:rPr>
                <w:rFonts w:ascii="宋体" w:hAnsi="宋体" w:eastAsia="宋体"/>
                <w:kern w:val="2"/>
                <w:sz w:val="28"/>
                <w:szCs w:val="28"/>
              </w:rPr>
            </w:pPr>
          </w:p>
        </w:tc>
        <w:tc>
          <w:tcPr>
            <w:tcW w:w="1474" w:type="dxa"/>
            <w:shd w:val="clear" w:color="auto" w:fill="auto"/>
            <w:vAlign w:val="center"/>
          </w:tcPr>
          <w:p>
            <w:pPr>
              <w:ind w:firstLine="0"/>
              <w:jc w:val="both"/>
              <w:rPr>
                <w:rFonts w:ascii="宋体" w:hAnsi="宋体" w:eastAsia="宋体"/>
                <w:kern w:val="2"/>
                <w:sz w:val="28"/>
                <w:szCs w:val="28"/>
              </w:rPr>
            </w:pPr>
          </w:p>
        </w:tc>
        <w:tc>
          <w:tcPr>
            <w:tcW w:w="851" w:type="dxa"/>
            <w:shd w:val="clear" w:color="auto" w:fill="auto"/>
            <w:vAlign w:val="center"/>
          </w:tcPr>
          <w:p>
            <w:pPr>
              <w:ind w:firstLine="0"/>
              <w:jc w:val="both"/>
              <w:rPr>
                <w:rFonts w:ascii="宋体" w:hAnsi="宋体" w:eastAsia="宋体"/>
                <w:kern w:val="2"/>
                <w:sz w:val="28"/>
                <w:szCs w:val="28"/>
              </w:rPr>
            </w:pPr>
          </w:p>
        </w:tc>
        <w:tc>
          <w:tcPr>
            <w:tcW w:w="1559" w:type="dxa"/>
            <w:shd w:val="clear" w:color="auto" w:fill="auto"/>
            <w:vAlign w:val="center"/>
          </w:tcPr>
          <w:p>
            <w:pPr>
              <w:ind w:firstLine="0"/>
              <w:jc w:val="both"/>
              <w:rPr>
                <w:rFonts w:ascii="宋体" w:hAnsi="宋体" w:eastAsia="宋体"/>
                <w:kern w:val="2"/>
                <w:sz w:val="28"/>
                <w:szCs w:val="28"/>
              </w:rPr>
            </w:pPr>
          </w:p>
        </w:tc>
        <w:tc>
          <w:tcPr>
            <w:tcW w:w="1418" w:type="dxa"/>
            <w:shd w:val="clear" w:color="auto" w:fill="auto"/>
            <w:vAlign w:val="center"/>
          </w:tcPr>
          <w:p>
            <w:pPr>
              <w:ind w:firstLine="0"/>
              <w:jc w:val="both"/>
              <w:rPr>
                <w:rFonts w:ascii="宋体" w:hAnsi="宋体" w:eastAsia="宋体"/>
                <w:kern w:val="2"/>
                <w:sz w:val="28"/>
                <w:szCs w:val="28"/>
              </w:rPr>
            </w:pPr>
          </w:p>
        </w:tc>
        <w:tc>
          <w:tcPr>
            <w:tcW w:w="1653" w:type="dxa"/>
            <w:shd w:val="clear" w:color="auto" w:fill="auto"/>
            <w:vAlign w:val="center"/>
          </w:tcPr>
          <w:p>
            <w:pPr>
              <w:ind w:firstLine="0"/>
              <w:jc w:val="both"/>
              <w:rPr>
                <w:rFonts w:ascii="宋体" w:hAnsi="宋体" w:eastAsia="宋体"/>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宋体" w:hAnsi="宋体" w:eastAsia="宋体"/>
                <w:kern w:val="2"/>
                <w:sz w:val="28"/>
                <w:szCs w:val="28"/>
              </w:rPr>
            </w:pPr>
          </w:p>
        </w:tc>
        <w:tc>
          <w:tcPr>
            <w:tcW w:w="1361" w:type="dxa"/>
            <w:shd w:val="clear" w:color="auto" w:fill="auto"/>
            <w:vAlign w:val="center"/>
          </w:tcPr>
          <w:p>
            <w:pPr>
              <w:ind w:firstLine="0"/>
              <w:jc w:val="both"/>
              <w:rPr>
                <w:rFonts w:ascii="宋体" w:hAnsi="宋体" w:eastAsia="宋体"/>
                <w:kern w:val="2"/>
                <w:sz w:val="28"/>
                <w:szCs w:val="28"/>
              </w:rPr>
            </w:pPr>
          </w:p>
        </w:tc>
        <w:tc>
          <w:tcPr>
            <w:tcW w:w="1474" w:type="dxa"/>
            <w:shd w:val="clear" w:color="auto" w:fill="auto"/>
            <w:vAlign w:val="center"/>
          </w:tcPr>
          <w:p>
            <w:pPr>
              <w:ind w:firstLine="0"/>
              <w:jc w:val="both"/>
              <w:rPr>
                <w:rFonts w:ascii="宋体" w:hAnsi="宋体" w:eastAsia="宋体"/>
                <w:kern w:val="2"/>
                <w:sz w:val="28"/>
                <w:szCs w:val="28"/>
              </w:rPr>
            </w:pPr>
          </w:p>
        </w:tc>
        <w:tc>
          <w:tcPr>
            <w:tcW w:w="851" w:type="dxa"/>
            <w:shd w:val="clear" w:color="auto" w:fill="auto"/>
            <w:vAlign w:val="center"/>
          </w:tcPr>
          <w:p>
            <w:pPr>
              <w:ind w:firstLine="0"/>
              <w:jc w:val="both"/>
              <w:rPr>
                <w:rFonts w:ascii="宋体" w:hAnsi="宋体" w:eastAsia="宋体"/>
                <w:kern w:val="2"/>
                <w:sz w:val="28"/>
                <w:szCs w:val="28"/>
              </w:rPr>
            </w:pPr>
          </w:p>
        </w:tc>
        <w:tc>
          <w:tcPr>
            <w:tcW w:w="1559" w:type="dxa"/>
            <w:shd w:val="clear" w:color="auto" w:fill="auto"/>
            <w:vAlign w:val="center"/>
          </w:tcPr>
          <w:p>
            <w:pPr>
              <w:ind w:firstLine="0"/>
              <w:jc w:val="both"/>
              <w:rPr>
                <w:rFonts w:ascii="宋体" w:hAnsi="宋体" w:eastAsia="宋体"/>
                <w:kern w:val="2"/>
                <w:sz w:val="28"/>
                <w:szCs w:val="28"/>
              </w:rPr>
            </w:pPr>
          </w:p>
        </w:tc>
        <w:tc>
          <w:tcPr>
            <w:tcW w:w="1418" w:type="dxa"/>
            <w:shd w:val="clear" w:color="auto" w:fill="auto"/>
            <w:vAlign w:val="center"/>
          </w:tcPr>
          <w:p>
            <w:pPr>
              <w:ind w:firstLine="0"/>
              <w:jc w:val="both"/>
              <w:rPr>
                <w:rFonts w:ascii="宋体" w:hAnsi="宋体" w:eastAsia="宋体"/>
                <w:kern w:val="2"/>
                <w:sz w:val="28"/>
                <w:szCs w:val="28"/>
              </w:rPr>
            </w:pPr>
          </w:p>
        </w:tc>
        <w:tc>
          <w:tcPr>
            <w:tcW w:w="1653" w:type="dxa"/>
            <w:shd w:val="clear" w:color="auto" w:fill="auto"/>
            <w:vAlign w:val="center"/>
          </w:tcPr>
          <w:p>
            <w:pPr>
              <w:ind w:firstLine="0"/>
              <w:jc w:val="both"/>
              <w:rPr>
                <w:rFonts w:ascii="宋体" w:hAnsi="宋体" w:eastAsia="宋体"/>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宋体" w:hAnsi="宋体" w:eastAsia="宋体"/>
                <w:kern w:val="2"/>
                <w:sz w:val="28"/>
                <w:szCs w:val="28"/>
              </w:rPr>
            </w:pPr>
          </w:p>
        </w:tc>
        <w:tc>
          <w:tcPr>
            <w:tcW w:w="1361" w:type="dxa"/>
            <w:shd w:val="clear" w:color="auto" w:fill="auto"/>
            <w:vAlign w:val="center"/>
          </w:tcPr>
          <w:p>
            <w:pPr>
              <w:ind w:firstLine="0"/>
              <w:jc w:val="both"/>
              <w:rPr>
                <w:rFonts w:ascii="宋体" w:hAnsi="宋体" w:eastAsia="宋体"/>
                <w:kern w:val="2"/>
                <w:sz w:val="28"/>
                <w:szCs w:val="28"/>
              </w:rPr>
            </w:pPr>
          </w:p>
        </w:tc>
        <w:tc>
          <w:tcPr>
            <w:tcW w:w="1474" w:type="dxa"/>
            <w:shd w:val="clear" w:color="auto" w:fill="auto"/>
            <w:vAlign w:val="center"/>
          </w:tcPr>
          <w:p>
            <w:pPr>
              <w:ind w:firstLine="0"/>
              <w:jc w:val="both"/>
              <w:rPr>
                <w:rFonts w:ascii="宋体" w:hAnsi="宋体" w:eastAsia="宋体"/>
                <w:kern w:val="2"/>
                <w:sz w:val="28"/>
                <w:szCs w:val="28"/>
              </w:rPr>
            </w:pPr>
          </w:p>
        </w:tc>
        <w:tc>
          <w:tcPr>
            <w:tcW w:w="851" w:type="dxa"/>
            <w:shd w:val="clear" w:color="auto" w:fill="auto"/>
            <w:vAlign w:val="center"/>
          </w:tcPr>
          <w:p>
            <w:pPr>
              <w:ind w:firstLine="0"/>
              <w:jc w:val="both"/>
              <w:rPr>
                <w:rFonts w:ascii="宋体" w:hAnsi="宋体" w:eastAsia="宋体"/>
                <w:kern w:val="2"/>
                <w:sz w:val="28"/>
                <w:szCs w:val="28"/>
              </w:rPr>
            </w:pPr>
          </w:p>
        </w:tc>
        <w:tc>
          <w:tcPr>
            <w:tcW w:w="1559" w:type="dxa"/>
            <w:shd w:val="clear" w:color="auto" w:fill="auto"/>
            <w:vAlign w:val="center"/>
          </w:tcPr>
          <w:p>
            <w:pPr>
              <w:ind w:firstLine="0"/>
              <w:jc w:val="both"/>
              <w:rPr>
                <w:rFonts w:ascii="宋体" w:hAnsi="宋体" w:eastAsia="宋体"/>
                <w:kern w:val="2"/>
                <w:sz w:val="28"/>
                <w:szCs w:val="28"/>
              </w:rPr>
            </w:pPr>
          </w:p>
        </w:tc>
        <w:tc>
          <w:tcPr>
            <w:tcW w:w="1418" w:type="dxa"/>
            <w:shd w:val="clear" w:color="auto" w:fill="auto"/>
            <w:vAlign w:val="center"/>
          </w:tcPr>
          <w:p>
            <w:pPr>
              <w:ind w:firstLine="0"/>
              <w:jc w:val="both"/>
              <w:rPr>
                <w:rFonts w:ascii="宋体" w:hAnsi="宋体" w:eastAsia="宋体"/>
                <w:kern w:val="2"/>
                <w:sz w:val="28"/>
                <w:szCs w:val="28"/>
              </w:rPr>
            </w:pPr>
          </w:p>
        </w:tc>
        <w:tc>
          <w:tcPr>
            <w:tcW w:w="1653" w:type="dxa"/>
            <w:shd w:val="clear" w:color="auto" w:fill="auto"/>
            <w:vAlign w:val="center"/>
          </w:tcPr>
          <w:p>
            <w:pPr>
              <w:ind w:firstLine="0"/>
              <w:jc w:val="both"/>
              <w:rPr>
                <w:rFonts w:ascii="宋体" w:hAnsi="宋体" w:eastAsia="宋体"/>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宋体" w:hAnsi="宋体" w:eastAsia="宋体"/>
                <w:kern w:val="2"/>
                <w:sz w:val="28"/>
                <w:szCs w:val="28"/>
              </w:rPr>
            </w:pPr>
          </w:p>
        </w:tc>
        <w:tc>
          <w:tcPr>
            <w:tcW w:w="1361" w:type="dxa"/>
            <w:shd w:val="clear" w:color="auto" w:fill="auto"/>
            <w:vAlign w:val="center"/>
          </w:tcPr>
          <w:p>
            <w:pPr>
              <w:ind w:firstLine="0"/>
              <w:jc w:val="both"/>
              <w:rPr>
                <w:rFonts w:ascii="宋体" w:hAnsi="宋体" w:eastAsia="宋体"/>
                <w:kern w:val="2"/>
                <w:sz w:val="28"/>
                <w:szCs w:val="28"/>
              </w:rPr>
            </w:pPr>
          </w:p>
        </w:tc>
        <w:tc>
          <w:tcPr>
            <w:tcW w:w="1474" w:type="dxa"/>
            <w:shd w:val="clear" w:color="auto" w:fill="auto"/>
            <w:vAlign w:val="center"/>
          </w:tcPr>
          <w:p>
            <w:pPr>
              <w:ind w:firstLine="0"/>
              <w:jc w:val="both"/>
              <w:rPr>
                <w:rFonts w:ascii="宋体" w:hAnsi="宋体" w:eastAsia="宋体"/>
                <w:kern w:val="2"/>
                <w:sz w:val="28"/>
                <w:szCs w:val="28"/>
              </w:rPr>
            </w:pPr>
          </w:p>
        </w:tc>
        <w:tc>
          <w:tcPr>
            <w:tcW w:w="851" w:type="dxa"/>
            <w:shd w:val="clear" w:color="auto" w:fill="auto"/>
            <w:vAlign w:val="center"/>
          </w:tcPr>
          <w:p>
            <w:pPr>
              <w:ind w:firstLine="0"/>
              <w:jc w:val="both"/>
              <w:rPr>
                <w:rFonts w:ascii="宋体" w:hAnsi="宋体" w:eastAsia="宋体"/>
                <w:kern w:val="2"/>
                <w:sz w:val="28"/>
                <w:szCs w:val="28"/>
              </w:rPr>
            </w:pPr>
          </w:p>
        </w:tc>
        <w:tc>
          <w:tcPr>
            <w:tcW w:w="1559" w:type="dxa"/>
            <w:shd w:val="clear" w:color="auto" w:fill="auto"/>
            <w:vAlign w:val="center"/>
          </w:tcPr>
          <w:p>
            <w:pPr>
              <w:ind w:firstLine="0"/>
              <w:jc w:val="both"/>
              <w:rPr>
                <w:rFonts w:ascii="宋体" w:hAnsi="宋体" w:eastAsia="宋体"/>
                <w:kern w:val="2"/>
                <w:sz w:val="28"/>
                <w:szCs w:val="28"/>
              </w:rPr>
            </w:pPr>
          </w:p>
        </w:tc>
        <w:tc>
          <w:tcPr>
            <w:tcW w:w="1418" w:type="dxa"/>
            <w:shd w:val="clear" w:color="auto" w:fill="auto"/>
            <w:vAlign w:val="center"/>
          </w:tcPr>
          <w:p>
            <w:pPr>
              <w:ind w:firstLine="0"/>
              <w:jc w:val="both"/>
              <w:rPr>
                <w:rFonts w:ascii="宋体" w:hAnsi="宋体" w:eastAsia="宋体"/>
                <w:kern w:val="2"/>
                <w:sz w:val="28"/>
                <w:szCs w:val="28"/>
              </w:rPr>
            </w:pPr>
          </w:p>
        </w:tc>
        <w:tc>
          <w:tcPr>
            <w:tcW w:w="1653" w:type="dxa"/>
            <w:shd w:val="clear" w:color="auto" w:fill="auto"/>
            <w:vAlign w:val="center"/>
          </w:tcPr>
          <w:p>
            <w:pPr>
              <w:ind w:firstLine="0"/>
              <w:jc w:val="both"/>
              <w:rPr>
                <w:rFonts w:ascii="宋体" w:hAnsi="宋体" w:eastAsia="宋体"/>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宋体" w:hAnsi="宋体" w:eastAsia="宋体"/>
                <w:kern w:val="2"/>
                <w:sz w:val="28"/>
                <w:szCs w:val="28"/>
              </w:rPr>
            </w:pPr>
          </w:p>
        </w:tc>
        <w:tc>
          <w:tcPr>
            <w:tcW w:w="1361" w:type="dxa"/>
            <w:shd w:val="clear" w:color="auto" w:fill="auto"/>
            <w:vAlign w:val="center"/>
          </w:tcPr>
          <w:p>
            <w:pPr>
              <w:ind w:firstLine="0"/>
              <w:jc w:val="both"/>
              <w:rPr>
                <w:rFonts w:ascii="宋体" w:hAnsi="宋体" w:eastAsia="宋体"/>
                <w:kern w:val="2"/>
                <w:sz w:val="28"/>
                <w:szCs w:val="28"/>
              </w:rPr>
            </w:pPr>
          </w:p>
        </w:tc>
        <w:tc>
          <w:tcPr>
            <w:tcW w:w="1474" w:type="dxa"/>
            <w:shd w:val="clear" w:color="auto" w:fill="auto"/>
            <w:vAlign w:val="center"/>
          </w:tcPr>
          <w:p>
            <w:pPr>
              <w:ind w:firstLine="0"/>
              <w:jc w:val="both"/>
              <w:rPr>
                <w:rFonts w:ascii="宋体" w:hAnsi="宋体" w:eastAsia="宋体"/>
                <w:kern w:val="2"/>
                <w:sz w:val="28"/>
                <w:szCs w:val="28"/>
              </w:rPr>
            </w:pPr>
          </w:p>
        </w:tc>
        <w:tc>
          <w:tcPr>
            <w:tcW w:w="851" w:type="dxa"/>
            <w:shd w:val="clear" w:color="auto" w:fill="auto"/>
            <w:vAlign w:val="center"/>
          </w:tcPr>
          <w:p>
            <w:pPr>
              <w:ind w:firstLine="0"/>
              <w:jc w:val="both"/>
              <w:rPr>
                <w:rFonts w:ascii="宋体" w:hAnsi="宋体" w:eastAsia="宋体"/>
                <w:kern w:val="2"/>
                <w:sz w:val="28"/>
                <w:szCs w:val="28"/>
              </w:rPr>
            </w:pPr>
          </w:p>
        </w:tc>
        <w:tc>
          <w:tcPr>
            <w:tcW w:w="1559" w:type="dxa"/>
            <w:shd w:val="clear" w:color="auto" w:fill="auto"/>
            <w:vAlign w:val="center"/>
          </w:tcPr>
          <w:p>
            <w:pPr>
              <w:ind w:firstLine="0"/>
              <w:jc w:val="both"/>
              <w:rPr>
                <w:rFonts w:ascii="宋体" w:hAnsi="宋体" w:eastAsia="宋体"/>
                <w:kern w:val="2"/>
                <w:sz w:val="28"/>
                <w:szCs w:val="28"/>
              </w:rPr>
            </w:pPr>
          </w:p>
        </w:tc>
        <w:tc>
          <w:tcPr>
            <w:tcW w:w="1418" w:type="dxa"/>
            <w:shd w:val="clear" w:color="auto" w:fill="auto"/>
            <w:vAlign w:val="center"/>
          </w:tcPr>
          <w:p>
            <w:pPr>
              <w:ind w:firstLine="0"/>
              <w:jc w:val="both"/>
              <w:rPr>
                <w:rFonts w:ascii="宋体" w:hAnsi="宋体" w:eastAsia="宋体"/>
                <w:kern w:val="2"/>
                <w:sz w:val="28"/>
                <w:szCs w:val="28"/>
              </w:rPr>
            </w:pPr>
          </w:p>
        </w:tc>
        <w:tc>
          <w:tcPr>
            <w:tcW w:w="1653" w:type="dxa"/>
            <w:shd w:val="clear" w:color="auto" w:fill="auto"/>
            <w:vAlign w:val="center"/>
          </w:tcPr>
          <w:p>
            <w:pPr>
              <w:ind w:firstLine="0"/>
              <w:jc w:val="both"/>
              <w:rPr>
                <w:rFonts w:ascii="宋体" w:hAnsi="宋体" w:eastAsia="宋体"/>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宋体" w:hAnsi="宋体" w:eastAsia="宋体"/>
                <w:kern w:val="2"/>
                <w:sz w:val="28"/>
                <w:szCs w:val="28"/>
              </w:rPr>
            </w:pPr>
          </w:p>
        </w:tc>
        <w:tc>
          <w:tcPr>
            <w:tcW w:w="1361" w:type="dxa"/>
            <w:shd w:val="clear" w:color="auto" w:fill="auto"/>
            <w:vAlign w:val="center"/>
          </w:tcPr>
          <w:p>
            <w:pPr>
              <w:ind w:firstLine="0"/>
              <w:jc w:val="both"/>
              <w:rPr>
                <w:rFonts w:ascii="宋体" w:hAnsi="宋体" w:eastAsia="宋体"/>
                <w:kern w:val="2"/>
                <w:sz w:val="28"/>
                <w:szCs w:val="28"/>
              </w:rPr>
            </w:pPr>
          </w:p>
        </w:tc>
        <w:tc>
          <w:tcPr>
            <w:tcW w:w="1474" w:type="dxa"/>
            <w:shd w:val="clear" w:color="auto" w:fill="auto"/>
            <w:vAlign w:val="center"/>
          </w:tcPr>
          <w:p>
            <w:pPr>
              <w:ind w:firstLine="0"/>
              <w:jc w:val="both"/>
              <w:rPr>
                <w:rFonts w:ascii="宋体" w:hAnsi="宋体" w:eastAsia="宋体"/>
                <w:kern w:val="2"/>
                <w:sz w:val="28"/>
                <w:szCs w:val="28"/>
              </w:rPr>
            </w:pPr>
          </w:p>
        </w:tc>
        <w:tc>
          <w:tcPr>
            <w:tcW w:w="851" w:type="dxa"/>
            <w:shd w:val="clear" w:color="auto" w:fill="auto"/>
            <w:vAlign w:val="center"/>
          </w:tcPr>
          <w:p>
            <w:pPr>
              <w:ind w:firstLine="0"/>
              <w:jc w:val="both"/>
              <w:rPr>
                <w:rFonts w:ascii="宋体" w:hAnsi="宋体" w:eastAsia="宋体"/>
                <w:kern w:val="2"/>
                <w:sz w:val="28"/>
                <w:szCs w:val="28"/>
              </w:rPr>
            </w:pPr>
          </w:p>
        </w:tc>
        <w:tc>
          <w:tcPr>
            <w:tcW w:w="1559" w:type="dxa"/>
            <w:shd w:val="clear" w:color="auto" w:fill="auto"/>
            <w:vAlign w:val="center"/>
          </w:tcPr>
          <w:p>
            <w:pPr>
              <w:ind w:firstLine="0"/>
              <w:jc w:val="both"/>
              <w:rPr>
                <w:rFonts w:ascii="宋体" w:hAnsi="宋体" w:eastAsia="宋体"/>
                <w:kern w:val="2"/>
                <w:sz w:val="28"/>
                <w:szCs w:val="28"/>
              </w:rPr>
            </w:pPr>
          </w:p>
        </w:tc>
        <w:tc>
          <w:tcPr>
            <w:tcW w:w="1418" w:type="dxa"/>
            <w:shd w:val="clear" w:color="auto" w:fill="auto"/>
            <w:vAlign w:val="center"/>
          </w:tcPr>
          <w:p>
            <w:pPr>
              <w:ind w:firstLine="0"/>
              <w:jc w:val="both"/>
              <w:rPr>
                <w:rFonts w:ascii="宋体" w:hAnsi="宋体" w:eastAsia="宋体"/>
                <w:kern w:val="2"/>
                <w:sz w:val="28"/>
                <w:szCs w:val="28"/>
              </w:rPr>
            </w:pPr>
          </w:p>
        </w:tc>
        <w:tc>
          <w:tcPr>
            <w:tcW w:w="1653" w:type="dxa"/>
            <w:shd w:val="clear" w:color="auto" w:fill="auto"/>
            <w:vAlign w:val="center"/>
          </w:tcPr>
          <w:p>
            <w:pPr>
              <w:ind w:firstLine="0"/>
              <w:jc w:val="both"/>
              <w:rPr>
                <w:rFonts w:ascii="宋体" w:hAnsi="宋体" w:eastAsia="宋体"/>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宋体" w:hAnsi="宋体" w:eastAsia="宋体"/>
                <w:kern w:val="2"/>
                <w:sz w:val="28"/>
                <w:szCs w:val="28"/>
              </w:rPr>
            </w:pPr>
          </w:p>
        </w:tc>
        <w:tc>
          <w:tcPr>
            <w:tcW w:w="1361" w:type="dxa"/>
            <w:shd w:val="clear" w:color="auto" w:fill="auto"/>
            <w:vAlign w:val="center"/>
          </w:tcPr>
          <w:p>
            <w:pPr>
              <w:ind w:firstLine="0"/>
              <w:jc w:val="both"/>
              <w:rPr>
                <w:rFonts w:ascii="宋体" w:hAnsi="宋体" w:eastAsia="宋体"/>
                <w:kern w:val="2"/>
                <w:sz w:val="28"/>
                <w:szCs w:val="28"/>
              </w:rPr>
            </w:pPr>
          </w:p>
        </w:tc>
        <w:tc>
          <w:tcPr>
            <w:tcW w:w="1474" w:type="dxa"/>
            <w:shd w:val="clear" w:color="auto" w:fill="auto"/>
            <w:vAlign w:val="center"/>
          </w:tcPr>
          <w:p>
            <w:pPr>
              <w:ind w:firstLine="0"/>
              <w:jc w:val="both"/>
              <w:rPr>
                <w:rFonts w:ascii="宋体" w:hAnsi="宋体" w:eastAsia="宋体"/>
                <w:kern w:val="2"/>
                <w:sz w:val="28"/>
                <w:szCs w:val="28"/>
              </w:rPr>
            </w:pPr>
          </w:p>
        </w:tc>
        <w:tc>
          <w:tcPr>
            <w:tcW w:w="851" w:type="dxa"/>
            <w:shd w:val="clear" w:color="auto" w:fill="auto"/>
            <w:vAlign w:val="center"/>
          </w:tcPr>
          <w:p>
            <w:pPr>
              <w:ind w:firstLine="0"/>
              <w:jc w:val="both"/>
              <w:rPr>
                <w:rFonts w:ascii="宋体" w:hAnsi="宋体" w:eastAsia="宋体"/>
                <w:kern w:val="2"/>
                <w:sz w:val="28"/>
                <w:szCs w:val="28"/>
              </w:rPr>
            </w:pPr>
          </w:p>
        </w:tc>
        <w:tc>
          <w:tcPr>
            <w:tcW w:w="1559" w:type="dxa"/>
            <w:shd w:val="clear" w:color="auto" w:fill="auto"/>
            <w:vAlign w:val="center"/>
          </w:tcPr>
          <w:p>
            <w:pPr>
              <w:ind w:firstLine="0"/>
              <w:jc w:val="both"/>
              <w:rPr>
                <w:rFonts w:ascii="宋体" w:hAnsi="宋体" w:eastAsia="宋体"/>
                <w:kern w:val="2"/>
                <w:sz w:val="28"/>
                <w:szCs w:val="28"/>
              </w:rPr>
            </w:pPr>
          </w:p>
        </w:tc>
        <w:tc>
          <w:tcPr>
            <w:tcW w:w="1418" w:type="dxa"/>
            <w:shd w:val="clear" w:color="auto" w:fill="auto"/>
            <w:vAlign w:val="center"/>
          </w:tcPr>
          <w:p>
            <w:pPr>
              <w:ind w:firstLine="0"/>
              <w:jc w:val="both"/>
              <w:rPr>
                <w:rFonts w:ascii="宋体" w:hAnsi="宋体" w:eastAsia="宋体"/>
                <w:kern w:val="2"/>
                <w:sz w:val="28"/>
                <w:szCs w:val="28"/>
              </w:rPr>
            </w:pPr>
          </w:p>
        </w:tc>
        <w:tc>
          <w:tcPr>
            <w:tcW w:w="1653" w:type="dxa"/>
            <w:shd w:val="clear" w:color="auto" w:fill="auto"/>
            <w:vAlign w:val="center"/>
          </w:tcPr>
          <w:p>
            <w:pPr>
              <w:ind w:firstLine="0"/>
              <w:jc w:val="both"/>
              <w:rPr>
                <w:rFonts w:ascii="宋体" w:hAnsi="宋体" w:eastAsia="宋体"/>
                <w:kern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ind w:firstLine="0"/>
              <w:jc w:val="both"/>
              <w:rPr>
                <w:rFonts w:ascii="宋体" w:hAnsi="宋体" w:eastAsia="宋体"/>
                <w:kern w:val="2"/>
                <w:sz w:val="28"/>
                <w:szCs w:val="28"/>
              </w:rPr>
            </w:pPr>
            <w:r>
              <w:rPr>
                <w:rFonts w:ascii="宋体" w:hAnsi="宋体" w:eastAsia="宋体"/>
                <w:kern w:val="2"/>
                <w:sz w:val="28"/>
                <w:szCs w:val="28"/>
              </w:rPr>
              <w:t>备注</w:t>
            </w:r>
          </w:p>
        </w:tc>
        <w:tc>
          <w:tcPr>
            <w:tcW w:w="8316" w:type="dxa"/>
            <w:gridSpan w:val="6"/>
            <w:shd w:val="clear" w:color="auto" w:fill="auto"/>
            <w:vAlign w:val="center"/>
          </w:tcPr>
          <w:p>
            <w:pPr>
              <w:ind w:firstLine="0"/>
              <w:jc w:val="both"/>
              <w:rPr>
                <w:rFonts w:ascii="宋体" w:hAnsi="宋体" w:eastAsia="宋体"/>
                <w:kern w:val="2"/>
                <w:sz w:val="28"/>
                <w:szCs w:val="28"/>
              </w:rPr>
            </w:pPr>
            <w:r>
              <w:rPr>
                <w:rFonts w:hint="eastAsia" w:ascii="宋体" w:hAnsi="宋体" w:eastAsia="宋体"/>
                <w:kern w:val="2"/>
                <w:sz w:val="28"/>
                <w:szCs w:val="28"/>
              </w:rPr>
              <w:t>1．</w:t>
            </w:r>
            <w:r>
              <w:rPr>
                <w:rFonts w:ascii="宋体" w:hAnsi="宋体" w:eastAsia="宋体"/>
                <w:kern w:val="2"/>
                <w:sz w:val="28"/>
                <w:szCs w:val="28"/>
              </w:rPr>
              <w:t>表格行数不足时请自行扩展。</w:t>
            </w:r>
          </w:p>
          <w:p>
            <w:pPr>
              <w:ind w:firstLine="0"/>
              <w:jc w:val="both"/>
              <w:rPr>
                <w:rFonts w:ascii="宋体" w:hAnsi="宋体" w:eastAsia="宋体"/>
                <w:kern w:val="2"/>
                <w:sz w:val="28"/>
                <w:szCs w:val="28"/>
              </w:rPr>
            </w:pPr>
            <w:r>
              <w:rPr>
                <w:rFonts w:ascii="宋体" w:hAnsi="宋体" w:eastAsia="宋体"/>
                <w:kern w:val="2"/>
                <w:sz w:val="28"/>
                <w:szCs w:val="28"/>
              </w:rPr>
              <w:t>2</w:t>
            </w:r>
            <w:r>
              <w:rPr>
                <w:rFonts w:hint="eastAsia" w:ascii="宋体" w:hAnsi="宋体" w:eastAsia="宋体"/>
                <w:kern w:val="2"/>
                <w:sz w:val="28"/>
                <w:szCs w:val="28"/>
              </w:rPr>
              <w:t>．设备可以填写单台设备，也可以填写成套设备。</w:t>
            </w:r>
          </w:p>
        </w:tc>
      </w:tr>
    </w:tbl>
    <w:p>
      <w:pPr>
        <w:spacing w:line="560" w:lineRule="exact"/>
        <w:ind w:firstLine="3222" w:firstLineChars="1151"/>
        <w:jc w:val="both"/>
        <w:rPr>
          <w:rFonts w:ascii="宋体" w:hAnsi="宋体" w:eastAsia="宋体"/>
          <w:sz w:val="28"/>
          <w:szCs w:val="28"/>
        </w:rPr>
      </w:pPr>
      <w:r>
        <w:rPr>
          <w:rFonts w:ascii="宋体" w:hAnsi="宋体" w:eastAsia="宋体"/>
          <w:sz w:val="28"/>
          <w:szCs w:val="28"/>
        </w:rPr>
        <w:t>供应商：（供应商全称并加盖公章）</w:t>
      </w:r>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r>
        <w:rPr>
          <w:rFonts w:hint="eastAsia" w:ascii="宋体" w:hAnsi="宋体" w:eastAsia="宋体"/>
          <w:sz w:val="32"/>
          <w:szCs w:val="32"/>
        </w:rPr>
        <w:t>3．业绩</w:t>
      </w:r>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p>
    <w:p>
      <w:pPr>
        <w:spacing w:line="560" w:lineRule="exact"/>
        <w:ind w:firstLine="640" w:firstLineChars="200"/>
        <w:jc w:val="both"/>
        <w:rPr>
          <w:rFonts w:ascii="宋体" w:hAnsi="宋体" w:eastAsia="宋体"/>
          <w:sz w:val="32"/>
          <w:szCs w:val="32"/>
        </w:rPr>
      </w:pPr>
      <w:r>
        <w:rPr>
          <w:rFonts w:hint="eastAsia" w:ascii="宋体" w:hAnsi="宋体" w:eastAsia="宋体"/>
          <w:sz w:val="32"/>
          <w:szCs w:val="32"/>
        </w:rPr>
        <w:t>4.其他（根据招标文件要求自行补充）</w:t>
      </w:r>
    </w:p>
    <w:sectPr>
      <w:headerReference r:id="rId5" w:type="default"/>
      <w:headerReference r:id="rId6" w:type="even"/>
      <w:pgSz w:w="11906" w:h="16838"/>
      <w:pgMar w:top="1440" w:right="1800" w:bottom="1440" w:left="1800" w:header="851" w:footer="992" w:gutter="0"/>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
    <w:altName w:val="Times New Roman"/>
    <w:panose1 w:val="00000000000000000000"/>
    <w:charset w:val="00"/>
    <w:family w:val="auto"/>
    <w:pitch w:val="default"/>
    <w:sig w:usb0="00000000" w:usb1="00000000" w:usb2="00000000" w:usb3="00000000" w:csb0="00000001" w:csb1="00000000"/>
  </w:font>
  <w:font w:name="华文仿宋">
    <w:altName w:val="宋体"/>
    <w:panose1 w:val="00000000000000000000"/>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0000000000000000000"/>
    <w:charset w:val="86"/>
    <w:family w:val="auto"/>
    <w:pitch w:val="default"/>
    <w:sig w:usb0="00000000" w:usb1="00000000" w:usb2="00000010" w:usb3="00000000" w:csb0="0004009F" w:csb1="00000000"/>
  </w:font>
  <w:font w:name="仿宋_GB2312">
    <w:panose1 w:val="02010609030101010101"/>
    <w:charset w:val="86"/>
    <w:family w:val="swiss"/>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2749306"/>
    </w:sdtPr>
    <w:sdtContent>
      <w:p>
        <w:pPr>
          <w:pStyle w:val="25"/>
          <w:jc w:val="center"/>
        </w:pPr>
        <w:r>
          <w:fldChar w:fldCharType="begin"/>
        </w:r>
        <w:r>
          <w:instrText xml:space="preserve">PAGE   \* MERGEFORMAT</w:instrText>
        </w:r>
        <w:r>
          <w:fldChar w:fldCharType="separate"/>
        </w:r>
        <w:r>
          <w:rPr>
            <w:lang w:val="zh-CN"/>
          </w:rPr>
          <w:t>2</w:t>
        </w:r>
        <w:r>
          <w:fldChar w:fldCharType="end"/>
        </w:r>
      </w:p>
    </w:sdtContent>
  </w:sdt>
  <w:p>
    <w:pPr>
      <w:pStyle w:val="17"/>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1762257"/>
    </w:sdtPr>
    <w:sdtContent>
      <w:p>
        <w:pPr>
          <w:pStyle w:val="25"/>
          <w:jc w:val="center"/>
        </w:pPr>
        <w:r>
          <w:fldChar w:fldCharType="begin"/>
        </w:r>
        <w:r>
          <w:instrText xml:space="preserve">PAGE   \* MERGEFORMAT</w:instrText>
        </w:r>
        <w:r>
          <w:fldChar w:fldCharType="separate"/>
        </w:r>
        <w:r>
          <w:rPr>
            <w:lang w:val="zh-CN"/>
          </w:rPr>
          <w:t>2</w:t>
        </w:r>
        <w:r>
          <w:fldChar w:fldCharType="end"/>
        </w:r>
      </w:p>
    </w:sdtContent>
  </w:sdt>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220" w:hanging="601"/>
        <w:jc w:val="left"/>
      </w:pPr>
      <w:rPr>
        <w:rFonts w:hint="default" w:ascii="宋体" w:hAnsi="宋体" w:eastAsia="宋体" w:cs="宋体"/>
        <w:spacing w:val="-27"/>
        <w:w w:val="100"/>
        <w:sz w:val="22"/>
        <w:szCs w:val="22"/>
        <w:lang w:val="zh-CN" w:eastAsia="zh-CN" w:bidi="zh-CN"/>
      </w:rPr>
    </w:lvl>
    <w:lvl w:ilvl="1" w:tentative="0">
      <w:start w:val="0"/>
      <w:numFmt w:val="bullet"/>
      <w:lvlText w:val="•"/>
      <w:lvlJc w:val="left"/>
      <w:pPr>
        <w:ind w:left="1191" w:hanging="601"/>
      </w:pPr>
      <w:rPr>
        <w:rFonts w:hint="default"/>
        <w:lang w:val="zh-CN" w:eastAsia="zh-CN" w:bidi="zh-CN"/>
      </w:rPr>
    </w:lvl>
    <w:lvl w:ilvl="2" w:tentative="0">
      <w:start w:val="0"/>
      <w:numFmt w:val="bullet"/>
      <w:lvlText w:val="•"/>
      <w:lvlJc w:val="left"/>
      <w:pPr>
        <w:ind w:left="2162" w:hanging="601"/>
      </w:pPr>
      <w:rPr>
        <w:rFonts w:hint="default"/>
        <w:lang w:val="zh-CN" w:eastAsia="zh-CN" w:bidi="zh-CN"/>
      </w:rPr>
    </w:lvl>
    <w:lvl w:ilvl="3" w:tentative="0">
      <w:start w:val="0"/>
      <w:numFmt w:val="bullet"/>
      <w:lvlText w:val="•"/>
      <w:lvlJc w:val="left"/>
      <w:pPr>
        <w:ind w:left="3133" w:hanging="601"/>
      </w:pPr>
      <w:rPr>
        <w:rFonts w:hint="default"/>
        <w:lang w:val="zh-CN" w:eastAsia="zh-CN" w:bidi="zh-CN"/>
      </w:rPr>
    </w:lvl>
    <w:lvl w:ilvl="4" w:tentative="0">
      <w:start w:val="0"/>
      <w:numFmt w:val="bullet"/>
      <w:lvlText w:val="•"/>
      <w:lvlJc w:val="left"/>
      <w:pPr>
        <w:ind w:left="4104" w:hanging="601"/>
      </w:pPr>
      <w:rPr>
        <w:rFonts w:hint="default"/>
        <w:lang w:val="zh-CN" w:eastAsia="zh-CN" w:bidi="zh-CN"/>
      </w:rPr>
    </w:lvl>
    <w:lvl w:ilvl="5" w:tentative="0">
      <w:start w:val="0"/>
      <w:numFmt w:val="bullet"/>
      <w:lvlText w:val="•"/>
      <w:lvlJc w:val="left"/>
      <w:pPr>
        <w:ind w:left="5075" w:hanging="601"/>
      </w:pPr>
      <w:rPr>
        <w:rFonts w:hint="default"/>
        <w:lang w:val="zh-CN" w:eastAsia="zh-CN" w:bidi="zh-CN"/>
      </w:rPr>
    </w:lvl>
    <w:lvl w:ilvl="6" w:tentative="0">
      <w:start w:val="0"/>
      <w:numFmt w:val="bullet"/>
      <w:lvlText w:val="•"/>
      <w:lvlJc w:val="left"/>
      <w:pPr>
        <w:ind w:left="6046" w:hanging="601"/>
      </w:pPr>
      <w:rPr>
        <w:rFonts w:hint="default"/>
        <w:lang w:val="zh-CN" w:eastAsia="zh-CN" w:bidi="zh-CN"/>
      </w:rPr>
    </w:lvl>
    <w:lvl w:ilvl="7" w:tentative="0">
      <w:start w:val="0"/>
      <w:numFmt w:val="bullet"/>
      <w:lvlText w:val="•"/>
      <w:lvlJc w:val="left"/>
      <w:pPr>
        <w:ind w:left="7017" w:hanging="601"/>
      </w:pPr>
      <w:rPr>
        <w:rFonts w:hint="default"/>
        <w:lang w:val="zh-CN" w:eastAsia="zh-CN" w:bidi="zh-CN"/>
      </w:rPr>
    </w:lvl>
    <w:lvl w:ilvl="8" w:tentative="0">
      <w:start w:val="0"/>
      <w:numFmt w:val="bullet"/>
      <w:lvlText w:val="•"/>
      <w:lvlJc w:val="left"/>
      <w:pPr>
        <w:ind w:left="7988" w:hanging="601"/>
      </w:pPr>
      <w:rPr>
        <w:rFonts w:hint="default"/>
        <w:lang w:val="zh-CN" w:eastAsia="zh-CN" w:bidi="zh-CN"/>
      </w:rPr>
    </w:lvl>
  </w:abstractNum>
  <w:abstractNum w:abstractNumId="1">
    <w:nsid w:val="845B5372"/>
    <w:multiLevelType w:val="multilevel"/>
    <w:tmpl w:val="845B5372"/>
    <w:lvl w:ilvl="0" w:tentative="0">
      <w:start w:val="24"/>
      <w:numFmt w:val="decimal"/>
      <w:lvlText w:val="%1"/>
      <w:lvlJc w:val="left"/>
      <w:pPr>
        <w:ind w:left="220" w:hanging="483"/>
        <w:jc w:val="left"/>
      </w:pPr>
      <w:rPr>
        <w:rFonts w:hint="default"/>
        <w:lang w:val="zh-CN" w:eastAsia="zh-CN" w:bidi="zh-CN"/>
      </w:rPr>
    </w:lvl>
    <w:lvl w:ilvl="1" w:tentative="0">
      <w:start w:val="1"/>
      <w:numFmt w:val="decimal"/>
      <w:lvlText w:val="%1-%2"/>
      <w:lvlJc w:val="left"/>
      <w:pPr>
        <w:ind w:left="220" w:hanging="483"/>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162" w:hanging="483"/>
      </w:pPr>
      <w:rPr>
        <w:rFonts w:hint="default"/>
        <w:lang w:val="zh-CN" w:eastAsia="zh-CN" w:bidi="zh-CN"/>
      </w:rPr>
    </w:lvl>
    <w:lvl w:ilvl="3" w:tentative="0">
      <w:start w:val="0"/>
      <w:numFmt w:val="bullet"/>
      <w:lvlText w:val="•"/>
      <w:lvlJc w:val="left"/>
      <w:pPr>
        <w:ind w:left="3133" w:hanging="483"/>
      </w:pPr>
      <w:rPr>
        <w:rFonts w:hint="default"/>
        <w:lang w:val="zh-CN" w:eastAsia="zh-CN" w:bidi="zh-CN"/>
      </w:rPr>
    </w:lvl>
    <w:lvl w:ilvl="4" w:tentative="0">
      <w:start w:val="0"/>
      <w:numFmt w:val="bullet"/>
      <w:lvlText w:val="•"/>
      <w:lvlJc w:val="left"/>
      <w:pPr>
        <w:ind w:left="4104" w:hanging="483"/>
      </w:pPr>
      <w:rPr>
        <w:rFonts w:hint="default"/>
        <w:lang w:val="zh-CN" w:eastAsia="zh-CN" w:bidi="zh-CN"/>
      </w:rPr>
    </w:lvl>
    <w:lvl w:ilvl="5" w:tentative="0">
      <w:start w:val="0"/>
      <w:numFmt w:val="bullet"/>
      <w:lvlText w:val="•"/>
      <w:lvlJc w:val="left"/>
      <w:pPr>
        <w:ind w:left="5075" w:hanging="483"/>
      </w:pPr>
      <w:rPr>
        <w:rFonts w:hint="default"/>
        <w:lang w:val="zh-CN" w:eastAsia="zh-CN" w:bidi="zh-CN"/>
      </w:rPr>
    </w:lvl>
    <w:lvl w:ilvl="6" w:tentative="0">
      <w:start w:val="0"/>
      <w:numFmt w:val="bullet"/>
      <w:lvlText w:val="•"/>
      <w:lvlJc w:val="left"/>
      <w:pPr>
        <w:ind w:left="6046" w:hanging="483"/>
      </w:pPr>
      <w:rPr>
        <w:rFonts w:hint="default"/>
        <w:lang w:val="zh-CN" w:eastAsia="zh-CN" w:bidi="zh-CN"/>
      </w:rPr>
    </w:lvl>
    <w:lvl w:ilvl="7" w:tentative="0">
      <w:start w:val="0"/>
      <w:numFmt w:val="bullet"/>
      <w:lvlText w:val="•"/>
      <w:lvlJc w:val="left"/>
      <w:pPr>
        <w:ind w:left="7017" w:hanging="483"/>
      </w:pPr>
      <w:rPr>
        <w:rFonts w:hint="default"/>
        <w:lang w:val="zh-CN" w:eastAsia="zh-CN" w:bidi="zh-CN"/>
      </w:rPr>
    </w:lvl>
    <w:lvl w:ilvl="8" w:tentative="0">
      <w:start w:val="0"/>
      <w:numFmt w:val="bullet"/>
      <w:lvlText w:val="•"/>
      <w:lvlJc w:val="left"/>
      <w:pPr>
        <w:ind w:left="7988" w:hanging="483"/>
      </w:pPr>
      <w:rPr>
        <w:rFonts w:hint="default"/>
        <w:lang w:val="zh-CN" w:eastAsia="zh-CN" w:bidi="zh-CN"/>
      </w:rPr>
    </w:lvl>
  </w:abstractNum>
  <w:abstractNum w:abstractNumId="2">
    <w:nsid w:val="8461FADE"/>
    <w:multiLevelType w:val="multilevel"/>
    <w:tmpl w:val="8461FADE"/>
    <w:lvl w:ilvl="0" w:tentative="0">
      <w:start w:val="1"/>
      <w:numFmt w:val="decimal"/>
      <w:lvlText w:val="（%1）"/>
      <w:lvlJc w:val="left"/>
      <w:pPr>
        <w:ind w:left="220" w:hanging="601"/>
        <w:jc w:val="left"/>
      </w:pPr>
      <w:rPr>
        <w:rFonts w:hint="default" w:ascii="宋体" w:hAnsi="宋体" w:eastAsia="宋体" w:cs="宋体"/>
        <w:spacing w:val="-27"/>
        <w:w w:val="100"/>
        <w:sz w:val="22"/>
        <w:szCs w:val="22"/>
        <w:lang w:val="zh-CN" w:eastAsia="zh-CN" w:bidi="zh-CN"/>
      </w:rPr>
    </w:lvl>
    <w:lvl w:ilvl="1" w:tentative="0">
      <w:start w:val="0"/>
      <w:numFmt w:val="bullet"/>
      <w:lvlText w:val="•"/>
      <w:lvlJc w:val="left"/>
      <w:pPr>
        <w:ind w:left="1191" w:hanging="601"/>
      </w:pPr>
      <w:rPr>
        <w:rFonts w:hint="default"/>
        <w:lang w:val="zh-CN" w:eastAsia="zh-CN" w:bidi="zh-CN"/>
      </w:rPr>
    </w:lvl>
    <w:lvl w:ilvl="2" w:tentative="0">
      <w:start w:val="0"/>
      <w:numFmt w:val="bullet"/>
      <w:lvlText w:val="•"/>
      <w:lvlJc w:val="left"/>
      <w:pPr>
        <w:ind w:left="2162" w:hanging="601"/>
      </w:pPr>
      <w:rPr>
        <w:rFonts w:hint="default"/>
        <w:lang w:val="zh-CN" w:eastAsia="zh-CN" w:bidi="zh-CN"/>
      </w:rPr>
    </w:lvl>
    <w:lvl w:ilvl="3" w:tentative="0">
      <w:start w:val="0"/>
      <w:numFmt w:val="bullet"/>
      <w:lvlText w:val="•"/>
      <w:lvlJc w:val="left"/>
      <w:pPr>
        <w:ind w:left="3133" w:hanging="601"/>
      </w:pPr>
      <w:rPr>
        <w:rFonts w:hint="default"/>
        <w:lang w:val="zh-CN" w:eastAsia="zh-CN" w:bidi="zh-CN"/>
      </w:rPr>
    </w:lvl>
    <w:lvl w:ilvl="4" w:tentative="0">
      <w:start w:val="0"/>
      <w:numFmt w:val="bullet"/>
      <w:lvlText w:val="•"/>
      <w:lvlJc w:val="left"/>
      <w:pPr>
        <w:ind w:left="4104" w:hanging="601"/>
      </w:pPr>
      <w:rPr>
        <w:rFonts w:hint="default"/>
        <w:lang w:val="zh-CN" w:eastAsia="zh-CN" w:bidi="zh-CN"/>
      </w:rPr>
    </w:lvl>
    <w:lvl w:ilvl="5" w:tentative="0">
      <w:start w:val="0"/>
      <w:numFmt w:val="bullet"/>
      <w:lvlText w:val="•"/>
      <w:lvlJc w:val="left"/>
      <w:pPr>
        <w:ind w:left="5075" w:hanging="601"/>
      </w:pPr>
      <w:rPr>
        <w:rFonts w:hint="default"/>
        <w:lang w:val="zh-CN" w:eastAsia="zh-CN" w:bidi="zh-CN"/>
      </w:rPr>
    </w:lvl>
    <w:lvl w:ilvl="6" w:tentative="0">
      <w:start w:val="0"/>
      <w:numFmt w:val="bullet"/>
      <w:lvlText w:val="•"/>
      <w:lvlJc w:val="left"/>
      <w:pPr>
        <w:ind w:left="6046" w:hanging="601"/>
      </w:pPr>
      <w:rPr>
        <w:rFonts w:hint="default"/>
        <w:lang w:val="zh-CN" w:eastAsia="zh-CN" w:bidi="zh-CN"/>
      </w:rPr>
    </w:lvl>
    <w:lvl w:ilvl="7" w:tentative="0">
      <w:start w:val="0"/>
      <w:numFmt w:val="bullet"/>
      <w:lvlText w:val="•"/>
      <w:lvlJc w:val="left"/>
      <w:pPr>
        <w:ind w:left="7017" w:hanging="601"/>
      </w:pPr>
      <w:rPr>
        <w:rFonts w:hint="default"/>
        <w:lang w:val="zh-CN" w:eastAsia="zh-CN" w:bidi="zh-CN"/>
      </w:rPr>
    </w:lvl>
    <w:lvl w:ilvl="8" w:tentative="0">
      <w:start w:val="0"/>
      <w:numFmt w:val="bullet"/>
      <w:lvlText w:val="•"/>
      <w:lvlJc w:val="left"/>
      <w:pPr>
        <w:ind w:left="7988" w:hanging="601"/>
      </w:pPr>
      <w:rPr>
        <w:rFonts w:hint="default"/>
        <w:lang w:val="zh-CN" w:eastAsia="zh-CN" w:bidi="zh-CN"/>
      </w:rPr>
    </w:lvl>
  </w:abstractNum>
  <w:abstractNum w:abstractNumId="3">
    <w:nsid w:val="91995D4F"/>
    <w:multiLevelType w:val="multilevel"/>
    <w:tmpl w:val="91995D4F"/>
    <w:lvl w:ilvl="0" w:tentative="0">
      <w:start w:val="1"/>
      <w:numFmt w:val="decimal"/>
      <w:lvlText w:val="（%1）"/>
      <w:lvlJc w:val="left"/>
      <w:pPr>
        <w:ind w:left="1301"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163" w:hanging="601"/>
      </w:pPr>
      <w:rPr>
        <w:rFonts w:hint="default"/>
        <w:lang w:val="zh-CN" w:eastAsia="zh-CN" w:bidi="zh-CN"/>
      </w:rPr>
    </w:lvl>
    <w:lvl w:ilvl="2" w:tentative="0">
      <w:start w:val="0"/>
      <w:numFmt w:val="bullet"/>
      <w:lvlText w:val="•"/>
      <w:lvlJc w:val="left"/>
      <w:pPr>
        <w:ind w:left="3026" w:hanging="601"/>
      </w:pPr>
      <w:rPr>
        <w:rFonts w:hint="default"/>
        <w:lang w:val="zh-CN" w:eastAsia="zh-CN" w:bidi="zh-CN"/>
      </w:rPr>
    </w:lvl>
    <w:lvl w:ilvl="3" w:tentative="0">
      <w:start w:val="0"/>
      <w:numFmt w:val="bullet"/>
      <w:lvlText w:val="•"/>
      <w:lvlJc w:val="left"/>
      <w:pPr>
        <w:ind w:left="3889" w:hanging="601"/>
      </w:pPr>
      <w:rPr>
        <w:rFonts w:hint="default"/>
        <w:lang w:val="zh-CN" w:eastAsia="zh-CN" w:bidi="zh-CN"/>
      </w:rPr>
    </w:lvl>
    <w:lvl w:ilvl="4" w:tentative="0">
      <w:start w:val="0"/>
      <w:numFmt w:val="bullet"/>
      <w:lvlText w:val="•"/>
      <w:lvlJc w:val="left"/>
      <w:pPr>
        <w:ind w:left="4752" w:hanging="601"/>
      </w:pPr>
      <w:rPr>
        <w:rFonts w:hint="default"/>
        <w:lang w:val="zh-CN" w:eastAsia="zh-CN" w:bidi="zh-CN"/>
      </w:rPr>
    </w:lvl>
    <w:lvl w:ilvl="5" w:tentative="0">
      <w:start w:val="0"/>
      <w:numFmt w:val="bullet"/>
      <w:lvlText w:val="•"/>
      <w:lvlJc w:val="left"/>
      <w:pPr>
        <w:ind w:left="5615" w:hanging="601"/>
      </w:pPr>
      <w:rPr>
        <w:rFonts w:hint="default"/>
        <w:lang w:val="zh-CN" w:eastAsia="zh-CN" w:bidi="zh-CN"/>
      </w:rPr>
    </w:lvl>
    <w:lvl w:ilvl="6" w:tentative="0">
      <w:start w:val="0"/>
      <w:numFmt w:val="bullet"/>
      <w:lvlText w:val="•"/>
      <w:lvlJc w:val="left"/>
      <w:pPr>
        <w:ind w:left="6478" w:hanging="601"/>
      </w:pPr>
      <w:rPr>
        <w:rFonts w:hint="default"/>
        <w:lang w:val="zh-CN" w:eastAsia="zh-CN" w:bidi="zh-CN"/>
      </w:rPr>
    </w:lvl>
    <w:lvl w:ilvl="7" w:tentative="0">
      <w:start w:val="0"/>
      <w:numFmt w:val="bullet"/>
      <w:lvlText w:val="•"/>
      <w:lvlJc w:val="left"/>
      <w:pPr>
        <w:ind w:left="7341" w:hanging="601"/>
      </w:pPr>
      <w:rPr>
        <w:rFonts w:hint="default"/>
        <w:lang w:val="zh-CN" w:eastAsia="zh-CN" w:bidi="zh-CN"/>
      </w:rPr>
    </w:lvl>
    <w:lvl w:ilvl="8" w:tentative="0">
      <w:start w:val="0"/>
      <w:numFmt w:val="bullet"/>
      <w:lvlText w:val="•"/>
      <w:lvlJc w:val="left"/>
      <w:pPr>
        <w:ind w:left="8204" w:hanging="601"/>
      </w:pPr>
      <w:rPr>
        <w:rFonts w:hint="default"/>
        <w:lang w:val="zh-CN" w:eastAsia="zh-CN" w:bidi="zh-CN"/>
      </w:rPr>
    </w:lvl>
  </w:abstractNum>
  <w:abstractNum w:abstractNumId="4">
    <w:nsid w:val="9288B902"/>
    <w:multiLevelType w:val="multilevel"/>
    <w:tmpl w:val="9288B902"/>
    <w:lvl w:ilvl="0" w:tentative="0">
      <w:start w:val="1"/>
      <w:numFmt w:val="decimal"/>
      <w:lvlText w:val="（%1）"/>
      <w:lvlJc w:val="left"/>
      <w:pPr>
        <w:ind w:left="1301"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163" w:hanging="601"/>
      </w:pPr>
      <w:rPr>
        <w:rFonts w:hint="default"/>
        <w:lang w:val="zh-CN" w:eastAsia="zh-CN" w:bidi="zh-CN"/>
      </w:rPr>
    </w:lvl>
    <w:lvl w:ilvl="2" w:tentative="0">
      <w:start w:val="0"/>
      <w:numFmt w:val="bullet"/>
      <w:lvlText w:val="•"/>
      <w:lvlJc w:val="left"/>
      <w:pPr>
        <w:ind w:left="3026" w:hanging="601"/>
      </w:pPr>
      <w:rPr>
        <w:rFonts w:hint="default"/>
        <w:lang w:val="zh-CN" w:eastAsia="zh-CN" w:bidi="zh-CN"/>
      </w:rPr>
    </w:lvl>
    <w:lvl w:ilvl="3" w:tentative="0">
      <w:start w:val="0"/>
      <w:numFmt w:val="bullet"/>
      <w:lvlText w:val="•"/>
      <w:lvlJc w:val="left"/>
      <w:pPr>
        <w:ind w:left="3889" w:hanging="601"/>
      </w:pPr>
      <w:rPr>
        <w:rFonts w:hint="default"/>
        <w:lang w:val="zh-CN" w:eastAsia="zh-CN" w:bidi="zh-CN"/>
      </w:rPr>
    </w:lvl>
    <w:lvl w:ilvl="4" w:tentative="0">
      <w:start w:val="0"/>
      <w:numFmt w:val="bullet"/>
      <w:lvlText w:val="•"/>
      <w:lvlJc w:val="left"/>
      <w:pPr>
        <w:ind w:left="4752" w:hanging="601"/>
      </w:pPr>
      <w:rPr>
        <w:rFonts w:hint="default"/>
        <w:lang w:val="zh-CN" w:eastAsia="zh-CN" w:bidi="zh-CN"/>
      </w:rPr>
    </w:lvl>
    <w:lvl w:ilvl="5" w:tentative="0">
      <w:start w:val="0"/>
      <w:numFmt w:val="bullet"/>
      <w:lvlText w:val="•"/>
      <w:lvlJc w:val="left"/>
      <w:pPr>
        <w:ind w:left="5615" w:hanging="601"/>
      </w:pPr>
      <w:rPr>
        <w:rFonts w:hint="default"/>
        <w:lang w:val="zh-CN" w:eastAsia="zh-CN" w:bidi="zh-CN"/>
      </w:rPr>
    </w:lvl>
    <w:lvl w:ilvl="6" w:tentative="0">
      <w:start w:val="0"/>
      <w:numFmt w:val="bullet"/>
      <w:lvlText w:val="•"/>
      <w:lvlJc w:val="left"/>
      <w:pPr>
        <w:ind w:left="6478" w:hanging="601"/>
      </w:pPr>
      <w:rPr>
        <w:rFonts w:hint="default"/>
        <w:lang w:val="zh-CN" w:eastAsia="zh-CN" w:bidi="zh-CN"/>
      </w:rPr>
    </w:lvl>
    <w:lvl w:ilvl="7" w:tentative="0">
      <w:start w:val="0"/>
      <w:numFmt w:val="bullet"/>
      <w:lvlText w:val="•"/>
      <w:lvlJc w:val="left"/>
      <w:pPr>
        <w:ind w:left="7341" w:hanging="601"/>
      </w:pPr>
      <w:rPr>
        <w:rFonts w:hint="default"/>
        <w:lang w:val="zh-CN" w:eastAsia="zh-CN" w:bidi="zh-CN"/>
      </w:rPr>
    </w:lvl>
    <w:lvl w:ilvl="8" w:tentative="0">
      <w:start w:val="0"/>
      <w:numFmt w:val="bullet"/>
      <w:lvlText w:val="•"/>
      <w:lvlJc w:val="left"/>
      <w:pPr>
        <w:ind w:left="8204" w:hanging="601"/>
      </w:pPr>
      <w:rPr>
        <w:rFonts w:hint="default"/>
        <w:lang w:val="zh-CN" w:eastAsia="zh-CN" w:bidi="zh-CN"/>
      </w:rPr>
    </w:lvl>
  </w:abstractNum>
  <w:abstractNum w:abstractNumId="5">
    <w:nsid w:val="A2EECD55"/>
    <w:multiLevelType w:val="multilevel"/>
    <w:tmpl w:val="A2EECD55"/>
    <w:lvl w:ilvl="0" w:tentative="0">
      <w:start w:val="1"/>
      <w:numFmt w:val="decimal"/>
      <w:suff w:val="nothing"/>
      <w:lvlText w:val="%1."/>
      <w:lvlJc w:val="left"/>
      <w:pPr>
        <w:tabs>
          <w:tab w:val="left" w:pos="2269"/>
        </w:tabs>
        <w:ind w:firstLine="480"/>
      </w:pPr>
      <w:rPr>
        <w:rFonts w:cs="Times New Roman"/>
      </w:rPr>
    </w:lvl>
    <w:lvl w:ilvl="1" w:tentative="0">
      <w:start w:val="1"/>
      <w:numFmt w:val="lowerLetter"/>
      <w:lvlText w:val="%2)"/>
      <w:lvlJc w:val="left"/>
      <w:pPr>
        <w:tabs>
          <w:tab w:val="left" w:pos="2269"/>
        </w:tabs>
        <w:ind w:left="3589" w:hanging="420"/>
      </w:pPr>
      <w:rPr>
        <w:rFonts w:cs="Times New Roman"/>
      </w:rPr>
    </w:lvl>
    <w:lvl w:ilvl="2" w:tentative="0">
      <w:start w:val="1"/>
      <w:numFmt w:val="lowerRoman"/>
      <w:lvlText w:val="%3."/>
      <w:lvlJc w:val="right"/>
      <w:pPr>
        <w:tabs>
          <w:tab w:val="left" w:pos="2269"/>
        </w:tabs>
        <w:ind w:left="4009" w:hanging="420"/>
      </w:pPr>
      <w:rPr>
        <w:rFonts w:cs="Times New Roman"/>
      </w:rPr>
    </w:lvl>
    <w:lvl w:ilvl="3" w:tentative="0">
      <w:start w:val="1"/>
      <w:numFmt w:val="decimal"/>
      <w:lvlText w:val="%4."/>
      <w:lvlJc w:val="left"/>
      <w:pPr>
        <w:tabs>
          <w:tab w:val="left" w:pos="2269"/>
        </w:tabs>
        <w:ind w:left="4429" w:hanging="420"/>
      </w:pPr>
      <w:rPr>
        <w:rFonts w:cs="Times New Roman"/>
      </w:rPr>
    </w:lvl>
    <w:lvl w:ilvl="4" w:tentative="0">
      <w:start w:val="1"/>
      <w:numFmt w:val="lowerLetter"/>
      <w:lvlText w:val="%5)"/>
      <w:lvlJc w:val="left"/>
      <w:pPr>
        <w:tabs>
          <w:tab w:val="left" w:pos="2269"/>
        </w:tabs>
        <w:ind w:left="4849" w:hanging="420"/>
      </w:pPr>
      <w:rPr>
        <w:rFonts w:cs="Times New Roman"/>
      </w:rPr>
    </w:lvl>
    <w:lvl w:ilvl="5" w:tentative="0">
      <w:start w:val="1"/>
      <w:numFmt w:val="lowerRoman"/>
      <w:lvlText w:val="%6."/>
      <w:lvlJc w:val="right"/>
      <w:pPr>
        <w:tabs>
          <w:tab w:val="left" w:pos="2269"/>
        </w:tabs>
        <w:ind w:left="5269" w:hanging="420"/>
      </w:pPr>
      <w:rPr>
        <w:rFonts w:cs="Times New Roman"/>
      </w:rPr>
    </w:lvl>
    <w:lvl w:ilvl="6" w:tentative="0">
      <w:start w:val="1"/>
      <w:numFmt w:val="decimal"/>
      <w:lvlText w:val="%7."/>
      <w:lvlJc w:val="left"/>
      <w:pPr>
        <w:tabs>
          <w:tab w:val="left" w:pos="2269"/>
        </w:tabs>
        <w:ind w:left="5689" w:hanging="420"/>
      </w:pPr>
      <w:rPr>
        <w:rFonts w:cs="Times New Roman"/>
      </w:rPr>
    </w:lvl>
    <w:lvl w:ilvl="7" w:tentative="0">
      <w:start w:val="1"/>
      <w:numFmt w:val="lowerLetter"/>
      <w:lvlText w:val="%8)"/>
      <w:lvlJc w:val="left"/>
      <w:pPr>
        <w:tabs>
          <w:tab w:val="left" w:pos="2269"/>
        </w:tabs>
        <w:ind w:left="6109" w:hanging="420"/>
      </w:pPr>
      <w:rPr>
        <w:rFonts w:cs="Times New Roman"/>
      </w:rPr>
    </w:lvl>
    <w:lvl w:ilvl="8" w:tentative="0">
      <w:start w:val="1"/>
      <w:numFmt w:val="lowerRoman"/>
      <w:lvlText w:val="%9."/>
      <w:lvlJc w:val="right"/>
      <w:pPr>
        <w:tabs>
          <w:tab w:val="left" w:pos="2269"/>
        </w:tabs>
        <w:ind w:left="6529" w:hanging="420"/>
      </w:pPr>
      <w:rPr>
        <w:rFonts w:cs="Times New Roman"/>
      </w:rPr>
    </w:lvl>
  </w:abstractNum>
  <w:abstractNum w:abstractNumId="6">
    <w:nsid w:val="A64507CF"/>
    <w:multiLevelType w:val="singleLevel"/>
    <w:tmpl w:val="A64507CF"/>
    <w:lvl w:ilvl="0" w:tentative="0">
      <w:start w:val="5"/>
      <w:numFmt w:val="chineseCounting"/>
      <w:suff w:val="nothing"/>
      <w:lvlText w:val="（%1）"/>
      <w:lvlJc w:val="left"/>
      <w:rPr>
        <w:rFonts w:hint="eastAsia"/>
      </w:rPr>
    </w:lvl>
  </w:abstractNum>
  <w:abstractNum w:abstractNumId="7">
    <w:nsid w:val="B0F1ACD9"/>
    <w:multiLevelType w:val="multilevel"/>
    <w:tmpl w:val="B0F1ACD9"/>
    <w:lvl w:ilvl="0" w:tentative="0">
      <w:start w:val="1"/>
      <w:numFmt w:val="decimal"/>
      <w:lvlText w:val="%1"/>
      <w:lvlJc w:val="left"/>
      <w:pPr>
        <w:ind w:left="220" w:hanging="361"/>
        <w:jc w:val="left"/>
      </w:pPr>
      <w:rPr>
        <w:rFonts w:hint="default"/>
        <w:lang w:val="zh-CN" w:eastAsia="zh-CN" w:bidi="zh-CN"/>
      </w:rPr>
    </w:lvl>
    <w:lvl w:ilvl="1" w:tentative="0">
      <w:start w:val="1"/>
      <w:numFmt w:val="decimal"/>
      <w:lvlText w:val="%1-%2"/>
      <w:lvlJc w:val="left"/>
      <w:pPr>
        <w:ind w:left="220" w:hanging="36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162" w:hanging="361"/>
      </w:pPr>
      <w:rPr>
        <w:rFonts w:hint="default"/>
        <w:lang w:val="zh-CN" w:eastAsia="zh-CN" w:bidi="zh-CN"/>
      </w:rPr>
    </w:lvl>
    <w:lvl w:ilvl="3" w:tentative="0">
      <w:start w:val="0"/>
      <w:numFmt w:val="bullet"/>
      <w:lvlText w:val="•"/>
      <w:lvlJc w:val="left"/>
      <w:pPr>
        <w:ind w:left="3133" w:hanging="361"/>
      </w:pPr>
      <w:rPr>
        <w:rFonts w:hint="default"/>
        <w:lang w:val="zh-CN" w:eastAsia="zh-CN" w:bidi="zh-CN"/>
      </w:rPr>
    </w:lvl>
    <w:lvl w:ilvl="4" w:tentative="0">
      <w:start w:val="0"/>
      <w:numFmt w:val="bullet"/>
      <w:lvlText w:val="•"/>
      <w:lvlJc w:val="left"/>
      <w:pPr>
        <w:ind w:left="4104" w:hanging="361"/>
      </w:pPr>
      <w:rPr>
        <w:rFonts w:hint="default"/>
        <w:lang w:val="zh-CN" w:eastAsia="zh-CN" w:bidi="zh-CN"/>
      </w:rPr>
    </w:lvl>
    <w:lvl w:ilvl="5" w:tentative="0">
      <w:start w:val="0"/>
      <w:numFmt w:val="bullet"/>
      <w:lvlText w:val="•"/>
      <w:lvlJc w:val="left"/>
      <w:pPr>
        <w:ind w:left="5075" w:hanging="361"/>
      </w:pPr>
      <w:rPr>
        <w:rFonts w:hint="default"/>
        <w:lang w:val="zh-CN" w:eastAsia="zh-CN" w:bidi="zh-CN"/>
      </w:rPr>
    </w:lvl>
    <w:lvl w:ilvl="6" w:tentative="0">
      <w:start w:val="0"/>
      <w:numFmt w:val="bullet"/>
      <w:lvlText w:val="•"/>
      <w:lvlJc w:val="left"/>
      <w:pPr>
        <w:ind w:left="6046" w:hanging="361"/>
      </w:pPr>
      <w:rPr>
        <w:rFonts w:hint="default"/>
        <w:lang w:val="zh-CN" w:eastAsia="zh-CN" w:bidi="zh-CN"/>
      </w:rPr>
    </w:lvl>
    <w:lvl w:ilvl="7" w:tentative="0">
      <w:start w:val="0"/>
      <w:numFmt w:val="bullet"/>
      <w:lvlText w:val="•"/>
      <w:lvlJc w:val="left"/>
      <w:pPr>
        <w:ind w:left="7017" w:hanging="361"/>
      </w:pPr>
      <w:rPr>
        <w:rFonts w:hint="default"/>
        <w:lang w:val="zh-CN" w:eastAsia="zh-CN" w:bidi="zh-CN"/>
      </w:rPr>
    </w:lvl>
    <w:lvl w:ilvl="8" w:tentative="0">
      <w:start w:val="0"/>
      <w:numFmt w:val="bullet"/>
      <w:lvlText w:val="•"/>
      <w:lvlJc w:val="left"/>
      <w:pPr>
        <w:ind w:left="7988" w:hanging="361"/>
      </w:pPr>
      <w:rPr>
        <w:rFonts w:hint="default"/>
        <w:lang w:val="zh-CN" w:eastAsia="zh-CN" w:bidi="zh-CN"/>
      </w:rPr>
    </w:lvl>
  </w:abstractNum>
  <w:abstractNum w:abstractNumId="8">
    <w:nsid w:val="B8CEF35B"/>
    <w:multiLevelType w:val="multilevel"/>
    <w:tmpl w:val="B8CEF35B"/>
    <w:lvl w:ilvl="0" w:tentative="0">
      <w:start w:val="21"/>
      <w:numFmt w:val="decimal"/>
      <w:lvlText w:val="%1"/>
      <w:lvlJc w:val="left"/>
      <w:pPr>
        <w:ind w:left="220" w:hanging="485"/>
        <w:jc w:val="left"/>
      </w:pPr>
      <w:rPr>
        <w:rFonts w:hint="default"/>
        <w:lang w:val="zh-CN" w:eastAsia="zh-CN" w:bidi="zh-CN"/>
      </w:rPr>
    </w:lvl>
    <w:lvl w:ilvl="1" w:tentative="0">
      <w:start w:val="1"/>
      <w:numFmt w:val="decimal"/>
      <w:lvlText w:val="%1-%2"/>
      <w:lvlJc w:val="left"/>
      <w:pPr>
        <w:ind w:left="220" w:hanging="485"/>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162" w:hanging="485"/>
      </w:pPr>
      <w:rPr>
        <w:rFonts w:hint="default"/>
        <w:lang w:val="zh-CN" w:eastAsia="zh-CN" w:bidi="zh-CN"/>
      </w:rPr>
    </w:lvl>
    <w:lvl w:ilvl="3" w:tentative="0">
      <w:start w:val="0"/>
      <w:numFmt w:val="bullet"/>
      <w:lvlText w:val="•"/>
      <w:lvlJc w:val="left"/>
      <w:pPr>
        <w:ind w:left="3133" w:hanging="485"/>
      </w:pPr>
      <w:rPr>
        <w:rFonts w:hint="default"/>
        <w:lang w:val="zh-CN" w:eastAsia="zh-CN" w:bidi="zh-CN"/>
      </w:rPr>
    </w:lvl>
    <w:lvl w:ilvl="4" w:tentative="0">
      <w:start w:val="0"/>
      <w:numFmt w:val="bullet"/>
      <w:lvlText w:val="•"/>
      <w:lvlJc w:val="left"/>
      <w:pPr>
        <w:ind w:left="4104" w:hanging="485"/>
      </w:pPr>
      <w:rPr>
        <w:rFonts w:hint="default"/>
        <w:lang w:val="zh-CN" w:eastAsia="zh-CN" w:bidi="zh-CN"/>
      </w:rPr>
    </w:lvl>
    <w:lvl w:ilvl="5" w:tentative="0">
      <w:start w:val="0"/>
      <w:numFmt w:val="bullet"/>
      <w:lvlText w:val="•"/>
      <w:lvlJc w:val="left"/>
      <w:pPr>
        <w:ind w:left="5075" w:hanging="485"/>
      </w:pPr>
      <w:rPr>
        <w:rFonts w:hint="default"/>
        <w:lang w:val="zh-CN" w:eastAsia="zh-CN" w:bidi="zh-CN"/>
      </w:rPr>
    </w:lvl>
    <w:lvl w:ilvl="6" w:tentative="0">
      <w:start w:val="0"/>
      <w:numFmt w:val="bullet"/>
      <w:lvlText w:val="•"/>
      <w:lvlJc w:val="left"/>
      <w:pPr>
        <w:ind w:left="6046" w:hanging="485"/>
      </w:pPr>
      <w:rPr>
        <w:rFonts w:hint="default"/>
        <w:lang w:val="zh-CN" w:eastAsia="zh-CN" w:bidi="zh-CN"/>
      </w:rPr>
    </w:lvl>
    <w:lvl w:ilvl="7" w:tentative="0">
      <w:start w:val="0"/>
      <w:numFmt w:val="bullet"/>
      <w:lvlText w:val="•"/>
      <w:lvlJc w:val="left"/>
      <w:pPr>
        <w:ind w:left="7017" w:hanging="485"/>
      </w:pPr>
      <w:rPr>
        <w:rFonts w:hint="default"/>
        <w:lang w:val="zh-CN" w:eastAsia="zh-CN" w:bidi="zh-CN"/>
      </w:rPr>
    </w:lvl>
    <w:lvl w:ilvl="8" w:tentative="0">
      <w:start w:val="0"/>
      <w:numFmt w:val="bullet"/>
      <w:lvlText w:val="•"/>
      <w:lvlJc w:val="left"/>
      <w:pPr>
        <w:ind w:left="7988" w:hanging="485"/>
      </w:pPr>
      <w:rPr>
        <w:rFonts w:hint="default"/>
        <w:lang w:val="zh-CN" w:eastAsia="zh-CN" w:bidi="zh-CN"/>
      </w:rPr>
    </w:lvl>
  </w:abstractNum>
  <w:abstractNum w:abstractNumId="9">
    <w:nsid w:val="B9395B32"/>
    <w:multiLevelType w:val="singleLevel"/>
    <w:tmpl w:val="B9395B32"/>
    <w:lvl w:ilvl="0" w:tentative="0">
      <w:start w:val="4"/>
      <w:numFmt w:val="decimal"/>
      <w:suff w:val="nothing"/>
      <w:lvlText w:val="%1、"/>
      <w:lvlJc w:val="left"/>
    </w:lvl>
  </w:abstractNum>
  <w:abstractNum w:abstractNumId="10">
    <w:nsid w:val="BB64CFA9"/>
    <w:multiLevelType w:val="multilevel"/>
    <w:tmpl w:val="BB64CFA9"/>
    <w:lvl w:ilvl="0" w:tentative="0">
      <w:start w:val="20"/>
      <w:numFmt w:val="decimal"/>
      <w:lvlText w:val="%1"/>
      <w:lvlJc w:val="left"/>
      <w:pPr>
        <w:ind w:left="220" w:hanging="481"/>
        <w:jc w:val="left"/>
      </w:pPr>
      <w:rPr>
        <w:rFonts w:hint="default"/>
        <w:lang w:val="zh-CN" w:eastAsia="zh-CN" w:bidi="zh-CN"/>
      </w:rPr>
    </w:lvl>
    <w:lvl w:ilvl="1" w:tentative="0">
      <w:start w:val="1"/>
      <w:numFmt w:val="decimal"/>
      <w:lvlText w:val="%1-%2"/>
      <w:lvlJc w:val="left"/>
      <w:pPr>
        <w:ind w:left="220" w:hanging="48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162" w:hanging="481"/>
      </w:pPr>
      <w:rPr>
        <w:rFonts w:hint="default"/>
        <w:lang w:val="zh-CN" w:eastAsia="zh-CN" w:bidi="zh-CN"/>
      </w:rPr>
    </w:lvl>
    <w:lvl w:ilvl="3" w:tentative="0">
      <w:start w:val="0"/>
      <w:numFmt w:val="bullet"/>
      <w:lvlText w:val="•"/>
      <w:lvlJc w:val="left"/>
      <w:pPr>
        <w:ind w:left="3133" w:hanging="481"/>
      </w:pPr>
      <w:rPr>
        <w:rFonts w:hint="default"/>
        <w:lang w:val="zh-CN" w:eastAsia="zh-CN" w:bidi="zh-CN"/>
      </w:rPr>
    </w:lvl>
    <w:lvl w:ilvl="4" w:tentative="0">
      <w:start w:val="0"/>
      <w:numFmt w:val="bullet"/>
      <w:lvlText w:val="•"/>
      <w:lvlJc w:val="left"/>
      <w:pPr>
        <w:ind w:left="4104" w:hanging="481"/>
      </w:pPr>
      <w:rPr>
        <w:rFonts w:hint="default"/>
        <w:lang w:val="zh-CN" w:eastAsia="zh-CN" w:bidi="zh-CN"/>
      </w:rPr>
    </w:lvl>
    <w:lvl w:ilvl="5" w:tentative="0">
      <w:start w:val="0"/>
      <w:numFmt w:val="bullet"/>
      <w:lvlText w:val="•"/>
      <w:lvlJc w:val="left"/>
      <w:pPr>
        <w:ind w:left="5075" w:hanging="481"/>
      </w:pPr>
      <w:rPr>
        <w:rFonts w:hint="default"/>
        <w:lang w:val="zh-CN" w:eastAsia="zh-CN" w:bidi="zh-CN"/>
      </w:rPr>
    </w:lvl>
    <w:lvl w:ilvl="6" w:tentative="0">
      <w:start w:val="0"/>
      <w:numFmt w:val="bullet"/>
      <w:lvlText w:val="•"/>
      <w:lvlJc w:val="left"/>
      <w:pPr>
        <w:ind w:left="6046" w:hanging="481"/>
      </w:pPr>
      <w:rPr>
        <w:rFonts w:hint="default"/>
        <w:lang w:val="zh-CN" w:eastAsia="zh-CN" w:bidi="zh-CN"/>
      </w:rPr>
    </w:lvl>
    <w:lvl w:ilvl="7" w:tentative="0">
      <w:start w:val="0"/>
      <w:numFmt w:val="bullet"/>
      <w:lvlText w:val="•"/>
      <w:lvlJc w:val="left"/>
      <w:pPr>
        <w:ind w:left="7017" w:hanging="481"/>
      </w:pPr>
      <w:rPr>
        <w:rFonts w:hint="default"/>
        <w:lang w:val="zh-CN" w:eastAsia="zh-CN" w:bidi="zh-CN"/>
      </w:rPr>
    </w:lvl>
    <w:lvl w:ilvl="8" w:tentative="0">
      <w:start w:val="0"/>
      <w:numFmt w:val="bullet"/>
      <w:lvlText w:val="•"/>
      <w:lvlJc w:val="left"/>
      <w:pPr>
        <w:ind w:left="7988" w:hanging="481"/>
      </w:pPr>
      <w:rPr>
        <w:rFonts w:hint="default"/>
        <w:lang w:val="zh-CN" w:eastAsia="zh-CN" w:bidi="zh-CN"/>
      </w:rPr>
    </w:lvl>
  </w:abstractNum>
  <w:abstractNum w:abstractNumId="11">
    <w:nsid w:val="BE923771"/>
    <w:multiLevelType w:val="multilevel"/>
    <w:tmpl w:val="BE923771"/>
    <w:lvl w:ilvl="0" w:tentative="0">
      <w:start w:val="7"/>
      <w:numFmt w:val="decimal"/>
      <w:lvlText w:val="%1"/>
      <w:lvlJc w:val="left"/>
      <w:pPr>
        <w:ind w:left="220" w:hanging="361"/>
        <w:jc w:val="left"/>
      </w:pPr>
      <w:rPr>
        <w:rFonts w:hint="default"/>
        <w:lang w:val="zh-CN" w:eastAsia="zh-CN" w:bidi="zh-CN"/>
      </w:rPr>
    </w:lvl>
    <w:lvl w:ilvl="1" w:tentative="0">
      <w:start w:val="1"/>
      <w:numFmt w:val="decimal"/>
      <w:lvlText w:val="%1-%2"/>
      <w:lvlJc w:val="left"/>
      <w:pPr>
        <w:ind w:left="220" w:hanging="36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162" w:hanging="361"/>
      </w:pPr>
      <w:rPr>
        <w:rFonts w:hint="default"/>
        <w:lang w:val="zh-CN" w:eastAsia="zh-CN" w:bidi="zh-CN"/>
      </w:rPr>
    </w:lvl>
    <w:lvl w:ilvl="3" w:tentative="0">
      <w:start w:val="0"/>
      <w:numFmt w:val="bullet"/>
      <w:lvlText w:val="•"/>
      <w:lvlJc w:val="left"/>
      <w:pPr>
        <w:ind w:left="3133" w:hanging="361"/>
      </w:pPr>
      <w:rPr>
        <w:rFonts w:hint="default"/>
        <w:lang w:val="zh-CN" w:eastAsia="zh-CN" w:bidi="zh-CN"/>
      </w:rPr>
    </w:lvl>
    <w:lvl w:ilvl="4" w:tentative="0">
      <w:start w:val="0"/>
      <w:numFmt w:val="bullet"/>
      <w:lvlText w:val="•"/>
      <w:lvlJc w:val="left"/>
      <w:pPr>
        <w:ind w:left="4104" w:hanging="361"/>
      </w:pPr>
      <w:rPr>
        <w:rFonts w:hint="default"/>
        <w:lang w:val="zh-CN" w:eastAsia="zh-CN" w:bidi="zh-CN"/>
      </w:rPr>
    </w:lvl>
    <w:lvl w:ilvl="5" w:tentative="0">
      <w:start w:val="0"/>
      <w:numFmt w:val="bullet"/>
      <w:lvlText w:val="•"/>
      <w:lvlJc w:val="left"/>
      <w:pPr>
        <w:ind w:left="5075" w:hanging="361"/>
      </w:pPr>
      <w:rPr>
        <w:rFonts w:hint="default"/>
        <w:lang w:val="zh-CN" w:eastAsia="zh-CN" w:bidi="zh-CN"/>
      </w:rPr>
    </w:lvl>
    <w:lvl w:ilvl="6" w:tentative="0">
      <w:start w:val="0"/>
      <w:numFmt w:val="bullet"/>
      <w:lvlText w:val="•"/>
      <w:lvlJc w:val="left"/>
      <w:pPr>
        <w:ind w:left="6046" w:hanging="361"/>
      </w:pPr>
      <w:rPr>
        <w:rFonts w:hint="default"/>
        <w:lang w:val="zh-CN" w:eastAsia="zh-CN" w:bidi="zh-CN"/>
      </w:rPr>
    </w:lvl>
    <w:lvl w:ilvl="7" w:tentative="0">
      <w:start w:val="0"/>
      <w:numFmt w:val="bullet"/>
      <w:lvlText w:val="•"/>
      <w:lvlJc w:val="left"/>
      <w:pPr>
        <w:ind w:left="7017" w:hanging="361"/>
      </w:pPr>
      <w:rPr>
        <w:rFonts w:hint="default"/>
        <w:lang w:val="zh-CN" w:eastAsia="zh-CN" w:bidi="zh-CN"/>
      </w:rPr>
    </w:lvl>
    <w:lvl w:ilvl="8" w:tentative="0">
      <w:start w:val="0"/>
      <w:numFmt w:val="bullet"/>
      <w:lvlText w:val="•"/>
      <w:lvlJc w:val="left"/>
      <w:pPr>
        <w:ind w:left="7988" w:hanging="361"/>
      </w:pPr>
      <w:rPr>
        <w:rFonts w:hint="default"/>
        <w:lang w:val="zh-CN" w:eastAsia="zh-CN" w:bidi="zh-CN"/>
      </w:rPr>
    </w:lvl>
  </w:abstractNum>
  <w:abstractNum w:abstractNumId="12">
    <w:nsid w:val="D212929E"/>
    <w:multiLevelType w:val="multilevel"/>
    <w:tmpl w:val="D212929E"/>
    <w:lvl w:ilvl="0" w:tentative="0">
      <w:start w:val="1"/>
      <w:numFmt w:val="decimal"/>
      <w:suff w:val="nothing"/>
      <w:lvlText w:val="%1."/>
      <w:lvlJc w:val="left"/>
      <w:pPr>
        <w:tabs>
          <w:tab w:val="left" w:pos="0"/>
        </w:tabs>
        <w:ind w:firstLine="480"/>
      </w:pPr>
      <w:rPr>
        <w:rFonts w:cs="Times New Roman"/>
      </w:rPr>
    </w:lvl>
    <w:lvl w:ilvl="1" w:tentative="0">
      <w:start w:val="1"/>
      <w:numFmt w:val="lowerLetter"/>
      <w:lvlText w:val="%2)"/>
      <w:lvlJc w:val="left"/>
      <w:pPr>
        <w:tabs>
          <w:tab w:val="left" w:pos="0"/>
        </w:tabs>
        <w:ind w:left="1320" w:hanging="420"/>
      </w:pPr>
      <w:rPr>
        <w:rFonts w:cs="Times New Roman"/>
      </w:rPr>
    </w:lvl>
    <w:lvl w:ilvl="2" w:tentative="0">
      <w:start w:val="1"/>
      <w:numFmt w:val="lowerRoman"/>
      <w:lvlText w:val="%3."/>
      <w:lvlJc w:val="right"/>
      <w:pPr>
        <w:tabs>
          <w:tab w:val="left" w:pos="0"/>
        </w:tabs>
        <w:ind w:left="1740" w:hanging="420"/>
      </w:pPr>
      <w:rPr>
        <w:rFonts w:cs="Times New Roman"/>
      </w:rPr>
    </w:lvl>
    <w:lvl w:ilvl="3" w:tentative="0">
      <w:start w:val="1"/>
      <w:numFmt w:val="decimal"/>
      <w:lvlText w:val="%4."/>
      <w:lvlJc w:val="left"/>
      <w:pPr>
        <w:tabs>
          <w:tab w:val="left" w:pos="0"/>
        </w:tabs>
        <w:ind w:left="2160" w:hanging="420"/>
      </w:pPr>
      <w:rPr>
        <w:rFonts w:cs="Times New Roman"/>
      </w:rPr>
    </w:lvl>
    <w:lvl w:ilvl="4" w:tentative="0">
      <w:start w:val="1"/>
      <w:numFmt w:val="lowerLetter"/>
      <w:lvlText w:val="%5)"/>
      <w:lvlJc w:val="left"/>
      <w:pPr>
        <w:tabs>
          <w:tab w:val="left" w:pos="0"/>
        </w:tabs>
        <w:ind w:left="2580" w:hanging="420"/>
      </w:pPr>
      <w:rPr>
        <w:rFonts w:cs="Times New Roman"/>
      </w:rPr>
    </w:lvl>
    <w:lvl w:ilvl="5" w:tentative="0">
      <w:start w:val="1"/>
      <w:numFmt w:val="lowerRoman"/>
      <w:lvlText w:val="%6."/>
      <w:lvlJc w:val="right"/>
      <w:pPr>
        <w:tabs>
          <w:tab w:val="left" w:pos="0"/>
        </w:tabs>
        <w:ind w:left="3000" w:hanging="420"/>
      </w:pPr>
      <w:rPr>
        <w:rFonts w:cs="Times New Roman"/>
      </w:rPr>
    </w:lvl>
    <w:lvl w:ilvl="6" w:tentative="0">
      <w:start w:val="1"/>
      <w:numFmt w:val="decimal"/>
      <w:lvlText w:val="%7."/>
      <w:lvlJc w:val="left"/>
      <w:pPr>
        <w:tabs>
          <w:tab w:val="left" w:pos="0"/>
        </w:tabs>
        <w:ind w:left="3420" w:hanging="420"/>
      </w:pPr>
      <w:rPr>
        <w:rFonts w:cs="Times New Roman"/>
      </w:rPr>
    </w:lvl>
    <w:lvl w:ilvl="7" w:tentative="0">
      <w:start w:val="1"/>
      <w:numFmt w:val="lowerLetter"/>
      <w:lvlText w:val="%8)"/>
      <w:lvlJc w:val="left"/>
      <w:pPr>
        <w:tabs>
          <w:tab w:val="left" w:pos="0"/>
        </w:tabs>
        <w:ind w:left="3840" w:hanging="420"/>
      </w:pPr>
      <w:rPr>
        <w:rFonts w:cs="Times New Roman"/>
      </w:rPr>
    </w:lvl>
    <w:lvl w:ilvl="8" w:tentative="0">
      <w:start w:val="1"/>
      <w:numFmt w:val="lowerRoman"/>
      <w:lvlText w:val="%9."/>
      <w:lvlJc w:val="right"/>
      <w:pPr>
        <w:tabs>
          <w:tab w:val="left" w:pos="0"/>
        </w:tabs>
        <w:ind w:left="4260" w:hanging="420"/>
      </w:pPr>
      <w:rPr>
        <w:rFonts w:cs="Times New Roman"/>
      </w:rPr>
    </w:lvl>
  </w:abstractNum>
  <w:abstractNum w:abstractNumId="13">
    <w:nsid w:val="E093A4B0"/>
    <w:multiLevelType w:val="multilevel"/>
    <w:tmpl w:val="E093A4B0"/>
    <w:lvl w:ilvl="0" w:tentative="0">
      <w:start w:val="17"/>
      <w:numFmt w:val="decimal"/>
      <w:lvlText w:val="%1"/>
      <w:lvlJc w:val="left"/>
      <w:pPr>
        <w:ind w:left="220" w:hanging="483"/>
        <w:jc w:val="left"/>
      </w:pPr>
      <w:rPr>
        <w:rFonts w:hint="default"/>
        <w:lang w:val="zh-CN" w:eastAsia="zh-CN" w:bidi="zh-CN"/>
      </w:rPr>
    </w:lvl>
    <w:lvl w:ilvl="1" w:tentative="0">
      <w:start w:val="1"/>
      <w:numFmt w:val="decimal"/>
      <w:lvlText w:val="%1-%2"/>
      <w:lvlJc w:val="left"/>
      <w:pPr>
        <w:ind w:left="220" w:hanging="483"/>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162" w:hanging="483"/>
      </w:pPr>
      <w:rPr>
        <w:rFonts w:hint="default"/>
        <w:lang w:val="zh-CN" w:eastAsia="zh-CN" w:bidi="zh-CN"/>
      </w:rPr>
    </w:lvl>
    <w:lvl w:ilvl="3" w:tentative="0">
      <w:start w:val="0"/>
      <w:numFmt w:val="bullet"/>
      <w:lvlText w:val="•"/>
      <w:lvlJc w:val="left"/>
      <w:pPr>
        <w:ind w:left="3133" w:hanging="483"/>
      </w:pPr>
      <w:rPr>
        <w:rFonts w:hint="default"/>
        <w:lang w:val="zh-CN" w:eastAsia="zh-CN" w:bidi="zh-CN"/>
      </w:rPr>
    </w:lvl>
    <w:lvl w:ilvl="4" w:tentative="0">
      <w:start w:val="0"/>
      <w:numFmt w:val="bullet"/>
      <w:lvlText w:val="•"/>
      <w:lvlJc w:val="left"/>
      <w:pPr>
        <w:ind w:left="4104" w:hanging="483"/>
      </w:pPr>
      <w:rPr>
        <w:rFonts w:hint="default"/>
        <w:lang w:val="zh-CN" w:eastAsia="zh-CN" w:bidi="zh-CN"/>
      </w:rPr>
    </w:lvl>
    <w:lvl w:ilvl="5" w:tentative="0">
      <w:start w:val="0"/>
      <w:numFmt w:val="bullet"/>
      <w:lvlText w:val="•"/>
      <w:lvlJc w:val="left"/>
      <w:pPr>
        <w:ind w:left="5075" w:hanging="483"/>
      </w:pPr>
      <w:rPr>
        <w:rFonts w:hint="default"/>
        <w:lang w:val="zh-CN" w:eastAsia="zh-CN" w:bidi="zh-CN"/>
      </w:rPr>
    </w:lvl>
    <w:lvl w:ilvl="6" w:tentative="0">
      <w:start w:val="0"/>
      <w:numFmt w:val="bullet"/>
      <w:lvlText w:val="•"/>
      <w:lvlJc w:val="left"/>
      <w:pPr>
        <w:ind w:left="6046" w:hanging="483"/>
      </w:pPr>
      <w:rPr>
        <w:rFonts w:hint="default"/>
        <w:lang w:val="zh-CN" w:eastAsia="zh-CN" w:bidi="zh-CN"/>
      </w:rPr>
    </w:lvl>
    <w:lvl w:ilvl="7" w:tentative="0">
      <w:start w:val="0"/>
      <w:numFmt w:val="bullet"/>
      <w:lvlText w:val="•"/>
      <w:lvlJc w:val="left"/>
      <w:pPr>
        <w:ind w:left="7017" w:hanging="483"/>
      </w:pPr>
      <w:rPr>
        <w:rFonts w:hint="default"/>
        <w:lang w:val="zh-CN" w:eastAsia="zh-CN" w:bidi="zh-CN"/>
      </w:rPr>
    </w:lvl>
    <w:lvl w:ilvl="8" w:tentative="0">
      <w:start w:val="0"/>
      <w:numFmt w:val="bullet"/>
      <w:lvlText w:val="•"/>
      <w:lvlJc w:val="left"/>
      <w:pPr>
        <w:ind w:left="7988" w:hanging="483"/>
      </w:pPr>
      <w:rPr>
        <w:rFonts w:hint="default"/>
        <w:lang w:val="zh-CN" w:eastAsia="zh-CN" w:bidi="zh-CN"/>
      </w:rPr>
    </w:lvl>
  </w:abstractNum>
  <w:abstractNum w:abstractNumId="14">
    <w:nsid w:val="F7735DC9"/>
    <w:multiLevelType w:val="multilevel"/>
    <w:tmpl w:val="F7735DC9"/>
    <w:lvl w:ilvl="0" w:tentative="0">
      <w:start w:val="15"/>
      <w:numFmt w:val="decimal"/>
      <w:lvlText w:val="%1"/>
      <w:lvlJc w:val="left"/>
      <w:pPr>
        <w:ind w:left="1181" w:hanging="481"/>
        <w:jc w:val="left"/>
      </w:pPr>
      <w:rPr>
        <w:rFonts w:hint="default"/>
        <w:lang w:val="zh-CN" w:eastAsia="zh-CN" w:bidi="zh-CN"/>
      </w:rPr>
    </w:lvl>
    <w:lvl w:ilvl="1" w:tentative="0">
      <w:start w:val="1"/>
      <w:numFmt w:val="decimal"/>
      <w:lvlText w:val="%1-%2"/>
      <w:lvlJc w:val="left"/>
      <w:pPr>
        <w:ind w:left="1181" w:hanging="48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930" w:hanging="481"/>
      </w:pPr>
      <w:rPr>
        <w:rFonts w:hint="default"/>
        <w:lang w:val="zh-CN" w:eastAsia="zh-CN" w:bidi="zh-CN"/>
      </w:rPr>
    </w:lvl>
    <w:lvl w:ilvl="3" w:tentative="0">
      <w:start w:val="0"/>
      <w:numFmt w:val="bullet"/>
      <w:lvlText w:val="•"/>
      <w:lvlJc w:val="left"/>
      <w:pPr>
        <w:ind w:left="3805" w:hanging="481"/>
      </w:pPr>
      <w:rPr>
        <w:rFonts w:hint="default"/>
        <w:lang w:val="zh-CN" w:eastAsia="zh-CN" w:bidi="zh-CN"/>
      </w:rPr>
    </w:lvl>
    <w:lvl w:ilvl="4" w:tentative="0">
      <w:start w:val="0"/>
      <w:numFmt w:val="bullet"/>
      <w:lvlText w:val="•"/>
      <w:lvlJc w:val="left"/>
      <w:pPr>
        <w:ind w:left="4680" w:hanging="481"/>
      </w:pPr>
      <w:rPr>
        <w:rFonts w:hint="default"/>
        <w:lang w:val="zh-CN" w:eastAsia="zh-CN" w:bidi="zh-CN"/>
      </w:rPr>
    </w:lvl>
    <w:lvl w:ilvl="5" w:tentative="0">
      <w:start w:val="0"/>
      <w:numFmt w:val="bullet"/>
      <w:lvlText w:val="•"/>
      <w:lvlJc w:val="left"/>
      <w:pPr>
        <w:ind w:left="5555" w:hanging="481"/>
      </w:pPr>
      <w:rPr>
        <w:rFonts w:hint="default"/>
        <w:lang w:val="zh-CN" w:eastAsia="zh-CN" w:bidi="zh-CN"/>
      </w:rPr>
    </w:lvl>
    <w:lvl w:ilvl="6" w:tentative="0">
      <w:start w:val="0"/>
      <w:numFmt w:val="bullet"/>
      <w:lvlText w:val="•"/>
      <w:lvlJc w:val="left"/>
      <w:pPr>
        <w:ind w:left="6430" w:hanging="481"/>
      </w:pPr>
      <w:rPr>
        <w:rFonts w:hint="default"/>
        <w:lang w:val="zh-CN" w:eastAsia="zh-CN" w:bidi="zh-CN"/>
      </w:rPr>
    </w:lvl>
    <w:lvl w:ilvl="7" w:tentative="0">
      <w:start w:val="0"/>
      <w:numFmt w:val="bullet"/>
      <w:lvlText w:val="•"/>
      <w:lvlJc w:val="left"/>
      <w:pPr>
        <w:ind w:left="7305" w:hanging="481"/>
      </w:pPr>
      <w:rPr>
        <w:rFonts w:hint="default"/>
        <w:lang w:val="zh-CN" w:eastAsia="zh-CN" w:bidi="zh-CN"/>
      </w:rPr>
    </w:lvl>
    <w:lvl w:ilvl="8" w:tentative="0">
      <w:start w:val="0"/>
      <w:numFmt w:val="bullet"/>
      <w:lvlText w:val="•"/>
      <w:lvlJc w:val="left"/>
      <w:pPr>
        <w:ind w:left="8180" w:hanging="481"/>
      </w:pPr>
      <w:rPr>
        <w:rFonts w:hint="default"/>
        <w:lang w:val="zh-CN" w:eastAsia="zh-CN" w:bidi="zh-CN"/>
      </w:rPr>
    </w:lvl>
  </w:abstractNum>
  <w:abstractNum w:abstractNumId="15">
    <w:nsid w:val="243FCF68"/>
    <w:multiLevelType w:val="multilevel"/>
    <w:tmpl w:val="243FCF68"/>
    <w:lvl w:ilvl="0" w:tentative="0">
      <w:start w:val="12"/>
      <w:numFmt w:val="decimal"/>
      <w:lvlText w:val="%1"/>
      <w:lvlJc w:val="left"/>
      <w:pPr>
        <w:ind w:left="220" w:hanging="483"/>
        <w:jc w:val="left"/>
      </w:pPr>
      <w:rPr>
        <w:rFonts w:hint="default"/>
        <w:lang w:val="zh-CN" w:eastAsia="zh-CN" w:bidi="zh-CN"/>
      </w:rPr>
    </w:lvl>
    <w:lvl w:ilvl="1" w:tentative="0">
      <w:start w:val="1"/>
      <w:numFmt w:val="decimal"/>
      <w:lvlText w:val="%1-%2"/>
      <w:lvlJc w:val="left"/>
      <w:pPr>
        <w:ind w:left="220" w:hanging="483"/>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162" w:hanging="483"/>
      </w:pPr>
      <w:rPr>
        <w:rFonts w:hint="default"/>
        <w:lang w:val="zh-CN" w:eastAsia="zh-CN" w:bidi="zh-CN"/>
      </w:rPr>
    </w:lvl>
    <w:lvl w:ilvl="3" w:tentative="0">
      <w:start w:val="0"/>
      <w:numFmt w:val="bullet"/>
      <w:lvlText w:val="•"/>
      <w:lvlJc w:val="left"/>
      <w:pPr>
        <w:ind w:left="3133" w:hanging="483"/>
      </w:pPr>
      <w:rPr>
        <w:rFonts w:hint="default"/>
        <w:lang w:val="zh-CN" w:eastAsia="zh-CN" w:bidi="zh-CN"/>
      </w:rPr>
    </w:lvl>
    <w:lvl w:ilvl="4" w:tentative="0">
      <w:start w:val="0"/>
      <w:numFmt w:val="bullet"/>
      <w:lvlText w:val="•"/>
      <w:lvlJc w:val="left"/>
      <w:pPr>
        <w:ind w:left="4104" w:hanging="483"/>
      </w:pPr>
      <w:rPr>
        <w:rFonts w:hint="default"/>
        <w:lang w:val="zh-CN" w:eastAsia="zh-CN" w:bidi="zh-CN"/>
      </w:rPr>
    </w:lvl>
    <w:lvl w:ilvl="5" w:tentative="0">
      <w:start w:val="0"/>
      <w:numFmt w:val="bullet"/>
      <w:lvlText w:val="•"/>
      <w:lvlJc w:val="left"/>
      <w:pPr>
        <w:ind w:left="5075" w:hanging="483"/>
      </w:pPr>
      <w:rPr>
        <w:rFonts w:hint="default"/>
        <w:lang w:val="zh-CN" w:eastAsia="zh-CN" w:bidi="zh-CN"/>
      </w:rPr>
    </w:lvl>
    <w:lvl w:ilvl="6" w:tentative="0">
      <w:start w:val="0"/>
      <w:numFmt w:val="bullet"/>
      <w:lvlText w:val="•"/>
      <w:lvlJc w:val="left"/>
      <w:pPr>
        <w:ind w:left="6046" w:hanging="483"/>
      </w:pPr>
      <w:rPr>
        <w:rFonts w:hint="default"/>
        <w:lang w:val="zh-CN" w:eastAsia="zh-CN" w:bidi="zh-CN"/>
      </w:rPr>
    </w:lvl>
    <w:lvl w:ilvl="7" w:tentative="0">
      <w:start w:val="0"/>
      <w:numFmt w:val="bullet"/>
      <w:lvlText w:val="•"/>
      <w:lvlJc w:val="left"/>
      <w:pPr>
        <w:ind w:left="7017" w:hanging="483"/>
      </w:pPr>
      <w:rPr>
        <w:rFonts w:hint="default"/>
        <w:lang w:val="zh-CN" w:eastAsia="zh-CN" w:bidi="zh-CN"/>
      </w:rPr>
    </w:lvl>
    <w:lvl w:ilvl="8" w:tentative="0">
      <w:start w:val="0"/>
      <w:numFmt w:val="bullet"/>
      <w:lvlText w:val="•"/>
      <w:lvlJc w:val="left"/>
      <w:pPr>
        <w:ind w:left="7988" w:hanging="483"/>
      </w:pPr>
      <w:rPr>
        <w:rFonts w:hint="default"/>
        <w:lang w:val="zh-CN" w:eastAsia="zh-CN" w:bidi="zh-CN"/>
      </w:rPr>
    </w:lvl>
  </w:abstractNum>
  <w:abstractNum w:abstractNumId="16">
    <w:nsid w:val="248D7B3A"/>
    <w:multiLevelType w:val="multilevel"/>
    <w:tmpl w:val="248D7B3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7">
    <w:nsid w:val="24F55A24"/>
    <w:multiLevelType w:val="multilevel"/>
    <w:tmpl w:val="24F55A24"/>
    <w:lvl w:ilvl="0" w:tentative="0">
      <w:start w:val="1"/>
      <w:numFmt w:val="decimal"/>
      <w:suff w:val="nothing"/>
      <w:lvlText w:val="%1."/>
      <w:lvlJc w:val="left"/>
      <w:pPr>
        <w:tabs>
          <w:tab w:val="left" w:pos="0"/>
        </w:tabs>
        <w:ind w:firstLine="480"/>
      </w:pPr>
      <w:rPr>
        <w:rFonts w:cs="Times New Roman"/>
      </w:rPr>
    </w:lvl>
    <w:lvl w:ilvl="1" w:tentative="0">
      <w:start w:val="1"/>
      <w:numFmt w:val="lowerLetter"/>
      <w:lvlText w:val="%2)"/>
      <w:lvlJc w:val="left"/>
      <w:pPr>
        <w:tabs>
          <w:tab w:val="left" w:pos="0"/>
        </w:tabs>
        <w:ind w:left="1320" w:hanging="420"/>
      </w:pPr>
      <w:rPr>
        <w:rFonts w:cs="Times New Roman"/>
      </w:rPr>
    </w:lvl>
    <w:lvl w:ilvl="2" w:tentative="0">
      <w:start w:val="1"/>
      <w:numFmt w:val="lowerRoman"/>
      <w:lvlText w:val="%3."/>
      <w:lvlJc w:val="right"/>
      <w:pPr>
        <w:tabs>
          <w:tab w:val="left" w:pos="0"/>
        </w:tabs>
        <w:ind w:left="1740" w:hanging="420"/>
      </w:pPr>
      <w:rPr>
        <w:rFonts w:cs="Times New Roman"/>
      </w:rPr>
    </w:lvl>
    <w:lvl w:ilvl="3" w:tentative="0">
      <w:start w:val="1"/>
      <w:numFmt w:val="decimal"/>
      <w:lvlText w:val="%4."/>
      <w:lvlJc w:val="left"/>
      <w:pPr>
        <w:tabs>
          <w:tab w:val="left" w:pos="0"/>
        </w:tabs>
        <w:ind w:left="2160" w:hanging="420"/>
      </w:pPr>
      <w:rPr>
        <w:rFonts w:cs="Times New Roman"/>
      </w:rPr>
    </w:lvl>
    <w:lvl w:ilvl="4" w:tentative="0">
      <w:start w:val="1"/>
      <w:numFmt w:val="lowerLetter"/>
      <w:lvlText w:val="%5)"/>
      <w:lvlJc w:val="left"/>
      <w:pPr>
        <w:tabs>
          <w:tab w:val="left" w:pos="0"/>
        </w:tabs>
        <w:ind w:left="2580" w:hanging="420"/>
      </w:pPr>
      <w:rPr>
        <w:rFonts w:cs="Times New Roman"/>
      </w:rPr>
    </w:lvl>
    <w:lvl w:ilvl="5" w:tentative="0">
      <w:start w:val="1"/>
      <w:numFmt w:val="lowerRoman"/>
      <w:lvlText w:val="%6."/>
      <w:lvlJc w:val="right"/>
      <w:pPr>
        <w:tabs>
          <w:tab w:val="left" w:pos="0"/>
        </w:tabs>
        <w:ind w:left="3000" w:hanging="420"/>
      </w:pPr>
      <w:rPr>
        <w:rFonts w:cs="Times New Roman"/>
      </w:rPr>
    </w:lvl>
    <w:lvl w:ilvl="6" w:tentative="0">
      <w:start w:val="1"/>
      <w:numFmt w:val="decimal"/>
      <w:lvlText w:val="%7."/>
      <w:lvlJc w:val="left"/>
      <w:pPr>
        <w:tabs>
          <w:tab w:val="left" w:pos="0"/>
        </w:tabs>
        <w:ind w:left="3420" w:hanging="420"/>
      </w:pPr>
      <w:rPr>
        <w:rFonts w:cs="Times New Roman"/>
      </w:rPr>
    </w:lvl>
    <w:lvl w:ilvl="7" w:tentative="0">
      <w:start w:val="1"/>
      <w:numFmt w:val="lowerLetter"/>
      <w:lvlText w:val="%8)"/>
      <w:lvlJc w:val="left"/>
      <w:pPr>
        <w:tabs>
          <w:tab w:val="left" w:pos="0"/>
        </w:tabs>
        <w:ind w:left="3840" w:hanging="420"/>
      </w:pPr>
      <w:rPr>
        <w:rFonts w:cs="Times New Roman"/>
      </w:rPr>
    </w:lvl>
    <w:lvl w:ilvl="8" w:tentative="0">
      <w:start w:val="1"/>
      <w:numFmt w:val="lowerRoman"/>
      <w:lvlText w:val="%9."/>
      <w:lvlJc w:val="right"/>
      <w:pPr>
        <w:tabs>
          <w:tab w:val="left" w:pos="0"/>
        </w:tabs>
        <w:ind w:left="4260" w:hanging="420"/>
      </w:pPr>
      <w:rPr>
        <w:rFonts w:cs="Times New Roman"/>
      </w:rPr>
    </w:lvl>
  </w:abstractNum>
  <w:abstractNum w:abstractNumId="18">
    <w:nsid w:val="30FC5B15"/>
    <w:multiLevelType w:val="multilevel"/>
    <w:tmpl w:val="30FC5B15"/>
    <w:lvl w:ilvl="0" w:tentative="0">
      <w:start w:val="1"/>
      <w:numFmt w:val="decimal"/>
      <w:lvlText w:val="（%1）"/>
      <w:lvlJc w:val="left"/>
      <w:pPr>
        <w:ind w:left="220" w:hanging="601"/>
        <w:jc w:val="left"/>
      </w:pPr>
      <w:rPr>
        <w:rFonts w:hint="default" w:ascii="宋体" w:hAnsi="宋体" w:eastAsia="宋体" w:cs="宋体"/>
        <w:spacing w:val="-53"/>
        <w:w w:val="100"/>
        <w:sz w:val="22"/>
        <w:szCs w:val="22"/>
        <w:lang w:val="zh-CN" w:eastAsia="zh-CN" w:bidi="zh-CN"/>
      </w:rPr>
    </w:lvl>
    <w:lvl w:ilvl="1" w:tentative="0">
      <w:start w:val="0"/>
      <w:numFmt w:val="bullet"/>
      <w:lvlText w:val="•"/>
      <w:lvlJc w:val="left"/>
      <w:pPr>
        <w:ind w:left="1191" w:hanging="601"/>
      </w:pPr>
      <w:rPr>
        <w:rFonts w:hint="default"/>
        <w:lang w:val="zh-CN" w:eastAsia="zh-CN" w:bidi="zh-CN"/>
      </w:rPr>
    </w:lvl>
    <w:lvl w:ilvl="2" w:tentative="0">
      <w:start w:val="0"/>
      <w:numFmt w:val="bullet"/>
      <w:lvlText w:val="•"/>
      <w:lvlJc w:val="left"/>
      <w:pPr>
        <w:ind w:left="2162" w:hanging="601"/>
      </w:pPr>
      <w:rPr>
        <w:rFonts w:hint="default"/>
        <w:lang w:val="zh-CN" w:eastAsia="zh-CN" w:bidi="zh-CN"/>
      </w:rPr>
    </w:lvl>
    <w:lvl w:ilvl="3" w:tentative="0">
      <w:start w:val="0"/>
      <w:numFmt w:val="bullet"/>
      <w:lvlText w:val="•"/>
      <w:lvlJc w:val="left"/>
      <w:pPr>
        <w:ind w:left="3133" w:hanging="601"/>
      </w:pPr>
      <w:rPr>
        <w:rFonts w:hint="default"/>
        <w:lang w:val="zh-CN" w:eastAsia="zh-CN" w:bidi="zh-CN"/>
      </w:rPr>
    </w:lvl>
    <w:lvl w:ilvl="4" w:tentative="0">
      <w:start w:val="0"/>
      <w:numFmt w:val="bullet"/>
      <w:lvlText w:val="•"/>
      <w:lvlJc w:val="left"/>
      <w:pPr>
        <w:ind w:left="4104" w:hanging="601"/>
      </w:pPr>
      <w:rPr>
        <w:rFonts w:hint="default"/>
        <w:lang w:val="zh-CN" w:eastAsia="zh-CN" w:bidi="zh-CN"/>
      </w:rPr>
    </w:lvl>
    <w:lvl w:ilvl="5" w:tentative="0">
      <w:start w:val="0"/>
      <w:numFmt w:val="bullet"/>
      <w:lvlText w:val="•"/>
      <w:lvlJc w:val="left"/>
      <w:pPr>
        <w:ind w:left="5075" w:hanging="601"/>
      </w:pPr>
      <w:rPr>
        <w:rFonts w:hint="default"/>
        <w:lang w:val="zh-CN" w:eastAsia="zh-CN" w:bidi="zh-CN"/>
      </w:rPr>
    </w:lvl>
    <w:lvl w:ilvl="6" w:tentative="0">
      <w:start w:val="0"/>
      <w:numFmt w:val="bullet"/>
      <w:lvlText w:val="•"/>
      <w:lvlJc w:val="left"/>
      <w:pPr>
        <w:ind w:left="6046" w:hanging="601"/>
      </w:pPr>
      <w:rPr>
        <w:rFonts w:hint="default"/>
        <w:lang w:val="zh-CN" w:eastAsia="zh-CN" w:bidi="zh-CN"/>
      </w:rPr>
    </w:lvl>
    <w:lvl w:ilvl="7" w:tentative="0">
      <w:start w:val="0"/>
      <w:numFmt w:val="bullet"/>
      <w:lvlText w:val="•"/>
      <w:lvlJc w:val="left"/>
      <w:pPr>
        <w:ind w:left="7017" w:hanging="601"/>
      </w:pPr>
      <w:rPr>
        <w:rFonts w:hint="default"/>
        <w:lang w:val="zh-CN" w:eastAsia="zh-CN" w:bidi="zh-CN"/>
      </w:rPr>
    </w:lvl>
    <w:lvl w:ilvl="8" w:tentative="0">
      <w:start w:val="0"/>
      <w:numFmt w:val="bullet"/>
      <w:lvlText w:val="•"/>
      <w:lvlJc w:val="left"/>
      <w:pPr>
        <w:ind w:left="7988" w:hanging="601"/>
      </w:pPr>
      <w:rPr>
        <w:rFonts w:hint="default"/>
        <w:lang w:val="zh-CN" w:eastAsia="zh-CN" w:bidi="zh-CN"/>
      </w:rPr>
    </w:lvl>
  </w:abstractNum>
  <w:abstractNum w:abstractNumId="19">
    <w:nsid w:val="37512D91"/>
    <w:multiLevelType w:val="multilevel"/>
    <w:tmpl w:val="37512D91"/>
    <w:lvl w:ilvl="0" w:tentative="0">
      <w:start w:val="1"/>
      <w:numFmt w:val="decimal"/>
      <w:suff w:val="nothing"/>
      <w:lvlText w:val="%1."/>
      <w:lvlJc w:val="left"/>
      <w:pPr>
        <w:tabs>
          <w:tab w:val="left" w:pos="0"/>
        </w:tabs>
        <w:ind w:firstLine="480"/>
      </w:pPr>
      <w:rPr>
        <w:rFonts w:cs="Times New Roman"/>
      </w:rPr>
    </w:lvl>
    <w:lvl w:ilvl="1" w:tentative="0">
      <w:start w:val="1"/>
      <w:numFmt w:val="lowerLetter"/>
      <w:lvlText w:val="%2)"/>
      <w:lvlJc w:val="left"/>
      <w:pPr>
        <w:tabs>
          <w:tab w:val="left" w:pos="0"/>
        </w:tabs>
        <w:ind w:left="1320" w:hanging="420"/>
      </w:pPr>
      <w:rPr>
        <w:rFonts w:cs="Times New Roman"/>
      </w:rPr>
    </w:lvl>
    <w:lvl w:ilvl="2" w:tentative="0">
      <w:start w:val="1"/>
      <w:numFmt w:val="lowerRoman"/>
      <w:lvlText w:val="%3."/>
      <w:lvlJc w:val="right"/>
      <w:pPr>
        <w:tabs>
          <w:tab w:val="left" w:pos="0"/>
        </w:tabs>
        <w:ind w:left="1740" w:hanging="420"/>
      </w:pPr>
      <w:rPr>
        <w:rFonts w:cs="Times New Roman"/>
      </w:rPr>
    </w:lvl>
    <w:lvl w:ilvl="3" w:tentative="0">
      <w:start w:val="1"/>
      <w:numFmt w:val="decimal"/>
      <w:lvlText w:val="%4."/>
      <w:lvlJc w:val="left"/>
      <w:pPr>
        <w:tabs>
          <w:tab w:val="left" w:pos="0"/>
        </w:tabs>
        <w:ind w:left="2160" w:hanging="420"/>
      </w:pPr>
      <w:rPr>
        <w:rFonts w:cs="Times New Roman"/>
      </w:rPr>
    </w:lvl>
    <w:lvl w:ilvl="4" w:tentative="0">
      <w:start w:val="1"/>
      <w:numFmt w:val="lowerLetter"/>
      <w:lvlText w:val="%5)"/>
      <w:lvlJc w:val="left"/>
      <w:pPr>
        <w:tabs>
          <w:tab w:val="left" w:pos="0"/>
        </w:tabs>
        <w:ind w:left="2580" w:hanging="420"/>
      </w:pPr>
      <w:rPr>
        <w:rFonts w:cs="Times New Roman"/>
      </w:rPr>
    </w:lvl>
    <w:lvl w:ilvl="5" w:tentative="0">
      <w:start w:val="1"/>
      <w:numFmt w:val="lowerRoman"/>
      <w:lvlText w:val="%6."/>
      <w:lvlJc w:val="right"/>
      <w:pPr>
        <w:tabs>
          <w:tab w:val="left" w:pos="0"/>
        </w:tabs>
        <w:ind w:left="3000" w:hanging="420"/>
      </w:pPr>
      <w:rPr>
        <w:rFonts w:cs="Times New Roman"/>
      </w:rPr>
    </w:lvl>
    <w:lvl w:ilvl="6" w:tentative="0">
      <w:start w:val="1"/>
      <w:numFmt w:val="decimal"/>
      <w:lvlText w:val="%7."/>
      <w:lvlJc w:val="left"/>
      <w:pPr>
        <w:tabs>
          <w:tab w:val="left" w:pos="0"/>
        </w:tabs>
        <w:ind w:left="3420" w:hanging="420"/>
      </w:pPr>
      <w:rPr>
        <w:rFonts w:cs="Times New Roman"/>
      </w:rPr>
    </w:lvl>
    <w:lvl w:ilvl="7" w:tentative="0">
      <w:start w:val="1"/>
      <w:numFmt w:val="lowerLetter"/>
      <w:lvlText w:val="%8)"/>
      <w:lvlJc w:val="left"/>
      <w:pPr>
        <w:tabs>
          <w:tab w:val="left" w:pos="0"/>
        </w:tabs>
        <w:ind w:left="3840" w:hanging="420"/>
      </w:pPr>
      <w:rPr>
        <w:rFonts w:cs="Times New Roman"/>
      </w:rPr>
    </w:lvl>
    <w:lvl w:ilvl="8" w:tentative="0">
      <w:start w:val="1"/>
      <w:numFmt w:val="lowerRoman"/>
      <w:lvlText w:val="%9."/>
      <w:lvlJc w:val="right"/>
      <w:pPr>
        <w:tabs>
          <w:tab w:val="left" w:pos="0"/>
        </w:tabs>
        <w:ind w:left="4260" w:hanging="420"/>
      </w:pPr>
      <w:rPr>
        <w:rFonts w:cs="Times New Roman"/>
      </w:rPr>
    </w:lvl>
  </w:abstractNum>
  <w:abstractNum w:abstractNumId="20">
    <w:nsid w:val="39A0D9AC"/>
    <w:multiLevelType w:val="multilevel"/>
    <w:tmpl w:val="39A0D9AC"/>
    <w:lvl w:ilvl="0" w:tentative="0">
      <w:start w:val="9"/>
      <w:numFmt w:val="decimal"/>
      <w:lvlText w:val="%1"/>
      <w:lvlJc w:val="left"/>
      <w:pPr>
        <w:ind w:left="1061" w:hanging="361"/>
        <w:jc w:val="left"/>
      </w:pPr>
      <w:rPr>
        <w:rFonts w:hint="default"/>
        <w:lang w:val="zh-CN" w:eastAsia="zh-CN" w:bidi="zh-CN"/>
      </w:rPr>
    </w:lvl>
    <w:lvl w:ilvl="1" w:tentative="0">
      <w:start w:val="1"/>
      <w:numFmt w:val="decimal"/>
      <w:lvlText w:val="%1-%2"/>
      <w:lvlJc w:val="left"/>
      <w:pPr>
        <w:ind w:left="1061" w:hanging="36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834" w:hanging="361"/>
      </w:pPr>
      <w:rPr>
        <w:rFonts w:hint="default"/>
        <w:lang w:val="zh-CN" w:eastAsia="zh-CN" w:bidi="zh-CN"/>
      </w:rPr>
    </w:lvl>
    <w:lvl w:ilvl="3" w:tentative="0">
      <w:start w:val="0"/>
      <w:numFmt w:val="bullet"/>
      <w:lvlText w:val="•"/>
      <w:lvlJc w:val="left"/>
      <w:pPr>
        <w:ind w:left="3721" w:hanging="361"/>
      </w:pPr>
      <w:rPr>
        <w:rFonts w:hint="default"/>
        <w:lang w:val="zh-CN" w:eastAsia="zh-CN" w:bidi="zh-CN"/>
      </w:rPr>
    </w:lvl>
    <w:lvl w:ilvl="4" w:tentative="0">
      <w:start w:val="0"/>
      <w:numFmt w:val="bullet"/>
      <w:lvlText w:val="•"/>
      <w:lvlJc w:val="left"/>
      <w:pPr>
        <w:ind w:left="4608" w:hanging="361"/>
      </w:pPr>
      <w:rPr>
        <w:rFonts w:hint="default"/>
        <w:lang w:val="zh-CN" w:eastAsia="zh-CN" w:bidi="zh-CN"/>
      </w:rPr>
    </w:lvl>
    <w:lvl w:ilvl="5" w:tentative="0">
      <w:start w:val="0"/>
      <w:numFmt w:val="bullet"/>
      <w:lvlText w:val="•"/>
      <w:lvlJc w:val="left"/>
      <w:pPr>
        <w:ind w:left="5495" w:hanging="361"/>
      </w:pPr>
      <w:rPr>
        <w:rFonts w:hint="default"/>
        <w:lang w:val="zh-CN" w:eastAsia="zh-CN" w:bidi="zh-CN"/>
      </w:rPr>
    </w:lvl>
    <w:lvl w:ilvl="6" w:tentative="0">
      <w:start w:val="0"/>
      <w:numFmt w:val="bullet"/>
      <w:lvlText w:val="•"/>
      <w:lvlJc w:val="left"/>
      <w:pPr>
        <w:ind w:left="6382" w:hanging="361"/>
      </w:pPr>
      <w:rPr>
        <w:rFonts w:hint="default"/>
        <w:lang w:val="zh-CN" w:eastAsia="zh-CN" w:bidi="zh-CN"/>
      </w:rPr>
    </w:lvl>
    <w:lvl w:ilvl="7" w:tentative="0">
      <w:start w:val="0"/>
      <w:numFmt w:val="bullet"/>
      <w:lvlText w:val="•"/>
      <w:lvlJc w:val="left"/>
      <w:pPr>
        <w:ind w:left="7269" w:hanging="361"/>
      </w:pPr>
      <w:rPr>
        <w:rFonts w:hint="default"/>
        <w:lang w:val="zh-CN" w:eastAsia="zh-CN" w:bidi="zh-CN"/>
      </w:rPr>
    </w:lvl>
    <w:lvl w:ilvl="8" w:tentative="0">
      <w:start w:val="0"/>
      <w:numFmt w:val="bullet"/>
      <w:lvlText w:val="•"/>
      <w:lvlJc w:val="left"/>
      <w:pPr>
        <w:ind w:left="8156" w:hanging="361"/>
      </w:pPr>
      <w:rPr>
        <w:rFonts w:hint="default"/>
        <w:lang w:val="zh-CN" w:eastAsia="zh-CN" w:bidi="zh-CN"/>
      </w:rPr>
    </w:lvl>
  </w:abstractNum>
  <w:abstractNum w:abstractNumId="21">
    <w:nsid w:val="4429560C"/>
    <w:multiLevelType w:val="multilevel"/>
    <w:tmpl w:val="4429560C"/>
    <w:lvl w:ilvl="0" w:tentative="0">
      <w:start w:val="1"/>
      <w:numFmt w:val="decimal"/>
      <w:suff w:val="nothing"/>
      <w:lvlText w:val="%1."/>
      <w:lvlJc w:val="left"/>
      <w:pPr>
        <w:tabs>
          <w:tab w:val="left" w:pos="0"/>
        </w:tabs>
        <w:ind w:firstLine="480"/>
      </w:pPr>
      <w:rPr>
        <w:rFonts w:cs="Times New Roman"/>
      </w:rPr>
    </w:lvl>
    <w:lvl w:ilvl="1" w:tentative="0">
      <w:start w:val="1"/>
      <w:numFmt w:val="lowerLetter"/>
      <w:lvlText w:val="%2)"/>
      <w:lvlJc w:val="left"/>
      <w:pPr>
        <w:tabs>
          <w:tab w:val="left" w:pos="0"/>
        </w:tabs>
        <w:ind w:left="1320" w:hanging="420"/>
      </w:pPr>
      <w:rPr>
        <w:rFonts w:cs="Times New Roman"/>
      </w:rPr>
    </w:lvl>
    <w:lvl w:ilvl="2" w:tentative="0">
      <w:start w:val="1"/>
      <w:numFmt w:val="lowerRoman"/>
      <w:lvlText w:val="%3."/>
      <w:lvlJc w:val="right"/>
      <w:pPr>
        <w:tabs>
          <w:tab w:val="left" w:pos="0"/>
        </w:tabs>
        <w:ind w:left="1740" w:hanging="420"/>
      </w:pPr>
      <w:rPr>
        <w:rFonts w:cs="Times New Roman"/>
      </w:rPr>
    </w:lvl>
    <w:lvl w:ilvl="3" w:tentative="0">
      <w:start w:val="1"/>
      <w:numFmt w:val="decimal"/>
      <w:lvlText w:val="%4."/>
      <w:lvlJc w:val="left"/>
      <w:pPr>
        <w:tabs>
          <w:tab w:val="left" w:pos="0"/>
        </w:tabs>
        <w:ind w:left="2160" w:hanging="420"/>
      </w:pPr>
      <w:rPr>
        <w:rFonts w:cs="Times New Roman"/>
      </w:rPr>
    </w:lvl>
    <w:lvl w:ilvl="4" w:tentative="0">
      <w:start w:val="1"/>
      <w:numFmt w:val="lowerLetter"/>
      <w:lvlText w:val="%5)"/>
      <w:lvlJc w:val="left"/>
      <w:pPr>
        <w:tabs>
          <w:tab w:val="left" w:pos="0"/>
        </w:tabs>
        <w:ind w:left="2580" w:hanging="420"/>
      </w:pPr>
      <w:rPr>
        <w:rFonts w:cs="Times New Roman"/>
      </w:rPr>
    </w:lvl>
    <w:lvl w:ilvl="5" w:tentative="0">
      <w:start w:val="1"/>
      <w:numFmt w:val="lowerRoman"/>
      <w:lvlText w:val="%6."/>
      <w:lvlJc w:val="right"/>
      <w:pPr>
        <w:tabs>
          <w:tab w:val="left" w:pos="0"/>
        </w:tabs>
        <w:ind w:left="3000" w:hanging="420"/>
      </w:pPr>
      <w:rPr>
        <w:rFonts w:cs="Times New Roman"/>
      </w:rPr>
    </w:lvl>
    <w:lvl w:ilvl="6" w:tentative="0">
      <w:start w:val="1"/>
      <w:numFmt w:val="decimal"/>
      <w:lvlText w:val="%7."/>
      <w:lvlJc w:val="left"/>
      <w:pPr>
        <w:tabs>
          <w:tab w:val="left" w:pos="0"/>
        </w:tabs>
        <w:ind w:left="3420" w:hanging="420"/>
      </w:pPr>
      <w:rPr>
        <w:rFonts w:cs="Times New Roman"/>
      </w:rPr>
    </w:lvl>
    <w:lvl w:ilvl="7" w:tentative="0">
      <w:start w:val="1"/>
      <w:numFmt w:val="lowerLetter"/>
      <w:lvlText w:val="%8)"/>
      <w:lvlJc w:val="left"/>
      <w:pPr>
        <w:tabs>
          <w:tab w:val="left" w:pos="0"/>
        </w:tabs>
        <w:ind w:left="3840" w:hanging="420"/>
      </w:pPr>
      <w:rPr>
        <w:rFonts w:cs="Times New Roman"/>
      </w:rPr>
    </w:lvl>
    <w:lvl w:ilvl="8" w:tentative="0">
      <w:start w:val="1"/>
      <w:numFmt w:val="lowerRoman"/>
      <w:lvlText w:val="%9."/>
      <w:lvlJc w:val="right"/>
      <w:pPr>
        <w:tabs>
          <w:tab w:val="left" w:pos="0"/>
        </w:tabs>
        <w:ind w:left="4260" w:hanging="420"/>
      </w:pPr>
      <w:rPr>
        <w:rFonts w:cs="Times New Roman"/>
      </w:rPr>
    </w:lvl>
  </w:abstractNum>
  <w:abstractNum w:abstractNumId="22">
    <w:nsid w:val="46A08BB8"/>
    <w:multiLevelType w:val="multilevel"/>
    <w:tmpl w:val="46A08BB8"/>
    <w:lvl w:ilvl="0" w:tentative="0">
      <w:start w:val="1"/>
      <w:numFmt w:val="decimal"/>
      <w:lvlText w:val="%1）"/>
      <w:lvlJc w:val="left"/>
      <w:pPr>
        <w:ind w:left="1061" w:hanging="361"/>
        <w:jc w:val="left"/>
      </w:pPr>
      <w:rPr>
        <w:rFonts w:hint="default" w:ascii="宋体" w:hAnsi="宋体" w:eastAsia="宋体" w:cs="宋体"/>
        <w:w w:val="100"/>
        <w:sz w:val="22"/>
        <w:szCs w:val="22"/>
        <w:lang w:val="zh-CN" w:eastAsia="zh-CN" w:bidi="zh-CN"/>
      </w:rPr>
    </w:lvl>
    <w:lvl w:ilvl="1" w:tentative="0">
      <w:start w:val="3"/>
      <w:numFmt w:val="decimal"/>
      <w:lvlText w:val="%2）"/>
      <w:lvlJc w:val="left"/>
      <w:pPr>
        <w:ind w:left="556" w:hanging="361"/>
        <w:jc w:val="left"/>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2045" w:hanging="361"/>
      </w:pPr>
      <w:rPr>
        <w:rFonts w:hint="default"/>
        <w:lang w:val="zh-CN" w:eastAsia="zh-CN" w:bidi="zh-CN"/>
      </w:rPr>
    </w:lvl>
    <w:lvl w:ilvl="3" w:tentative="0">
      <w:start w:val="0"/>
      <w:numFmt w:val="bullet"/>
      <w:lvlText w:val="•"/>
      <w:lvlJc w:val="left"/>
      <w:pPr>
        <w:ind w:left="3031" w:hanging="361"/>
      </w:pPr>
      <w:rPr>
        <w:rFonts w:hint="default"/>
        <w:lang w:val="zh-CN" w:eastAsia="zh-CN" w:bidi="zh-CN"/>
      </w:rPr>
    </w:lvl>
    <w:lvl w:ilvl="4" w:tentative="0">
      <w:start w:val="0"/>
      <w:numFmt w:val="bullet"/>
      <w:lvlText w:val="•"/>
      <w:lvlJc w:val="left"/>
      <w:pPr>
        <w:ind w:left="4016" w:hanging="361"/>
      </w:pPr>
      <w:rPr>
        <w:rFonts w:hint="default"/>
        <w:lang w:val="zh-CN" w:eastAsia="zh-CN" w:bidi="zh-CN"/>
      </w:rPr>
    </w:lvl>
    <w:lvl w:ilvl="5" w:tentative="0">
      <w:start w:val="0"/>
      <w:numFmt w:val="bullet"/>
      <w:lvlText w:val="•"/>
      <w:lvlJc w:val="left"/>
      <w:pPr>
        <w:ind w:left="5002" w:hanging="361"/>
      </w:pPr>
      <w:rPr>
        <w:rFonts w:hint="default"/>
        <w:lang w:val="zh-CN" w:eastAsia="zh-CN" w:bidi="zh-CN"/>
      </w:rPr>
    </w:lvl>
    <w:lvl w:ilvl="6" w:tentative="0">
      <w:start w:val="0"/>
      <w:numFmt w:val="bullet"/>
      <w:lvlText w:val="•"/>
      <w:lvlJc w:val="left"/>
      <w:pPr>
        <w:ind w:left="5987" w:hanging="361"/>
      </w:pPr>
      <w:rPr>
        <w:rFonts w:hint="default"/>
        <w:lang w:val="zh-CN" w:eastAsia="zh-CN" w:bidi="zh-CN"/>
      </w:rPr>
    </w:lvl>
    <w:lvl w:ilvl="7" w:tentative="0">
      <w:start w:val="0"/>
      <w:numFmt w:val="bullet"/>
      <w:lvlText w:val="•"/>
      <w:lvlJc w:val="left"/>
      <w:pPr>
        <w:ind w:left="6973" w:hanging="361"/>
      </w:pPr>
      <w:rPr>
        <w:rFonts w:hint="default"/>
        <w:lang w:val="zh-CN" w:eastAsia="zh-CN" w:bidi="zh-CN"/>
      </w:rPr>
    </w:lvl>
    <w:lvl w:ilvl="8" w:tentative="0">
      <w:start w:val="0"/>
      <w:numFmt w:val="bullet"/>
      <w:lvlText w:val="•"/>
      <w:lvlJc w:val="left"/>
      <w:pPr>
        <w:ind w:left="7958" w:hanging="361"/>
      </w:pPr>
      <w:rPr>
        <w:rFonts w:hint="default"/>
        <w:lang w:val="zh-CN" w:eastAsia="zh-CN" w:bidi="zh-CN"/>
      </w:rPr>
    </w:lvl>
  </w:abstractNum>
  <w:abstractNum w:abstractNumId="23">
    <w:nsid w:val="4D94DA66"/>
    <w:multiLevelType w:val="multilevel"/>
    <w:tmpl w:val="4D94DA66"/>
    <w:lvl w:ilvl="0" w:tentative="0">
      <w:start w:val="1"/>
      <w:numFmt w:val="decimal"/>
      <w:lvlText w:val="（%1）"/>
      <w:lvlJc w:val="left"/>
      <w:pPr>
        <w:ind w:left="1301"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163" w:hanging="601"/>
      </w:pPr>
      <w:rPr>
        <w:rFonts w:hint="default"/>
        <w:lang w:val="zh-CN" w:eastAsia="zh-CN" w:bidi="zh-CN"/>
      </w:rPr>
    </w:lvl>
    <w:lvl w:ilvl="2" w:tentative="0">
      <w:start w:val="0"/>
      <w:numFmt w:val="bullet"/>
      <w:lvlText w:val="•"/>
      <w:lvlJc w:val="left"/>
      <w:pPr>
        <w:ind w:left="3026" w:hanging="601"/>
      </w:pPr>
      <w:rPr>
        <w:rFonts w:hint="default"/>
        <w:lang w:val="zh-CN" w:eastAsia="zh-CN" w:bidi="zh-CN"/>
      </w:rPr>
    </w:lvl>
    <w:lvl w:ilvl="3" w:tentative="0">
      <w:start w:val="0"/>
      <w:numFmt w:val="bullet"/>
      <w:lvlText w:val="•"/>
      <w:lvlJc w:val="left"/>
      <w:pPr>
        <w:ind w:left="3889" w:hanging="601"/>
      </w:pPr>
      <w:rPr>
        <w:rFonts w:hint="default"/>
        <w:lang w:val="zh-CN" w:eastAsia="zh-CN" w:bidi="zh-CN"/>
      </w:rPr>
    </w:lvl>
    <w:lvl w:ilvl="4" w:tentative="0">
      <w:start w:val="0"/>
      <w:numFmt w:val="bullet"/>
      <w:lvlText w:val="•"/>
      <w:lvlJc w:val="left"/>
      <w:pPr>
        <w:ind w:left="4752" w:hanging="601"/>
      </w:pPr>
      <w:rPr>
        <w:rFonts w:hint="default"/>
        <w:lang w:val="zh-CN" w:eastAsia="zh-CN" w:bidi="zh-CN"/>
      </w:rPr>
    </w:lvl>
    <w:lvl w:ilvl="5" w:tentative="0">
      <w:start w:val="0"/>
      <w:numFmt w:val="bullet"/>
      <w:lvlText w:val="•"/>
      <w:lvlJc w:val="left"/>
      <w:pPr>
        <w:ind w:left="5615" w:hanging="601"/>
      </w:pPr>
      <w:rPr>
        <w:rFonts w:hint="default"/>
        <w:lang w:val="zh-CN" w:eastAsia="zh-CN" w:bidi="zh-CN"/>
      </w:rPr>
    </w:lvl>
    <w:lvl w:ilvl="6" w:tentative="0">
      <w:start w:val="0"/>
      <w:numFmt w:val="bullet"/>
      <w:lvlText w:val="•"/>
      <w:lvlJc w:val="left"/>
      <w:pPr>
        <w:ind w:left="6478" w:hanging="601"/>
      </w:pPr>
      <w:rPr>
        <w:rFonts w:hint="default"/>
        <w:lang w:val="zh-CN" w:eastAsia="zh-CN" w:bidi="zh-CN"/>
      </w:rPr>
    </w:lvl>
    <w:lvl w:ilvl="7" w:tentative="0">
      <w:start w:val="0"/>
      <w:numFmt w:val="bullet"/>
      <w:lvlText w:val="•"/>
      <w:lvlJc w:val="left"/>
      <w:pPr>
        <w:ind w:left="7341" w:hanging="601"/>
      </w:pPr>
      <w:rPr>
        <w:rFonts w:hint="default"/>
        <w:lang w:val="zh-CN" w:eastAsia="zh-CN" w:bidi="zh-CN"/>
      </w:rPr>
    </w:lvl>
    <w:lvl w:ilvl="8" w:tentative="0">
      <w:start w:val="0"/>
      <w:numFmt w:val="bullet"/>
      <w:lvlText w:val="•"/>
      <w:lvlJc w:val="left"/>
      <w:pPr>
        <w:ind w:left="8204" w:hanging="601"/>
      </w:pPr>
      <w:rPr>
        <w:rFonts w:hint="default"/>
        <w:lang w:val="zh-CN" w:eastAsia="zh-CN" w:bidi="zh-CN"/>
      </w:rPr>
    </w:lvl>
  </w:abstractNum>
  <w:abstractNum w:abstractNumId="24">
    <w:nsid w:val="55C46980"/>
    <w:multiLevelType w:val="singleLevel"/>
    <w:tmpl w:val="55C46980"/>
    <w:lvl w:ilvl="0" w:tentative="0">
      <w:start w:val="5"/>
      <w:numFmt w:val="decimal"/>
      <w:suff w:val="nothing"/>
      <w:lvlText w:val="（%1）"/>
      <w:lvlJc w:val="left"/>
    </w:lvl>
  </w:abstractNum>
  <w:abstractNum w:abstractNumId="25">
    <w:nsid w:val="58765686"/>
    <w:multiLevelType w:val="multilevel"/>
    <w:tmpl w:val="58765686"/>
    <w:lvl w:ilvl="0" w:tentative="0">
      <w:start w:val="10"/>
      <w:numFmt w:val="decimal"/>
      <w:lvlText w:val="%1"/>
      <w:lvlJc w:val="left"/>
      <w:pPr>
        <w:ind w:left="1181" w:hanging="481"/>
        <w:jc w:val="left"/>
      </w:pPr>
      <w:rPr>
        <w:rFonts w:hint="default"/>
        <w:lang w:val="zh-CN" w:eastAsia="zh-CN" w:bidi="zh-CN"/>
      </w:rPr>
    </w:lvl>
    <w:lvl w:ilvl="1" w:tentative="0">
      <w:start w:val="1"/>
      <w:numFmt w:val="decimal"/>
      <w:lvlText w:val="%1-%2"/>
      <w:lvlJc w:val="left"/>
      <w:pPr>
        <w:ind w:left="1181" w:hanging="481"/>
        <w:jc w:val="left"/>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2930" w:hanging="481"/>
      </w:pPr>
      <w:rPr>
        <w:rFonts w:hint="default"/>
        <w:lang w:val="zh-CN" w:eastAsia="zh-CN" w:bidi="zh-CN"/>
      </w:rPr>
    </w:lvl>
    <w:lvl w:ilvl="3" w:tentative="0">
      <w:start w:val="0"/>
      <w:numFmt w:val="bullet"/>
      <w:lvlText w:val="•"/>
      <w:lvlJc w:val="left"/>
      <w:pPr>
        <w:ind w:left="3805" w:hanging="481"/>
      </w:pPr>
      <w:rPr>
        <w:rFonts w:hint="default"/>
        <w:lang w:val="zh-CN" w:eastAsia="zh-CN" w:bidi="zh-CN"/>
      </w:rPr>
    </w:lvl>
    <w:lvl w:ilvl="4" w:tentative="0">
      <w:start w:val="0"/>
      <w:numFmt w:val="bullet"/>
      <w:lvlText w:val="•"/>
      <w:lvlJc w:val="left"/>
      <w:pPr>
        <w:ind w:left="4680" w:hanging="481"/>
      </w:pPr>
      <w:rPr>
        <w:rFonts w:hint="default"/>
        <w:lang w:val="zh-CN" w:eastAsia="zh-CN" w:bidi="zh-CN"/>
      </w:rPr>
    </w:lvl>
    <w:lvl w:ilvl="5" w:tentative="0">
      <w:start w:val="0"/>
      <w:numFmt w:val="bullet"/>
      <w:lvlText w:val="•"/>
      <w:lvlJc w:val="left"/>
      <w:pPr>
        <w:ind w:left="5555" w:hanging="481"/>
      </w:pPr>
      <w:rPr>
        <w:rFonts w:hint="default"/>
        <w:lang w:val="zh-CN" w:eastAsia="zh-CN" w:bidi="zh-CN"/>
      </w:rPr>
    </w:lvl>
    <w:lvl w:ilvl="6" w:tentative="0">
      <w:start w:val="0"/>
      <w:numFmt w:val="bullet"/>
      <w:lvlText w:val="•"/>
      <w:lvlJc w:val="left"/>
      <w:pPr>
        <w:ind w:left="6430" w:hanging="481"/>
      </w:pPr>
      <w:rPr>
        <w:rFonts w:hint="default"/>
        <w:lang w:val="zh-CN" w:eastAsia="zh-CN" w:bidi="zh-CN"/>
      </w:rPr>
    </w:lvl>
    <w:lvl w:ilvl="7" w:tentative="0">
      <w:start w:val="0"/>
      <w:numFmt w:val="bullet"/>
      <w:lvlText w:val="•"/>
      <w:lvlJc w:val="left"/>
      <w:pPr>
        <w:ind w:left="7305" w:hanging="481"/>
      </w:pPr>
      <w:rPr>
        <w:rFonts w:hint="default"/>
        <w:lang w:val="zh-CN" w:eastAsia="zh-CN" w:bidi="zh-CN"/>
      </w:rPr>
    </w:lvl>
    <w:lvl w:ilvl="8" w:tentative="0">
      <w:start w:val="0"/>
      <w:numFmt w:val="bullet"/>
      <w:lvlText w:val="•"/>
      <w:lvlJc w:val="left"/>
      <w:pPr>
        <w:ind w:left="8180" w:hanging="481"/>
      </w:pPr>
      <w:rPr>
        <w:rFonts w:hint="default"/>
        <w:lang w:val="zh-CN" w:eastAsia="zh-CN" w:bidi="zh-CN"/>
      </w:rPr>
    </w:lvl>
  </w:abstractNum>
  <w:abstractNum w:abstractNumId="26">
    <w:nsid w:val="5E29AB5A"/>
    <w:multiLevelType w:val="multilevel"/>
    <w:tmpl w:val="5E29AB5A"/>
    <w:lvl w:ilvl="0" w:tentative="0">
      <w:start w:val="23"/>
      <w:numFmt w:val="decimal"/>
      <w:lvlText w:val="%1"/>
      <w:lvlJc w:val="left"/>
      <w:pPr>
        <w:ind w:left="220" w:hanging="483"/>
        <w:jc w:val="left"/>
      </w:pPr>
      <w:rPr>
        <w:rFonts w:hint="default"/>
        <w:lang w:val="zh-CN" w:eastAsia="zh-CN" w:bidi="zh-CN"/>
      </w:rPr>
    </w:lvl>
    <w:lvl w:ilvl="1" w:tentative="0">
      <w:start w:val="1"/>
      <w:numFmt w:val="decimal"/>
      <w:lvlText w:val="%1-%2"/>
      <w:lvlJc w:val="left"/>
      <w:pPr>
        <w:ind w:left="220" w:hanging="483"/>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162" w:hanging="483"/>
      </w:pPr>
      <w:rPr>
        <w:rFonts w:hint="default"/>
        <w:lang w:val="zh-CN" w:eastAsia="zh-CN" w:bidi="zh-CN"/>
      </w:rPr>
    </w:lvl>
    <w:lvl w:ilvl="3" w:tentative="0">
      <w:start w:val="0"/>
      <w:numFmt w:val="bullet"/>
      <w:lvlText w:val="•"/>
      <w:lvlJc w:val="left"/>
      <w:pPr>
        <w:ind w:left="3133" w:hanging="483"/>
      </w:pPr>
      <w:rPr>
        <w:rFonts w:hint="default"/>
        <w:lang w:val="zh-CN" w:eastAsia="zh-CN" w:bidi="zh-CN"/>
      </w:rPr>
    </w:lvl>
    <w:lvl w:ilvl="4" w:tentative="0">
      <w:start w:val="0"/>
      <w:numFmt w:val="bullet"/>
      <w:lvlText w:val="•"/>
      <w:lvlJc w:val="left"/>
      <w:pPr>
        <w:ind w:left="4104" w:hanging="483"/>
      </w:pPr>
      <w:rPr>
        <w:rFonts w:hint="default"/>
        <w:lang w:val="zh-CN" w:eastAsia="zh-CN" w:bidi="zh-CN"/>
      </w:rPr>
    </w:lvl>
    <w:lvl w:ilvl="5" w:tentative="0">
      <w:start w:val="0"/>
      <w:numFmt w:val="bullet"/>
      <w:lvlText w:val="•"/>
      <w:lvlJc w:val="left"/>
      <w:pPr>
        <w:ind w:left="5075" w:hanging="483"/>
      </w:pPr>
      <w:rPr>
        <w:rFonts w:hint="default"/>
        <w:lang w:val="zh-CN" w:eastAsia="zh-CN" w:bidi="zh-CN"/>
      </w:rPr>
    </w:lvl>
    <w:lvl w:ilvl="6" w:tentative="0">
      <w:start w:val="0"/>
      <w:numFmt w:val="bullet"/>
      <w:lvlText w:val="•"/>
      <w:lvlJc w:val="left"/>
      <w:pPr>
        <w:ind w:left="6046" w:hanging="483"/>
      </w:pPr>
      <w:rPr>
        <w:rFonts w:hint="default"/>
        <w:lang w:val="zh-CN" w:eastAsia="zh-CN" w:bidi="zh-CN"/>
      </w:rPr>
    </w:lvl>
    <w:lvl w:ilvl="7" w:tentative="0">
      <w:start w:val="0"/>
      <w:numFmt w:val="bullet"/>
      <w:lvlText w:val="•"/>
      <w:lvlJc w:val="left"/>
      <w:pPr>
        <w:ind w:left="7017" w:hanging="483"/>
      </w:pPr>
      <w:rPr>
        <w:rFonts w:hint="default"/>
        <w:lang w:val="zh-CN" w:eastAsia="zh-CN" w:bidi="zh-CN"/>
      </w:rPr>
    </w:lvl>
    <w:lvl w:ilvl="8" w:tentative="0">
      <w:start w:val="0"/>
      <w:numFmt w:val="bullet"/>
      <w:lvlText w:val="•"/>
      <w:lvlJc w:val="left"/>
      <w:pPr>
        <w:ind w:left="7988" w:hanging="483"/>
      </w:pPr>
      <w:rPr>
        <w:rFonts w:hint="default"/>
        <w:lang w:val="zh-CN" w:eastAsia="zh-CN" w:bidi="zh-CN"/>
      </w:rPr>
    </w:lvl>
  </w:abstractNum>
  <w:abstractNum w:abstractNumId="27">
    <w:nsid w:val="5E8BC51A"/>
    <w:multiLevelType w:val="multilevel"/>
    <w:tmpl w:val="5E8BC51A"/>
    <w:lvl w:ilvl="0" w:tentative="0">
      <w:start w:val="1"/>
      <w:numFmt w:val="decimal"/>
      <w:suff w:val="nothing"/>
      <w:lvlText w:val="%1."/>
      <w:lvlJc w:val="left"/>
      <w:pPr>
        <w:tabs>
          <w:tab w:val="left" w:pos="0"/>
        </w:tabs>
        <w:ind w:firstLine="480"/>
      </w:pPr>
      <w:rPr>
        <w:rFonts w:cs="Times New Roman"/>
      </w:rPr>
    </w:lvl>
    <w:lvl w:ilvl="1" w:tentative="0">
      <w:start w:val="1"/>
      <w:numFmt w:val="lowerLetter"/>
      <w:lvlText w:val="%2)"/>
      <w:lvlJc w:val="left"/>
      <w:pPr>
        <w:tabs>
          <w:tab w:val="left" w:pos="0"/>
        </w:tabs>
        <w:ind w:left="1320" w:hanging="420"/>
      </w:pPr>
      <w:rPr>
        <w:rFonts w:cs="Times New Roman"/>
      </w:rPr>
    </w:lvl>
    <w:lvl w:ilvl="2" w:tentative="0">
      <w:start w:val="1"/>
      <w:numFmt w:val="lowerRoman"/>
      <w:lvlText w:val="%3."/>
      <w:lvlJc w:val="right"/>
      <w:pPr>
        <w:tabs>
          <w:tab w:val="left" w:pos="0"/>
        </w:tabs>
        <w:ind w:left="1740" w:hanging="420"/>
      </w:pPr>
      <w:rPr>
        <w:rFonts w:cs="Times New Roman"/>
      </w:rPr>
    </w:lvl>
    <w:lvl w:ilvl="3" w:tentative="0">
      <w:start w:val="1"/>
      <w:numFmt w:val="decimal"/>
      <w:lvlText w:val="%4."/>
      <w:lvlJc w:val="left"/>
      <w:pPr>
        <w:tabs>
          <w:tab w:val="left" w:pos="0"/>
        </w:tabs>
        <w:ind w:left="2160" w:hanging="420"/>
      </w:pPr>
      <w:rPr>
        <w:rFonts w:cs="Times New Roman"/>
      </w:rPr>
    </w:lvl>
    <w:lvl w:ilvl="4" w:tentative="0">
      <w:start w:val="1"/>
      <w:numFmt w:val="lowerLetter"/>
      <w:lvlText w:val="%5)"/>
      <w:lvlJc w:val="left"/>
      <w:pPr>
        <w:tabs>
          <w:tab w:val="left" w:pos="0"/>
        </w:tabs>
        <w:ind w:left="2580" w:hanging="420"/>
      </w:pPr>
      <w:rPr>
        <w:rFonts w:cs="Times New Roman"/>
      </w:rPr>
    </w:lvl>
    <w:lvl w:ilvl="5" w:tentative="0">
      <w:start w:val="1"/>
      <w:numFmt w:val="lowerRoman"/>
      <w:lvlText w:val="%6."/>
      <w:lvlJc w:val="right"/>
      <w:pPr>
        <w:tabs>
          <w:tab w:val="left" w:pos="0"/>
        </w:tabs>
        <w:ind w:left="3000" w:hanging="420"/>
      </w:pPr>
      <w:rPr>
        <w:rFonts w:cs="Times New Roman"/>
      </w:rPr>
    </w:lvl>
    <w:lvl w:ilvl="6" w:tentative="0">
      <w:start w:val="1"/>
      <w:numFmt w:val="decimal"/>
      <w:lvlText w:val="%7."/>
      <w:lvlJc w:val="left"/>
      <w:pPr>
        <w:tabs>
          <w:tab w:val="left" w:pos="0"/>
        </w:tabs>
        <w:ind w:left="3420" w:hanging="420"/>
      </w:pPr>
      <w:rPr>
        <w:rFonts w:cs="Times New Roman"/>
      </w:rPr>
    </w:lvl>
    <w:lvl w:ilvl="7" w:tentative="0">
      <w:start w:val="1"/>
      <w:numFmt w:val="lowerLetter"/>
      <w:lvlText w:val="%8)"/>
      <w:lvlJc w:val="left"/>
      <w:pPr>
        <w:tabs>
          <w:tab w:val="left" w:pos="0"/>
        </w:tabs>
        <w:ind w:left="3840" w:hanging="420"/>
      </w:pPr>
      <w:rPr>
        <w:rFonts w:cs="Times New Roman"/>
      </w:rPr>
    </w:lvl>
    <w:lvl w:ilvl="8" w:tentative="0">
      <w:start w:val="1"/>
      <w:numFmt w:val="lowerRoman"/>
      <w:lvlText w:val="%9."/>
      <w:lvlJc w:val="right"/>
      <w:pPr>
        <w:tabs>
          <w:tab w:val="left" w:pos="0"/>
        </w:tabs>
        <w:ind w:left="4260" w:hanging="420"/>
      </w:pPr>
      <w:rPr>
        <w:rFonts w:cs="Times New Roman"/>
      </w:rPr>
    </w:lvl>
  </w:abstractNum>
  <w:abstractNum w:abstractNumId="28">
    <w:nsid w:val="629F7852"/>
    <w:multiLevelType w:val="multilevel"/>
    <w:tmpl w:val="629F7852"/>
    <w:lvl w:ilvl="0" w:tentative="0">
      <w:start w:val="8"/>
      <w:numFmt w:val="decimal"/>
      <w:lvlText w:val="%1"/>
      <w:lvlJc w:val="left"/>
      <w:pPr>
        <w:ind w:left="220" w:hanging="361"/>
        <w:jc w:val="left"/>
      </w:pPr>
      <w:rPr>
        <w:rFonts w:hint="default"/>
        <w:lang w:val="zh-CN" w:eastAsia="zh-CN" w:bidi="zh-CN"/>
      </w:rPr>
    </w:lvl>
    <w:lvl w:ilvl="1" w:tentative="0">
      <w:start w:val="1"/>
      <w:numFmt w:val="decimal"/>
      <w:lvlText w:val="%1-%2"/>
      <w:lvlJc w:val="left"/>
      <w:pPr>
        <w:ind w:left="220" w:hanging="36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162" w:hanging="361"/>
      </w:pPr>
      <w:rPr>
        <w:rFonts w:hint="default"/>
        <w:lang w:val="zh-CN" w:eastAsia="zh-CN" w:bidi="zh-CN"/>
      </w:rPr>
    </w:lvl>
    <w:lvl w:ilvl="3" w:tentative="0">
      <w:start w:val="0"/>
      <w:numFmt w:val="bullet"/>
      <w:lvlText w:val="•"/>
      <w:lvlJc w:val="left"/>
      <w:pPr>
        <w:ind w:left="3133" w:hanging="361"/>
      </w:pPr>
      <w:rPr>
        <w:rFonts w:hint="default"/>
        <w:lang w:val="zh-CN" w:eastAsia="zh-CN" w:bidi="zh-CN"/>
      </w:rPr>
    </w:lvl>
    <w:lvl w:ilvl="4" w:tentative="0">
      <w:start w:val="0"/>
      <w:numFmt w:val="bullet"/>
      <w:lvlText w:val="•"/>
      <w:lvlJc w:val="left"/>
      <w:pPr>
        <w:ind w:left="4104" w:hanging="361"/>
      </w:pPr>
      <w:rPr>
        <w:rFonts w:hint="default"/>
        <w:lang w:val="zh-CN" w:eastAsia="zh-CN" w:bidi="zh-CN"/>
      </w:rPr>
    </w:lvl>
    <w:lvl w:ilvl="5" w:tentative="0">
      <w:start w:val="0"/>
      <w:numFmt w:val="bullet"/>
      <w:lvlText w:val="•"/>
      <w:lvlJc w:val="left"/>
      <w:pPr>
        <w:ind w:left="5075" w:hanging="361"/>
      </w:pPr>
      <w:rPr>
        <w:rFonts w:hint="default"/>
        <w:lang w:val="zh-CN" w:eastAsia="zh-CN" w:bidi="zh-CN"/>
      </w:rPr>
    </w:lvl>
    <w:lvl w:ilvl="6" w:tentative="0">
      <w:start w:val="0"/>
      <w:numFmt w:val="bullet"/>
      <w:lvlText w:val="•"/>
      <w:lvlJc w:val="left"/>
      <w:pPr>
        <w:ind w:left="6046" w:hanging="361"/>
      </w:pPr>
      <w:rPr>
        <w:rFonts w:hint="default"/>
        <w:lang w:val="zh-CN" w:eastAsia="zh-CN" w:bidi="zh-CN"/>
      </w:rPr>
    </w:lvl>
    <w:lvl w:ilvl="7" w:tentative="0">
      <w:start w:val="0"/>
      <w:numFmt w:val="bullet"/>
      <w:lvlText w:val="•"/>
      <w:lvlJc w:val="left"/>
      <w:pPr>
        <w:ind w:left="7017" w:hanging="361"/>
      </w:pPr>
      <w:rPr>
        <w:rFonts w:hint="default"/>
        <w:lang w:val="zh-CN" w:eastAsia="zh-CN" w:bidi="zh-CN"/>
      </w:rPr>
    </w:lvl>
    <w:lvl w:ilvl="8" w:tentative="0">
      <w:start w:val="0"/>
      <w:numFmt w:val="bullet"/>
      <w:lvlText w:val="•"/>
      <w:lvlJc w:val="left"/>
      <w:pPr>
        <w:ind w:left="7988" w:hanging="361"/>
      </w:pPr>
      <w:rPr>
        <w:rFonts w:hint="default"/>
        <w:lang w:val="zh-CN" w:eastAsia="zh-CN" w:bidi="zh-CN"/>
      </w:rPr>
    </w:lvl>
  </w:abstractNum>
  <w:abstractNum w:abstractNumId="29">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30">
    <w:nsid w:val="77A95A01"/>
    <w:multiLevelType w:val="multilevel"/>
    <w:tmpl w:val="77A95A01"/>
    <w:lvl w:ilvl="0" w:tentative="0">
      <w:start w:val="1"/>
      <w:numFmt w:val="decimal"/>
      <w:suff w:val="nothing"/>
      <w:lvlText w:val="%1."/>
      <w:lvlJc w:val="left"/>
      <w:pPr>
        <w:tabs>
          <w:tab w:val="left" w:pos="0"/>
        </w:tabs>
        <w:ind w:firstLine="480"/>
      </w:pPr>
      <w:rPr>
        <w:rFonts w:cs="Times New Roman"/>
      </w:rPr>
    </w:lvl>
    <w:lvl w:ilvl="1" w:tentative="0">
      <w:start w:val="1"/>
      <w:numFmt w:val="lowerLetter"/>
      <w:lvlText w:val="%2)"/>
      <w:lvlJc w:val="left"/>
      <w:pPr>
        <w:tabs>
          <w:tab w:val="left" w:pos="0"/>
        </w:tabs>
        <w:ind w:left="1320" w:hanging="420"/>
      </w:pPr>
      <w:rPr>
        <w:rFonts w:cs="Times New Roman"/>
      </w:rPr>
    </w:lvl>
    <w:lvl w:ilvl="2" w:tentative="0">
      <w:start w:val="1"/>
      <w:numFmt w:val="lowerRoman"/>
      <w:lvlText w:val="%3."/>
      <w:lvlJc w:val="right"/>
      <w:pPr>
        <w:tabs>
          <w:tab w:val="left" w:pos="0"/>
        </w:tabs>
        <w:ind w:left="1740" w:hanging="420"/>
      </w:pPr>
      <w:rPr>
        <w:rFonts w:cs="Times New Roman"/>
      </w:rPr>
    </w:lvl>
    <w:lvl w:ilvl="3" w:tentative="0">
      <w:start w:val="1"/>
      <w:numFmt w:val="decimal"/>
      <w:lvlText w:val="%4."/>
      <w:lvlJc w:val="left"/>
      <w:pPr>
        <w:tabs>
          <w:tab w:val="left" w:pos="0"/>
        </w:tabs>
        <w:ind w:left="2160" w:hanging="420"/>
      </w:pPr>
      <w:rPr>
        <w:rFonts w:cs="Times New Roman"/>
      </w:rPr>
    </w:lvl>
    <w:lvl w:ilvl="4" w:tentative="0">
      <w:start w:val="1"/>
      <w:numFmt w:val="lowerLetter"/>
      <w:lvlText w:val="%5)"/>
      <w:lvlJc w:val="left"/>
      <w:pPr>
        <w:tabs>
          <w:tab w:val="left" w:pos="0"/>
        </w:tabs>
        <w:ind w:left="2580" w:hanging="420"/>
      </w:pPr>
      <w:rPr>
        <w:rFonts w:cs="Times New Roman"/>
      </w:rPr>
    </w:lvl>
    <w:lvl w:ilvl="5" w:tentative="0">
      <w:start w:val="1"/>
      <w:numFmt w:val="lowerRoman"/>
      <w:lvlText w:val="%6."/>
      <w:lvlJc w:val="right"/>
      <w:pPr>
        <w:tabs>
          <w:tab w:val="left" w:pos="0"/>
        </w:tabs>
        <w:ind w:left="3000" w:hanging="420"/>
      </w:pPr>
      <w:rPr>
        <w:rFonts w:cs="Times New Roman"/>
      </w:rPr>
    </w:lvl>
    <w:lvl w:ilvl="6" w:tentative="0">
      <w:start w:val="1"/>
      <w:numFmt w:val="decimal"/>
      <w:lvlText w:val="%7."/>
      <w:lvlJc w:val="left"/>
      <w:pPr>
        <w:tabs>
          <w:tab w:val="left" w:pos="0"/>
        </w:tabs>
        <w:ind w:left="3420" w:hanging="420"/>
      </w:pPr>
      <w:rPr>
        <w:rFonts w:cs="Times New Roman"/>
      </w:rPr>
    </w:lvl>
    <w:lvl w:ilvl="7" w:tentative="0">
      <w:start w:val="1"/>
      <w:numFmt w:val="lowerLetter"/>
      <w:lvlText w:val="%8)"/>
      <w:lvlJc w:val="left"/>
      <w:pPr>
        <w:tabs>
          <w:tab w:val="left" w:pos="0"/>
        </w:tabs>
        <w:ind w:left="3840" w:hanging="420"/>
      </w:pPr>
      <w:rPr>
        <w:rFonts w:cs="Times New Roman"/>
      </w:rPr>
    </w:lvl>
    <w:lvl w:ilvl="8" w:tentative="0">
      <w:start w:val="1"/>
      <w:numFmt w:val="lowerRoman"/>
      <w:lvlText w:val="%9."/>
      <w:lvlJc w:val="right"/>
      <w:pPr>
        <w:tabs>
          <w:tab w:val="left" w:pos="0"/>
        </w:tabs>
        <w:ind w:left="4260" w:hanging="420"/>
      </w:pPr>
      <w:rPr>
        <w:rFonts w:cs="Times New Roman"/>
      </w:rPr>
    </w:lvl>
  </w:abstractNum>
  <w:abstractNum w:abstractNumId="31">
    <w:nsid w:val="77ECEA79"/>
    <w:multiLevelType w:val="multilevel"/>
    <w:tmpl w:val="77ECEA79"/>
    <w:lvl w:ilvl="0" w:tentative="0">
      <w:start w:val="6"/>
      <w:numFmt w:val="decimal"/>
      <w:lvlText w:val="%1"/>
      <w:lvlJc w:val="left"/>
      <w:pPr>
        <w:ind w:left="220" w:hanging="361"/>
        <w:jc w:val="left"/>
      </w:pPr>
      <w:rPr>
        <w:rFonts w:hint="default"/>
        <w:lang w:val="zh-CN" w:eastAsia="zh-CN" w:bidi="zh-CN"/>
      </w:rPr>
    </w:lvl>
    <w:lvl w:ilvl="1" w:tentative="0">
      <w:start w:val="1"/>
      <w:numFmt w:val="decimal"/>
      <w:lvlText w:val="%1-%2"/>
      <w:lvlJc w:val="left"/>
      <w:pPr>
        <w:ind w:left="220" w:hanging="36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162" w:hanging="361"/>
      </w:pPr>
      <w:rPr>
        <w:rFonts w:hint="default"/>
        <w:lang w:val="zh-CN" w:eastAsia="zh-CN" w:bidi="zh-CN"/>
      </w:rPr>
    </w:lvl>
    <w:lvl w:ilvl="3" w:tentative="0">
      <w:start w:val="0"/>
      <w:numFmt w:val="bullet"/>
      <w:lvlText w:val="•"/>
      <w:lvlJc w:val="left"/>
      <w:pPr>
        <w:ind w:left="3133" w:hanging="361"/>
      </w:pPr>
      <w:rPr>
        <w:rFonts w:hint="default"/>
        <w:lang w:val="zh-CN" w:eastAsia="zh-CN" w:bidi="zh-CN"/>
      </w:rPr>
    </w:lvl>
    <w:lvl w:ilvl="4" w:tentative="0">
      <w:start w:val="0"/>
      <w:numFmt w:val="bullet"/>
      <w:lvlText w:val="•"/>
      <w:lvlJc w:val="left"/>
      <w:pPr>
        <w:ind w:left="4104" w:hanging="361"/>
      </w:pPr>
      <w:rPr>
        <w:rFonts w:hint="default"/>
        <w:lang w:val="zh-CN" w:eastAsia="zh-CN" w:bidi="zh-CN"/>
      </w:rPr>
    </w:lvl>
    <w:lvl w:ilvl="5" w:tentative="0">
      <w:start w:val="0"/>
      <w:numFmt w:val="bullet"/>
      <w:lvlText w:val="•"/>
      <w:lvlJc w:val="left"/>
      <w:pPr>
        <w:ind w:left="5075" w:hanging="361"/>
      </w:pPr>
      <w:rPr>
        <w:rFonts w:hint="default"/>
        <w:lang w:val="zh-CN" w:eastAsia="zh-CN" w:bidi="zh-CN"/>
      </w:rPr>
    </w:lvl>
    <w:lvl w:ilvl="6" w:tentative="0">
      <w:start w:val="0"/>
      <w:numFmt w:val="bullet"/>
      <w:lvlText w:val="•"/>
      <w:lvlJc w:val="left"/>
      <w:pPr>
        <w:ind w:left="6046" w:hanging="361"/>
      </w:pPr>
      <w:rPr>
        <w:rFonts w:hint="default"/>
        <w:lang w:val="zh-CN" w:eastAsia="zh-CN" w:bidi="zh-CN"/>
      </w:rPr>
    </w:lvl>
    <w:lvl w:ilvl="7" w:tentative="0">
      <w:start w:val="0"/>
      <w:numFmt w:val="bullet"/>
      <w:lvlText w:val="•"/>
      <w:lvlJc w:val="left"/>
      <w:pPr>
        <w:ind w:left="7017" w:hanging="361"/>
      </w:pPr>
      <w:rPr>
        <w:rFonts w:hint="default"/>
        <w:lang w:val="zh-CN" w:eastAsia="zh-CN" w:bidi="zh-CN"/>
      </w:rPr>
    </w:lvl>
    <w:lvl w:ilvl="8" w:tentative="0">
      <w:start w:val="0"/>
      <w:numFmt w:val="bullet"/>
      <w:lvlText w:val="•"/>
      <w:lvlJc w:val="left"/>
      <w:pPr>
        <w:ind w:left="7988" w:hanging="361"/>
      </w:pPr>
      <w:rPr>
        <w:rFonts w:hint="default"/>
        <w:lang w:val="zh-CN" w:eastAsia="zh-CN" w:bidi="zh-CN"/>
      </w:rPr>
    </w:lvl>
  </w:abstractNum>
  <w:abstractNum w:abstractNumId="32">
    <w:nsid w:val="79AA4FA4"/>
    <w:multiLevelType w:val="multilevel"/>
    <w:tmpl w:val="79AA4FA4"/>
    <w:lvl w:ilvl="0" w:tentative="0">
      <w:start w:val="18"/>
      <w:numFmt w:val="decimal"/>
      <w:lvlText w:val="%1"/>
      <w:lvlJc w:val="left"/>
      <w:pPr>
        <w:ind w:left="220" w:hanging="483"/>
        <w:jc w:val="left"/>
      </w:pPr>
      <w:rPr>
        <w:rFonts w:hint="default"/>
        <w:lang w:val="zh-CN" w:eastAsia="zh-CN" w:bidi="zh-CN"/>
      </w:rPr>
    </w:lvl>
    <w:lvl w:ilvl="1" w:tentative="0">
      <w:start w:val="1"/>
      <w:numFmt w:val="decimal"/>
      <w:lvlText w:val="%1-%2"/>
      <w:lvlJc w:val="left"/>
      <w:pPr>
        <w:ind w:left="220" w:hanging="483"/>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162" w:hanging="483"/>
      </w:pPr>
      <w:rPr>
        <w:rFonts w:hint="default"/>
        <w:lang w:val="zh-CN" w:eastAsia="zh-CN" w:bidi="zh-CN"/>
      </w:rPr>
    </w:lvl>
    <w:lvl w:ilvl="3" w:tentative="0">
      <w:start w:val="0"/>
      <w:numFmt w:val="bullet"/>
      <w:lvlText w:val="•"/>
      <w:lvlJc w:val="left"/>
      <w:pPr>
        <w:ind w:left="3133" w:hanging="483"/>
      </w:pPr>
      <w:rPr>
        <w:rFonts w:hint="default"/>
        <w:lang w:val="zh-CN" w:eastAsia="zh-CN" w:bidi="zh-CN"/>
      </w:rPr>
    </w:lvl>
    <w:lvl w:ilvl="4" w:tentative="0">
      <w:start w:val="0"/>
      <w:numFmt w:val="bullet"/>
      <w:lvlText w:val="•"/>
      <w:lvlJc w:val="left"/>
      <w:pPr>
        <w:ind w:left="4104" w:hanging="483"/>
      </w:pPr>
      <w:rPr>
        <w:rFonts w:hint="default"/>
        <w:lang w:val="zh-CN" w:eastAsia="zh-CN" w:bidi="zh-CN"/>
      </w:rPr>
    </w:lvl>
    <w:lvl w:ilvl="5" w:tentative="0">
      <w:start w:val="0"/>
      <w:numFmt w:val="bullet"/>
      <w:lvlText w:val="•"/>
      <w:lvlJc w:val="left"/>
      <w:pPr>
        <w:ind w:left="5075" w:hanging="483"/>
      </w:pPr>
      <w:rPr>
        <w:rFonts w:hint="default"/>
        <w:lang w:val="zh-CN" w:eastAsia="zh-CN" w:bidi="zh-CN"/>
      </w:rPr>
    </w:lvl>
    <w:lvl w:ilvl="6" w:tentative="0">
      <w:start w:val="0"/>
      <w:numFmt w:val="bullet"/>
      <w:lvlText w:val="•"/>
      <w:lvlJc w:val="left"/>
      <w:pPr>
        <w:ind w:left="6046" w:hanging="483"/>
      </w:pPr>
      <w:rPr>
        <w:rFonts w:hint="default"/>
        <w:lang w:val="zh-CN" w:eastAsia="zh-CN" w:bidi="zh-CN"/>
      </w:rPr>
    </w:lvl>
    <w:lvl w:ilvl="7" w:tentative="0">
      <w:start w:val="0"/>
      <w:numFmt w:val="bullet"/>
      <w:lvlText w:val="•"/>
      <w:lvlJc w:val="left"/>
      <w:pPr>
        <w:ind w:left="7017" w:hanging="483"/>
      </w:pPr>
      <w:rPr>
        <w:rFonts w:hint="default"/>
        <w:lang w:val="zh-CN" w:eastAsia="zh-CN" w:bidi="zh-CN"/>
      </w:rPr>
    </w:lvl>
    <w:lvl w:ilvl="8" w:tentative="0">
      <w:start w:val="0"/>
      <w:numFmt w:val="bullet"/>
      <w:lvlText w:val="•"/>
      <w:lvlJc w:val="left"/>
      <w:pPr>
        <w:ind w:left="7988" w:hanging="483"/>
      </w:pPr>
      <w:rPr>
        <w:rFonts w:hint="default"/>
        <w:lang w:val="zh-CN" w:eastAsia="zh-CN" w:bidi="zh-CN"/>
      </w:rPr>
    </w:lvl>
  </w:abstractNum>
  <w:abstractNum w:abstractNumId="33">
    <w:nsid w:val="7C246926"/>
    <w:multiLevelType w:val="multilevel"/>
    <w:tmpl w:val="7C246926"/>
    <w:lvl w:ilvl="0" w:tentative="0">
      <w:start w:val="3"/>
      <w:numFmt w:val="decimal"/>
      <w:lvlText w:val="%1"/>
      <w:lvlJc w:val="left"/>
      <w:pPr>
        <w:ind w:left="220" w:hanging="361"/>
        <w:jc w:val="left"/>
      </w:pPr>
      <w:rPr>
        <w:rFonts w:hint="default"/>
        <w:lang w:val="zh-CN" w:eastAsia="zh-CN" w:bidi="zh-CN"/>
      </w:rPr>
    </w:lvl>
    <w:lvl w:ilvl="1" w:tentative="0">
      <w:start w:val="1"/>
      <w:numFmt w:val="decimal"/>
      <w:lvlText w:val="%1-%2"/>
      <w:lvlJc w:val="left"/>
      <w:pPr>
        <w:ind w:left="220" w:hanging="361"/>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162" w:hanging="361"/>
      </w:pPr>
      <w:rPr>
        <w:rFonts w:hint="default"/>
        <w:lang w:val="zh-CN" w:eastAsia="zh-CN" w:bidi="zh-CN"/>
      </w:rPr>
    </w:lvl>
    <w:lvl w:ilvl="3" w:tentative="0">
      <w:start w:val="0"/>
      <w:numFmt w:val="bullet"/>
      <w:lvlText w:val="•"/>
      <w:lvlJc w:val="left"/>
      <w:pPr>
        <w:ind w:left="3133" w:hanging="361"/>
      </w:pPr>
      <w:rPr>
        <w:rFonts w:hint="default"/>
        <w:lang w:val="zh-CN" w:eastAsia="zh-CN" w:bidi="zh-CN"/>
      </w:rPr>
    </w:lvl>
    <w:lvl w:ilvl="4" w:tentative="0">
      <w:start w:val="0"/>
      <w:numFmt w:val="bullet"/>
      <w:lvlText w:val="•"/>
      <w:lvlJc w:val="left"/>
      <w:pPr>
        <w:ind w:left="4104" w:hanging="361"/>
      </w:pPr>
      <w:rPr>
        <w:rFonts w:hint="default"/>
        <w:lang w:val="zh-CN" w:eastAsia="zh-CN" w:bidi="zh-CN"/>
      </w:rPr>
    </w:lvl>
    <w:lvl w:ilvl="5" w:tentative="0">
      <w:start w:val="0"/>
      <w:numFmt w:val="bullet"/>
      <w:lvlText w:val="•"/>
      <w:lvlJc w:val="left"/>
      <w:pPr>
        <w:ind w:left="5075" w:hanging="361"/>
      </w:pPr>
      <w:rPr>
        <w:rFonts w:hint="default"/>
        <w:lang w:val="zh-CN" w:eastAsia="zh-CN" w:bidi="zh-CN"/>
      </w:rPr>
    </w:lvl>
    <w:lvl w:ilvl="6" w:tentative="0">
      <w:start w:val="0"/>
      <w:numFmt w:val="bullet"/>
      <w:lvlText w:val="•"/>
      <w:lvlJc w:val="left"/>
      <w:pPr>
        <w:ind w:left="6046" w:hanging="361"/>
      </w:pPr>
      <w:rPr>
        <w:rFonts w:hint="default"/>
        <w:lang w:val="zh-CN" w:eastAsia="zh-CN" w:bidi="zh-CN"/>
      </w:rPr>
    </w:lvl>
    <w:lvl w:ilvl="7" w:tentative="0">
      <w:start w:val="0"/>
      <w:numFmt w:val="bullet"/>
      <w:lvlText w:val="•"/>
      <w:lvlJc w:val="left"/>
      <w:pPr>
        <w:ind w:left="7017" w:hanging="361"/>
      </w:pPr>
      <w:rPr>
        <w:rFonts w:hint="default"/>
        <w:lang w:val="zh-CN" w:eastAsia="zh-CN" w:bidi="zh-CN"/>
      </w:rPr>
    </w:lvl>
    <w:lvl w:ilvl="8" w:tentative="0">
      <w:start w:val="0"/>
      <w:numFmt w:val="bullet"/>
      <w:lvlText w:val="•"/>
      <w:lvlJc w:val="left"/>
      <w:pPr>
        <w:ind w:left="7988" w:hanging="361"/>
      </w:pPr>
      <w:rPr>
        <w:rFonts w:hint="default"/>
        <w:lang w:val="zh-CN" w:eastAsia="zh-CN" w:bidi="zh-CN"/>
      </w:rPr>
    </w:lvl>
  </w:abstractNum>
  <w:abstractNum w:abstractNumId="34">
    <w:nsid w:val="7D8813A8"/>
    <w:multiLevelType w:val="multilevel"/>
    <w:tmpl w:val="7D8813A8"/>
    <w:lvl w:ilvl="0" w:tentative="0">
      <w:start w:val="1"/>
      <w:numFmt w:val="decimal"/>
      <w:suff w:val="space"/>
      <w:lvlText w:val="第%1章 "/>
      <w:lvlJc w:val="left"/>
      <w:rPr>
        <w:rFonts w:hint="eastAsia" w:cs="Times New Roman"/>
        <w:b/>
        <w:sz w:val="44"/>
      </w:rPr>
    </w:lvl>
    <w:lvl w:ilvl="1" w:tentative="0">
      <w:start w:val="1"/>
      <w:numFmt w:val="decimal"/>
      <w:isLgl/>
      <w:suff w:val="space"/>
      <w:lvlText w:val="%1.%2 "/>
      <w:lvlJc w:val="left"/>
      <w:pPr>
        <w:ind w:left="567" w:hanging="567"/>
      </w:pPr>
      <w:rPr>
        <w:rFonts w:hint="default" w:ascii="Times New Roman" w:hAnsi="Times New Roman" w:cs="Times New Roman"/>
      </w:rPr>
    </w:lvl>
    <w:lvl w:ilvl="2" w:tentative="0">
      <w:start w:val="1"/>
      <w:numFmt w:val="decimal"/>
      <w:pStyle w:val="134"/>
      <w:isLgl/>
      <w:suff w:val="space"/>
      <w:lvlText w:val="%1.%2.%3 "/>
      <w:lvlJc w:val="left"/>
      <w:pPr>
        <w:ind w:left="567" w:hanging="567"/>
      </w:pPr>
      <w:rPr>
        <w:rFonts w:hint="eastAsia" w:cs="Times New Roman"/>
      </w:rPr>
    </w:lvl>
    <w:lvl w:ilvl="3" w:tentative="0">
      <w:start w:val="1"/>
      <w:numFmt w:val="decimal"/>
      <w:isLgl/>
      <w:suff w:val="space"/>
      <w:lvlText w:val="%1.%2.%3.%4 "/>
      <w:lvlJc w:val="left"/>
      <w:pPr>
        <w:ind w:left="567" w:hanging="567"/>
      </w:pPr>
      <w:rPr>
        <w:rFonts w:hint="eastAsia" w:ascii="Times New Roman" w:hAnsi="Times New Roman" w:cs="Times New Roman"/>
        <w:b/>
        <w:i w:val="0"/>
        <w:iCs w:val="0"/>
        <w:caps w:val="0"/>
        <w:smallCaps w:val="0"/>
        <w:strike w:val="0"/>
        <w:dstrike w:val="0"/>
        <w:vanish w:val="0"/>
        <w:color w:val="000000"/>
        <w:spacing w:val="0"/>
        <w:position w:val="0"/>
        <w:u w:val="none"/>
        <w:vertAlign w:val="baseline"/>
      </w:rPr>
    </w:lvl>
    <w:lvl w:ilvl="4" w:tentative="0">
      <w:start w:val="1"/>
      <w:numFmt w:val="decimal"/>
      <w:isLgl/>
      <w:suff w:val="space"/>
      <w:lvlText w:val="%1.%2.%3.%4.%5 "/>
      <w:lvlJc w:val="left"/>
      <w:pPr>
        <w:ind w:left="567" w:hanging="567"/>
      </w:pPr>
      <w:rPr>
        <w:rFonts w:hint="eastAsia" w:cs="Times New Roman"/>
      </w:rPr>
    </w:lvl>
    <w:lvl w:ilvl="5" w:tentative="0">
      <w:start w:val="1"/>
      <w:numFmt w:val="decimal"/>
      <w:suff w:val="space"/>
      <w:lvlText w:val="%1.%2.%3.%4.%5.%6"/>
      <w:lvlJc w:val="left"/>
      <w:pPr>
        <w:ind w:left="1152" w:hanging="1152"/>
      </w:pPr>
      <w:rPr>
        <w:rFonts w:hint="default" w:ascii="Times New Roman" w:hAnsi="Times New Roman" w:cs="Times New Roman"/>
      </w:rPr>
    </w:lvl>
    <w:lvl w:ilvl="6" w:tentative="0">
      <w:start w:val="1"/>
      <w:numFmt w:val="decimal"/>
      <w:suff w:val="space"/>
      <w:lvlText w:val="%1.%2.%3.%4.%5.%6.%7"/>
      <w:lvlJc w:val="left"/>
      <w:pPr>
        <w:ind w:left="1296" w:hanging="1296"/>
      </w:pPr>
      <w:rPr>
        <w:rFonts w:hint="eastAsia" w:cs="Times New Roman"/>
      </w:rPr>
    </w:lvl>
    <w:lvl w:ilvl="7" w:tentative="0">
      <w:start w:val="1"/>
      <w:numFmt w:val="decimal"/>
      <w:suff w:val="space"/>
      <w:lvlText w:val="%1.%2.%3.%4.%5.%6.%7.%8"/>
      <w:lvlJc w:val="left"/>
      <w:pPr>
        <w:ind w:left="1440" w:hanging="1440"/>
      </w:pPr>
      <w:rPr>
        <w:rFonts w:hint="default" w:ascii="Times New Roman" w:hAnsi="Times New Roman" w:cs="Times New Roman"/>
      </w:rPr>
    </w:lvl>
    <w:lvl w:ilvl="8" w:tentative="0">
      <w:start w:val="1"/>
      <w:numFmt w:val="decimal"/>
      <w:suff w:val="space"/>
      <w:lvlText w:val="%1.%2.%3.%4.%5.%6.%7.%8.%9"/>
      <w:lvlJc w:val="left"/>
      <w:pPr>
        <w:ind w:left="1584" w:hanging="1584"/>
      </w:pPr>
      <w:rPr>
        <w:rFonts w:hint="default" w:ascii="Times New Roman" w:hAnsi="Times New Roman" w:cs="Times New Roman"/>
      </w:rPr>
    </w:lvl>
  </w:abstractNum>
  <w:abstractNum w:abstractNumId="35">
    <w:nsid w:val="7DEC2089"/>
    <w:multiLevelType w:val="multilevel"/>
    <w:tmpl w:val="7DEC2089"/>
    <w:lvl w:ilvl="0" w:tentative="0">
      <w:start w:val="11"/>
      <w:numFmt w:val="decimal"/>
      <w:lvlText w:val="%1"/>
      <w:lvlJc w:val="left"/>
      <w:pPr>
        <w:ind w:left="220" w:hanging="483"/>
        <w:jc w:val="left"/>
      </w:pPr>
      <w:rPr>
        <w:rFonts w:hint="default"/>
        <w:lang w:val="zh-CN" w:eastAsia="zh-CN" w:bidi="zh-CN"/>
      </w:rPr>
    </w:lvl>
    <w:lvl w:ilvl="1" w:tentative="0">
      <w:start w:val="1"/>
      <w:numFmt w:val="decimal"/>
      <w:lvlText w:val="%1-%2"/>
      <w:lvlJc w:val="left"/>
      <w:pPr>
        <w:ind w:left="220" w:hanging="483"/>
        <w:jc w:val="left"/>
      </w:pPr>
      <w:rPr>
        <w:rFonts w:hint="default" w:ascii="宋体" w:hAnsi="宋体" w:eastAsia="宋体" w:cs="宋体"/>
        <w:w w:val="100"/>
        <w:sz w:val="22"/>
        <w:szCs w:val="22"/>
        <w:lang w:val="zh-CN" w:eastAsia="zh-CN" w:bidi="zh-CN"/>
      </w:rPr>
    </w:lvl>
    <w:lvl w:ilvl="2" w:tentative="0">
      <w:start w:val="0"/>
      <w:numFmt w:val="bullet"/>
      <w:lvlText w:val="•"/>
      <w:lvlJc w:val="left"/>
      <w:pPr>
        <w:ind w:left="2162" w:hanging="483"/>
      </w:pPr>
      <w:rPr>
        <w:rFonts w:hint="default"/>
        <w:lang w:val="zh-CN" w:eastAsia="zh-CN" w:bidi="zh-CN"/>
      </w:rPr>
    </w:lvl>
    <w:lvl w:ilvl="3" w:tentative="0">
      <w:start w:val="0"/>
      <w:numFmt w:val="bullet"/>
      <w:lvlText w:val="•"/>
      <w:lvlJc w:val="left"/>
      <w:pPr>
        <w:ind w:left="3133" w:hanging="483"/>
      </w:pPr>
      <w:rPr>
        <w:rFonts w:hint="default"/>
        <w:lang w:val="zh-CN" w:eastAsia="zh-CN" w:bidi="zh-CN"/>
      </w:rPr>
    </w:lvl>
    <w:lvl w:ilvl="4" w:tentative="0">
      <w:start w:val="0"/>
      <w:numFmt w:val="bullet"/>
      <w:lvlText w:val="•"/>
      <w:lvlJc w:val="left"/>
      <w:pPr>
        <w:ind w:left="4104" w:hanging="483"/>
      </w:pPr>
      <w:rPr>
        <w:rFonts w:hint="default"/>
        <w:lang w:val="zh-CN" w:eastAsia="zh-CN" w:bidi="zh-CN"/>
      </w:rPr>
    </w:lvl>
    <w:lvl w:ilvl="5" w:tentative="0">
      <w:start w:val="0"/>
      <w:numFmt w:val="bullet"/>
      <w:lvlText w:val="•"/>
      <w:lvlJc w:val="left"/>
      <w:pPr>
        <w:ind w:left="5075" w:hanging="483"/>
      </w:pPr>
      <w:rPr>
        <w:rFonts w:hint="default"/>
        <w:lang w:val="zh-CN" w:eastAsia="zh-CN" w:bidi="zh-CN"/>
      </w:rPr>
    </w:lvl>
    <w:lvl w:ilvl="6" w:tentative="0">
      <w:start w:val="0"/>
      <w:numFmt w:val="bullet"/>
      <w:lvlText w:val="•"/>
      <w:lvlJc w:val="left"/>
      <w:pPr>
        <w:ind w:left="6046" w:hanging="483"/>
      </w:pPr>
      <w:rPr>
        <w:rFonts w:hint="default"/>
        <w:lang w:val="zh-CN" w:eastAsia="zh-CN" w:bidi="zh-CN"/>
      </w:rPr>
    </w:lvl>
    <w:lvl w:ilvl="7" w:tentative="0">
      <w:start w:val="0"/>
      <w:numFmt w:val="bullet"/>
      <w:lvlText w:val="•"/>
      <w:lvlJc w:val="left"/>
      <w:pPr>
        <w:ind w:left="7017" w:hanging="483"/>
      </w:pPr>
      <w:rPr>
        <w:rFonts w:hint="default"/>
        <w:lang w:val="zh-CN" w:eastAsia="zh-CN" w:bidi="zh-CN"/>
      </w:rPr>
    </w:lvl>
    <w:lvl w:ilvl="8" w:tentative="0">
      <w:start w:val="0"/>
      <w:numFmt w:val="bullet"/>
      <w:lvlText w:val="•"/>
      <w:lvlJc w:val="left"/>
      <w:pPr>
        <w:ind w:left="7988" w:hanging="483"/>
      </w:pPr>
      <w:rPr>
        <w:rFonts w:hint="default"/>
        <w:lang w:val="zh-CN" w:eastAsia="zh-CN" w:bidi="zh-CN"/>
      </w:rPr>
    </w:lvl>
  </w:abstractNum>
  <w:num w:numId="1">
    <w:abstractNumId w:val="29"/>
  </w:num>
  <w:num w:numId="2">
    <w:abstractNumId w:val="34"/>
  </w:num>
  <w:num w:numId="3">
    <w:abstractNumId w:val="16"/>
  </w:num>
  <w:num w:numId="4">
    <w:abstractNumId w:val="19"/>
  </w:num>
  <w:num w:numId="5">
    <w:abstractNumId w:val="17"/>
  </w:num>
  <w:num w:numId="6">
    <w:abstractNumId w:val="12"/>
  </w:num>
  <w:num w:numId="7">
    <w:abstractNumId w:val="27"/>
  </w:num>
  <w:num w:numId="8">
    <w:abstractNumId w:val="21"/>
  </w:num>
  <w:num w:numId="9">
    <w:abstractNumId w:val="5"/>
  </w:num>
  <w:num w:numId="10">
    <w:abstractNumId w:val="30"/>
  </w:num>
  <w:num w:numId="11">
    <w:abstractNumId w:val="24"/>
  </w:num>
  <w:num w:numId="12">
    <w:abstractNumId w:val="22"/>
  </w:num>
  <w:num w:numId="13">
    <w:abstractNumId w:val="7"/>
  </w:num>
  <w:num w:numId="14">
    <w:abstractNumId w:val="33"/>
  </w:num>
  <w:num w:numId="15">
    <w:abstractNumId w:val="9"/>
  </w:num>
  <w:num w:numId="16">
    <w:abstractNumId w:val="31"/>
  </w:num>
  <w:num w:numId="17">
    <w:abstractNumId w:val="11"/>
  </w:num>
  <w:num w:numId="18">
    <w:abstractNumId w:val="28"/>
  </w:num>
  <w:num w:numId="19">
    <w:abstractNumId w:val="4"/>
  </w:num>
  <w:num w:numId="20">
    <w:abstractNumId w:val="20"/>
  </w:num>
  <w:num w:numId="21">
    <w:abstractNumId w:val="2"/>
  </w:num>
  <w:num w:numId="22">
    <w:abstractNumId w:val="25"/>
  </w:num>
  <w:num w:numId="23">
    <w:abstractNumId w:val="35"/>
  </w:num>
  <w:num w:numId="24">
    <w:abstractNumId w:val="0"/>
  </w:num>
  <w:num w:numId="25">
    <w:abstractNumId w:val="15"/>
  </w:num>
  <w:num w:numId="26">
    <w:abstractNumId w:val="23"/>
  </w:num>
  <w:num w:numId="27">
    <w:abstractNumId w:val="14"/>
  </w:num>
  <w:num w:numId="28">
    <w:abstractNumId w:val="13"/>
  </w:num>
  <w:num w:numId="29">
    <w:abstractNumId w:val="18"/>
  </w:num>
  <w:num w:numId="30">
    <w:abstractNumId w:val="32"/>
  </w:num>
  <w:num w:numId="31">
    <w:abstractNumId w:val="10"/>
  </w:num>
  <w:num w:numId="32">
    <w:abstractNumId w:val="3"/>
  </w:num>
  <w:num w:numId="33">
    <w:abstractNumId w:val="8"/>
  </w:num>
  <w:num w:numId="34">
    <w:abstractNumId w:val="26"/>
  </w:num>
  <w:num w:numId="35">
    <w:abstractNumId w:val="1"/>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20"/>
  <w:drawingGridVerticalSpacing w:val="21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lYWU3ODYzMWI1NjY0MzI4NDM2ZGE1NWFjM2ExMjYifQ=="/>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3EBC"/>
    <w:rsid w:val="001C5BE5"/>
    <w:rsid w:val="001D1BCB"/>
    <w:rsid w:val="001D22C0"/>
    <w:rsid w:val="001D2CE5"/>
    <w:rsid w:val="001D4171"/>
    <w:rsid w:val="001D576E"/>
    <w:rsid w:val="001D70BC"/>
    <w:rsid w:val="001E0376"/>
    <w:rsid w:val="001E1DFE"/>
    <w:rsid w:val="001E2BB9"/>
    <w:rsid w:val="001E467C"/>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1D44"/>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3BD4"/>
    <w:rsid w:val="00364896"/>
    <w:rsid w:val="00366A2C"/>
    <w:rsid w:val="003704E3"/>
    <w:rsid w:val="00371456"/>
    <w:rsid w:val="00373AE9"/>
    <w:rsid w:val="00374506"/>
    <w:rsid w:val="00374610"/>
    <w:rsid w:val="0037495D"/>
    <w:rsid w:val="0037531B"/>
    <w:rsid w:val="00375819"/>
    <w:rsid w:val="00375C89"/>
    <w:rsid w:val="00376DAF"/>
    <w:rsid w:val="00377482"/>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D38"/>
    <w:rsid w:val="004155E3"/>
    <w:rsid w:val="00415649"/>
    <w:rsid w:val="004156E2"/>
    <w:rsid w:val="00415AB5"/>
    <w:rsid w:val="00416478"/>
    <w:rsid w:val="00420875"/>
    <w:rsid w:val="0042388D"/>
    <w:rsid w:val="00425038"/>
    <w:rsid w:val="0042688F"/>
    <w:rsid w:val="00427ABD"/>
    <w:rsid w:val="004317AB"/>
    <w:rsid w:val="00431DBF"/>
    <w:rsid w:val="00433512"/>
    <w:rsid w:val="0043432D"/>
    <w:rsid w:val="00441423"/>
    <w:rsid w:val="00441D7B"/>
    <w:rsid w:val="00444250"/>
    <w:rsid w:val="00444298"/>
    <w:rsid w:val="004456C5"/>
    <w:rsid w:val="00454666"/>
    <w:rsid w:val="004547F6"/>
    <w:rsid w:val="004574A4"/>
    <w:rsid w:val="00461F1D"/>
    <w:rsid w:val="00463236"/>
    <w:rsid w:val="00464AC1"/>
    <w:rsid w:val="004657D3"/>
    <w:rsid w:val="0046690A"/>
    <w:rsid w:val="0046782F"/>
    <w:rsid w:val="00471E1E"/>
    <w:rsid w:val="0047278F"/>
    <w:rsid w:val="00473CE1"/>
    <w:rsid w:val="0047590B"/>
    <w:rsid w:val="004846F1"/>
    <w:rsid w:val="00490F98"/>
    <w:rsid w:val="00491349"/>
    <w:rsid w:val="00493684"/>
    <w:rsid w:val="00493E48"/>
    <w:rsid w:val="00496ACE"/>
    <w:rsid w:val="00496F78"/>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6CCD"/>
    <w:rsid w:val="004D7112"/>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5365"/>
    <w:rsid w:val="005555A0"/>
    <w:rsid w:val="0056050F"/>
    <w:rsid w:val="00560BBE"/>
    <w:rsid w:val="005612F2"/>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3EE5"/>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5858"/>
    <w:rsid w:val="00636BF4"/>
    <w:rsid w:val="00637FE9"/>
    <w:rsid w:val="00642CB1"/>
    <w:rsid w:val="006431A9"/>
    <w:rsid w:val="006460E3"/>
    <w:rsid w:val="006466DF"/>
    <w:rsid w:val="00646A42"/>
    <w:rsid w:val="006518D0"/>
    <w:rsid w:val="00652393"/>
    <w:rsid w:val="00656003"/>
    <w:rsid w:val="00657150"/>
    <w:rsid w:val="006571DD"/>
    <w:rsid w:val="0065774D"/>
    <w:rsid w:val="0065792C"/>
    <w:rsid w:val="00662E32"/>
    <w:rsid w:val="0066668A"/>
    <w:rsid w:val="00667CAB"/>
    <w:rsid w:val="00671BD4"/>
    <w:rsid w:val="00675065"/>
    <w:rsid w:val="00675563"/>
    <w:rsid w:val="00675DAD"/>
    <w:rsid w:val="00682389"/>
    <w:rsid w:val="00685346"/>
    <w:rsid w:val="00685390"/>
    <w:rsid w:val="00685B24"/>
    <w:rsid w:val="006870E8"/>
    <w:rsid w:val="00690BC5"/>
    <w:rsid w:val="00690C8E"/>
    <w:rsid w:val="00691341"/>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F0B"/>
    <w:rsid w:val="006C700A"/>
    <w:rsid w:val="006C7C59"/>
    <w:rsid w:val="006D0312"/>
    <w:rsid w:val="006D06D5"/>
    <w:rsid w:val="006D214E"/>
    <w:rsid w:val="006D2DEA"/>
    <w:rsid w:val="006D2E9C"/>
    <w:rsid w:val="006D30BC"/>
    <w:rsid w:val="006D75CD"/>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B21"/>
    <w:rsid w:val="00721BAC"/>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39E"/>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051D"/>
    <w:rsid w:val="007E1576"/>
    <w:rsid w:val="007E2BD2"/>
    <w:rsid w:val="007E5F41"/>
    <w:rsid w:val="007E6CF2"/>
    <w:rsid w:val="007F0B94"/>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4223"/>
    <w:rsid w:val="008B5009"/>
    <w:rsid w:val="008B7E45"/>
    <w:rsid w:val="008C1237"/>
    <w:rsid w:val="008C64FB"/>
    <w:rsid w:val="008C6F63"/>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6F7B"/>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1BB"/>
    <w:rsid w:val="009C33AA"/>
    <w:rsid w:val="009C3C03"/>
    <w:rsid w:val="009C3C6C"/>
    <w:rsid w:val="009C3EBA"/>
    <w:rsid w:val="009C4C61"/>
    <w:rsid w:val="009C5377"/>
    <w:rsid w:val="009C58A2"/>
    <w:rsid w:val="009C7BA0"/>
    <w:rsid w:val="009D1B51"/>
    <w:rsid w:val="009D426B"/>
    <w:rsid w:val="009D43A5"/>
    <w:rsid w:val="009D48FF"/>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550"/>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4D94"/>
    <w:rsid w:val="00AE5612"/>
    <w:rsid w:val="00AE638E"/>
    <w:rsid w:val="00AE6664"/>
    <w:rsid w:val="00AE6EED"/>
    <w:rsid w:val="00AE74AC"/>
    <w:rsid w:val="00AF60DB"/>
    <w:rsid w:val="00B01853"/>
    <w:rsid w:val="00B019C6"/>
    <w:rsid w:val="00B02758"/>
    <w:rsid w:val="00B02B5A"/>
    <w:rsid w:val="00B0302F"/>
    <w:rsid w:val="00B036CF"/>
    <w:rsid w:val="00B03790"/>
    <w:rsid w:val="00B03CDC"/>
    <w:rsid w:val="00B04B8A"/>
    <w:rsid w:val="00B04BFB"/>
    <w:rsid w:val="00B104AA"/>
    <w:rsid w:val="00B11872"/>
    <w:rsid w:val="00B1312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6E79"/>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CBF"/>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506C"/>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97C"/>
    <w:rsid w:val="00C25C2B"/>
    <w:rsid w:val="00C2744F"/>
    <w:rsid w:val="00C33D5F"/>
    <w:rsid w:val="00C34648"/>
    <w:rsid w:val="00C34D95"/>
    <w:rsid w:val="00C357EB"/>
    <w:rsid w:val="00C37015"/>
    <w:rsid w:val="00C40072"/>
    <w:rsid w:val="00C408BD"/>
    <w:rsid w:val="00C4213E"/>
    <w:rsid w:val="00C438D5"/>
    <w:rsid w:val="00C45741"/>
    <w:rsid w:val="00C4699F"/>
    <w:rsid w:val="00C472A3"/>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34C"/>
    <w:rsid w:val="00C86F92"/>
    <w:rsid w:val="00C90072"/>
    <w:rsid w:val="00C9533B"/>
    <w:rsid w:val="00CA14A2"/>
    <w:rsid w:val="00CA408B"/>
    <w:rsid w:val="00CA597B"/>
    <w:rsid w:val="00CA6FED"/>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0BF"/>
    <w:rsid w:val="00CD3879"/>
    <w:rsid w:val="00CD495B"/>
    <w:rsid w:val="00CD5C64"/>
    <w:rsid w:val="00CD69A5"/>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5B3B"/>
    <w:rsid w:val="00D6655A"/>
    <w:rsid w:val="00D73BEF"/>
    <w:rsid w:val="00D75DD7"/>
    <w:rsid w:val="00D826C5"/>
    <w:rsid w:val="00D845D4"/>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13C1"/>
    <w:rsid w:val="00DD26EA"/>
    <w:rsid w:val="00DD35BB"/>
    <w:rsid w:val="00DD5E61"/>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6B6"/>
    <w:rsid w:val="00E227F4"/>
    <w:rsid w:val="00E23903"/>
    <w:rsid w:val="00E2465F"/>
    <w:rsid w:val="00E2575E"/>
    <w:rsid w:val="00E25E0D"/>
    <w:rsid w:val="00E27DAA"/>
    <w:rsid w:val="00E27FDC"/>
    <w:rsid w:val="00E303C9"/>
    <w:rsid w:val="00E30E7D"/>
    <w:rsid w:val="00E31BA9"/>
    <w:rsid w:val="00E332F8"/>
    <w:rsid w:val="00E33659"/>
    <w:rsid w:val="00E4021E"/>
    <w:rsid w:val="00E40872"/>
    <w:rsid w:val="00E41594"/>
    <w:rsid w:val="00E4296F"/>
    <w:rsid w:val="00E46A08"/>
    <w:rsid w:val="00E47BE1"/>
    <w:rsid w:val="00E518FB"/>
    <w:rsid w:val="00E56FE8"/>
    <w:rsid w:val="00E57945"/>
    <w:rsid w:val="00E57C5E"/>
    <w:rsid w:val="00E6057C"/>
    <w:rsid w:val="00E607A7"/>
    <w:rsid w:val="00E60C5E"/>
    <w:rsid w:val="00E61388"/>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64FA"/>
    <w:rsid w:val="00E97186"/>
    <w:rsid w:val="00E97F6C"/>
    <w:rsid w:val="00EA04D2"/>
    <w:rsid w:val="00EA39FE"/>
    <w:rsid w:val="00EA6401"/>
    <w:rsid w:val="00EA68DB"/>
    <w:rsid w:val="00EB0764"/>
    <w:rsid w:val="00EB1322"/>
    <w:rsid w:val="00EB1A62"/>
    <w:rsid w:val="00EB4FC8"/>
    <w:rsid w:val="00EB6E57"/>
    <w:rsid w:val="00EB7A4C"/>
    <w:rsid w:val="00EC0DD8"/>
    <w:rsid w:val="00EC2A66"/>
    <w:rsid w:val="00EC3672"/>
    <w:rsid w:val="00EC44FF"/>
    <w:rsid w:val="00ED0960"/>
    <w:rsid w:val="00ED3782"/>
    <w:rsid w:val="00ED56C1"/>
    <w:rsid w:val="00ED7D80"/>
    <w:rsid w:val="00EE1F49"/>
    <w:rsid w:val="00EE1F87"/>
    <w:rsid w:val="00EE3720"/>
    <w:rsid w:val="00EE3F92"/>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BB5"/>
    <w:rsid w:val="00F14992"/>
    <w:rsid w:val="00F1614A"/>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47CA4"/>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5AC5"/>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7224"/>
    <w:rsid w:val="00FB01BB"/>
    <w:rsid w:val="00FB1215"/>
    <w:rsid w:val="00FB3D8E"/>
    <w:rsid w:val="00FB4CB0"/>
    <w:rsid w:val="00FB608E"/>
    <w:rsid w:val="00FB6392"/>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0D99"/>
    <w:rsid w:val="00FE3884"/>
    <w:rsid w:val="00FE3FCF"/>
    <w:rsid w:val="00FF2E19"/>
    <w:rsid w:val="00FF756F"/>
    <w:rsid w:val="02CD38AA"/>
    <w:rsid w:val="07C1420B"/>
    <w:rsid w:val="0CEB4FA3"/>
    <w:rsid w:val="12F9465F"/>
    <w:rsid w:val="13651CF4"/>
    <w:rsid w:val="1C512E16"/>
    <w:rsid w:val="241F1A4B"/>
    <w:rsid w:val="2B03465C"/>
    <w:rsid w:val="2F0957D2"/>
    <w:rsid w:val="31B25CAD"/>
    <w:rsid w:val="3A946897"/>
    <w:rsid w:val="3B015DFE"/>
    <w:rsid w:val="3BD827B4"/>
    <w:rsid w:val="3C100E30"/>
    <w:rsid w:val="463F349F"/>
    <w:rsid w:val="467A3C27"/>
    <w:rsid w:val="48712819"/>
    <w:rsid w:val="4D0F7135"/>
    <w:rsid w:val="4EB3158A"/>
    <w:rsid w:val="59967ADE"/>
    <w:rsid w:val="5BAB5A89"/>
    <w:rsid w:val="61784FF2"/>
    <w:rsid w:val="637E2D0B"/>
    <w:rsid w:val="676D6BD3"/>
    <w:rsid w:val="6D553292"/>
    <w:rsid w:val="76E97048"/>
    <w:rsid w:val="77A94302"/>
    <w:rsid w:val="7A016D9E"/>
    <w:rsid w:val="7DA95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72"/>
    <w:qFormat/>
    <w:uiPriority w:val="99"/>
    <w:pPr>
      <w:spacing w:line="360" w:lineRule="auto"/>
      <w:jc w:val="center"/>
      <w:outlineLvl w:val="0"/>
    </w:pPr>
    <w:rPr>
      <w:rFonts w:ascii="方正小标宋_GBK" w:hAnsi="仿宋" w:eastAsia="方正小标宋_GBK"/>
      <w:sz w:val="44"/>
      <w:szCs w:val="44"/>
    </w:rPr>
  </w:style>
  <w:style w:type="paragraph" w:styleId="4">
    <w:name w:val="heading 2"/>
    <w:basedOn w:val="1"/>
    <w:next w:val="1"/>
    <w:link w:val="73"/>
    <w:unhideWhenUsed/>
    <w:qFormat/>
    <w:uiPriority w:val="99"/>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link w:val="74"/>
    <w:unhideWhenUsed/>
    <w:qFormat/>
    <w:uiPriority w:val="99"/>
    <w:pPr>
      <w:spacing w:line="560" w:lineRule="exact"/>
      <w:jc w:val="center"/>
      <w:outlineLvl w:val="2"/>
    </w:pPr>
    <w:rPr>
      <w:rFonts w:ascii="方正小标宋_GBK" w:hAnsi="仿宋" w:eastAsia="方正小标宋_GBK"/>
      <w:sz w:val="36"/>
      <w:szCs w:val="36"/>
    </w:rPr>
  </w:style>
  <w:style w:type="paragraph" w:styleId="6">
    <w:name w:val="heading 4"/>
    <w:basedOn w:val="1"/>
    <w:next w:val="1"/>
    <w:link w:val="75"/>
    <w:unhideWhenUsed/>
    <w:qFormat/>
    <w:uiPriority w:val="99"/>
    <w:pPr>
      <w:keepNext/>
      <w:numPr>
        <w:ilvl w:val="3"/>
        <w:numId w:val="1"/>
      </w:numPr>
      <w:spacing w:before="240" w:after="60"/>
      <w:outlineLvl w:val="3"/>
    </w:pPr>
    <w:rPr>
      <w:rFonts w:cstheme="majorBidi"/>
      <w:b/>
      <w:bCs/>
      <w:sz w:val="28"/>
      <w:szCs w:val="28"/>
    </w:rPr>
  </w:style>
  <w:style w:type="paragraph" w:styleId="7">
    <w:name w:val="heading 5"/>
    <w:basedOn w:val="1"/>
    <w:next w:val="1"/>
    <w:link w:val="76"/>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77"/>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78"/>
    <w:semiHidden/>
    <w:unhideWhenUsed/>
    <w:qFormat/>
    <w:uiPriority w:val="9"/>
    <w:pPr>
      <w:numPr>
        <w:ilvl w:val="6"/>
        <w:numId w:val="1"/>
      </w:numPr>
      <w:spacing w:before="240" w:after="60"/>
      <w:outlineLvl w:val="6"/>
    </w:pPr>
  </w:style>
  <w:style w:type="paragraph" w:styleId="10">
    <w:name w:val="heading 8"/>
    <w:basedOn w:val="1"/>
    <w:next w:val="1"/>
    <w:link w:val="79"/>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80"/>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TOC 标题1"/>
    <w:basedOn w:val="3"/>
    <w:next w:val="1"/>
    <w:semiHidden/>
    <w:qFormat/>
    <w:uiPriority w:val="99"/>
    <w:pPr>
      <w:keepNext/>
      <w:keepLines/>
      <w:spacing w:before="480" w:line="276" w:lineRule="auto"/>
      <w:jc w:val="left"/>
      <w:outlineLvl w:val="9"/>
    </w:pPr>
    <w:rPr>
      <w:rFonts w:ascii="等线 Light" w:hAnsi="等线 Light" w:eastAsia="等线 Light"/>
      <w:b/>
      <w:bCs/>
      <w:color w:val="2F5496"/>
      <w:sz w:val="28"/>
      <w:szCs w:val="28"/>
    </w:rPr>
  </w:style>
  <w:style w:type="paragraph" w:styleId="12">
    <w:name w:val="toc 7"/>
    <w:basedOn w:val="1"/>
    <w:next w:val="1"/>
    <w:qFormat/>
    <w:uiPriority w:val="39"/>
    <w:rPr>
      <w:rFonts w:ascii="??" w:hAnsi="Times New Roman" w:eastAsia="Times New Roman"/>
      <w:kern w:val="2"/>
      <w:sz w:val="22"/>
      <w:szCs w:val="22"/>
    </w:rPr>
  </w:style>
  <w:style w:type="paragraph" w:styleId="13">
    <w:name w:val="Normal Indent"/>
    <w:basedOn w:val="1"/>
    <w:qFormat/>
    <w:uiPriority w:val="0"/>
    <w:pPr>
      <w:widowControl w:val="0"/>
      <w:ind w:firstLine="420"/>
      <w:jc w:val="both"/>
    </w:pPr>
    <w:rPr>
      <w:rFonts w:ascii="Calibri" w:hAnsi="Times New Roman" w:eastAsia="宋体" w:cs="宋体"/>
      <w:kern w:val="2"/>
      <w:sz w:val="34"/>
      <w:szCs w:val="20"/>
    </w:rPr>
  </w:style>
  <w:style w:type="paragraph" w:styleId="14">
    <w:name w:val="caption"/>
    <w:basedOn w:val="1"/>
    <w:next w:val="1"/>
    <w:semiHidden/>
    <w:unhideWhenUsed/>
    <w:qFormat/>
    <w:uiPriority w:val="35"/>
    <w:rPr>
      <w:rFonts w:eastAsia="黑体" w:asciiTheme="majorHAnsi" w:hAnsiTheme="majorHAnsi" w:cstheme="majorBidi"/>
      <w:sz w:val="20"/>
      <w:szCs w:val="20"/>
    </w:rPr>
  </w:style>
  <w:style w:type="paragraph" w:styleId="15">
    <w:name w:val="Document Map"/>
    <w:basedOn w:val="1"/>
    <w:link w:val="104"/>
    <w:semiHidden/>
    <w:unhideWhenUsed/>
    <w:qFormat/>
    <w:uiPriority w:val="99"/>
    <w:pPr>
      <w:spacing w:line="400" w:lineRule="exact"/>
      <w:jc w:val="both"/>
    </w:pPr>
    <w:rPr>
      <w:rFonts w:ascii="宋体" w:hAnsi="Calibri Light" w:eastAsia="宋体" w:cs="Calibri Light"/>
      <w:kern w:val="2"/>
      <w:sz w:val="18"/>
      <w:szCs w:val="18"/>
    </w:rPr>
  </w:style>
  <w:style w:type="paragraph" w:styleId="16">
    <w:name w:val="annotation text"/>
    <w:basedOn w:val="1"/>
    <w:link w:val="96"/>
    <w:unhideWhenUsed/>
    <w:qFormat/>
    <w:uiPriority w:val="99"/>
    <w:pPr>
      <w:spacing w:line="400" w:lineRule="exact"/>
    </w:pPr>
    <w:rPr>
      <w:rFonts w:ascii="Calibri Light" w:hAnsi="Calibri Light" w:eastAsia="华文仿宋" w:cs="Calibri Light"/>
      <w:kern w:val="2"/>
      <w:sz w:val="28"/>
      <w:szCs w:val="28"/>
    </w:rPr>
  </w:style>
  <w:style w:type="paragraph" w:styleId="17">
    <w:name w:val="Body Text"/>
    <w:basedOn w:val="1"/>
    <w:next w:val="18"/>
    <w:link w:val="113"/>
    <w:qFormat/>
    <w:uiPriority w:val="1"/>
    <w:pPr>
      <w:widowControl w:val="0"/>
      <w:autoSpaceDE w:val="0"/>
      <w:autoSpaceDN w:val="0"/>
      <w:ind w:left="1036"/>
    </w:pPr>
    <w:rPr>
      <w:rFonts w:ascii="宋体" w:hAnsi="宋体" w:eastAsia="宋体" w:cs="宋体"/>
      <w:lang w:val="zh-CN" w:bidi="zh-CN"/>
    </w:rPr>
  </w:style>
  <w:style w:type="paragraph" w:styleId="18">
    <w:name w:val="Body Text 2"/>
    <w:basedOn w:val="1"/>
    <w:qFormat/>
    <w:uiPriority w:val="0"/>
    <w:pPr>
      <w:spacing w:after="120" w:line="480" w:lineRule="auto"/>
    </w:pPr>
    <w:rPr>
      <w:rFonts w:ascii="Times New Roman" w:hAnsi="Times New Roman"/>
    </w:rPr>
  </w:style>
  <w:style w:type="paragraph" w:styleId="19">
    <w:name w:val="Body Text Indent"/>
    <w:basedOn w:val="1"/>
    <w:link w:val="115"/>
    <w:unhideWhenUsed/>
    <w:qFormat/>
    <w:uiPriority w:val="0"/>
    <w:pPr>
      <w:spacing w:after="120"/>
      <w:ind w:left="420" w:leftChars="200"/>
    </w:pPr>
  </w:style>
  <w:style w:type="paragraph" w:styleId="20">
    <w:name w:val="toc 5"/>
    <w:basedOn w:val="1"/>
    <w:next w:val="1"/>
    <w:qFormat/>
    <w:uiPriority w:val="39"/>
    <w:rPr>
      <w:rFonts w:ascii="??" w:hAnsi="Times New Roman" w:eastAsia="Times New Roman"/>
      <w:kern w:val="2"/>
      <w:sz w:val="22"/>
      <w:szCs w:val="22"/>
    </w:rPr>
  </w:style>
  <w:style w:type="paragraph" w:styleId="21">
    <w:name w:val="toc 3"/>
    <w:basedOn w:val="1"/>
    <w:next w:val="1"/>
    <w:qFormat/>
    <w:uiPriority w:val="39"/>
    <w:rPr>
      <w:rFonts w:ascii="??" w:hAnsi="Times New Roman" w:eastAsia="Times New Roman"/>
      <w:smallCaps/>
      <w:kern w:val="2"/>
      <w:sz w:val="22"/>
      <w:szCs w:val="22"/>
    </w:rPr>
  </w:style>
  <w:style w:type="paragraph" w:styleId="22">
    <w:name w:val="toc 8"/>
    <w:basedOn w:val="1"/>
    <w:next w:val="1"/>
    <w:qFormat/>
    <w:uiPriority w:val="39"/>
    <w:rPr>
      <w:rFonts w:ascii="??" w:hAnsi="Times New Roman" w:eastAsia="Times New Roman"/>
      <w:kern w:val="2"/>
      <w:sz w:val="22"/>
      <w:szCs w:val="22"/>
    </w:rPr>
  </w:style>
  <w:style w:type="paragraph" w:styleId="23">
    <w:name w:val="Date"/>
    <w:basedOn w:val="1"/>
    <w:next w:val="1"/>
    <w:link w:val="69"/>
    <w:semiHidden/>
    <w:unhideWhenUsed/>
    <w:qFormat/>
    <w:uiPriority w:val="99"/>
    <w:pPr>
      <w:ind w:left="100" w:leftChars="2500"/>
    </w:pPr>
  </w:style>
  <w:style w:type="paragraph" w:styleId="24">
    <w:name w:val="Balloon Text"/>
    <w:basedOn w:val="1"/>
    <w:link w:val="95"/>
    <w:semiHidden/>
    <w:unhideWhenUsed/>
    <w:qFormat/>
    <w:uiPriority w:val="99"/>
    <w:rPr>
      <w:sz w:val="18"/>
      <w:szCs w:val="18"/>
    </w:rPr>
  </w:style>
  <w:style w:type="paragraph" w:styleId="25">
    <w:name w:val="footer"/>
    <w:basedOn w:val="1"/>
    <w:link w:val="71"/>
    <w:unhideWhenUsed/>
    <w:qFormat/>
    <w:uiPriority w:val="99"/>
    <w:pPr>
      <w:tabs>
        <w:tab w:val="center" w:pos="4153"/>
        <w:tab w:val="right" w:pos="8306"/>
      </w:tabs>
      <w:snapToGrid w:val="0"/>
      <w:spacing w:line="240" w:lineRule="atLeast"/>
    </w:pPr>
    <w:rPr>
      <w:sz w:val="18"/>
      <w:szCs w:val="18"/>
    </w:rPr>
  </w:style>
  <w:style w:type="paragraph" w:styleId="26">
    <w:name w:val="header"/>
    <w:basedOn w:val="1"/>
    <w:link w:val="7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7">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8">
    <w:name w:val="toc 4"/>
    <w:basedOn w:val="1"/>
    <w:next w:val="1"/>
    <w:qFormat/>
    <w:uiPriority w:val="39"/>
    <w:rPr>
      <w:rFonts w:ascii="??" w:hAnsi="Times New Roman" w:eastAsia="Times New Roman"/>
      <w:kern w:val="2"/>
      <w:sz w:val="22"/>
      <w:szCs w:val="22"/>
    </w:rPr>
  </w:style>
  <w:style w:type="paragraph" w:styleId="29">
    <w:name w:val="Subtitle"/>
    <w:basedOn w:val="1"/>
    <w:next w:val="1"/>
    <w:link w:val="82"/>
    <w:qFormat/>
    <w:uiPriority w:val="11"/>
    <w:pPr>
      <w:keepNext/>
      <w:spacing w:before="50" w:beforeLines="50" w:after="50" w:afterLines="50"/>
      <w:jc w:val="center"/>
      <w:outlineLvl w:val="1"/>
    </w:pPr>
    <w:rPr>
      <w:rFonts w:ascii="Calibri" w:hAnsi="Calibri" w:eastAsia="黑体" w:cstheme="majorBidi"/>
      <w:sz w:val="32"/>
    </w:rPr>
  </w:style>
  <w:style w:type="paragraph" w:styleId="30">
    <w:name w:val="footnote text"/>
    <w:basedOn w:val="1"/>
    <w:link w:val="124"/>
    <w:semiHidden/>
    <w:qFormat/>
    <w:uiPriority w:val="99"/>
    <w:pPr>
      <w:snapToGrid w:val="0"/>
    </w:pPr>
    <w:rPr>
      <w:rFonts w:ascii="Times New Roman" w:hAnsi="Times New Roman" w:eastAsia="宋体"/>
      <w:kern w:val="2"/>
      <w:sz w:val="18"/>
      <w:szCs w:val="18"/>
    </w:rPr>
  </w:style>
  <w:style w:type="paragraph" w:styleId="31">
    <w:name w:val="toc 6"/>
    <w:basedOn w:val="1"/>
    <w:next w:val="1"/>
    <w:qFormat/>
    <w:uiPriority w:val="39"/>
    <w:rPr>
      <w:rFonts w:ascii="??" w:hAnsi="Times New Roman" w:eastAsia="Times New Roman"/>
      <w:kern w:val="2"/>
      <w:sz w:val="22"/>
      <w:szCs w:val="22"/>
    </w:rPr>
  </w:style>
  <w:style w:type="paragraph" w:styleId="32">
    <w:name w:val="toc 2"/>
    <w:basedOn w:val="1"/>
    <w:next w:val="1"/>
    <w:unhideWhenUsed/>
    <w:qFormat/>
    <w:uiPriority w:val="39"/>
    <w:pPr>
      <w:ind w:left="420" w:leftChars="200"/>
    </w:pPr>
  </w:style>
  <w:style w:type="paragraph" w:styleId="33">
    <w:name w:val="toc 9"/>
    <w:basedOn w:val="1"/>
    <w:next w:val="1"/>
    <w:qFormat/>
    <w:uiPriority w:val="39"/>
    <w:rPr>
      <w:rFonts w:ascii="??" w:hAnsi="Times New Roman" w:eastAsia="Times New Roman"/>
      <w:kern w:val="2"/>
      <w:sz w:val="22"/>
      <w:szCs w:val="22"/>
    </w:rPr>
  </w:style>
  <w:style w:type="paragraph" w:styleId="34">
    <w:name w:val="Normal (Web)"/>
    <w:basedOn w:val="1"/>
    <w:qFormat/>
    <w:uiPriority w:val="99"/>
    <w:pPr>
      <w:widowControl w:val="0"/>
      <w:jc w:val="both"/>
    </w:pPr>
    <w:rPr>
      <w:rFonts w:ascii="Calibri" w:hAnsi="Calibri" w:eastAsia="宋体"/>
      <w:kern w:val="2"/>
      <w:sz w:val="21"/>
    </w:rPr>
  </w:style>
  <w:style w:type="paragraph" w:styleId="35">
    <w:name w:val="Title"/>
    <w:basedOn w:val="1"/>
    <w:next w:val="1"/>
    <w:link w:val="81"/>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6">
    <w:name w:val="annotation subject"/>
    <w:basedOn w:val="16"/>
    <w:next w:val="16"/>
    <w:link w:val="103"/>
    <w:semiHidden/>
    <w:unhideWhenUsed/>
    <w:qFormat/>
    <w:uiPriority w:val="99"/>
    <w:rPr>
      <w:b/>
      <w:bCs/>
    </w:rPr>
  </w:style>
  <w:style w:type="paragraph" w:styleId="37">
    <w:name w:val="Body Text First Indent"/>
    <w:basedOn w:val="17"/>
    <w:link w:val="117"/>
    <w:unhideWhenUsed/>
    <w:qFormat/>
    <w:uiPriority w:val="99"/>
    <w:pPr>
      <w:autoSpaceDE/>
      <w:autoSpaceDN/>
      <w:spacing w:after="120"/>
      <w:ind w:left="0" w:firstLine="420" w:firstLineChars="100"/>
      <w:jc w:val="both"/>
    </w:pPr>
    <w:rPr>
      <w:rFonts w:ascii="Tahoma" w:hAnsi="Tahoma" w:cs="Times New Roman"/>
      <w:kern w:val="2"/>
      <w:sz w:val="21"/>
      <w:szCs w:val="22"/>
      <w:lang w:val="en-US" w:bidi="ar-SA"/>
    </w:rPr>
  </w:style>
  <w:style w:type="paragraph" w:styleId="38">
    <w:name w:val="Body Text First Indent 2"/>
    <w:basedOn w:val="19"/>
    <w:link w:val="116"/>
    <w:unhideWhenUsed/>
    <w:qFormat/>
    <w:uiPriority w:val="99"/>
    <w:pPr>
      <w:ind w:firstLine="420" w:firstLineChars="200"/>
    </w:pPr>
  </w:style>
  <w:style w:type="table" w:styleId="40">
    <w:name w:val="Table Grid"/>
    <w:basedOn w:val="3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22"/>
    <w:rPr>
      <w:b/>
      <w:bCs/>
    </w:rPr>
  </w:style>
  <w:style w:type="character" w:styleId="43">
    <w:name w:val="page number"/>
    <w:qFormat/>
    <w:uiPriority w:val="0"/>
    <w:rPr>
      <w:rFonts w:ascii="Times New Roman" w:hAnsi="Times New Roman" w:eastAsia="宋体" w:cs="Times New Roman"/>
    </w:rPr>
  </w:style>
  <w:style w:type="character" w:styleId="44">
    <w:name w:val="FollowedHyperlink"/>
    <w:basedOn w:val="41"/>
    <w:semiHidden/>
    <w:unhideWhenUsed/>
    <w:qFormat/>
    <w:uiPriority w:val="99"/>
    <w:rPr>
      <w:color w:val="954F72" w:themeColor="followedHyperlink"/>
      <w:u w:val="single"/>
      <w14:textFill>
        <w14:solidFill>
          <w14:schemeClr w14:val="folHlink"/>
        </w14:solidFill>
      </w14:textFill>
    </w:rPr>
  </w:style>
  <w:style w:type="character" w:styleId="45">
    <w:name w:val="Emphasis"/>
    <w:basedOn w:val="41"/>
    <w:qFormat/>
    <w:uiPriority w:val="20"/>
    <w:rPr>
      <w:rFonts w:asciiTheme="minorHAnsi" w:hAnsiTheme="minorHAnsi"/>
      <w:b/>
      <w:i/>
      <w:iCs/>
    </w:rPr>
  </w:style>
  <w:style w:type="character" w:styleId="46">
    <w:name w:val="Hyperlink"/>
    <w:basedOn w:val="41"/>
    <w:unhideWhenUsed/>
    <w:qFormat/>
    <w:uiPriority w:val="99"/>
    <w:rPr>
      <w:color w:val="0563C1" w:themeColor="hyperlink"/>
      <w:u w:val="single"/>
      <w14:textFill>
        <w14:solidFill>
          <w14:schemeClr w14:val="hlink"/>
        </w14:solidFill>
      </w14:textFill>
    </w:rPr>
  </w:style>
  <w:style w:type="character" w:styleId="47">
    <w:name w:val="annotation reference"/>
    <w:basedOn w:val="41"/>
    <w:semiHidden/>
    <w:unhideWhenUsed/>
    <w:qFormat/>
    <w:uiPriority w:val="99"/>
    <w:rPr>
      <w:sz w:val="21"/>
      <w:szCs w:val="21"/>
    </w:rPr>
  </w:style>
  <w:style w:type="character" w:styleId="48">
    <w:name w:val="footnote reference"/>
    <w:semiHidden/>
    <w:qFormat/>
    <w:uiPriority w:val="99"/>
    <w:rPr>
      <w:rFonts w:cs="Times New Roman"/>
      <w:vertAlign w:val="superscript"/>
    </w:rPr>
  </w:style>
  <w:style w:type="paragraph" w:customStyle="1" w:styleId="49">
    <w:name w:val="※封面大标题"/>
    <w:basedOn w:val="1"/>
    <w:next w:val="1"/>
    <w:qFormat/>
    <w:uiPriority w:val="0"/>
    <w:pPr>
      <w:jc w:val="center"/>
    </w:pPr>
    <w:rPr>
      <w:rFonts w:ascii="华文中宋" w:hAnsi="华文中宋" w:eastAsia="华文中宋"/>
      <w:sz w:val="96"/>
      <w:szCs w:val="96"/>
    </w:rPr>
  </w:style>
  <w:style w:type="paragraph" w:customStyle="1" w:styleId="50">
    <w:name w:val="※封面题颌"/>
    <w:basedOn w:val="1"/>
    <w:next w:val="1"/>
    <w:qFormat/>
    <w:uiPriority w:val="0"/>
    <w:pPr>
      <w:jc w:val="center"/>
    </w:pPr>
    <w:rPr>
      <w:rFonts w:ascii="Calibri Light" w:hAnsi="Calibri Light" w:eastAsia="华文仿宋"/>
      <w:sz w:val="36"/>
      <w:szCs w:val="36"/>
    </w:rPr>
  </w:style>
  <w:style w:type="paragraph" w:customStyle="1" w:styleId="51">
    <w:name w:val="※封面题眉"/>
    <w:basedOn w:val="1"/>
    <w:next w:val="49"/>
    <w:qFormat/>
    <w:uiPriority w:val="0"/>
    <w:pPr>
      <w:jc w:val="center"/>
    </w:pPr>
    <w:rPr>
      <w:rFonts w:ascii="华文仿宋" w:hAnsi="华文仿宋" w:eastAsia="华文仿宋"/>
      <w:sz w:val="52"/>
      <w:szCs w:val="28"/>
    </w:rPr>
  </w:style>
  <w:style w:type="paragraph" w:customStyle="1" w:styleId="52">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53">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54">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55">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56">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57">
    <w:name w:val="※小标题 一"/>
    <w:basedOn w:val="56"/>
    <w:next w:val="56"/>
    <w:qFormat/>
    <w:uiPriority w:val="0"/>
    <w:pPr>
      <w:spacing w:before="120" w:line="240" w:lineRule="auto"/>
      <w:outlineLvl w:val="2"/>
    </w:pPr>
    <w:rPr>
      <w:b/>
      <w:color w:val="203864" w:themeColor="accent5" w:themeShade="80"/>
      <w:sz w:val="32"/>
    </w:rPr>
  </w:style>
  <w:style w:type="paragraph" w:customStyle="1" w:styleId="58">
    <w:name w:val="※小标题（1）"/>
    <w:basedOn w:val="1"/>
    <w:next w:val="56"/>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59">
    <w:name w:val="※小标题（一）"/>
    <w:basedOn w:val="1"/>
    <w:next w:val="56"/>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60">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61">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62">
    <w:name w:val="※页眉"/>
    <w:basedOn w:val="56"/>
    <w:qFormat/>
    <w:uiPriority w:val="0"/>
    <w:pPr>
      <w:pBdr>
        <w:bottom w:val="single" w:color="auto" w:sz="4" w:space="1"/>
      </w:pBdr>
      <w:spacing w:line="240" w:lineRule="atLeast"/>
      <w:jc w:val="right"/>
    </w:pPr>
    <w:rPr>
      <w:rFonts w:ascii="宋体" w:hAnsi="宋体" w:eastAsia="宋体"/>
      <w:sz w:val="18"/>
    </w:rPr>
  </w:style>
  <w:style w:type="paragraph" w:customStyle="1" w:styleId="63">
    <w:name w:val="※章节标题（第X章）"/>
    <w:basedOn w:val="1"/>
    <w:qFormat/>
    <w:uiPriority w:val="0"/>
    <w:pPr>
      <w:jc w:val="center"/>
      <w:outlineLvl w:val="0"/>
    </w:pPr>
    <w:rPr>
      <w:rFonts w:ascii="Calibri Light" w:hAnsi="Calibri Light" w:eastAsia="黑体"/>
      <w:sz w:val="36"/>
      <w:szCs w:val="28"/>
    </w:rPr>
  </w:style>
  <w:style w:type="paragraph" w:customStyle="1" w:styleId="64">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65">
    <w:name w:val="※章节标题（第Z部分分项）"/>
    <w:basedOn w:val="64"/>
    <w:qFormat/>
    <w:uiPriority w:val="0"/>
    <w:pPr>
      <w:outlineLvl w:val="2"/>
    </w:pPr>
  </w:style>
  <w:style w:type="paragraph" w:customStyle="1" w:styleId="66">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67">
    <w:name w:val="※正文（缩进2）"/>
    <w:basedOn w:val="56"/>
    <w:qFormat/>
    <w:uiPriority w:val="0"/>
    <w:pPr>
      <w:ind w:firstLine="200" w:firstLineChars="200"/>
    </w:pPr>
  </w:style>
  <w:style w:type="paragraph" w:customStyle="1" w:styleId="68">
    <w:name w:val="※正文（缩进4）"/>
    <w:basedOn w:val="56"/>
    <w:qFormat/>
    <w:uiPriority w:val="0"/>
    <w:pPr>
      <w:ind w:firstLine="400" w:firstLineChars="400"/>
    </w:pPr>
  </w:style>
  <w:style w:type="character" w:customStyle="1" w:styleId="69">
    <w:name w:val="日期 字符"/>
    <w:basedOn w:val="41"/>
    <w:link w:val="23"/>
    <w:semiHidden/>
    <w:qFormat/>
    <w:uiPriority w:val="99"/>
    <w:rPr>
      <w:rFonts w:ascii="华文仿宋" w:hAnsi="华文仿宋" w:eastAsia="华文仿宋"/>
      <w:sz w:val="28"/>
      <w:szCs w:val="28"/>
    </w:rPr>
  </w:style>
  <w:style w:type="character" w:customStyle="1" w:styleId="70">
    <w:name w:val="页眉 字符"/>
    <w:basedOn w:val="41"/>
    <w:link w:val="26"/>
    <w:qFormat/>
    <w:uiPriority w:val="99"/>
    <w:rPr>
      <w:rFonts w:ascii="华文仿宋" w:hAnsi="华文仿宋" w:eastAsia="华文仿宋"/>
      <w:sz w:val="18"/>
      <w:szCs w:val="18"/>
    </w:rPr>
  </w:style>
  <w:style w:type="character" w:customStyle="1" w:styleId="71">
    <w:name w:val="页脚 字符"/>
    <w:basedOn w:val="41"/>
    <w:link w:val="25"/>
    <w:qFormat/>
    <w:uiPriority w:val="99"/>
    <w:rPr>
      <w:rFonts w:ascii="华文仿宋" w:hAnsi="华文仿宋" w:eastAsia="华文仿宋"/>
      <w:sz w:val="18"/>
      <w:szCs w:val="18"/>
    </w:rPr>
  </w:style>
  <w:style w:type="character" w:customStyle="1" w:styleId="72">
    <w:name w:val="标题 1 字符"/>
    <w:basedOn w:val="41"/>
    <w:link w:val="3"/>
    <w:qFormat/>
    <w:uiPriority w:val="99"/>
    <w:rPr>
      <w:rFonts w:ascii="方正小标宋_GBK" w:hAnsi="仿宋" w:eastAsia="方正小标宋_GBK"/>
      <w:sz w:val="44"/>
      <w:szCs w:val="44"/>
    </w:rPr>
  </w:style>
  <w:style w:type="character" w:customStyle="1" w:styleId="73">
    <w:name w:val="标题 2 字符"/>
    <w:basedOn w:val="41"/>
    <w:link w:val="4"/>
    <w:qFormat/>
    <w:uiPriority w:val="99"/>
    <w:rPr>
      <w:rFonts w:ascii="楷体" w:hAnsi="楷体" w:eastAsia="黑体"/>
      <w:sz w:val="32"/>
      <w:szCs w:val="32"/>
    </w:rPr>
  </w:style>
  <w:style w:type="character" w:customStyle="1" w:styleId="74">
    <w:name w:val="标题 3 字符"/>
    <w:basedOn w:val="41"/>
    <w:link w:val="5"/>
    <w:qFormat/>
    <w:uiPriority w:val="99"/>
    <w:rPr>
      <w:rFonts w:ascii="方正小标宋_GBK" w:hAnsi="仿宋" w:eastAsia="方正小标宋_GBK"/>
      <w:sz w:val="36"/>
      <w:szCs w:val="36"/>
    </w:rPr>
  </w:style>
  <w:style w:type="character" w:customStyle="1" w:styleId="75">
    <w:name w:val="标题 4 字符"/>
    <w:basedOn w:val="41"/>
    <w:link w:val="6"/>
    <w:qFormat/>
    <w:uiPriority w:val="99"/>
    <w:rPr>
      <w:rFonts w:cstheme="majorBidi"/>
      <w:b/>
      <w:bCs/>
      <w:sz w:val="28"/>
      <w:szCs w:val="28"/>
    </w:rPr>
  </w:style>
  <w:style w:type="character" w:customStyle="1" w:styleId="76">
    <w:name w:val="标题 5 字符"/>
    <w:basedOn w:val="41"/>
    <w:link w:val="7"/>
    <w:semiHidden/>
    <w:qFormat/>
    <w:uiPriority w:val="9"/>
    <w:rPr>
      <w:b/>
      <w:bCs/>
      <w:i/>
      <w:iCs/>
      <w:sz w:val="26"/>
      <w:szCs w:val="26"/>
    </w:rPr>
  </w:style>
  <w:style w:type="character" w:customStyle="1" w:styleId="77">
    <w:name w:val="标题 6 字符"/>
    <w:basedOn w:val="41"/>
    <w:link w:val="8"/>
    <w:semiHidden/>
    <w:qFormat/>
    <w:uiPriority w:val="9"/>
    <w:rPr>
      <w:rFonts w:cstheme="majorBidi"/>
      <w:b/>
      <w:bCs/>
    </w:rPr>
  </w:style>
  <w:style w:type="character" w:customStyle="1" w:styleId="78">
    <w:name w:val="标题 7 字符"/>
    <w:basedOn w:val="41"/>
    <w:link w:val="9"/>
    <w:semiHidden/>
    <w:qFormat/>
    <w:uiPriority w:val="9"/>
    <w:rPr>
      <w:sz w:val="24"/>
      <w:szCs w:val="24"/>
    </w:rPr>
  </w:style>
  <w:style w:type="character" w:customStyle="1" w:styleId="79">
    <w:name w:val="标题 8 字符"/>
    <w:basedOn w:val="41"/>
    <w:link w:val="10"/>
    <w:semiHidden/>
    <w:qFormat/>
    <w:uiPriority w:val="9"/>
    <w:rPr>
      <w:rFonts w:cstheme="majorBidi"/>
      <w:i/>
      <w:iCs/>
      <w:sz w:val="24"/>
      <w:szCs w:val="24"/>
    </w:rPr>
  </w:style>
  <w:style w:type="character" w:customStyle="1" w:styleId="80">
    <w:name w:val="标题 9 字符"/>
    <w:basedOn w:val="41"/>
    <w:link w:val="11"/>
    <w:semiHidden/>
    <w:qFormat/>
    <w:uiPriority w:val="9"/>
    <w:rPr>
      <w:rFonts w:asciiTheme="majorHAnsi" w:hAnsiTheme="majorHAnsi" w:eastAsiaTheme="majorEastAsia" w:cstheme="majorBidi"/>
    </w:rPr>
  </w:style>
  <w:style w:type="character" w:customStyle="1" w:styleId="81">
    <w:name w:val="标题 字符"/>
    <w:basedOn w:val="41"/>
    <w:link w:val="35"/>
    <w:qFormat/>
    <w:uiPriority w:val="10"/>
    <w:rPr>
      <w:rFonts w:asciiTheme="majorHAnsi" w:hAnsiTheme="majorHAnsi" w:eastAsiaTheme="majorEastAsia" w:cstheme="majorBidi"/>
      <w:b/>
      <w:bCs/>
      <w:kern w:val="28"/>
      <w:sz w:val="32"/>
      <w:szCs w:val="32"/>
    </w:rPr>
  </w:style>
  <w:style w:type="character" w:customStyle="1" w:styleId="82">
    <w:name w:val="副标题 字符"/>
    <w:basedOn w:val="41"/>
    <w:link w:val="29"/>
    <w:qFormat/>
    <w:uiPriority w:val="11"/>
    <w:rPr>
      <w:rFonts w:ascii="Calibri" w:hAnsi="Calibri" w:eastAsia="黑体" w:cstheme="majorBidi"/>
      <w:sz w:val="32"/>
      <w:szCs w:val="24"/>
    </w:rPr>
  </w:style>
  <w:style w:type="paragraph" w:styleId="83">
    <w:name w:val="No Spacing"/>
    <w:basedOn w:val="1"/>
    <w:qFormat/>
    <w:uiPriority w:val="1"/>
    <w:rPr>
      <w:szCs w:val="32"/>
    </w:rPr>
  </w:style>
  <w:style w:type="paragraph" w:styleId="84">
    <w:name w:val="List Paragraph"/>
    <w:basedOn w:val="1"/>
    <w:qFormat/>
    <w:uiPriority w:val="1"/>
    <w:pPr>
      <w:ind w:left="720"/>
      <w:contextualSpacing/>
    </w:pPr>
  </w:style>
  <w:style w:type="paragraph" w:styleId="85">
    <w:name w:val="Quote"/>
    <w:basedOn w:val="1"/>
    <w:next w:val="1"/>
    <w:link w:val="86"/>
    <w:qFormat/>
    <w:uiPriority w:val="29"/>
    <w:rPr>
      <w:i/>
    </w:rPr>
  </w:style>
  <w:style w:type="character" w:customStyle="1" w:styleId="86">
    <w:name w:val="引用 字符"/>
    <w:basedOn w:val="41"/>
    <w:link w:val="85"/>
    <w:qFormat/>
    <w:uiPriority w:val="29"/>
    <w:rPr>
      <w:i/>
      <w:sz w:val="24"/>
      <w:szCs w:val="24"/>
    </w:rPr>
  </w:style>
  <w:style w:type="paragraph" w:styleId="87">
    <w:name w:val="Intense Quote"/>
    <w:basedOn w:val="1"/>
    <w:next w:val="1"/>
    <w:link w:val="88"/>
    <w:qFormat/>
    <w:uiPriority w:val="30"/>
    <w:pPr>
      <w:ind w:left="720" w:right="720"/>
    </w:pPr>
    <w:rPr>
      <w:b/>
      <w:i/>
      <w:szCs w:val="22"/>
    </w:rPr>
  </w:style>
  <w:style w:type="character" w:customStyle="1" w:styleId="88">
    <w:name w:val="明显引用 字符"/>
    <w:basedOn w:val="41"/>
    <w:link w:val="87"/>
    <w:qFormat/>
    <w:uiPriority w:val="30"/>
    <w:rPr>
      <w:b/>
      <w:i/>
      <w:sz w:val="24"/>
    </w:rPr>
  </w:style>
  <w:style w:type="character" w:customStyle="1" w:styleId="89">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0">
    <w:name w:val="明显强调1"/>
    <w:basedOn w:val="41"/>
    <w:qFormat/>
    <w:uiPriority w:val="21"/>
    <w:rPr>
      <w:b/>
      <w:i/>
      <w:sz w:val="24"/>
      <w:szCs w:val="24"/>
      <w:u w:val="single"/>
    </w:rPr>
  </w:style>
  <w:style w:type="character" w:customStyle="1" w:styleId="91">
    <w:name w:val="不明显参考1"/>
    <w:basedOn w:val="41"/>
    <w:qFormat/>
    <w:uiPriority w:val="31"/>
    <w:rPr>
      <w:sz w:val="24"/>
      <w:szCs w:val="24"/>
      <w:u w:val="single"/>
    </w:rPr>
  </w:style>
  <w:style w:type="character" w:customStyle="1" w:styleId="92">
    <w:name w:val="明显参考1"/>
    <w:basedOn w:val="41"/>
    <w:qFormat/>
    <w:uiPriority w:val="32"/>
    <w:rPr>
      <w:b/>
      <w:sz w:val="24"/>
      <w:u w:val="single"/>
    </w:rPr>
  </w:style>
  <w:style w:type="character" w:customStyle="1" w:styleId="93">
    <w:name w:val="书籍标题1"/>
    <w:basedOn w:val="41"/>
    <w:qFormat/>
    <w:uiPriority w:val="33"/>
    <w:rPr>
      <w:rFonts w:asciiTheme="majorHAnsi" w:hAnsiTheme="majorHAnsi" w:eastAsiaTheme="majorEastAsia"/>
      <w:b/>
      <w:i/>
      <w:sz w:val="24"/>
      <w:szCs w:val="24"/>
    </w:rPr>
  </w:style>
  <w:style w:type="paragraph" w:customStyle="1" w:styleId="94">
    <w:name w:val="TOC 标题2"/>
    <w:basedOn w:val="3"/>
    <w:next w:val="1"/>
    <w:unhideWhenUsed/>
    <w:qFormat/>
    <w:uiPriority w:val="39"/>
    <w:pPr>
      <w:outlineLvl w:val="9"/>
    </w:pPr>
  </w:style>
  <w:style w:type="character" w:customStyle="1" w:styleId="95">
    <w:name w:val="批注框文本 字符"/>
    <w:basedOn w:val="41"/>
    <w:link w:val="24"/>
    <w:semiHidden/>
    <w:qFormat/>
    <w:uiPriority w:val="99"/>
    <w:rPr>
      <w:sz w:val="18"/>
      <w:szCs w:val="18"/>
    </w:rPr>
  </w:style>
  <w:style w:type="character" w:customStyle="1" w:styleId="96">
    <w:name w:val="批注文字 字符"/>
    <w:basedOn w:val="41"/>
    <w:link w:val="16"/>
    <w:qFormat/>
    <w:uiPriority w:val="99"/>
    <w:rPr>
      <w:rFonts w:ascii="Calibri Light" w:hAnsi="Calibri Light" w:eastAsia="华文仿宋" w:cs="Calibri Light"/>
      <w:kern w:val="2"/>
      <w:sz w:val="28"/>
      <w:szCs w:val="28"/>
    </w:rPr>
  </w:style>
  <w:style w:type="paragraph" w:customStyle="1" w:styleId="97">
    <w:name w:val="@正文"/>
    <w:basedOn w:val="56"/>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98">
    <w:name w:val="@一级小标题"/>
    <w:basedOn w:val="1"/>
    <w:next w:val="97"/>
    <w:qFormat/>
    <w:uiPriority w:val="0"/>
    <w:pPr>
      <w:keepNext/>
      <w:spacing w:before="120" w:after="60"/>
      <w:outlineLvl w:val="2"/>
    </w:pPr>
    <w:rPr>
      <w:rFonts w:ascii="Calibri" w:hAnsi="Calibri" w:eastAsia="黑体"/>
      <w:kern w:val="28"/>
      <w:sz w:val="28"/>
    </w:rPr>
  </w:style>
  <w:style w:type="paragraph" w:customStyle="1" w:styleId="99">
    <w:name w:val="@标题"/>
    <w:basedOn w:val="1"/>
    <w:next w:val="97"/>
    <w:qFormat/>
    <w:uiPriority w:val="0"/>
    <w:pPr>
      <w:keepNext/>
      <w:spacing w:before="50" w:beforeLines="50" w:after="50" w:afterLines="50"/>
      <w:jc w:val="center"/>
      <w:outlineLvl w:val="1"/>
    </w:pPr>
    <w:rPr>
      <w:rFonts w:ascii="Calibri" w:hAnsi="Calibri" w:eastAsia="黑体"/>
      <w:kern w:val="32"/>
      <w:sz w:val="32"/>
    </w:rPr>
  </w:style>
  <w:style w:type="table" w:customStyle="1" w:styleId="100">
    <w:name w:val="网格型1"/>
    <w:basedOn w:val="39"/>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1">
    <w:name w:val="页眉 Char1"/>
    <w:basedOn w:val="41"/>
    <w:semiHidden/>
    <w:qFormat/>
    <w:uiPriority w:val="99"/>
    <w:rPr>
      <w:rFonts w:cs="Calibri Light"/>
      <w:sz w:val="18"/>
      <w:szCs w:val="18"/>
    </w:rPr>
  </w:style>
  <w:style w:type="character" w:customStyle="1" w:styleId="102">
    <w:name w:val="页脚 Char1"/>
    <w:basedOn w:val="41"/>
    <w:semiHidden/>
    <w:qFormat/>
    <w:uiPriority w:val="99"/>
    <w:rPr>
      <w:rFonts w:cs="Calibri Light"/>
      <w:sz w:val="18"/>
      <w:szCs w:val="18"/>
    </w:rPr>
  </w:style>
  <w:style w:type="character" w:customStyle="1" w:styleId="103">
    <w:name w:val="批注主题 字符"/>
    <w:basedOn w:val="96"/>
    <w:link w:val="36"/>
    <w:semiHidden/>
    <w:qFormat/>
    <w:uiPriority w:val="99"/>
    <w:rPr>
      <w:rFonts w:ascii="Calibri Light" w:hAnsi="Calibri Light" w:eastAsia="华文仿宋" w:cs="Calibri Light"/>
      <w:b/>
      <w:bCs/>
      <w:kern w:val="2"/>
      <w:sz w:val="28"/>
      <w:szCs w:val="28"/>
    </w:rPr>
  </w:style>
  <w:style w:type="character" w:customStyle="1" w:styleId="104">
    <w:name w:val="文档结构图 字符"/>
    <w:basedOn w:val="41"/>
    <w:link w:val="15"/>
    <w:semiHidden/>
    <w:qFormat/>
    <w:uiPriority w:val="99"/>
    <w:rPr>
      <w:rFonts w:ascii="宋体" w:hAnsi="Calibri Light" w:eastAsia="宋体" w:cs="Calibri Light"/>
      <w:kern w:val="2"/>
      <w:sz w:val="18"/>
      <w:szCs w:val="18"/>
    </w:rPr>
  </w:style>
  <w:style w:type="character" w:styleId="105">
    <w:name w:val="Placeholder Text"/>
    <w:basedOn w:val="41"/>
    <w:semiHidden/>
    <w:qFormat/>
    <w:uiPriority w:val="99"/>
    <w:rPr>
      <w:color w:val="808080"/>
    </w:rPr>
  </w:style>
  <w:style w:type="character" w:customStyle="1" w:styleId="106">
    <w:name w:val="未处理的提及1"/>
    <w:basedOn w:val="41"/>
    <w:semiHidden/>
    <w:unhideWhenUsed/>
    <w:qFormat/>
    <w:uiPriority w:val="99"/>
    <w:rPr>
      <w:color w:val="605E5C"/>
      <w:shd w:val="clear" w:color="auto" w:fill="E1DFDD"/>
    </w:rPr>
  </w:style>
  <w:style w:type="paragraph" w:customStyle="1" w:styleId="107">
    <w:name w:val="样式1"/>
    <w:basedOn w:val="5"/>
    <w:link w:val="109"/>
    <w:qFormat/>
    <w:uiPriority w:val="0"/>
    <w:pPr>
      <w:jc w:val="left"/>
    </w:pPr>
    <w:rPr>
      <w:rFonts w:eastAsia="楷体"/>
      <w:sz w:val="32"/>
    </w:rPr>
  </w:style>
  <w:style w:type="paragraph" w:customStyle="1" w:styleId="108">
    <w:name w:val="样式2"/>
    <w:basedOn w:val="99"/>
    <w:link w:val="111"/>
    <w:qFormat/>
    <w:uiPriority w:val="0"/>
    <w:pPr>
      <w:spacing w:line="560" w:lineRule="exact"/>
      <w:ind w:firstLine="643" w:firstLineChars="200"/>
      <w:jc w:val="both"/>
    </w:pPr>
    <w:rPr>
      <w:rFonts w:ascii="仿宋_GB2312" w:hAnsi="仿宋" w:eastAsia="仿宋_GB2312"/>
      <w:b/>
      <w:bCs/>
      <w:szCs w:val="32"/>
    </w:rPr>
  </w:style>
  <w:style w:type="character" w:customStyle="1" w:styleId="109">
    <w:name w:val="样式1 字符"/>
    <w:basedOn w:val="73"/>
    <w:link w:val="107"/>
    <w:qFormat/>
    <w:uiPriority w:val="0"/>
    <w:rPr>
      <w:rFonts w:ascii="方正小标宋_GBK" w:hAnsi="仿宋" w:eastAsia="楷体"/>
      <w:sz w:val="32"/>
      <w:szCs w:val="36"/>
    </w:rPr>
  </w:style>
  <w:style w:type="paragraph" w:customStyle="1" w:styleId="110">
    <w:name w:val="样式3"/>
    <w:basedOn w:val="1"/>
    <w:link w:val="112"/>
    <w:qFormat/>
    <w:uiPriority w:val="0"/>
    <w:pPr>
      <w:spacing w:line="560" w:lineRule="exact"/>
      <w:jc w:val="center"/>
    </w:pPr>
    <w:rPr>
      <w:rFonts w:ascii="方正小标宋_GBK" w:hAnsi="仿宋" w:eastAsia="方正小标宋_GBK"/>
      <w:sz w:val="36"/>
      <w:szCs w:val="36"/>
    </w:rPr>
  </w:style>
  <w:style w:type="character" w:customStyle="1" w:styleId="111">
    <w:name w:val="样式2 字符"/>
    <w:basedOn w:val="41"/>
    <w:link w:val="108"/>
    <w:qFormat/>
    <w:uiPriority w:val="0"/>
    <w:rPr>
      <w:rFonts w:ascii="仿宋_GB2312" w:hAnsi="仿宋" w:eastAsia="仿宋_GB2312"/>
      <w:b/>
      <w:bCs/>
      <w:kern w:val="32"/>
      <w:sz w:val="32"/>
      <w:szCs w:val="32"/>
    </w:rPr>
  </w:style>
  <w:style w:type="character" w:customStyle="1" w:styleId="112">
    <w:name w:val="样式3 字符"/>
    <w:basedOn w:val="41"/>
    <w:link w:val="110"/>
    <w:qFormat/>
    <w:uiPriority w:val="0"/>
    <w:rPr>
      <w:rFonts w:ascii="方正小标宋_GBK" w:hAnsi="仿宋" w:eastAsia="方正小标宋_GBK"/>
      <w:sz w:val="36"/>
      <w:szCs w:val="36"/>
    </w:rPr>
  </w:style>
  <w:style w:type="character" w:customStyle="1" w:styleId="113">
    <w:name w:val="正文文本 字符"/>
    <w:basedOn w:val="41"/>
    <w:link w:val="17"/>
    <w:qFormat/>
    <w:uiPriority w:val="99"/>
    <w:rPr>
      <w:rFonts w:ascii="宋体" w:hAnsi="宋体" w:eastAsia="宋体" w:cs="宋体"/>
      <w:sz w:val="24"/>
      <w:szCs w:val="24"/>
      <w:lang w:val="zh-CN" w:bidi="zh-CN"/>
    </w:rPr>
  </w:style>
  <w:style w:type="paragraph" w:customStyle="1" w:styleId="114">
    <w:name w:val="Table Paragraph"/>
    <w:basedOn w:val="1"/>
    <w:qFormat/>
    <w:uiPriority w:val="1"/>
    <w:pPr>
      <w:widowControl w:val="0"/>
      <w:autoSpaceDE w:val="0"/>
      <w:autoSpaceDN w:val="0"/>
    </w:pPr>
    <w:rPr>
      <w:rFonts w:ascii="宋体" w:hAnsi="宋体" w:eastAsia="宋体" w:cs="宋体"/>
      <w:sz w:val="22"/>
      <w:szCs w:val="22"/>
      <w:lang w:val="zh-CN" w:bidi="zh-CN"/>
    </w:rPr>
  </w:style>
  <w:style w:type="character" w:customStyle="1" w:styleId="115">
    <w:name w:val="正文文本缩进 字符"/>
    <w:basedOn w:val="41"/>
    <w:link w:val="19"/>
    <w:semiHidden/>
    <w:qFormat/>
    <w:uiPriority w:val="0"/>
    <w:rPr>
      <w:sz w:val="24"/>
      <w:szCs w:val="24"/>
    </w:rPr>
  </w:style>
  <w:style w:type="character" w:customStyle="1" w:styleId="116">
    <w:name w:val="正文文本首行缩进 2 字符"/>
    <w:basedOn w:val="115"/>
    <w:link w:val="38"/>
    <w:semiHidden/>
    <w:qFormat/>
    <w:uiPriority w:val="99"/>
    <w:rPr>
      <w:sz w:val="24"/>
      <w:szCs w:val="24"/>
    </w:rPr>
  </w:style>
  <w:style w:type="character" w:customStyle="1" w:styleId="117">
    <w:name w:val="正文文本首行缩进 字符"/>
    <w:basedOn w:val="113"/>
    <w:link w:val="37"/>
    <w:qFormat/>
    <w:uiPriority w:val="99"/>
    <w:rPr>
      <w:rFonts w:ascii="Tahoma" w:hAnsi="Tahoma" w:eastAsia="宋体" w:cs="宋体"/>
      <w:kern w:val="2"/>
      <w:sz w:val="21"/>
      <w:szCs w:val="24"/>
      <w:lang w:val="zh-CN" w:bidi="zh-CN"/>
    </w:rPr>
  </w:style>
  <w:style w:type="paragraph" w:customStyle="1" w:styleId="118">
    <w:name w:val="样式"/>
    <w:link w:val="119"/>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19">
    <w:name w:val="样式 Char Char"/>
    <w:link w:val="118"/>
    <w:qFormat/>
    <w:locked/>
    <w:uiPriority w:val="0"/>
    <w:rPr>
      <w:rFonts w:ascii="宋体" w:hAnsi="宋体" w:eastAsia="宋体" w:cs="宋体"/>
      <w:sz w:val="24"/>
      <w:szCs w:val="24"/>
    </w:rPr>
  </w:style>
  <w:style w:type="table" w:customStyle="1" w:styleId="120">
    <w:name w:val="网格表 4 - 着色 31"/>
    <w:basedOn w:val="39"/>
    <w:qFormat/>
    <w:uiPriority w:val="49"/>
    <w:rPr>
      <w:rFonts w:cstheme="minorBidi"/>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character" w:customStyle="1" w:styleId="121">
    <w:name w:val="font11"/>
    <w:basedOn w:val="41"/>
    <w:qFormat/>
    <w:uiPriority w:val="0"/>
    <w:rPr>
      <w:rFonts w:hint="eastAsia" w:ascii="宋体" w:hAnsi="宋体" w:eastAsia="宋体" w:cs="宋体"/>
      <w:color w:val="000000"/>
      <w:sz w:val="20"/>
      <w:szCs w:val="20"/>
      <w:u w:val="none"/>
    </w:rPr>
  </w:style>
  <w:style w:type="character" w:customStyle="1" w:styleId="122">
    <w:name w:val="font101"/>
    <w:basedOn w:val="41"/>
    <w:qFormat/>
    <w:uiPriority w:val="0"/>
    <w:rPr>
      <w:rFonts w:ascii="Calibri" w:hAnsi="Calibri" w:cs="Calibri"/>
      <w:color w:val="000000"/>
      <w:sz w:val="20"/>
      <w:szCs w:val="20"/>
      <w:u w:val="none"/>
    </w:rPr>
  </w:style>
  <w:style w:type="paragraph" w:customStyle="1" w:styleId="123">
    <w:name w:val="Body text|1"/>
    <w:basedOn w:val="1"/>
    <w:semiHidden/>
    <w:qFormat/>
    <w:uiPriority w:val="99"/>
    <w:pPr>
      <w:widowControl w:val="0"/>
      <w:autoSpaceDE w:val="0"/>
      <w:autoSpaceDN w:val="0"/>
      <w:spacing w:line="437" w:lineRule="auto"/>
      <w:ind w:firstLine="400"/>
      <w:jc w:val="both"/>
    </w:pPr>
    <w:rPr>
      <w:rFonts w:ascii="Calibri" w:hAnsi="Calibri" w:eastAsia="宋体"/>
      <w:kern w:val="2"/>
      <w:sz w:val="28"/>
      <w:szCs w:val="28"/>
      <w:lang w:val="zh-TW" w:eastAsia="zh-TW"/>
    </w:rPr>
  </w:style>
  <w:style w:type="character" w:customStyle="1" w:styleId="124">
    <w:name w:val="脚注文本 字符"/>
    <w:basedOn w:val="41"/>
    <w:link w:val="30"/>
    <w:semiHidden/>
    <w:qFormat/>
    <w:uiPriority w:val="99"/>
    <w:rPr>
      <w:rFonts w:ascii="Times New Roman" w:hAnsi="Times New Roman" w:eastAsia="宋体"/>
      <w:kern w:val="2"/>
      <w:sz w:val="18"/>
      <w:szCs w:val="18"/>
    </w:rPr>
  </w:style>
  <w:style w:type="character" w:customStyle="1" w:styleId="125">
    <w:name w:val="NormalCharacter"/>
    <w:semiHidden/>
    <w:qFormat/>
    <w:uiPriority w:val="99"/>
  </w:style>
  <w:style w:type="paragraph" w:customStyle="1" w:styleId="126">
    <w:name w:val="页脚1"/>
    <w:basedOn w:val="1"/>
    <w:semiHidden/>
    <w:qFormat/>
    <w:uiPriority w:val="99"/>
    <w:pPr>
      <w:widowControl w:val="0"/>
      <w:tabs>
        <w:tab w:val="center" w:pos="4153"/>
        <w:tab w:val="right" w:pos="8306"/>
      </w:tabs>
      <w:autoSpaceDE w:val="0"/>
      <w:autoSpaceDN w:val="0"/>
      <w:snapToGrid w:val="0"/>
    </w:pPr>
    <w:rPr>
      <w:rFonts w:ascii="Times New Roman" w:hAnsi="Times New Roman" w:eastAsia="宋体"/>
      <w:kern w:val="2"/>
      <w:sz w:val="18"/>
      <w:szCs w:val="22"/>
      <w:lang w:val="zh-CN"/>
    </w:rPr>
  </w:style>
  <w:style w:type="paragraph" w:customStyle="1" w:styleId="127">
    <w:name w:val="BodyText"/>
    <w:basedOn w:val="1"/>
    <w:semiHidden/>
    <w:qFormat/>
    <w:uiPriority w:val="99"/>
    <w:pPr>
      <w:widowControl w:val="0"/>
      <w:autoSpaceDE w:val="0"/>
      <w:autoSpaceDN w:val="0"/>
    </w:pPr>
    <w:rPr>
      <w:rFonts w:ascii="Times New Roman" w:hAnsi="Times New Roman" w:eastAsia="宋体"/>
      <w:kern w:val="2"/>
      <w:sz w:val="28"/>
      <w:szCs w:val="28"/>
      <w:lang w:val="zh-CN"/>
    </w:rPr>
  </w:style>
  <w:style w:type="paragraph" w:customStyle="1" w:styleId="128">
    <w:name w:val="WPSOffice手动目录 2"/>
    <w:semiHidden/>
    <w:qFormat/>
    <w:uiPriority w:val="99"/>
    <w:pPr>
      <w:ind w:left="200" w:leftChars="200"/>
    </w:pPr>
    <w:rPr>
      <w:rFonts w:ascii="Times New Roman" w:hAnsi="Times New Roman" w:eastAsia="宋体" w:cs="Times New Roman"/>
      <w:lang w:val="en-US" w:eastAsia="zh-CN" w:bidi="ar-SA"/>
    </w:rPr>
  </w:style>
  <w:style w:type="paragraph" w:customStyle="1" w:styleId="129">
    <w:name w:val="正文内容"/>
    <w:basedOn w:val="1"/>
    <w:link w:val="130"/>
    <w:semiHidden/>
    <w:qFormat/>
    <w:uiPriority w:val="99"/>
    <w:pPr>
      <w:widowControl w:val="0"/>
      <w:autoSpaceDE w:val="0"/>
      <w:autoSpaceDN w:val="0"/>
      <w:adjustRightInd w:val="0"/>
    </w:pPr>
    <w:rPr>
      <w:rFonts w:ascii="Times New Roman" w:hAnsi="Times New Roman" w:eastAsia="宋体"/>
      <w:kern w:val="2"/>
      <w:sz w:val="22"/>
      <w:szCs w:val="20"/>
      <w:lang w:val="zh-CN"/>
    </w:rPr>
  </w:style>
  <w:style w:type="character" w:customStyle="1" w:styleId="130">
    <w:name w:val="正文内容 Char"/>
    <w:link w:val="129"/>
    <w:semiHidden/>
    <w:qFormat/>
    <w:locked/>
    <w:uiPriority w:val="99"/>
    <w:rPr>
      <w:rFonts w:ascii="Times New Roman" w:hAnsi="Times New Roman" w:eastAsia="宋体"/>
      <w:kern w:val="2"/>
      <w:szCs w:val="20"/>
      <w:lang w:val="zh-CN"/>
    </w:rPr>
  </w:style>
  <w:style w:type="paragraph" w:customStyle="1" w:styleId="131">
    <w:name w:val="BodyTextIndent"/>
    <w:basedOn w:val="1"/>
    <w:semiHidden/>
    <w:qFormat/>
    <w:uiPriority w:val="99"/>
    <w:pPr>
      <w:widowControl w:val="0"/>
      <w:autoSpaceDE w:val="0"/>
      <w:autoSpaceDN w:val="0"/>
      <w:spacing w:line="600" w:lineRule="exact"/>
      <w:ind w:firstLine="480" w:firstLineChars="200"/>
    </w:pPr>
    <w:rPr>
      <w:rFonts w:ascii="Times New Roman" w:hAnsi="Times New Roman" w:eastAsia="宋体"/>
      <w:kern w:val="2"/>
      <w:sz w:val="21"/>
      <w:szCs w:val="28"/>
      <w:lang w:val="zh-CN"/>
    </w:rPr>
  </w:style>
  <w:style w:type="paragraph" w:customStyle="1" w:styleId="132">
    <w:name w:val="WPSOffice手动目录 1"/>
    <w:semiHidden/>
    <w:qFormat/>
    <w:uiPriority w:val="99"/>
    <w:rPr>
      <w:rFonts w:ascii="Times New Roman" w:hAnsi="Times New Roman" w:eastAsia="宋体" w:cs="Times New Roman"/>
      <w:lang w:val="en-US" w:eastAsia="zh-CN" w:bidi="ar-SA"/>
    </w:rPr>
  </w:style>
  <w:style w:type="paragraph" w:customStyle="1" w:styleId="133">
    <w:name w:val="BodyText1I2"/>
    <w:basedOn w:val="131"/>
    <w:semiHidden/>
    <w:qFormat/>
    <w:uiPriority w:val="99"/>
    <w:pPr>
      <w:spacing w:after="120" w:line="240" w:lineRule="auto"/>
      <w:ind w:left="420" w:leftChars="200" w:firstLine="420"/>
    </w:pPr>
    <w:rPr>
      <w:szCs w:val="24"/>
    </w:rPr>
  </w:style>
  <w:style w:type="paragraph" w:customStyle="1" w:styleId="134">
    <w:name w:val="3 级标题"/>
    <w:basedOn w:val="5"/>
    <w:next w:val="129"/>
    <w:semiHidden/>
    <w:qFormat/>
    <w:uiPriority w:val="99"/>
    <w:pPr>
      <w:keepNext/>
      <w:keepLines/>
      <w:widowControl w:val="0"/>
      <w:numPr>
        <w:ilvl w:val="2"/>
        <w:numId w:val="2"/>
      </w:numPr>
      <w:wordWrap w:val="0"/>
      <w:adjustRightInd w:val="0"/>
      <w:spacing w:before="120" w:after="120" w:line="416" w:lineRule="auto"/>
      <w:ind w:right="13" w:rightChars="13"/>
      <w:jc w:val="left"/>
    </w:pPr>
    <w:rPr>
      <w:rFonts w:ascii="Times New Roman" w:hAnsi="Times New Roman" w:eastAsia="宋体"/>
      <w:b/>
      <w:bCs/>
      <w:kern w:val="2"/>
      <w:sz w:val="21"/>
      <w:szCs w:val="32"/>
      <w:lang w:val="zh-CN"/>
    </w:rPr>
  </w:style>
  <w:style w:type="character" w:customStyle="1" w:styleId="135">
    <w:name w:val="未处理的提及11"/>
    <w:semiHidden/>
    <w:qFormat/>
    <w:uiPriority w:val="99"/>
    <w:rPr>
      <w:rFonts w:cs="Times New Roman"/>
      <w:color w:val="605E5C"/>
      <w:shd w:val="clear" w:color="auto" w:fill="E1DFDD"/>
    </w:rPr>
  </w:style>
  <w:style w:type="paragraph" w:customStyle="1" w:styleId="136">
    <w:name w:val="修订1"/>
    <w:hidden/>
    <w:semiHidden/>
    <w:qFormat/>
    <w:uiPriority w:val="99"/>
    <w:rPr>
      <w:rFonts w:cs="Times New Roman" w:asciiTheme="minorHAnsi" w:hAnsiTheme="minorHAnsi"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23A8D-A678-4E48-B7B4-2C97FA0C4A8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127</Pages>
  <Words>58012</Words>
  <Characters>63807</Characters>
  <Lines>501</Lines>
  <Paragraphs>141</Paragraphs>
  <TotalTime>2</TotalTime>
  <ScaleCrop>false</ScaleCrop>
  <LinksUpToDate>false</LinksUpToDate>
  <CharactersWithSpaces>65183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2022-04-07T08:51:00Z</dcterms:created>
  <dc:creator>lenovo</dc:creator>
  <cp:lastModifiedBy>载载</cp:lastModifiedBy>
  <cp:lastPrinted>2022-11-25T06:55:00Z</cp:lastPrinted>
  <dcterms:modified xsi:type="dcterms:W3CDTF">2022-12-16T09:09:04Z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293A6DC0730B498B9C569196073E03C0</vt:lpwstr>
  </property>
</Properties>
</file>