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b/>
          <w:bCs/>
          <w:sz w:val="32"/>
          <w:szCs w:val="32"/>
        </w:rPr>
      </w:pPr>
    </w:p>
    <w:p>
      <w:pPr>
        <w:rPr>
          <w:rFonts w:hint="eastAsia" w:ascii="仿宋" w:hAnsi="仿宋" w:eastAsia="仿宋" w:cs="仿宋"/>
          <w:b/>
          <w:bCs/>
          <w:color w:val="FF0000"/>
          <w:sz w:val="32"/>
          <w:szCs w:val="32"/>
          <w:highlight w:val="none"/>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HXGJXM2022-ZC-GK1061</w:t>
      </w:r>
    </w:p>
    <w:p>
      <w:pPr>
        <w:rPr>
          <w:rFonts w:hint="eastAsia" w:ascii="仿宋" w:hAnsi="仿宋" w:eastAsia="仿宋" w:cs="仿宋"/>
          <w:b/>
          <w:bCs/>
          <w:sz w:val="36"/>
          <w:szCs w:val="36"/>
        </w:rPr>
      </w:pPr>
    </w:p>
    <w:p>
      <w:pPr>
        <w:rPr>
          <w:rFonts w:hint="eastAsia" w:ascii="仿宋" w:hAnsi="仿宋" w:eastAsia="仿宋" w:cs="仿宋"/>
          <w:b/>
          <w:bCs/>
          <w:color w:val="auto"/>
          <w:sz w:val="36"/>
          <w:szCs w:val="36"/>
        </w:rPr>
      </w:pPr>
    </w:p>
    <w:p>
      <w:pPr>
        <w:rPr>
          <w:rFonts w:hint="eastAsia" w:ascii="仿宋" w:hAnsi="仿宋" w:eastAsia="仿宋" w:cs="仿宋"/>
          <w:b/>
          <w:bCs/>
          <w:color w:val="auto"/>
          <w:sz w:val="70"/>
          <w:szCs w:val="70"/>
        </w:rPr>
      </w:pPr>
    </w:p>
    <w:p>
      <w:pPr>
        <w:spacing w:line="72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highlight w:val="none"/>
          <w:lang w:eastAsia="zh-CN"/>
        </w:rPr>
        <w:t>蓝田县“安村设施蔬菜产业园”项目</w:t>
      </w: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96"/>
          <w:szCs w:val="96"/>
        </w:rPr>
      </w:pPr>
      <w:bookmarkStart w:id="0" w:name="_Toc363463325"/>
      <w:r>
        <w:rPr>
          <w:rFonts w:hint="eastAsia" w:ascii="仿宋" w:hAnsi="仿宋" w:eastAsia="仿宋" w:cs="仿宋"/>
          <w:b/>
          <w:bCs/>
          <w:color w:val="auto"/>
          <w:sz w:val="96"/>
          <w:szCs w:val="96"/>
        </w:rPr>
        <w:t>招标文件</w:t>
      </w:r>
    </w:p>
    <w:p>
      <w:pPr>
        <w:rPr>
          <w:rFonts w:hint="eastAsia" w:ascii="仿宋" w:hAnsi="仿宋" w:eastAsia="仿宋" w:cs="仿宋"/>
          <w:color w:val="auto"/>
        </w:rPr>
      </w:pPr>
    </w:p>
    <w:p>
      <w:pPr>
        <w:rPr>
          <w:rFonts w:hint="eastAsia" w:ascii="仿宋" w:hAnsi="仿宋" w:eastAsia="仿宋" w:cs="仿宋"/>
          <w:color w:val="auto"/>
        </w:rPr>
      </w:pPr>
    </w:p>
    <w:bookmarkEnd w:id="0"/>
    <w:p>
      <w:pPr>
        <w:jc w:val="center"/>
        <w:rPr>
          <w:rFonts w:hint="eastAsia" w:ascii="仿宋" w:hAnsi="仿宋" w:eastAsia="仿宋" w:cs="仿宋"/>
          <w:color w:val="auto"/>
          <w:sz w:val="36"/>
          <w:szCs w:val="36"/>
        </w:rPr>
      </w:pPr>
    </w:p>
    <w:p>
      <w:pPr>
        <w:jc w:val="center"/>
        <w:rPr>
          <w:rFonts w:hint="eastAsia" w:ascii="仿宋" w:hAnsi="仿宋" w:eastAsia="仿宋" w:cs="仿宋"/>
          <w:color w:val="auto"/>
          <w:sz w:val="36"/>
          <w:szCs w:val="36"/>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rPr>
          <w:rFonts w:hint="eastAsia" w:ascii="仿宋" w:hAnsi="仿宋" w:eastAsia="仿宋" w:cs="仿宋"/>
          <w:color w:val="auto"/>
          <w:sz w:val="18"/>
          <w:szCs w:val="18"/>
        </w:rPr>
      </w:pPr>
    </w:p>
    <w:p>
      <w:p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华夏国际项目管理有限公司</w:t>
      </w:r>
    </w:p>
    <w:p>
      <w:pPr>
        <w:tabs>
          <w:tab w:val="left" w:pos="525"/>
        </w:tabs>
        <w:ind w:left="0" w:leftChars="0" w:firstLine="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pPr>
        <w:spacing w:line="800" w:lineRule="exact"/>
        <w:jc w:val="center"/>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before="334" w:beforeLines="100" w:line="500" w:lineRule="exact"/>
        <w:jc w:val="center"/>
        <w:textAlignment w:val="auto"/>
        <w:outlineLvl w:val="9"/>
        <w:rPr>
          <w:rFonts w:hint="eastAsia" w:ascii="仿宋" w:hAnsi="仿宋" w:eastAsia="仿宋" w:cs="仿宋"/>
          <w:b/>
          <w:bCs/>
          <w:sz w:val="36"/>
          <w:szCs w:val="36"/>
        </w:rPr>
        <w:sectPr>
          <w:headerReference r:id="rId3" w:type="default"/>
          <w:footerReference r:id="rId4" w:type="default"/>
          <w:pgSz w:w="11906" w:h="16838"/>
          <w:pgMar w:top="1417" w:right="1417" w:bottom="1417" w:left="1701" w:header="851" w:footer="992" w:gutter="0"/>
          <w:pgNumType w:start="1"/>
          <w:cols w:space="0" w:num="1"/>
          <w:docGrid w:type="lines" w:linePitch="312" w:charSpace="0"/>
        </w:sectPr>
      </w:pPr>
      <w:bookmarkStart w:id="1" w:name="_Toc438073527"/>
      <w:bookmarkStart w:id="2" w:name="_Toc389582033"/>
      <w:bookmarkStart w:id="3" w:name="_Toc16218"/>
      <w:bookmarkStart w:id="4" w:name="_Toc20652"/>
      <w:bookmarkStart w:id="5" w:name="_Toc19886"/>
      <w:bookmarkStart w:id="6" w:name="_Toc5293"/>
      <w:bookmarkStart w:id="7" w:name="_Toc20858"/>
      <w:bookmarkStart w:id="8" w:name="_Toc21518"/>
    </w:p>
    <w:p>
      <w:pPr>
        <w:keepNext w:val="0"/>
        <w:keepLines w:val="0"/>
        <w:pageBreakBefore w:val="0"/>
        <w:widowControl w:val="0"/>
        <w:kinsoku/>
        <w:wordWrap/>
        <w:overflowPunct/>
        <w:topLinePunct w:val="0"/>
        <w:autoSpaceDE/>
        <w:autoSpaceDN/>
        <w:bidi w:val="0"/>
        <w:adjustRightInd/>
        <w:snapToGrid/>
        <w:spacing w:before="334" w:beforeLines="100" w:line="500" w:lineRule="exact"/>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特别提示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供应商</w:t>
      </w:r>
      <w:r>
        <w:rPr>
          <w:rFonts w:hint="eastAsia" w:ascii="仿宋" w:hAnsi="仿宋" w:eastAsia="仿宋" w:cs="仿宋"/>
          <w:sz w:val="24"/>
          <w:szCs w:val="24"/>
        </w:rPr>
        <w:t>，在此我们特别提醒您注意以下事项：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一、有关投标文件：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、请仔细阅读招标文件并正确理解招标文件中各项具体要求。如您对招标文件有疑问，请在招标文件规定的时间内以书面形式提出，逾期将被</w:t>
      </w:r>
      <w:r>
        <w:rPr>
          <w:rFonts w:hint="eastAsia" w:ascii="仿宋" w:hAnsi="仿宋" w:eastAsia="仿宋" w:cs="仿宋"/>
          <w:b w:val="0"/>
          <w:bCs w:val="0"/>
          <w:sz w:val="24"/>
          <w:szCs w:val="24"/>
          <w:lang w:eastAsia="zh-CN"/>
        </w:rPr>
        <w:t>拒绝</w:t>
      </w:r>
      <w:r>
        <w:rPr>
          <w:rFonts w:hint="eastAsia" w:ascii="仿宋" w:hAnsi="仿宋" w:eastAsia="仿宋" w:cs="仿宋"/>
          <w:b w:val="0"/>
          <w:bCs w:val="0"/>
          <w:sz w:val="24"/>
          <w:szCs w:val="24"/>
        </w:rPr>
        <w:t>受理。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2、请严格按照招标文件载明的投标文件的格式要求编制投标文件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投标文件须胶装成册</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3、请仔细核对投标文件是否已按照招标文件的要求签字、签章和加盖单位公章，实质性条款是否满足招标文件要求，投标文件中所附资格证明等资料是否齐全、有效且是否满足招标文件要求。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4、请按照招标文件要求密封投标文件，并正确标记</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提示：</w:t>
      </w:r>
      <w:r>
        <w:rPr>
          <w:rFonts w:hint="eastAsia" w:ascii="仿宋" w:hAnsi="仿宋" w:eastAsia="仿宋" w:cs="仿宋"/>
          <w:b w:val="0"/>
          <w:bCs w:val="0"/>
          <w:sz w:val="24"/>
          <w:szCs w:val="24"/>
          <w:lang w:eastAsia="zh-CN"/>
        </w:rPr>
        <w:t>投</w:t>
      </w:r>
      <w:r>
        <w:rPr>
          <w:rFonts w:hint="eastAsia" w:ascii="仿宋" w:hAnsi="仿宋" w:eastAsia="仿宋" w:cs="仿宋"/>
          <w:b w:val="0"/>
          <w:bCs w:val="0"/>
          <w:sz w:val="24"/>
          <w:szCs w:val="24"/>
        </w:rPr>
        <w:t>标文件若不满足以上条件将有被否决的风险</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二、有关开标：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除招标文件要求递交的文件和资料外，</w:t>
      </w:r>
      <w:r>
        <w:rPr>
          <w:rFonts w:hint="eastAsia" w:ascii="仿宋" w:hAnsi="仿宋" w:eastAsia="仿宋" w:cs="仿宋"/>
          <w:b w:val="0"/>
          <w:bCs w:val="0"/>
          <w:sz w:val="24"/>
          <w:szCs w:val="24"/>
        </w:rPr>
        <w:t>请随身携带招标文件要求提供的其他备查文件原件。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2、请务必考虑天气情况、交通情况以及</w:t>
      </w:r>
      <w:r>
        <w:rPr>
          <w:rFonts w:hint="eastAsia" w:ascii="仿宋" w:hAnsi="仿宋" w:eastAsia="仿宋" w:cs="仿宋"/>
          <w:b w:val="0"/>
          <w:bCs w:val="0"/>
          <w:color w:val="auto"/>
          <w:sz w:val="24"/>
          <w:szCs w:val="24"/>
        </w:rPr>
        <w:t>您对开标地址的路线熟悉等情况于</w:t>
      </w:r>
      <w:r>
        <w:rPr>
          <w:rFonts w:hint="eastAsia" w:ascii="仿宋" w:hAnsi="仿宋" w:eastAsia="仿宋" w:cs="仿宋"/>
          <w:b w:val="0"/>
          <w:bCs w:val="0"/>
          <w:color w:val="auto"/>
          <w:sz w:val="24"/>
          <w:szCs w:val="24"/>
          <w:highlight w:val="none"/>
          <w:lang w:eastAsia="zh-CN"/>
        </w:rPr>
        <w:t>招标公告规定的时间及地点</w:t>
      </w:r>
      <w:r>
        <w:rPr>
          <w:rFonts w:hint="eastAsia" w:ascii="仿宋" w:hAnsi="仿宋" w:eastAsia="仿宋" w:cs="仿宋"/>
          <w:b w:val="0"/>
          <w:bCs w:val="0"/>
          <w:color w:val="auto"/>
          <w:sz w:val="24"/>
          <w:szCs w:val="24"/>
        </w:rPr>
        <w:t>递交</w:t>
      </w:r>
      <w:r>
        <w:rPr>
          <w:rFonts w:hint="eastAsia" w:ascii="仿宋" w:hAnsi="仿宋" w:eastAsia="仿宋" w:cs="仿宋"/>
          <w:b w:val="0"/>
          <w:bCs w:val="0"/>
          <w:color w:val="auto"/>
          <w:sz w:val="24"/>
          <w:szCs w:val="24"/>
          <w:lang w:eastAsia="zh-CN"/>
        </w:rPr>
        <w:t>投</w:t>
      </w:r>
      <w:r>
        <w:rPr>
          <w:rFonts w:hint="eastAsia" w:ascii="仿宋" w:hAnsi="仿宋" w:eastAsia="仿宋" w:cs="仿宋"/>
          <w:b w:val="0"/>
          <w:bCs w:val="0"/>
          <w:color w:val="auto"/>
          <w:sz w:val="24"/>
          <w:szCs w:val="24"/>
        </w:rPr>
        <w:t>标文件，</w:t>
      </w:r>
      <w:r>
        <w:rPr>
          <w:rFonts w:hint="eastAsia" w:ascii="仿宋" w:hAnsi="仿宋" w:eastAsia="仿宋" w:cs="仿宋"/>
          <w:b w:val="0"/>
          <w:bCs w:val="0"/>
          <w:color w:val="auto"/>
          <w:sz w:val="24"/>
          <w:szCs w:val="24"/>
          <w:lang w:eastAsia="zh-CN"/>
        </w:rPr>
        <w:t>投</w:t>
      </w:r>
      <w:r>
        <w:rPr>
          <w:rFonts w:hint="eastAsia" w:ascii="仿宋" w:hAnsi="仿宋" w:eastAsia="仿宋" w:cs="仿宋"/>
          <w:b w:val="0"/>
          <w:bCs w:val="0"/>
          <w:color w:val="auto"/>
          <w:sz w:val="24"/>
          <w:szCs w:val="24"/>
        </w:rPr>
        <w:t>标文件逾期</w:t>
      </w:r>
      <w:r>
        <w:rPr>
          <w:rFonts w:hint="eastAsia" w:ascii="仿宋" w:hAnsi="仿宋" w:eastAsia="仿宋" w:cs="仿宋"/>
          <w:b w:val="0"/>
          <w:bCs w:val="0"/>
          <w:sz w:val="24"/>
          <w:szCs w:val="24"/>
        </w:rPr>
        <w:t>到达，将被拒绝接收。</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3、</w:t>
      </w:r>
      <w:r>
        <w:rPr>
          <w:rFonts w:hint="eastAsia" w:ascii="仿宋" w:hAnsi="仿宋" w:eastAsia="仿宋" w:cs="仿宋"/>
          <w:b/>
          <w:bCs/>
          <w:kern w:val="2"/>
          <w:sz w:val="24"/>
          <w:szCs w:val="24"/>
          <w:lang w:val="en-US" w:eastAsia="zh-CN" w:bidi="ar-SA"/>
        </w:rPr>
        <w:t>各供应商限派一名代表（</w:t>
      </w:r>
      <w:r>
        <w:rPr>
          <w:rFonts w:hint="eastAsia" w:ascii="仿宋" w:hAnsi="仿宋" w:eastAsia="仿宋" w:cs="仿宋"/>
          <w:b/>
          <w:bCs/>
          <w:sz w:val="24"/>
          <w:szCs w:val="24"/>
          <w:lang w:val="en-US" w:eastAsia="zh-CN"/>
        </w:rPr>
        <w:t>法定代表人或授权代表</w:t>
      </w:r>
      <w:r>
        <w:rPr>
          <w:rFonts w:hint="eastAsia" w:ascii="仿宋" w:hAnsi="仿宋" w:eastAsia="仿宋" w:cs="仿宋"/>
          <w:b/>
          <w:bCs/>
          <w:kern w:val="2"/>
          <w:sz w:val="24"/>
          <w:szCs w:val="24"/>
          <w:lang w:val="en-US" w:eastAsia="zh-CN" w:bidi="ar-SA"/>
        </w:rPr>
        <w:t>）参加开标活动，省内人员须持西安市一码通绿码，省外人员须符合西安市疫情防控的相关规定。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kern w:val="2"/>
          <w:sz w:val="24"/>
          <w:szCs w:val="24"/>
          <w:lang w:val="en-US" w:eastAsia="zh-CN" w:bidi="ar-SA"/>
        </w:rPr>
        <w:t>4、请到达文件递交地点后及时到投标文件接收处签字登记。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三、关于弃标的说明：</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按照《西</w:t>
      </w:r>
      <w:r>
        <w:rPr>
          <w:rFonts w:hint="eastAsia" w:ascii="仿宋" w:hAnsi="仿宋" w:eastAsia="仿宋" w:cs="仿宋"/>
          <w:b/>
          <w:bCs/>
          <w:sz w:val="24"/>
          <w:szCs w:val="24"/>
        </w:rPr>
        <w:t>安市财政局关于促进政府采购公平竞争优化营商环境的</w:t>
      </w:r>
      <w:r>
        <w:rPr>
          <w:rFonts w:hint="eastAsia" w:ascii="仿宋" w:hAnsi="仿宋" w:eastAsia="仿宋" w:cs="仿宋"/>
          <w:b/>
          <w:bCs/>
          <w:sz w:val="24"/>
          <w:szCs w:val="24"/>
          <w:lang w:eastAsia="zh-CN"/>
        </w:rPr>
        <w:t>通知》（市财函〔2021) 431号）规定：</w:t>
      </w:r>
      <w:r>
        <w:rPr>
          <w:rFonts w:hint="eastAsia" w:ascii="仿宋" w:hAnsi="仿宋" w:eastAsia="仿宋" w:cs="仿宋"/>
          <w:b/>
          <w:bCs/>
          <w:sz w:val="24"/>
          <w:szCs w:val="24"/>
        </w:rPr>
        <w:t>供应商登记免费领取</w:t>
      </w:r>
      <w:r>
        <w:rPr>
          <w:rFonts w:hint="eastAsia" w:ascii="仿宋" w:hAnsi="仿宋" w:eastAsia="仿宋" w:cs="仿宋"/>
          <w:b/>
          <w:bCs/>
          <w:sz w:val="24"/>
          <w:szCs w:val="24"/>
          <w:lang w:eastAsia="zh-CN"/>
        </w:rPr>
        <w:t>招标</w:t>
      </w:r>
      <w:r>
        <w:rPr>
          <w:rFonts w:hint="eastAsia" w:ascii="仿宋" w:hAnsi="仿宋" w:eastAsia="仿宋" w:cs="仿宋"/>
          <w:b/>
          <w:bCs/>
          <w:sz w:val="24"/>
          <w:szCs w:val="24"/>
        </w:rPr>
        <w:t>文件的，如不参与项目</w:t>
      </w:r>
      <w:r>
        <w:rPr>
          <w:rFonts w:hint="eastAsia" w:ascii="仿宋" w:hAnsi="仿宋" w:eastAsia="仿宋" w:cs="仿宋"/>
          <w:b/>
          <w:bCs/>
          <w:sz w:val="24"/>
          <w:szCs w:val="24"/>
          <w:lang w:eastAsia="zh-CN"/>
        </w:rPr>
        <w:t>投标</w:t>
      </w:r>
      <w:r>
        <w:rPr>
          <w:rFonts w:hint="eastAsia" w:ascii="仿宋" w:hAnsi="仿宋" w:eastAsia="仿宋" w:cs="仿宋"/>
          <w:b/>
          <w:bCs/>
          <w:sz w:val="24"/>
          <w:szCs w:val="24"/>
        </w:rPr>
        <w:t>，应在递交</w:t>
      </w:r>
      <w:r>
        <w:rPr>
          <w:rFonts w:hint="eastAsia" w:ascii="仿宋" w:hAnsi="仿宋" w:eastAsia="仿宋" w:cs="仿宋"/>
          <w:b/>
          <w:bCs/>
          <w:sz w:val="24"/>
          <w:szCs w:val="24"/>
          <w:lang w:eastAsia="zh-CN"/>
        </w:rPr>
        <w:t>投标</w:t>
      </w:r>
      <w:r>
        <w:rPr>
          <w:rFonts w:hint="eastAsia" w:ascii="仿宋" w:hAnsi="仿宋" w:eastAsia="仿宋" w:cs="仿宋"/>
          <w:b/>
          <w:bCs/>
          <w:sz w:val="24"/>
          <w:szCs w:val="24"/>
        </w:rPr>
        <w:t>文件截止时间前一日以书面形式告知釆购代理机构。否则，采购代理机构可以向财政部门反映情况并提供相应的佐证。供应商一年内累计出现三次该情形，将被监管部门记录为失信行为。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四、关于供应商注册登记提醒：</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请各投标单位仔细</w:t>
      </w:r>
      <w:r>
        <w:rPr>
          <w:rFonts w:hint="eastAsia" w:ascii="仿宋" w:hAnsi="仿宋" w:eastAsia="仿宋" w:cs="仿宋"/>
          <w:b/>
          <w:bCs/>
          <w:sz w:val="24"/>
          <w:szCs w:val="24"/>
          <w:lang w:eastAsia="zh-CN"/>
        </w:rPr>
        <w:t>阅</w:t>
      </w:r>
      <w:r>
        <w:rPr>
          <w:rFonts w:hint="eastAsia" w:ascii="仿宋" w:hAnsi="仿宋" w:eastAsia="仿宋" w:cs="仿宋"/>
          <w:b/>
          <w:bCs/>
          <w:sz w:val="24"/>
          <w:szCs w:val="24"/>
        </w:rPr>
        <w:t>读上述提示。如需帮助，请您与我们的工作人员联系</w:t>
      </w:r>
      <w:r>
        <w:rPr>
          <w:rFonts w:hint="eastAsia" w:ascii="仿宋" w:hAnsi="仿宋" w:eastAsia="仿宋" w:cs="仿宋"/>
          <w:b/>
          <w:bCs/>
          <w:sz w:val="24"/>
          <w:szCs w:val="24"/>
          <w:lang w:eastAsia="zh-CN"/>
        </w:rPr>
        <w:t>，我们将非常高兴地为您服务。</w:t>
      </w:r>
    </w:p>
    <w:p>
      <w:pPr>
        <w:pStyle w:val="14"/>
        <w:rPr>
          <w:rFonts w:hint="eastAsia" w:ascii="仿宋" w:hAnsi="仿宋" w:eastAsia="仿宋" w:cs="仿宋"/>
        </w:rPr>
        <w:sectPr>
          <w:headerReference r:id="rId5" w:type="default"/>
          <w:footerReference r:id="rId6" w:type="default"/>
          <w:pgSz w:w="11906" w:h="16838"/>
          <w:pgMar w:top="1417" w:right="1417" w:bottom="1417" w:left="1701" w:header="851" w:footer="992" w:gutter="0"/>
          <w:pgNumType w:start="1"/>
          <w:cols w:space="0" w:num="1"/>
          <w:docGrid w:type="lines" w:linePitch="312" w:charSpace="0"/>
        </w:sect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_Toc16698 </w:instrText>
      </w:r>
      <w:r>
        <w:rPr>
          <w:rFonts w:hint="eastAsia" w:ascii="仿宋" w:hAnsi="仿宋" w:eastAsia="仿宋" w:cs="仿宋"/>
          <w:sz w:val="24"/>
          <w:szCs w:val="24"/>
        </w:rPr>
        <w:fldChar w:fldCharType="separate"/>
      </w:r>
      <w:r>
        <w:rPr>
          <w:rFonts w:hint="eastAsia" w:ascii="仿宋" w:hAnsi="仿宋" w:eastAsia="仿宋" w:cs="仿宋"/>
          <w:bCs/>
          <w:sz w:val="24"/>
          <w:szCs w:val="24"/>
        </w:rPr>
        <w:t>第一章</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_Toc16698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_Toc32575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_Toc32575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_Toc26917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评标办法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_Toc26917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_Toc11044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四</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_Toc11044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_Toc9335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五</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_Toc9335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_Toc14976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图纸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_Toc14976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_Toc29326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第七章  技术标准</w:t>
      </w:r>
      <w:r>
        <w:rPr>
          <w:rFonts w:hint="eastAsia" w:ascii="仿宋" w:hAnsi="仿宋" w:eastAsia="仿宋" w:cs="仿宋"/>
          <w:sz w:val="24"/>
          <w:szCs w:val="24"/>
        </w:rPr>
        <w:t>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_Toc29326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4"/>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_Toc6999 </w:instrText>
      </w:r>
      <w:r>
        <w:rPr>
          <w:rFonts w:hint="eastAsia" w:ascii="仿宋" w:hAnsi="仿宋" w:eastAsia="仿宋" w:cs="仿宋"/>
          <w:sz w:val="24"/>
          <w:szCs w:val="24"/>
        </w:rPr>
        <w:fldChar w:fldCharType="separate"/>
      </w:r>
      <w:r>
        <w:rPr>
          <w:rFonts w:hint="eastAsia" w:ascii="仿宋" w:hAnsi="仿宋" w:eastAsia="仿宋" w:cs="仿宋"/>
          <w:sz w:val="24"/>
          <w:szCs w:val="24"/>
        </w:rPr>
        <w:t>第</w:t>
      </w:r>
      <w:r>
        <w:rPr>
          <w:rFonts w:hint="eastAsia" w:ascii="仿宋" w:hAnsi="仿宋" w:eastAsia="仿宋" w:cs="仿宋"/>
          <w:sz w:val="24"/>
          <w:szCs w:val="24"/>
          <w:lang w:val="en-US" w:eastAsia="zh-CN"/>
        </w:rPr>
        <w:t>八</w:t>
      </w:r>
      <w:r>
        <w:rPr>
          <w:rFonts w:hint="eastAsia" w:ascii="仿宋" w:hAnsi="仿宋" w:eastAsia="仿宋" w:cs="仿宋"/>
          <w:sz w:val="24"/>
          <w:szCs w:val="24"/>
        </w:rPr>
        <w:t>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投标文件构成及格式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_Toc6999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8"/>
        <w:keepNext w:val="0"/>
        <w:keepLines w:val="0"/>
        <w:pageBreakBefore w:val="0"/>
        <w:widowControl w:val="0"/>
        <w:tabs>
          <w:tab w:val="right" w:leader="dot" w:pos="8788"/>
        </w:tabs>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p>
    <w:p>
      <w:pPr>
        <w:pStyle w:val="24"/>
        <w:keepNext w:val="0"/>
        <w:keepLines w:val="0"/>
        <w:pageBreakBefore w:val="0"/>
        <w:widowControl w:val="0"/>
        <w:tabs>
          <w:tab w:val="right" w:leader="dot" w:pos="8787"/>
        </w:tabs>
        <w:kinsoku/>
        <w:wordWrap/>
        <w:overflowPunct/>
        <w:topLinePunct w:val="0"/>
        <w:autoSpaceDE/>
        <w:autoSpaceDN/>
        <w:bidi w:val="0"/>
        <w:adjustRightInd/>
        <w:snapToGrid/>
        <w:spacing w:before="0" w:after="0"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fldChar w:fldCharType="end"/>
      </w:r>
    </w:p>
    <w:p>
      <w:pPr>
        <w:rPr>
          <w:rFonts w:hint="eastAsia" w:ascii="仿宋" w:hAnsi="仿宋" w:eastAsia="仿宋" w:cs="仿宋"/>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bookmarkEnd w:id="1"/>
    <w:bookmarkEnd w:id="2"/>
    <w:bookmarkEnd w:id="3"/>
    <w:bookmarkEnd w:id="4"/>
    <w:bookmarkEnd w:id="5"/>
    <w:bookmarkEnd w:id="6"/>
    <w:bookmarkEnd w:id="7"/>
    <w:bookmarkEnd w:id="8"/>
    <w:p>
      <w:pPr>
        <w:widowControl/>
        <w:spacing w:line="360" w:lineRule="auto"/>
        <w:ind w:firstLine="482" w:firstLineChars="150"/>
        <w:jc w:val="center"/>
        <w:outlineLvl w:val="0"/>
        <w:rPr>
          <w:rFonts w:hint="eastAsia" w:ascii="仿宋" w:hAnsi="仿宋" w:eastAsia="仿宋" w:cs="仿宋"/>
          <w:b/>
          <w:bCs/>
          <w:sz w:val="32"/>
          <w:szCs w:val="32"/>
        </w:rPr>
        <w:sectPr>
          <w:footerReference r:id="rId7" w:type="default"/>
          <w:pgSz w:w="11906" w:h="16838"/>
          <w:pgMar w:top="1417" w:right="1417" w:bottom="1417" w:left="1701" w:header="851" w:footer="992" w:gutter="0"/>
          <w:pgNumType w:start="1"/>
          <w:cols w:space="0" w:num="1"/>
          <w:docGrid w:type="lines" w:linePitch="312" w:charSpace="0"/>
        </w:sectPr>
      </w:pPr>
      <w:bookmarkStart w:id="9" w:name="_Toc452384741"/>
      <w:bookmarkStart w:id="10" w:name="_Toc16698"/>
    </w:p>
    <w:p>
      <w:pPr>
        <w:widowControl/>
        <w:spacing w:line="360" w:lineRule="auto"/>
        <w:ind w:firstLine="482" w:firstLineChars="15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第一章</w:t>
      </w:r>
      <w:bookmarkEnd w:id="9"/>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招标公告</w:t>
      </w:r>
      <w:bookmarkEnd w:id="10"/>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bookmarkStart w:id="11" w:name="_Toc421778363"/>
      <w:bookmarkStart w:id="12" w:name="_Toc32575"/>
      <w:r>
        <w:rPr>
          <w:rFonts w:hint="eastAsia" w:ascii="仿宋" w:hAnsi="仿宋" w:eastAsia="仿宋" w:cs="仿宋"/>
          <w:b/>
          <w:bCs w:val="0"/>
          <w:i w:val="0"/>
          <w:caps w:val="0"/>
          <w:color w:val="333333"/>
          <w:spacing w:val="0"/>
          <w:sz w:val="24"/>
          <w:szCs w:val="24"/>
          <w:shd w:val="clear" w:color="auto" w:fill="FFFFFF"/>
        </w:rPr>
        <w:t>项目概况</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lang w:eastAsia="zh-CN"/>
        </w:rPr>
        <w:t>蓝田县“安村设施蔬菜产业园”项目</w:t>
      </w:r>
      <w:r>
        <w:rPr>
          <w:rFonts w:hint="eastAsia" w:ascii="仿宋" w:hAnsi="仿宋" w:eastAsia="仿宋" w:cs="仿宋"/>
          <w:b w:val="0"/>
          <w:bCs/>
          <w:i w:val="0"/>
          <w:caps w:val="0"/>
          <w:color w:val="auto"/>
          <w:spacing w:val="0"/>
          <w:sz w:val="24"/>
          <w:szCs w:val="24"/>
          <w:shd w:val="clear" w:color="auto" w:fill="FFFFFF"/>
        </w:rPr>
        <w:t>的潜在供应商应在陕西省西安市高新区科技五路8号数字大厦11层获取采购文件，并于2022年0</w:t>
      </w:r>
      <w:r>
        <w:rPr>
          <w:rFonts w:hint="eastAsia" w:ascii="仿宋" w:hAnsi="仿宋" w:eastAsia="仿宋" w:cs="仿宋"/>
          <w:b w:val="0"/>
          <w:bCs/>
          <w:i w:val="0"/>
          <w:caps w:val="0"/>
          <w:color w:val="auto"/>
          <w:spacing w:val="0"/>
          <w:sz w:val="24"/>
          <w:szCs w:val="24"/>
          <w:shd w:val="clear" w:color="auto" w:fill="FFFFFF"/>
          <w:lang w:val="en-US" w:eastAsia="zh-CN"/>
        </w:rPr>
        <w:t>9</w:t>
      </w:r>
      <w:r>
        <w:rPr>
          <w:rFonts w:hint="eastAsia" w:ascii="仿宋" w:hAnsi="仿宋" w:eastAsia="仿宋" w:cs="仿宋"/>
          <w:b w:val="0"/>
          <w:bCs/>
          <w:i w:val="0"/>
          <w:caps w:val="0"/>
          <w:color w:val="auto"/>
          <w:spacing w:val="0"/>
          <w:sz w:val="24"/>
          <w:szCs w:val="24"/>
          <w:shd w:val="clear" w:color="auto" w:fill="FFFFFF"/>
        </w:rPr>
        <w:t>月</w:t>
      </w:r>
      <w:r>
        <w:rPr>
          <w:rFonts w:hint="eastAsia" w:ascii="仿宋" w:hAnsi="仿宋" w:eastAsia="仿宋" w:cs="仿宋"/>
          <w:b w:val="0"/>
          <w:bCs/>
          <w:i w:val="0"/>
          <w:caps w:val="0"/>
          <w:color w:val="auto"/>
          <w:spacing w:val="0"/>
          <w:sz w:val="24"/>
          <w:szCs w:val="24"/>
          <w:shd w:val="clear" w:color="auto" w:fill="FFFFFF"/>
          <w:lang w:val="en-US" w:eastAsia="zh-CN"/>
        </w:rPr>
        <w:t>13</w:t>
      </w:r>
      <w:r>
        <w:rPr>
          <w:rFonts w:hint="eastAsia" w:ascii="仿宋" w:hAnsi="仿宋" w:eastAsia="仿宋" w:cs="仿宋"/>
          <w:b w:val="0"/>
          <w:bCs/>
          <w:i w:val="0"/>
          <w:caps w:val="0"/>
          <w:color w:val="auto"/>
          <w:spacing w:val="0"/>
          <w:sz w:val="24"/>
          <w:szCs w:val="24"/>
          <w:shd w:val="clear" w:color="auto" w:fill="FFFFFF"/>
        </w:rPr>
        <w:t>日</w:t>
      </w:r>
      <w:r>
        <w:rPr>
          <w:rFonts w:hint="eastAsia" w:ascii="仿宋" w:hAnsi="仿宋" w:eastAsia="仿宋" w:cs="仿宋"/>
          <w:b w:val="0"/>
          <w:bCs/>
          <w:i w:val="0"/>
          <w:caps w:val="0"/>
          <w:color w:val="auto"/>
          <w:spacing w:val="0"/>
          <w:sz w:val="24"/>
          <w:szCs w:val="24"/>
          <w:shd w:val="clear" w:color="auto" w:fill="FFFFFF"/>
          <w:lang w:val="en-US" w:eastAsia="zh-CN"/>
        </w:rPr>
        <w:t>14</w:t>
      </w:r>
      <w:r>
        <w:rPr>
          <w:rFonts w:hint="eastAsia" w:ascii="仿宋" w:hAnsi="仿宋" w:eastAsia="仿宋" w:cs="仿宋"/>
          <w:b w:val="0"/>
          <w:bCs/>
          <w:i w:val="0"/>
          <w:caps w:val="0"/>
          <w:color w:val="auto"/>
          <w:spacing w:val="0"/>
          <w:sz w:val="24"/>
          <w:szCs w:val="24"/>
          <w:shd w:val="clear" w:color="auto" w:fill="FFFFFF"/>
        </w:rPr>
        <w:t>时</w:t>
      </w:r>
      <w:r>
        <w:rPr>
          <w:rFonts w:hint="eastAsia" w:ascii="仿宋" w:hAnsi="仿宋" w:eastAsia="仿宋" w:cs="仿宋"/>
          <w:b w:val="0"/>
          <w:bCs/>
          <w:i w:val="0"/>
          <w:caps w:val="0"/>
          <w:color w:val="auto"/>
          <w:spacing w:val="0"/>
          <w:sz w:val="24"/>
          <w:szCs w:val="24"/>
          <w:shd w:val="clear" w:color="auto" w:fill="FFFFFF"/>
          <w:lang w:val="en-US" w:eastAsia="zh-CN"/>
        </w:rPr>
        <w:t>3</w:t>
      </w:r>
      <w:r>
        <w:rPr>
          <w:rFonts w:hint="eastAsia" w:ascii="仿宋" w:hAnsi="仿宋" w:eastAsia="仿宋" w:cs="仿宋"/>
          <w:b w:val="0"/>
          <w:bCs/>
          <w:i w:val="0"/>
          <w:caps w:val="0"/>
          <w:color w:val="auto"/>
          <w:spacing w:val="0"/>
          <w:sz w:val="24"/>
          <w:szCs w:val="24"/>
          <w:shd w:val="clear" w:color="auto" w:fill="FFFFFF"/>
        </w:rPr>
        <w:t>0分（北京时间）前提交</w:t>
      </w:r>
      <w:r>
        <w:rPr>
          <w:rFonts w:hint="eastAsia" w:ascii="仿宋" w:hAnsi="仿宋" w:eastAsia="仿宋" w:cs="仿宋"/>
          <w:b w:val="0"/>
          <w:bCs/>
          <w:i w:val="0"/>
          <w:caps w:val="0"/>
          <w:color w:val="auto"/>
          <w:spacing w:val="0"/>
          <w:sz w:val="24"/>
          <w:szCs w:val="24"/>
          <w:shd w:val="clear" w:color="auto" w:fill="FFFFFF"/>
          <w:lang w:val="en-US" w:eastAsia="zh-CN"/>
        </w:rPr>
        <w:t>投标</w:t>
      </w:r>
      <w:r>
        <w:rPr>
          <w:rFonts w:hint="eastAsia" w:ascii="仿宋" w:hAnsi="仿宋" w:eastAsia="仿宋" w:cs="仿宋"/>
          <w:b w:val="0"/>
          <w:bCs/>
          <w:i w:val="0"/>
          <w:caps w:val="0"/>
          <w:color w:val="auto"/>
          <w:spacing w:val="0"/>
          <w:sz w:val="24"/>
          <w:szCs w:val="24"/>
          <w:shd w:val="clear" w:color="auto" w:fill="FFFFFF"/>
        </w:rPr>
        <w:t>文件。</w:t>
      </w:r>
    </w:p>
    <w:p>
      <w:pPr>
        <w:pStyle w:val="3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i w:val="0"/>
          <w:caps w:val="0"/>
          <w:color w:val="auto"/>
          <w:spacing w:val="0"/>
          <w:sz w:val="24"/>
          <w:szCs w:val="24"/>
          <w:shd w:val="clear" w:color="auto" w:fill="FFFFFF"/>
        </w:rPr>
        <w:t>项目基本情况</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项目编号：HXGJXM2022-ZC-GK1061</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lang w:eastAsia="zh-CN"/>
        </w:rPr>
      </w:pPr>
      <w:r>
        <w:rPr>
          <w:rFonts w:hint="eastAsia" w:ascii="仿宋" w:hAnsi="仿宋" w:eastAsia="仿宋" w:cs="仿宋"/>
          <w:b w:val="0"/>
          <w:bCs/>
          <w:i w:val="0"/>
          <w:caps w:val="0"/>
          <w:color w:val="auto"/>
          <w:spacing w:val="0"/>
          <w:sz w:val="24"/>
          <w:szCs w:val="24"/>
          <w:shd w:val="clear" w:color="auto" w:fill="FFFFFF"/>
        </w:rPr>
        <w:t>项目名称：</w:t>
      </w:r>
      <w:r>
        <w:rPr>
          <w:rFonts w:hint="eastAsia" w:ascii="仿宋" w:hAnsi="仿宋" w:eastAsia="仿宋" w:cs="仿宋"/>
          <w:b w:val="0"/>
          <w:bCs/>
          <w:i w:val="0"/>
          <w:caps w:val="0"/>
          <w:color w:val="auto"/>
          <w:spacing w:val="0"/>
          <w:sz w:val="24"/>
          <w:szCs w:val="24"/>
          <w:shd w:val="clear" w:color="auto" w:fill="FFFFFF"/>
          <w:lang w:eastAsia="zh-CN"/>
        </w:rPr>
        <w:t>蓝田县“安村设施蔬菜产业园”项目</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采购方式：公开招标</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预算金额：13380679.71元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采购需求：</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合同包1</w:t>
      </w:r>
      <w:r>
        <w:rPr>
          <w:rFonts w:hint="eastAsia" w:ascii="仿宋" w:hAnsi="仿宋" w:eastAsia="仿宋" w:cs="仿宋"/>
          <w:i w:val="0"/>
          <w:caps w:val="0"/>
          <w:color w:val="auto"/>
          <w:spacing w:val="0"/>
          <w:sz w:val="24"/>
          <w:szCs w:val="24"/>
          <w:highlight w:val="none"/>
          <w:shd w:val="clear" w:color="auto" w:fill="FFFFFF"/>
          <w:lang w:val="en-US" w:eastAsia="zh-CN"/>
        </w:rPr>
        <w:t>(蓝田县“安村设施蔬菜产业园”项目)</w:t>
      </w:r>
      <w:r>
        <w:rPr>
          <w:rFonts w:hint="eastAsia" w:ascii="仿宋" w:hAnsi="仿宋" w:eastAsia="仿宋" w:cs="仿宋"/>
          <w:b w:val="0"/>
          <w:bCs/>
          <w:i w:val="0"/>
          <w:caps w:val="0"/>
          <w:color w:val="auto"/>
          <w:spacing w:val="0"/>
          <w:sz w:val="24"/>
          <w:szCs w:val="24"/>
          <w:shd w:val="clear" w:color="auto" w:fill="FFFFFF"/>
        </w:rPr>
        <w:t>:</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合同包预算金额：13380679.71元</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合同包最高限价：13380679.71元</w:t>
      </w:r>
    </w:p>
    <w:tbl>
      <w:tblPr>
        <w:tblStyle w:val="35"/>
        <w:tblW w:w="9538"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7"/>
        <w:gridCol w:w="1537"/>
        <w:gridCol w:w="1841"/>
        <w:gridCol w:w="2561"/>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品目号</w:t>
            </w:r>
          </w:p>
        </w:tc>
        <w:tc>
          <w:tcPr>
            <w:tcW w:w="1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采购标的</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数量（单位）</w:t>
            </w:r>
          </w:p>
        </w:tc>
        <w:tc>
          <w:tcPr>
            <w:tcW w:w="2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品目预算(元)</w:t>
            </w:r>
          </w:p>
        </w:tc>
        <w:tc>
          <w:tcPr>
            <w:tcW w:w="22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2" w:hRule="atLeast"/>
        </w:trPr>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lang w:val="en-US" w:eastAsia="zh-CN"/>
              </w:rPr>
              <w:t>1-1</w:t>
            </w:r>
          </w:p>
        </w:tc>
        <w:tc>
          <w:tcPr>
            <w:tcW w:w="1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rPr>
            </w:pPr>
            <w:r>
              <w:rPr>
                <w:rFonts w:hint="eastAsia" w:ascii="仿宋" w:hAnsi="仿宋" w:eastAsia="仿宋" w:cs="仿宋"/>
                <w:b w:val="0"/>
                <w:bCs/>
                <w:i w:val="0"/>
                <w:caps w:val="0"/>
                <w:color w:val="333333"/>
                <w:spacing w:val="0"/>
                <w:sz w:val="21"/>
                <w:szCs w:val="21"/>
                <w:shd w:val="clear" w:color="auto" w:fill="FFFFFF"/>
              </w:rPr>
              <w:t>安村设施蔬菜产业园</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333333"/>
                <w:spacing w:val="0"/>
                <w:sz w:val="21"/>
                <w:szCs w:val="21"/>
                <w:shd w:val="clear" w:color="auto" w:fill="FFFFFF"/>
                <w:lang w:val="en-US" w:eastAsia="zh-CN"/>
              </w:rPr>
            </w:pPr>
            <w:r>
              <w:rPr>
                <w:rFonts w:hint="eastAsia" w:ascii="仿宋" w:hAnsi="仿宋" w:eastAsia="仿宋" w:cs="仿宋"/>
                <w:b w:val="0"/>
                <w:bCs/>
                <w:i w:val="0"/>
                <w:caps w:val="0"/>
                <w:color w:val="333333"/>
                <w:spacing w:val="0"/>
                <w:sz w:val="21"/>
                <w:szCs w:val="21"/>
                <w:shd w:val="clear" w:color="auto" w:fill="FFFFFF"/>
                <w:lang w:val="en-US" w:eastAsia="zh-CN"/>
              </w:rPr>
              <w:t>1项</w:t>
            </w:r>
          </w:p>
        </w:tc>
        <w:tc>
          <w:tcPr>
            <w:tcW w:w="2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lang w:eastAsia="zh-CN"/>
              </w:rPr>
            </w:pPr>
            <w:r>
              <w:rPr>
                <w:rFonts w:hint="eastAsia" w:ascii="仿宋" w:hAnsi="仿宋" w:eastAsia="仿宋" w:cs="仿宋"/>
                <w:b w:val="0"/>
                <w:bCs/>
                <w:i w:val="0"/>
                <w:caps w:val="0"/>
                <w:color w:val="333333"/>
                <w:spacing w:val="0"/>
                <w:sz w:val="21"/>
                <w:szCs w:val="21"/>
                <w:shd w:val="clear" w:color="auto" w:fill="FFFFFF"/>
                <w:lang w:eastAsia="zh-CN"/>
              </w:rPr>
              <w:t>13380679.71</w:t>
            </w:r>
          </w:p>
        </w:tc>
        <w:tc>
          <w:tcPr>
            <w:tcW w:w="22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333333"/>
                <w:spacing w:val="0"/>
                <w:sz w:val="21"/>
                <w:szCs w:val="21"/>
                <w:shd w:val="clear" w:color="auto" w:fill="FFFFFF"/>
                <w:lang w:eastAsia="zh-CN"/>
              </w:rPr>
            </w:pPr>
            <w:r>
              <w:rPr>
                <w:rFonts w:hint="eastAsia" w:ascii="仿宋" w:hAnsi="仿宋" w:eastAsia="仿宋" w:cs="仿宋"/>
                <w:b w:val="0"/>
                <w:bCs/>
                <w:i w:val="0"/>
                <w:caps w:val="0"/>
                <w:color w:val="333333"/>
                <w:spacing w:val="0"/>
                <w:sz w:val="21"/>
                <w:szCs w:val="21"/>
                <w:shd w:val="clear" w:color="auto" w:fill="FFFFFF"/>
                <w:lang w:eastAsia="zh-CN"/>
              </w:rPr>
              <w:t>13380679.71</w:t>
            </w:r>
          </w:p>
        </w:tc>
      </w:tr>
    </w:tbl>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本合同包不接受联合体投标</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333333"/>
          <w:spacing w:val="0"/>
          <w:sz w:val="24"/>
          <w:szCs w:val="24"/>
          <w:shd w:val="clear" w:color="auto" w:fill="FFFFFF"/>
        </w:rPr>
      </w:pPr>
      <w:r>
        <w:rPr>
          <w:rFonts w:hint="eastAsia" w:ascii="仿宋" w:hAnsi="仿宋" w:eastAsia="仿宋" w:cs="仿宋"/>
          <w:b w:val="0"/>
          <w:bCs/>
          <w:i w:val="0"/>
          <w:caps w:val="0"/>
          <w:color w:val="333333"/>
          <w:spacing w:val="0"/>
          <w:sz w:val="24"/>
          <w:szCs w:val="24"/>
          <w:shd w:val="clear" w:color="auto" w:fill="FFFFFF"/>
        </w:rPr>
        <w:t>合同履行期限：自合同签订之日起3个月</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rPr>
        <w:t>二、</w:t>
      </w:r>
      <w:r>
        <w:rPr>
          <w:rFonts w:hint="eastAsia" w:ascii="仿宋" w:hAnsi="仿宋" w:eastAsia="仿宋" w:cs="仿宋"/>
          <w:b/>
          <w:i w:val="0"/>
          <w:caps w:val="0"/>
          <w:color w:val="333333"/>
          <w:spacing w:val="0"/>
          <w:sz w:val="24"/>
          <w:szCs w:val="24"/>
          <w:shd w:val="clear" w:color="auto" w:fill="FFFFFF"/>
          <w:lang w:eastAsia="zh-CN"/>
        </w:rPr>
        <w:t>投标人</w:t>
      </w:r>
      <w:r>
        <w:rPr>
          <w:rFonts w:hint="eastAsia" w:ascii="仿宋" w:hAnsi="仿宋" w:eastAsia="仿宋" w:cs="仿宋"/>
          <w:b/>
          <w:i w:val="0"/>
          <w:caps w:val="0"/>
          <w:color w:val="333333"/>
          <w:spacing w:val="0"/>
          <w:sz w:val="24"/>
          <w:szCs w:val="24"/>
          <w:shd w:val="clear" w:color="auto" w:fill="FFFFFF"/>
        </w:rPr>
        <w:t>的资格要求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1</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满足《中华人民共和国政府采购法》第二十二条规定</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2</w:t>
      </w:r>
      <w:r>
        <w:rPr>
          <w:rFonts w:hint="eastAsia" w:ascii="仿宋" w:hAnsi="仿宋" w:eastAsia="仿宋" w:cs="仿宋"/>
          <w:i w:val="0"/>
          <w:caps w:val="0"/>
          <w:color w:val="333333"/>
          <w:spacing w:val="0"/>
          <w:sz w:val="24"/>
          <w:szCs w:val="24"/>
          <w:shd w:val="clear" w:color="auto" w:fill="FFFFFF"/>
          <w:lang w:val="en-US" w:eastAsia="zh-CN"/>
        </w:rPr>
        <w:t>.</w:t>
      </w:r>
      <w:r>
        <w:rPr>
          <w:rFonts w:hint="eastAsia" w:ascii="仿宋" w:hAnsi="仿宋" w:eastAsia="仿宋" w:cs="仿宋"/>
          <w:i w:val="0"/>
          <w:caps w:val="0"/>
          <w:color w:val="333333"/>
          <w:spacing w:val="0"/>
          <w:sz w:val="24"/>
          <w:szCs w:val="24"/>
          <w:shd w:val="clear" w:color="auto" w:fill="FFFFFF"/>
        </w:rPr>
        <w:t>落实政府采购政策需满足的资格要求：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outlineLvl w:val="9"/>
        <w:rPr>
          <w:rFonts w:hint="eastAsia" w:ascii="仿宋" w:hAnsi="仿宋" w:eastAsia="仿宋" w:cs="仿宋"/>
          <w:i w:val="0"/>
          <w:caps w:val="0"/>
          <w:color w:val="333333"/>
          <w:spacing w:val="0"/>
          <w:sz w:val="24"/>
          <w:szCs w:val="24"/>
          <w:highlight w:val="none"/>
          <w:shd w:val="clear" w:color="auto" w:fill="FFFFFF"/>
          <w:lang w:val="en-US" w:eastAsia="zh-CN"/>
        </w:rPr>
      </w:pPr>
      <w:r>
        <w:rPr>
          <w:rFonts w:hint="eastAsia" w:ascii="仿宋" w:hAnsi="仿宋" w:eastAsia="仿宋" w:cs="仿宋"/>
          <w:i w:val="0"/>
          <w:caps w:val="0"/>
          <w:color w:val="333333"/>
          <w:spacing w:val="0"/>
          <w:sz w:val="24"/>
          <w:szCs w:val="24"/>
          <w:highlight w:val="none"/>
          <w:shd w:val="clear" w:color="auto" w:fill="FFFFFF"/>
          <w:lang w:val="en-US" w:eastAsia="zh-CN"/>
        </w:rPr>
        <w:t>合同包1(蓝田县“安村设施蔬菜产业园”项目)落实政府采购政策需满足的资格要求如下:</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outlineLvl w:val="9"/>
        <w:rPr>
          <w:rFonts w:hint="eastAsia" w:ascii="仿宋" w:hAnsi="仿宋" w:eastAsia="仿宋" w:cs="仿宋"/>
          <w:i w:val="0"/>
          <w:caps w:val="0"/>
          <w:color w:val="333333"/>
          <w:spacing w:val="0"/>
          <w:sz w:val="24"/>
          <w:szCs w:val="24"/>
          <w:shd w:val="clear" w:fill="FFFFFF"/>
        </w:rPr>
      </w:pPr>
      <w:r>
        <w:rPr>
          <w:rFonts w:hint="eastAsia" w:ascii="仿宋" w:hAnsi="仿宋" w:eastAsia="仿宋" w:cs="仿宋"/>
          <w:i w:val="0"/>
          <w:caps w:val="0"/>
          <w:color w:val="333333"/>
          <w:spacing w:val="0"/>
          <w:sz w:val="24"/>
          <w:szCs w:val="24"/>
          <w:shd w:val="clear" w:fill="FFFFFF"/>
        </w:rPr>
        <w:t>本项目专门面向中小企业采购，供应商应为中型小微企业或监狱企业或残疾人福利性单位</w:t>
      </w:r>
      <w:r>
        <w:rPr>
          <w:rFonts w:hint="eastAsia" w:ascii="仿宋" w:hAnsi="仿宋" w:eastAsia="仿宋" w:cs="仿宋"/>
          <w:i w:val="0"/>
          <w:caps w:val="0"/>
          <w:color w:val="333333"/>
          <w:spacing w:val="0"/>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480" w:firstLineChars="200"/>
        <w:textAlignment w:val="auto"/>
        <w:outlineLvl w:val="9"/>
        <w:rPr>
          <w:rFonts w:hint="eastAsia" w:ascii="仿宋" w:hAnsi="仿宋" w:eastAsia="仿宋" w:cs="仿宋"/>
          <w:i w:val="0"/>
          <w:caps w:val="0"/>
          <w:color w:val="333333"/>
          <w:spacing w:val="0"/>
          <w:sz w:val="24"/>
          <w:szCs w:val="24"/>
          <w:shd w:val="clear" w:fill="FFFFFF"/>
        </w:rPr>
      </w:pPr>
      <w:r>
        <w:rPr>
          <w:rFonts w:hint="eastAsia" w:ascii="仿宋" w:hAnsi="仿宋" w:eastAsia="仿宋" w:cs="仿宋"/>
          <w:i w:val="0"/>
          <w:caps w:val="0"/>
          <w:color w:val="333333"/>
          <w:spacing w:val="0"/>
          <w:sz w:val="24"/>
          <w:szCs w:val="24"/>
          <w:shd w:val="clear" w:fill="FFFFFF"/>
          <w:lang w:val="en-US" w:eastAsia="zh-CN"/>
        </w:rPr>
        <w:t>3.</w:t>
      </w:r>
      <w:r>
        <w:rPr>
          <w:rFonts w:hint="eastAsia" w:ascii="仿宋" w:hAnsi="仿宋" w:eastAsia="仿宋" w:cs="仿宋"/>
          <w:i w:val="0"/>
          <w:caps w:val="0"/>
          <w:color w:val="333333"/>
          <w:spacing w:val="0"/>
          <w:sz w:val="24"/>
          <w:szCs w:val="24"/>
          <w:shd w:val="clear" w:fill="FFFFFF"/>
        </w:rPr>
        <w:t>本项目的特定资格要求：</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lang w:eastAsia="zh-CN"/>
        </w:rPr>
        <w:t>合同包1</w:t>
      </w:r>
      <w:r>
        <w:rPr>
          <w:rFonts w:hint="eastAsia" w:ascii="仿宋" w:hAnsi="仿宋" w:eastAsia="仿宋" w:cs="仿宋"/>
          <w:i w:val="0"/>
          <w:caps w:val="0"/>
          <w:color w:val="333333"/>
          <w:spacing w:val="0"/>
          <w:sz w:val="24"/>
          <w:szCs w:val="24"/>
          <w:highlight w:val="none"/>
          <w:shd w:val="clear" w:color="auto" w:fill="FFFFFF"/>
          <w:lang w:val="en-US" w:eastAsia="zh-CN"/>
        </w:rPr>
        <w:t>(蓝田县“安村设施蔬菜产业园”项目)</w:t>
      </w:r>
      <w:r>
        <w:rPr>
          <w:rFonts w:hint="eastAsia" w:ascii="仿宋" w:hAnsi="仿宋" w:eastAsia="仿宋" w:cs="仿宋"/>
          <w:i w:val="0"/>
          <w:caps w:val="0"/>
          <w:color w:val="333333"/>
          <w:spacing w:val="0"/>
          <w:sz w:val="24"/>
          <w:szCs w:val="24"/>
          <w:shd w:val="clear" w:color="auto" w:fill="FFFFFF"/>
          <w:lang w:eastAsia="zh-CN"/>
        </w:rPr>
        <w:t>特定资格要求如下:</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lang w:val="en-US" w:eastAsia="zh-CN"/>
        </w:rPr>
        <w:t>1</w:t>
      </w:r>
      <w:r>
        <w:rPr>
          <w:rFonts w:hint="eastAsia" w:ascii="仿宋" w:hAnsi="仿宋" w:eastAsia="仿宋" w:cs="仿宋"/>
          <w:i w:val="0"/>
          <w:caps w:val="0"/>
          <w:color w:val="auto"/>
          <w:spacing w:val="0"/>
          <w:sz w:val="24"/>
          <w:szCs w:val="24"/>
          <w:shd w:val="clear" w:fill="FFFFFF"/>
          <w:lang w:eastAsia="zh-CN"/>
        </w:rPr>
        <w:t>）</w:t>
      </w:r>
      <w:r>
        <w:rPr>
          <w:rFonts w:hint="eastAsia" w:ascii="仿宋" w:hAnsi="仿宋" w:eastAsia="仿宋" w:cs="仿宋"/>
          <w:i w:val="0"/>
          <w:caps w:val="0"/>
          <w:color w:val="auto"/>
          <w:spacing w:val="0"/>
          <w:sz w:val="24"/>
          <w:szCs w:val="24"/>
          <w:shd w:val="clear" w:fill="FFFFFF"/>
        </w:rPr>
        <w:t>法定代表人授权书（附法定代表人、被授权人身份证复印件）及被授权人身份证（法定代表人直接参加</w:t>
      </w:r>
      <w:r>
        <w:rPr>
          <w:rFonts w:hint="eastAsia" w:ascii="仿宋" w:hAnsi="仿宋" w:eastAsia="仿宋" w:cs="仿宋"/>
          <w:i w:val="0"/>
          <w:caps w:val="0"/>
          <w:color w:val="auto"/>
          <w:spacing w:val="0"/>
          <w:sz w:val="24"/>
          <w:szCs w:val="24"/>
          <w:shd w:val="clear" w:fill="FFFFFF"/>
          <w:lang w:eastAsia="zh-CN"/>
        </w:rPr>
        <w:t>投标</w:t>
      </w:r>
      <w:r>
        <w:rPr>
          <w:rFonts w:hint="eastAsia" w:ascii="仿宋" w:hAnsi="仿宋" w:eastAsia="仿宋" w:cs="仿宋"/>
          <w:i w:val="0"/>
          <w:caps w:val="0"/>
          <w:color w:val="auto"/>
          <w:spacing w:val="0"/>
          <w:sz w:val="24"/>
          <w:szCs w:val="24"/>
          <w:shd w:val="clear" w:fill="FFFFFF"/>
        </w:rPr>
        <w:t>，须提供法定代表人身份证明及身份证原件）；</w:t>
      </w:r>
      <w:r>
        <w:rPr>
          <w:rFonts w:hint="eastAsia" w:ascii="仿宋" w:hAnsi="仿宋" w:eastAsia="仿宋" w:cs="仿宋"/>
          <w:i w:val="0"/>
          <w:caps w:val="0"/>
          <w:color w:val="auto"/>
          <w:spacing w:val="0"/>
          <w:sz w:val="24"/>
          <w:szCs w:val="24"/>
          <w:shd w:val="clear" w:fill="FFFFFF"/>
          <w:lang w:val="en-US" w:eastAsia="zh-CN"/>
        </w:rPr>
        <w:t>（2）</w:t>
      </w:r>
      <w:r>
        <w:rPr>
          <w:rFonts w:hint="eastAsia" w:ascii="仿宋" w:hAnsi="仿宋" w:eastAsia="仿宋" w:cs="仿宋"/>
          <w:i w:val="0"/>
          <w:caps w:val="0"/>
          <w:color w:val="auto"/>
          <w:spacing w:val="0"/>
          <w:sz w:val="24"/>
          <w:szCs w:val="24"/>
          <w:shd w:val="clear" w:fill="FFFFFF"/>
          <w:lang w:eastAsia="zh-CN"/>
        </w:rPr>
        <w:t>具备建设行政主管部门颁发的建筑工程施工总承包三级及以上资质证书，同时具有合格有效的安全生产许可证；</w:t>
      </w:r>
      <w:r>
        <w:rPr>
          <w:rFonts w:hint="eastAsia" w:ascii="仿宋" w:hAnsi="仿宋" w:eastAsia="仿宋" w:cs="仿宋"/>
          <w:i w:val="0"/>
          <w:caps w:val="0"/>
          <w:color w:val="auto"/>
          <w:spacing w:val="0"/>
          <w:sz w:val="24"/>
          <w:szCs w:val="24"/>
          <w:shd w:val="clear" w:fill="FFFFFF"/>
          <w:lang w:val="en-US" w:eastAsia="zh-CN"/>
        </w:rPr>
        <w:t>（3）</w:t>
      </w:r>
      <w:r>
        <w:rPr>
          <w:rFonts w:hint="eastAsia" w:ascii="仿宋" w:hAnsi="仿宋" w:eastAsia="仿宋" w:cs="仿宋"/>
          <w:i w:val="0"/>
          <w:caps w:val="0"/>
          <w:color w:val="auto"/>
          <w:spacing w:val="0"/>
          <w:sz w:val="24"/>
          <w:szCs w:val="24"/>
          <w:shd w:val="clear" w:fill="FFFFFF"/>
          <w:lang w:eastAsia="zh-CN"/>
        </w:rPr>
        <w:t>省外企业需提供在陕西省建筑市场监管与诚信信息一体化平台上登记备案且备案信息有效；</w:t>
      </w:r>
      <w:r>
        <w:rPr>
          <w:rFonts w:hint="eastAsia" w:ascii="仿宋" w:hAnsi="仿宋" w:eastAsia="仿宋" w:cs="仿宋"/>
          <w:i w:val="0"/>
          <w:caps w:val="0"/>
          <w:color w:val="auto"/>
          <w:spacing w:val="0"/>
          <w:sz w:val="24"/>
          <w:szCs w:val="24"/>
          <w:shd w:val="clear" w:fill="FFFFFF"/>
          <w:lang w:val="en-US" w:eastAsia="zh-CN"/>
        </w:rPr>
        <w:t>（4）</w:t>
      </w:r>
      <w:r>
        <w:rPr>
          <w:rFonts w:hint="eastAsia" w:ascii="仿宋" w:hAnsi="仿宋" w:eastAsia="仿宋" w:cs="仿宋"/>
          <w:i w:val="0"/>
          <w:caps w:val="0"/>
          <w:color w:val="auto"/>
          <w:spacing w:val="0"/>
          <w:sz w:val="24"/>
          <w:szCs w:val="24"/>
          <w:shd w:val="clear" w:fill="FFFFFF"/>
          <w:lang w:eastAsia="zh-CN"/>
        </w:rPr>
        <w:t>拟派项目经理须具有建筑工程专业二级及以上注册建造师证书和有效的安全生产考核证书（B证）在本单位注册且无在建工程、无不良记录（提供无在建工程、无不良记录承诺书）</w:t>
      </w:r>
      <w:r>
        <w:rPr>
          <w:rFonts w:hint="eastAsia" w:ascii="仿宋" w:hAnsi="仿宋" w:eastAsia="仿宋" w:cs="仿宋"/>
          <w:i w:val="0"/>
          <w:caps w:val="0"/>
          <w:color w:val="auto"/>
          <w:spacing w:val="0"/>
          <w:sz w:val="24"/>
          <w:szCs w:val="24"/>
          <w:shd w:val="clear" w:fill="FFFFFF"/>
        </w:rPr>
        <w:t>；</w:t>
      </w:r>
      <w:r>
        <w:rPr>
          <w:rFonts w:hint="eastAsia" w:ascii="仿宋" w:hAnsi="仿宋" w:eastAsia="仿宋" w:cs="仿宋"/>
          <w:i w:val="0"/>
          <w:caps w:val="0"/>
          <w:color w:val="auto"/>
          <w:spacing w:val="0"/>
          <w:sz w:val="24"/>
          <w:szCs w:val="24"/>
          <w:shd w:val="clear" w:fill="FFFFFF"/>
          <w:lang w:val="en-US" w:eastAsia="zh-CN"/>
        </w:rPr>
        <w:t>（5）</w:t>
      </w:r>
      <w:r>
        <w:rPr>
          <w:rFonts w:hint="eastAsia" w:ascii="仿宋" w:hAnsi="仿宋" w:eastAsia="仿宋" w:cs="仿宋"/>
          <w:i w:val="0"/>
          <w:caps w:val="0"/>
          <w:color w:val="auto"/>
          <w:spacing w:val="0"/>
          <w:sz w:val="24"/>
          <w:szCs w:val="24"/>
          <w:shd w:val="clear" w:color="auto" w:fill="FFFFFF"/>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rPr>
        <w:t>政府采购严重违法失信行为记录名单</w:t>
      </w:r>
      <w:r>
        <w:rPr>
          <w:rFonts w:hint="eastAsia" w:ascii="仿宋" w:hAnsi="仿宋" w:eastAsia="仿宋" w:cs="仿宋"/>
          <w:i w:val="0"/>
          <w:caps w:val="0"/>
          <w:color w:val="auto"/>
          <w:spacing w:val="0"/>
          <w:sz w:val="24"/>
          <w:szCs w:val="24"/>
          <w:shd w:val="clear" w:fill="FFFFFF"/>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color w:val="auto"/>
          <w:sz w:val="24"/>
          <w:szCs w:val="24"/>
          <w:lang w:val="en-US"/>
        </w:rPr>
      </w:pPr>
      <w:r>
        <w:rPr>
          <w:rFonts w:hint="eastAsia" w:ascii="仿宋" w:hAnsi="仿宋" w:eastAsia="仿宋" w:cs="仿宋"/>
          <w:b/>
          <w:i w:val="0"/>
          <w:caps w:val="0"/>
          <w:color w:val="auto"/>
          <w:spacing w:val="0"/>
          <w:sz w:val="24"/>
          <w:szCs w:val="24"/>
          <w:shd w:val="clear" w:color="auto" w:fill="FFFFFF"/>
        </w:rPr>
        <w:t>三、</w:t>
      </w:r>
      <w:r>
        <w:rPr>
          <w:rFonts w:hint="eastAsia" w:ascii="仿宋" w:hAnsi="仿宋" w:eastAsia="仿宋" w:cs="仿宋"/>
          <w:b/>
          <w:i w:val="0"/>
          <w:caps w:val="0"/>
          <w:color w:val="auto"/>
          <w:spacing w:val="0"/>
          <w:sz w:val="24"/>
          <w:szCs w:val="24"/>
          <w:shd w:val="clear" w:color="auto" w:fill="FFFFFF"/>
          <w:lang w:val="en-US" w:eastAsia="zh-CN"/>
        </w:rPr>
        <w:t>获取招标文件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时间：2022年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22</w:t>
      </w:r>
      <w:r>
        <w:rPr>
          <w:rFonts w:hint="eastAsia" w:ascii="仿宋" w:hAnsi="仿宋" w:eastAsia="仿宋" w:cs="仿宋"/>
          <w:i w:val="0"/>
          <w:caps w:val="0"/>
          <w:color w:val="auto"/>
          <w:spacing w:val="0"/>
          <w:sz w:val="24"/>
          <w:szCs w:val="24"/>
          <w:shd w:val="clear" w:color="auto" w:fill="FFFFFF"/>
        </w:rPr>
        <w:t>日至2022年</w:t>
      </w:r>
      <w:r>
        <w:rPr>
          <w:rFonts w:hint="eastAsia" w:ascii="仿宋" w:hAnsi="仿宋" w:eastAsia="仿宋" w:cs="仿宋"/>
          <w:i w:val="0"/>
          <w:caps w:val="0"/>
          <w:color w:val="auto"/>
          <w:spacing w:val="0"/>
          <w:sz w:val="24"/>
          <w:szCs w:val="24"/>
          <w:shd w:val="clear" w:color="auto" w:fill="FFFFFF"/>
          <w:lang w:val="en-US" w:eastAsia="zh-CN"/>
        </w:rPr>
        <w:t>8</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26</w:t>
      </w:r>
      <w:r>
        <w:rPr>
          <w:rFonts w:hint="eastAsia" w:ascii="仿宋" w:hAnsi="仿宋" w:eastAsia="仿宋" w:cs="仿宋"/>
          <w:i w:val="0"/>
          <w:caps w:val="0"/>
          <w:color w:val="auto"/>
          <w:spacing w:val="0"/>
          <w:sz w:val="24"/>
          <w:szCs w:val="24"/>
          <w:shd w:val="clear" w:color="auto" w:fill="FFFFFF"/>
        </w:rPr>
        <w:t>日，每天上午09:00:00至1</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0:00，下午1</w:t>
      </w:r>
      <w:r>
        <w:rPr>
          <w:rFonts w:hint="eastAsia" w:ascii="仿宋" w:hAnsi="仿宋" w:eastAsia="仿宋" w:cs="仿宋"/>
          <w:i w:val="0"/>
          <w:caps w:val="0"/>
          <w:color w:val="auto"/>
          <w:spacing w:val="0"/>
          <w:sz w:val="24"/>
          <w:szCs w:val="24"/>
          <w:shd w:val="clear" w:color="auto" w:fill="FFFFFF"/>
          <w:lang w:val="en-US" w:eastAsia="zh-CN"/>
        </w:rPr>
        <w:t>4</w:t>
      </w:r>
      <w:r>
        <w:rPr>
          <w:rFonts w:hint="eastAsia" w:ascii="仿宋" w:hAnsi="仿宋" w:eastAsia="仿宋" w:cs="仿宋"/>
          <w:i w:val="0"/>
          <w:caps w:val="0"/>
          <w:color w:val="auto"/>
          <w:spacing w:val="0"/>
          <w:sz w:val="24"/>
          <w:szCs w:val="24"/>
          <w:shd w:val="clear" w:color="auto" w:fill="FFFFFF"/>
        </w:rPr>
        <w:t>:</w:t>
      </w:r>
      <w:r>
        <w:rPr>
          <w:rFonts w:hint="eastAsia" w:ascii="仿宋" w:hAnsi="仿宋" w:eastAsia="仿宋" w:cs="仿宋"/>
          <w:i w:val="0"/>
          <w:caps w:val="0"/>
          <w:color w:val="auto"/>
          <w:spacing w:val="0"/>
          <w:sz w:val="24"/>
          <w:szCs w:val="24"/>
          <w:shd w:val="clear" w:color="auto" w:fill="FFFFFF"/>
          <w:lang w:val="en-US" w:eastAsia="zh-CN"/>
        </w:rPr>
        <w:t>0</w:t>
      </w:r>
      <w:r>
        <w:rPr>
          <w:rFonts w:hint="eastAsia" w:ascii="仿宋" w:hAnsi="仿宋" w:eastAsia="仿宋" w:cs="仿宋"/>
          <w:i w:val="0"/>
          <w:caps w:val="0"/>
          <w:color w:val="auto"/>
          <w:spacing w:val="0"/>
          <w:sz w:val="24"/>
          <w:szCs w:val="24"/>
          <w:shd w:val="clear" w:color="auto" w:fill="FFFFFF"/>
        </w:rPr>
        <w:t>0:00至17:00:00（北京时间,法定节假日除外）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地点：陕西省西安市高新区科技五路8号数字大厦11层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方式：现场</w:t>
      </w:r>
      <w:r>
        <w:rPr>
          <w:rFonts w:hint="eastAsia" w:ascii="仿宋" w:hAnsi="仿宋" w:eastAsia="仿宋" w:cs="仿宋"/>
          <w:i w:val="0"/>
          <w:caps w:val="0"/>
          <w:color w:val="auto"/>
          <w:spacing w:val="0"/>
          <w:sz w:val="24"/>
          <w:szCs w:val="24"/>
          <w:shd w:val="clear" w:color="auto" w:fill="FFFFFF"/>
          <w:lang w:val="en-US" w:eastAsia="zh-CN"/>
        </w:rPr>
        <w:t>获取</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售价：免费赠送</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color w:val="auto"/>
          <w:sz w:val="24"/>
          <w:szCs w:val="24"/>
          <w:lang w:val="en-US" w:eastAsia="zh-CN"/>
        </w:rPr>
      </w:pPr>
      <w:r>
        <w:rPr>
          <w:rFonts w:hint="eastAsia" w:ascii="仿宋" w:hAnsi="仿宋" w:eastAsia="仿宋" w:cs="仿宋"/>
          <w:b/>
          <w:i w:val="0"/>
          <w:caps w:val="0"/>
          <w:color w:val="auto"/>
          <w:spacing w:val="0"/>
          <w:sz w:val="24"/>
          <w:szCs w:val="24"/>
          <w:shd w:val="clear" w:color="auto" w:fill="FFFFFF"/>
        </w:rPr>
        <w:t>四、</w:t>
      </w:r>
      <w:r>
        <w:rPr>
          <w:rFonts w:hint="eastAsia" w:ascii="仿宋" w:hAnsi="仿宋" w:eastAsia="仿宋" w:cs="仿宋"/>
          <w:b/>
          <w:i w:val="0"/>
          <w:caps w:val="0"/>
          <w:color w:val="auto"/>
          <w:spacing w:val="0"/>
          <w:sz w:val="24"/>
          <w:szCs w:val="24"/>
          <w:shd w:val="clear" w:color="auto" w:fill="FFFFFF"/>
          <w:lang w:val="en-US" w:eastAsia="zh-CN"/>
        </w:rPr>
        <w:t>提交</w:t>
      </w:r>
      <w:r>
        <w:rPr>
          <w:rFonts w:hint="eastAsia" w:ascii="仿宋" w:hAnsi="仿宋" w:eastAsia="仿宋" w:cs="仿宋"/>
          <w:b/>
          <w:i w:val="0"/>
          <w:caps w:val="0"/>
          <w:color w:val="auto"/>
          <w:spacing w:val="0"/>
          <w:sz w:val="24"/>
          <w:szCs w:val="24"/>
          <w:shd w:val="clear" w:color="auto" w:fill="FFFFFF"/>
          <w:lang w:eastAsia="zh-CN"/>
        </w:rPr>
        <w:t>投标</w:t>
      </w:r>
      <w:r>
        <w:rPr>
          <w:rFonts w:hint="eastAsia" w:ascii="仿宋" w:hAnsi="仿宋" w:eastAsia="仿宋" w:cs="仿宋"/>
          <w:b/>
          <w:i w:val="0"/>
          <w:caps w:val="0"/>
          <w:color w:val="auto"/>
          <w:spacing w:val="0"/>
          <w:sz w:val="24"/>
          <w:szCs w:val="24"/>
          <w:shd w:val="clear" w:color="auto" w:fill="FFFFFF"/>
        </w:rPr>
        <w:t>文件</w:t>
      </w:r>
      <w:r>
        <w:rPr>
          <w:rFonts w:hint="eastAsia" w:ascii="仿宋" w:hAnsi="仿宋" w:eastAsia="仿宋" w:cs="仿宋"/>
          <w:b/>
          <w:i w:val="0"/>
          <w:caps w:val="0"/>
          <w:color w:val="auto"/>
          <w:spacing w:val="0"/>
          <w:sz w:val="24"/>
          <w:szCs w:val="24"/>
          <w:shd w:val="clear" w:color="auto" w:fill="FFFFFF"/>
          <w:lang w:val="en-US" w:eastAsia="zh-CN"/>
        </w:rPr>
        <w:t>截止时间、开标时间和地点</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时间：2022年09月13日14时30分00秒 （北京时间）</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提交投标文件地点：陕西省西安市高新区科技五路8号数字大厦11层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开标地点：陕西省西安市高新区科技五路8号数字大厦11层</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i w:val="0"/>
          <w:caps w:val="0"/>
          <w:color w:val="auto"/>
          <w:spacing w:val="0"/>
          <w:sz w:val="24"/>
          <w:szCs w:val="24"/>
          <w:shd w:val="clear" w:fill="FFFFFF"/>
        </w:rPr>
        <w:t>五、公告期限</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rPr>
        <w:t>自本公告发布之日起</w:t>
      </w:r>
      <w:r>
        <w:rPr>
          <w:rFonts w:hint="eastAsia" w:ascii="仿宋" w:hAnsi="仿宋" w:eastAsia="仿宋" w:cs="仿宋"/>
          <w:i w:val="0"/>
          <w:caps w:val="0"/>
          <w:color w:val="auto"/>
          <w:spacing w:val="0"/>
          <w:sz w:val="24"/>
          <w:szCs w:val="24"/>
          <w:shd w:val="clear" w:fill="FFFFFF"/>
          <w:lang w:val="en-US" w:eastAsia="zh-CN"/>
        </w:rPr>
        <w:t>5</w:t>
      </w:r>
      <w:r>
        <w:rPr>
          <w:rFonts w:hint="eastAsia" w:ascii="仿宋" w:hAnsi="仿宋" w:eastAsia="仿宋" w:cs="仿宋"/>
          <w:i w:val="0"/>
          <w:caps w:val="0"/>
          <w:color w:val="auto"/>
          <w:spacing w:val="0"/>
          <w:sz w:val="24"/>
          <w:szCs w:val="24"/>
          <w:shd w:val="clear" w:fill="FFFFFF"/>
        </w:rPr>
        <w:t>个工作日。</w:t>
      </w:r>
    </w:p>
    <w:p>
      <w:pPr>
        <w:pStyle w:val="3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其他补充事宜</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1.获取招标文件请携带单位介绍信原件,经办人身份证原件及加盖供应商公章的复印件。</w:t>
      </w:r>
    </w:p>
    <w:p>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仿宋" w:hAnsi="仿宋" w:eastAsia="仿宋" w:cs="仿宋"/>
          <w:b/>
          <w:i w:val="0"/>
          <w:caps w:val="0"/>
          <w:color w:val="auto"/>
          <w:spacing w:val="0"/>
          <w:sz w:val="24"/>
          <w:szCs w:val="24"/>
          <w:shd w:val="clear" w:fill="FFFFFF"/>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0"/>
        <w:textAlignment w:val="auto"/>
        <w:outlineLvl w:val="9"/>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rPr>
        <w:t>七、对本次采购提出询问，请按以下方式联系。</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采购人信息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名称：蓝田县安村镇人民政府</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地址：西安市蓝田县安村镇巨东街道</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联系方式</w:t>
      </w:r>
      <w:r>
        <w:rPr>
          <w:rFonts w:hint="eastAsia" w:ascii="仿宋" w:hAnsi="仿宋" w:eastAsia="仿宋" w:cs="仿宋"/>
          <w:i w:val="0"/>
          <w:caps w:val="0"/>
          <w:color w:val="auto"/>
          <w:spacing w:val="0"/>
          <w:sz w:val="24"/>
          <w:szCs w:val="24"/>
          <w:shd w:val="clear" w:color="auto" w:fill="FFFFFF"/>
        </w:rPr>
        <w:t>：029-82905307</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rPr>
        <w:t>采购代理机构信息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名称：华夏国际项目管理有限公司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地址：西安市高新区科技五路8号数字大厦11楼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u w:val="none"/>
          <w:shd w:val="clear" w:color="auto" w:fill="FFFFFF"/>
          <w:lang w:val="en-US" w:eastAsia="zh-CN"/>
        </w:rPr>
      </w:pPr>
      <w:r>
        <w:rPr>
          <w:rFonts w:hint="eastAsia" w:ascii="仿宋" w:hAnsi="仿宋" w:eastAsia="仿宋" w:cs="仿宋"/>
          <w:i w:val="0"/>
          <w:caps w:val="0"/>
          <w:color w:val="auto"/>
          <w:spacing w:val="0"/>
          <w:sz w:val="24"/>
          <w:szCs w:val="24"/>
          <w:shd w:val="clear" w:color="auto" w:fill="FFFFFF"/>
        </w:rPr>
        <w:t>联系方式：029-88899970/72/73/75</w:t>
      </w:r>
      <w:r>
        <w:rPr>
          <w:rFonts w:hint="eastAsia" w:ascii="仿宋" w:hAnsi="仿宋" w:eastAsia="仿宋" w:cs="仿宋"/>
          <w:i w:val="0"/>
          <w:caps w:val="0"/>
          <w:color w:val="auto"/>
          <w:spacing w:val="0"/>
          <w:sz w:val="24"/>
          <w:szCs w:val="24"/>
          <w:shd w:val="clear" w:color="auto" w:fill="FFFFFF"/>
          <w:lang w:val="en-US" w:eastAsia="zh-CN"/>
        </w:rPr>
        <w:t>-816</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lang w:val="en-US" w:eastAsia="zh-CN"/>
        </w:rPr>
        <w:t>3.项目联系方式</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项目联系人：李莹</w:t>
      </w: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rPr>
        <w:t>张艳萍</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u w:val="none"/>
          <w:shd w:val="clear" w:color="auto" w:fill="FFFFFF"/>
        </w:rPr>
      </w:pPr>
      <w:r>
        <w:rPr>
          <w:rFonts w:hint="eastAsia" w:ascii="仿宋" w:hAnsi="仿宋" w:eastAsia="仿宋" w:cs="仿宋"/>
          <w:i w:val="0"/>
          <w:caps w:val="0"/>
          <w:color w:val="auto"/>
          <w:spacing w:val="0"/>
          <w:sz w:val="24"/>
          <w:szCs w:val="24"/>
          <w:shd w:val="clear" w:color="auto" w:fill="FFFFFF"/>
        </w:rPr>
        <w:t>联系方式：029-88899970/72/73/75-81</w:t>
      </w:r>
      <w:r>
        <w:rPr>
          <w:rFonts w:hint="eastAsia" w:ascii="仿宋" w:hAnsi="仿宋" w:eastAsia="仿宋" w:cs="仿宋"/>
          <w:i w:val="0"/>
          <w:caps w:val="0"/>
          <w:color w:val="auto"/>
          <w:spacing w:val="0"/>
          <w:sz w:val="24"/>
          <w:szCs w:val="24"/>
          <w:shd w:val="clear" w:color="auto" w:fill="FFFFFF"/>
          <w:lang w:val="en-US" w:eastAsia="zh-CN"/>
        </w:rPr>
        <w:t>6</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center"/>
        <w:textAlignment w:val="auto"/>
        <w:outlineLvl w:val="9"/>
        <w:rPr>
          <w:rFonts w:hint="eastAsia" w:ascii="仿宋" w:hAnsi="仿宋" w:eastAsia="仿宋" w:cs="仿宋"/>
          <w:i w:val="0"/>
          <w:caps w:val="0"/>
          <w:color w:val="333333"/>
          <w:spacing w:val="0"/>
          <w:sz w:val="24"/>
          <w:szCs w:val="24"/>
          <w:shd w:val="clear" w:fill="FFFFFF"/>
          <w:lang w:val="en-US" w:eastAsia="zh-CN"/>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rPr>
        <w:t>华夏国际项目管理有限公司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eastAsia="zh-CN"/>
        </w:rPr>
        <w:t>2022</w:t>
      </w:r>
      <w:r>
        <w:rPr>
          <w:rFonts w:hint="eastAsia" w:ascii="仿宋" w:hAnsi="仿宋" w:eastAsia="仿宋" w:cs="仿宋"/>
          <w:i w:val="0"/>
          <w:caps w:val="0"/>
          <w:color w:val="auto"/>
          <w:spacing w:val="0"/>
          <w:sz w:val="24"/>
          <w:szCs w:val="24"/>
          <w:shd w:val="clear" w:fill="FFFFFF"/>
        </w:rPr>
        <w:t>年</w:t>
      </w:r>
      <w:r>
        <w:rPr>
          <w:rFonts w:hint="eastAsia" w:ascii="仿宋" w:hAnsi="仿宋" w:eastAsia="仿宋" w:cs="仿宋"/>
          <w:i w:val="0"/>
          <w:caps w:val="0"/>
          <w:color w:val="auto"/>
          <w:spacing w:val="0"/>
          <w:sz w:val="24"/>
          <w:szCs w:val="24"/>
          <w:shd w:val="clear" w:fill="FFFFFF"/>
          <w:lang w:val="en-US" w:eastAsia="zh-CN"/>
        </w:rPr>
        <w:t>08</w:t>
      </w:r>
      <w:r>
        <w:rPr>
          <w:rFonts w:hint="eastAsia" w:ascii="仿宋" w:hAnsi="仿宋" w:eastAsia="仿宋" w:cs="仿宋"/>
          <w:i w:val="0"/>
          <w:caps w:val="0"/>
          <w:color w:val="auto"/>
          <w:spacing w:val="0"/>
          <w:sz w:val="24"/>
          <w:szCs w:val="24"/>
          <w:shd w:val="clear" w:fill="FFFFFF"/>
        </w:rPr>
        <w:t>月</w:t>
      </w:r>
      <w:r>
        <w:rPr>
          <w:rFonts w:hint="eastAsia" w:ascii="仿宋" w:hAnsi="仿宋" w:eastAsia="仿宋" w:cs="仿宋"/>
          <w:i w:val="0"/>
          <w:caps w:val="0"/>
          <w:color w:val="auto"/>
          <w:spacing w:val="0"/>
          <w:sz w:val="24"/>
          <w:szCs w:val="24"/>
          <w:shd w:val="clear" w:fill="FFFFFF"/>
          <w:lang w:val="en-US" w:eastAsia="zh-CN"/>
        </w:rPr>
        <w:t>19</w:t>
      </w:r>
      <w:r>
        <w:rPr>
          <w:rFonts w:hint="eastAsia" w:ascii="仿宋" w:hAnsi="仿宋" w:eastAsia="仿宋" w:cs="仿宋"/>
          <w:i w:val="0"/>
          <w:caps w:val="0"/>
          <w:color w:val="auto"/>
          <w:spacing w:val="0"/>
          <w:sz w:val="24"/>
          <w:szCs w:val="24"/>
          <w:shd w:val="clear" w:fill="FFFFFF"/>
        </w:rPr>
        <w:t>日</w:t>
      </w:r>
    </w:p>
    <w:p>
      <w:pPr>
        <w:pStyle w:val="3"/>
        <w:keepNext w:val="0"/>
        <w:pageBreakBefore/>
        <w:spacing w:line="350" w:lineRule="auto"/>
        <w:jc w:val="center"/>
        <w:rPr>
          <w:rFonts w:hint="eastAsia" w:ascii="仿宋" w:hAnsi="仿宋" w:eastAsia="仿宋" w:cs="仿宋"/>
        </w:rPr>
      </w:pPr>
      <w:r>
        <w:rPr>
          <w:rFonts w:hint="eastAsia" w:ascii="仿宋" w:hAnsi="仿宋" w:eastAsia="仿宋" w:cs="仿宋"/>
        </w:rPr>
        <w:t>第二章</w:t>
      </w:r>
      <w:r>
        <w:rPr>
          <w:rFonts w:hint="eastAsia" w:ascii="仿宋" w:hAnsi="仿宋" w:eastAsia="仿宋" w:cs="仿宋"/>
          <w:lang w:val="en-US" w:eastAsia="zh-CN"/>
        </w:rPr>
        <w:t xml:space="preserve">  </w:t>
      </w:r>
      <w:r>
        <w:rPr>
          <w:rFonts w:hint="eastAsia" w:ascii="仿宋" w:hAnsi="仿宋" w:eastAsia="仿宋" w:cs="仿宋"/>
        </w:rPr>
        <w:t>投标人须知</w:t>
      </w:r>
      <w:bookmarkEnd w:id="11"/>
      <w:bookmarkEnd w:id="12"/>
    </w:p>
    <w:p>
      <w:pPr>
        <w:spacing w:line="360" w:lineRule="auto"/>
        <w:jc w:val="center"/>
        <w:outlineLvl w:val="1"/>
        <w:rPr>
          <w:rFonts w:hint="eastAsia" w:ascii="仿宋" w:hAnsi="仿宋" w:eastAsia="仿宋" w:cs="仿宋"/>
          <w:b/>
          <w:bCs/>
          <w:sz w:val="28"/>
          <w:szCs w:val="28"/>
        </w:rPr>
      </w:pPr>
      <w:bookmarkStart w:id="13" w:name="_Toc420591642"/>
      <w:bookmarkStart w:id="14" w:name="_Toc17687"/>
      <w:bookmarkStart w:id="15" w:name="_Toc421778364"/>
      <w:bookmarkStart w:id="16" w:name="_Toc1429"/>
      <w:r>
        <w:rPr>
          <w:rFonts w:hint="eastAsia" w:ascii="仿宋" w:hAnsi="仿宋" w:eastAsia="仿宋" w:cs="仿宋"/>
          <w:b/>
          <w:bCs/>
          <w:sz w:val="28"/>
          <w:szCs w:val="28"/>
        </w:rPr>
        <w:t>投标人须知前附表</w:t>
      </w:r>
      <w:bookmarkEnd w:id="13"/>
      <w:bookmarkEnd w:id="14"/>
      <w:bookmarkEnd w:id="15"/>
      <w:bookmarkEnd w:id="16"/>
    </w:p>
    <w:tbl>
      <w:tblPr>
        <w:tblStyle w:val="3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
        <w:gridCol w:w="2490"/>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招标人</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招标人：</w:t>
            </w:r>
            <w:r>
              <w:rPr>
                <w:rFonts w:hint="eastAsia" w:ascii="仿宋" w:hAnsi="仿宋" w:eastAsia="仿宋" w:cs="仿宋"/>
                <w:color w:val="auto"/>
                <w:sz w:val="24"/>
                <w:szCs w:val="24"/>
                <w:lang w:eastAsia="zh-CN"/>
              </w:rPr>
              <w:t>蓝田县安村镇人民政府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址：西安市蓝田县安村镇巨东街道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联系人：薛老师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color w:val="auto"/>
                <w:sz w:val="24"/>
                <w:szCs w:val="24"/>
                <w:lang w:val="en-US" w:eastAsia="zh-CN"/>
              </w:rPr>
              <w:t>联系方式：029-82905307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招标代理机构</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华夏国际项目管理有限公司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西安市高新区科技五路</w:t>
            </w:r>
            <w:r>
              <w:rPr>
                <w:rFonts w:hint="eastAsia" w:ascii="仿宋" w:hAnsi="仿宋" w:eastAsia="仿宋" w:cs="仿宋"/>
                <w:color w:val="auto"/>
                <w:sz w:val="24"/>
                <w:szCs w:val="24"/>
                <w:lang w:val="en-US" w:eastAsia="zh-CN"/>
              </w:rPr>
              <w:t>8号数字大厦11楼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联系人：李莹、张艳萍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highlight w:val="none"/>
              </w:rPr>
              <w:t>88899970</w:t>
            </w:r>
            <w:r>
              <w:rPr>
                <w:rFonts w:hint="eastAsia" w:ascii="仿宋" w:hAnsi="仿宋" w:eastAsia="仿宋" w:cs="仿宋"/>
                <w:color w:val="auto"/>
                <w:sz w:val="24"/>
                <w:szCs w:val="24"/>
                <w:highlight w:val="none"/>
                <w:lang w:val="en-US" w:eastAsia="zh-CN"/>
              </w:rPr>
              <w:t>/72/73/75-816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建设地点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蓝田县安村镇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资金来源</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出资比例</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政府投资100%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采购预算</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13380679.71元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招标范围</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蓝田县“安村设施蔬菜产业园”项目</w:t>
            </w:r>
            <w:r>
              <w:rPr>
                <w:rFonts w:hint="eastAsia" w:ascii="仿宋" w:hAnsi="仿宋" w:eastAsia="仿宋" w:cs="仿宋"/>
                <w:color w:val="auto"/>
                <w:sz w:val="24"/>
                <w:szCs w:val="24"/>
                <w:highlight w:val="none"/>
              </w:rPr>
              <w:t>施工设计图及工程量清单范围内包含的内容。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计划工期</w:t>
            </w:r>
          </w:p>
        </w:tc>
        <w:tc>
          <w:tcPr>
            <w:tcW w:w="6240"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自合同签订之日起3个月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质量标准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bookmarkStart w:id="17" w:name="OLE_LINK34"/>
            <w:bookmarkStart w:id="18" w:name="OLE_LINK18"/>
            <w:r>
              <w:rPr>
                <w:rFonts w:hint="eastAsia" w:ascii="仿宋" w:hAnsi="仿宋" w:eastAsia="仿宋" w:cs="仿宋"/>
                <w:color w:val="auto"/>
                <w:kern w:val="0"/>
                <w:sz w:val="24"/>
                <w:szCs w:val="24"/>
              </w:rPr>
              <w:t>符合国家现行有关施工质量验收规范“合格”要求。</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资质证明文件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1、基本资格条件：符合《中华人民共和国政府采购法》第二十二条的规定，并提供以下资料；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提供合格有效的法人或者其他组织的营业执照等证明文件，自然人的身份证明</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是法人或其他组织的应提供营业执照等证明文件，</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是自然人的应提供有效的自然人身份证明</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w:t>
            </w:r>
            <w:r>
              <w:rPr>
                <w:rFonts w:hint="eastAsia" w:ascii="仿宋" w:hAnsi="仿宋" w:eastAsia="仿宋" w:cs="仿宋"/>
                <w:b w:val="0"/>
                <w:bCs w:val="0"/>
                <w:color w:val="auto"/>
                <w:kern w:val="0"/>
                <w:sz w:val="24"/>
                <w:szCs w:val="24"/>
                <w:highlight w:val="none"/>
                <w:lang w:val="en-US" w:eastAsia="zh-CN" w:bidi="ar-SA"/>
              </w:rPr>
              <w:t>2020或2021年度</w:t>
            </w:r>
            <w:r>
              <w:rPr>
                <w:rFonts w:hint="eastAsia" w:ascii="仿宋" w:hAnsi="仿宋" w:eastAsia="仿宋" w:cs="仿宋"/>
                <w:color w:val="auto"/>
                <w:kern w:val="0"/>
                <w:sz w:val="24"/>
                <w:szCs w:val="24"/>
                <w:lang w:val="en-US" w:eastAsia="zh-CN"/>
              </w:rPr>
              <w:t>经</w:t>
            </w:r>
            <w:r>
              <w:rPr>
                <w:rFonts w:hint="eastAsia" w:ascii="仿宋" w:hAnsi="仿宋" w:eastAsia="仿宋" w:cs="仿宋"/>
                <w:b w:val="0"/>
                <w:bCs w:val="0"/>
                <w:color w:val="auto"/>
                <w:sz w:val="24"/>
                <w:szCs w:val="24"/>
                <w:highlight w:val="none"/>
                <w:lang w:val="en-US" w:eastAsia="zh-CN"/>
              </w:rPr>
              <w:t>审计</w:t>
            </w:r>
            <w:r>
              <w:rPr>
                <w:rFonts w:hint="eastAsia" w:ascii="仿宋" w:hAnsi="仿宋" w:eastAsia="仿宋" w:cs="仿宋"/>
                <w:color w:val="auto"/>
                <w:kern w:val="0"/>
                <w:sz w:val="24"/>
                <w:szCs w:val="24"/>
                <w:lang w:val="en-US" w:eastAsia="zh-CN"/>
              </w:rPr>
              <w:t>的财务报告（成立时间至提交投标文件截止时间不足一年的可提供成立后任意时段的资产负债表），或其基本存款账户开户银行出具的资信证明及基本存款账户开户许可证（基本账户信息）；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提供具有履行合同所必需的设备和专业技术能力的承诺；（格式自拟）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提供投标截止日前一年内已缴纳的至少一个月的纳税证明或完税证明，依法免税的单位应提供相关证明材料；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lang w:val="en-US" w:eastAsia="zh-CN"/>
              </w:rPr>
              <w:t>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lang w:val="en-US" w:eastAsia="zh-CN"/>
              </w:rPr>
              <w:t>参加政府采购活动前3年内，在经营活动中没有重大违法记录的书面声明。</w:t>
            </w:r>
            <w:r>
              <w:rPr>
                <w:rFonts w:hint="eastAsia" w:ascii="仿宋" w:hAnsi="仿宋" w:eastAsia="仿宋" w:cs="仿宋"/>
                <w:b w:val="0"/>
                <w:bCs w:val="0"/>
                <w:color w:val="auto"/>
                <w:sz w:val="24"/>
                <w:szCs w:val="24"/>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3、特定资格条件：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val="en-US" w:eastAsia="zh-CN"/>
              </w:rPr>
              <w:t>法定代</w:t>
            </w:r>
            <w:r>
              <w:rPr>
                <w:rFonts w:hint="eastAsia" w:ascii="仿宋" w:hAnsi="仿宋" w:eastAsia="仿宋" w:cs="仿宋"/>
                <w:color w:val="auto"/>
                <w:sz w:val="24"/>
                <w:szCs w:val="24"/>
                <w:lang w:val="en-US" w:eastAsia="zh-CN"/>
              </w:rPr>
              <w:t>表人授权书（附法定代表人、被授权人身份证复印件）及被授权人身份证（法定代表人直接参加投标，须</w:t>
            </w:r>
            <w:r>
              <w:rPr>
                <w:rFonts w:hint="eastAsia" w:ascii="仿宋" w:hAnsi="仿宋" w:eastAsia="仿宋" w:cs="仿宋"/>
                <w:color w:val="auto"/>
                <w:sz w:val="24"/>
                <w:szCs w:val="24"/>
                <w:highlight w:val="none"/>
                <w:lang w:val="en-US" w:eastAsia="zh-CN"/>
              </w:rPr>
              <w:t>提供法定代表人身份证明及身份证原件）；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具备建设行政主管部门颁发的建筑工程施工总承包三级及以上资质证书，同时具有合格有效的安全生产许可证；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省外企业需提供在陕西省建筑市场监管与诚信信息一体化平台上登记备案且备案信息有效；</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拟派项目经理须具有建筑工程专业二级及以上注册建造师证书和有效的安全生产考核证书（B证）且无在建工程、无不良记录（提供无在建工程、无不良记录承</w:t>
            </w:r>
            <w:r>
              <w:rPr>
                <w:rFonts w:hint="eastAsia" w:ascii="仿宋" w:hAnsi="仿宋" w:eastAsia="仿宋" w:cs="仿宋"/>
                <w:color w:val="auto"/>
                <w:sz w:val="24"/>
                <w:szCs w:val="24"/>
                <w:highlight w:val="none"/>
              </w:rPr>
              <w:t>诺书）；</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供应商未被“信用中国”网站（www.creditchina.gov.cn）列入失信被执行人和重大税收违法失信主体，未被中国政府采购网（www.ccgp.gov.cn）列入政府采购严重违法失信行为记录名单；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4"/>
                <w:szCs w:val="24"/>
                <w:highlight w:val="none"/>
              </w:rPr>
              <w:t>以上为必备</w:t>
            </w:r>
            <w:r>
              <w:rPr>
                <w:rFonts w:hint="eastAsia" w:ascii="仿宋" w:hAnsi="仿宋" w:eastAsia="仿宋" w:cs="仿宋"/>
                <w:b/>
                <w:color w:val="auto"/>
                <w:sz w:val="24"/>
                <w:szCs w:val="24"/>
                <w:highlight w:val="none"/>
                <w:lang w:eastAsia="zh-CN"/>
              </w:rPr>
              <w:t>资格要求</w:t>
            </w:r>
            <w:r>
              <w:rPr>
                <w:rFonts w:hint="eastAsia" w:ascii="仿宋" w:hAnsi="仿宋" w:eastAsia="仿宋" w:cs="仿宋"/>
                <w:b/>
                <w:color w:val="auto"/>
                <w:sz w:val="24"/>
                <w:szCs w:val="24"/>
                <w:highlight w:val="none"/>
              </w:rPr>
              <w:t>，缺一项或某项达不到要求，按无效</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处理。除法定代表人授权书需将原件装订在投标文件正本中外，其他所有资质证件的复印件必须加盖单位公章附在投标文件中。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未注明要求原件</w:t>
            </w: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highlight w:val="none"/>
                <w:lang w:val="en-US" w:eastAsia="zh-CN"/>
              </w:rPr>
              <w:t>特定资格条件2、3、4除外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的资格证明文件，在开标后的任何时间，评标委员会都有权随时要求审查原件</w:t>
            </w: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highlight w:val="none"/>
                <w:lang w:val="en-US" w:eastAsia="zh-CN"/>
              </w:rPr>
              <w:t>特定资格条件2、3、4除外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，如果不能按规定时间提供，</w:t>
            </w:r>
            <w:r>
              <w:rPr>
                <w:rFonts w:hint="eastAsia" w:ascii="仿宋" w:hAnsi="仿宋" w:eastAsia="仿宋" w:cs="仿宋"/>
                <w:b w:val="0"/>
                <w:bCs/>
                <w:color w:val="auto"/>
                <w:sz w:val="24"/>
                <w:szCs w:val="24"/>
                <w:highlight w:val="none"/>
                <w:lang w:eastAsia="zh-CN"/>
              </w:rPr>
              <w:t>对投标人造成的不利后果</w:t>
            </w:r>
            <w:r>
              <w:rPr>
                <w:rFonts w:hint="eastAsia" w:ascii="仿宋" w:hAnsi="仿宋" w:eastAsia="仿宋" w:cs="仿宋"/>
                <w:color w:val="auto"/>
                <w:sz w:val="24"/>
                <w:szCs w:val="24"/>
                <w:lang w:eastAsia="zh-CN"/>
              </w:rPr>
              <w:t>由投标人自行承担</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240" w:type="dxa"/>
            <w:vAlign w:val="center"/>
          </w:tcPr>
          <w:p>
            <w:pPr>
              <w:pStyle w:val="14"/>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自行踏勘</w:t>
            </w:r>
          </w:p>
          <w:p>
            <w:pPr>
              <w:pStyle w:val="14"/>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联系人：薛老师</w:t>
            </w:r>
          </w:p>
          <w:p>
            <w:pPr>
              <w:pStyle w:val="14"/>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联系方式：029-82905307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投标答疑会</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不召开；若有疑问，均应在投标截止时间10日内以书面形式向招标代理机构提出。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评标办法</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其他材料</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澄清、修改、答疑文件、施工图纸、招标工程量清单等相关材料。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投标人对招标文件的疑问</w:t>
            </w:r>
          </w:p>
        </w:tc>
        <w:tc>
          <w:tcPr>
            <w:tcW w:w="6240"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招标人澄清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招标文件的截止时间</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构成投标文件的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其他材料</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投标人按照招标文件的要求认为有利于投标的材料。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工程计价方式</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工程量清单综合单价法，按《陕西省建设工程工程量清单计价规则》（2009）计价</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3.2.4</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本工程</w:t>
            </w:r>
            <w:r>
              <w:rPr>
                <w:rFonts w:hint="eastAsia" w:ascii="仿宋" w:hAnsi="仿宋" w:eastAsia="仿宋" w:cs="仿宋"/>
                <w:color w:val="auto"/>
                <w:sz w:val="24"/>
                <w:szCs w:val="24"/>
                <w:lang w:eastAsia="zh-CN"/>
              </w:rPr>
              <w:t>计划</w:t>
            </w:r>
            <w:r>
              <w:rPr>
                <w:rFonts w:hint="eastAsia" w:ascii="仿宋" w:hAnsi="仿宋" w:eastAsia="仿宋" w:cs="仿宋"/>
                <w:color w:val="auto"/>
                <w:sz w:val="24"/>
                <w:szCs w:val="24"/>
              </w:rPr>
              <w:t>开工日期</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9</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代理服务费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国家计委颁发的《招标代理服务收费管理暂行办法》（计价格[2002]1980号）和国家发展改革委员会办公厅颁发的《关于招标代理服务收费有关问题的通知》（发改办价格[2003]857号）的有关规定执行。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由采购人支付，在</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公告发布后向采购代理机构一次性支付招标代理服务费。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90日历天（从投标</w:t>
            </w:r>
            <w:r>
              <w:rPr>
                <w:rFonts w:hint="eastAsia" w:ascii="仿宋" w:hAnsi="仿宋" w:eastAsia="仿宋" w:cs="仿宋"/>
                <w:color w:val="auto"/>
                <w:sz w:val="24"/>
                <w:szCs w:val="24"/>
                <w:lang w:eastAsia="zh-CN"/>
              </w:rPr>
              <w:t>文件递交</w:t>
            </w:r>
            <w:r>
              <w:rPr>
                <w:rFonts w:hint="eastAsia" w:ascii="仿宋" w:hAnsi="仿宋" w:eastAsia="仿宋" w:cs="仿宋"/>
                <w:color w:val="auto"/>
                <w:sz w:val="24"/>
                <w:szCs w:val="24"/>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w:t>
            </w:r>
            <w:r>
              <w:rPr>
                <w:rFonts w:hint="eastAsia" w:ascii="仿宋" w:hAnsi="仿宋" w:eastAsia="仿宋" w:cs="仿宋"/>
                <w:color w:val="auto"/>
                <w:sz w:val="24"/>
                <w:szCs w:val="24"/>
                <w:lang w:val="en-US" w:eastAsia="zh-CN"/>
              </w:rPr>
              <w:t>目</w:t>
            </w:r>
            <w:r>
              <w:rPr>
                <w:rFonts w:hint="eastAsia" w:ascii="仿宋" w:hAnsi="仿宋" w:eastAsia="仿宋" w:cs="仿宋"/>
                <w:color w:val="auto"/>
                <w:sz w:val="24"/>
                <w:szCs w:val="24"/>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是否允许递交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备选投标方案</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允许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签字或盖章要求</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投标文件封面、投标函及其它有要求处必须加盖投标人公章并经法定代表人或其委托代理人签字或盖章。</w:t>
            </w:r>
            <w:bookmarkStart w:id="19" w:name="_Toc34351134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投标文件应无涂改或行间插字和增删。如确需修改，修改处必须由投标人加盖投标人公章并经法定代表人或其委托代理人签字或盖章。</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3.6.4</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正本的份数：壹份；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副本的份数：</w:t>
            </w:r>
            <w:r>
              <w:rPr>
                <w:rFonts w:hint="eastAsia" w:ascii="仿宋" w:hAnsi="仿宋" w:eastAsia="仿宋" w:cs="仿宋"/>
                <w:color w:val="auto"/>
                <w:sz w:val="24"/>
                <w:szCs w:val="24"/>
                <w:lang w:eastAsia="zh-CN"/>
              </w:rPr>
              <w:t>贰</w:t>
            </w:r>
            <w:r>
              <w:rPr>
                <w:rFonts w:hint="eastAsia" w:ascii="仿宋" w:hAnsi="仿宋" w:eastAsia="仿宋" w:cs="仿宋"/>
                <w:color w:val="auto"/>
                <w:sz w:val="24"/>
                <w:szCs w:val="24"/>
              </w:rPr>
              <w:t>份</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壹</w:t>
            </w:r>
            <w:r>
              <w:rPr>
                <w:rFonts w:hint="eastAsia" w:ascii="仿宋" w:hAnsi="仿宋" w:eastAsia="仿宋" w:cs="仿宋"/>
                <w:color w:val="auto"/>
                <w:sz w:val="24"/>
                <w:szCs w:val="24"/>
                <w:highlight w:val="none"/>
                <w:lang w:eastAsia="zh-CN"/>
              </w:rPr>
              <w:t>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电子版（U盘）：壹份（需在盘面上标注</w:t>
            </w:r>
            <w:r>
              <w:rPr>
                <w:rFonts w:hint="eastAsia" w:ascii="仿宋" w:hAnsi="仿宋" w:eastAsia="仿宋" w:cs="仿宋"/>
                <w:color w:val="auto"/>
                <w:sz w:val="24"/>
                <w:szCs w:val="24"/>
                <w:highlight w:val="none"/>
                <w:lang w:val="en-US" w:eastAsia="zh-CN"/>
              </w:rPr>
              <w:t>投标人全称、项目名称、编号）</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电子版包括：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（1）word版投标文件；</w:t>
            </w:r>
          </w:p>
          <w:p>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（2）投标文件正本签字盖章后的PDF格式扫描件，与正本具有同等法律效力。</w:t>
            </w:r>
          </w:p>
          <w:p>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lang w:val="en-US" w:eastAsia="zh-CN"/>
              </w:rPr>
              <w:t>（3）广联达GCCP6.0（6.3000.23.110）正版计价软件导出的报价表、已报价的电子标书。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密封要求</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投标人</w:t>
            </w:r>
            <w:r>
              <w:rPr>
                <w:rFonts w:hint="eastAsia" w:ascii="仿宋" w:hAnsi="仿宋" w:eastAsia="仿宋" w:cs="仿宋"/>
                <w:sz w:val="24"/>
                <w:szCs w:val="24"/>
              </w:rPr>
              <w:t>应将投标文件正本、所有的副本、电子版本、开标一览表分别单独密封在封袋中（封袋不得有破损）。封袋应加贴封条，并在封线处加盖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封套上写明</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rPr>
              <w:t>1、招标人名称：</w:t>
            </w:r>
            <w:r>
              <w:rPr>
                <w:rFonts w:hint="eastAsia" w:ascii="仿宋" w:hAnsi="仿宋" w:eastAsia="仿宋" w:cs="仿宋"/>
                <w:color w:val="auto"/>
                <w:sz w:val="24"/>
                <w:szCs w:val="24"/>
                <w:lang w:eastAsia="zh-CN"/>
              </w:rPr>
              <w:t>蓝田县安村镇人民政府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2、投标人名称以及标注“正本”、“副本”、“开标一览表”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“电子版”字样，密封处应加盖投标人公章。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投标文件在</w:t>
            </w:r>
            <w:r>
              <w:rPr>
                <w:rFonts w:hint="eastAsia" w:ascii="仿宋" w:hAnsi="仿宋" w:eastAsia="仿宋" w:cs="仿宋"/>
                <w:color w:val="auto"/>
                <w:sz w:val="24"/>
                <w:szCs w:val="24"/>
                <w:highlight w:val="none"/>
                <w:u w:val="single"/>
                <w:lang w:eastAsia="zh-CN"/>
              </w:rPr>
              <w:t>20</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递交投标文件截止时间、地点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lang w:val="en-US" w:eastAsia="zh-CN"/>
              </w:rPr>
              <w:t>见招标公告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6240" w:type="dxa"/>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开标时间：</w:t>
            </w:r>
            <w:r>
              <w:rPr>
                <w:rFonts w:hint="eastAsia" w:ascii="仿宋" w:hAnsi="仿宋" w:eastAsia="仿宋" w:cs="仿宋"/>
                <w:color w:val="auto"/>
                <w:sz w:val="24"/>
                <w:szCs w:val="24"/>
                <w:highlight w:val="none"/>
                <w:lang w:val="en-US" w:eastAsia="zh-CN"/>
              </w:rPr>
              <w:t>同投标文件递交截止时间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z w:val="24"/>
                <w:szCs w:val="24"/>
                <w:highlight w:val="none"/>
                <w:lang w:val="en-US" w:eastAsia="zh-CN"/>
              </w:rPr>
              <w:t>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由招标人代表和具备相关专业的专家等</w:t>
            </w:r>
            <w:r>
              <w:rPr>
                <w:rFonts w:hint="eastAsia" w:ascii="仿宋" w:hAnsi="仿宋" w:eastAsia="仿宋" w:cs="仿宋"/>
                <w:color w:val="auto"/>
                <w:sz w:val="24"/>
                <w:szCs w:val="24"/>
                <w:highlight w:val="none"/>
              </w:rPr>
              <w:t>5人以上单数</w:t>
            </w:r>
            <w:r>
              <w:rPr>
                <w:rFonts w:hint="eastAsia" w:ascii="仿宋" w:hAnsi="仿宋" w:eastAsia="仿宋" w:cs="仿宋"/>
                <w:color w:val="auto"/>
                <w:sz w:val="24"/>
                <w:szCs w:val="24"/>
              </w:rPr>
              <w:t>组成评标委员会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其中采购人代表须持有授权书。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确定中标人</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否,</w:t>
            </w:r>
            <w:bookmarkStart w:id="20" w:name="OLE_LINK6"/>
            <w:r>
              <w:rPr>
                <w:rFonts w:hint="eastAsia" w:ascii="仿宋" w:hAnsi="仿宋" w:eastAsia="仿宋" w:cs="仿宋"/>
                <w:color w:val="auto"/>
                <w:sz w:val="24"/>
                <w:szCs w:val="24"/>
                <w:highlight w:val="none"/>
              </w:rPr>
              <w:t>推荐3名中标候选人</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履约担保</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履约担保的形式：/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履约担保的金额：/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7.3.2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支付担保</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担保的形式：/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支付</w:t>
            </w:r>
            <w:r>
              <w:rPr>
                <w:rFonts w:hint="eastAsia" w:ascii="仿宋" w:hAnsi="仿宋" w:eastAsia="仿宋" w:cs="仿宋"/>
                <w:color w:val="auto"/>
                <w:sz w:val="24"/>
                <w:szCs w:val="24"/>
                <w:highlight w:val="none"/>
              </w:rPr>
              <w:t>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7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是否实行计算机辅助评标</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知识产权</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重新招标的其他情形</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11.4</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同义词语</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11.5</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解释权</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本招标文件由招标人和</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11.7</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highlight w:val="none"/>
                <w:lang w:val="en-US" w:eastAsia="zh-CN"/>
              </w:rPr>
              <w:t>招标代理服务费账户</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户名：华夏国际项目管理有限公司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开户行：中国光大银行西安南二环支行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账号：78620188000097418</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lang w:val="en-US" w:eastAsia="zh-CN"/>
              </w:rPr>
              <w:t>请采购人按照要求将招标代理服务费汇入以上指定账户</w:t>
            </w:r>
            <w:bookmarkStart w:id="272" w:name="_GoBack"/>
            <w:bookmarkEnd w:id="272"/>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11.8</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采购项目需要落实的政府采购政策</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11.9</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招标代理服务费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国家计委颁发的《招标代理服务收费管理暂行办法》（计价格[2002]1980号）和国家发展改革委员会办公厅颁发的《关于招标代理服务收费有关问题的通知》（发改办价格[2003]857号）的有关规定执行。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由采购人支付，在中标公告发布后向采购代理机构一次性支付招标代理服务费。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11.10</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4"/>
                <w:szCs w:val="24"/>
                <w:highlight w:val="none"/>
                <w:lang w:val="en-US" w:eastAsia="zh-CN"/>
              </w:rPr>
            </w:pPr>
            <w:bookmarkStart w:id="21" w:name="_Toc1185"/>
            <w:r>
              <w:rPr>
                <w:rFonts w:hint="eastAsia" w:ascii="仿宋" w:hAnsi="仿宋" w:eastAsia="仿宋" w:cs="仿宋"/>
                <w:b w:val="0"/>
                <w:bCs w:val="0"/>
                <w:color w:val="auto"/>
                <w:sz w:val="24"/>
                <w:szCs w:val="24"/>
                <w:highlight w:val="none"/>
                <w:lang w:val="en-US" w:eastAsia="zh-CN"/>
              </w:rPr>
              <w:t>信用担保</w:t>
            </w:r>
            <w:bookmarkEnd w:id="21"/>
            <w:r>
              <w:rPr>
                <w:rFonts w:hint="eastAsia" w:ascii="仿宋" w:hAnsi="仿宋" w:eastAsia="仿宋" w:cs="仿宋"/>
                <w:b w:val="0"/>
                <w:bCs w:val="0"/>
                <w:color w:val="auto"/>
                <w:sz w:val="24"/>
                <w:szCs w:val="24"/>
                <w:highlight w:val="none"/>
                <w:lang w:val="en-US" w:eastAsia="zh-CN"/>
              </w:rPr>
              <w:t>及信用融资</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11.11</w:t>
            </w:r>
          </w:p>
        </w:tc>
        <w:tc>
          <w:tcPr>
            <w:tcW w:w="2493"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w:t>
            </w:r>
          </w:p>
        </w:tc>
        <w:tc>
          <w:tcPr>
            <w:tcW w:w="6240" w:type="dxa"/>
            <w:vAlign w:val="center"/>
          </w:tcPr>
          <w:p>
            <w:pPr>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（1）本项目专门面向中小企业采购。</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（2）本项目属性为工程。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（3）本项目采购标的所属行业为：</w:t>
            </w:r>
            <w:r>
              <w:rPr>
                <w:rFonts w:hint="eastAsia" w:ascii="仿宋" w:hAnsi="仿宋" w:eastAsia="仿宋" w:cs="仿宋"/>
                <w:color w:val="auto"/>
                <w:sz w:val="24"/>
                <w:szCs w:val="24"/>
                <w:highlight w:val="none"/>
                <w:u w:val="single"/>
                <w:lang w:val="en-US" w:eastAsia="zh-CN"/>
              </w:rPr>
              <w:t xml:space="preserve"> 建筑业 </w:t>
            </w:r>
            <w:r>
              <w:rPr>
                <w:rFonts w:hint="eastAsia" w:ascii="仿宋" w:hAnsi="仿宋" w:eastAsia="仿宋" w:cs="仿宋"/>
                <w:color w:val="auto"/>
                <w:sz w:val="24"/>
                <w:szCs w:val="24"/>
                <w:highlight w:val="none"/>
                <w:u w:val="none"/>
                <w:lang w:val="en-US" w:eastAsia="zh-CN"/>
              </w:rPr>
              <w:t>。</w:t>
            </w:r>
          </w:p>
        </w:tc>
      </w:tr>
    </w:tbl>
    <w:p>
      <w:pPr>
        <w:spacing w:line="360" w:lineRule="auto"/>
        <w:jc w:val="left"/>
        <w:rPr>
          <w:rFonts w:hint="eastAsia" w:ascii="仿宋" w:hAnsi="仿宋" w:eastAsia="仿宋" w:cs="仿宋"/>
          <w:sz w:val="24"/>
          <w:szCs w:val="24"/>
        </w:rPr>
        <w:sectPr>
          <w:footerReference r:id="rId8" w:type="default"/>
          <w:pgSz w:w="11906" w:h="16838"/>
          <w:pgMar w:top="1417" w:right="1417" w:bottom="1417" w:left="1701" w:header="851" w:footer="992" w:gutter="0"/>
          <w:pgNumType w:fmt="decimal" w:start="1"/>
          <w:cols w:space="0" w:num="1"/>
          <w:docGrid w:type="lines" w:linePitch="312" w:charSpace="0"/>
        </w:sectPr>
      </w:pPr>
    </w:p>
    <w:p>
      <w:pPr>
        <w:pStyle w:val="3"/>
        <w:spacing w:line="360" w:lineRule="auto"/>
        <w:jc w:val="center"/>
        <w:rPr>
          <w:rFonts w:hint="eastAsia" w:ascii="仿宋" w:hAnsi="仿宋" w:eastAsia="仿宋" w:cs="仿宋"/>
          <w:sz w:val="32"/>
        </w:rPr>
      </w:pPr>
      <w:bookmarkStart w:id="22" w:name="_Toc18046"/>
      <w:bookmarkStart w:id="23" w:name="_Toc465432091"/>
      <w:bookmarkStart w:id="24" w:name="_Toc462213769"/>
      <w:bookmarkStart w:id="25" w:name="_Toc462213641"/>
      <w:bookmarkStart w:id="26" w:name="_Toc10069"/>
      <w:bookmarkStart w:id="27" w:name="_Toc425240464"/>
      <w:bookmarkStart w:id="28" w:name="_Toc420591643"/>
      <w:bookmarkStart w:id="29" w:name="_Toc421778365"/>
      <w:r>
        <w:rPr>
          <w:rFonts w:hint="eastAsia" w:ascii="仿宋" w:hAnsi="仿宋" w:eastAsia="仿宋" w:cs="仿宋"/>
          <w:sz w:val="32"/>
        </w:rPr>
        <w:t>投标人须知正文部分</w:t>
      </w:r>
      <w:bookmarkEnd w:id="22"/>
      <w:bookmarkEnd w:id="23"/>
      <w:bookmarkEnd w:id="24"/>
      <w:bookmarkEnd w:id="25"/>
      <w:bookmarkEnd w:id="26"/>
    </w:p>
    <w:p>
      <w:pPr>
        <w:spacing w:beforeLines="50" w:afterLines="50" w:line="360" w:lineRule="auto"/>
        <w:jc w:val="left"/>
        <w:outlineLvl w:val="1"/>
        <w:rPr>
          <w:rFonts w:hint="eastAsia" w:ascii="仿宋" w:hAnsi="仿宋" w:eastAsia="仿宋" w:cs="仿宋"/>
          <w:b/>
          <w:bCs/>
          <w:sz w:val="24"/>
          <w:szCs w:val="24"/>
        </w:rPr>
      </w:pPr>
      <w:bookmarkStart w:id="30" w:name="_Toc511"/>
      <w:bookmarkStart w:id="31" w:name="_Toc12614"/>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．总则</w:t>
      </w:r>
      <w:bookmarkEnd w:id="27"/>
      <w:bookmarkEnd w:id="28"/>
      <w:bookmarkEnd w:id="29"/>
      <w:bookmarkEnd w:id="30"/>
      <w:bookmarkEnd w:id="31"/>
    </w:p>
    <w:p>
      <w:pPr>
        <w:spacing w:line="360" w:lineRule="auto"/>
        <w:ind w:firstLine="482" w:firstLineChars="200"/>
        <w:outlineLvl w:val="2"/>
        <w:rPr>
          <w:rFonts w:hint="eastAsia" w:ascii="仿宋" w:hAnsi="仿宋" w:eastAsia="仿宋" w:cs="仿宋"/>
          <w:b/>
          <w:bCs/>
          <w:sz w:val="24"/>
          <w:szCs w:val="24"/>
        </w:rPr>
      </w:pPr>
      <w:bookmarkStart w:id="32" w:name="_Toc29220"/>
      <w:bookmarkStart w:id="33" w:name="_Toc22450"/>
      <w:r>
        <w:rPr>
          <w:rFonts w:hint="eastAsia" w:ascii="仿宋" w:hAnsi="仿宋" w:eastAsia="仿宋" w:cs="仿宋"/>
          <w:b/>
          <w:bCs/>
          <w:sz w:val="24"/>
          <w:szCs w:val="24"/>
        </w:rPr>
        <w:t>1.1 项目概况</w:t>
      </w:r>
      <w:bookmarkEnd w:id="32"/>
      <w:bookmarkEnd w:id="3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 根据《中华人民共和国政府采购法》、《中华人民共和国</w:t>
      </w:r>
      <w:r>
        <w:rPr>
          <w:rFonts w:hint="eastAsia" w:ascii="仿宋" w:hAnsi="仿宋" w:eastAsia="仿宋" w:cs="仿宋"/>
          <w:sz w:val="24"/>
          <w:szCs w:val="24"/>
          <w:lang w:eastAsia="zh-CN"/>
        </w:rPr>
        <w:t>招标投标法</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《中华人民共和国招标投标法实施条例》等有关法律、法规和规章的规定，本招标项目已具备招标条件，现对本招标项目施工进行招标。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 本招标项目招标人：见投标人须知前附表。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 本招标项目</w:t>
      </w:r>
      <w:r>
        <w:rPr>
          <w:rFonts w:hint="eastAsia" w:ascii="仿宋" w:hAnsi="仿宋" w:eastAsia="仿宋" w:cs="仿宋"/>
          <w:sz w:val="24"/>
          <w:szCs w:val="24"/>
          <w:lang w:eastAsia="zh-CN"/>
        </w:rPr>
        <w:t>招标代理机构</w:t>
      </w:r>
      <w:r>
        <w:rPr>
          <w:rFonts w:hint="eastAsia" w:ascii="仿宋" w:hAnsi="仿宋" w:eastAsia="仿宋" w:cs="仿宋"/>
          <w:sz w:val="24"/>
          <w:szCs w:val="24"/>
        </w:rPr>
        <w:t>：见投标人须知前附表。</w:t>
      </w:r>
    </w:p>
    <w:p>
      <w:pPr>
        <w:tabs>
          <w:tab w:val="left" w:pos="7665"/>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sz w:val="24"/>
          <w:szCs w:val="24"/>
        </w:rPr>
        <w:t>1.1.4本</w:t>
      </w:r>
      <w:r>
        <w:rPr>
          <w:rFonts w:hint="eastAsia" w:ascii="仿宋" w:hAnsi="仿宋" w:eastAsia="仿宋" w:cs="仿宋"/>
          <w:sz w:val="24"/>
          <w:szCs w:val="24"/>
          <w:lang w:eastAsia="zh-CN"/>
        </w:rPr>
        <w:t>招标</w:t>
      </w:r>
      <w:r>
        <w:rPr>
          <w:rFonts w:hint="eastAsia" w:ascii="仿宋" w:hAnsi="仿宋" w:eastAsia="仿宋" w:cs="仿宋"/>
          <w:color w:val="auto"/>
          <w:sz w:val="24"/>
          <w:szCs w:val="24"/>
        </w:rPr>
        <w:t>项目监督机构：</w:t>
      </w:r>
      <w:r>
        <w:rPr>
          <w:rFonts w:hint="eastAsia" w:ascii="仿宋" w:hAnsi="仿宋" w:eastAsia="仿宋" w:cs="仿宋"/>
          <w:color w:val="auto"/>
          <w:sz w:val="24"/>
          <w:szCs w:val="22"/>
          <w:highlight w:val="none"/>
          <w:lang w:val="en-US" w:eastAsia="zh-CN"/>
        </w:rPr>
        <w:t>同级人民政府财政部门及有关部门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r>
        <w:rPr>
          <w:rFonts w:hint="eastAsia" w:ascii="仿宋" w:hAnsi="仿宋" w:eastAsia="仿宋" w:cs="仿宋"/>
          <w:sz w:val="24"/>
          <w:szCs w:val="24"/>
        </w:rPr>
        <w:t>本招标项目建设地点：见投标人须知前附表。</w:t>
      </w:r>
    </w:p>
    <w:p>
      <w:pPr>
        <w:spacing w:line="360" w:lineRule="auto"/>
        <w:ind w:firstLine="482" w:firstLineChars="200"/>
        <w:outlineLvl w:val="2"/>
        <w:rPr>
          <w:rFonts w:hint="eastAsia" w:ascii="仿宋" w:hAnsi="仿宋" w:eastAsia="仿宋" w:cs="仿宋"/>
          <w:b/>
          <w:bCs/>
          <w:sz w:val="24"/>
          <w:szCs w:val="24"/>
        </w:rPr>
      </w:pPr>
      <w:bookmarkStart w:id="34" w:name="_Toc343"/>
      <w:bookmarkStart w:id="35" w:name="_Toc30006"/>
      <w:r>
        <w:rPr>
          <w:rFonts w:hint="eastAsia" w:ascii="仿宋" w:hAnsi="仿宋" w:eastAsia="仿宋" w:cs="仿宋"/>
          <w:b/>
          <w:bCs/>
          <w:sz w:val="24"/>
          <w:szCs w:val="24"/>
        </w:rPr>
        <w:t>1.2 资金来源和落实情况</w:t>
      </w:r>
      <w:bookmarkEnd w:id="34"/>
      <w:bookmarkEnd w:id="35"/>
    </w:p>
    <w:p>
      <w:pPr>
        <w:spacing w:line="360" w:lineRule="auto"/>
        <w:ind w:firstLine="420"/>
        <w:rPr>
          <w:rFonts w:hint="eastAsia" w:ascii="仿宋" w:hAnsi="仿宋" w:eastAsia="仿宋" w:cs="仿宋"/>
          <w:sz w:val="24"/>
        </w:rPr>
      </w:pPr>
      <w:r>
        <w:rPr>
          <w:rFonts w:hint="eastAsia" w:ascii="仿宋" w:hAnsi="仿宋" w:eastAsia="仿宋" w:cs="仿宋"/>
          <w:sz w:val="24"/>
        </w:rPr>
        <w:t>1.2.1 本招标项目的资金来源：见投标人须知前附表。</w:t>
      </w:r>
    </w:p>
    <w:p>
      <w:pPr>
        <w:spacing w:line="360" w:lineRule="auto"/>
        <w:ind w:firstLine="420"/>
        <w:rPr>
          <w:rFonts w:hint="eastAsia" w:ascii="仿宋" w:hAnsi="仿宋" w:eastAsia="仿宋" w:cs="仿宋"/>
          <w:sz w:val="24"/>
        </w:rPr>
      </w:pPr>
      <w:r>
        <w:rPr>
          <w:rFonts w:hint="eastAsia" w:ascii="仿宋" w:hAnsi="仿宋" w:eastAsia="仿宋" w:cs="仿宋"/>
          <w:sz w:val="24"/>
        </w:rPr>
        <w:t>1.2.2 本招标项目的出资比例：见投标人须知前附表。</w:t>
      </w:r>
    </w:p>
    <w:p>
      <w:pPr>
        <w:spacing w:line="360" w:lineRule="auto"/>
        <w:ind w:firstLine="420"/>
        <w:rPr>
          <w:rFonts w:hint="eastAsia" w:ascii="仿宋" w:hAnsi="仿宋" w:eastAsia="仿宋" w:cs="仿宋"/>
          <w:sz w:val="24"/>
        </w:rPr>
      </w:pPr>
      <w:r>
        <w:rPr>
          <w:rFonts w:hint="eastAsia" w:ascii="仿宋" w:hAnsi="仿宋" w:eastAsia="仿宋" w:cs="仿宋"/>
          <w:sz w:val="24"/>
        </w:rPr>
        <w:t>1.2.3 本招标项目的资金落实情况：见投标人须知前附表。</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rPr>
        <w:t>1.2.4 本招标项目的</w:t>
      </w:r>
      <w:r>
        <w:rPr>
          <w:rFonts w:hint="eastAsia" w:ascii="仿宋" w:hAnsi="仿宋" w:eastAsia="仿宋" w:cs="仿宋"/>
          <w:sz w:val="24"/>
          <w:lang w:val="en-US" w:eastAsia="zh-CN"/>
        </w:rPr>
        <w:t>采购预算</w:t>
      </w:r>
      <w:r>
        <w:rPr>
          <w:rFonts w:hint="eastAsia" w:ascii="仿宋" w:hAnsi="仿宋" w:eastAsia="仿宋" w:cs="仿宋"/>
          <w:sz w:val="24"/>
        </w:rPr>
        <w:t>：见投标人须知前附表。</w:t>
      </w:r>
    </w:p>
    <w:p>
      <w:pPr>
        <w:spacing w:line="360" w:lineRule="auto"/>
        <w:ind w:firstLine="482" w:firstLineChars="200"/>
        <w:outlineLvl w:val="2"/>
        <w:rPr>
          <w:rFonts w:hint="eastAsia" w:ascii="仿宋" w:hAnsi="仿宋" w:eastAsia="仿宋" w:cs="仿宋"/>
          <w:b/>
          <w:bCs/>
          <w:sz w:val="24"/>
          <w:szCs w:val="24"/>
        </w:rPr>
      </w:pPr>
      <w:bookmarkStart w:id="36" w:name="_Toc4540"/>
      <w:bookmarkStart w:id="37" w:name="_Toc7690"/>
      <w:r>
        <w:rPr>
          <w:rFonts w:hint="eastAsia" w:ascii="仿宋" w:hAnsi="仿宋" w:eastAsia="仿宋" w:cs="仿宋"/>
          <w:b/>
          <w:bCs/>
          <w:sz w:val="24"/>
          <w:szCs w:val="24"/>
        </w:rPr>
        <w:t>1.3 招标范围、计划工期和质量要求</w:t>
      </w:r>
      <w:bookmarkEnd w:id="36"/>
      <w:bookmarkEnd w:id="3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本次招标范围：见投标人须知前附表。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 本招标项目的计划工期：</w:t>
      </w:r>
      <w:bookmarkStart w:id="38" w:name="OLE_LINK8"/>
      <w:r>
        <w:rPr>
          <w:rFonts w:hint="eastAsia" w:ascii="仿宋" w:hAnsi="仿宋" w:eastAsia="仿宋" w:cs="仿宋"/>
          <w:sz w:val="24"/>
          <w:szCs w:val="24"/>
        </w:rPr>
        <w:t>见投标人须知前附表。</w:t>
      </w:r>
      <w:bookmarkEnd w:id="3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本招标项目的质量要求：见投标人须知前附表。</w:t>
      </w:r>
    </w:p>
    <w:p>
      <w:pPr>
        <w:spacing w:line="360" w:lineRule="auto"/>
        <w:ind w:firstLine="482" w:firstLineChars="200"/>
        <w:outlineLvl w:val="2"/>
        <w:rPr>
          <w:rFonts w:hint="eastAsia" w:ascii="仿宋" w:hAnsi="仿宋" w:eastAsia="仿宋" w:cs="仿宋"/>
          <w:b/>
          <w:bCs/>
          <w:sz w:val="24"/>
          <w:szCs w:val="24"/>
        </w:rPr>
      </w:pPr>
      <w:bookmarkStart w:id="39" w:name="_Toc10791"/>
      <w:bookmarkStart w:id="40" w:name="_Toc27134"/>
      <w:r>
        <w:rPr>
          <w:rFonts w:hint="eastAsia" w:ascii="仿宋" w:hAnsi="仿宋" w:eastAsia="仿宋" w:cs="仿宋"/>
          <w:b/>
          <w:bCs/>
          <w:sz w:val="24"/>
          <w:szCs w:val="24"/>
        </w:rPr>
        <w:t>1.4 投标人资格要求</w:t>
      </w:r>
      <w:bookmarkEnd w:id="39"/>
      <w:bookmarkEnd w:id="4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1.4.1资格审查条件：见投标人须知前附表。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w:t>
      </w:r>
      <w:r>
        <w:rPr>
          <w:rFonts w:hint="eastAsia" w:ascii="仿宋" w:hAnsi="仿宋" w:eastAsia="仿宋" w:cs="仿宋"/>
          <w:sz w:val="24"/>
          <w:lang w:val="en-US" w:eastAsia="zh-CN"/>
        </w:rPr>
        <w:t>2</w:t>
      </w:r>
      <w:r>
        <w:rPr>
          <w:rFonts w:hint="eastAsia" w:ascii="仿宋" w:hAnsi="仿宋" w:eastAsia="仿宋" w:cs="仿宋"/>
          <w:sz w:val="24"/>
        </w:rPr>
        <w:t xml:space="preserve"> 投标人不得存在下列情形之一，否则，按有关法律、法规处理。</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（1）为招标人不具有独立法人资格的附属机构（单位）；</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（2）为本招标项目前期准备提供设计或咨询服务的，但设计施工总承包的除外；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（3）为本招标项目的监理人；</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（4）为本招标项目的代建人；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（5）为本招标项目提供招标代理服务的；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（6）与本招标项目的监理人或代建人或招标代理机构同为一个法定代表人的；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（7）与本招标项目的监理人或代建人或招标代理机构相互控股或参股的；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（8）与本招标项目的监理人或代建人或招标代理机构相互任职或工作的；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（9）被责令停业的；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 xml:space="preserve">（10）被暂停或取消投标资格的； </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（11）财产被接管或冻结的；</w:t>
      </w:r>
    </w:p>
    <w:p>
      <w:pPr>
        <w:spacing w:line="360" w:lineRule="auto"/>
        <w:ind w:firstLine="410" w:firstLineChars="171"/>
        <w:rPr>
          <w:rFonts w:hint="eastAsia" w:ascii="仿宋" w:hAnsi="仿宋" w:eastAsia="仿宋" w:cs="仿宋"/>
          <w:sz w:val="24"/>
        </w:rPr>
      </w:pPr>
      <w:r>
        <w:rPr>
          <w:rFonts w:hint="eastAsia" w:ascii="仿宋" w:hAnsi="仿宋" w:eastAsia="仿宋" w:cs="仿宋"/>
          <w:sz w:val="24"/>
        </w:rPr>
        <w:t>（12）在最近三年内有骗取中标或严重违约或重大工程质量问题的。</w:t>
      </w:r>
    </w:p>
    <w:p>
      <w:pPr>
        <w:spacing w:line="360" w:lineRule="auto"/>
        <w:ind w:firstLine="482" w:firstLineChars="200"/>
        <w:outlineLvl w:val="2"/>
        <w:rPr>
          <w:rFonts w:hint="eastAsia" w:ascii="仿宋" w:hAnsi="仿宋" w:eastAsia="仿宋" w:cs="仿宋"/>
          <w:b/>
          <w:bCs/>
          <w:sz w:val="24"/>
          <w:szCs w:val="24"/>
        </w:rPr>
      </w:pPr>
      <w:bookmarkStart w:id="41" w:name="_Toc28514"/>
      <w:bookmarkStart w:id="42" w:name="_Toc23849"/>
      <w:r>
        <w:rPr>
          <w:rFonts w:hint="eastAsia" w:ascii="仿宋" w:hAnsi="仿宋" w:eastAsia="仿宋" w:cs="仿宋"/>
          <w:b/>
          <w:bCs/>
          <w:sz w:val="24"/>
          <w:szCs w:val="24"/>
        </w:rPr>
        <w:t>1.5 费用承担</w:t>
      </w:r>
      <w:bookmarkEnd w:id="41"/>
      <w:bookmarkEnd w:id="4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投标人准备和参加投标活动所发生的一切费用自理。</w:t>
      </w:r>
    </w:p>
    <w:p>
      <w:pPr>
        <w:spacing w:line="360" w:lineRule="auto"/>
        <w:ind w:firstLine="482" w:firstLineChars="200"/>
        <w:outlineLvl w:val="2"/>
        <w:rPr>
          <w:rFonts w:hint="eastAsia" w:ascii="仿宋" w:hAnsi="仿宋" w:eastAsia="仿宋" w:cs="仿宋"/>
          <w:b/>
          <w:bCs/>
          <w:sz w:val="24"/>
          <w:szCs w:val="24"/>
        </w:rPr>
      </w:pPr>
      <w:bookmarkStart w:id="43" w:name="_Toc10985"/>
      <w:bookmarkStart w:id="44" w:name="_Toc1793"/>
      <w:r>
        <w:rPr>
          <w:rFonts w:hint="eastAsia" w:ascii="仿宋" w:hAnsi="仿宋" w:eastAsia="仿宋" w:cs="仿宋"/>
          <w:b/>
          <w:bCs/>
          <w:sz w:val="24"/>
          <w:szCs w:val="24"/>
        </w:rPr>
        <w:t>1.6 保密</w:t>
      </w:r>
      <w:bookmarkEnd w:id="43"/>
      <w:bookmarkEnd w:id="4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pPr>
        <w:spacing w:line="360" w:lineRule="auto"/>
        <w:ind w:firstLine="482" w:firstLineChars="200"/>
        <w:outlineLvl w:val="2"/>
        <w:rPr>
          <w:rFonts w:hint="eastAsia" w:ascii="仿宋" w:hAnsi="仿宋" w:eastAsia="仿宋" w:cs="仿宋"/>
          <w:b/>
          <w:bCs/>
          <w:sz w:val="24"/>
          <w:szCs w:val="24"/>
        </w:rPr>
      </w:pPr>
      <w:bookmarkStart w:id="45" w:name="_Toc29346"/>
      <w:bookmarkStart w:id="46" w:name="_Toc9756"/>
      <w:r>
        <w:rPr>
          <w:rFonts w:hint="eastAsia" w:ascii="仿宋" w:hAnsi="仿宋" w:eastAsia="仿宋" w:cs="仿宋"/>
          <w:b/>
          <w:bCs/>
          <w:sz w:val="24"/>
          <w:szCs w:val="24"/>
        </w:rPr>
        <w:t>1.7 语言文字</w:t>
      </w:r>
      <w:bookmarkEnd w:id="45"/>
      <w:bookmarkEnd w:id="4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除专用术语外，与招标投标有关的语言均使用中文。必要时专用术语应附有中文注释。</w:t>
      </w:r>
    </w:p>
    <w:p>
      <w:pPr>
        <w:spacing w:line="360" w:lineRule="auto"/>
        <w:ind w:firstLine="482" w:firstLineChars="200"/>
        <w:outlineLvl w:val="2"/>
        <w:rPr>
          <w:rFonts w:hint="eastAsia" w:ascii="仿宋" w:hAnsi="仿宋" w:eastAsia="仿宋" w:cs="仿宋"/>
          <w:b/>
          <w:bCs/>
          <w:sz w:val="24"/>
          <w:szCs w:val="24"/>
        </w:rPr>
      </w:pPr>
      <w:bookmarkStart w:id="47" w:name="_Toc16086"/>
      <w:bookmarkStart w:id="48" w:name="_Toc6335"/>
      <w:r>
        <w:rPr>
          <w:rFonts w:hint="eastAsia" w:ascii="仿宋" w:hAnsi="仿宋" w:eastAsia="仿宋" w:cs="仿宋"/>
          <w:b/>
          <w:bCs/>
          <w:sz w:val="24"/>
          <w:szCs w:val="24"/>
        </w:rPr>
        <w:t>1.8 计量单位</w:t>
      </w:r>
      <w:bookmarkEnd w:id="47"/>
      <w:bookmarkEnd w:id="4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pPr>
        <w:spacing w:line="360" w:lineRule="auto"/>
        <w:ind w:firstLine="482" w:firstLineChars="200"/>
        <w:outlineLvl w:val="2"/>
        <w:rPr>
          <w:rFonts w:hint="eastAsia" w:ascii="仿宋" w:hAnsi="仿宋" w:eastAsia="仿宋" w:cs="仿宋"/>
          <w:b/>
          <w:bCs/>
          <w:color w:val="auto"/>
          <w:sz w:val="24"/>
          <w:szCs w:val="24"/>
        </w:rPr>
      </w:pPr>
      <w:bookmarkStart w:id="49" w:name="_Toc28348"/>
      <w:bookmarkStart w:id="50" w:name="_Toc10752"/>
      <w:r>
        <w:rPr>
          <w:rFonts w:hint="eastAsia" w:ascii="仿宋" w:hAnsi="仿宋" w:eastAsia="仿宋" w:cs="仿宋"/>
          <w:b/>
          <w:bCs/>
          <w:color w:val="auto"/>
          <w:sz w:val="24"/>
          <w:szCs w:val="24"/>
        </w:rPr>
        <w:t>1.9 踏勘现场</w:t>
      </w:r>
      <w:bookmarkEnd w:id="49"/>
      <w:bookmarkEnd w:id="50"/>
    </w:p>
    <w:p>
      <w:pPr>
        <w:spacing w:line="360" w:lineRule="auto"/>
        <w:ind w:firstLine="360" w:firstLineChars="150"/>
        <w:rPr>
          <w:rFonts w:hint="eastAsia" w:ascii="仿宋" w:hAnsi="仿宋" w:eastAsia="仿宋" w:cs="仿宋"/>
          <w:color w:val="auto"/>
          <w:sz w:val="24"/>
        </w:rPr>
      </w:pPr>
      <w:bookmarkStart w:id="51" w:name="_Toc14629"/>
      <w:bookmarkStart w:id="52" w:name="_Toc7228"/>
      <w:r>
        <w:rPr>
          <w:rFonts w:hint="eastAsia" w:ascii="仿宋" w:hAnsi="仿宋" w:eastAsia="仿宋" w:cs="仿宋"/>
          <w:color w:val="auto"/>
          <w:sz w:val="24"/>
        </w:rPr>
        <w:t xml:space="preserve">1.9.1 投标人须知前附表规定组织踏勘现场的，采购人按投标人须知前附表规定的时间、地点组织投标人踏勘项目现场。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1.9.2 投标人踏勘现场发生的费用自理。</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1.9.3 除</w:t>
      </w:r>
      <w:r>
        <w:rPr>
          <w:rFonts w:hint="eastAsia" w:ascii="仿宋" w:hAnsi="仿宋" w:eastAsia="仿宋" w:cs="仿宋"/>
          <w:color w:val="auto"/>
          <w:sz w:val="24"/>
          <w:lang w:val="en-US" w:eastAsia="zh-CN"/>
        </w:rPr>
        <w:t>招标</w:t>
      </w:r>
      <w:r>
        <w:rPr>
          <w:rFonts w:hint="eastAsia" w:ascii="仿宋" w:hAnsi="仿宋" w:eastAsia="仿宋" w:cs="仿宋"/>
          <w:color w:val="auto"/>
          <w:sz w:val="24"/>
        </w:rPr>
        <w:t>人的原因外，投标人自行负责在踏勘现场中所发生的人员伤亡和财产损失。</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1.9.4 采购人在踏勘现场中介绍的工程场地和相关的周边环境情况，供投标人在编制投标文件时参考，采购人不对投标人据此作出的判断和决策负责。</w:t>
      </w:r>
    </w:p>
    <w:p>
      <w:pPr>
        <w:spacing w:line="360" w:lineRule="auto"/>
        <w:ind w:firstLine="482" w:firstLineChars="200"/>
        <w:outlineLvl w:val="2"/>
        <w:rPr>
          <w:rFonts w:hint="eastAsia" w:ascii="仿宋" w:hAnsi="仿宋" w:eastAsia="仿宋" w:cs="仿宋"/>
          <w:b/>
          <w:bCs/>
          <w:color w:val="FF0000"/>
          <w:sz w:val="24"/>
          <w:szCs w:val="24"/>
          <w:lang w:eastAsia="zh-CN"/>
        </w:rPr>
      </w:pPr>
      <w:r>
        <w:rPr>
          <w:rFonts w:hint="eastAsia" w:ascii="仿宋" w:hAnsi="仿宋" w:eastAsia="仿宋" w:cs="仿宋"/>
          <w:b/>
          <w:bCs/>
          <w:sz w:val="24"/>
          <w:szCs w:val="24"/>
        </w:rPr>
        <w:t>1.10 投标答疑会</w:t>
      </w:r>
      <w:bookmarkEnd w:id="51"/>
      <w:bookmarkEnd w:id="5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本项目不召开投标答疑会，投标人对招标文件、工程量清单、施工图以及施工现场条件等的疑问和要求澄清的内容，均应在</w:t>
      </w:r>
      <w:r>
        <w:rPr>
          <w:rFonts w:hint="eastAsia" w:ascii="仿宋" w:hAnsi="仿宋" w:eastAsia="仿宋" w:cs="仿宋"/>
          <w:sz w:val="24"/>
          <w:szCs w:val="24"/>
          <w:lang w:eastAsia="zh-CN"/>
        </w:rPr>
        <w:t>投标截止时间</w:t>
      </w:r>
      <w:r>
        <w:rPr>
          <w:rFonts w:hint="eastAsia" w:ascii="仿宋" w:hAnsi="仿宋" w:eastAsia="仿宋" w:cs="仿宋"/>
          <w:sz w:val="24"/>
          <w:szCs w:val="24"/>
          <w:lang w:val="en-US" w:eastAsia="zh-CN"/>
        </w:rPr>
        <w:t>10日前</w:t>
      </w:r>
      <w:r>
        <w:rPr>
          <w:rFonts w:hint="eastAsia" w:ascii="仿宋" w:hAnsi="仿宋" w:eastAsia="仿宋" w:cs="仿宋"/>
          <w:sz w:val="24"/>
          <w:szCs w:val="24"/>
        </w:rPr>
        <w:t>以书面形式向</w:t>
      </w:r>
      <w:r>
        <w:rPr>
          <w:rFonts w:hint="eastAsia" w:ascii="仿宋" w:hAnsi="仿宋" w:eastAsia="仿宋" w:cs="仿宋"/>
          <w:sz w:val="24"/>
          <w:szCs w:val="24"/>
          <w:lang w:eastAsia="zh-CN"/>
        </w:rPr>
        <w:t>招标代理机构</w:t>
      </w:r>
      <w:r>
        <w:rPr>
          <w:rFonts w:hint="eastAsia" w:ascii="仿宋" w:hAnsi="仿宋" w:eastAsia="仿宋" w:cs="仿宋"/>
          <w:sz w:val="24"/>
          <w:szCs w:val="24"/>
        </w:rPr>
        <w:t>提出，招标人和</w:t>
      </w:r>
      <w:r>
        <w:rPr>
          <w:rFonts w:hint="eastAsia" w:ascii="仿宋" w:hAnsi="仿宋" w:eastAsia="仿宋" w:cs="仿宋"/>
          <w:sz w:val="24"/>
          <w:szCs w:val="24"/>
          <w:lang w:eastAsia="zh-CN"/>
        </w:rPr>
        <w:t>招标代理机构</w:t>
      </w:r>
      <w:r>
        <w:rPr>
          <w:rFonts w:hint="eastAsia" w:ascii="仿宋" w:hAnsi="仿宋" w:eastAsia="仿宋" w:cs="仿宋"/>
          <w:sz w:val="24"/>
          <w:szCs w:val="24"/>
        </w:rPr>
        <w:t>做出统一解答和必要澄清后在开标前7天以书面的《招标答疑纪要》发送所有投标人。答疑纪要为招标文件的组成部分，与招标文件具有同等法律效力。</w:t>
      </w:r>
      <w:bookmarkStart w:id="53" w:name="_Toc462213652"/>
      <w:bookmarkStart w:id="54" w:name="_Toc425240465"/>
      <w:bookmarkStart w:id="55" w:name="_Toc421778366"/>
      <w:bookmarkStart w:id="56" w:name="_Toc420591644"/>
    </w:p>
    <w:p>
      <w:pPr>
        <w:pStyle w:val="5"/>
        <w:spacing w:line="360" w:lineRule="auto"/>
        <w:ind w:firstLine="482" w:firstLineChars="200"/>
        <w:rPr>
          <w:rFonts w:hint="eastAsia" w:ascii="仿宋" w:hAnsi="仿宋" w:eastAsia="仿宋" w:cs="仿宋"/>
          <w:sz w:val="24"/>
          <w:szCs w:val="24"/>
        </w:rPr>
      </w:pPr>
      <w:bookmarkStart w:id="57" w:name="_Toc6635"/>
      <w:bookmarkStart w:id="58" w:name="_Toc6609"/>
      <w:r>
        <w:rPr>
          <w:rFonts w:hint="eastAsia" w:ascii="仿宋" w:hAnsi="仿宋" w:eastAsia="仿宋" w:cs="仿宋"/>
          <w:sz w:val="24"/>
          <w:szCs w:val="24"/>
        </w:rPr>
        <w:t>1.11 评标办法</w:t>
      </w:r>
      <w:bookmarkEnd w:id="53"/>
      <w:bookmarkEnd w:id="57"/>
      <w:bookmarkEnd w:id="58"/>
    </w:p>
    <w:p>
      <w:pPr>
        <w:spacing w:line="360" w:lineRule="auto"/>
        <w:ind w:firstLine="480"/>
        <w:rPr>
          <w:rFonts w:hint="eastAsia" w:ascii="仿宋" w:hAnsi="仿宋" w:eastAsia="仿宋" w:cs="仿宋"/>
          <w:sz w:val="24"/>
        </w:rPr>
      </w:pPr>
      <w:r>
        <w:rPr>
          <w:rFonts w:hint="eastAsia" w:ascii="仿宋" w:hAnsi="仿宋" w:eastAsia="仿宋" w:cs="仿宋"/>
          <w:sz w:val="24"/>
        </w:rPr>
        <w:t>1.11.1评标办法：见投标人须知前附表。</w:t>
      </w:r>
    </w:p>
    <w:p>
      <w:pPr>
        <w:spacing w:line="360" w:lineRule="auto"/>
        <w:ind w:firstLine="480"/>
        <w:rPr>
          <w:rFonts w:hint="eastAsia" w:ascii="仿宋" w:hAnsi="仿宋" w:eastAsia="仿宋" w:cs="仿宋"/>
          <w:b/>
          <w:bCs/>
          <w:sz w:val="24"/>
        </w:rPr>
      </w:pPr>
      <w:r>
        <w:rPr>
          <w:rFonts w:hint="eastAsia" w:ascii="仿宋" w:hAnsi="仿宋" w:eastAsia="仿宋" w:cs="仿宋"/>
          <w:sz w:val="24"/>
        </w:rPr>
        <w:t>1.11.2评标</w:t>
      </w:r>
      <w:r>
        <w:rPr>
          <w:rFonts w:hint="eastAsia" w:ascii="仿宋" w:hAnsi="仿宋" w:eastAsia="仿宋" w:cs="仿宋"/>
          <w:sz w:val="24"/>
          <w:lang w:eastAsia="zh-CN"/>
        </w:rPr>
        <w:t>细则</w:t>
      </w:r>
      <w:r>
        <w:rPr>
          <w:rFonts w:hint="eastAsia" w:ascii="仿宋" w:hAnsi="仿宋" w:eastAsia="仿宋" w:cs="仿宋"/>
          <w:sz w:val="24"/>
        </w:rPr>
        <w:t>：详见第三章</w:t>
      </w:r>
      <w:r>
        <w:rPr>
          <w:rFonts w:hint="eastAsia" w:ascii="仿宋" w:hAnsi="仿宋" w:eastAsia="仿宋" w:cs="仿宋"/>
          <w:b/>
          <w:bCs/>
          <w:sz w:val="24"/>
        </w:rPr>
        <w:t>。</w:t>
      </w:r>
    </w:p>
    <w:p>
      <w:pPr>
        <w:pStyle w:val="5"/>
        <w:spacing w:line="360" w:lineRule="auto"/>
        <w:ind w:firstLine="482" w:firstLineChars="200"/>
        <w:rPr>
          <w:rFonts w:hint="eastAsia" w:ascii="仿宋" w:hAnsi="仿宋" w:eastAsia="仿宋" w:cs="仿宋"/>
          <w:sz w:val="24"/>
          <w:szCs w:val="24"/>
        </w:rPr>
      </w:pPr>
      <w:bookmarkStart w:id="59" w:name="_Toc2090"/>
      <w:bookmarkStart w:id="60" w:name="_Toc462213653"/>
      <w:bookmarkStart w:id="61" w:name="_Toc5572"/>
      <w:r>
        <w:rPr>
          <w:rFonts w:hint="eastAsia" w:ascii="仿宋" w:hAnsi="仿宋" w:eastAsia="仿宋" w:cs="仿宋"/>
          <w:sz w:val="24"/>
          <w:szCs w:val="24"/>
        </w:rPr>
        <w:t>1.12 分包</w:t>
      </w:r>
      <w:bookmarkEnd w:id="59"/>
      <w:bookmarkEnd w:id="60"/>
      <w:bookmarkEnd w:id="61"/>
    </w:p>
    <w:p>
      <w:pPr>
        <w:spacing w:line="360" w:lineRule="auto"/>
        <w:ind w:firstLine="420"/>
        <w:rPr>
          <w:rFonts w:hint="eastAsia" w:ascii="仿宋" w:hAnsi="仿宋" w:eastAsia="仿宋" w:cs="仿宋"/>
          <w:sz w:val="24"/>
        </w:rPr>
      </w:pPr>
      <w:r>
        <w:rPr>
          <w:rFonts w:hint="eastAsia" w:ascii="仿宋" w:hAnsi="仿宋" w:eastAsia="仿宋" w:cs="仿宋"/>
          <w:sz w:val="24"/>
        </w:rPr>
        <w:t>本项目不允许分包。</w:t>
      </w:r>
    </w:p>
    <w:p>
      <w:pPr>
        <w:pStyle w:val="5"/>
        <w:spacing w:line="360" w:lineRule="auto"/>
        <w:ind w:firstLine="482" w:firstLineChars="200"/>
        <w:rPr>
          <w:rFonts w:hint="eastAsia" w:ascii="仿宋" w:hAnsi="仿宋" w:eastAsia="仿宋" w:cs="仿宋"/>
          <w:sz w:val="24"/>
          <w:szCs w:val="24"/>
          <w:lang w:val="en-US" w:eastAsia="zh-CN"/>
        </w:rPr>
      </w:pPr>
      <w:bookmarkStart w:id="62" w:name="_Toc28423"/>
      <w:bookmarkStart w:id="63" w:name="_Toc6698"/>
      <w:r>
        <w:rPr>
          <w:rFonts w:hint="eastAsia" w:ascii="仿宋" w:hAnsi="仿宋" w:eastAsia="仿宋" w:cs="仿宋"/>
          <w:sz w:val="24"/>
          <w:szCs w:val="24"/>
          <w:lang w:val="en-US" w:eastAsia="zh-CN"/>
        </w:rPr>
        <w:t>1.13偏离</w:t>
      </w:r>
      <w:bookmarkEnd w:id="62"/>
      <w:bookmarkEnd w:id="63"/>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不满足评标办法中初步评审标准的，视为发生重大偏离，其投标被否决。其余偏离视为细微偏离，评标委员会将通过澄清方式对细微偏离进行澄清或修改。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64" w:name="_Toc14937"/>
      <w:bookmarkStart w:id="65" w:name="_Toc25251"/>
      <w:r>
        <w:rPr>
          <w:rFonts w:hint="eastAsia" w:ascii="仿宋" w:hAnsi="仿宋" w:eastAsia="仿宋" w:cs="仿宋"/>
          <w:b/>
          <w:bCs/>
          <w:color w:val="auto"/>
          <w:sz w:val="24"/>
          <w:szCs w:val="24"/>
        </w:rPr>
        <w:t>2．招标文件</w:t>
      </w:r>
      <w:bookmarkEnd w:id="54"/>
      <w:bookmarkEnd w:id="55"/>
      <w:bookmarkEnd w:id="56"/>
      <w:bookmarkEnd w:id="64"/>
      <w:bookmarkEnd w:id="65"/>
    </w:p>
    <w:p>
      <w:pPr>
        <w:spacing w:line="360" w:lineRule="auto"/>
        <w:ind w:firstLine="482" w:firstLineChars="200"/>
        <w:outlineLvl w:val="2"/>
        <w:rPr>
          <w:rFonts w:hint="eastAsia" w:ascii="仿宋" w:hAnsi="仿宋" w:eastAsia="仿宋" w:cs="仿宋"/>
          <w:b/>
          <w:bCs/>
          <w:color w:val="auto"/>
          <w:sz w:val="24"/>
          <w:szCs w:val="24"/>
        </w:rPr>
      </w:pPr>
      <w:bookmarkStart w:id="66" w:name="_Toc4031"/>
      <w:bookmarkStart w:id="67" w:name="_Toc22469"/>
      <w:r>
        <w:rPr>
          <w:rFonts w:hint="eastAsia" w:ascii="仿宋" w:hAnsi="仿宋" w:eastAsia="仿宋" w:cs="仿宋"/>
          <w:b/>
          <w:bCs/>
          <w:color w:val="auto"/>
          <w:sz w:val="24"/>
          <w:szCs w:val="24"/>
        </w:rPr>
        <w:t>2.1 招标文件的组成</w:t>
      </w:r>
      <w:bookmarkEnd w:id="66"/>
      <w:bookmarkEnd w:id="67"/>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本招标文件包括：</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(1）招标公告；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(3）评标办法；</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合同条款及格式</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工程量清单</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图纸</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技术标准</w:t>
      </w:r>
      <w:r>
        <w:rPr>
          <w:rFonts w:hint="eastAsia" w:ascii="仿宋" w:hAnsi="仿宋" w:eastAsia="仿宋" w:cs="仿宋"/>
          <w:color w:val="auto"/>
          <w:sz w:val="24"/>
          <w:szCs w:val="24"/>
        </w:rPr>
        <w:t>及技术要求；</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）投标文件格式</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根据本章第1.10 款</w:t>
      </w:r>
      <w:r>
        <w:rPr>
          <w:rFonts w:hint="eastAsia" w:ascii="仿宋" w:hAnsi="仿宋" w:eastAsia="仿宋" w:cs="仿宋"/>
          <w:sz w:val="24"/>
          <w:szCs w:val="24"/>
          <w:lang w:eastAsia="zh-CN"/>
        </w:rPr>
        <w:t>和</w:t>
      </w:r>
      <w:r>
        <w:rPr>
          <w:rFonts w:hint="eastAsia" w:ascii="仿宋" w:hAnsi="仿宋" w:eastAsia="仿宋" w:cs="仿宋"/>
          <w:sz w:val="24"/>
          <w:szCs w:val="24"/>
        </w:rPr>
        <w:t>第2.2 款对招标文件所作的澄清、修改，构成招标文件的组成部分。</w:t>
      </w:r>
    </w:p>
    <w:p>
      <w:pPr>
        <w:spacing w:line="360" w:lineRule="auto"/>
        <w:ind w:firstLine="482" w:firstLineChars="200"/>
        <w:outlineLvl w:val="2"/>
        <w:rPr>
          <w:rFonts w:hint="eastAsia" w:ascii="仿宋" w:hAnsi="仿宋" w:eastAsia="仿宋" w:cs="仿宋"/>
          <w:b/>
          <w:bCs/>
          <w:sz w:val="24"/>
          <w:szCs w:val="24"/>
        </w:rPr>
      </w:pPr>
      <w:bookmarkStart w:id="68" w:name="_Toc13127"/>
      <w:bookmarkStart w:id="69" w:name="_Toc12033"/>
      <w:r>
        <w:rPr>
          <w:rFonts w:hint="eastAsia" w:ascii="仿宋" w:hAnsi="仿宋" w:eastAsia="仿宋" w:cs="仿宋"/>
          <w:b/>
          <w:bCs/>
          <w:sz w:val="24"/>
          <w:szCs w:val="24"/>
        </w:rPr>
        <w:t>2.2 招标文件的澄清及修改</w:t>
      </w:r>
      <w:bookmarkEnd w:id="68"/>
      <w:bookmarkEnd w:id="69"/>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2.2.1采购人</w:t>
      </w:r>
      <w:r>
        <w:rPr>
          <w:rFonts w:hint="eastAsia" w:ascii="仿宋" w:hAnsi="仿宋" w:eastAsia="仿宋" w:cs="仿宋"/>
          <w:color w:val="auto"/>
          <w:sz w:val="24"/>
          <w:szCs w:val="24"/>
          <w:lang w:eastAsia="zh-CN"/>
        </w:rPr>
        <w:t>或采购代理机构</w:t>
      </w:r>
      <w:r>
        <w:rPr>
          <w:rFonts w:hint="eastAsia" w:ascii="仿宋" w:hAnsi="仿宋" w:eastAsia="仿宋" w:cs="仿宋"/>
          <w:color w:val="auto"/>
          <w:sz w:val="24"/>
          <w:szCs w:val="24"/>
        </w:rPr>
        <w:t>如果对已发出的招标文件进行必要的澄清或者修改，将在原公告发布媒体上发布澄清公告。澄清或者修改的内容为招标文件的组成部分。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2.2.2澄清或者修改的内容可能影响投标文件编制的，采购代理机构将在投标截止时间至少15日前，以书面形式通知所有获取招标文件的潜在投标人；不足15日的，采购代理机构将顺延提交投标文件的截止时间。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2.2.3已经</w:t>
      </w:r>
      <w:r>
        <w:rPr>
          <w:rFonts w:hint="eastAsia" w:ascii="仿宋" w:hAnsi="仿宋" w:eastAsia="仿宋" w:cs="仿宋"/>
          <w:color w:val="auto"/>
          <w:sz w:val="24"/>
          <w:szCs w:val="24"/>
          <w:lang w:eastAsia="zh-CN"/>
        </w:rPr>
        <w:t>获取</w:t>
      </w:r>
      <w:r>
        <w:rPr>
          <w:rFonts w:hint="eastAsia" w:ascii="仿宋" w:hAnsi="仿宋" w:eastAsia="仿宋" w:cs="仿宋"/>
          <w:color w:val="auto"/>
          <w:sz w:val="24"/>
          <w:szCs w:val="24"/>
        </w:rPr>
        <w:t>招标文件的</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对招标文件有疑问的，</w:t>
      </w:r>
      <w:r>
        <w:rPr>
          <w:rFonts w:hint="eastAsia" w:ascii="仿宋" w:hAnsi="仿宋" w:eastAsia="仿宋" w:cs="仿宋"/>
          <w:color w:val="auto"/>
          <w:sz w:val="24"/>
        </w:rPr>
        <w:t>均应在</w:t>
      </w:r>
      <w:r>
        <w:rPr>
          <w:rFonts w:hint="eastAsia" w:ascii="仿宋" w:hAnsi="仿宋" w:eastAsia="仿宋" w:cs="仿宋"/>
          <w:color w:val="auto"/>
          <w:sz w:val="24"/>
          <w:lang w:eastAsia="zh-CN"/>
        </w:rPr>
        <w:t>投标截止日前</w:t>
      </w:r>
      <w:r>
        <w:rPr>
          <w:rFonts w:hint="eastAsia" w:ascii="仿宋" w:hAnsi="仿宋" w:eastAsia="仿宋" w:cs="仿宋"/>
          <w:color w:val="auto"/>
          <w:sz w:val="24"/>
          <w:lang w:val="en-US" w:eastAsia="zh-CN"/>
        </w:rPr>
        <w:t>10日</w:t>
      </w:r>
      <w:r>
        <w:rPr>
          <w:rFonts w:hint="eastAsia" w:ascii="仿宋" w:hAnsi="仿宋" w:eastAsia="仿宋" w:cs="仿宋"/>
          <w:color w:val="auto"/>
          <w:sz w:val="24"/>
        </w:rPr>
        <w:t>内以书面形式向采购代理机构提出</w:t>
      </w:r>
      <w:r>
        <w:rPr>
          <w:rFonts w:hint="eastAsia" w:ascii="仿宋" w:hAnsi="仿宋" w:eastAsia="仿宋" w:cs="仿宋"/>
          <w:color w:val="auto"/>
          <w:sz w:val="24"/>
          <w:lang w:eastAsia="zh-CN"/>
        </w:rPr>
        <w:t>，</w:t>
      </w:r>
      <w:r>
        <w:rPr>
          <w:rFonts w:hint="eastAsia" w:ascii="仿宋" w:hAnsi="仿宋" w:eastAsia="仿宋" w:cs="仿宋"/>
          <w:color w:val="auto"/>
          <w:sz w:val="24"/>
          <w:szCs w:val="24"/>
        </w:rPr>
        <w:t>采购代理机构将在</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日内</w:t>
      </w:r>
      <w:r>
        <w:rPr>
          <w:rFonts w:hint="eastAsia" w:ascii="仿宋" w:hAnsi="仿宋" w:eastAsia="仿宋" w:cs="仿宋"/>
          <w:color w:val="auto"/>
          <w:sz w:val="24"/>
          <w:szCs w:val="24"/>
          <w:lang w:eastAsia="zh-CN"/>
        </w:rPr>
        <w:t>采用适当方式予以澄清或以书面形式予以答复</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2.2.4投标人在收到上述通知后，应</w:t>
      </w:r>
      <w:r>
        <w:rPr>
          <w:rFonts w:hint="eastAsia" w:ascii="仿宋" w:hAnsi="仿宋" w:eastAsia="仿宋" w:cs="仿宋"/>
          <w:sz w:val="24"/>
          <w:szCs w:val="24"/>
          <w:lang w:eastAsia="zh-CN"/>
        </w:rPr>
        <w:t>立即</w:t>
      </w:r>
      <w:r>
        <w:rPr>
          <w:rFonts w:hint="eastAsia" w:ascii="仿宋" w:hAnsi="仿宋" w:eastAsia="仿宋" w:cs="仿宋"/>
          <w:sz w:val="24"/>
          <w:szCs w:val="24"/>
        </w:rPr>
        <w:t>向</w:t>
      </w:r>
      <w:r>
        <w:rPr>
          <w:rFonts w:hint="eastAsia" w:ascii="仿宋" w:hAnsi="仿宋" w:eastAsia="仿宋" w:cs="仿宋"/>
          <w:sz w:val="24"/>
          <w:szCs w:val="24"/>
          <w:lang w:eastAsia="zh-CN"/>
        </w:rPr>
        <w:t>招标代理机构</w:t>
      </w:r>
      <w:r>
        <w:rPr>
          <w:rFonts w:hint="eastAsia" w:ascii="仿宋" w:hAnsi="仿宋" w:eastAsia="仿宋" w:cs="仿宋"/>
          <w:sz w:val="24"/>
          <w:szCs w:val="24"/>
        </w:rPr>
        <w:t>回函确认。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rPr>
      </w:pPr>
      <w:bookmarkStart w:id="70" w:name="_Toc12195"/>
      <w:bookmarkStart w:id="71" w:name="_Toc421778367"/>
      <w:bookmarkStart w:id="72" w:name="_Toc425240466"/>
      <w:bookmarkStart w:id="73" w:name="_Toc28395"/>
      <w:bookmarkStart w:id="74" w:name="_Toc420591645"/>
      <w:r>
        <w:rPr>
          <w:rFonts w:hint="eastAsia" w:ascii="仿宋" w:hAnsi="仿宋" w:eastAsia="仿宋" w:cs="仿宋"/>
          <w:b/>
          <w:bCs/>
          <w:sz w:val="24"/>
          <w:szCs w:val="24"/>
        </w:rPr>
        <w:t>3．投标文件</w:t>
      </w:r>
      <w:bookmarkEnd w:id="70"/>
      <w:bookmarkEnd w:id="71"/>
      <w:bookmarkEnd w:id="72"/>
      <w:bookmarkEnd w:id="73"/>
      <w:bookmarkEnd w:id="74"/>
    </w:p>
    <w:p>
      <w:pPr>
        <w:pStyle w:val="12"/>
        <w:ind w:firstLine="482" w:firstLineChars="200"/>
        <w:outlineLvl w:val="2"/>
        <w:rPr>
          <w:rFonts w:hint="eastAsia" w:ascii="仿宋" w:hAnsi="仿宋" w:eastAsia="仿宋" w:cs="仿宋"/>
          <w:b/>
          <w:bCs/>
          <w:sz w:val="24"/>
          <w:szCs w:val="24"/>
        </w:rPr>
      </w:pPr>
      <w:bookmarkStart w:id="75" w:name="_Toc25037"/>
      <w:bookmarkStart w:id="76" w:name="_Toc20313"/>
      <w:r>
        <w:rPr>
          <w:rFonts w:hint="eastAsia" w:ascii="仿宋" w:hAnsi="仿宋" w:eastAsia="仿宋" w:cs="仿宋"/>
          <w:b/>
          <w:bCs/>
          <w:sz w:val="24"/>
          <w:szCs w:val="24"/>
        </w:rPr>
        <w:t>3.1 投标文件</w:t>
      </w:r>
      <w:r>
        <w:rPr>
          <w:rFonts w:hint="eastAsia" w:ascii="仿宋" w:hAnsi="仿宋" w:eastAsia="仿宋" w:cs="仿宋"/>
          <w:b/>
          <w:bCs/>
          <w:sz w:val="24"/>
          <w:szCs w:val="24"/>
          <w:lang w:eastAsia="zh-CN"/>
        </w:rPr>
        <w:t>的</w:t>
      </w:r>
      <w:r>
        <w:rPr>
          <w:rFonts w:hint="eastAsia" w:ascii="仿宋" w:hAnsi="仿宋" w:eastAsia="仿宋" w:cs="仿宋"/>
          <w:b/>
          <w:bCs/>
          <w:sz w:val="24"/>
          <w:szCs w:val="24"/>
        </w:rPr>
        <w:t>要求</w:t>
      </w:r>
      <w:bookmarkEnd w:id="75"/>
      <w:bookmarkEnd w:id="76"/>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投标文件应包括下列内容：</w:t>
      </w:r>
    </w:p>
    <w:p>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一、投标函</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二、开标一览表</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四、法人授权委托书</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五、已标价工程量清单</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六、商务响应与说明</w:t>
      </w:r>
    </w:p>
    <w:p>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七、</w:t>
      </w:r>
      <w:r>
        <w:rPr>
          <w:rFonts w:hint="eastAsia" w:ascii="仿宋" w:hAnsi="仿宋" w:eastAsia="仿宋" w:cs="仿宋"/>
          <w:color w:val="auto"/>
          <w:sz w:val="24"/>
          <w:szCs w:val="24"/>
          <w:lang w:eastAsia="zh-CN"/>
        </w:rPr>
        <w:t>承诺书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八、招标文件要求的其他文件或承诺</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九、其他可以证明投标人实力的文件</w:t>
      </w:r>
    </w:p>
    <w:p>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第二部分    技术标</w:t>
      </w:r>
    </w:p>
    <w:p>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一、投标人的基本情况介绍和资格声明</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二、投标人资格证明文件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三、投标保证金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rPr>
      </w:pPr>
      <w:bookmarkStart w:id="77" w:name="_Toc3633"/>
      <w:bookmarkStart w:id="78" w:name="_Toc11654"/>
      <w:r>
        <w:rPr>
          <w:rFonts w:hint="eastAsia" w:ascii="仿宋" w:hAnsi="仿宋" w:eastAsia="仿宋" w:cs="仿宋"/>
          <w:b/>
          <w:bCs/>
          <w:sz w:val="24"/>
          <w:szCs w:val="24"/>
        </w:rPr>
        <w:t>3.2 投标报价</w:t>
      </w:r>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3.2.1工程计价方式：见投标人须知前附表</w:t>
      </w:r>
    </w:p>
    <w:p>
      <w:pPr>
        <w:spacing w:line="560" w:lineRule="exact"/>
        <w:ind w:firstLine="496" w:firstLineChars="207"/>
        <w:rPr>
          <w:rFonts w:hint="eastAsia" w:ascii="仿宋" w:hAnsi="仿宋" w:eastAsia="仿宋" w:cs="仿宋"/>
          <w:color w:val="auto"/>
          <w:sz w:val="24"/>
          <w:szCs w:val="24"/>
        </w:rPr>
      </w:pPr>
      <w:r>
        <w:rPr>
          <w:rFonts w:hint="eastAsia" w:ascii="仿宋" w:hAnsi="仿宋" w:eastAsia="仿宋" w:cs="仿宋"/>
          <w:color w:val="auto"/>
          <w:sz w:val="24"/>
          <w:szCs w:val="24"/>
        </w:rPr>
        <w:t>3.2.2 投标人应按第五章“工程量清单”的要求填写。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3.2.3投标报价应按照施工图纸、工程量清单、补充通知、答疑纪要、合同条款、施工现场实际情况、拟定的施工方案或施工组织设计的相关内容及要求，并在满足招标文件要求的前提下，结合企业自身技术力量、设备装备水平</w:t>
      </w:r>
      <w:r>
        <w:rPr>
          <w:rFonts w:hint="eastAsia" w:ascii="仿宋" w:hAnsi="仿宋" w:eastAsia="仿宋" w:cs="仿宋"/>
          <w:sz w:val="24"/>
          <w:szCs w:val="24"/>
        </w:rPr>
        <w:t>、企业管理水平、市场价格行情自主报价。组价时应充分考虑相关费用在施工期间的政策调整、市场变动幅度、自然灾害、停电、停水、停工、窝工、施工现场条件及施工过程中发生的不可预见的风险因素，中标后综合单价不可作调整。</w:t>
      </w:r>
    </w:p>
    <w:p>
      <w:pPr>
        <w:spacing w:line="560" w:lineRule="exact"/>
        <w:ind w:firstLine="496" w:firstLineChars="207"/>
        <w:rPr>
          <w:rFonts w:hint="eastAsia" w:ascii="仿宋" w:hAnsi="仿宋" w:eastAsia="仿宋" w:cs="仿宋"/>
          <w:sz w:val="24"/>
          <w:szCs w:val="24"/>
        </w:rPr>
      </w:pPr>
      <w:r>
        <w:rPr>
          <w:rFonts w:hint="eastAsia" w:ascii="仿宋" w:hAnsi="仿宋" w:eastAsia="仿宋" w:cs="仿宋"/>
          <w:sz w:val="24"/>
          <w:szCs w:val="24"/>
        </w:rPr>
        <w:t>3.2.4</w:t>
      </w:r>
      <w:bookmarkStart w:id="79" w:name="OLE_LINK44"/>
      <w:r>
        <w:rPr>
          <w:rFonts w:hint="eastAsia" w:ascii="仿宋" w:hAnsi="仿宋" w:eastAsia="仿宋" w:cs="仿宋"/>
          <w:sz w:val="24"/>
          <w:szCs w:val="24"/>
        </w:rPr>
        <w:t>本工程</w:t>
      </w:r>
      <w:r>
        <w:rPr>
          <w:rFonts w:hint="eastAsia" w:ascii="仿宋" w:hAnsi="仿宋" w:eastAsia="仿宋" w:cs="仿宋"/>
          <w:sz w:val="24"/>
          <w:szCs w:val="24"/>
          <w:lang w:eastAsia="zh-CN"/>
        </w:rPr>
        <w:t>计划</w:t>
      </w:r>
      <w:r>
        <w:rPr>
          <w:rFonts w:hint="eastAsia" w:ascii="仿宋" w:hAnsi="仿宋" w:eastAsia="仿宋" w:cs="仿宋"/>
          <w:sz w:val="24"/>
          <w:szCs w:val="24"/>
        </w:rPr>
        <w:t>开</w:t>
      </w:r>
      <w:r>
        <w:rPr>
          <w:rFonts w:hint="eastAsia" w:ascii="仿宋" w:hAnsi="仿宋" w:eastAsia="仿宋" w:cs="仿宋"/>
          <w:color w:val="auto"/>
          <w:sz w:val="24"/>
          <w:szCs w:val="24"/>
        </w:rPr>
        <w:t>工日期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见投标人须知前附表，投标组价时应妥善</w:t>
      </w:r>
      <w:r>
        <w:rPr>
          <w:rFonts w:hint="eastAsia" w:ascii="仿宋" w:hAnsi="仿宋" w:eastAsia="仿宋" w:cs="仿宋"/>
          <w:sz w:val="24"/>
          <w:szCs w:val="24"/>
        </w:rPr>
        <w:t>考虑，正式施工时固定综合单价不因国家法律、行政法规和国家政策变化及原材料市场价发生变化等进行调整。</w:t>
      </w:r>
    </w:p>
    <w:bookmarkEnd w:id="79"/>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w:t>
      </w:r>
      <w:bookmarkStart w:id="80" w:name="OLE_LINK24"/>
      <w:r>
        <w:rPr>
          <w:rFonts w:hint="eastAsia" w:ascii="仿宋" w:hAnsi="仿宋" w:eastAsia="仿宋" w:cs="仿宋"/>
          <w:color w:val="auto"/>
          <w:sz w:val="24"/>
          <w:szCs w:val="24"/>
        </w:rPr>
        <w:t>5投标人应按招标文件中提供的工程量清单数量进行计价，不得修改清单工程量。</w:t>
      </w:r>
    </w:p>
    <w:bookmarkEnd w:id="80"/>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3.2.6除非招标人或</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对招标文件予以修改，投标人应按本招标文件要求，依据</w:t>
      </w:r>
      <w:r>
        <w:rPr>
          <w:rFonts w:hint="eastAsia" w:ascii="仿宋" w:hAnsi="仿宋" w:eastAsia="仿宋" w:cs="仿宋"/>
          <w:color w:val="auto"/>
          <w:sz w:val="24"/>
          <w:szCs w:val="24"/>
          <w:highlight w:val="none"/>
        </w:rPr>
        <w:t>《陕西省建设工程工程量清单计价规则》（2009）</w:t>
      </w:r>
      <w:r>
        <w:rPr>
          <w:rFonts w:hint="eastAsia" w:ascii="仿宋" w:hAnsi="仿宋" w:eastAsia="仿宋" w:cs="仿宋"/>
          <w:color w:val="auto"/>
          <w:sz w:val="24"/>
          <w:szCs w:val="24"/>
        </w:rPr>
        <w:t>规定的计价办法填报单价和合价。每一分项工程只允许有一个报价，任何有选择的报价将不予接受。投标人未填单价或合价的分项工程（零报价），视为该项费用已包括在其他价款的单价或合价内，并在工程实施后，招标人将不予支付，承包人必须按发包人代表指令完成工程量清单中未填入单价或合价的工程分项；若投标人未填单价或合价的</w:t>
      </w:r>
      <w:r>
        <w:rPr>
          <w:rFonts w:hint="eastAsia" w:ascii="仿宋" w:hAnsi="仿宋" w:eastAsia="仿宋" w:cs="仿宋"/>
          <w:sz w:val="24"/>
          <w:szCs w:val="24"/>
        </w:rPr>
        <w:t>工程分项在实施中发生变更，无论变更增加或减少均按合同约定执行而且必须无条件执行发包人发出的变更通知。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3.2.7投标人应先到工地踏勘以充分了解项目位置、现状、道路、储存空间、装卸限制及任何其他足以影响投标价的情况，任何因投标人忽视或误解工地情况而导致的其提出的任何索赔或工期延长申请将不被批准。凡因投标人对招标文件阅读疏忽或误解，或因对施工现场、施工环境、市场行情等了解不清而造成的后果和风险，均由投标人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3.2.8编制投标报价的其他约定</w:t>
      </w:r>
    </w:p>
    <w:p>
      <w:pPr>
        <w:spacing w:line="360" w:lineRule="auto"/>
        <w:ind w:firstLine="480" w:firstLineChars="200"/>
        <w:rPr>
          <w:rFonts w:hint="eastAsia" w:ascii="仿宋" w:hAnsi="仿宋" w:eastAsia="仿宋" w:cs="仿宋"/>
          <w:sz w:val="24"/>
          <w:szCs w:val="24"/>
        </w:rPr>
      </w:pPr>
      <w:bookmarkStart w:id="81" w:name="OLE_LINK21"/>
      <w:r>
        <w:rPr>
          <w:rFonts w:hint="eastAsia" w:ascii="仿宋" w:hAnsi="仿宋" w:eastAsia="仿宋" w:cs="仿宋"/>
          <w:sz w:val="24"/>
          <w:szCs w:val="24"/>
        </w:rPr>
        <w:t>3.2.8.</w:t>
      </w:r>
      <w:bookmarkEnd w:id="81"/>
      <w:r>
        <w:rPr>
          <w:rFonts w:hint="eastAsia" w:ascii="仿宋" w:hAnsi="仿宋" w:eastAsia="仿宋" w:cs="仿宋"/>
          <w:sz w:val="24"/>
          <w:szCs w:val="24"/>
        </w:rPr>
        <w:t>1投标人根据自行确定的施工组织设计或施工方案进行自主报价。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3.2.8.2投标人应针对拟建工程编制保证安全施工、文明施工和环境保护的技术措施方案，并按招标文件的措施项目清单提供的数量报价。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3.2.8.3规费、税金为不可竞争费，投标人不可随意改动，按规定标准计取。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4</w:t>
      </w:r>
      <w:r>
        <w:rPr>
          <w:rFonts w:hint="eastAsia" w:ascii="仿宋" w:hAnsi="仿宋" w:eastAsia="仿宋" w:cs="仿宋"/>
          <w:sz w:val="24"/>
          <w:szCs w:val="24"/>
        </w:rPr>
        <w:t>投标人因承包本合同工程需缴纳的一切税费均由投标人自行承担，并包含在所报的单价或总价内。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5</w:t>
      </w:r>
      <w:r>
        <w:rPr>
          <w:rFonts w:hint="eastAsia" w:ascii="仿宋" w:hAnsi="仿宋" w:eastAsia="仿宋" w:cs="仿宋"/>
          <w:sz w:val="24"/>
          <w:szCs w:val="24"/>
        </w:rPr>
        <w:t>投标人应为建设工程和施工场地内自有人员及第三方人员生命财产及运至施工场地内用于工程的材料和待安装设备办理保险，投标人的投标价中应含的保险费，承包人装备险和承包人职工的（人身）事故险由投标人在其他项目清单保险费栏内自主列报，中标后包干使用。施工期间在施工区域内因非招标人原因发生的设备、材料、人员等的损害、伤害，招标人不再承担任何责任和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6</w:t>
      </w:r>
      <w:r>
        <w:rPr>
          <w:rFonts w:hint="eastAsia" w:ascii="仿宋" w:hAnsi="仿宋" w:eastAsia="仿宋" w:cs="仿宋"/>
          <w:sz w:val="24"/>
          <w:szCs w:val="24"/>
        </w:rPr>
        <w:t>投标报价中的总价要与综合单价相对应。所有工程量清单每个项目报价中的单价乘以工程量必须等于该项合价，合价累计必须等于合计。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3.2.8.</w:t>
      </w:r>
      <w:r>
        <w:rPr>
          <w:rFonts w:hint="eastAsia" w:ascii="仿宋" w:hAnsi="仿宋" w:eastAsia="仿宋" w:cs="仿宋"/>
          <w:sz w:val="24"/>
          <w:szCs w:val="24"/>
          <w:lang w:val="en-US" w:eastAsia="zh-CN"/>
        </w:rPr>
        <w:t>7</w:t>
      </w:r>
      <w:r>
        <w:rPr>
          <w:rFonts w:hint="eastAsia" w:ascii="仿宋" w:hAnsi="仿宋" w:eastAsia="仿宋" w:cs="仿宋"/>
          <w:sz w:val="24"/>
          <w:szCs w:val="24"/>
        </w:rPr>
        <w:t>投标函中的投标报价应与“投标总价”表中的投标总价数字相符，不允许在投标文件中出现两个报价。任何有选择的报价将不予接受,否则按无效投标处理。</w:t>
      </w:r>
      <w:bookmarkStart w:id="82" w:name="OLE_LINK113"/>
      <w:bookmarkStart w:id="83" w:name="OLE_LINK64"/>
      <w:bookmarkStart w:id="84" w:name="OLE_LINK20"/>
      <w:bookmarkStart w:id="85" w:name="OLE_LINK74"/>
      <w:bookmarkStart w:id="86" w:name="OLE_LINK114"/>
      <w:bookmarkStart w:id="87" w:name="OLE_LINK63"/>
    </w:p>
    <w:bookmarkEnd w:id="82"/>
    <w:bookmarkEnd w:id="83"/>
    <w:bookmarkEnd w:id="84"/>
    <w:bookmarkEnd w:id="85"/>
    <w:bookmarkEnd w:id="86"/>
    <w:bookmarkEnd w:id="87"/>
    <w:p>
      <w:pPr>
        <w:spacing w:line="360" w:lineRule="auto"/>
        <w:ind w:firstLine="482" w:firstLineChars="200"/>
        <w:outlineLvl w:val="2"/>
        <w:rPr>
          <w:rFonts w:hint="eastAsia" w:ascii="仿宋" w:hAnsi="仿宋" w:eastAsia="仿宋" w:cs="仿宋"/>
          <w:b/>
          <w:bCs/>
          <w:sz w:val="24"/>
          <w:szCs w:val="24"/>
        </w:rPr>
      </w:pPr>
      <w:bookmarkStart w:id="88" w:name="_Toc10242"/>
      <w:bookmarkStart w:id="89" w:name="_Toc25373"/>
      <w:r>
        <w:rPr>
          <w:rFonts w:hint="eastAsia" w:ascii="仿宋" w:hAnsi="仿宋" w:eastAsia="仿宋" w:cs="仿宋"/>
          <w:b/>
          <w:bCs/>
          <w:sz w:val="24"/>
          <w:szCs w:val="24"/>
        </w:rPr>
        <w:t>3.3 投标有效期</w:t>
      </w:r>
      <w:bookmarkEnd w:id="88"/>
      <w:bookmarkEnd w:id="8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在投标人须知前附表规定的投标有效期内，投标人不得要求撤销或修改其投标文件。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outlineLvl w:val="2"/>
        <w:rPr>
          <w:rFonts w:hint="eastAsia" w:ascii="仿宋" w:hAnsi="仿宋" w:eastAsia="仿宋" w:cs="仿宋"/>
          <w:b/>
          <w:bCs/>
          <w:sz w:val="24"/>
          <w:szCs w:val="24"/>
        </w:rPr>
      </w:pPr>
      <w:bookmarkStart w:id="90" w:name="_Toc23174"/>
      <w:bookmarkStart w:id="91" w:name="_Toc21169"/>
      <w:r>
        <w:rPr>
          <w:rFonts w:hint="eastAsia" w:ascii="仿宋" w:hAnsi="仿宋" w:eastAsia="仿宋" w:cs="仿宋"/>
          <w:b/>
          <w:bCs/>
          <w:sz w:val="24"/>
          <w:szCs w:val="24"/>
        </w:rPr>
        <w:t>3.4 投标保证金</w:t>
      </w:r>
      <w:bookmarkEnd w:id="90"/>
      <w:bookmarkEnd w:id="9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3.4.1本项不收取投标保证金</w:t>
      </w:r>
    </w:p>
    <w:p>
      <w:pPr>
        <w:spacing w:line="360" w:lineRule="auto"/>
        <w:ind w:firstLine="482" w:firstLineChars="200"/>
        <w:outlineLvl w:val="2"/>
        <w:rPr>
          <w:rFonts w:hint="eastAsia" w:ascii="仿宋" w:hAnsi="仿宋" w:eastAsia="仿宋" w:cs="仿宋"/>
          <w:b/>
          <w:bCs/>
          <w:sz w:val="24"/>
          <w:szCs w:val="24"/>
        </w:rPr>
      </w:pPr>
      <w:bookmarkStart w:id="92" w:name="_Toc17524"/>
      <w:bookmarkStart w:id="93" w:name="_Toc14511"/>
      <w:r>
        <w:rPr>
          <w:rFonts w:hint="eastAsia" w:ascii="仿宋" w:hAnsi="仿宋" w:eastAsia="仿宋" w:cs="仿宋"/>
          <w:b/>
          <w:bCs/>
          <w:sz w:val="24"/>
          <w:szCs w:val="24"/>
        </w:rPr>
        <w:t>3.5备选投标方案</w:t>
      </w:r>
      <w:bookmarkEnd w:id="92"/>
      <w:bookmarkEnd w:id="9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除投标人须知前附表另有规定外，投标人不得递交备选投标方案。</w:t>
      </w:r>
    </w:p>
    <w:p>
      <w:pPr>
        <w:spacing w:line="360" w:lineRule="auto"/>
        <w:ind w:firstLine="482" w:firstLineChars="200"/>
        <w:outlineLvl w:val="2"/>
        <w:rPr>
          <w:rFonts w:hint="eastAsia" w:ascii="仿宋" w:hAnsi="仿宋" w:eastAsia="仿宋" w:cs="仿宋"/>
          <w:b/>
          <w:bCs/>
          <w:sz w:val="24"/>
          <w:szCs w:val="24"/>
        </w:rPr>
      </w:pPr>
      <w:bookmarkStart w:id="94" w:name="_Toc30537"/>
      <w:bookmarkStart w:id="95" w:name="_Toc15902"/>
      <w:r>
        <w:rPr>
          <w:rFonts w:hint="eastAsia" w:ascii="仿宋" w:hAnsi="仿宋" w:eastAsia="仿宋" w:cs="仿宋"/>
          <w:b/>
          <w:bCs/>
          <w:sz w:val="24"/>
          <w:szCs w:val="24"/>
        </w:rPr>
        <w:t>3.6投标文件的编制</w:t>
      </w:r>
      <w:bookmarkEnd w:id="94"/>
      <w:bookmarkEnd w:id="9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3.6.1 投标文件应按“投标文件格式”进行编写，如有必要，可以增加附页，作为投标文件的组成部分。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3.6.2 投标文件应当对招标文件有关工期、投标有效期、质量要求、技术标准和要求、招标范围等实质性内容作出响应。</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3.6.3 投标文件应用不褪色的材料书写或打印，并由投标人的法定代表人或其委托代理人签字或盖章。委托代理人签字的，投标文件应附法定代表人签署的授权委托书。投标文件应尽量避免涂改、行间插字或删除。如果出现上述情况，改动之处应加盖投标人公章或由投标人的法定代表人或其授权的代理人签字确认。所有要求签字（名）处，均须由签字（名）者本人用不褪色的蓝(黑)色墨水(汁)书写，不得用任何形式的图章代替。</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3.6.4 投标文件正本、副本、电子版</w:t>
      </w:r>
      <w:r>
        <w:rPr>
          <w:rFonts w:hint="eastAsia" w:ascii="仿宋" w:hAnsi="仿宋" w:eastAsia="仿宋" w:cs="仿宋"/>
          <w:color w:val="auto"/>
          <w:sz w:val="24"/>
          <w:szCs w:val="24"/>
          <w:lang w:eastAsia="zh-CN"/>
        </w:rPr>
        <w:t>、开标一览表</w:t>
      </w:r>
      <w:r>
        <w:rPr>
          <w:rFonts w:hint="eastAsia" w:ascii="仿宋" w:hAnsi="仿宋" w:eastAsia="仿宋" w:cs="仿宋"/>
          <w:color w:val="auto"/>
          <w:sz w:val="24"/>
          <w:szCs w:val="24"/>
        </w:rPr>
        <w:t>份数</w:t>
      </w:r>
      <w:r>
        <w:rPr>
          <w:rFonts w:hint="eastAsia" w:ascii="仿宋" w:hAnsi="仿宋" w:eastAsia="仿宋" w:cs="仿宋"/>
          <w:color w:val="auto"/>
          <w:sz w:val="24"/>
          <w:szCs w:val="24"/>
          <w:lang w:eastAsia="zh-CN"/>
        </w:rPr>
        <w:t>及要求详</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“投标人须知前附表”。</w:t>
      </w:r>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3.6.5 所有投标文件正本须按第</w:t>
      </w:r>
      <w:r>
        <w:rPr>
          <w:rFonts w:hint="eastAsia" w:ascii="仿宋" w:hAnsi="仿宋" w:eastAsia="仿宋" w:cs="仿宋"/>
          <w:sz w:val="24"/>
          <w:szCs w:val="24"/>
          <w:lang w:val="en-US" w:eastAsia="zh-CN"/>
        </w:rPr>
        <w:t>八</w:t>
      </w:r>
      <w:r>
        <w:rPr>
          <w:rFonts w:hint="eastAsia" w:ascii="仿宋" w:hAnsi="仿宋" w:eastAsia="仿宋" w:cs="仿宋"/>
          <w:sz w:val="24"/>
          <w:szCs w:val="24"/>
        </w:rPr>
        <w:t>章规定的顺序编排、编制目录</w:t>
      </w:r>
      <w:r>
        <w:rPr>
          <w:rFonts w:hint="eastAsia" w:ascii="仿宋" w:hAnsi="仿宋" w:eastAsia="仿宋" w:cs="仿宋"/>
          <w:sz w:val="24"/>
          <w:szCs w:val="24"/>
          <w:lang w:val="en-US" w:eastAsia="zh-CN"/>
        </w:rPr>
        <w:t>逐页标注连续页码，</w:t>
      </w:r>
      <w:r>
        <w:rPr>
          <w:rFonts w:hint="eastAsia" w:ascii="仿宋" w:hAnsi="仿宋" w:eastAsia="仿宋" w:cs="仿宋"/>
          <w:sz w:val="24"/>
          <w:szCs w:val="24"/>
        </w:rPr>
        <w:t>并分别胶装成册。</w:t>
      </w:r>
    </w:p>
    <w:p>
      <w:pPr>
        <w:spacing w:beforeLines="50" w:afterLines="50" w:line="360" w:lineRule="auto"/>
        <w:jc w:val="left"/>
        <w:outlineLvl w:val="1"/>
        <w:rPr>
          <w:rFonts w:hint="eastAsia" w:ascii="仿宋" w:hAnsi="仿宋" w:eastAsia="仿宋" w:cs="仿宋"/>
          <w:b/>
          <w:bCs/>
          <w:sz w:val="24"/>
          <w:szCs w:val="24"/>
        </w:rPr>
      </w:pPr>
      <w:bookmarkStart w:id="96" w:name="_Toc420591646"/>
      <w:bookmarkStart w:id="97" w:name="_Toc421778368"/>
      <w:bookmarkStart w:id="98" w:name="_Toc16810"/>
      <w:bookmarkStart w:id="99" w:name="_Toc425240467"/>
      <w:bookmarkStart w:id="100" w:name="_Toc29425"/>
      <w:r>
        <w:rPr>
          <w:rFonts w:hint="eastAsia" w:ascii="仿宋" w:hAnsi="仿宋" w:eastAsia="仿宋" w:cs="仿宋"/>
          <w:b/>
          <w:bCs/>
          <w:sz w:val="24"/>
          <w:szCs w:val="24"/>
        </w:rPr>
        <w:t>4．投标</w:t>
      </w:r>
      <w:bookmarkEnd w:id="96"/>
      <w:bookmarkEnd w:id="97"/>
      <w:bookmarkEnd w:id="98"/>
      <w:bookmarkEnd w:id="99"/>
      <w:bookmarkEnd w:id="100"/>
    </w:p>
    <w:p>
      <w:pPr>
        <w:spacing w:line="360" w:lineRule="auto"/>
        <w:ind w:firstLine="482" w:firstLineChars="200"/>
        <w:outlineLvl w:val="2"/>
        <w:rPr>
          <w:rFonts w:hint="eastAsia" w:ascii="仿宋" w:hAnsi="仿宋" w:eastAsia="仿宋" w:cs="仿宋"/>
          <w:b/>
          <w:bCs/>
          <w:sz w:val="24"/>
          <w:szCs w:val="24"/>
          <w:lang w:eastAsia="zh-CN"/>
        </w:rPr>
      </w:pPr>
      <w:bookmarkStart w:id="101" w:name="_Toc22127"/>
      <w:bookmarkStart w:id="102" w:name="_Toc2086"/>
      <w:r>
        <w:rPr>
          <w:rFonts w:hint="eastAsia" w:ascii="仿宋" w:hAnsi="仿宋" w:eastAsia="仿宋" w:cs="仿宋"/>
          <w:b/>
          <w:bCs/>
          <w:sz w:val="24"/>
          <w:szCs w:val="24"/>
        </w:rPr>
        <w:t>4.1 投标文件的密封和标记</w:t>
      </w:r>
      <w:bookmarkEnd w:id="101"/>
      <w:bookmarkEnd w:id="102"/>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4.1.1为方便开标唱标，开标一览表除投标文件内装订外，再单独制作一份密封在封袋中。封线处加贴封条并加盖</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公章，封袋正面要粘贴标识，单独递交（该单独密封开标一览表的投标报价必须与投标文件正本中的开标一览表（报价表）的投标报价一致，若不一致，则按单独密封的开标一览表为准。）</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szCs w:val="24"/>
        </w:rPr>
        <w:t>4.1.2</w:t>
      </w:r>
      <w:r>
        <w:rPr>
          <w:rFonts w:hint="eastAsia" w:ascii="仿宋" w:hAnsi="仿宋" w:eastAsia="仿宋" w:cs="仿宋"/>
          <w:color w:val="auto"/>
          <w:sz w:val="24"/>
        </w:rPr>
        <w:t>投标文件</w:t>
      </w:r>
      <w:r>
        <w:rPr>
          <w:rFonts w:hint="eastAsia" w:ascii="仿宋" w:hAnsi="仿宋" w:eastAsia="仿宋" w:cs="仿宋"/>
          <w:color w:val="auto"/>
          <w:sz w:val="24"/>
          <w:lang w:val="en-US" w:eastAsia="zh-CN"/>
        </w:rPr>
        <w:t>密封要求见投标人须知</w:t>
      </w:r>
      <w:r>
        <w:rPr>
          <w:rFonts w:hint="eastAsia" w:ascii="仿宋" w:hAnsi="仿宋" w:eastAsia="仿宋" w:cs="仿宋"/>
          <w:color w:val="auto"/>
          <w:sz w:val="24"/>
        </w:rPr>
        <w:t>前附表</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lang w:val="en-US" w:eastAsia="zh-CN"/>
        </w:rPr>
        <w:t>4.1.3</w:t>
      </w:r>
      <w:r>
        <w:rPr>
          <w:rFonts w:hint="eastAsia" w:ascii="仿宋" w:hAnsi="仿宋" w:eastAsia="仿宋" w:cs="仿宋"/>
          <w:color w:val="auto"/>
          <w:sz w:val="24"/>
        </w:rPr>
        <w:t>封套要求见</w:t>
      </w:r>
      <w:r>
        <w:rPr>
          <w:rFonts w:hint="eastAsia" w:ascii="仿宋" w:hAnsi="仿宋" w:eastAsia="仿宋" w:cs="仿宋"/>
          <w:color w:val="auto"/>
          <w:sz w:val="24"/>
          <w:lang w:val="en-US" w:eastAsia="zh-CN"/>
        </w:rPr>
        <w:t>投标人须知</w:t>
      </w:r>
      <w:r>
        <w:rPr>
          <w:rFonts w:hint="eastAsia" w:ascii="仿宋" w:hAnsi="仿宋" w:eastAsia="仿宋" w:cs="仿宋"/>
          <w:color w:val="auto"/>
          <w:sz w:val="24"/>
        </w:rPr>
        <w:t>前附表。</w:t>
      </w:r>
    </w:p>
    <w:p>
      <w:pPr>
        <w:spacing w:line="360" w:lineRule="auto"/>
        <w:ind w:firstLine="480" w:firstLineChars="200"/>
        <w:rPr>
          <w:rFonts w:hint="eastAsia" w:ascii="仿宋" w:hAnsi="仿宋" w:eastAsia="仿宋" w:cs="仿宋"/>
          <w:sz w:val="24"/>
        </w:rPr>
      </w:pPr>
      <w:bookmarkStart w:id="103" w:name="_Toc23367"/>
      <w:bookmarkStart w:id="104" w:name="_Toc12225"/>
      <w:r>
        <w:rPr>
          <w:rFonts w:hint="eastAsia" w:ascii="仿宋" w:hAnsi="仿宋" w:eastAsia="仿宋" w:cs="仿宋"/>
          <w:sz w:val="24"/>
        </w:rPr>
        <w:t>4.1.</w:t>
      </w:r>
      <w:r>
        <w:rPr>
          <w:rFonts w:hint="eastAsia" w:ascii="仿宋" w:hAnsi="仿宋" w:eastAsia="仿宋" w:cs="仿宋"/>
          <w:sz w:val="24"/>
          <w:lang w:val="en-US" w:eastAsia="zh-CN"/>
        </w:rPr>
        <w:t>4</w:t>
      </w:r>
      <w:r>
        <w:rPr>
          <w:rFonts w:hint="eastAsia" w:ascii="仿宋" w:hAnsi="仿宋" w:eastAsia="仿宋" w:cs="仿宋"/>
          <w:sz w:val="24"/>
        </w:rPr>
        <w:t>如果投标人未对投标文件按上述要求进行完好密封，由此产生的不利后果由投标人自行承担。</w:t>
      </w:r>
    </w:p>
    <w:p>
      <w:pPr>
        <w:spacing w:line="360" w:lineRule="auto"/>
        <w:ind w:firstLine="482" w:firstLineChars="200"/>
        <w:outlineLvl w:val="2"/>
        <w:rPr>
          <w:rFonts w:hint="eastAsia" w:ascii="仿宋" w:hAnsi="仿宋" w:eastAsia="仿宋" w:cs="仿宋"/>
          <w:b/>
          <w:bCs/>
          <w:sz w:val="24"/>
          <w:szCs w:val="24"/>
        </w:rPr>
      </w:pPr>
      <w:r>
        <w:rPr>
          <w:rFonts w:hint="eastAsia" w:ascii="仿宋" w:hAnsi="仿宋" w:eastAsia="仿宋" w:cs="仿宋"/>
          <w:b/>
          <w:bCs/>
          <w:sz w:val="24"/>
          <w:szCs w:val="24"/>
        </w:rPr>
        <w:t>4.2 投标文件的递交</w:t>
      </w:r>
      <w:bookmarkEnd w:id="103"/>
      <w:bookmarkEnd w:id="10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4.2.1 投标人应在投标人须知前附表第4.2.2 项规定的投标截止时间前递交投标文件。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 投标人递交投标文件的地点：见投标人须知前附表。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4.2.3 </w:t>
      </w:r>
      <w:r>
        <w:rPr>
          <w:rFonts w:hint="eastAsia" w:ascii="仿宋" w:hAnsi="仿宋" w:eastAsia="仿宋" w:cs="仿宋"/>
          <w:color w:val="auto"/>
          <w:sz w:val="24"/>
        </w:rPr>
        <w:t>采购</w:t>
      </w:r>
      <w:r>
        <w:rPr>
          <w:rFonts w:hint="eastAsia" w:ascii="仿宋" w:hAnsi="仿宋" w:eastAsia="仿宋" w:cs="仿宋"/>
          <w:color w:val="auto"/>
          <w:sz w:val="24"/>
          <w:lang w:eastAsia="zh-CN"/>
        </w:rPr>
        <w:t>代理机构工作人员对递交的投标文件进行登记并妥善保管</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4.2.4逾期送达的或者未送达指定地点的投标文件，</w:t>
      </w:r>
      <w:r>
        <w:rPr>
          <w:rFonts w:hint="eastAsia" w:ascii="仿宋" w:hAnsi="仿宋" w:eastAsia="仿宋" w:cs="仿宋"/>
          <w:sz w:val="24"/>
          <w:szCs w:val="24"/>
          <w:lang w:eastAsia="zh-CN"/>
        </w:rPr>
        <w:t>招标代理机构</w:t>
      </w:r>
      <w:r>
        <w:rPr>
          <w:rFonts w:hint="eastAsia" w:ascii="仿宋" w:hAnsi="仿宋" w:eastAsia="仿宋" w:cs="仿宋"/>
          <w:sz w:val="24"/>
          <w:szCs w:val="24"/>
        </w:rPr>
        <w:t>不予受理。</w:t>
      </w:r>
    </w:p>
    <w:p>
      <w:pPr>
        <w:spacing w:line="360" w:lineRule="auto"/>
        <w:ind w:firstLine="482" w:firstLineChars="200"/>
        <w:outlineLvl w:val="2"/>
        <w:rPr>
          <w:rFonts w:hint="eastAsia" w:ascii="仿宋" w:hAnsi="仿宋" w:eastAsia="仿宋" w:cs="仿宋"/>
          <w:b/>
          <w:bCs/>
          <w:sz w:val="24"/>
          <w:szCs w:val="24"/>
        </w:rPr>
      </w:pPr>
      <w:bookmarkStart w:id="105" w:name="_Toc26588"/>
      <w:bookmarkStart w:id="106" w:name="_Toc15192"/>
      <w:r>
        <w:rPr>
          <w:rFonts w:hint="eastAsia" w:ascii="仿宋" w:hAnsi="仿宋" w:eastAsia="仿宋" w:cs="仿宋"/>
          <w:b/>
          <w:bCs/>
          <w:sz w:val="24"/>
          <w:szCs w:val="24"/>
        </w:rPr>
        <w:t>4.3 投标文件的修改与撤回</w:t>
      </w:r>
      <w:bookmarkEnd w:id="105"/>
      <w:bookmarkEnd w:id="10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 在投标人须知前附表第4.2.2 项规定的投标截止时间前，投标人可以修改或撤回已递交的投标文件，但应以书面形式通知招标人。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 投标人修改或撤回已递交投标文件的书面通知应按照本章第3.6.5项的要求签字和盖章。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4.3.3 修改的内容为投标文件的组成部分。修改的投标文件应按照本章第3 条、第4 条规定进行编制、密封、标记和递交，并标明“修改”字样。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rPr>
      </w:pPr>
      <w:bookmarkStart w:id="107" w:name="_Toc421778369"/>
      <w:bookmarkStart w:id="108" w:name="_Toc420591647"/>
      <w:bookmarkStart w:id="109" w:name="_Toc10525"/>
      <w:bookmarkStart w:id="110" w:name="_Toc803"/>
      <w:bookmarkStart w:id="111" w:name="_Toc425240468"/>
      <w:r>
        <w:rPr>
          <w:rFonts w:hint="eastAsia" w:ascii="仿宋" w:hAnsi="仿宋" w:eastAsia="仿宋" w:cs="仿宋"/>
          <w:b/>
          <w:bCs/>
          <w:sz w:val="24"/>
          <w:szCs w:val="24"/>
        </w:rPr>
        <w:t>5．开标</w:t>
      </w:r>
      <w:bookmarkEnd w:id="107"/>
      <w:bookmarkEnd w:id="108"/>
      <w:bookmarkEnd w:id="109"/>
      <w:bookmarkEnd w:id="110"/>
      <w:bookmarkEnd w:id="111"/>
    </w:p>
    <w:p>
      <w:pPr>
        <w:spacing w:line="360" w:lineRule="auto"/>
        <w:ind w:firstLine="482" w:firstLineChars="200"/>
        <w:outlineLvl w:val="2"/>
        <w:rPr>
          <w:rFonts w:hint="eastAsia" w:ascii="仿宋" w:hAnsi="仿宋" w:eastAsia="仿宋" w:cs="仿宋"/>
          <w:sz w:val="24"/>
          <w:szCs w:val="24"/>
        </w:rPr>
      </w:pPr>
      <w:bookmarkStart w:id="112" w:name="_Toc13670"/>
      <w:bookmarkStart w:id="113" w:name="_Toc26779"/>
      <w:r>
        <w:rPr>
          <w:rFonts w:hint="eastAsia" w:ascii="仿宋" w:hAnsi="仿宋" w:eastAsia="仿宋" w:cs="仿宋"/>
          <w:b/>
          <w:bCs/>
          <w:sz w:val="24"/>
          <w:szCs w:val="24"/>
        </w:rPr>
        <w:t>5.1 开标时间和地点</w:t>
      </w:r>
      <w:r>
        <w:rPr>
          <w:rFonts w:hint="eastAsia" w:ascii="仿宋" w:hAnsi="仿宋" w:eastAsia="仿宋" w:cs="仿宋"/>
          <w:b/>
          <w:bCs/>
          <w:sz w:val="24"/>
          <w:szCs w:val="24"/>
          <w:lang w:eastAsia="zh-CN"/>
        </w:rPr>
        <w:t>：</w:t>
      </w:r>
      <w:r>
        <w:rPr>
          <w:rFonts w:hint="eastAsia" w:ascii="仿宋" w:hAnsi="仿宋" w:eastAsia="仿宋" w:cs="仿宋"/>
          <w:sz w:val="24"/>
          <w:szCs w:val="24"/>
        </w:rPr>
        <w:t>见投标人须知前附表。</w:t>
      </w:r>
      <w:bookmarkEnd w:id="112"/>
      <w:bookmarkEnd w:id="113"/>
    </w:p>
    <w:p>
      <w:pPr>
        <w:pStyle w:val="5"/>
        <w:ind w:firstLine="482" w:firstLineChars="200"/>
        <w:rPr>
          <w:rFonts w:hint="eastAsia" w:ascii="仿宋" w:hAnsi="仿宋" w:eastAsia="仿宋" w:cs="仿宋"/>
          <w:b/>
          <w:bCs/>
          <w:kern w:val="2"/>
          <w:sz w:val="24"/>
          <w:szCs w:val="24"/>
          <w:lang w:val="en-US" w:eastAsia="zh-CN" w:bidi="ar-SA"/>
        </w:rPr>
      </w:pPr>
      <w:bookmarkStart w:id="114" w:name="_Toc31942"/>
      <w:bookmarkStart w:id="115" w:name="_Toc8302"/>
      <w:r>
        <w:rPr>
          <w:rFonts w:hint="eastAsia" w:ascii="仿宋" w:hAnsi="仿宋" w:eastAsia="仿宋" w:cs="仿宋"/>
          <w:b/>
          <w:bCs/>
          <w:kern w:val="2"/>
          <w:sz w:val="24"/>
          <w:szCs w:val="24"/>
          <w:lang w:val="en-US" w:eastAsia="zh-CN" w:bidi="ar-SA"/>
        </w:rPr>
        <w:t>5.2开标程序</w:t>
      </w:r>
      <w:bookmarkEnd w:id="114"/>
      <w:bookmarkEnd w:id="11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5.2.1</w:t>
      </w:r>
      <w:r>
        <w:rPr>
          <w:rFonts w:hint="eastAsia" w:ascii="仿宋" w:hAnsi="仿宋" w:eastAsia="仿宋" w:cs="仿宋"/>
          <w:sz w:val="24"/>
          <w:szCs w:val="24"/>
        </w:rPr>
        <w:t>主持人按下列程序进行开标：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（1）宣布招标项目名称及投标文件接收截止时间，终止一切投标文件的接收工作，并宣布开标会开始；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（2）介绍招标人、</w:t>
      </w:r>
      <w:r>
        <w:rPr>
          <w:rFonts w:hint="eastAsia" w:ascii="仿宋" w:hAnsi="仿宋" w:eastAsia="仿宋" w:cs="仿宋"/>
          <w:sz w:val="24"/>
          <w:szCs w:val="24"/>
          <w:lang w:eastAsia="zh-CN"/>
        </w:rPr>
        <w:t>招标代理机构</w:t>
      </w:r>
      <w:r>
        <w:rPr>
          <w:rFonts w:hint="eastAsia" w:ascii="仿宋" w:hAnsi="仿宋" w:eastAsia="仿宋" w:cs="仿宋"/>
          <w:sz w:val="24"/>
          <w:szCs w:val="24"/>
        </w:rPr>
        <w:t>、招标监督管理部门和招标工作人员；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（3）宣布本项目投标人签到名单；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（4）宣布开标会议纪律；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）按照投标人须知前附表规定检查投标文件的密封情况；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）开启密封符合要求的投标文件，宣读商务标中投标总报价、</w:t>
      </w:r>
      <w:r>
        <w:rPr>
          <w:rFonts w:hint="eastAsia" w:ascii="仿宋" w:hAnsi="仿宋" w:eastAsia="仿宋" w:cs="仿宋"/>
          <w:sz w:val="24"/>
          <w:szCs w:val="24"/>
          <w:highlight w:val="none"/>
          <w:lang w:val="en-US" w:eastAsia="zh-CN"/>
        </w:rPr>
        <w:t>质量标准、工期、项目负责人</w:t>
      </w:r>
      <w:r>
        <w:rPr>
          <w:rFonts w:hint="eastAsia" w:ascii="仿宋" w:hAnsi="仿宋" w:eastAsia="仿宋" w:cs="仿宋"/>
          <w:sz w:val="24"/>
          <w:szCs w:val="24"/>
        </w:rPr>
        <w:t>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）设有招标最高限价的，公布或重申招标最高限价；</w:t>
      </w:r>
    </w:p>
    <w:p>
      <w:pPr>
        <w:spacing w:line="360" w:lineRule="auto"/>
        <w:ind w:firstLine="480" w:firstLineChars="200"/>
        <w:rPr>
          <w:rFonts w:hint="eastAsia" w:ascii="仿宋" w:hAnsi="仿宋" w:eastAsia="仿宋" w:cs="仿宋"/>
          <w:sz w:val="24"/>
          <w:szCs w:val="24"/>
        </w:rPr>
      </w:pPr>
      <w:bookmarkStart w:id="116" w:name="OLE_LINK61"/>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bookmarkEnd w:id="116"/>
      <w:r>
        <w:rPr>
          <w:rFonts w:hint="eastAsia" w:ascii="仿宋" w:hAnsi="仿宋" w:eastAsia="仿宋" w:cs="仿宋"/>
          <w:sz w:val="24"/>
          <w:szCs w:val="24"/>
        </w:rPr>
        <w:t>投标人代表、招标人代表、监标人、记录人等有关人员在开标记录上签字确认；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（9）在监标人的监督下，将投标文件送交评标委员会评审；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）开标结束。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lang w:val="en-US" w:eastAsia="zh-CN"/>
        </w:rPr>
      </w:pPr>
      <w:bookmarkStart w:id="117" w:name="_Toc9220"/>
      <w:bookmarkStart w:id="118" w:name="_Toc3292"/>
      <w:r>
        <w:rPr>
          <w:rFonts w:hint="eastAsia" w:ascii="仿宋" w:hAnsi="仿宋" w:eastAsia="仿宋" w:cs="仿宋"/>
          <w:b/>
          <w:bCs/>
          <w:sz w:val="24"/>
          <w:szCs w:val="24"/>
          <w:lang w:val="en-US" w:eastAsia="zh-CN"/>
        </w:rPr>
        <w:t>6.评标</w:t>
      </w:r>
    </w:p>
    <w:p>
      <w:pPr>
        <w:spacing w:line="360" w:lineRule="auto"/>
        <w:ind w:firstLine="482" w:firstLineChars="200"/>
        <w:outlineLvl w:val="2"/>
        <w:rPr>
          <w:rFonts w:hint="eastAsia" w:ascii="仿宋" w:hAnsi="仿宋" w:eastAsia="仿宋" w:cs="仿宋"/>
          <w:sz w:val="24"/>
          <w:szCs w:val="24"/>
        </w:rPr>
      </w:pPr>
      <w:r>
        <w:rPr>
          <w:rFonts w:hint="eastAsia" w:ascii="仿宋" w:hAnsi="仿宋" w:eastAsia="仿宋" w:cs="仿宋"/>
          <w:b/>
          <w:bCs/>
          <w:sz w:val="24"/>
          <w:szCs w:val="24"/>
        </w:rPr>
        <w:t>6.1 评标委员会</w:t>
      </w:r>
      <w:bookmarkEnd w:id="117"/>
      <w:bookmarkEnd w:id="118"/>
    </w:p>
    <w:p>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6.1.1 评标由招标人依法组建的评标委员会负责。评标委员会</w:t>
      </w:r>
      <w:r>
        <w:rPr>
          <w:rFonts w:hint="eastAsia" w:ascii="仿宋" w:hAnsi="仿宋" w:eastAsia="仿宋" w:cs="仿宋"/>
          <w:sz w:val="24"/>
          <w:szCs w:val="24"/>
          <w:lang w:eastAsia="zh-CN"/>
        </w:rPr>
        <w:t>组成：见投标人须知前附表。评标委员会</w:t>
      </w:r>
      <w:r>
        <w:rPr>
          <w:rFonts w:hint="eastAsia" w:ascii="仿宋" w:hAnsi="仿宋" w:eastAsia="仿宋" w:cs="仿宋"/>
          <w:sz w:val="24"/>
          <w:szCs w:val="24"/>
        </w:rPr>
        <w:t>按照</w:t>
      </w:r>
      <w:r>
        <w:rPr>
          <w:rFonts w:hint="eastAsia" w:ascii="仿宋" w:hAnsi="仿宋" w:eastAsia="仿宋" w:cs="仿宋"/>
          <w:sz w:val="24"/>
          <w:szCs w:val="24"/>
          <w:lang w:eastAsia="zh-CN"/>
        </w:rPr>
        <w:t>招标文件</w:t>
      </w:r>
      <w:r>
        <w:rPr>
          <w:rFonts w:hint="eastAsia" w:ascii="仿宋" w:hAnsi="仿宋" w:eastAsia="仿宋" w:cs="仿宋"/>
          <w:sz w:val="24"/>
          <w:szCs w:val="24"/>
        </w:rPr>
        <w:t>规定的</w:t>
      </w:r>
      <w:r>
        <w:rPr>
          <w:rFonts w:hint="eastAsia" w:ascii="仿宋" w:hAnsi="仿宋" w:eastAsia="仿宋" w:cs="仿宋"/>
          <w:sz w:val="24"/>
          <w:szCs w:val="24"/>
          <w:lang w:eastAsia="zh-CN"/>
        </w:rPr>
        <w:t>评审</w:t>
      </w:r>
      <w:r>
        <w:rPr>
          <w:rFonts w:hint="eastAsia" w:ascii="仿宋" w:hAnsi="仿宋" w:eastAsia="仿宋" w:cs="仿宋"/>
          <w:sz w:val="24"/>
          <w:szCs w:val="24"/>
        </w:rPr>
        <w:t>方法独立进行</w:t>
      </w:r>
      <w:r>
        <w:rPr>
          <w:rFonts w:hint="eastAsia" w:ascii="仿宋" w:hAnsi="仿宋" w:eastAsia="仿宋" w:cs="仿宋"/>
          <w:sz w:val="24"/>
          <w:szCs w:val="24"/>
          <w:lang w:eastAsia="zh-CN"/>
        </w:rPr>
        <w:t>评审</w:t>
      </w:r>
      <w:r>
        <w:rPr>
          <w:rFonts w:hint="eastAsia" w:ascii="仿宋" w:hAnsi="仿宋" w:eastAsia="仿宋" w:cs="仿宋"/>
          <w:sz w:val="24"/>
          <w:szCs w:val="24"/>
        </w:rPr>
        <w:t>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)投标人或者投标人主要负责人的近亲属</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)项目主管部门或者行政监督部门的人员</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)与投标人有利害关系，可能影响对投标公正评审的</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)为投标人编制投标文件的人员</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)在招标投标活动中有违法行为而受过行政处罚或者刑事处罚的人员。</w:t>
      </w:r>
    </w:p>
    <w:p>
      <w:pPr>
        <w:spacing w:line="360" w:lineRule="auto"/>
        <w:ind w:firstLine="482" w:firstLineChars="200"/>
        <w:outlineLvl w:val="2"/>
        <w:rPr>
          <w:rFonts w:hint="eastAsia" w:ascii="仿宋" w:hAnsi="仿宋" w:eastAsia="仿宋" w:cs="仿宋"/>
          <w:b/>
          <w:bCs/>
          <w:sz w:val="24"/>
          <w:szCs w:val="24"/>
        </w:rPr>
      </w:pPr>
      <w:bookmarkStart w:id="119" w:name="_Toc26598"/>
      <w:bookmarkStart w:id="120" w:name="_Toc11841"/>
      <w:r>
        <w:rPr>
          <w:rFonts w:hint="eastAsia" w:ascii="仿宋" w:hAnsi="仿宋" w:eastAsia="仿宋" w:cs="仿宋"/>
          <w:b/>
          <w:bCs/>
          <w:sz w:val="24"/>
          <w:szCs w:val="24"/>
        </w:rPr>
        <w:t>6.2 评标原则</w:t>
      </w:r>
      <w:bookmarkEnd w:id="119"/>
      <w:bookmarkEnd w:id="12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pPr>
        <w:spacing w:line="360" w:lineRule="auto"/>
        <w:ind w:firstLine="482" w:firstLineChars="200"/>
        <w:outlineLvl w:val="2"/>
        <w:rPr>
          <w:rFonts w:hint="eastAsia" w:ascii="仿宋" w:hAnsi="仿宋" w:eastAsia="仿宋" w:cs="仿宋"/>
          <w:b/>
          <w:bCs/>
          <w:sz w:val="24"/>
          <w:szCs w:val="24"/>
        </w:rPr>
      </w:pPr>
      <w:bookmarkStart w:id="121" w:name="_Toc19961"/>
      <w:bookmarkStart w:id="122" w:name="_Toc15125"/>
      <w:r>
        <w:rPr>
          <w:rFonts w:hint="eastAsia" w:ascii="仿宋" w:hAnsi="仿宋" w:eastAsia="仿宋" w:cs="仿宋"/>
          <w:b/>
          <w:bCs/>
          <w:sz w:val="24"/>
          <w:szCs w:val="24"/>
        </w:rPr>
        <w:t>6.3 评标</w:t>
      </w:r>
      <w:bookmarkEnd w:id="121"/>
      <w:bookmarkEnd w:id="12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6.3.2评标过程的保密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（1）开标后，直至授予中标人合同为止，凡属于对投标文件的审查、补遗、评价和比较的有关资料以及中标候选人的推荐情况等均严格保密。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（2）在投标文件的评审、中标候选人推荐以及授予合同的过程中，投标人向招标人和评标委员会施加影响的任何行为，都将会导致其投标被拒绝直至取消其中标资格。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（3）中标人确定后，招标人不对未中标人就评标过程以及未能中标原因作出任何解释。未中标人不得向评标委员会组成人员或其他有关人员索问评标过程的情况和材料。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lang w:val="en-US" w:eastAsia="zh-CN"/>
        </w:rPr>
      </w:pPr>
      <w:bookmarkStart w:id="123" w:name="_Toc425240470"/>
      <w:bookmarkStart w:id="124" w:name="_Toc420591649"/>
      <w:bookmarkStart w:id="125" w:name="_Toc421778371"/>
      <w:bookmarkStart w:id="126" w:name="_Toc31541"/>
      <w:bookmarkStart w:id="127" w:name="_Toc16916"/>
      <w:r>
        <w:rPr>
          <w:rFonts w:hint="eastAsia" w:ascii="仿宋" w:hAnsi="仿宋" w:eastAsia="仿宋" w:cs="仿宋"/>
          <w:b/>
          <w:bCs/>
          <w:sz w:val="24"/>
          <w:szCs w:val="24"/>
          <w:lang w:val="en-US" w:eastAsia="zh-CN"/>
        </w:rPr>
        <w:t>7．合同授予</w:t>
      </w:r>
      <w:bookmarkEnd w:id="123"/>
      <w:bookmarkEnd w:id="124"/>
      <w:bookmarkEnd w:id="125"/>
      <w:bookmarkEnd w:id="126"/>
      <w:bookmarkEnd w:id="127"/>
    </w:p>
    <w:p>
      <w:pPr>
        <w:spacing w:line="360" w:lineRule="auto"/>
        <w:ind w:firstLine="482" w:firstLineChars="200"/>
        <w:outlineLvl w:val="2"/>
        <w:rPr>
          <w:rFonts w:hint="eastAsia" w:ascii="仿宋" w:hAnsi="仿宋" w:eastAsia="仿宋" w:cs="仿宋"/>
          <w:b/>
          <w:bCs/>
          <w:sz w:val="24"/>
          <w:szCs w:val="24"/>
        </w:rPr>
      </w:pPr>
      <w:bookmarkStart w:id="128" w:name="_Toc25384"/>
      <w:bookmarkStart w:id="129" w:name="_Toc14145"/>
      <w:r>
        <w:rPr>
          <w:rFonts w:hint="eastAsia" w:ascii="仿宋" w:hAnsi="仿宋" w:eastAsia="仿宋" w:cs="仿宋"/>
          <w:b/>
          <w:bCs/>
          <w:sz w:val="24"/>
          <w:szCs w:val="24"/>
        </w:rPr>
        <w:t>7.1 定标方式</w:t>
      </w:r>
      <w:bookmarkEnd w:id="128"/>
      <w:bookmarkEnd w:id="12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评标委员会推荐3名中标候选人，并标明推荐顺序，招标人依据评标委员会推荐的中标候选人确定中标人。</w:t>
      </w:r>
    </w:p>
    <w:p>
      <w:pPr>
        <w:spacing w:line="360" w:lineRule="auto"/>
        <w:ind w:firstLine="482" w:firstLineChars="200"/>
        <w:outlineLvl w:val="2"/>
        <w:rPr>
          <w:rFonts w:hint="eastAsia" w:ascii="仿宋" w:hAnsi="仿宋" w:eastAsia="仿宋" w:cs="仿宋"/>
          <w:b/>
          <w:bCs/>
          <w:sz w:val="24"/>
          <w:szCs w:val="24"/>
        </w:rPr>
      </w:pPr>
      <w:bookmarkStart w:id="130" w:name="_Toc15631"/>
      <w:bookmarkStart w:id="131" w:name="_Toc30374"/>
      <w:r>
        <w:rPr>
          <w:rFonts w:hint="eastAsia" w:ascii="仿宋" w:hAnsi="仿宋" w:eastAsia="仿宋" w:cs="仿宋"/>
          <w:b/>
          <w:bCs/>
          <w:sz w:val="24"/>
          <w:szCs w:val="24"/>
        </w:rPr>
        <w:t>7.2 中标通知</w:t>
      </w:r>
      <w:bookmarkEnd w:id="130"/>
      <w:bookmarkEnd w:id="13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在本章第3.3 款规定的投标有效期内，经招标人同意由</w:t>
      </w:r>
      <w:r>
        <w:rPr>
          <w:rFonts w:hint="eastAsia" w:ascii="仿宋" w:hAnsi="仿宋" w:eastAsia="仿宋" w:cs="仿宋"/>
          <w:sz w:val="24"/>
          <w:szCs w:val="24"/>
          <w:lang w:eastAsia="zh-CN"/>
        </w:rPr>
        <w:t>招标代理机构</w:t>
      </w:r>
      <w:r>
        <w:rPr>
          <w:rFonts w:hint="eastAsia" w:ascii="仿宋" w:hAnsi="仿宋" w:eastAsia="仿宋" w:cs="仿宋"/>
          <w:sz w:val="24"/>
          <w:szCs w:val="24"/>
        </w:rPr>
        <w:t>以书面形式向中标人发出中标通知书。</w:t>
      </w:r>
      <w:r>
        <w:rPr>
          <w:rFonts w:hint="eastAsia" w:ascii="仿宋" w:hAnsi="仿宋" w:eastAsia="仿宋" w:cs="仿宋"/>
          <w:b/>
          <w:bCs/>
          <w:sz w:val="24"/>
          <w:szCs w:val="24"/>
          <w:highlight w:val="none"/>
          <w:lang w:eastAsia="zh-CN"/>
        </w:rPr>
        <w:t>中标人领取中标通知书时须携带法定代表人授权书及加盖单位公章的被授权人身份证复印件。</w:t>
      </w:r>
      <w:r>
        <w:rPr>
          <w:rFonts w:hint="eastAsia" w:ascii="仿宋" w:hAnsi="仿宋" w:eastAsia="仿宋" w:cs="仿宋"/>
          <w:b/>
          <w:bCs/>
          <w:sz w:val="24"/>
          <w:szCs w:val="24"/>
          <w:highlight w:val="none"/>
        </w:rPr>
        <w:t xml:space="preserve"> </w:t>
      </w:r>
    </w:p>
    <w:p>
      <w:pPr>
        <w:spacing w:line="360" w:lineRule="auto"/>
        <w:ind w:firstLine="482" w:firstLineChars="200"/>
        <w:outlineLvl w:val="2"/>
        <w:rPr>
          <w:rFonts w:hint="eastAsia" w:ascii="仿宋" w:hAnsi="仿宋" w:eastAsia="仿宋" w:cs="仿宋"/>
          <w:b/>
          <w:bCs/>
          <w:sz w:val="24"/>
          <w:szCs w:val="24"/>
          <w:lang w:eastAsia="zh-CN"/>
        </w:rPr>
      </w:pPr>
      <w:bookmarkStart w:id="132" w:name="_Toc393"/>
      <w:bookmarkStart w:id="133" w:name="_Toc19753"/>
      <w:r>
        <w:rPr>
          <w:rFonts w:hint="eastAsia" w:ascii="仿宋" w:hAnsi="仿宋" w:eastAsia="仿宋" w:cs="仿宋"/>
          <w:b/>
          <w:bCs/>
          <w:sz w:val="24"/>
          <w:szCs w:val="24"/>
        </w:rPr>
        <w:t>7.3 履约担保</w:t>
      </w:r>
      <w:r>
        <w:rPr>
          <w:rFonts w:hint="eastAsia" w:ascii="仿宋" w:hAnsi="仿宋" w:eastAsia="仿宋" w:cs="仿宋"/>
          <w:b/>
          <w:bCs/>
          <w:sz w:val="24"/>
          <w:szCs w:val="24"/>
          <w:lang w:eastAsia="zh-CN"/>
        </w:rPr>
        <w:t>及支付担保</w:t>
      </w:r>
      <w:bookmarkEnd w:id="132"/>
      <w:bookmarkEnd w:id="133"/>
    </w:p>
    <w:p>
      <w:pPr>
        <w:spacing w:line="360" w:lineRule="auto"/>
        <w:ind w:firstLine="420"/>
        <w:rPr>
          <w:rFonts w:hint="eastAsia" w:ascii="仿宋" w:hAnsi="仿宋" w:eastAsia="仿宋" w:cs="仿宋"/>
          <w:sz w:val="24"/>
        </w:rPr>
      </w:pPr>
      <w:r>
        <w:rPr>
          <w:rFonts w:hint="eastAsia" w:ascii="仿宋" w:hAnsi="仿宋" w:eastAsia="仿宋" w:cs="仿宋"/>
          <w:sz w:val="24"/>
        </w:rPr>
        <w:t>7.3.1在签订合同前，中标人应按投标人须知前附表规定的金额、担保形式和招标文件第五章“合同条款及格式”规定的履约担保格式向招标人提交履约担保。</w:t>
      </w:r>
    </w:p>
    <w:p>
      <w:pPr>
        <w:spacing w:line="360" w:lineRule="auto"/>
        <w:ind w:firstLine="420"/>
        <w:rPr>
          <w:rFonts w:hint="eastAsia" w:ascii="仿宋" w:hAnsi="仿宋" w:eastAsia="仿宋" w:cs="仿宋"/>
          <w:sz w:val="24"/>
        </w:rPr>
      </w:pPr>
      <w:r>
        <w:rPr>
          <w:rFonts w:hint="eastAsia" w:ascii="仿宋" w:hAnsi="仿宋" w:eastAsia="仿宋" w:cs="仿宋"/>
          <w:sz w:val="24"/>
        </w:rPr>
        <w:t>7.3.2 中标人不能按本章第7.3.1项要求提交履约担保的，视为放弃中标，</w:t>
      </w:r>
      <w:r>
        <w:rPr>
          <w:rFonts w:hint="eastAsia" w:ascii="仿宋" w:hAnsi="仿宋" w:eastAsia="仿宋" w:cs="仿宋"/>
          <w:sz w:val="24"/>
          <w:lang w:eastAsia="zh-CN"/>
        </w:rPr>
        <w:t>并按规定承担相应的责任</w:t>
      </w:r>
      <w:r>
        <w:rPr>
          <w:rFonts w:hint="eastAsia" w:ascii="仿宋" w:hAnsi="仿宋" w:eastAsia="仿宋" w:cs="仿宋"/>
          <w:sz w:val="24"/>
        </w:rPr>
        <w:t>。</w:t>
      </w:r>
    </w:p>
    <w:p>
      <w:pPr>
        <w:spacing w:line="360" w:lineRule="auto"/>
        <w:ind w:firstLine="420"/>
        <w:rPr>
          <w:rFonts w:hint="eastAsia" w:ascii="仿宋" w:hAnsi="仿宋" w:eastAsia="仿宋" w:cs="仿宋"/>
          <w:sz w:val="24"/>
        </w:rPr>
      </w:pPr>
      <w:r>
        <w:rPr>
          <w:rFonts w:hint="eastAsia" w:ascii="仿宋" w:hAnsi="仿宋" w:eastAsia="仿宋" w:cs="仿宋"/>
          <w:sz w:val="24"/>
          <w:lang w:val="en-US" w:eastAsia="zh-CN"/>
        </w:rPr>
        <w:t>7.3.3</w:t>
      </w:r>
      <w:r>
        <w:rPr>
          <w:rFonts w:hint="eastAsia" w:ascii="仿宋" w:hAnsi="仿宋" w:eastAsia="仿宋" w:cs="仿宋"/>
          <w:b w:val="0"/>
          <w:bCs w:val="0"/>
          <w:sz w:val="24"/>
          <w:szCs w:val="24"/>
        </w:rPr>
        <w:t>招标人要求中标人提供履约担保的，招标人应当同时向中标人提供工程款支付担保。</w:t>
      </w:r>
      <w:r>
        <w:rPr>
          <w:rFonts w:hint="eastAsia" w:ascii="仿宋" w:hAnsi="仿宋" w:eastAsia="仿宋" w:cs="仿宋"/>
          <w:sz w:val="24"/>
        </w:rPr>
        <w:t>支付担保形式</w:t>
      </w:r>
      <w:r>
        <w:rPr>
          <w:rFonts w:hint="eastAsia" w:ascii="仿宋" w:hAnsi="仿宋" w:eastAsia="仿宋" w:cs="仿宋"/>
          <w:sz w:val="24"/>
          <w:lang w:val="en-US" w:eastAsia="zh-CN"/>
        </w:rPr>
        <w:t>及金额</w:t>
      </w:r>
      <w:r>
        <w:rPr>
          <w:rFonts w:hint="eastAsia" w:ascii="仿宋" w:hAnsi="仿宋" w:eastAsia="仿宋" w:cs="仿宋"/>
          <w:sz w:val="24"/>
        </w:rPr>
        <w:t>：见投标人须知前附表</w:t>
      </w:r>
      <w:r>
        <w:rPr>
          <w:rFonts w:hint="eastAsia" w:ascii="仿宋" w:hAnsi="仿宋" w:eastAsia="仿宋" w:cs="仿宋"/>
          <w:sz w:val="24"/>
          <w:lang w:eastAsia="zh-CN"/>
        </w:rPr>
        <w:t>。</w:t>
      </w:r>
    </w:p>
    <w:p>
      <w:pPr>
        <w:pStyle w:val="5"/>
        <w:ind w:firstLine="482" w:firstLineChars="200"/>
        <w:rPr>
          <w:rFonts w:hint="eastAsia" w:ascii="仿宋" w:hAnsi="仿宋" w:eastAsia="仿宋" w:cs="仿宋"/>
        </w:rPr>
      </w:pPr>
      <w:r>
        <w:rPr>
          <w:rFonts w:hint="eastAsia" w:ascii="仿宋" w:hAnsi="仿宋" w:eastAsia="仿宋" w:cs="仿宋"/>
        </w:rPr>
        <w:t>7.4 签订合同</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7.4.1 招标人和中标人应当自中标通知书发出之日起30天内，根据招标文件和中标人的投标文件订立书面合同；中标人无正当理由拒签合同或拒绝缴纳招标代理服务费的，招标人取消其中标资格，</w:t>
      </w:r>
      <w:r>
        <w:rPr>
          <w:rFonts w:hint="eastAsia" w:ascii="仿宋" w:hAnsi="仿宋" w:eastAsia="仿宋" w:cs="仿宋"/>
          <w:sz w:val="24"/>
          <w:szCs w:val="24"/>
          <w:lang w:eastAsia="zh-CN"/>
        </w:rPr>
        <w:t>中标人应按照相关规定承担相应的责任。</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rPr>
      </w:pPr>
      <w:bookmarkStart w:id="134" w:name="_Toc420591650"/>
      <w:bookmarkStart w:id="135" w:name="_Toc30488"/>
      <w:bookmarkStart w:id="136" w:name="_Toc425240471"/>
      <w:bookmarkStart w:id="137" w:name="_Toc421778372"/>
      <w:bookmarkStart w:id="138" w:name="_Toc18187"/>
      <w:r>
        <w:rPr>
          <w:rFonts w:hint="eastAsia" w:ascii="仿宋" w:hAnsi="仿宋" w:eastAsia="仿宋" w:cs="仿宋"/>
          <w:b/>
          <w:bCs/>
          <w:color w:val="auto"/>
          <w:sz w:val="24"/>
          <w:szCs w:val="24"/>
        </w:rPr>
        <w:t>8．重新招标和不再招标</w:t>
      </w:r>
      <w:bookmarkEnd w:id="134"/>
      <w:bookmarkEnd w:id="135"/>
      <w:bookmarkEnd w:id="136"/>
      <w:bookmarkEnd w:id="137"/>
      <w:bookmarkEnd w:id="138"/>
    </w:p>
    <w:p>
      <w:pPr>
        <w:spacing w:line="360" w:lineRule="auto"/>
        <w:ind w:firstLine="482" w:firstLineChars="200"/>
        <w:outlineLvl w:val="2"/>
        <w:rPr>
          <w:rFonts w:hint="eastAsia" w:ascii="仿宋" w:hAnsi="仿宋" w:eastAsia="仿宋" w:cs="仿宋"/>
          <w:b/>
          <w:bCs/>
          <w:color w:val="auto"/>
          <w:sz w:val="24"/>
          <w:szCs w:val="24"/>
        </w:rPr>
      </w:pPr>
      <w:bookmarkStart w:id="139" w:name="_Toc23717"/>
      <w:bookmarkStart w:id="140" w:name="_Toc3989"/>
      <w:r>
        <w:rPr>
          <w:rFonts w:hint="eastAsia" w:ascii="仿宋" w:hAnsi="仿宋" w:eastAsia="仿宋" w:cs="仿宋"/>
          <w:b/>
          <w:bCs/>
          <w:color w:val="auto"/>
          <w:sz w:val="24"/>
          <w:szCs w:val="24"/>
        </w:rPr>
        <w:t>8.1 重新招标</w:t>
      </w:r>
      <w:bookmarkEnd w:id="139"/>
      <w:bookmarkEnd w:id="140"/>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有下列情形之一的，招标人将重新招标：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（l）投标截止时间止，投标人少于3个的；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（2）经评标委员会评审后否决所有投标的。</w:t>
      </w:r>
    </w:p>
    <w:p>
      <w:pPr>
        <w:spacing w:line="360" w:lineRule="auto"/>
        <w:ind w:firstLine="482" w:firstLineChars="200"/>
        <w:outlineLvl w:val="2"/>
        <w:rPr>
          <w:rFonts w:hint="eastAsia" w:ascii="仿宋" w:hAnsi="仿宋" w:eastAsia="仿宋" w:cs="仿宋"/>
          <w:b/>
          <w:bCs/>
          <w:sz w:val="24"/>
          <w:szCs w:val="24"/>
        </w:rPr>
      </w:pPr>
      <w:bookmarkStart w:id="141" w:name="_Toc15596"/>
      <w:bookmarkStart w:id="142" w:name="_Toc26419"/>
      <w:r>
        <w:rPr>
          <w:rFonts w:hint="eastAsia" w:ascii="仿宋" w:hAnsi="仿宋" w:eastAsia="仿宋" w:cs="仿宋"/>
          <w:b/>
          <w:bCs/>
          <w:sz w:val="24"/>
          <w:szCs w:val="24"/>
        </w:rPr>
        <w:t>8.2 不再招标</w:t>
      </w:r>
      <w:bookmarkEnd w:id="141"/>
      <w:bookmarkEnd w:id="14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重新招标后投标人仍少于3个或者所有投标被否决的，属于必须审批或核准的工程建设项目，经原审批或核准部门批准后不再进行招标。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sz w:val="24"/>
          <w:szCs w:val="24"/>
        </w:rPr>
      </w:pPr>
      <w:bookmarkStart w:id="143" w:name="_Toc32389"/>
      <w:bookmarkStart w:id="144" w:name="_Toc421778373"/>
      <w:bookmarkStart w:id="145" w:name="_Toc425240472"/>
      <w:bookmarkStart w:id="146" w:name="_Toc4420"/>
      <w:bookmarkStart w:id="147" w:name="_Toc420591651"/>
      <w:r>
        <w:rPr>
          <w:rFonts w:hint="eastAsia" w:ascii="仿宋" w:hAnsi="仿宋" w:eastAsia="仿宋" w:cs="仿宋"/>
          <w:b/>
          <w:bCs/>
          <w:sz w:val="24"/>
          <w:szCs w:val="24"/>
        </w:rPr>
        <w:t>9．纪律和监督</w:t>
      </w:r>
      <w:bookmarkEnd w:id="143"/>
      <w:bookmarkEnd w:id="144"/>
      <w:bookmarkEnd w:id="145"/>
      <w:bookmarkEnd w:id="146"/>
      <w:bookmarkEnd w:id="147"/>
    </w:p>
    <w:p>
      <w:pPr>
        <w:spacing w:line="360" w:lineRule="auto"/>
        <w:ind w:firstLine="482" w:firstLineChars="200"/>
        <w:outlineLvl w:val="2"/>
        <w:rPr>
          <w:rFonts w:hint="eastAsia" w:ascii="仿宋" w:hAnsi="仿宋" w:eastAsia="仿宋" w:cs="仿宋"/>
          <w:b/>
          <w:bCs/>
          <w:sz w:val="24"/>
          <w:szCs w:val="24"/>
        </w:rPr>
      </w:pPr>
      <w:bookmarkStart w:id="148" w:name="_Toc350"/>
      <w:bookmarkStart w:id="149" w:name="_Toc962"/>
      <w:r>
        <w:rPr>
          <w:rFonts w:hint="eastAsia" w:ascii="仿宋" w:hAnsi="仿宋" w:eastAsia="仿宋" w:cs="仿宋"/>
          <w:b/>
          <w:bCs/>
          <w:sz w:val="24"/>
          <w:szCs w:val="24"/>
        </w:rPr>
        <w:t>9.1 对招标人的纪律要求</w:t>
      </w:r>
      <w:bookmarkEnd w:id="148"/>
      <w:bookmarkEnd w:id="14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招标人不得泄漏招标投标活动中应当保密的情况和资料，不得与投标人串通损害国家利益、社会公共利益或者他人合法权益。</w:t>
      </w:r>
    </w:p>
    <w:p>
      <w:pPr>
        <w:spacing w:line="360" w:lineRule="auto"/>
        <w:ind w:firstLine="482" w:firstLineChars="200"/>
        <w:outlineLvl w:val="2"/>
        <w:rPr>
          <w:rFonts w:hint="eastAsia" w:ascii="仿宋" w:hAnsi="仿宋" w:eastAsia="仿宋" w:cs="仿宋"/>
          <w:b/>
          <w:bCs/>
          <w:sz w:val="24"/>
          <w:szCs w:val="24"/>
        </w:rPr>
      </w:pPr>
      <w:bookmarkStart w:id="150" w:name="_Toc4068"/>
      <w:bookmarkStart w:id="151" w:name="_Toc5401"/>
      <w:r>
        <w:rPr>
          <w:rFonts w:hint="eastAsia" w:ascii="仿宋" w:hAnsi="仿宋" w:eastAsia="仿宋" w:cs="仿宋"/>
          <w:b/>
          <w:bCs/>
          <w:sz w:val="24"/>
          <w:szCs w:val="24"/>
        </w:rPr>
        <w:t>9.2 对投标人的纪律要求</w:t>
      </w:r>
      <w:bookmarkEnd w:id="150"/>
      <w:bookmarkEnd w:id="15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outlineLvl w:val="2"/>
        <w:rPr>
          <w:rFonts w:hint="eastAsia" w:ascii="仿宋" w:hAnsi="仿宋" w:eastAsia="仿宋" w:cs="仿宋"/>
          <w:b/>
          <w:bCs/>
          <w:sz w:val="24"/>
          <w:szCs w:val="24"/>
        </w:rPr>
      </w:pPr>
      <w:bookmarkStart w:id="152" w:name="_Toc27523"/>
      <w:bookmarkStart w:id="153" w:name="_Toc24478"/>
      <w:r>
        <w:rPr>
          <w:rFonts w:hint="eastAsia" w:ascii="仿宋" w:hAnsi="仿宋" w:eastAsia="仿宋" w:cs="仿宋"/>
          <w:b/>
          <w:bCs/>
          <w:sz w:val="24"/>
          <w:szCs w:val="24"/>
        </w:rPr>
        <w:t>9.3 对评标委员会成员的纪律要求</w:t>
      </w:r>
      <w:bookmarkEnd w:id="152"/>
      <w:bookmarkEnd w:id="15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outlineLvl w:val="2"/>
        <w:rPr>
          <w:rFonts w:hint="eastAsia" w:ascii="仿宋" w:hAnsi="仿宋" w:eastAsia="仿宋" w:cs="仿宋"/>
          <w:b/>
          <w:bCs/>
          <w:sz w:val="24"/>
          <w:szCs w:val="24"/>
        </w:rPr>
      </w:pPr>
      <w:bookmarkStart w:id="154" w:name="_Toc30530"/>
      <w:bookmarkStart w:id="155" w:name="_Toc16418"/>
      <w:r>
        <w:rPr>
          <w:rFonts w:hint="eastAsia" w:ascii="仿宋" w:hAnsi="仿宋" w:eastAsia="仿宋" w:cs="仿宋"/>
          <w:b/>
          <w:bCs/>
          <w:sz w:val="24"/>
          <w:szCs w:val="24"/>
        </w:rPr>
        <w:t>9.4 对与评标活动有关的工作人员的纪律要求</w:t>
      </w:r>
      <w:bookmarkEnd w:id="154"/>
      <w:bookmarkEnd w:id="1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outlineLvl w:val="2"/>
        <w:rPr>
          <w:rFonts w:hint="eastAsia" w:ascii="仿宋" w:hAnsi="仿宋" w:eastAsia="仿宋" w:cs="仿宋"/>
          <w:b/>
          <w:bCs/>
          <w:sz w:val="24"/>
          <w:szCs w:val="24"/>
        </w:rPr>
      </w:pPr>
      <w:bookmarkStart w:id="156" w:name="_Toc12879"/>
      <w:bookmarkStart w:id="157" w:name="_Toc21662"/>
      <w:r>
        <w:rPr>
          <w:rFonts w:hint="eastAsia" w:ascii="仿宋" w:hAnsi="仿宋" w:eastAsia="仿宋" w:cs="仿宋"/>
          <w:b/>
          <w:bCs/>
          <w:sz w:val="24"/>
          <w:szCs w:val="24"/>
        </w:rPr>
        <w:t>9.5 投诉</w:t>
      </w:r>
      <w:bookmarkEnd w:id="156"/>
      <w:bookmarkEnd w:id="15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投标人和其他利害关系人认为本次招标活动违反法律、法规和规章规定的，有权向有关行政监督部门投诉。</w:t>
      </w:r>
    </w:p>
    <w:p>
      <w:pPr>
        <w:spacing w:line="240" w:lineRule="auto"/>
        <w:jc w:val="left"/>
        <w:outlineLvl w:val="1"/>
        <w:rPr>
          <w:rFonts w:hint="eastAsia" w:ascii="仿宋" w:hAnsi="仿宋" w:eastAsia="仿宋" w:cs="仿宋"/>
          <w:b/>
          <w:bCs/>
          <w:sz w:val="24"/>
          <w:szCs w:val="24"/>
          <w:highlight w:val="none"/>
        </w:rPr>
      </w:pPr>
      <w:bookmarkStart w:id="158" w:name="_Toc21077"/>
      <w:bookmarkStart w:id="159" w:name="_Toc30705"/>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rPr>
        <w:t>．</w:t>
      </w:r>
      <w:r>
        <w:rPr>
          <w:rFonts w:hint="eastAsia" w:ascii="仿宋" w:hAnsi="仿宋" w:eastAsia="仿宋" w:cs="仿宋"/>
          <w:b/>
          <w:bCs/>
          <w:sz w:val="24"/>
          <w:szCs w:val="24"/>
          <w:highlight w:val="none"/>
        </w:rPr>
        <w:t>质疑</w:t>
      </w:r>
      <w:bookmarkEnd w:id="158"/>
      <w:bookmarkEnd w:id="15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10.1</w:t>
      </w:r>
      <w:r>
        <w:rPr>
          <w:rFonts w:hint="eastAsia" w:ascii="仿宋" w:hAnsi="仿宋" w:eastAsia="仿宋" w:cs="仿宋"/>
          <w:sz w:val="24"/>
          <w:szCs w:val="24"/>
        </w:rPr>
        <w:t>投标人认为招标文件、招标过程、中标结果使自己的权益受到损害的，可以在知道或者应知其权益受到损害之日起7个工作日内，以书面形式向采购人、采购代理机构提出质疑。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.2投标人必须在法定质疑期内一次性提出针对同一采购程序环节的质疑。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0.4以联合体形式参加政府采购活动的，其质疑应当由组成联合体的所有投标人共同提出。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0.5投标人提出质疑应当提交质疑函和必要的证明材料。质疑函应当包括下列内容：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0.5.1投标人的姓名或者名称、地址、邮编、联系人及联系电话；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.5.2质疑项目的名称、编号；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0.5.3具体、明确的质疑事项和与质疑事项相关的请求；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0.5.4事实依据；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0.5.5必要的法律依据；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0.5.6提出质疑的日期。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0.6有下列情形之一的，属于无效质疑，采购代理机构和采购人不予受理：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0.6.1质疑投标人不是参与本次政府采购项目的投标人；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0.6.2质疑投标人与质疑事项不存在利害关系的；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0.6.3未在法定期限内提出质疑的；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0.6.4质疑未以书面形式提出，或质疑函主要内容构成不完整的；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0.6.5应当提交授权书而未提交的；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0.6.6以非法手段取得证据、材料的；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0.6.7质疑答复后，同一质疑人就同一事项或同一采购程序环节再次提出质疑的；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0.6.8不符合法律、法规、规章和政府采购监管机构规定的其他条件的。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.7质疑答复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0.7.1采购人或采购代理机构在收到质疑函后7个工作日内作出答复，并以书面形式通知质疑投标人和其他有关投标人。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0.7.2质疑投标人对采购人、采购代理机构的答复不满意，或者采购人、采购代理机构未在规定时间内作出答复的，可以在答复期满后15个工作日内向</w:t>
      </w:r>
      <w:r>
        <w:rPr>
          <w:rFonts w:hint="eastAsia" w:ascii="仿宋" w:hAnsi="仿宋" w:eastAsia="仿宋" w:cs="仿宋"/>
          <w:sz w:val="24"/>
          <w:szCs w:val="24"/>
          <w:highlight w:val="none"/>
          <w:lang w:eastAsia="zh-CN"/>
        </w:rPr>
        <w:t>同级人民政府财政部门</w:t>
      </w:r>
      <w:r>
        <w:rPr>
          <w:rFonts w:hint="eastAsia" w:ascii="仿宋" w:hAnsi="仿宋" w:eastAsia="仿宋" w:cs="仿宋"/>
          <w:sz w:val="24"/>
          <w:szCs w:val="24"/>
        </w:rPr>
        <w:t>提起投诉。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0.8其他需要说明的事项</w:t>
      </w:r>
    </w:p>
    <w:p>
      <w:pPr>
        <w:pStyle w:val="11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bookmarkStart w:id="160" w:name="_Toc420591652"/>
      <w:bookmarkStart w:id="161" w:name="_Toc421778374"/>
      <w:bookmarkStart w:id="162" w:name="_Toc425240473"/>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pPr>
        <w:pStyle w:val="11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10.8.2接收质疑函的方式：书面形式</w:t>
      </w:r>
    </w:p>
    <w:p>
      <w:pPr>
        <w:pStyle w:val="11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.8.3联系部门：华夏国际项目管理有限公司招标部</w:t>
      </w:r>
    </w:p>
    <w:p>
      <w:pPr>
        <w:pStyle w:val="11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.8.4联系电话：见投标人须知前附表</w:t>
      </w:r>
    </w:p>
    <w:p>
      <w:pPr>
        <w:pStyle w:val="112"/>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color w:val="auto"/>
          <w:sz w:val="24"/>
          <w:szCs w:val="24"/>
          <w:highlight w:val="none"/>
          <w:lang w:val="en-US" w:eastAsia="zh-CN"/>
        </w:rPr>
        <w:t>.8.5通讯地址：</w:t>
      </w:r>
      <w:r>
        <w:rPr>
          <w:rFonts w:hint="eastAsia" w:ascii="仿宋" w:hAnsi="仿宋" w:eastAsia="仿宋" w:cs="仿宋"/>
          <w:color w:val="auto"/>
          <w:sz w:val="24"/>
          <w:szCs w:val="24"/>
        </w:rPr>
        <w:t>西安市高新区科技五路8号数字大厦11楼</w:t>
      </w:r>
    </w:p>
    <w:p>
      <w:pPr>
        <w:numPr>
          <w:ilvl w:val="0"/>
          <w:numId w:val="6"/>
        </w:numPr>
        <w:spacing w:beforeLines="50" w:afterLines="50" w:line="360" w:lineRule="auto"/>
        <w:jc w:val="left"/>
        <w:outlineLvl w:val="1"/>
        <w:rPr>
          <w:rFonts w:hint="eastAsia" w:ascii="仿宋" w:hAnsi="仿宋" w:eastAsia="仿宋" w:cs="仿宋"/>
          <w:b/>
          <w:bCs/>
          <w:color w:val="auto"/>
          <w:sz w:val="24"/>
          <w:szCs w:val="24"/>
        </w:rPr>
      </w:pPr>
      <w:bookmarkStart w:id="163" w:name="_Toc4381"/>
      <w:bookmarkStart w:id="164" w:name="_Toc3230"/>
      <w:r>
        <w:rPr>
          <w:rFonts w:hint="eastAsia" w:ascii="仿宋" w:hAnsi="仿宋" w:eastAsia="仿宋" w:cs="仿宋"/>
          <w:b/>
          <w:bCs/>
          <w:color w:val="auto"/>
          <w:sz w:val="24"/>
          <w:szCs w:val="24"/>
        </w:rPr>
        <w:t>需要补充的其他内容</w:t>
      </w:r>
      <w:bookmarkStart w:id="165" w:name="_Toc35630590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见投标人须知前附表</w:t>
      </w:r>
      <w:bookmarkEnd w:id="165"/>
      <w:r>
        <w:rPr>
          <w:rFonts w:hint="eastAsia" w:ascii="仿宋" w:hAnsi="仿宋" w:eastAsia="仿宋" w:cs="仿宋"/>
          <w:color w:val="auto"/>
          <w:sz w:val="24"/>
          <w:szCs w:val="24"/>
        </w:rPr>
        <w:t>。</w:t>
      </w:r>
      <w:bookmarkEnd w:id="160"/>
      <w:bookmarkEnd w:id="161"/>
      <w:bookmarkEnd w:id="162"/>
      <w:bookmarkEnd w:id="163"/>
      <w:bookmarkEnd w:id="164"/>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highlight w:val="none"/>
          <w:lang w:eastAsia="zh-CN"/>
        </w:rPr>
      </w:pPr>
      <w:bookmarkStart w:id="166" w:name="_Toc29494"/>
      <w:bookmarkStart w:id="167" w:name="_Toc10952"/>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合同鉴证</w:t>
      </w:r>
      <w:bookmarkEnd w:id="166"/>
      <w:bookmarkEnd w:id="167"/>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本项目不收取合同鉴证费。</w:t>
      </w:r>
    </w:p>
    <w:p>
      <w:pPr>
        <w:rPr>
          <w:rFonts w:hint="eastAsia"/>
          <w:lang w:eastAsia="zh-CN"/>
        </w:rPr>
      </w:pPr>
    </w:p>
    <w:p>
      <w:pPr>
        <w:pStyle w:val="14"/>
        <w:widowControl w:val="0"/>
        <w:numPr>
          <w:ilvl w:val="0"/>
          <w:numId w:val="0"/>
        </w:numPr>
        <w:jc w:val="both"/>
        <w:rPr>
          <w:rFonts w:hint="eastAsia" w:ascii="仿宋" w:hAnsi="仿宋" w:eastAsia="仿宋" w:cs="仿宋"/>
          <w:b/>
          <w:bCs/>
          <w:color w:val="FF0000"/>
          <w:sz w:val="24"/>
          <w:szCs w:val="24"/>
          <w:highlight w:val="none"/>
          <w:lang w:eastAsia="zh-CN"/>
        </w:rPr>
        <w:sectPr>
          <w:pgSz w:w="11906" w:h="16838"/>
          <w:pgMar w:top="1417" w:right="1417" w:bottom="1417" w:left="1701" w:header="851" w:footer="992" w:gutter="0"/>
          <w:pgNumType w:fmt="decimal"/>
          <w:cols w:space="0" w:num="1"/>
          <w:docGrid w:type="lines" w:linePitch="312" w:charSpace="0"/>
        </w:sectPr>
      </w:pPr>
    </w:p>
    <w:p>
      <w:pPr>
        <w:pStyle w:val="3"/>
        <w:spacing w:afterLines="50"/>
        <w:jc w:val="center"/>
        <w:rPr>
          <w:rFonts w:hint="eastAsia" w:ascii="仿宋" w:hAnsi="仿宋" w:eastAsia="仿宋" w:cs="仿宋"/>
          <w:sz w:val="32"/>
          <w:szCs w:val="32"/>
        </w:rPr>
      </w:pPr>
      <w:bookmarkStart w:id="168" w:name="_Toc421778376"/>
      <w:bookmarkStart w:id="169" w:name="_Toc26917"/>
      <w:r>
        <w:rPr>
          <w:rFonts w:hint="eastAsia" w:ascii="仿宋" w:hAnsi="仿宋" w:eastAsia="仿宋" w:cs="仿宋"/>
          <w:sz w:val="32"/>
          <w:szCs w:val="32"/>
        </w:rPr>
        <w:t>第三章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评标办法</w:t>
      </w:r>
      <w:bookmarkEnd w:id="168"/>
      <w:bookmarkEnd w:id="169"/>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rPr>
      </w:pPr>
      <w:r>
        <w:rPr>
          <w:rFonts w:hint="eastAsia" w:ascii="仿宋" w:hAnsi="仿宋" w:eastAsia="仿宋" w:cs="仿宋"/>
          <w:sz w:val="24"/>
          <w:szCs w:val="24"/>
        </w:rPr>
        <w:t>一、评标方法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按照《中华人民共和国政</w:t>
      </w:r>
      <w:r>
        <w:rPr>
          <w:rFonts w:hint="eastAsia" w:ascii="仿宋" w:hAnsi="仿宋" w:eastAsia="仿宋" w:cs="仿宋"/>
          <w:sz w:val="24"/>
          <w:szCs w:val="24"/>
          <w:lang w:eastAsia="zh-CN"/>
        </w:rPr>
        <w:t>府采购</w:t>
      </w:r>
      <w:r>
        <w:rPr>
          <w:rFonts w:hint="eastAsia" w:ascii="仿宋" w:hAnsi="仿宋" w:eastAsia="仿宋" w:cs="仿宋"/>
          <w:sz w:val="24"/>
          <w:szCs w:val="24"/>
        </w:rPr>
        <w:t>法》</w:t>
      </w:r>
      <w:r>
        <w:rPr>
          <w:rFonts w:hint="eastAsia" w:ascii="仿宋" w:hAnsi="仿宋" w:eastAsia="仿宋" w:cs="仿宋"/>
          <w:sz w:val="24"/>
          <w:szCs w:val="24"/>
          <w:lang w:eastAsia="zh-CN"/>
        </w:rPr>
        <w:t>及实施条例、</w:t>
      </w:r>
      <w:r>
        <w:rPr>
          <w:rFonts w:hint="eastAsia" w:ascii="仿宋" w:hAnsi="仿宋" w:eastAsia="仿宋" w:cs="仿宋"/>
          <w:sz w:val="24"/>
          <w:szCs w:val="24"/>
        </w:rPr>
        <w:t>《中华人民共和国招标投标法</w:t>
      </w:r>
      <w:r>
        <w:rPr>
          <w:rFonts w:hint="eastAsia" w:ascii="仿宋" w:hAnsi="仿宋" w:eastAsia="仿宋" w:cs="仿宋"/>
          <w:sz w:val="24"/>
          <w:szCs w:val="24"/>
          <w:lang w:eastAsia="zh-CN"/>
        </w:rPr>
        <w:t>》及</w:t>
      </w:r>
      <w:r>
        <w:rPr>
          <w:rFonts w:hint="eastAsia" w:ascii="仿宋" w:hAnsi="仿宋" w:eastAsia="仿宋" w:cs="仿宋"/>
          <w:sz w:val="24"/>
          <w:szCs w:val="24"/>
        </w:rPr>
        <w:t>实施条例的规定，本次评标采用综合评分法，即在最大限度地满足招标文件实质性要求前提下，按照招标文件中规定的各项因素和相应的权重分值进行综合评审后，以总得分最高的</w:t>
      </w:r>
      <w:r>
        <w:rPr>
          <w:rFonts w:hint="eastAsia" w:ascii="仿宋" w:hAnsi="仿宋" w:eastAsia="仿宋" w:cs="仿宋"/>
          <w:sz w:val="24"/>
          <w:szCs w:val="24"/>
          <w:lang w:eastAsia="zh-CN"/>
        </w:rPr>
        <w:t>投标人</w:t>
      </w:r>
      <w:r>
        <w:rPr>
          <w:rFonts w:hint="eastAsia" w:ascii="仿宋" w:hAnsi="仿宋" w:eastAsia="仿宋" w:cs="仿宋"/>
          <w:sz w:val="24"/>
          <w:szCs w:val="24"/>
        </w:rPr>
        <w:t>作为中标候选人并依次排序（最低报价不是中标的唯一标准）。</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w:t>
      </w:r>
      <w:r>
        <w:rPr>
          <w:rFonts w:hint="eastAsia" w:ascii="仿宋" w:hAnsi="仿宋" w:eastAsia="仿宋" w:cs="仿宋"/>
          <w:sz w:val="24"/>
          <w:szCs w:val="24"/>
        </w:rPr>
        <w:t>评标程序</w:t>
      </w:r>
    </w:p>
    <w:p>
      <w:pPr>
        <w:pStyle w:val="5"/>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本采购项目评标按照下列工作程序进行</w:t>
      </w:r>
    </w:p>
    <w:p>
      <w:pPr>
        <w:spacing w:line="360" w:lineRule="auto"/>
        <w:ind w:firstLine="495"/>
        <w:rPr>
          <w:rFonts w:hint="eastAsia" w:ascii="仿宋" w:hAnsi="仿宋" w:eastAsia="仿宋" w:cs="仿宋"/>
          <w:sz w:val="24"/>
        </w:rPr>
      </w:pPr>
      <w:r>
        <w:rPr>
          <w:rFonts w:hint="eastAsia" w:ascii="仿宋" w:hAnsi="仿宋" w:eastAsia="仿宋" w:cs="仿宋"/>
          <w:sz w:val="24"/>
        </w:rPr>
        <w:t>（1）投标文件初审；</w:t>
      </w:r>
    </w:p>
    <w:p>
      <w:pPr>
        <w:spacing w:line="360" w:lineRule="auto"/>
        <w:ind w:firstLine="495"/>
        <w:rPr>
          <w:rFonts w:hint="eastAsia" w:ascii="仿宋" w:hAnsi="仿宋" w:eastAsia="仿宋" w:cs="仿宋"/>
          <w:sz w:val="24"/>
        </w:rPr>
      </w:pPr>
      <w:r>
        <w:rPr>
          <w:rFonts w:hint="eastAsia" w:ascii="仿宋" w:hAnsi="仿宋" w:eastAsia="仿宋" w:cs="仿宋"/>
          <w:sz w:val="24"/>
        </w:rPr>
        <w:t>（2）澄清有关问题；</w:t>
      </w:r>
    </w:p>
    <w:p>
      <w:pPr>
        <w:spacing w:line="360" w:lineRule="auto"/>
        <w:ind w:firstLine="495"/>
        <w:rPr>
          <w:rFonts w:hint="eastAsia" w:ascii="仿宋" w:hAnsi="仿宋" w:eastAsia="仿宋" w:cs="仿宋"/>
          <w:sz w:val="24"/>
        </w:rPr>
      </w:pPr>
      <w:r>
        <w:rPr>
          <w:rFonts w:hint="eastAsia" w:ascii="仿宋" w:hAnsi="仿宋" w:eastAsia="仿宋" w:cs="仿宋"/>
          <w:sz w:val="24"/>
        </w:rPr>
        <w:t>（3）比较与评价；</w:t>
      </w:r>
    </w:p>
    <w:p>
      <w:pPr>
        <w:spacing w:line="360" w:lineRule="auto"/>
        <w:ind w:firstLine="495"/>
        <w:rPr>
          <w:rFonts w:hint="eastAsia" w:ascii="仿宋" w:hAnsi="仿宋" w:eastAsia="仿宋" w:cs="仿宋"/>
          <w:sz w:val="24"/>
        </w:rPr>
      </w:pPr>
      <w:r>
        <w:rPr>
          <w:rFonts w:hint="eastAsia" w:ascii="仿宋" w:hAnsi="仿宋" w:eastAsia="仿宋" w:cs="仿宋"/>
          <w:sz w:val="24"/>
        </w:rPr>
        <w:t>（4）推荐中标候选人名单；</w:t>
      </w:r>
    </w:p>
    <w:p>
      <w:pPr>
        <w:spacing w:line="360" w:lineRule="auto"/>
        <w:ind w:firstLine="495"/>
        <w:rPr>
          <w:rFonts w:hint="eastAsia" w:ascii="仿宋" w:hAnsi="仿宋" w:eastAsia="仿宋" w:cs="仿宋"/>
          <w:sz w:val="24"/>
        </w:rPr>
      </w:pPr>
      <w:r>
        <w:rPr>
          <w:rFonts w:hint="eastAsia" w:ascii="仿宋" w:hAnsi="仿宋" w:eastAsia="仿宋" w:cs="仿宋"/>
          <w:sz w:val="24"/>
        </w:rPr>
        <w:t>（5）编写评标报告。</w:t>
      </w:r>
    </w:p>
    <w:p>
      <w:pPr>
        <w:spacing w:line="360" w:lineRule="auto"/>
        <w:ind w:firstLine="480" w:firstLineChars="200"/>
        <w:rPr>
          <w:rFonts w:hint="eastAsia" w:ascii="仿宋" w:hAnsi="仿宋" w:eastAsia="仿宋" w:cs="仿宋"/>
          <w:lang w:eastAsia="zh-CN"/>
        </w:rPr>
      </w:pPr>
      <w:r>
        <w:rPr>
          <w:rFonts w:hint="eastAsia" w:ascii="仿宋" w:hAnsi="仿宋" w:eastAsia="仿宋" w:cs="仿宋"/>
          <w:bCs/>
          <w:sz w:val="24"/>
        </w:rPr>
        <w:t>在上一步评审中被认定无效投标者，不进入下一步的评审</w:t>
      </w:r>
      <w:r>
        <w:rPr>
          <w:rFonts w:hint="eastAsia" w:ascii="仿宋" w:hAnsi="仿宋" w:eastAsia="仿宋" w:cs="仿宋"/>
          <w:bCs/>
          <w:sz w:val="24"/>
          <w:lang w:eastAsia="zh-CN"/>
        </w:rPr>
        <w:t>。</w:t>
      </w:r>
    </w:p>
    <w:p>
      <w:pPr>
        <w:pStyle w:val="5"/>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投标文件初审</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lang w:val="en-US" w:eastAsia="zh-CN"/>
        </w:rPr>
        <w:t>2.1</w:t>
      </w:r>
      <w:r>
        <w:rPr>
          <w:rFonts w:hint="eastAsia" w:ascii="仿宋" w:hAnsi="仿宋" w:eastAsia="仿宋" w:cs="仿宋"/>
          <w:b w:val="0"/>
          <w:bCs w:val="0"/>
          <w:color w:val="000000"/>
          <w:sz w:val="24"/>
        </w:rPr>
        <w:t>资格</w:t>
      </w:r>
      <w:r>
        <w:rPr>
          <w:rFonts w:hint="eastAsia" w:ascii="仿宋" w:hAnsi="仿宋" w:eastAsia="仿宋" w:cs="仿宋"/>
          <w:b w:val="0"/>
          <w:bCs w:val="0"/>
          <w:color w:val="000000"/>
          <w:sz w:val="24"/>
          <w:highlight w:val="none"/>
        </w:rPr>
        <w:t>性审查</w:t>
      </w:r>
      <w:r>
        <w:rPr>
          <w:rFonts w:hint="eastAsia" w:ascii="仿宋" w:hAnsi="仿宋" w:eastAsia="仿宋" w:cs="仿宋"/>
          <w:b w:val="0"/>
          <w:bCs w:val="0"/>
          <w:color w:val="000000"/>
          <w:sz w:val="24"/>
          <w:highlight w:val="none"/>
          <w:lang w:eastAsia="zh-CN"/>
        </w:rPr>
        <w:t>：评标委员会</w:t>
      </w:r>
      <w:r>
        <w:rPr>
          <w:rFonts w:hint="eastAsia" w:ascii="仿宋" w:hAnsi="仿宋" w:eastAsia="仿宋" w:cs="仿宋"/>
          <w:b w:val="0"/>
          <w:bCs w:val="0"/>
          <w:color w:val="000000"/>
          <w:sz w:val="24"/>
          <w:highlight w:val="none"/>
        </w:rPr>
        <w:t>根据</w:t>
      </w:r>
      <w:r>
        <w:rPr>
          <w:rFonts w:hint="eastAsia" w:ascii="仿宋" w:hAnsi="仿宋" w:eastAsia="仿宋" w:cs="仿宋"/>
          <w:b w:val="0"/>
          <w:bCs w:val="0"/>
          <w:color w:val="auto"/>
          <w:sz w:val="24"/>
          <w:highlight w:val="none"/>
        </w:rPr>
        <w:t>本章</w:t>
      </w:r>
      <w:r>
        <w:rPr>
          <w:rFonts w:hint="eastAsia" w:ascii="仿宋" w:hAnsi="仿宋" w:eastAsia="仿宋" w:cs="仿宋"/>
          <w:b w:val="0"/>
          <w:bCs w:val="0"/>
          <w:color w:val="auto"/>
          <w:sz w:val="24"/>
          <w:highlight w:val="none"/>
          <w:lang w:val="en-US" w:eastAsia="zh-CN"/>
        </w:rPr>
        <w:t>“四、评审标准 1、初步评审标准”第1.1</w:t>
      </w:r>
      <w:r>
        <w:rPr>
          <w:rFonts w:hint="eastAsia" w:ascii="仿宋" w:hAnsi="仿宋" w:eastAsia="仿宋" w:cs="仿宋"/>
          <w:b w:val="0"/>
          <w:bCs w:val="0"/>
          <w:color w:val="auto"/>
          <w:sz w:val="24"/>
          <w:highlight w:val="none"/>
        </w:rPr>
        <w:t>项规定的</w:t>
      </w:r>
      <w:r>
        <w:rPr>
          <w:rFonts w:hint="eastAsia" w:ascii="仿宋" w:hAnsi="仿宋" w:eastAsia="仿宋" w:cs="仿宋"/>
          <w:b w:val="0"/>
          <w:bCs w:val="0"/>
          <w:color w:val="000000"/>
          <w:sz w:val="24"/>
          <w:highlight w:val="none"/>
        </w:rPr>
        <w:t>评审标准对</w:t>
      </w:r>
      <w:r>
        <w:rPr>
          <w:rFonts w:hint="eastAsia" w:ascii="仿宋" w:hAnsi="仿宋" w:eastAsia="仿宋" w:cs="仿宋"/>
          <w:b w:val="0"/>
          <w:bCs w:val="0"/>
          <w:color w:val="000000"/>
          <w:sz w:val="24"/>
          <w:highlight w:val="none"/>
          <w:lang w:eastAsia="zh-CN"/>
        </w:rPr>
        <w:t>投标人</w:t>
      </w:r>
      <w:r>
        <w:rPr>
          <w:rFonts w:hint="eastAsia" w:ascii="仿宋" w:hAnsi="仿宋" w:eastAsia="仿宋" w:cs="仿宋"/>
          <w:b w:val="0"/>
          <w:bCs w:val="0"/>
          <w:color w:val="000000"/>
          <w:sz w:val="24"/>
          <w:highlight w:val="none"/>
        </w:rPr>
        <w:t>进行</w:t>
      </w:r>
      <w:r>
        <w:rPr>
          <w:rFonts w:hint="eastAsia" w:ascii="仿宋" w:hAnsi="仿宋" w:eastAsia="仿宋" w:cs="仿宋"/>
          <w:b w:val="0"/>
          <w:bCs w:val="0"/>
          <w:color w:val="000000"/>
          <w:sz w:val="24"/>
          <w:highlight w:val="none"/>
          <w:lang w:eastAsia="zh-CN"/>
        </w:rPr>
        <w:t>资格性审查</w:t>
      </w:r>
      <w:r>
        <w:rPr>
          <w:rFonts w:hint="eastAsia" w:ascii="仿宋" w:hAnsi="仿宋" w:eastAsia="仿宋" w:cs="仿宋"/>
          <w:b w:val="0"/>
          <w:bCs w:val="0"/>
          <w:color w:val="000000"/>
          <w:sz w:val="24"/>
          <w:highlight w:val="none"/>
        </w:rPr>
        <w:t>。有一项不符合评审标准的，</w:t>
      </w:r>
      <w:r>
        <w:rPr>
          <w:rFonts w:hint="eastAsia" w:ascii="仿宋" w:hAnsi="仿宋" w:eastAsia="仿宋" w:cs="仿宋"/>
          <w:b w:val="0"/>
          <w:bCs w:val="0"/>
          <w:color w:val="000000"/>
          <w:sz w:val="24"/>
          <w:highlight w:val="none"/>
          <w:lang w:eastAsia="zh-CN"/>
        </w:rPr>
        <w:t>将被认定为无效投标</w:t>
      </w:r>
      <w:r>
        <w:rPr>
          <w:rFonts w:hint="eastAsia" w:ascii="仿宋" w:hAnsi="仿宋" w:eastAsia="仿宋" w:cs="仿宋"/>
          <w:b w:val="0"/>
          <w:bCs w:val="0"/>
          <w:color w:val="00000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70" w:firstLineChars="196"/>
        <w:textAlignment w:val="auto"/>
        <w:outlineLvl w:val="9"/>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lang w:val="en-US" w:eastAsia="zh-CN"/>
        </w:rPr>
        <w:t>2.2</w:t>
      </w:r>
      <w:r>
        <w:rPr>
          <w:rFonts w:hint="eastAsia" w:ascii="仿宋" w:hAnsi="仿宋" w:eastAsia="仿宋" w:cs="仿宋"/>
          <w:b w:val="0"/>
          <w:bCs w:val="0"/>
          <w:color w:val="000000"/>
          <w:sz w:val="24"/>
          <w:highlight w:val="none"/>
          <w:lang w:eastAsia="zh-CN"/>
        </w:rPr>
        <w:t>符合性审查：</w:t>
      </w:r>
      <w:r>
        <w:rPr>
          <w:rFonts w:hint="eastAsia" w:ascii="仿宋" w:hAnsi="仿宋" w:eastAsia="仿宋" w:cs="仿宋"/>
          <w:b w:val="0"/>
          <w:bCs w:val="0"/>
          <w:color w:val="000000"/>
          <w:sz w:val="24"/>
          <w:highlight w:val="none"/>
        </w:rPr>
        <w:t>评标委员会根据</w:t>
      </w:r>
      <w:r>
        <w:rPr>
          <w:rFonts w:hint="eastAsia" w:ascii="仿宋" w:hAnsi="仿宋" w:eastAsia="仿宋" w:cs="仿宋"/>
          <w:b w:val="0"/>
          <w:bCs w:val="0"/>
          <w:color w:val="000000"/>
          <w:sz w:val="24"/>
          <w:highlight w:val="none"/>
          <w:lang w:eastAsia="zh-CN"/>
        </w:rPr>
        <w:t>本章</w:t>
      </w:r>
      <w:r>
        <w:rPr>
          <w:rFonts w:hint="eastAsia" w:ascii="仿宋" w:hAnsi="仿宋" w:eastAsia="仿宋" w:cs="仿宋"/>
          <w:b w:val="0"/>
          <w:bCs w:val="0"/>
          <w:color w:val="000000"/>
          <w:sz w:val="24"/>
          <w:highlight w:val="none"/>
          <w:lang w:val="en-US" w:eastAsia="zh-CN"/>
        </w:rPr>
        <w:t>“四、评审标准 1、初步评审标准”第1.2</w:t>
      </w:r>
      <w:r>
        <w:rPr>
          <w:rFonts w:hint="eastAsia" w:ascii="仿宋" w:hAnsi="仿宋" w:eastAsia="仿宋" w:cs="仿宋"/>
          <w:b w:val="0"/>
          <w:bCs w:val="0"/>
          <w:color w:val="000000"/>
          <w:sz w:val="24"/>
          <w:highlight w:val="none"/>
        </w:rPr>
        <w:t>项规定的评审标准对投标文件进行</w:t>
      </w:r>
      <w:r>
        <w:rPr>
          <w:rFonts w:hint="eastAsia" w:ascii="仿宋" w:hAnsi="仿宋" w:eastAsia="仿宋" w:cs="仿宋"/>
          <w:b w:val="0"/>
          <w:bCs w:val="0"/>
          <w:color w:val="000000"/>
          <w:sz w:val="24"/>
          <w:highlight w:val="none"/>
          <w:lang w:eastAsia="zh-CN"/>
        </w:rPr>
        <w:t>符合性</w:t>
      </w:r>
      <w:r>
        <w:rPr>
          <w:rFonts w:hint="eastAsia" w:ascii="仿宋" w:hAnsi="仿宋" w:eastAsia="仿宋" w:cs="仿宋"/>
          <w:b w:val="0"/>
          <w:bCs w:val="0"/>
          <w:color w:val="000000"/>
          <w:sz w:val="24"/>
          <w:highlight w:val="none"/>
        </w:rPr>
        <w:t>评审。有一项不符合评审标准的，评标委员会应当否决其投标。</w:t>
      </w:r>
    </w:p>
    <w:p>
      <w:pPr>
        <w:spacing w:line="360" w:lineRule="auto"/>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2.3在资格性审查阶段，不符合招标文件要求的，不得进入符合性审查，在符合性审查时未通过的，不得进入后续评审环节。</w:t>
      </w:r>
    </w:p>
    <w:p>
      <w:pPr>
        <w:pStyle w:val="5"/>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投标文件的澄清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3.2有效的书面澄清材料，是投标文件的补充材料，成为投标文件的组成部分。</w:t>
      </w:r>
    </w:p>
    <w:p>
      <w:pPr>
        <w:spacing w:line="360" w:lineRule="auto"/>
        <w:ind w:firstLine="480" w:firstLineChars="200"/>
        <w:rPr>
          <w:rFonts w:hint="eastAsia" w:ascii="仿宋" w:hAnsi="仿宋" w:eastAsia="仿宋" w:cs="仿宋"/>
          <w:spacing w:val="4"/>
          <w:sz w:val="24"/>
          <w:szCs w:val="24"/>
          <w:lang w:val="en-US" w:eastAsia="zh-CN"/>
        </w:rPr>
      </w:pPr>
      <w:r>
        <w:rPr>
          <w:rFonts w:hint="eastAsia" w:ascii="仿宋" w:hAnsi="仿宋" w:eastAsia="仿宋" w:cs="仿宋"/>
          <w:sz w:val="24"/>
        </w:rPr>
        <w:t>3.3评标委员会发现投标人的报价明显低于其他投标报价、或明显低于市场价格，使得其投标报价可能低于其成本的，有可能影响产品质量或者不能诚信履约的，应当要求其在合理的时间内做出书面说明并提交相关证明材料。投标人不能证明其报价合理性的，由评标委员会认定该投标人以低于成本报价竞标，将其作为无效投标处理。</w:t>
      </w:r>
    </w:p>
    <w:p>
      <w:pPr>
        <w:spacing w:line="360" w:lineRule="auto"/>
        <w:ind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对于投标文件中可能出现的不一致和算术计算错误按以下方法更正：</w:t>
      </w:r>
    </w:p>
    <w:p>
      <w:pPr>
        <w:numPr>
          <w:ilvl w:val="0"/>
          <w:numId w:val="7"/>
        </w:numPr>
        <w:spacing w:line="360" w:lineRule="auto"/>
        <w:ind w:left="0" w:leftChars="0" w:firstLine="419" w:firstLineChars="169"/>
        <w:rPr>
          <w:rFonts w:hint="eastAsia" w:ascii="仿宋" w:hAnsi="仿宋" w:eastAsia="仿宋" w:cs="仿宋"/>
          <w:spacing w:val="4"/>
          <w:sz w:val="24"/>
          <w:szCs w:val="24"/>
        </w:rPr>
      </w:pPr>
      <w:r>
        <w:rPr>
          <w:rFonts w:hint="eastAsia" w:ascii="仿宋" w:hAnsi="仿宋" w:eastAsia="仿宋" w:cs="仿宋"/>
          <w:spacing w:val="4"/>
          <w:sz w:val="24"/>
          <w:szCs w:val="24"/>
        </w:rPr>
        <w:t>投标文件中开标一览表(报价表)内容与投标文件中明细表内容不一致的，以开标一览表(报价表)为准；</w:t>
      </w:r>
    </w:p>
    <w:p>
      <w:pPr>
        <w:numPr>
          <w:ilvl w:val="0"/>
          <w:numId w:val="7"/>
        </w:numPr>
        <w:spacing w:line="360" w:lineRule="auto"/>
        <w:ind w:left="0" w:leftChars="0" w:firstLine="419" w:firstLineChars="169"/>
        <w:rPr>
          <w:rFonts w:hint="eastAsia" w:ascii="仿宋" w:hAnsi="仿宋" w:eastAsia="仿宋" w:cs="仿宋"/>
          <w:sz w:val="24"/>
        </w:rPr>
      </w:pPr>
      <w:r>
        <w:rPr>
          <w:rFonts w:hint="eastAsia" w:ascii="仿宋" w:hAnsi="仿宋" w:eastAsia="仿宋" w:cs="仿宋"/>
          <w:spacing w:val="4"/>
          <w:sz w:val="24"/>
          <w:szCs w:val="24"/>
        </w:rPr>
        <w:t>投标文件的大写金额和小写金额不一致的，以大写金额为准；总价金额与按单价汇总金额不一致的，以单价金额计算结果为准；单价金额小数点有明显错位的，应以总价为准，并修改单价；</w:t>
      </w:r>
    </w:p>
    <w:p>
      <w:pPr>
        <w:numPr>
          <w:ilvl w:val="0"/>
          <w:numId w:val="7"/>
        </w:numPr>
        <w:spacing w:line="360" w:lineRule="auto"/>
        <w:ind w:left="0" w:leftChars="0" w:firstLine="419" w:firstLineChars="169"/>
        <w:rPr>
          <w:rFonts w:hint="eastAsia" w:ascii="仿宋" w:hAnsi="仿宋" w:eastAsia="仿宋" w:cs="仿宋"/>
          <w:sz w:val="24"/>
        </w:rPr>
      </w:pPr>
      <w:r>
        <w:rPr>
          <w:rFonts w:hint="eastAsia" w:ascii="仿宋" w:hAnsi="仿宋" w:eastAsia="仿宋" w:cs="仿宋"/>
          <w:spacing w:val="4"/>
          <w:sz w:val="24"/>
          <w:szCs w:val="24"/>
        </w:rPr>
        <w:t>如果单独密封的“开标一览表”中的投标报价与投标正本的投标报价不一致，以单独密封的“开标一览表”中的投标报价为准。如果投标人不接受对其错误的更正，其投标将按无效投标处理。</w:t>
      </w:r>
    </w:p>
    <w:p>
      <w:pPr>
        <w:pStyle w:val="5"/>
        <w:rPr>
          <w:rFonts w:hint="eastAsia" w:ascii="仿宋" w:hAnsi="仿宋" w:eastAsia="仿宋" w:cs="仿宋"/>
          <w:sz w:val="24"/>
          <w:szCs w:val="24"/>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sz w:val="24"/>
          <w:szCs w:val="24"/>
        </w:rPr>
        <w:t>投标文件比较与评价</w:t>
      </w:r>
    </w:p>
    <w:p>
      <w:pPr>
        <w:tabs>
          <w:tab w:val="left" w:pos="0"/>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bCs/>
          <w:sz w:val="24"/>
          <w:szCs w:val="24"/>
        </w:rPr>
        <w:t>评委</w:t>
      </w:r>
      <w:r>
        <w:rPr>
          <w:rFonts w:hint="eastAsia" w:ascii="仿宋" w:hAnsi="仿宋" w:eastAsia="仿宋" w:cs="仿宋"/>
          <w:bCs/>
          <w:sz w:val="24"/>
          <w:szCs w:val="24"/>
          <w:lang w:eastAsia="zh-CN"/>
        </w:rPr>
        <w:t>委员</w:t>
      </w:r>
      <w:r>
        <w:rPr>
          <w:rFonts w:hint="eastAsia" w:ascii="仿宋" w:hAnsi="仿宋" w:eastAsia="仿宋" w:cs="仿宋"/>
          <w:bCs/>
          <w:sz w:val="24"/>
          <w:szCs w:val="24"/>
        </w:rPr>
        <w:t>会应按照招标文件中规定的评标方法</w:t>
      </w:r>
      <w:r>
        <w:rPr>
          <w:rFonts w:hint="eastAsia" w:ascii="仿宋" w:hAnsi="仿宋" w:eastAsia="仿宋" w:cs="仿宋"/>
          <w:sz w:val="24"/>
          <w:szCs w:val="24"/>
        </w:rPr>
        <w:t>和标准，</w:t>
      </w:r>
      <w:r>
        <w:rPr>
          <w:rFonts w:hint="eastAsia" w:ascii="仿宋" w:hAnsi="仿宋" w:eastAsia="仿宋" w:cs="仿宋"/>
          <w:bCs/>
          <w:sz w:val="24"/>
          <w:szCs w:val="24"/>
        </w:rPr>
        <w:t>对</w:t>
      </w:r>
      <w:r>
        <w:rPr>
          <w:rFonts w:hint="eastAsia" w:ascii="仿宋" w:hAnsi="仿宋" w:eastAsia="仿宋" w:cs="仿宋"/>
          <w:sz w:val="24"/>
          <w:szCs w:val="24"/>
        </w:rPr>
        <w:t>资格性检查和符合性检查</w:t>
      </w:r>
      <w:r>
        <w:rPr>
          <w:rFonts w:hint="eastAsia" w:ascii="仿宋" w:hAnsi="仿宋" w:eastAsia="仿宋" w:cs="仿宋"/>
          <w:bCs/>
          <w:sz w:val="24"/>
          <w:szCs w:val="24"/>
        </w:rPr>
        <w:t>合格的投标文件进行商务和技术评估，综合比较与评价。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4.2如果投标文件没有实质性响应招标文件的要求，评委会将予以拒绝。投标人不得通过修正或撤消不合要求的偏离或保留，从而使其投标成为实质性响应的投标。</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政策性扣减</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1、政策性扣减范围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符合小型、微型企业或监狱企业</w:t>
      </w:r>
      <w:r>
        <w:rPr>
          <w:rFonts w:hint="eastAsia" w:ascii="仿宋" w:hAnsi="仿宋" w:eastAsia="仿宋" w:cs="仿宋"/>
          <w:sz w:val="24"/>
          <w:szCs w:val="24"/>
          <w:highlight w:val="none"/>
          <w:lang w:eastAsia="zh-CN"/>
        </w:rPr>
        <w:t>、残疾人福利性单位</w:t>
      </w:r>
      <w:r>
        <w:rPr>
          <w:rFonts w:hint="eastAsia" w:ascii="仿宋" w:hAnsi="仿宋" w:eastAsia="仿宋" w:cs="仿宋"/>
          <w:sz w:val="24"/>
          <w:szCs w:val="24"/>
          <w:highlight w:val="none"/>
        </w:rPr>
        <w:t>条件的，其投标报价价格评审时将按相应比例进行扣减。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(4)中小企业参加政府采购活动，应当出具符合财库〔2020〕46号规定的《中小企业声明函》,否则不得享受相关中小企业扶持政策。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1.3采购人拟采购产品属于优先采购节能、环境标志产品范围的，应当优先采购节能、环境标志产品；拟采购产品符合政府采购强制采购政策的，实行强制采购。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1.3.1采购人依据节能产品、环境标志产品品目清单和节能、环境标志产品认证证书实施政府优先采购和强制采购。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监狱企业参加政府采购活动时，视同</w:t>
      </w:r>
      <w:r>
        <w:rPr>
          <w:rFonts w:hint="eastAsia" w:ascii="仿宋" w:hAnsi="仿宋" w:eastAsia="仿宋" w:cs="仿宋"/>
          <w:color w:val="000000"/>
          <w:sz w:val="24"/>
          <w:szCs w:val="24"/>
          <w:highlight w:val="none"/>
          <w:lang w:eastAsia="zh-CN"/>
        </w:rPr>
        <w:t>小型、微型企业。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highlight w:val="none"/>
        </w:rPr>
        <w:t>参加政府采购活动时，视同</w:t>
      </w:r>
      <w:r>
        <w:rPr>
          <w:rFonts w:hint="eastAsia" w:ascii="仿宋" w:hAnsi="仿宋" w:eastAsia="仿宋" w:cs="仿宋"/>
          <w:color w:val="000000"/>
          <w:sz w:val="24"/>
          <w:szCs w:val="24"/>
          <w:highlight w:val="none"/>
          <w:lang w:eastAsia="zh-CN"/>
        </w:rPr>
        <w:t>小型、微型企业；</w:t>
      </w:r>
      <w:r>
        <w:rPr>
          <w:rFonts w:hint="eastAsia" w:ascii="仿宋" w:hAnsi="仿宋" w:eastAsia="仿宋" w:cs="仿宋"/>
          <w:sz w:val="24"/>
          <w:szCs w:val="24"/>
          <w:highlight w:val="none"/>
          <w:lang w:eastAsia="zh-CN"/>
        </w:rPr>
        <w:t>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2、政策性扣减方式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sz w:val="24"/>
          <w:szCs w:val="24"/>
          <w:highlight w:val="none"/>
          <w:lang w:eastAsia="zh-CN"/>
        </w:rPr>
        <w:t>对于</w:t>
      </w:r>
      <w:r>
        <w:rPr>
          <w:rFonts w:hint="eastAsia" w:ascii="仿宋" w:hAnsi="仿宋" w:eastAsia="仿宋" w:cs="仿宋"/>
          <w:spacing w:val="8"/>
          <w:sz w:val="24"/>
          <w:szCs w:val="24"/>
          <w:highlight w:val="none"/>
        </w:rPr>
        <w:t>未预留份额专门</w:t>
      </w:r>
      <w:r>
        <w:rPr>
          <w:rFonts w:hint="eastAsia" w:ascii="仿宋" w:hAnsi="仿宋" w:eastAsia="仿宋" w:cs="仿宋"/>
          <w:sz w:val="24"/>
          <w:szCs w:val="24"/>
          <w:highlight w:val="none"/>
        </w:rPr>
        <w:t>面向中小企业采购的采购项目，以及预留份额项目的非预</w:t>
      </w:r>
      <w:r>
        <w:rPr>
          <w:rFonts w:hint="eastAsia" w:ascii="仿宋" w:hAnsi="仿宋" w:eastAsia="仿宋" w:cs="仿宋"/>
          <w:spacing w:val="-2"/>
          <w:sz w:val="24"/>
          <w:szCs w:val="24"/>
          <w:highlight w:val="none"/>
        </w:rPr>
        <w:t>留部分采购包</w:t>
      </w:r>
      <w:r>
        <w:rPr>
          <w:rFonts w:hint="eastAsia" w:ascii="仿宋" w:hAnsi="仿宋" w:eastAsia="仿宋" w:cs="仿宋"/>
          <w:spacing w:val="-2"/>
          <w:sz w:val="24"/>
          <w:szCs w:val="24"/>
          <w:highlight w:val="none"/>
          <w:lang w:eastAsia="zh-CN"/>
        </w:rPr>
        <w:t>中</w:t>
      </w:r>
      <w:r>
        <w:rPr>
          <w:rFonts w:hint="eastAsia" w:ascii="仿宋" w:hAnsi="仿宋" w:eastAsia="仿宋" w:cs="仿宋"/>
          <w:sz w:val="24"/>
          <w:szCs w:val="24"/>
          <w:highlight w:val="none"/>
          <w:lang w:val="en-US" w:eastAsia="zh-CN"/>
        </w:rPr>
        <w:t>符合条件的小微企业</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评标时在采用原报价进行评分的基础上增加其价格得分的3%作为其价格分。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lang w:val="en-US" w:eastAsia="zh-CN"/>
        </w:rPr>
        <w:t>评标时在采用原报价进行评分的基础上增加其价格得分的1%作为其价格分；组成联合体或者接受分包的小微企业与联合体内其他企业、分包企业之间存在直接控股、管理关系的，不享受价格加分优惠政策。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残疾人福利性单位视同小微企业，享受预留份额、评审中价格</w:t>
      </w:r>
      <w:r>
        <w:rPr>
          <w:rFonts w:hint="eastAsia" w:ascii="仿宋" w:hAnsi="仿宋" w:eastAsia="仿宋" w:cs="仿宋"/>
          <w:sz w:val="24"/>
          <w:szCs w:val="24"/>
          <w:highlight w:val="none"/>
          <w:lang w:eastAsia="zh-CN"/>
        </w:rPr>
        <w:t>加分</w:t>
      </w:r>
      <w:r>
        <w:rPr>
          <w:rFonts w:hint="eastAsia" w:ascii="仿宋" w:hAnsi="仿宋" w:eastAsia="仿宋" w:cs="仿宋"/>
          <w:sz w:val="24"/>
          <w:szCs w:val="24"/>
          <w:highlight w:val="none"/>
        </w:rPr>
        <w:t>等促进中小企业发展的政府采购政策。</w:t>
      </w:r>
      <w:r>
        <w:rPr>
          <w:rFonts w:hint="eastAsia" w:ascii="仿宋" w:hAnsi="仿宋" w:eastAsia="仿宋" w:cs="仿宋"/>
          <w:sz w:val="24"/>
          <w:szCs w:val="24"/>
          <w:highlight w:val="none"/>
          <w:lang w:eastAsia="zh-CN"/>
        </w:rPr>
        <w:t>监狱企业、</w:t>
      </w:r>
      <w:r>
        <w:rPr>
          <w:rFonts w:hint="eastAsia" w:ascii="仿宋" w:hAnsi="仿宋" w:eastAsia="仿宋" w:cs="仿宋"/>
          <w:sz w:val="24"/>
          <w:szCs w:val="24"/>
          <w:highlight w:val="none"/>
        </w:rPr>
        <w:t>残疾人福利性单位属于</w:t>
      </w:r>
      <w:r>
        <w:rPr>
          <w:rFonts w:hint="eastAsia" w:ascii="仿宋" w:hAnsi="仿宋" w:eastAsia="仿宋" w:cs="仿宋"/>
          <w:sz w:val="24"/>
          <w:szCs w:val="24"/>
          <w:highlight w:val="none"/>
          <w:lang w:eastAsia="zh-CN"/>
        </w:rPr>
        <w:t>小微</w:t>
      </w:r>
      <w:r>
        <w:rPr>
          <w:rFonts w:hint="eastAsia" w:ascii="仿宋" w:hAnsi="仿宋" w:eastAsia="仿宋" w:cs="仿宋"/>
          <w:sz w:val="24"/>
          <w:szCs w:val="24"/>
          <w:highlight w:val="none"/>
        </w:rPr>
        <w:t>企业的，不重复享受政策。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四、评审标准</w:t>
      </w:r>
    </w:p>
    <w:p>
      <w:pPr>
        <w:pStyle w:val="5"/>
        <w:ind w:firstLine="482"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初步评审标准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kern w:val="0"/>
          <w:sz w:val="24"/>
          <w:szCs w:val="24"/>
          <w:highlight w:val="none"/>
        </w:rPr>
      </w:pPr>
      <w:r>
        <w:rPr>
          <w:rFonts w:hint="eastAsia" w:ascii="仿宋" w:hAnsi="仿宋" w:eastAsia="仿宋" w:cs="仿宋"/>
          <w:b w:val="0"/>
          <w:bCs w:val="0"/>
          <w:color w:val="000000"/>
          <w:sz w:val="24"/>
          <w:szCs w:val="24"/>
          <w:highlight w:val="none"/>
          <w:lang w:val="en-US" w:eastAsia="zh-CN"/>
        </w:rPr>
        <w:t>1.1</w:t>
      </w:r>
      <w:r>
        <w:rPr>
          <w:rFonts w:hint="eastAsia" w:ascii="仿宋" w:hAnsi="仿宋" w:eastAsia="仿宋" w:cs="仿宋"/>
          <w:b w:val="0"/>
          <w:bCs w:val="0"/>
          <w:color w:val="000000"/>
          <w:sz w:val="24"/>
          <w:szCs w:val="24"/>
          <w:highlight w:val="none"/>
        </w:rPr>
        <w:t>资格性审查</w:t>
      </w:r>
      <w:r>
        <w:rPr>
          <w:rFonts w:hint="eastAsia" w:ascii="仿宋" w:hAnsi="仿宋" w:eastAsia="仿宋" w:cs="仿宋"/>
          <w:b w:val="0"/>
          <w:bCs w:val="0"/>
          <w:color w:val="000000"/>
          <w:sz w:val="24"/>
          <w:szCs w:val="24"/>
          <w:highlight w:val="none"/>
          <w:lang w:eastAsia="zh-CN"/>
        </w:rPr>
        <w:t>标准：见附件</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初步审查要素表</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2符合性审查</w:t>
      </w:r>
      <w:r>
        <w:rPr>
          <w:rFonts w:hint="eastAsia" w:ascii="仿宋" w:hAnsi="仿宋" w:eastAsia="仿宋" w:cs="仿宋"/>
          <w:b w:val="0"/>
          <w:bCs w:val="0"/>
          <w:color w:val="000000"/>
          <w:sz w:val="24"/>
          <w:szCs w:val="24"/>
          <w:highlight w:val="none"/>
          <w:lang w:eastAsia="zh-CN"/>
        </w:rPr>
        <w:t>标准：见附件</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初步审查要素表</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rPr>
      </w:pPr>
      <w:r>
        <w:rPr>
          <w:rFonts w:hint="eastAsia" w:ascii="仿宋" w:hAnsi="仿宋" w:eastAsia="仿宋" w:cs="仿宋"/>
          <w:b w:val="0"/>
          <w:bCs w:val="0"/>
          <w:color w:val="000000"/>
          <w:sz w:val="24"/>
          <w:szCs w:val="24"/>
          <w:highlight w:val="none"/>
          <w:lang w:val="en-US" w:eastAsia="zh-CN"/>
        </w:rPr>
        <w:t>1.3</w:t>
      </w:r>
      <w:r>
        <w:rPr>
          <w:rFonts w:hint="eastAsia" w:ascii="仿宋" w:hAnsi="仿宋" w:eastAsia="仿宋" w:cs="仿宋"/>
          <w:b w:val="0"/>
          <w:bCs w:val="0"/>
          <w:color w:val="000000"/>
          <w:sz w:val="24"/>
          <w:szCs w:val="24"/>
          <w:highlight w:val="none"/>
        </w:rPr>
        <w:t>否决投标条件</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 xml:space="preserve">  </w:t>
      </w:r>
      <w:r>
        <w:rPr>
          <w:rFonts w:hint="eastAsia" w:ascii="仿宋" w:hAnsi="仿宋" w:eastAsia="仿宋" w:cs="仿宋"/>
          <w:b w:val="0"/>
          <w:bCs w:val="0"/>
          <w:color w:val="000000"/>
          <w:sz w:val="24"/>
          <w:szCs w:val="24"/>
          <w:highlight w:val="none"/>
          <w:lang w:eastAsia="zh-CN"/>
        </w:rPr>
        <w:t>见附件</w:t>
      </w:r>
      <w:r>
        <w:rPr>
          <w:rFonts w:hint="eastAsia" w:ascii="仿宋" w:hAnsi="仿宋" w:eastAsia="仿宋" w:cs="仿宋"/>
          <w:b w:val="0"/>
          <w:bCs w:val="0"/>
          <w:color w:val="000000"/>
          <w:sz w:val="24"/>
          <w:szCs w:val="24"/>
          <w:highlight w:val="none"/>
          <w:lang w:val="en-US" w:eastAsia="zh-CN"/>
        </w:rPr>
        <w:t>3 否决投标条件</w:t>
      </w:r>
    </w:p>
    <w:p>
      <w:pPr>
        <w:pStyle w:val="5"/>
        <w:ind w:firstLine="482"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2、分值构成与评分标准</w:t>
      </w:r>
    </w:p>
    <w:p>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spacing w:val="4"/>
          <w:sz w:val="24"/>
          <w:szCs w:val="24"/>
        </w:rPr>
      </w:pPr>
      <w:r>
        <w:rPr>
          <w:rFonts w:hint="eastAsia" w:ascii="仿宋" w:hAnsi="仿宋" w:eastAsia="仿宋" w:cs="仿宋"/>
          <w:b w:val="0"/>
          <w:bCs/>
          <w:color w:val="000000"/>
          <w:sz w:val="24"/>
          <w:szCs w:val="24"/>
          <w:highlight w:val="none"/>
          <w:lang w:val="en-US" w:eastAsia="zh-CN"/>
        </w:rPr>
        <w:t>2.1分值构成：见附件2评标因素及权重分值表</w:t>
      </w: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480" w:firstLineChars="200"/>
        <w:textAlignment w:val="auto"/>
        <w:outlineLvl w:val="9"/>
        <w:rPr>
          <w:rFonts w:hint="eastAsia" w:ascii="仿宋" w:hAnsi="仿宋" w:eastAsia="仿宋" w:cs="仿宋"/>
          <w:sz w:val="24"/>
          <w:szCs w:val="24"/>
        </w:rPr>
      </w:pPr>
    </w:p>
    <w:p>
      <w:pPr>
        <w:pStyle w:val="14"/>
        <w:rPr>
          <w:rFonts w:hint="eastAsia" w:ascii="仿宋" w:hAnsi="仿宋" w:eastAsia="仿宋" w:cs="仿宋"/>
          <w:sz w:val="24"/>
          <w:szCs w:val="24"/>
        </w:rPr>
      </w:pPr>
      <w:r>
        <w:rPr>
          <w:rFonts w:hint="eastAsia" w:ascii="仿宋" w:hAnsi="仿宋" w:eastAsia="仿宋" w:cs="仿宋"/>
          <w:sz w:val="24"/>
          <w:szCs w:val="24"/>
        </w:rPr>
        <w:br w:type="page"/>
      </w:r>
    </w:p>
    <w:p>
      <w:pPr>
        <w:pStyle w:val="5"/>
        <w:rPr>
          <w:rFonts w:hint="eastAsia" w:ascii="仿宋" w:hAnsi="仿宋" w:eastAsia="仿宋" w:cs="仿宋"/>
          <w:lang w:val="en-US" w:eastAsia="zh-CN"/>
        </w:rPr>
      </w:pPr>
      <w:r>
        <w:rPr>
          <w:rFonts w:hint="eastAsia" w:ascii="仿宋" w:hAnsi="仿宋" w:eastAsia="仿宋" w:cs="仿宋"/>
          <w:lang w:eastAsia="zh-CN"/>
        </w:rPr>
        <w:t>附件</w:t>
      </w:r>
      <w:r>
        <w:rPr>
          <w:rFonts w:hint="eastAsia" w:ascii="仿宋" w:hAnsi="仿宋" w:eastAsia="仿宋" w:cs="仿宋"/>
          <w:lang w:val="en-US" w:eastAsia="zh-CN"/>
        </w:rPr>
        <w:t>1：</w:t>
      </w:r>
    </w:p>
    <w:p>
      <w:pPr>
        <w:pStyle w:val="5"/>
        <w:jc w:val="center"/>
        <w:rPr>
          <w:rFonts w:hint="eastAsia" w:ascii="仿宋" w:hAnsi="仿宋" w:eastAsia="仿宋" w:cs="仿宋"/>
          <w:lang w:eastAsia="zh-CN"/>
        </w:rPr>
      </w:pPr>
      <w:r>
        <w:rPr>
          <w:rFonts w:hint="eastAsia" w:ascii="仿宋" w:hAnsi="仿宋" w:eastAsia="仿宋" w:cs="仿宋"/>
          <w:lang w:eastAsia="zh-CN"/>
        </w:rPr>
        <w:t>初步审查要素表</w:t>
      </w:r>
    </w:p>
    <w:p>
      <w:pPr>
        <w:rPr>
          <w:rFonts w:hint="eastAsia" w:ascii="仿宋" w:hAnsi="仿宋" w:eastAsia="仿宋" w:cs="仿宋"/>
          <w:b/>
          <w:bCs/>
          <w:sz w:val="24"/>
          <w:szCs w:val="24"/>
          <w:highlight w:val="none"/>
          <w:lang w:eastAsia="zh-CN"/>
        </w:rPr>
      </w:pP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39"/>
        <w:gridCol w:w="907"/>
        <w:gridCol w:w="1286"/>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03"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条款号</w:t>
            </w:r>
          </w:p>
        </w:tc>
        <w:tc>
          <w:tcPr>
            <w:tcW w:w="2193"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评审因素</w:t>
            </w:r>
          </w:p>
        </w:tc>
        <w:tc>
          <w:tcPr>
            <w:tcW w:w="6123"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64"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1.1</w:t>
            </w:r>
          </w:p>
        </w:tc>
        <w:tc>
          <w:tcPr>
            <w:tcW w:w="439"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资格评审</w:t>
            </w:r>
          </w:p>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2193"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提供合格有效的法人或者其他组织的营业执照等证明文件，自然人的身份证明</w:t>
            </w:r>
            <w:r>
              <w:rPr>
                <w:rFonts w:hint="eastAsia" w:ascii="仿宋" w:hAnsi="仿宋" w:eastAsia="仿宋" w:cs="仿宋"/>
                <w:b w:val="0"/>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投标人</w:t>
            </w:r>
            <w:r>
              <w:rPr>
                <w:rFonts w:hint="eastAsia" w:ascii="仿宋" w:hAnsi="仿宋" w:eastAsia="仿宋" w:cs="仿宋"/>
                <w:b w:val="0"/>
                <w:bCs/>
                <w:color w:val="auto"/>
                <w:sz w:val="21"/>
                <w:szCs w:val="21"/>
                <w:highlight w:val="none"/>
              </w:rPr>
              <w:t>是法人或其他组织的应提供营业执照等证明文件，</w:t>
            </w:r>
            <w:r>
              <w:rPr>
                <w:rFonts w:hint="eastAsia" w:ascii="仿宋" w:hAnsi="仿宋" w:eastAsia="仿宋" w:cs="仿宋"/>
                <w:b w:val="0"/>
                <w:bCs/>
                <w:color w:val="auto"/>
                <w:sz w:val="21"/>
                <w:szCs w:val="21"/>
                <w:highlight w:val="none"/>
                <w:lang w:eastAsia="zh-CN"/>
              </w:rPr>
              <w:t>投标人</w:t>
            </w:r>
            <w:r>
              <w:rPr>
                <w:rFonts w:hint="eastAsia" w:ascii="仿宋" w:hAnsi="仿宋" w:eastAsia="仿宋" w:cs="仿宋"/>
                <w:b w:val="0"/>
                <w:bCs/>
                <w:color w:val="auto"/>
                <w:sz w:val="21"/>
                <w:szCs w:val="21"/>
                <w:highlight w:val="none"/>
              </w:rPr>
              <w:t>是自然人的应提供有效的自然人身份证明</w:t>
            </w:r>
            <w:r>
              <w:rPr>
                <w:rFonts w:hint="eastAsia" w:ascii="仿宋" w:hAnsi="仿宋" w:eastAsia="仿宋" w:cs="仿宋"/>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b w:val="0"/>
                <w:bCs w:val="0"/>
                <w:color w:val="auto"/>
                <w:sz w:val="21"/>
                <w:szCs w:val="21"/>
                <w:highlight w:val="none"/>
                <w:lang w:val="en-US" w:eastAsia="zh-CN"/>
              </w:rPr>
              <w:t>2、提供2020或2021年度经审计的财务报告（成立时间至提交投标文件截止时间不足一年的可提供成立后任意时段的资产负债表），或其基本存款账户开户银行出具的资信证明及基本存款账户开户许可证</w:t>
            </w:r>
            <w:r>
              <w:rPr>
                <w:rFonts w:hint="eastAsia" w:ascii="仿宋" w:hAnsi="仿宋" w:eastAsia="仿宋" w:cs="仿宋"/>
                <w:b w:val="0"/>
                <w:bCs/>
                <w:color w:val="auto"/>
                <w:kern w:val="0"/>
                <w:sz w:val="21"/>
                <w:szCs w:val="21"/>
                <w:highlight w:val="none"/>
                <w:lang w:val="en-US" w:eastAsia="zh-CN" w:bidi="ar-SA"/>
              </w:rPr>
              <w:t>（基本账户信息表）</w:t>
            </w:r>
            <w:r>
              <w:rPr>
                <w:rFonts w:hint="eastAsia" w:ascii="仿宋" w:hAnsi="仿宋" w:eastAsia="仿宋" w:cs="仿宋"/>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3、提供投标截止日前一年内已缴纳的至少一个月的纳税证明或完税证明，依法免税的单位应提供相关证明材料；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69" w:leftChars="-33" w:firstLine="79" w:firstLineChars="38"/>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5、提供具有履行合同所必需的设备和专业技术能力的承诺；（格式自拟）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6、参加政府采购活动前3年内，在经营活动中没有重大违法记录的书面声明。（格式自拟）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lang w:val="en-US" w:eastAsia="zh-CN"/>
              </w:rPr>
              <w:t>落实政府采购政策需满足的资格要求</w:t>
            </w: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特定资格条件</w:t>
            </w:r>
          </w:p>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lang w:val="en-US" w:eastAsia="zh-CN"/>
              </w:rPr>
              <w:t>1、法定代表人授权书（附法定代表人、被授权人身份证复印件）及被授权人身份证（法定代表人直接参加投标，须提供法定代表人身份证明及身份证原件）；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tabs>
                <w:tab w:val="left" w:pos="0"/>
              </w:tabs>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rPr>
              <w:t>具备建设行政主管部门颁发的建筑工程施工总承包三级及以上资质证书，同时具有合格有效的安全生产许可证</w:t>
            </w:r>
            <w:r>
              <w:rPr>
                <w:rFonts w:hint="eastAsia" w:ascii="仿宋" w:hAnsi="仿宋" w:eastAsia="仿宋" w:cs="仿宋"/>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tabs>
                <w:tab w:val="left" w:pos="0"/>
              </w:tabs>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lang w:eastAsia="zh-CN"/>
              </w:rPr>
              <w:t>省外</w:t>
            </w:r>
            <w:r>
              <w:rPr>
                <w:rFonts w:hint="eastAsia" w:ascii="仿宋" w:hAnsi="仿宋" w:eastAsia="仿宋" w:cs="仿宋"/>
                <w:b w:val="0"/>
                <w:bCs/>
                <w:color w:val="auto"/>
                <w:sz w:val="21"/>
                <w:szCs w:val="21"/>
                <w:highlight w:val="none"/>
              </w:rPr>
              <w:t>企业需提供在陕西省建筑市场监管与诚信信息一体化平台上登记备案且备案信息</w:t>
            </w:r>
            <w:r>
              <w:rPr>
                <w:rFonts w:hint="eastAsia" w:ascii="仿宋" w:hAnsi="仿宋" w:eastAsia="仿宋" w:cs="仿宋"/>
                <w:b w:val="0"/>
                <w:bCs/>
                <w:color w:val="auto"/>
                <w:sz w:val="21"/>
                <w:szCs w:val="21"/>
                <w:highlight w:val="no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tabs>
                <w:tab w:val="left" w:pos="0"/>
              </w:tabs>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w:t>
            </w:r>
            <w:r>
              <w:rPr>
                <w:rFonts w:hint="eastAsia" w:ascii="仿宋" w:hAnsi="仿宋" w:eastAsia="仿宋" w:cs="仿宋"/>
                <w:b w:val="0"/>
                <w:bCs/>
                <w:color w:val="auto"/>
                <w:sz w:val="21"/>
                <w:szCs w:val="21"/>
                <w:highlight w:val="none"/>
              </w:rPr>
              <w:t>拟派项目经理须具有建筑工程专业二级及以上注册建造师证书和有效的安全生产考核证书（B证）且无在建工程、无不良记录（提供无在建工程、无不良记录承诺书）</w:t>
            </w:r>
            <w:r>
              <w:rPr>
                <w:rFonts w:hint="eastAsia" w:ascii="仿宋" w:hAnsi="仿宋" w:eastAsia="仿宋" w:cs="仿宋"/>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tc>
        <w:tc>
          <w:tcPr>
            <w:tcW w:w="61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5、供应商未被“信用中国”网站（www.creditchina.gov.cn）列入失信被执行人和重大税收违法失信主体，未被中国政府采购网（www.ccgp.gov.cn）列入政府采购严重违法失信行为记录名单；（采购代理机构于本项目招标公告发布后至开标当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4"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2193" w:type="dxa"/>
            <w:gridSpan w:val="2"/>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123" w:type="dxa"/>
            <w:vAlign w:val="center"/>
          </w:tcPr>
          <w:p>
            <w:pPr>
              <w:tabs>
                <w:tab w:val="left" w:pos="0"/>
              </w:tabs>
              <w:adjustRightInd w:val="0"/>
              <w:snapToGrid w:val="0"/>
              <w:spacing w:line="24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6、本项目不接受联合体投标。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pPr>
              <w:tabs>
                <w:tab w:val="left" w:pos="0"/>
              </w:tabs>
              <w:adjustRightInd w:val="0"/>
              <w:snapToGrid w:val="0"/>
              <w:spacing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注：</w:t>
            </w:r>
            <w:r>
              <w:rPr>
                <w:rFonts w:hint="eastAsia" w:ascii="仿宋" w:hAnsi="仿宋" w:eastAsia="仿宋" w:cs="仿宋"/>
                <w:color w:val="auto"/>
                <w:sz w:val="21"/>
                <w:szCs w:val="21"/>
              </w:rPr>
              <w:t>以上为必备</w:t>
            </w:r>
            <w:r>
              <w:rPr>
                <w:rFonts w:hint="eastAsia" w:ascii="仿宋" w:hAnsi="仿宋" w:eastAsia="仿宋" w:cs="仿宋"/>
                <w:color w:val="auto"/>
                <w:sz w:val="21"/>
                <w:szCs w:val="21"/>
                <w:lang w:eastAsia="zh-CN"/>
              </w:rPr>
              <w:t>资格条件</w:t>
            </w:r>
            <w:r>
              <w:rPr>
                <w:rFonts w:hint="eastAsia" w:ascii="仿宋" w:hAnsi="仿宋" w:eastAsia="仿宋" w:cs="仿宋"/>
                <w:color w:val="auto"/>
                <w:sz w:val="21"/>
                <w:szCs w:val="21"/>
              </w:rPr>
              <w:t>，缺一项或某项达不到要求，按无效投标处理。资格审查时以投标文件中所附证明材料</w:t>
            </w:r>
            <w:r>
              <w:rPr>
                <w:rFonts w:hint="eastAsia" w:ascii="仿宋" w:hAnsi="仿宋" w:eastAsia="仿宋" w:cs="仿宋"/>
                <w:color w:val="auto"/>
                <w:sz w:val="21"/>
                <w:szCs w:val="21"/>
                <w:lang w:eastAsia="zh-CN"/>
              </w:rPr>
              <w:t>（信用中国和中国政府采购网信用记录可不提供，由代理机构查询并留存）</w:t>
            </w:r>
            <w:r>
              <w:rPr>
                <w:rFonts w:hint="eastAsia" w:ascii="仿宋" w:hAnsi="仿宋" w:eastAsia="仿宋" w:cs="仿宋"/>
                <w:color w:val="auto"/>
                <w:sz w:val="21"/>
                <w:szCs w:val="21"/>
              </w:rPr>
              <w:t>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4" w:type="dxa"/>
            <w:vMerge w:val="restart"/>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lang w:val="en-US" w:eastAsia="zh-CN"/>
              </w:rPr>
            </w:pPr>
          </w:p>
          <w:p>
            <w:pPr>
              <w:tabs>
                <w:tab w:val="left" w:pos="0"/>
              </w:tabs>
              <w:adjustRightInd w:val="0"/>
              <w:snapToGrid w:val="0"/>
              <w:spacing w:line="360" w:lineRule="auto"/>
              <w:jc w:val="both"/>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1.2</w:t>
            </w:r>
          </w:p>
        </w:tc>
        <w:tc>
          <w:tcPr>
            <w:tcW w:w="439"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符合性评审标准</w:t>
            </w:r>
          </w:p>
        </w:tc>
        <w:tc>
          <w:tcPr>
            <w:tcW w:w="907"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有效性审查</w:t>
            </w:r>
          </w:p>
        </w:tc>
        <w:tc>
          <w:tcPr>
            <w:tcW w:w="1286"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投标文件的签署盖章</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投标文件上法定代表人或</w:t>
            </w:r>
            <w:r>
              <w:rPr>
                <w:rFonts w:hint="eastAsia" w:ascii="仿宋" w:hAnsi="仿宋" w:eastAsia="仿宋" w:cs="仿宋"/>
                <w:b w:val="0"/>
                <w:bCs/>
                <w:color w:val="auto"/>
                <w:sz w:val="21"/>
                <w:szCs w:val="21"/>
                <w:highlight w:val="none"/>
                <w:lang w:eastAsia="zh-CN"/>
              </w:rPr>
              <w:t>被授权人</w:t>
            </w:r>
            <w:r>
              <w:rPr>
                <w:rFonts w:hint="eastAsia" w:ascii="仿宋" w:hAnsi="仿宋" w:eastAsia="仿宋" w:cs="仿宋"/>
                <w:b w:val="0"/>
                <w:bCs/>
                <w:color w:val="auto"/>
                <w:sz w:val="21"/>
                <w:szCs w:val="21"/>
                <w:highlight w:val="none"/>
              </w:rPr>
              <w:t>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投标文件格式</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907"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完整性审查</w:t>
            </w: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投标文件份数</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投标人</w:t>
            </w:r>
            <w:r>
              <w:rPr>
                <w:rFonts w:hint="eastAsia" w:ascii="仿宋" w:hAnsi="仿宋" w:eastAsia="仿宋" w:cs="仿宋"/>
                <w:b w:val="0"/>
                <w:bCs/>
                <w:color w:val="auto"/>
                <w:sz w:val="21"/>
                <w:szCs w:val="21"/>
                <w:highlight w:val="none"/>
              </w:rPr>
              <w:t>须知前附表”规定的正本、副本、电子文件</w:t>
            </w:r>
            <w:r>
              <w:rPr>
                <w:rFonts w:hint="eastAsia" w:ascii="仿宋" w:hAnsi="仿宋" w:eastAsia="仿宋" w:cs="仿宋"/>
                <w:b w:val="0"/>
                <w:bCs/>
                <w:color w:val="auto"/>
                <w:sz w:val="21"/>
                <w:szCs w:val="21"/>
                <w:highlight w:val="none"/>
                <w:lang w:eastAsia="zh-CN"/>
              </w:rPr>
              <w:t>、开标一览表</w:t>
            </w:r>
            <w:r>
              <w:rPr>
                <w:rFonts w:hint="eastAsia" w:ascii="仿宋" w:hAnsi="仿宋" w:eastAsia="仿宋" w:cs="仿宋"/>
                <w:b w:val="0"/>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投标文件内容</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 w:val="0"/>
                <w:bCs/>
                <w:color w:val="auto"/>
                <w:sz w:val="21"/>
                <w:szCs w:val="21"/>
                <w:highlight w:val="none"/>
              </w:rPr>
            </w:pPr>
          </w:p>
        </w:tc>
        <w:tc>
          <w:tcPr>
            <w:tcW w:w="439" w:type="dxa"/>
            <w:vMerge w:val="continue"/>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907" w:type="dxa"/>
            <w:vMerge w:val="restart"/>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响应性审查</w:t>
            </w: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对招标文件响应程度</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w:t>
            </w:r>
            <w:r>
              <w:rPr>
                <w:rFonts w:hint="eastAsia" w:ascii="仿宋" w:hAnsi="仿宋" w:eastAsia="仿宋" w:cs="仿宋"/>
                <w:b w:val="0"/>
                <w:bCs/>
                <w:color w:val="auto"/>
                <w:sz w:val="21"/>
                <w:szCs w:val="21"/>
                <w:highlight w:val="none"/>
                <w:lang w:eastAsia="zh-CN"/>
              </w:rPr>
              <w:t>实质性条款全部响应</w:t>
            </w:r>
            <w:r>
              <w:rPr>
                <w:rFonts w:hint="eastAsia" w:ascii="仿宋" w:hAnsi="仿宋" w:eastAsia="仿宋" w:cs="仿宋"/>
                <w:b w:val="0"/>
                <w:bCs/>
                <w:color w:val="auto"/>
                <w:sz w:val="21"/>
                <w:szCs w:val="21"/>
                <w:highlight w:val="none"/>
              </w:rPr>
              <w:t>，不能有采购人不能接受的附加条件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工期</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应满足招标文件中要求的</w:t>
            </w:r>
            <w:r>
              <w:rPr>
                <w:rFonts w:hint="eastAsia" w:ascii="仿宋" w:hAnsi="仿宋" w:eastAsia="仿宋" w:cs="仿宋"/>
                <w:b w:val="0"/>
                <w:bCs/>
                <w:color w:val="auto"/>
                <w:sz w:val="21"/>
                <w:szCs w:val="21"/>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439"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907" w:type="dxa"/>
            <w:vMerge w:val="continue"/>
            <w:vAlign w:val="top"/>
          </w:tcPr>
          <w:p>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286" w:type="dxa"/>
            <w:vAlign w:val="center"/>
          </w:tcPr>
          <w:p>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投标有效期</w:t>
            </w:r>
          </w:p>
        </w:tc>
        <w:tc>
          <w:tcPr>
            <w:tcW w:w="6123" w:type="dxa"/>
            <w:vAlign w:val="center"/>
          </w:tcPr>
          <w:p>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应满足招标文件中的规定</w:t>
            </w:r>
          </w:p>
        </w:tc>
      </w:tr>
    </w:tbl>
    <w:p>
      <w:pPr>
        <w:pStyle w:val="14"/>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keepNext w:val="0"/>
        <w:keepLines w:val="0"/>
        <w:pageBreakBefore w:val="0"/>
        <w:widowControl w:val="0"/>
        <w:kinsoku/>
        <w:wordWrap/>
        <w:overflowPunct/>
        <w:topLinePunct w:val="0"/>
        <w:autoSpaceDE/>
        <w:autoSpaceDN/>
        <w:bidi w:val="0"/>
        <w:adjustRightInd/>
        <w:snapToGrid/>
        <w:spacing w:line="440" w:lineRule="exact"/>
        <w:ind w:right="40" w:rightChars="19" w:firstLine="562" w:firstLineChars="200"/>
        <w:textAlignment w:val="auto"/>
        <w:outlineLvl w:val="9"/>
        <w:rPr>
          <w:rFonts w:hint="eastAsia" w:ascii="仿宋" w:hAnsi="仿宋" w:eastAsia="仿宋" w:cs="仿宋"/>
          <w:b/>
          <w:sz w:val="28"/>
          <w:szCs w:val="28"/>
          <w:highlight w:val="yellow"/>
        </w:rPr>
      </w:pPr>
    </w:p>
    <w:p>
      <w:pPr>
        <w:pStyle w:val="5"/>
        <w:rPr>
          <w:rFonts w:hint="eastAsia" w:ascii="仿宋" w:hAnsi="仿宋" w:eastAsia="仿宋" w:cs="仿宋"/>
          <w:lang w:val="en-US" w:eastAsia="zh-CN"/>
        </w:rPr>
      </w:pPr>
      <w:r>
        <w:rPr>
          <w:rFonts w:hint="eastAsia" w:ascii="仿宋" w:hAnsi="仿宋" w:eastAsia="仿宋" w:cs="仿宋"/>
          <w:lang w:eastAsia="zh-CN"/>
        </w:rPr>
        <w:t>附件</w:t>
      </w:r>
      <w:r>
        <w:rPr>
          <w:rFonts w:hint="eastAsia" w:ascii="仿宋" w:hAnsi="仿宋" w:eastAsia="仿宋" w:cs="仿宋"/>
          <w:lang w:val="en-US" w:eastAsia="zh-CN"/>
        </w:rPr>
        <w:t>2：</w:t>
      </w:r>
    </w:p>
    <w:p>
      <w:pPr>
        <w:pStyle w:val="5"/>
        <w:jc w:val="center"/>
        <w:rPr>
          <w:rFonts w:hint="eastAsia" w:ascii="仿宋" w:hAnsi="仿宋" w:eastAsia="仿宋" w:cs="仿宋"/>
        </w:rPr>
      </w:pPr>
      <w:r>
        <w:rPr>
          <w:rFonts w:hint="eastAsia" w:ascii="仿宋" w:hAnsi="仿宋" w:eastAsia="仿宋" w:cs="仿宋"/>
        </w:rPr>
        <w:t>评标因素及权重分值表</w:t>
      </w:r>
    </w:p>
    <w:tbl>
      <w:tblPr>
        <w:tblStyle w:val="3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27"/>
        <w:gridCol w:w="486"/>
        <w:gridCol w:w="6518"/>
        <w:gridCol w:w="667"/>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99" w:type="dxa"/>
            <w:vAlign w:val="center"/>
          </w:tcPr>
          <w:p>
            <w:pPr>
              <w:pStyle w:val="20"/>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类别</w:t>
            </w:r>
          </w:p>
        </w:tc>
        <w:tc>
          <w:tcPr>
            <w:tcW w:w="827"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总分</w:t>
            </w:r>
          </w:p>
        </w:tc>
        <w:tc>
          <w:tcPr>
            <w:tcW w:w="7004" w:type="dxa"/>
            <w:gridSpan w:val="2"/>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评标因素</w:t>
            </w:r>
          </w:p>
        </w:tc>
        <w:tc>
          <w:tcPr>
            <w:tcW w:w="667" w:type="dxa"/>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最高</w:t>
            </w:r>
          </w:p>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得分</w:t>
            </w:r>
          </w:p>
        </w:tc>
        <w:tc>
          <w:tcPr>
            <w:tcW w:w="614" w:type="dxa"/>
            <w:vAlign w:val="center"/>
          </w:tcPr>
          <w:p>
            <w:pPr>
              <w:widowControl/>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99"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投标价格</w:t>
            </w:r>
          </w:p>
        </w:tc>
        <w:tc>
          <w:tcPr>
            <w:tcW w:w="827" w:type="dxa"/>
            <w:vAlign w:val="center"/>
          </w:tcPr>
          <w:p>
            <w:pPr>
              <w:spacing w:line="56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0分</w:t>
            </w:r>
          </w:p>
        </w:tc>
        <w:tc>
          <w:tcPr>
            <w:tcW w:w="7004"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1、经初审合格的投标文件，其投标报价为有效投标价。</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2、将有效投标报价的平均值作为评标基准价，投标报价等于评标基准价时得满分，每高1%扣1分，每低1%扣0.5分，扣完为止。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3.投标报价不完整的，不进入评标基准价的计算，本项得0分。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0分</w:t>
            </w:r>
          </w:p>
        </w:tc>
        <w:tc>
          <w:tcPr>
            <w:tcW w:w="614" w:type="dxa"/>
            <w:vMerge w:val="restart"/>
            <w:vAlign w:val="center"/>
          </w:tcPr>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据</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标</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文</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件</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的</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响</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应</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程  度</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差</w:t>
            </w:r>
          </w:p>
          <w:p>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别</w:t>
            </w:r>
          </w:p>
          <w:p>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restart"/>
            <w:vAlign w:val="center"/>
          </w:tcPr>
          <w:p>
            <w:pP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施工组织设计</w:t>
            </w:r>
          </w:p>
          <w:p>
            <w:pP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w:t>
            </w:r>
          </w:p>
        </w:tc>
        <w:tc>
          <w:tcPr>
            <w:tcW w:w="827" w:type="dxa"/>
            <w:vMerge w:val="restart"/>
            <w:vAlign w:val="center"/>
          </w:tcPr>
          <w:p>
            <w:pPr>
              <w:spacing w:line="56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60</w:t>
            </w:r>
            <w:r>
              <w:rPr>
                <w:rFonts w:hint="eastAsia" w:ascii="仿宋" w:hAnsi="仿宋" w:eastAsia="仿宋" w:cs="仿宋"/>
                <w:b/>
                <w:bCs/>
                <w:color w:val="auto"/>
                <w:sz w:val="21"/>
                <w:szCs w:val="21"/>
                <w:highlight w:val="none"/>
              </w:rPr>
              <w:t>分</w:t>
            </w: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施工方案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99" w:type="dxa"/>
            <w:vMerge w:val="continue"/>
            <w:vAlign w:val="center"/>
          </w:tcPr>
          <w:p>
            <w:pPr>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组织机构设置、人力资源安排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质量保证措施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工期保证措施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安全文明施工保证措施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治污减霾措施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施工进度计划表或网络图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施工机械配置、材料投入计划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应急预案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包括但不限于疫情防控措施、突发事件应对措施等）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9" w:type="dxa"/>
            <w:vMerge w:val="continue"/>
            <w:vAlign w:val="center"/>
          </w:tcPr>
          <w:p>
            <w:pPr>
              <w:spacing w:line="560" w:lineRule="exact"/>
              <w:rPr>
                <w:rFonts w:hint="eastAsia" w:ascii="仿宋" w:hAnsi="仿宋" w:eastAsia="仿宋" w:cs="仿宋"/>
                <w:b/>
                <w:color w:val="auto"/>
                <w:sz w:val="21"/>
                <w:szCs w:val="21"/>
                <w:highlight w:val="none"/>
              </w:rPr>
            </w:pPr>
          </w:p>
        </w:tc>
        <w:tc>
          <w:tcPr>
            <w:tcW w:w="827" w:type="dxa"/>
            <w:vMerge w:val="continue"/>
            <w:vAlign w:val="center"/>
          </w:tcPr>
          <w:p>
            <w:pPr>
              <w:spacing w:line="560" w:lineRule="exact"/>
              <w:rPr>
                <w:rFonts w:hint="eastAsia" w:ascii="仿宋" w:hAnsi="仿宋" w:eastAsia="仿宋" w:cs="仿宋"/>
                <w:b/>
                <w:bCs/>
                <w:color w:val="auto"/>
                <w:sz w:val="21"/>
                <w:szCs w:val="21"/>
                <w:highlight w:val="none"/>
              </w:rPr>
            </w:pPr>
          </w:p>
        </w:tc>
        <w:tc>
          <w:tcPr>
            <w:tcW w:w="486" w:type="dxa"/>
            <w:vAlign w:val="center"/>
          </w:tcPr>
          <w:p>
            <w:pPr>
              <w:numPr>
                <w:ilvl w:val="0"/>
                <w:numId w:val="8"/>
              </w:numPr>
              <w:spacing w:line="288" w:lineRule="auto"/>
              <w:jc w:val="center"/>
              <w:rPr>
                <w:rFonts w:hint="eastAsia" w:ascii="仿宋" w:hAnsi="仿宋" w:eastAsia="仿宋" w:cs="仿宋"/>
                <w:color w:val="auto"/>
                <w:sz w:val="21"/>
                <w:szCs w:val="21"/>
                <w:highlight w:val="none"/>
              </w:rPr>
            </w:pPr>
          </w:p>
        </w:tc>
        <w:tc>
          <w:tcPr>
            <w:tcW w:w="6518"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服务承诺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3-6分；未提供得0分。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vMerge w:val="restart"/>
            <w:vAlign w:val="center"/>
          </w:tcPr>
          <w:p>
            <w:pPr>
              <w:spacing w:line="56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履约能力评审</w:t>
            </w:r>
          </w:p>
        </w:tc>
        <w:tc>
          <w:tcPr>
            <w:tcW w:w="82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分</w:t>
            </w:r>
          </w:p>
        </w:tc>
        <w:tc>
          <w:tcPr>
            <w:tcW w:w="486" w:type="dxa"/>
            <w:vAlign w:val="center"/>
          </w:tcPr>
          <w:p>
            <w:pPr>
              <w:numPr>
                <w:ilvl w:val="0"/>
                <w:numId w:val="9"/>
              </w:numPr>
              <w:spacing w:line="288" w:lineRule="auto"/>
              <w:jc w:val="center"/>
              <w:rPr>
                <w:rFonts w:hint="eastAsia" w:ascii="仿宋" w:hAnsi="仿宋" w:eastAsia="仿宋" w:cs="仿宋"/>
                <w:color w:val="auto"/>
                <w:sz w:val="21"/>
                <w:szCs w:val="21"/>
                <w:highlight w:val="none"/>
              </w:rPr>
            </w:pPr>
          </w:p>
        </w:tc>
        <w:tc>
          <w:tcPr>
            <w:tcW w:w="6518" w:type="dxa"/>
            <w:vAlign w:val="center"/>
          </w:tcPr>
          <w:p>
            <w:pPr>
              <w:spacing w:line="288"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业绩：投标人近三年（2019年1月至今）同类项目业绩；每提供1份计2分，最高得4分。业绩证明（以合同或中标/成交通知书为准，须在投标文件中附以上证明材料的扫描件加盖单位公章）弄虚作假者，取消其成交资格。</w:t>
            </w:r>
          </w:p>
        </w:tc>
        <w:tc>
          <w:tcPr>
            <w:tcW w:w="667" w:type="dxa"/>
            <w:vAlign w:val="center"/>
          </w:tcPr>
          <w:p>
            <w:pPr>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614" w:type="dxa"/>
            <w:vMerge w:val="continue"/>
            <w:vAlign w:val="center"/>
          </w:tcPr>
          <w:p>
            <w:pPr>
              <w:spacing w:line="56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vMerge w:val="continue"/>
            <w:vAlign w:val="center"/>
          </w:tcPr>
          <w:p>
            <w:pPr>
              <w:spacing w:line="560" w:lineRule="exact"/>
              <w:jc w:val="center"/>
              <w:rPr>
                <w:rFonts w:hint="eastAsia" w:ascii="仿宋" w:hAnsi="仿宋" w:eastAsia="仿宋" w:cs="仿宋"/>
                <w:b/>
                <w:color w:val="auto"/>
                <w:sz w:val="21"/>
                <w:szCs w:val="21"/>
                <w:highlight w:val="none"/>
              </w:rPr>
            </w:pPr>
          </w:p>
        </w:tc>
        <w:tc>
          <w:tcPr>
            <w:tcW w:w="827" w:type="dxa"/>
            <w:vAlign w:val="center"/>
          </w:tcPr>
          <w:p>
            <w:pPr>
              <w:spacing w:line="56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6分</w:t>
            </w:r>
          </w:p>
        </w:tc>
        <w:tc>
          <w:tcPr>
            <w:tcW w:w="486" w:type="dxa"/>
            <w:vAlign w:val="center"/>
          </w:tcPr>
          <w:p>
            <w:pPr>
              <w:numPr>
                <w:ilvl w:val="0"/>
                <w:numId w:val="9"/>
              </w:numPr>
              <w:spacing w:line="288" w:lineRule="auto"/>
              <w:jc w:val="center"/>
              <w:rPr>
                <w:rFonts w:hint="eastAsia" w:ascii="仿宋" w:hAnsi="仿宋" w:eastAsia="仿宋" w:cs="仿宋"/>
                <w:color w:val="auto"/>
                <w:sz w:val="21"/>
                <w:szCs w:val="21"/>
                <w:highlight w:val="none"/>
              </w:rPr>
            </w:pPr>
          </w:p>
        </w:tc>
        <w:tc>
          <w:tcPr>
            <w:tcW w:w="6518" w:type="dxa"/>
            <w:vAlign w:val="center"/>
          </w:tcPr>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(1)拟派项目经理具有工程师及以上职称得3分，其他职称不得分；</w:t>
            </w:r>
          </w:p>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(2)拟派技术负责人具有高级工程师职称得3分，其他职称不得分。</w:t>
            </w:r>
          </w:p>
        </w:tc>
        <w:tc>
          <w:tcPr>
            <w:tcW w:w="667" w:type="dxa"/>
            <w:vAlign w:val="center"/>
          </w:tcPr>
          <w:p>
            <w:pPr>
              <w:spacing w:line="5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614" w:type="dxa"/>
            <w:vMerge w:val="continue"/>
            <w:vAlign w:val="center"/>
          </w:tcPr>
          <w:p>
            <w:pPr>
              <w:spacing w:line="56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699" w:type="dxa"/>
            <w:vAlign w:val="center"/>
          </w:tcPr>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备注</w:t>
            </w:r>
          </w:p>
        </w:tc>
        <w:tc>
          <w:tcPr>
            <w:tcW w:w="9112" w:type="dxa"/>
            <w:gridSpan w:val="5"/>
            <w:tcBorders>
              <w:top w:val="single" w:color="auto" w:sz="4" w:space="0"/>
              <w:bottom w:val="single" w:color="auto" w:sz="4" w:space="0"/>
            </w:tcBorders>
            <w:vAlign w:val="top"/>
          </w:tcPr>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1、各评委应按照本评标办法独立打分。</w:t>
            </w:r>
          </w:p>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2、分项评分超出评分标准范围或评标委员会对客观评审因素评分不一致时，采购代理机构可以要求评标委员会复核或者书面说明理由，评标委员会拒绝的，应予记录并向本级财政部门报告。</w:t>
            </w:r>
          </w:p>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3、若出现综合得分并列时，比较价格得分，此分项得分高者排序在前；若价格得分仍相同，比较技术得分，此分项得分高者排序在前；若技术得分仍相同，则由全体评标委员会无记名投票，得票高者排序在前。</w:t>
            </w:r>
          </w:p>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4、计算结果保留两位小数，第三位“四舍五入”。</w:t>
            </w:r>
          </w:p>
          <w:p>
            <w:pPr>
              <w:spacing w:line="288"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 xml:space="preserve">5、评标过程中，若出现特殊情况时，由评标委员会决定暂停评标，并提出具体处理意见。 </w:t>
            </w:r>
          </w:p>
        </w:tc>
      </w:tr>
    </w:tbl>
    <w:p>
      <w:pPr>
        <w:bidi w:val="0"/>
        <w:rPr>
          <w:rFonts w:hint="eastAsia"/>
        </w:rPr>
      </w:pPr>
    </w:p>
    <w:p>
      <w:pPr>
        <w:pStyle w:val="4"/>
        <w:spacing w:before="0" w:after="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b/>
          <w:sz w:val="28"/>
          <w:szCs w:val="28"/>
          <w:highlight w:val="yellow"/>
        </w:rPr>
        <w:br w:type="page"/>
      </w:r>
      <w:r>
        <w:rPr>
          <w:rStyle w:val="53"/>
          <w:rFonts w:hint="eastAsia" w:ascii="仿宋" w:hAnsi="仿宋" w:eastAsia="仿宋" w:cs="仿宋"/>
          <w:b/>
          <w:bCs/>
          <w:color w:val="auto"/>
          <w:sz w:val="24"/>
          <w:szCs w:val="24"/>
        </w:rPr>
        <w:t>附件</w:t>
      </w:r>
      <w:r>
        <w:rPr>
          <w:rStyle w:val="53"/>
          <w:rFonts w:hint="eastAsia" w:ascii="仿宋" w:hAnsi="仿宋" w:eastAsia="仿宋" w:cs="仿宋"/>
          <w:b/>
          <w:bCs/>
          <w:color w:val="auto"/>
          <w:sz w:val="24"/>
          <w:szCs w:val="24"/>
          <w:lang w:val="en-US" w:eastAsia="zh-CN"/>
        </w:rPr>
        <w:t>3：</w:t>
      </w:r>
    </w:p>
    <w:p>
      <w:pPr>
        <w:pStyle w:val="5"/>
        <w:jc w:val="center"/>
        <w:rPr>
          <w:rFonts w:hint="eastAsia" w:ascii="仿宋" w:hAnsi="仿宋" w:eastAsia="仿宋" w:cs="仿宋"/>
          <w:color w:val="auto"/>
        </w:rPr>
      </w:pPr>
      <w:r>
        <w:rPr>
          <w:rFonts w:hint="eastAsia" w:ascii="仿宋" w:hAnsi="仿宋" w:eastAsia="仿宋" w:cs="仿宋"/>
          <w:color w:val="auto"/>
        </w:rPr>
        <w:t>否决投标条件</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A0.总  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本附件所集中列示的否决投标条件，是本章“评标办法”的组成部分，是对本章正文部分所规定的否决投标条件的总结和补充，如果出现相互矛盾的情况，以本章正文部分的规定为准。</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A1.否决投标条件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投标人或其投标文件有下列情形之一的，否决其投标：</w:t>
      </w:r>
    </w:p>
    <w:p>
      <w:pPr>
        <w:numPr>
          <w:ilvl w:val="0"/>
          <w:numId w:val="1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有串通投标或弄虚作假或有其他违法行为的。</w:t>
      </w:r>
    </w:p>
    <w:p>
      <w:pPr>
        <w:numPr>
          <w:ilvl w:val="0"/>
          <w:numId w:val="1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不按评标委员会要求澄清、说明或补正的。</w:t>
      </w:r>
    </w:p>
    <w:p>
      <w:pPr>
        <w:numPr>
          <w:ilvl w:val="0"/>
          <w:numId w:val="1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投标文件完整性不符合招标文件第二章“投标人须知”第3.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.4项规定的投标。</w:t>
      </w:r>
    </w:p>
    <w:p>
      <w:pPr>
        <w:numPr>
          <w:ilvl w:val="0"/>
          <w:numId w:val="1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未按招标文件规定的格式填写，或者关键内容不全或关键字迹模糊、无法辨认的投标。</w:t>
      </w:r>
    </w:p>
    <w:p>
      <w:pPr>
        <w:numPr>
          <w:ilvl w:val="0"/>
          <w:numId w:val="1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投标人名称和公章不一致的。</w:t>
      </w:r>
    </w:p>
    <w:p>
      <w:pPr>
        <w:numPr>
          <w:ilvl w:val="0"/>
          <w:numId w:val="1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投标工期、质量标准、投标有效期、投标保证金不符合招标文件规定的。</w:t>
      </w:r>
    </w:p>
    <w:p>
      <w:pPr>
        <w:numPr>
          <w:ilvl w:val="0"/>
          <w:numId w:val="1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投标人递交两份或多份内容不同的投标文件，或在一份投标文件中对同一招标项目有两个或多个报价的。</w:t>
      </w:r>
    </w:p>
    <w:p>
      <w:pPr>
        <w:numPr>
          <w:ilvl w:val="0"/>
          <w:numId w:val="1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评标委员会认定投标人以低于成本报价竞标的，且投标人不能合理说明或者不能提供相应证明材料的。</w:t>
      </w:r>
    </w:p>
    <w:p>
      <w:pPr>
        <w:numPr>
          <w:ilvl w:val="0"/>
          <w:numId w:val="1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其他经评委会确认的未能实质性响应招标文件要求的投标。</w:t>
      </w:r>
    </w:p>
    <w:p>
      <w:pPr>
        <w:numPr>
          <w:ilvl w:val="0"/>
          <w:numId w:val="1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与资格预审项目经理不一致的。</w:t>
      </w:r>
    </w:p>
    <w:p>
      <w:pPr>
        <w:numPr>
          <w:ilvl w:val="0"/>
          <w:numId w:val="10"/>
        </w:num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highlight w:val="none"/>
          <w:lang w:val="en-US" w:eastAsia="zh-CN"/>
        </w:rPr>
        <w:t>电子标书打不开或打开无内容的。</w:t>
      </w:r>
    </w:p>
    <w:p>
      <w:pPr>
        <w:numPr>
          <w:ilvl w:val="0"/>
          <w:numId w:val="10"/>
        </w:numPr>
        <w:spacing w:line="360" w:lineRule="auto"/>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highlight w:val="none"/>
        </w:rPr>
        <w:t>法律、法规及行业有规定的其他情形。</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A2.串通投标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有下列情形之一的，属于投标人相互串通投标：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（1）投标人之间协商投标报价等投标文件的实质性内容；</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（2）投标人之间约定中标人；</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（3）投标人之间约定部分投标人放弃投标或者中标；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（4）属于同一集团、协会、商会等组织成员的投标人按照该组织要求协同投标；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（5）投标人之间为谋取中标或者排斥特定投标人而采取的其他联合行动。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有下列情形之一的，视为投标人相互串通投标：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（1）不同投标人的投标文件由同一单位或者个人编制；</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（2）不同投标人委托同一单位或者个人办理投标事宜；</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（3）不同投标人的投标文件载明的项目管理成员为同一人；</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（4）不同投标人的投标文件异常一致或者投标</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报价呈规律性差异；</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（5）不同投标人的投标文件相互混装；</w:t>
      </w:r>
    </w:p>
    <w:p>
      <w:p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（6）不同投标人的投标保证金从同一单位或者个人的账户转出。</w:t>
      </w:r>
    </w:p>
    <w:p>
      <w:pPr>
        <w:pStyle w:val="6"/>
        <w:keepNext w:val="0"/>
        <w:keepLines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A3.弄虚作假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投标人有下列情形之一的，属于弄虚作假的行为：</w:t>
      </w:r>
    </w:p>
    <w:p>
      <w:pPr>
        <w:numPr>
          <w:ilvl w:val="0"/>
          <w:numId w:val="11"/>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使用伪造、变造的许可证件；</w:t>
      </w:r>
    </w:p>
    <w:p>
      <w:pPr>
        <w:numPr>
          <w:ilvl w:val="0"/>
          <w:numId w:val="11"/>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提供虚假的财务状况或者业绩；</w:t>
      </w:r>
    </w:p>
    <w:p>
      <w:pPr>
        <w:numPr>
          <w:ilvl w:val="0"/>
          <w:numId w:val="11"/>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提供虚假的项目负责人或者主要技术人员简历、劳动关系证明；</w:t>
      </w:r>
    </w:p>
    <w:p>
      <w:pPr>
        <w:numPr>
          <w:ilvl w:val="0"/>
          <w:numId w:val="11"/>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提供虚假的信用状况；</w:t>
      </w:r>
    </w:p>
    <w:p>
      <w:pPr>
        <w:numPr>
          <w:ilvl w:val="0"/>
          <w:numId w:val="11"/>
        </w:numPr>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其他弄虚作假的行为。</w:t>
      </w:r>
    </w:p>
    <w:p>
      <w:pPr>
        <w:spacing w:line="360" w:lineRule="auto"/>
        <w:ind w:firstLine="600" w:firstLineChars="250"/>
        <w:rPr>
          <w:rFonts w:hint="eastAsia" w:ascii="仿宋" w:hAnsi="仿宋" w:eastAsia="仿宋" w:cs="仿宋"/>
          <w:color w:val="auto"/>
          <w:sz w:val="24"/>
          <w:szCs w:val="24"/>
          <w:highlight w:val="none"/>
        </w:rPr>
      </w:pPr>
    </w:p>
    <w:p>
      <w:pPr>
        <w:rPr>
          <w:rFonts w:hint="eastAsia" w:ascii="仿宋" w:hAnsi="仿宋" w:eastAsia="仿宋" w:cs="仿宋"/>
          <w:color w:val="auto"/>
        </w:rPr>
      </w:pPr>
      <w:bookmarkStart w:id="170" w:name="_Hlt128276537"/>
      <w:bookmarkEnd w:id="170"/>
      <w:bookmarkStart w:id="171" w:name="_Hlt128276530"/>
      <w:bookmarkEnd w:id="171"/>
      <w:bookmarkStart w:id="172" w:name="_Hlt128276660"/>
      <w:bookmarkEnd w:id="172"/>
      <w:bookmarkStart w:id="173" w:name="_Toc11044"/>
      <w:bookmarkStart w:id="174" w:name="_Toc421778381"/>
      <w:bookmarkStart w:id="175" w:name="_Toc421778377"/>
      <w:bookmarkStart w:id="176" w:name="_Toc351989128"/>
      <w:bookmarkStart w:id="177" w:name="_Toc221523521"/>
      <w:r>
        <w:rPr>
          <w:rFonts w:hint="eastAsia" w:ascii="仿宋" w:hAnsi="仿宋" w:eastAsia="仿宋" w:cs="仿宋"/>
          <w:color w:val="auto"/>
        </w:rPr>
        <w:br w:type="page"/>
      </w:r>
    </w:p>
    <w:p>
      <w:pPr>
        <w:pStyle w:val="3"/>
        <w:spacing w:line="350" w:lineRule="auto"/>
        <w:jc w:val="center"/>
        <w:rPr>
          <w:rFonts w:hint="eastAsia" w:ascii="仿宋" w:hAnsi="仿宋" w:eastAsia="仿宋" w:cs="仿宋"/>
          <w:lang w:val="en-US" w:eastAsia="zh-CN"/>
        </w:rPr>
      </w:pPr>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w:t>
      </w:r>
      <w:r>
        <w:rPr>
          <w:rFonts w:hint="eastAsia" w:ascii="仿宋" w:hAnsi="仿宋" w:eastAsia="仿宋" w:cs="仿宋"/>
          <w:lang w:val="en-US" w:eastAsia="zh-CN"/>
        </w:rPr>
        <w:t xml:space="preserve"> 合同条款及格式</w:t>
      </w:r>
      <w:bookmarkEnd w:id="173"/>
    </w:p>
    <w:p>
      <w:pPr>
        <w:adjustRightInd w:val="0"/>
        <w:snapToGrid w:val="0"/>
        <w:spacing w:before="60" w:after="60" w:line="360" w:lineRule="auto"/>
        <w:jc w:val="center"/>
        <w:rPr>
          <w:rFonts w:hint="eastAsia" w:ascii="仿宋" w:hAnsi="仿宋" w:eastAsia="仿宋" w:cs="仿宋"/>
          <w:b/>
          <w:color w:val="auto"/>
          <w:spacing w:val="4"/>
          <w:sz w:val="48"/>
          <w:szCs w:val="60"/>
          <w:highlight w:val="none"/>
          <w:lang w:eastAsia="zh-CN"/>
        </w:rPr>
      </w:pPr>
    </w:p>
    <w:p>
      <w:pPr>
        <w:adjustRightInd w:val="0"/>
        <w:snapToGrid w:val="0"/>
        <w:spacing w:before="60" w:after="60" w:line="360" w:lineRule="auto"/>
        <w:jc w:val="center"/>
        <w:rPr>
          <w:rFonts w:hint="eastAsia" w:ascii="仿宋" w:hAnsi="仿宋" w:eastAsia="仿宋" w:cs="仿宋"/>
          <w:b/>
          <w:color w:val="auto"/>
          <w:spacing w:val="4"/>
          <w:sz w:val="48"/>
          <w:szCs w:val="60"/>
          <w:highlight w:val="none"/>
          <w:lang w:eastAsia="zh-CN"/>
        </w:rPr>
      </w:pPr>
      <w:r>
        <w:rPr>
          <w:rFonts w:hint="eastAsia" w:ascii="仿宋" w:hAnsi="仿宋" w:eastAsia="仿宋" w:cs="仿宋"/>
          <w:b/>
          <w:color w:val="auto"/>
          <w:spacing w:val="4"/>
          <w:sz w:val="48"/>
          <w:szCs w:val="60"/>
          <w:highlight w:val="none"/>
          <w:lang w:eastAsia="zh-CN"/>
        </w:rPr>
        <w:t>蓝田县“安村设施蔬菜产业园”项目</w:t>
      </w:r>
    </w:p>
    <w:p>
      <w:pPr>
        <w:pStyle w:val="33"/>
        <w:rPr>
          <w:rFonts w:hint="eastAsia" w:ascii="仿宋" w:hAnsi="仿宋" w:eastAsia="仿宋" w:cs="仿宋"/>
          <w:b/>
          <w:color w:val="auto"/>
          <w:spacing w:val="4"/>
          <w:sz w:val="36"/>
          <w:szCs w:val="48"/>
          <w:highlight w:val="none"/>
          <w:lang w:eastAsia="zh-CN"/>
        </w:rPr>
      </w:pPr>
    </w:p>
    <w:p>
      <w:pPr>
        <w:pStyle w:val="33"/>
        <w:rPr>
          <w:rFonts w:hint="eastAsia" w:ascii="仿宋" w:hAnsi="仿宋" w:eastAsia="仿宋" w:cs="仿宋"/>
          <w:color w:val="auto"/>
          <w:sz w:val="16"/>
          <w:szCs w:val="20"/>
          <w:highlight w:val="none"/>
        </w:rPr>
      </w:pPr>
      <w:r>
        <w:rPr>
          <w:rFonts w:hint="eastAsia" w:ascii="仿宋" w:hAnsi="仿宋" w:eastAsia="仿宋" w:cs="仿宋"/>
          <w:b/>
          <w:color w:val="auto"/>
          <w:spacing w:val="4"/>
          <w:sz w:val="36"/>
          <w:szCs w:val="48"/>
          <w:highlight w:val="none"/>
          <w:lang w:eastAsia="zh-CN"/>
        </w:rPr>
        <w:t>（示范文本）</w:t>
      </w:r>
    </w:p>
    <w:p>
      <w:pPr>
        <w:adjustRightInd w:val="0"/>
        <w:snapToGrid w:val="0"/>
        <w:spacing w:before="60" w:after="60" w:line="360" w:lineRule="auto"/>
        <w:rPr>
          <w:rFonts w:hint="eastAsia" w:ascii="仿宋" w:hAnsi="仿宋" w:eastAsia="仿宋" w:cs="仿宋"/>
          <w:color w:val="auto"/>
          <w:sz w:val="24"/>
          <w:szCs w:val="24"/>
          <w:highlight w:val="none"/>
        </w:rPr>
      </w:pPr>
    </w:p>
    <w:p>
      <w:pPr>
        <w:adjustRightInd w:val="0"/>
        <w:snapToGrid w:val="0"/>
        <w:spacing w:before="60" w:after="60" w:line="360" w:lineRule="auto"/>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adjustRightInd w:val="0"/>
        <w:snapToGrid w:val="0"/>
        <w:spacing w:before="60" w:after="60" w:line="360" w:lineRule="auto"/>
        <w:rPr>
          <w:rFonts w:hint="eastAsia" w:ascii="仿宋" w:hAnsi="仿宋" w:eastAsia="仿宋" w:cs="仿宋"/>
          <w:color w:val="auto"/>
          <w:sz w:val="24"/>
          <w:szCs w:val="24"/>
          <w:highlight w:val="none"/>
        </w:rPr>
      </w:pPr>
    </w:p>
    <w:p>
      <w:pPr>
        <w:pStyle w:val="33"/>
        <w:rPr>
          <w:rFonts w:hint="eastAsia" w:ascii="仿宋" w:hAnsi="仿宋" w:eastAsia="仿宋" w:cs="仿宋"/>
          <w:color w:val="auto"/>
          <w:highlight w:val="none"/>
        </w:rPr>
      </w:pPr>
    </w:p>
    <w:p>
      <w:pPr>
        <w:pStyle w:val="14"/>
        <w:rPr>
          <w:rFonts w:hint="eastAsia" w:ascii="仿宋" w:hAnsi="仿宋" w:eastAsia="仿宋" w:cs="仿宋"/>
          <w:color w:val="auto"/>
          <w:highlight w:val="none"/>
        </w:rPr>
      </w:pPr>
    </w:p>
    <w:p>
      <w:pPr>
        <w:spacing w:line="360" w:lineRule="auto"/>
        <w:ind w:firstLine="2341" w:firstLineChars="745"/>
        <w:jc w:val="left"/>
        <w:rPr>
          <w:rFonts w:hint="eastAsia" w:ascii="仿宋" w:hAnsi="仿宋" w:eastAsia="仿宋" w:cs="仿宋"/>
          <w:b/>
          <w:color w:val="auto"/>
          <w:w w:val="98"/>
          <w:sz w:val="32"/>
          <w:szCs w:val="32"/>
          <w:highlight w:val="none"/>
        </w:rPr>
      </w:pPr>
      <w:r>
        <w:rPr>
          <w:rFonts w:hint="eastAsia" w:ascii="仿宋" w:hAnsi="仿宋" w:eastAsia="仿宋" w:cs="仿宋"/>
          <w:b/>
          <w:color w:val="auto"/>
          <w:w w:val="98"/>
          <w:sz w:val="32"/>
          <w:szCs w:val="32"/>
          <w:highlight w:val="none"/>
        </w:rPr>
        <w:t>项目编号：</w:t>
      </w:r>
    </w:p>
    <w:p>
      <w:pPr>
        <w:spacing w:line="360" w:lineRule="auto"/>
        <w:ind w:firstLine="2341" w:firstLineChars="745"/>
        <w:jc w:val="left"/>
        <w:rPr>
          <w:rFonts w:hint="eastAsia" w:ascii="仿宋" w:hAnsi="仿宋" w:eastAsia="仿宋" w:cs="仿宋"/>
          <w:b/>
          <w:color w:val="auto"/>
          <w:w w:val="98"/>
          <w:sz w:val="32"/>
          <w:szCs w:val="32"/>
          <w:highlight w:val="none"/>
        </w:rPr>
      </w:pPr>
      <w:r>
        <w:rPr>
          <w:rFonts w:hint="eastAsia" w:ascii="仿宋" w:hAnsi="仿宋" w:eastAsia="仿宋" w:cs="仿宋"/>
          <w:b/>
          <w:color w:val="auto"/>
          <w:w w:val="98"/>
          <w:sz w:val="32"/>
          <w:szCs w:val="32"/>
          <w:highlight w:val="none"/>
        </w:rPr>
        <w:t>项目名称：</w:t>
      </w:r>
    </w:p>
    <w:p>
      <w:pPr>
        <w:spacing w:line="360" w:lineRule="auto"/>
        <w:ind w:firstLine="2393" w:firstLineChars="745"/>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甲    方</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蓝田县安村镇人民政府</w:t>
      </w:r>
    </w:p>
    <w:p>
      <w:pPr>
        <w:spacing w:line="360" w:lineRule="auto"/>
        <w:ind w:firstLine="2393" w:firstLineChars="745"/>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乙    方</w:t>
      </w:r>
      <w:r>
        <w:rPr>
          <w:rFonts w:hint="eastAsia" w:ascii="仿宋" w:hAnsi="仿宋" w:eastAsia="仿宋" w:cs="仿宋"/>
          <w:b/>
          <w:color w:val="auto"/>
          <w:sz w:val="32"/>
          <w:szCs w:val="32"/>
          <w:highlight w:val="none"/>
        </w:rPr>
        <w:t>:</w:t>
      </w:r>
    </w:p>
    <w:p>
      <w:pPr>
        <w:jc w:val="center"/>
        <w:rPr>
          <w:rFonts w:hint="eastAsia" w:ascii="仿宋" w:hAnsi="仿宋" w:eastAsia="仿宋" w:cs="仿宋"/>
          <w:b/>
          <w:color w:val="auto"/>
          <w:sz w:val="32"/>
          <w:szCs w:val="32"/>
          <w:highlight w:val="none"/>
        </w:rPr>
      </w:pPr>
    </w:p>
    <w:p>
      <w:pPr>
        <w:adjustRightInd w:val="0"/>
        <w:snapToGrid w:val="0"/>
        <w:spacing w:before="60" w:after="60" w:line="36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年    月    日</w:t>
      </w:r>
    </w:p>
    <w:p>
      <w:pPr>
        <w:adjustRightInd w:val="0"/>
        <w:snapToGrid w:val="0"/>
        <w:spacing w:before="60" w:after="60" w:line="360" w:lineRule="auto"/>
        <w:jc w:val="center"/>
        <w:rPr>
          <w:rFonts w:hint="eastAsia" w:ascii="仿宋" w:hAnsi="仿宋" w:eastAsia="仿宋" w:cs="仿宋"/>
          <w:color w:val="auto"/>
          <w:sz w:val="24"/>
          <w:szCs w:val="24"/>
          <w:highlight w:val="none"/>
        </w:rPr>
      </w:pPr>
    </w:p>
    <w:p>
      <w:pPr>
        <w:adjustRightInd w:val="0"/>
        <w:snapToGrid w:val="0"/>
        <w:spacing w:before="60" w:after="60" w:line="360" w:lineRule="auto"/>
        <w:jc w:val="center"/>
        <w:rPr>
          <w:rFonts w:hint="eastAsia" w:ascii="仿宋" w:hAnsi="仿宋" w:eastAsia="仿宋" w:cs="仿宋"/>
          <w:color w:val="auto"/>
          <w:sz w:val="24"/>
          <w:szCs w:val="24"/>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合同文件格式</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rPr>
      </w:pP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甲方（采购人）：</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乙方（中标人）：</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根据《中华人民共和国民法典》、《中华人民共和国政府采购法》及其他有关法律、法规，遵循平等、自愿、公平和诚信的原则，双方就下述工程委托与相关服务事项协商一致，订立本合同。</w:t>
      </w:r>
    </w:p>
    <w:p>
      <w:pPr>
        <w:autoSpaceDE w:val="0"/>
        <w:autoSpaceDN w:val="0"/>
        <w:adjustRightInd w:val="0"/>
        <w:spacing w:line="48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一、合同价款</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（一）合同总价款：</w:t>
      </w:r>
      <w:r>
        <w:rPr>
          <w:rFonts w:hint="eastAsia" w:ascii="仿宋" w:hAnsi="仿宋" w:eastAsia="仿宋" w:cs="仿宋"/>
          <w:bCs/>
          <w:color w:val="auto"/>
          <w:sz w:val="24"/>
          <w:szCs w:val="24"/>
          <w:highlight w:val="none"/>
          <w:lang w:eastAsia="zh-CN"/>
        </w:rPr>
        <w:t>大写：</w:t>
      </w:r>
      <w:r>
        <w:rPr>
          <w:rFonts w:hint="eastAsia" w:ascii="仿宋" w:hAnsi="仿宋" w:eastAsia="仿宋" w:cs="仿宋"/>
          <w:bCs/>
          <w:color w:val="auto"/>
          <w:sz w:val="24"/>
          <w:szCs w:val="24"/>
          <w:highlight w:val="none"/>
          <w:lang w:val="en-US" w:eastAsia="zh-CN"/>
        </w:rPr>
        <w:t xml:space="preserve">            （￥：     元）</w:t>
      </w:r>
      <w:r>
        <w:rPr>
          <w:rFonts w:hint="eastAsia" w:ascii="仿宋" w:hAnsi="仿宋" w:eastAsia="仿宋" w:cs="仿宋"/>
          <w:bCs/>
          <w:color w:val="auto"/>
          <w:sz w:val="24"/>
          <w:szCs w:val="24"/>
          <w:highlight w:val="none"/>
        </w:rPr>
        <w:t>。</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（二）合同总价包括：</w:t>
      </w:r>
      <w:r>
        <w:rPr>
          <w:rFonts w:hint="eastAsia" w:ascii="仿宋" w:hAnsi="仿宋" w:eastAsia="仿宋" w:cs="仿宋"/>
          <w:bCs/>
          <w:color w:val="auto"/>
          <w:sz w:val="24"/>
          <w:szCs w:val="24"/>
          <w:highlight w:val="none"/>
          <w:lang w:eastAsia="zh-CN"/>
        </w:rPr>
        <w:t>工程量清单的全部内容</w:t>
      </w:r>
      <w:r>
        <w:rPr>
          <w:rFonts w:hint="eastAsia" w:ascii="仿宋" w:hAnsi="仿宋" w:eastAsia="仿宋" w:cs="仿宋"/>
          <w:bCs/>
          <w:color w:val="auto"/>
          <w:sz w:val="24"/>
          <w:szCs w:val="24"/>
          <w:highlight w:val="none"/>
        </w:rPr>
        <w:t>，不受市场价变化或实际工作量变化的影响。合同价格为含税价。</w:t>
      </w:r>
    </w:p>
    <w:p>
      <w:pPr>
        <w:autoSpaceDE w:val="0"/>
        <w:autoSpaceDN w:val="0"/>
        <w:adjustRightInd w:val="0"/>
        <w:spacing w:line="48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二、结算方式</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（1）合同签订后10个工作日内支付合同价款的30%；根据项目进度，完成本工程的80%，付至合同价款的80%；待工程完工后，验收合格、经审计部门审定后支付至审定总价款的97%，</w:t>
      </w:r>
      <w:r>
        <w:rPr>
          <w:rFonts w:hint="eastAsia" w:ascii="仿宋" w:hAnsi="仿宋" w:eastAsia="仿宋" w:cs="仿宋"/>
          <w:bCs/>
          <w:color w:val="auto"/>
          <w:sz w:val="24"/>
          <w:szCs w:val="24"/>
          <w:highlight w:val="none"/>
          <w:lang w:val="en-US" w:eastAsia="zh-CN"/>
        </w:rPr>
        <w:t>剩余3%作为质保金，待</w:t>
      </w:r>
      <w:r>
        <w:rPr>
          <w:rFonts w:hint="eastAsia" w:ascii="仿宋" w:hAnsi="仿宋" w:eastAsia="仿宋" w:cs="仿宋"/>
          <w:bCs/>
          <w:color w:val="auto"/>
          <w:sz w:val="24"/>
          <w:szCs w:val="24"/>
          <w:highlight w:val="none"/>
          <w:lang w:eastAsia="zh-CN"/>
        </w:rPr>
        <w:t>质保期结束后付剩余3%。</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（2）每次付款前中标单位须提供等额正规发票，最后一次付款时应提供剩余款项全额正规发票。</w:t>
      </w:r>
    </w:p>
    <w:p>
      <w:pPr>
        <w:autoSpaceDE w:val="0"/>
        <w:autoSpaceDN w:val="0"/>
        <w:adjustRightInd w:val="0"/>
        <w:spacing w:line="48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三、实施地点及工期：</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（一）实施地点：甲方指定地点。</w:t>
      </w:r>
    </w:p>
    <w:p>
      <w:pPr>
        <w:autoSpaceDE w:val="0"/>
        <w:autoSpaceDN w:val="0"/>
        <w:adjustRightInd w:val="0"/>
        <w:spacing w:line="48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（二）工期：自合同签订之日起3个月</w:t>
      </w:r>
      <w:r>
        <w:rPr>
          <w:rFonts w:hint="eastAsia" w:ascii="仿宋" w:hAnsi="仿宋" w:eastAsia="仿宋" w:cs="仿宋"/>
          <w:bCs/>
          <w:color w:val="auto"/>
          <w:sz w:val="24"/>
          <w:szCs w:val="24"/>
          <w:highlight w:val="none"/>
          <w:lang w:val="en-US" w:eastAsia="zh-CN"/>
        </w:rPr>
        <w:t>。</w:t>
      </w:r>
    </w:p>
    <w:p>
      <w:pPr>
        <w:autoSpaceDE w:val="0"/>
        <w:autoSpaceDN w:val="0"/>
        <w:adjustRightInd w:val="0"/>
        <w:spacing w:line="480" w:lineRule="auto"/>
        <w:ind w:firstLine="472" w:firstLineChars="196"/>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四、质量保证</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zh-CN"/>
        </w:rPr>
        <w:t>所选材料必须保证质量可靠、进货渠道正常，符合国家相关标准，满足施工要求。</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zh-CN"/>
        </w:rPr>
        <w:t>工程质量符合国家有关规范，确保达到合格。</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zh-CN"/>
        </w:rPr>
        <w:t>该工程项目质量保修期按有关文件规定执行。</w:t>
      </w:r>
    </w:p>
    <w:p>
      <w:pPr>
        <w:spacing w:line="480" w:lineRule="auto"/>
        <w:ind w:firstLine="600" w:firstLineChars="24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五、双方责任</w:t>
      </w:r>
    </w:p>
    <w:p>
      <w:pPr>
        <w:spacing w:line="48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（一）甲方责任：</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1、甲方负责施工场地的提供，排除施工障碍的协调。</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2、组织设计、设计变更及现场签证，工程结算的审定等工作。</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3、对工程进度、质量进行监督检查。</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4、组织有关单位对工程进行竣工验收。</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5、按时支付工程款。</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（二） 乙方责任：</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1、负责办理完成项目使用审批手续，负责工程安全文明施工、承担一切风险，满足甲方工程的需要。保证甲方正式投入使用，再无其他费用发生。</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竣工后交甲方竣工图二份及甲方委托乙方办理项目手续的相关资料等，以备留档。</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设计说明进行施工，确保工程按合同规定的时间如期完工和交付；并应接受甲方代表或委派人员的检查、检验，乙方应为甲方人员检查提供便利条件，对不合格的部分按甲方代表及委派人员的要求返工修改，承担由自身原因导致的返工修改费用，工期不予顺延。</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5、隐蔽工程在覆盖前必须经甲方代表或现场监理代表验收签章后，方可进行下一道工序。</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6、遵守甲方施工场地的规章制度和管理，做到安全文明施工，做 好成品保护，对甲方提出的问题应在 24 小时内予以解决或处理；遵守有关施工规范和安全操作规程，如发生安全事故，乙方应及时通知甲方，积极采取有效的补救措施，如因此造成甲方、乙方或第三方人身或财产损失，全部责任由乙方自行承担。</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7、采取有效的安全保障措施，确保施工安全，包括悬挂警示标牌、装设围栏、配备安全人员等，并承担事故的全部费用和责任。</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8、工程竣工后提供竣工验收技术资料及竣工图</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套，办理工程竣工结算手续，参加工程竣工验收。</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9、已完工的项目，在交工前乙方应负责保管，清理现场达到建筑物无污染，现场无建筑垃圾。</w:t>
      </w:r>
    </w:p>
    <w:p>
      <w:pPr>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10、本工程不得转包</w:t>
      </w:r>
      <w:r>
        <w:rPr>
          <w:rFonts w:hint="eastAsia" w:ascii="仿宋" w:hAnsi="仿宋" w:eastAsia="仿宋" w:cs="仿宋"/>
          <w:color w:val="auto"/>
          <w:sz w:val="24"/>
          <w:szCs w:val="24"/>
          <w:highlight w:val="none"/>
          <w:lang w:val="en-US" w:eastAsia="zh-CN"/>
        </w:rPr>
        <w:t>或违法分包，存在该情形的，甲方有权解除合同，乙方应按合同总价5%承担违约责任</w:t>
      </w:r>
      <w:r>
        <w:rPr>
          <w:rFonts w:hint="eastAsia" w:ascii="仿宋" w:hAnsi="仿宋" w:eastAsia="仿宋" w:cs="仿宋"/>
          <w:color w:val="auto"/>
          <w:sz w:val="24"/>
          <w:szCs w:val="24"/>
          <w:highlight w:val="none"/>
        </w:rPr>
        <w:t>。</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11、乙方应在设备运行过程中，对安全隐患进行全面的不定期检查与维护，并对不按安全规程操作的施工单位及时制止，并报甲方进行处理。</w:t>
      </w:r>
    </w:p>
    <w:p>
      <w:pPr>
        <w:spacing w:line="480" w:lineRule="auto"/>
        <w:ind w:firstLine="480" w:firstLineChars="200"/>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12、乙方不能按合同规定的工期竣工的，应向甲方支付违约金，每逾期一日，支付合同总价款万分之二的违约金，造成甲方损失的，还应赔偿甲方损失。</w:t>
      </w:r>
    </w:p>
    <w:p>
      <w:pPr>
        <w:spacing w:line="360" w:lineRule="auto"/>
        <w:ind w:firstLine="723" w:firstLineChars="300"/>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双方权利及义务</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1.甲乙双方必须遵守本合同并执行合同中的各项规定，保证本合同的正常履行。</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2.本合同签订后甲乙双方不得单方终止合同，如乙方违约，应退还</w:t>
      </w:r>
      <w:r>
        <w:rPr>
          <w:rFonts w:hint="eastAsia" w:ascii="仿宋" w:hAnsi="仿宋" w:eastAsia="仿宋" w:cs="仿宋"/>
          <w:color w:val="auto"/>
          <w:sz w:val="24"/>
          <w:szCs w:val="24"/>
          <w:highlight w:val="none"/>
          <w:lang w:val="en-US" w:eastAsia="zh-CN"/>
        </w:rPr>
        <w:t>已付款项</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val="en-US" w:eastAsia="zh-CN"/>
        </w:rPr>
        <w:t>按照合同总价款的10%支付违约金，违约金不足以弥补甲方损失的，还应</w:t>
      </w:r>
      <w:r>
        <w:rPr>
          <w:rFonts w:hint="eastAsia" w:ascii="仿宋" w:hAnsi="仿宋" w:eastAsia="仿宋" w:cs="仿宋"/>
          <w:color w:val="auto"/>
          <w:sz w:val="24"/>
          <w:szCs w:val="24"/>
          <w:highlight w:val="none"/>
        </w:rPr>
        <w:t>赔偿给甲方实际造成的损失。</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3.如因乙方存在以下行为，甲方有权终止合同，依法向乙方进行经济索赔，并报请政府采购监督管理机关进行相应的行政处罚。</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相应资质被取消；</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存在弄虚作假、传递虚假信息等违法违规行为；</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基础设施及人员不能满足需要，提出后拒不整改；</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网络舆情或媒体报道存在不规范操作行为；</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未全面履行合同义务或者发生违约。</w:t>
      </w:r>
    </w:p>
    <w:p>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4.本合同未经双方同意，任何一方不得以任何形式公开本合同及附件内容，以确保双方的商业机密。</w:t>
      </w:r>
    </w:p>
    <w:p>
      <w:pPr>
        <w:spacing w:line="48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634" w:firstLineChars="263"/>
        <w:jc w:val="lef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、组成合同的文件</w:t>
      </w:r>
    </w:p>
    <w:p>
      <w:pPr>
        <w:spacing w:line="48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1．组成本合同的文件包括：</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(1)本合同书</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文件及其附件</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清单表</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2．双方有关工程的洽商、变更等书面协议或文件、补充协议书均视为本合同的组成部分。</w:t>
      </w:r>
    </w:p>
    <w:p>
      <w:pPr>
        <w:autoSpaceDE w:val="0"/>
        <w:autoSpaceDN w:val="0"/>
        <w:adjustRightInd w:val="0"/>
        <w:spacing w:line="480" w:lineRule="auto"/>
        <w:ind w:firstLine="472" w:firstLineChars="196"/>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lang w:val="zh-CN"/>
        </w:rPr>
        <w:t>、验收</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zh-CN"/>
        </w:rPr>
        <w:t>主材到现场后，由甲方对其进行验收，确认材料的产地、规格、数量。</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zh-CN"/>
        </w:rPr>
        <w:t>乙方工程完工后，进行自检，合格后准备验收文件，并书面通知甲方。</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zh-CN"/>
        </w:rPr>
        <w:t>甲方确认乙方的自检内容，验收合格作为工程的最终认可。</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zh-CN"/>
        </w:rPr>
        <w:t>验收依据：</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合同、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val="zh-CN"/>
        </w:rPr>
        <w:t>文件、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文件及承诺。</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国家相关</w:t>
      </w:r>
      <w:r>
        <w:rPr>
          <w:rFonts w:hint="eastAsia" w:ascii="仿宋" w:hAnsi="仿宋" w:eastAsia="仿宋" w:cs="仿宋"/>
          <w:bCs/>
          <w:color w:val="auto"/>
          <w:sz w:val="24"/>
          <w:szCs w:val="24"/>
          <w:highlight w:val="none"/>
        </w:rPr>
        <w:t>标准、规范及有关技术文件</w:t>
      </w:r>
      <w:r>
        <w:rPr>
          <w:rFonts w:hint="eastAsia" w:ascii="仿宋" w:hAnsi="仿宋" w:eastAsia="仿宋" w:cs="仿宋"/>
          <w:color w:val="auto"/>
          <w:sz w:val="24"/>
          <w:szCs w:val="24"/>
          <w:highlight w:val="none"/>
          <w:lang w:val="zh-CN"/>
        </w:rPr>
        <w:t>。</w:t>
      </w:r>
    </w:p>
    <w:p>
      <w:pPr>
        <w:autoSpaceDE w:val="0"/>
        <w:autoSpaceDN w:val="0"/>
        <w:adjustRightInd w:val="0"/>
        <w:spacing w:line="480" w:lineRule="auto"/>
        <w:ind w:firstLine="472" w:firstLineChars="196"/>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eastAsia="zh-CN"/>
        </w:rPr>
        <w:t>九、质保</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（1）从竣工验收</w:t>
      </w:r>
      <w:r>
        <w:rPr>
          <w:rFonts w:hint="eastAsia" w:ascii="仿宋" w:hAnsi="仿宋" w:eastAsia="仿宋" w:cs="仿宋"/>
          <w:color w:val="auto"/>
          <w:sz w:val="24"/>
          <w:szCs w:val="24"/>
          <w:highlight w:val="none"/>
          <w:lang w:val="en-US" w:eastAsia="zh-CN"/>
        </w:rPr>
        <w:t>合格</w:t>
      </w:r>
      <w:r>
        <w:rPr>
          <w:rFonts w:hint="eastAsia" w:ascii="仿宋" w:hAnsi="仿宋" w:eastAsia="仿宋" w:cs="仿宋"/>
          <w:color w:val="auto"/>
          <w:sz w:val="24"/>
          <w:szCs w:val="24"/>
          <w:highlight w:val="none"/>
          <w:lang w:val="zh-CN" w:eastAsia="zh-CN"/>
        </w:rPr>
        <w:t>之日计算，保修期为【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】年。</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en-US" w:eastAsia="zh-CN"/>
        </w:rPr>
        <w:t>乙方对其</w:t>
      </w:r>
      <w:r>
        <w:rPr>
          <w:rFonts w:hint="eastAsia" w:ascii="仿宋" w:hAnsi="仿宋" w:eastAsia="仿宋" w:cs="仿宋"/>
          <w:color w:val="auto"/>
          <w:sz w:val="24"/>
          <w:szCs w:val="24"/>
          <w:highlight w:val="none"/>
          <w:lang w:val="zh-CN" w:eastAsia="zh-CN"/>
        </w:rPr>
        <w:t>所施工的项目</w:t>
      </w:r>
      <w:r>
        <w:rPr>
          <w:rFonts w:hint="eastAsia" w:ascii="仿宋" w:hAnsi="仿宋" w:eastAsia="仿宋" w:cs="仿宋"/>
          <w:color w:val="auto"/>
          <w:sz w:val="24"/>
          <w:szCs w:val="24"/>
          <w:highlight w:val="none"/>
          <w:lang w:val="en-US" w:eastAsia="zh-CN"/>
        </w:rPr>
        <w:t>及提供材料均</w:t>
      </w:r>
      <w:r>
        <w:rPr>
          <w:rFonts w:hint="eastAsia" w:ascii="仿宋" w:hAnsi="仿宋" w:eastAsia="仿宋" w:cs="仿宋"/>
          <w:color w:val="auto"/>
          <w:sz w:val="24"/>
          <w:szCs w:val="24"/>
          <w:highlight w:val="none"/>
          <w:lang w:val="zh-CN" w:eastAsia="zh-CN"/>
        </w:rPr>
        <w:t>进行保修。</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（3）保修期内由于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施工不当造成质量问题，乙方无条件地进行维修。</w:t>
      </w:r>
    </w:p>
    <w:p>
      <w:pPr>
        <w:autoSpaceDE w:val="0"/>
        <w:autoSpaceDN w:val="0"/>
        <w:adjustRightInd w:val="0"/>
        <w:spacing w:line="480" w:lineRule="auto"/>
        <w:ind w:firstLine="470" w:firstLineChars="196"/>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）保修期内如属发包人使用不当造成装饰面损坏，或不能正常使用，乙方酌情收费。</w:t>
      </w:r>
    </w:p>
    <w:p>
      <w:pPr>
        <w:autoSpaceDE w:val="0"/>
        <w:autoSpaceDN w:val="0"/>
        <w:adjustRightInd w:val="0"/>
        <w:spacing w:line="480" w:lineRule="auto"/>
        <w:ind w:firstLine="48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十、撤场</w:t>
      </w:r>
    </w:p>
    <w:p>
      <w:pPr>
        <w:autoSpaceDE w:val="0"/>
        <w:autoSpaceDN w:val="0"/>
        <w:adjustRightInd w:val="0"/>
        <w:spacing w:line="480" w:lineRule="auto"/>
        <w:ind w:firstLine="48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乙方在整个项目完工后，在交付甲方之前，应当对完成的工程进行清理和清洗一次，所有建筑垃圾、工程余料，均应清理外运。所有费用均已包括在合同金额中。</w:t>
      </w:r>
    </w:p>
    <w:p>
      <w:pPr>
        <w:autoSpaceDE w:val="0"/>
        <w:autoSpaceDN w:val="0"/>
        <w:adjustRightInd w:val="0"/>
        <w:spacing w:line="48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、争议的解决方式</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合同执行过程中如发生争议，双方应及时协商解决，协商不成， 双方均可向项目所在地人民法院起诉。</w:t>
      </w:r>
    </w:p>
    <w:p>
      <w:pPr>
        <w:spacing w:line="48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、其他</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1、乙方收到甲方支付的工程款，必须优先用于支付工人劳动报酬；乙方有拖欠、克扣工人劳动报酬行为的，甲方有权采取下列任一或全部措施，乙方并应赔偿因此给甲方造成的一切损失：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（1）在乙方工程款中扣除相应款项，直接支付给乙方所属工人；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（2）解除合同。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本合同未定事宜，双方可根据具体情况结合有关规定另行签订补充协议，补充协议与本合同具有同等法律效力。</w:t>
      </w:r>
    </w:p>
    <w:p>
      <w:pPr>
        <w:spacing w:line="48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、附则</w:t>
      </w:r>
    </w:p>
    <w:p>
      <w:pPr>
        <w:tabs>
          <w:tab w:val="left" w:pos="0"/>
        </w:tabs>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（一）本合同一式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份，正本</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份，甲、乙方各执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（二）合同经双方盖章后生效，各条款执行完毕后终止。</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14"/>
        <w:rPr>
          <w:rFonts w:hint="eastAsia"/>
        </w:rPr>
      </w:pPr>
    </w:p>
    <w:tbl>
      <w:tblPr>
        <w:tblStyle w:val="35"/>
        <w:tblW w:w="8403" w:type="dxa"/>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甲  方</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乙  方</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ind w:firstLine="700" w:firstLineChars="350"/>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（盖章）</w:t>
            </w:r>
          </w:p>
        </w:tc>
        <w:tc>
          <w:tcPr>
            <w:tcW w:w="4202" w:type="dxa"/>
            <w:noWrap/>
            <w:vAlign w:val="center"/>
          </w:tcPr>
          <w:p>
            <w:pPr>
              <w:autoSpaceDE w:val="0"/>
              <w:autoSpaceDN w:val="0"/>
              <w:adjustRightInd w:val="0"/>
              <w:spacing w:line="480" w:lineRule="auto"/>
              <w:ind w:firstLine="800" w:firstLineChars="400"/>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（盖章）</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 xml:space="preserve">地址： </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地址：</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邮编：</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邮编：</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 xml:space="preserve">法定代表人： </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法定代表人：</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被授权代表：</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被授权代表：</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电话：</w:t>
            </w:r>
          </w:p>
        </w:tc>
        <w:tc>
          <w:tcPr>
            <w:tcW w:w="4202" w:type="dxa"/>
            <w:noWrap/>
            <w:vAlign w:val="center"/>
          </w:tcPr>
          <w:p>
            <w:pPr>
              <w:autoSpaceDE w:val="0"/>
              <w:autoSpaceDN w:val="0"/>
              <w:adjustRightInd w:val="0"/>
              <w:spacing w:line="480" w:lineRule="auto"/>
              <w:ind w:left="600" w:hanging="600" w:hangingChars="300"/>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电话：</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传真：</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传真：</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开户银行：</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开户银行：</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lang w:eastAsia="zh-CN"/>
              </w:rPr>
            </w:pPr>
            <w:r>
              <w:rPr>
                <w:rFonts w:hint="eastAsia" w:ascii="仿宋" w:hAnsi="仿宋" w:eastAsia="仿宋" w:cs="仿宋"/>
                <w:color w:val="auto"/>
                <w:spacing w:val="-20"/>
                <w:kern w:val="0"/>
                <w:sz w:val="24"/>
                <w:szCs w:val="24"/>
                <w:highlight w:val="none"/>
              </w:rPr>
              <w:t>日期</w:t>
            </w:r>
            <w:r>
              <w:rPr>
                <w:rFonts w:hint="eastAsia" w:ascii="仿宋" w:hAnsi="仿宋" w:eastAsia="仿宋" w:cs="仿宋"/>
                <w:color w:val="auto"/>
                <w:spacing w:val="-20"/>
                <w:kern w:val="0"/>
                <w:sz w:val="24"/>
                <w:szCs w:val="24"/>
                <w:highlight w:val="none"/>
                <w:lang w:eastAsia="zh-CN"/>
              </w:rPr>
              <w:t>：</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spacing w:val="-20"/>
                <w:kern w:val="0"/>
                <w:sz w:val="24"/>
                <w:szCs w:val="24"/>
                <w:highlight w:val="none"/>
              </w:rPr>
              <w:t>日期：</w:t>
            </w: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napToGrid w:val="0"/>
              <w:spacing w:line="400" w:lineRule="exact"/>
              <w:rPr>
                <w:rFonts w:hint="eastAsia" w:ascii="仿宋" w:hAnsi="仿宋" w:eastAsia="仿宋" w:cs="仿宋"/>
                <w:color w:val="auto"/>
                <w:spacing w:val="-20"/>
                <w:kern w:val="0"/>
                <w:sz w:val="24"/>
                <w:szCs w:val="24"/>
                <w:highlight w:val="none"/>
              </w:rPr>
            </w:pPr>
            <w:r>
              <w:rPr>
                <w:rFonts w:hint="eastAsia" w:ascii="仿宋" w:hAnsi="仿宋" w:eastAsia="仿宋" w:cs="仿宋"/>
                <w:color w:val="auto"/>
                <w:sz w:val="24"/>
                <w:szCs w:val="24"/>
                <w:highlight w:val="none"/>
              </w:rPr>
              <w:t>鉴证方：</w:t>
            </w:r>
            <w:r>
              <w:rPr>
                <w:rFonts w:hint="eastAsia" w:ascii="仿宋" w:hAnsi="仿宋" w:eastAsia="仿宋" w:cs="仿宋"/>
                <w:color w:val="auto"/>
                <w:sz w:val="24"/>
                <w:szCs w:val="24"/>
                <w:highlight w:val="none"/>
                <w:u w:val="single"/>
              </w:rPr>
              <w:t xml:space="preserve">   （盖章）       </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napToGrid w:val="0"/>
              <w:spacing w:line="400" w:lineRule="exact"/>
              <w:rPr>
                <w:rFonts w:hint="eastAsia" w:ascii="仿宋" w:hAnsi="仿宋" w:eastAsia="仿宋" w:cs="仿宋"/>
                <w:color w:val="auto"/>
                <w:spacing w:val="-20"/>
                <w:kern w:val="0"/>
                <w:sz w:val="24"/>
                <w:szCs w:val="24"/>
                <w:highlight w:val="none"/>
              </w:rPr>
            </w:pPr>
            <w:r>
              <w:rPr>
                <w:rFonts w:hint="eastAsia" w:ascii="仿宋" w:hAnsi="仿宋" w:eastAsia="仿宋" w:cs="仿宋"/>
                <w:color w:val="auto"/>
                <w:sz w:val="24"/>
                <w:szCs w:val="24"/>
                <w:highlight w:val="none"/>
              </w:rPr>
              <w:t xml:space="preserve">地 址： </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napToGrid w:val="0"/>
              <w:spacing w:line="400" w:lineRule="exact"/>
              <w:rPr>
                <w:rFonts w:hint="eastAsia" w:ascii="仿宋" w:hAnsi="仿宋" w:eastAsia="仿宋" w:cs="仿宋"/>
                <w:color w:val="auto"/>
                <w:spacing w:val="-20"/>
                <w:kern w:val="0"/>
                <w:sz w:val="24"/>
                <w:szCs w:val="24"/>
                <w:highlight w:val="none"/>
              </w:rPr>
            </w:pPr>
            <w:r>
              <w:rPr>
                <w:rFonts w:hint="eastAsia" w:ascii="仿宋" w:hAnsi="仿宋" w:eastAsia="仿宋" w:cs="仿宋"/>
                <w:color w:val="auto"/>
                <w:sz w:val="24"/>
                <w:szCs w:val="24"/>
                <w:highlight w:val="none"/>
              </w:rPr>
              <w:t>邮政编码：</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p>
        </w:tc>
      </w:tr>
      <w:tr>
        <w:tblPrEx>
          <w:tblCellMar>
            <w:top w:w="0" w:type="dxa"/>
            <w:left w:w="108" w:type="dxa"/>
            <w:bottom w:w="0" w:type="dxa"/>
            <w:right w:w="108" w:type="dxa"/>
          </w:tblCellMar>
        </w:tblPrEx>
        <w:trPr>
          <w:trHeight w:val="567" w:hRule="exact"/>
          <w:jc w:val="center"/>
        </w:trPr>
        <w:tc>
          <w:tcPr>
            <w:tcW w:w="4201" w:type="dxa"/>
            <w:noWrap/>
            <w:vAlign w:val="center"/>
          </w:tcPr>
          <w:p>
            <w:pPr>
              <w:autoSpaceDE w:val="0"/>
              <w:autoSpaceDN w:val="0"/>
              <w:adjustRightInd w:val="0"/>
              <w:snapToGrid w:val="0"/>
              <w:spacing w:line="400" w:lineRule="exact"/>
              <w:rPr>
                <w:rFonts w:hint="eastAsia" w:ascii="仿宋" w:hAnsi="仿宋" w:eastAsia="仿宋" w:cs="仿宋"/>
                <w:color w:val="auto"/>
                <w:spacing w:val="-20"/>
                <w:kern w:val="0"/>
                <w:sz w:val="24"/>
                <w:szCs w:val="24"/>
                <w:highlight w:val="none"/>
              </w:rPr>
            </w:pPr>
            <w:r>
              <w:rPr>
                <w:rFonts w:hint="eastAsia" w:ascii="仿宋" w:hAnsi="仿宋" w:eastAsia="仿宋" w:cs="仿宋"/>
                <w:color w:val="auto"/>
                <w:sz w:val="24"/>
                <w:szCs w:val="24"/>
                <w:highlight w:val="none"/>
              </w:rPr>
              <w:t>电话：</w:t>
            </w:r>
          </w:p>
        </w:tc>
        <w:tc>
          <w:tcPr>
            <w:tcW w:w="4202" w:type="dxa"/>
            <w:noWrap/>
            <w:vAlign w:val="center"/>
          </w:tcPr>
          <w:p>
            <w:pPr>
              <w:autoSpaceDE w:val="0"/>
              <w:autoSpaceDN w:val="0"/>
              <w:adjustRightInd w:val="0"/>
              <w:spacing w:line="480" w:lineRule="auto"/>
              <w:rPr>
                <w:rFonts w:hint="eastAsia" w:ascii="仿宋" w:hAnsi="仿宋" w:eastAsia="仿宋" w:cs="仿宋"/>
                <w:color w:val="auto"/>
                <w:spacing w:val="-20"/>
                <w:kern w:val="0"/>
                <w:sz w:val="24"/>
                <w:szCs w:val="24"/>
                <w:highlight w:val="none"/>
              </w:rPr>
            </w:pPr>
          </w:p>
        </w:tc>
      </w:tr>
    </w:tbl>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sz w:val="30"/>
          <w:szCs w:val="30"/>
        </w:rPr>
      </w:pPr>
    </w:p>
    <w:p>
      <w:pPr>
        <w:pStyle w:val="3"/>
        <w:keepNext w:val="0"/>
        <w:pageBreakBefore/>
        <w:spacing w:line="350" w:lineRule="auto"/>
        <w:jc w:val="center"/>
        <w:rPr>
          <w:rFonts w:hint="eastAsia" w:ascii="仿宋" w:hAnsi="仿宋" w:eastAsia="仿宋" w:cs="仿宋"/>
          <w:b w:val="0"/>
          <w:bCs w:val="0"/>
          <w:sz w:val="32"/>
          <w:szCs w:val="32"/>
        </w:rPr>
      </w:pPr>
      <w:bookmarkStart w:id="178" w:name="_Toc9335"/>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工程量清单</w:t>
      </w:r>
      <w:bookmarkEnd w:id="178"/>
    </w:p>
    <w:p>
      <w:pPr>
        <w:jc w:val="center"/>
        <w:rPr>
          <w:rFonts w:hint="eastAsia" w:ascii="仿宋" w:hAnsi="仿宋" w:eastAsia="仿宋" w:cs="仿宋"/>
          <w:b/>
          <w:bCs/>
          <w:sz w:val="22"/>
          <w:szCs w:val="22"/>
        </w:rPr>
      </w:pPr>
      <w:bookmarkStart w:id="179" w:name="_Toc221523531"/>
      <w:r>
        <w:rPr>
          <w:rFonts w:hint="eastAsia" w:ascii="仿宋" w:hAnsi="仿宋" w:eastAsia="仿宋" w:cs="仿宋"/>
          <w:b/>
          <w:bCs/>
          <w:sz w:val="32"/>
          <w:szCs w:val="28"/>
        </w:rPr>
        <w:t>编制说明</w:t>
      </w:r>
    </w:p>
    <w:bookmarkEnd w:id="179"/>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sz w:val="24"/>
          <w:szCs w:val="24"/>
        </w:rPr>
      </w:pPr>
      <w:r>
        <w:rPr>
          <w:rFonts w:ascii="仿宋" w:hAnsi="仿宋" w:eastAsia="仿宋" w:cs="仿宋"/>
          <w:b/>
          <w:bCs/>
          <w:color w:val="000000"/>
          <w:sz w:val="24"/>
          <w:szCs w:val="24"/>
        </w:rPr>
        <w:t>一、工程概况</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1.项目名称：蓝田县“安村设施蔬菜产业园”项目</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2.项目概况：本项目位于陕西省西安市蓝田县安村，工程范围包括管理房、日光温室、钢架大棚、分拣中心、室外工程、机井泵房、缓冲间等工程内容。</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sz w:val="24"/>
          <w:szCs w:val="24"/>
        </w:rPr>
      </w:pPr>
      <w:r>
        <w:rPr>
          <w:rFonts w:hint="eastAsia" w:ascii="仿宋" w:hAnsi="仿宋" w:eastAsia="仿宋" w:cs="仿宋"/>
          <w:b/>
          <w:bCs/>
          <w:color w:val="000000"/>
          <w:sz w:val="24"/>
          <w:szCs w:val="24"/>
        </w:rPr>
        <w:t>二、编制范围</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sz w:val="24"/>
          <w:szCs w:val="24"/>
        </w:rPr>
      </w:pPr>
      <w:r>
        <w:rPr>
          <w:rFonts w:hint="eastAsia" w:ascii="仿宋" w:hAnsi="仿宋" w:eastAsia="仿宋" w:cs="仿宋"/>
          <w:color w:val="000000"/>
          <w:sz w:val="24"/>
          <w:szCs w:val="24"/>
        </w:rPr>
        <w:t>安村设施蔬菜产业园项目设计图纸包含管理房、日光温室、钢架大棚、分拣中心、室外工程、机井泵房、缓冲间，其中室外工程包括砂石道路、管道开挖、出水桩、新建机井、过滤器施肥罐基础、闸阀井、公示牌、污水井、蓄水池、沉砂池、化粪池等内容。</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sz w:val="24"/>
          <w:szCs w:val="24"/>
        </w:rPr>
      </w:pPr>
      <w:r>
        <w:rPr>
          <w:rFonts w:hint="eastAsia" w:ascii="仿宋" w:hAnsi="仿宋" w:eastAsia="仿宋" w:cs="仿宋"/>
          <w:b/>
          <w:bCs/>
          <w:color w:val="000000"/>
          <w:sz w:val="24"/>
          <w:szCs w:val="24"/>
        </w:rPr>
        <w:t>三、编制依据</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1.《陕西省建设工程工程量清单计价规则》（2009）、《陕西省建设工程工程量清单计价费率》（2009）及其配套文件中工程量计算办法；</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2.本工程措施费执行陕建发【2017】270号文，关于增加建设工程扬尘治理专项措施费及综合人工单价调整的通知；</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3.陕建发【2019】45号文，关于调整陕西省建设工程计价依据的通知；</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4.陕建发【2019】1246号文，关于发布我省落实建筑工人实名制管理计价依据的通知；</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5.陕建发【2020】1097号文，关于发布建筑施工安全责任保险费用计价的通知；</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6.陕建发【2021】1021号文，关于全省统一停止收缴建筑业劳保费用的通知；</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7.施工图纸；</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8.常规的施工组织设计及施工方法；</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9.施工图中采用的相关标准图集、施工规范及验收规范；</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10.招标技术要求及其他相关资料；</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11.施工现场情况、工程特点及常规施工方案。</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sz w:val="24"/>
          <w:szCs w:val="24"/>
        </w:rPr>
      </w:pPr>
      <w:r>
        <w:rPr>
          <w:rFonts w:hint="eastAsia" w:ascii="仿宋" w:hAnsi="仿宋" w:eastAsia="仿宋" w:cs="仿宋"/>
          <w:b/>
          <w:bCs/>
          <w:color w:val="000000"/>
          <w:sz w:val="24"/>
          <w:szCs w:val="24"/>
        </w:rPr>
        <w:t>四、其他说明</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1.本工程量清单所提供工程项目特征仅表达了主要工程做法，组价时应依据设计图纸、相关图集，结合招标文件，合同条款，技术规范、图纸、答疑纪要等进行组价；</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2.本工程软件采用广联达云计价平台GCCP6.0（增值税6.3000.23.110版）；</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rPr>
        <w:t>3.采用商品混凝土、预拌砂浆、袋装熟石灰；</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.工程量清单项目特征中描述工程量暂定部分，结算以实际发生工程量为准计入；</w:t>
      </w:r>
    </w:p>
    <w:p>
      <w:pPr>
        <w:spacing w:line="360" w:lineRule="auto"/>
        <w:ind w:firstLine="480" w:firstLineChars="200"/>
        <w:jc w:val="left"/>
        <w:rPr>
          <w:rFonts w:hint="eastAsia" w:ascii="仿宋" w:hAnsi="仿宋" w:eastAsia="仿宋" w:cs="仿宋"/>
          <w:b/>
          <w:color w:val="FF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.日光温室、钢架大棚区域根据设计图纸考虑土方平衡。</w:t>
      </w:r>
    </w:p>
    <w:p>
      <w:pPr>
        <w:pStyle w:val="3"/>
        <w:keepNext w:val="0"/>
        <w:pageBreakBefore/>
        <w:spacing w:line="350" w:lineRule="auto"/>
        <w:jc w:val="center"/>
        <w:rPr>
          <w:rFonts w:hint="eastAsia" w:ascii="仿宋" w:hAnsi="仿宋" w:eastAsia="仿宋" w:cs="仿宋"/>
        </w:rPr>
      </w:pPr>
      <w:bookmarkStart w:id="180" w:name="_Toc420591498"/>
      <w:bookmarkStart w:id="181" w:name="_Toc421778382"/>
      <w:bookmarkStart w:id="182" w:name="_Toc14976"/>
      <w:bookmarkStart w:id="183" w:name="_Toc421778383"/>
      <w:bookmarkStart w:id="184" w:name="_Toc420591664"/>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图纸</w:t>
      </w:r>
      <w:bookmarkEnd w:id="180"/>
      <w:bookmarkEnd w:id="181"/>
      <w:bookmarkEnd w:id="182"/>
      <w:bookmarkEnd w:id="183"/>
      <w:bookmarkEnd w:id="184"/>
    </w:p>
    <w:p>
      <w:pPr>
        <w:spacing w:line="360" w:lineRule="auto"/>
        <w:jc w:val="center"/>
        <w:rPr>
          <w:rFonts w:hint="eastAsia" w:ascii="仿宋" w:hAnsi="仿宋" w:eastAsia="仿宋" w:cs="仿宋"/>
          <w:b/>
          <w:bCs/>
        </w:rPr>
      </w:pPr>
      <w:bookmarkStart w:id="185" w:name="_Toc372720944"/>
      <w:bookmarkStart w:id="186" w:name="_Toc372728295"/>
      <w:bookmarkStart w:id="187" w:name="_Toc373329604"/>
      <w:bookmarkStart w:id="188" w:name="_Toc372885967"/>
      <w:bookmarkStart w:id="189" w:name="_Toc372727630"/>
      <w:bookmarkStart w:id="190" w:name="_Toc356305908"/>
      <w:r>
        <w:rPr>
          <w:rFonts w:hint="eastAsia" w:ascii="仿宋" w:hAnsi="仿宋" w:eastAsia="仿宋" w:cs="仿宋"/>
          <w:b/>
          <w:bCs/>
        </w:rPr>
        <w:t>（图纸另册）</w:t>
      </w:r>
      <w:bookmarkEnd w:id="185"/>
      <w:bookmarkEnd w:id="186"/>
      <w:bookmarkEnd w:id="187"/>
      <w:bookmarkEnd w:id="188"/>
      <w:bookmarkEnd w:id="189"/>
      <w:bookmarkEnd w:id="190"/>
    </w:p>
    <w:p>
      <w:pPr>
        <w:spacing w:line="360" w:lineRule="auto"/>
        <w:rPr>
          <w:rFonts w:hint="eastAsia" w:ascii="仿宋" w:hAnsi="仿宋" w:eastAsia="仿宋" w:cs="仿宋"/>
        </w:rPr>
      </w:pPr>
    </w:p>
    <w:p>
      <w:pPr>
        <w:pStyle w:val="3"/>
        <w:keepNext w:val="0"/>
        <w:pageBreakBefore/>
        <w:numPr>
          <w:ilvl w:val="0"/>
          <w:numId w:val="0"/>
        </w:numPr>
        <w:spacing w:line="350" w:lineRule="auto"/>
        <w:jc w:val="center"/>
        <w:rPr>
          <w:rFonts w:hint="eastAsia" w:ascii="仿宋" w:hAnsi="仿宋" w:eastAsia="仿宋" w:cs="仿宋"/>
        </w:rPr>
      </w:pPr>
      <w:bookmarkStart w:id="191" w:name="_Toc29326"/>
      <w:r>
        <w:rPr>
          <w:rFonts w:hint="eastAsia" w:ascii="仿宋" w:hAnsi="仿宋" w:eastAsia="仿宋" w:cs="仿宋"/>
          <w:lang w:val="en-US" w:eastAsia="zh-CN"/>
        </w:rPr>
        <w:t>第七章 技术标准</w:t>
      </w:r>
      <w:r>
        <w:rPr>
          <w:rFonts w:hint="eastAsia" w:ascii="仿宋" w:hAnsi="仿宋" w:eastAsia="仿宋" w:cs="仿宋"/>
        </w:rPr>
        <w:t>及要求</w:t>
      </w:r>
      <w:bookmarkEnd w:id="174"/>
      <w:bookmarkEnd w:id="191"/>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一、依据设计文件的要求，本招标工程项目的材料、设备、施工须达到所涉及到的现行中华人民共和国以及省、自治区、直辖市或行业的工程建设标准、规范的要求。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二、根据工程设计要求，该项工程项目的材料、设备、施工除必须达到以上标准外，还应满足设计要求和业主在招标文件中的有关要求。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三、该工程项目的材料、设备、施工如无上述1、2条的标准，在材料、设备的定货采购和施工安装时，应出具生产厂家或施工安装企业在技术监督部门已备案企业标准，并经监理和业主批准后方可实施。</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四、项目工期</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自合同签订之日起3个月</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五、付款方式</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合同签订后10个工作日内支付合同价款的30%；根据项目进度，完成本工程的80%，付至合同价款的80%；待工程完工后，验收合格、经审计部门审定后支付至审定总价款的97%，剩余3%作为质保金，待质保期结束后付剩余3%。</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（2）每次付款前中标单位须提供等额正规发票，最后一次付款时应提供剩余款项全额正规发票。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br w:type="page"/>
      </w:r>
    </w:p>
    <w:p>
      <w:pPr>
        <w:pStyle w:val="3"/>
        <w:keepNext w:val="0"/>
        <w:pageBreakBefore/>
        <w:spacing w:line="350" w:lineRule="auto"/>
        <w:jc w:val="center"/>
        <w:rPr>
          <w:rFonts w:hint="eastAsia" w:ascii="仿宋" w:hAnsi="仿宋" w:eastAsia="仿宋" w:cs="仿宋"/>
          <w:sz w:val="32"/>
          <w:szCs w:val="32"/>
        </w:rPr>
      </w:pPr>
      <w:bookmarkStart w:id="192" w:name="_Toc421778384"/>
      <w:bookmarkStart w:id="193" w:name="_Toc6999"/>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章</w:t>
      </w:r>
      <w:bookmarkEnd w:id="192"/>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投标文件构成及格式</w:t>
      </w:r>
      <w:bookmarkEnd w:id="193"/>
    </w:p>
    <w:p>
      <w:pPr>
        <w:spacing w:line="540" w:lineRule="exact"/>
        <w:rPr>
          <w:rFonts w:hint="eastAsia" w:ascii="仿宋" w:hAnsi="仿宋" w:eastAsia="仿宋" w:cs="仿宋"/>
          <w:b/>
          <w:bCs/>
          <w:sz w:val="24"/>
          <w:szCs w:val="24"/>
        </w:rPr>
      </w:pPr>
      <w:r>
        <w:rPr>
          <w:rFonts w:hint="eastAsia" w:ascii="仿宋" w:hAnsi="仿宋" w:eastAsia="仿宋" w:cs="仿宋"/>
          <w:b/>
          <w:bCs/>
          <w:sz w:val="24"/>
          <w:szCs w:val="24"/>
        </w:rPr>
        <w:t>项目编号：HXGJXM2022-ZC-GK1061</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（正本或副本）</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jc w:val="center"/>
        <w:rPr>
          <w:rFonts w:hint="eastAsia" w:ascii="仿宋" w:hAnsi="仿宋" w:eastAsia="仿宋" w:cs="仿宋"/>
          <w:b/>
          <w:bCs/>
          <w:sz w:val="52"/>
          <w:szCs w:val="52"/>
        </w:rPr>
      </w:pPr>
    </w:p>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color w:val="FF0000"/>
          <w:sz w:val="44"/>
          <w:szCs w:val="44"/>
          <w:lang w:val="en-US" w:eastAsia="zh-CN"/>
        </w:rPr>
        <w:t>蓝田县“安村设施蔬菜产业园”项目</w:t>
      </w:r>
    </w:p>
    <w:p>
      <w:pPr>
        <w:spacing w:line="360" w:lineRule="auto"/>
        <w:rPr>
          <w:rFonts w:hint="eastAsia" w:ascii="仿宋" w:hAnsi="仿宋" w:eastAsia="仿宋" w:cs="仿宋"/>
          <w:sz w:val="72"/>
          <w:szCs w:val="72"/>
        </w:rPr>
      </w:pP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投标文件</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rPr>
        <w:t>投标人：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rPr>
        <w:t>（盖章）</w:t>
      </w:r>
    </w:p>
    <w:p>
      <w:pPr>
        <w:spacing w:line="360" w:lineRule="auto"/>
        <w:ind w:firstLine="1124" w:firstLineChars="400"/>
        <w:jc w:val="left"/>
        <w:rPr>
          <w:rFonts w:hint="eastAsia" w:ascii="仿宋" w:hAnsi="仿宋" w:eastAsia="仿宋" w:cs="仿宋"/>
          <w:b/>
          <w:bCs/>
          <w:sz w:val="28"/>
          <w:szCs w:val="28"/>
        </w:rPr>
      </w:pPr>
      <w:r>
        <w:rPr>
          <w:rFonts w:hint="eastAsia" w:ascii="仿宋" w:hAnsi="仿宋" w:eastAsia="仿宋" w:cs="仿宋"/>
          <w:b/>
          <w:bCs/>
          <w:sz w:val="28"/>
          <w:szCs w:val="28"/>
        </w:rPr>
        <w:t>法定代表人或其委托代理人：（签字或盖章）</w:t>
      </w:r>
    </w:p>
    <w:p>
      <w:pPr>
        <w:spacing w:line="360" w:lineRule="auto"/>
        <w:ind w:firstLine="2811" w:firstLineChars="1000"/>
        <w:jc w:val="left"/>
        <w:rPr>
          <w:rFonts w:hint="eastAsia" w:ascii="仿宋" w:hAnsi="仿宋" w:eastAsia="仿宋" w:cs="仿宋"/>
          <w:b/>
          <w:bCs/>
          <w:sz w:val="28"/>
          <w:szCs w:val="28"/>
        </w:rPr>
      </w:pP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p>
    <w:p>
      <w:pPr>
        <w:spacing w:line="360" w:lineRule="auto"/>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jc w:val="center"/>
        <w:rPr>
          <w:rFonts w:hint="eastAsia" w:ascii="仿宋" w:hAnsi="仿宋" w:eastAsia="仿宋" w:cs="仿宋"/>
          <w:b/>
          <w:bCs/>
          <w:sz w:val="32"/>
          <w:szCs w:val="32"/>
        </w:rPr>
      </w:pPr>
      <w:bookmarkStart w:id="194" w:name="_Toc420591666"/>
      <w:bookmarkStart w:id="195" w:name="_Toc421778385"/>
      <w:bookmarkStart w:id="196" w:name="_Toc420591500"/>
      <w:bookmarkStart w:id="197" w:name="_Toc372885969"/>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bookmarkEnd w:id="194"/>
      <w:bookmarkEnd w:id="195"/>
      <w:bookmarkEnd w:id="196"/>
      <w:bookmarkEnd w:id="197"/>
    </w:p>
    <w:p>
      <w:pPr>
        <w:pStyle w:val="14"/>
        <w:rPr>
          <w:rFonts w:hint="eastAsia" w:ascii="仿宋" w:hAnsi="仿宋" w:eastAsia="仿宋" w:cs="仿宋"/>
        </w:rPr>
      </w:pP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第一部分    商务标</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一、投标函</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二、开标一览表</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三、法定代表人身份证明</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四、法人授权委托书</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五、已标价工程量清单</w:t>
      </w:r>
    </w:p>
    <w:p>
      <w:pPr>
        <w:spacing w:line="480" w:lineRule="auto"/>
        <w:ind w:left="2310" w:leftChars="1100"/>
        <w:jc w:val="left"/>
        <w:rPr>
          <w:rFonts w:hint="eastAsia" w:ascii="仿宋" w:hAnsi="仿宋" w:eastAsia="仿宋" w:cs="仿宋"/>
          <w:sz w:val="24"/>
          <w:szCs w:val="24"/>
        </w:rPr>
      </w:pPr>
      <w:r>
        <w:rPr>
          <w:rFonts w:hint="eastAsia" w:ascii="仿宋" w:hAnsi="仿宋" w:eastAsia="仿宋" w:cs="仿宋"/>
          <w:sz w:val="24"/>
          <w:szCs w:val="24"/>
        </w:rPr>
        <w:t>六、商务响应与说明</w:t>
      </w:r>
    </w:p>
    <w:p>
      <w:pPr>
        <w:spacing w:line="480" w:lineRule="auto"/>
        <w:jc w:val="left"/>
        <w:rPr>
          <w:rFonts w:hint="eastAsia" w:ascii="仿宋" w:hAnsi="仿宋" w:eastAsia="仿宋" w:cs="仿宋"/>
          <w:color w:val="FF0000"/>
          <w:sz w:val="24"/>
          <w:szCs w:val="24"/>
        </w:rPr>
      </w:pPr>
      <w:r>
        <w:rPr>
          <w:rFonts w:hint="eastAsia" w:ascii="仿宋" w:hAnsi="仿宋" w:eastAsia="仿宋" w:cs="仿宋"/>
          <w:sz w:val="24"/>
          <w:szCs w:val="24"/>
        </w:rPr>
        <w:t xml:space="preserve">             </w:t>
      </w:r>
      <w:r>
        <w:rPr>
          <w:rFonts w:hint="eastAsia" w:ascii="仿宋" w:hAnsi="仿宋" w:eastAsia="仿宋" w:cs="仿宋"/>
          <w:color w:val="auto"/>
          <w:sz w:val="24"/>
          <w:szCs w:val="24"/>
        </w:rPr>
        <w:t xml:space="preserve">      七、承诺书</w:t>
      </w:r>
    </w:p>
    <w:p>
      <w:pPr>
        <w:spacing w:line="480" w:lineRule="auto"/>
        <w:jc w:val="left"/>
        <w:rPr>
          <w:rFonts w:hint="eastAsia" w:ascii="仿宋" w:hAnsi="仿宋" w:eastAsia="仿宋" w:cs="仿宋"/>
          <w:sz w:val="24"/>
          <w:szCs w:val="24"/>
        </w:rPr>
      </w:pPr>
      <w:r>
        <w:rPr>
          <w:rFonts w:hint="eastAsia" w:ascii="仿宋" w:hAnsi="仿宋" w:eastAsia="仿宋" w:cs="仿宋"/>
          <w:sz w:val="24"/>
          <w:szCs w:val="24"/>
        </w:rPr>
        <w:t xml:space="preserve">                   八、招标文件要求的其他文件或承诺</w:t>
      </w:r>
    </w:p>
    <w:p>
      <w:pPr>
        <w:spacing w:line="480" w:lineRule="auto"/>
        <w:ind w:left="2310" w:leftChars="1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九、其他可以证明投标人实力的文件</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第二部分    技术标</w:t>
      </w:r>
    </w:p>
    <w:p>
      <w:pPr>
        <w:spacing w:line="480" w:lineRule="auto"/>
        <w:ind w:left="2310" w:leftChars="1100"/>
        <w:jc w:val="left"/>
        <w:rPr>
          <w:rFonts w:hint="eastAsia" w:ascii="仿宋" w:hAnsi="仿宋" w:eastAsia="仿宋" w:cs="仿宋"/>
          <w:b/>
          <w:bCs/>
          <w:sz w:val="24"/>
          <w:szCs w:val="24"/>
        </w:rPr>
      </w:pPr>
      <w:r>
        <w:rPr>
          <w:rFonts w:hint="eastAsia" w:ascii="仿宋" w:hAnsi="仿宋" w:eastAsia="仿宋" w:cs="仿宋"/>
          <w:b/>
          <w:bCs/>
          <w:sz w:val="24"/>
          <w:szCs w:val="24"/>
        </w:rPr>
        <w:t>第三部分    资格标</w:t>
      </w:r>
    </w:p>
    <w:p>
      <w:pPr>
        <w:spacing w:line="480" w:lineRule="auto"/>
        <w:ind w:firstLine="2400" w:firstLineChars="1000"/>
        <w:jc w:val="left"/>
        <w:rPr>
          <w:rFonts w:hint="eastAsia" w:ascii="仿宋" w:hAnsi="仿宋" w:eastAsia="仿宋" w:cs="仿宋"/>
          <w:b/>
          <w:bCs/>
          <w:sz w:val="24"/>
          <w:szCs w:val="24"/>
        </w:rPr>
      </w:pPr>
      <w:r>
        <w:rPr>
          <w:rFonts w:hint="eastAsia" w:ascii="仿宋" w:hAnsi="仿宋" w:eastAsia="仿宋" w:cs="仿宋"/>
          <w:sz w:val="24"/>
          <w:szCs w:val="24"/>
        </w:rPr>
        <w:t>一、投标人的基本情况介绍和资格声明</w:t>
      </w:r>
    </w:p>
    <w:p>
      <w:pPr>
        <w:spacing w:line="480" w:lineRule="auto"/>
        <w:ind w:firstLine="2400" w:firstLineChars="1000"/>
        <w:jc w:val="left"/>
        <w:rPr>
          <w:rFonts w:hint="eastAsia" w:ascii="仿宋" w:hAnsi="仿宋" w:eastAsia="仿宋" w:cs="仿宋"/>
          <w:sz w:val="24"/>
          <w:szCs w:val="24"/>
        </w:rPr>
      </w:pPr>
      <w:r>
        <w:rPr>
          <w:rFonts w:hint="eastAsia" w:ascii="仿宋" w:hAnsi="仿宋" w:eastAsia="仿宋" w:cs="仿宋"/>
          <w:sz w:val="24"/>
          <w:szCs w:val="24"/>
        </w:rPr>
        <w:t>二、投标人资格证明文件</w:t>
      </w:r>
    </w:p>
    <w:p>
      <w:pPr>
        <w:spacing w:line="480" w:lineRule="auto"/>
        <w:jc w:val="left"/>
        <w:rPr>
          <w:rFonts w:hint="eastAsia" w:ascii="仿宋" w:hAnsi="仿宋" w:eastAsia="仿宋" w:cs="仿宋"/>
          <w:sz w:val="24"/>
          <w:szCs w:val="24"/>
        </w:rPr>
      </w:pPr>
    </w:p>
    <w:p>
      <w:pPr>
        <w:spacing w:line="480" w:lineRule="auto"/>
        <w:ind w:firstLine="2448" w:firstLineChars="1020"/>
        <w:rPr>
          <w:rFonts w:hint="eastAsia" w:ascii="仿宋" w:hAnsi="仿宋" w:eastAsia="仿宋" w:cs="仿宋"/>
          <w:sz w:val="24"/>
          <w:szCs w:val="24"/>
        </w:rPr>
      </w:pPr>
    </w:p>
    <w:p>
      <w:pPr>
        <w:spacing w:line="480" w:lineRule="auto"/>
        <w:rPr>
          <w:rFonts w:hint="eastAsia" w:ascii="仿宋" w:hAnsi="仿宋" w:eastAsia="仿宋" w:cs="仿宋"/>
          <w:sz w:val="24"/>
          <w:szCs w:val="24"/>
        </w:rPr>
      </w:pPr>
    </w:p>
    <w:p>
      <w:pPr>
        <w:spacing w:line="480" w:lineRule="auto"/>
        <w:ind w:left="2310" w:leftChars="1100"/>
        <w:jc w:val="left"/>
        <w:rPr>
          <w:rFonts w:hint="eastAsia" w:ascii="仿宋" w:hAnsi="仿宋" w:eastAsia="仿宋" w:cs="仿宋"/>
          <w:b/>
          <w:bCs/>
          <w:sz w:val="24"/>
          <w:szCs w:val="24"/>
        </w:rPr>
      </w:pPr>
      <w:bookmarkStart w:id="198" w:name="_Toc425240481"/>
      <w:bookmarkStart w:id="199" w:name="_Toc32749"/>
      <w:bookmarkStart w:id="200" w:name="_Toc387"/>
      <w:bookmarkStart w:id="201" w:name="_Toc23278"/>
      <w:bookmarkStart w:id="202" w:name="_Toc420591667"/>
      <w:bookmarkStart w:id="203" w:name="_Toc421778386"/>
    </w:p>
    <w:p>
      <w:pPr>
        <w:pStyle w:val="2"/>
        <w:rPr>
          <w:rFonts w:hint="eastAsia"/>
        </w:rPr>
      </w:pPr>
    </w:p>
    <w:p>
      <w:pPr>
        <w:pStyle w:val="4"/>
        <w:jc w:val="center"/>
        <w:rPr>
          <w:rFonts w:hint="eastAsia" w:ascii="仿宋" w:hAnsi="仿宋" w:eastAsia="仿宋" w:cs="仿宋"/>
        </w:rPr>
      </w:pPr>
      <w:bookmarkStart w:id="204" w:name="_Toc18380"/>
      <w:bookmarkStart w:id="205" w:name="_Toc12238"/>
      <w:r>
        <w:rPr>
          <w:rFonts w:hint="eastAsia" w:ascii="仿宋" w:hAnsi="仿宋" w:eastAsia="仿宋" w:cs="仿宋"/>
        </w:rPr>
        <w:t>第一部分 商务标</w:t>
      </w:r>
      <w:bookmarkEnd w:id="204"/>
      <w:bookmarkEnd w:id="205"/>
    </w:p>
    <w:p>
      <w:pPr>
        <w:jc w:val="center"/>
        <w:outlineLvl w:val="1"/>
        <w:rPr>
          <w:rFonts w:hint="eastAsia" w:ascii="仿宋" w:hAnsi="仿宋" w:eastAsia="仿宋" w:cs="仿宋"/>
          <w:b/>
          <w:bCs/>
          <w:sz w:val="32"/>
          <w:szCs w:val="32"/>
        </w:rPr>
      </w:pPr>
      <w:bookmarkStart w:id="206" w:name="_Toc25165"/>
      <w:bookmarkStart w:id="207" w:name="_Toc229"/>
      <w:r>
        <w:rPr>
          <w:rFonts w:hint="eastAsia" w:ascii="仿宋" w:hAnsi="仿宋" w:eastAsia="仿宋" w:cs="仿宋"/>
          <w:b/>
          <w:bCs/>
          <w:sz w:val="32"/>
          <w:szCs w:val="32"/>
        </w:rPr>
        <w:t>一、投标函</w:t>
      </w:r>
      <w:bookmarkEnd w:id="198"/>
      <w:bookmarkEnd w:id="199"/>
      <w:bookmarkEnd w:id="200"/>
      <w:bookmarkEnd w:id="201"/>
      <w:bookmarkEnd w:id="202"/>
      <w:bookmarkEnd w:id="203"/>
      <w:bookmarkEnd w:id="206"/>
      <w:bookmarkEnd w:id="207"/>
    </w:p>
    <w:p>
      <w:pPr>
        <w:pStyle w:val="31"/>
        <w:spacing w:before="0" w:beforeAutospacing="0" w:after="0" w:afterAutospacing="0" w:line="360" w:lineRule="auto"/>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（招标人）</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1、根据已收到</w:t>
      </w:r>
      <w:r>
        <w:rPr>
          <w:rFonts w:hint="eastAsia" w:ascii="仿宋" w:hAnsi="仿宋" w:eastAsia="仿宋" w:cs="仿宋"/>
          <w:u w:val="single"/>
        </w:rPr>
        <w:t>（项目名称）（项目编号）</w:t>
      </w:r>
      <w:r>
        <w:rPr>
          <w:rFonts w:hint="eastAsia" w:ascii="仿宋" w:hAnsi="仿宋" w:eastAsia="仿宋" w:cs="仿宋"/>
        </w:rPr>
        <w:t>的招标文件，遵照《中华人民共和国政府采购法》、《中华人民共和国招标投标法》</w:t>
      </w:r>
      <w:r>
        <w:rPr>
          <w:rFonts w:hint="eastAsia" w:ascii="仿宋" w:hAnsi="仿宋" w:eastAsia="仿宋" w:cs="仿宋"/>
          <w:lang w:eastAsia="zh-CN"/>
        </w:rPr>
        <w:t>、</w:t>
      </w:r>
      <w:r>
        <w:rPr>
          <w:rFonts w:hint="eastAsia" w:ascii="仿宋" w:hAnsi="仿宋" w:eastAsia="仿宋" w:cs="仿宋"/>
        </w:rPr>
        <w:t>《中华人民共和国招标投标法</w:t>
      </w:r>
      <w:r>
        <w:rPr>
          <w:rFonts w:hint="eastAsia" w:ascii="仿宋" w:hAnsi="仿宋" w:eastAsia="仿宋" w:cs="仿宋"/>
          <w:lang w:eastAsia="zh-CN"/>
        </w:rPr>
        <w:t>实施条例</w:t>
      </w:r>
      <w:r>
        <w:rPr>
          <w:rFonts w:hint="eastAsia" w:ascii="仿宋" w:hAnsi="仿宋" w:eastAsia="仿宋" w:cs="仿宋"/>
        </w:rPr>
        <w:t>》等有关规定，经踏勘本项目现场、参加招标答疑会议和仔细研究本工程招标文件、答疑纪要、合同条款、招标图纸、工程量清单及其他有关文件后，我方愿以人民币</w:t>
      </w:r>
      <w:r>
        <w:rPr>
          <w:rFonts w:hint="eastAsia" w:ascii="仿宋" w:hAnsi="仿宋" w:eastAsia="仿宋" w:cs="仿宋"/>
          <w:u w:val="single"/>
        </w:rPr>
        <w:t>（大写）</w:t>
      </w:r>
      <w:r>
        <w:rPr>
          <w:rFonts w:hint="eastAsia" w:ascii="仿宋" w:hAnsi="仿宋" w:eastAsia="仿宋" w:cs="仿宋"/>
          <w:u w:val="single"/>
          <w:lang w:val="en-US" w:eastAsia="zh-CN"/>
        </w:rPr>
        <w:t xml:space="preserve">   </w:t>
      </w:r>
      <w:r>
        <w:rPr>
          <w:rFonts w:hint="eastAsia" w:ascii="仿宋" w:hAnsi="仿宋" w:eastAsia="仿宋" w:cs="仿宋"/>
        </w:rPr>
        <w:t>元（</w:t>
      </w:r>
      <w:r>
        <w:rPr>
          <w:rFonts w:hint="eastAsia" w:ascii="仿宋" w:hAnsi="仿宋" w:eastAsia="仿宋" w:cs="仿宋"/>
          <w:u w:val="single"/>
        </w:rPr>
        <w:t>￥</w:t>
      </w:r>
      <w:r>
        <w:rPr>
          <w:rFonts w:hint="eastAsia" w:ascii="仿宋" w:hAnsi="仿宋" w:eastAsia="仿宋" w:cs="仿宋"/>
          <w:u w:val="single"/>
          <w:lang w:val="en-US" w:eastAsia="zh-CN"/>
        </w:rPr>
        <w:t xml:space="preserve">     </w:t>
      </w:r>
      <w:r>
        <w:rPr>
          <w:rFonts w:hint="eastAsia" w:ascii="仿宋" w:hAnsi="仿宋" w:eastAsia="仿宋" w:cs="仿宋"/>
          <w:u w:val="single"/>
        </w:rPr>
        <w:t>元</w:t>
      </w:r>
      <w:r>
        <w:rPr>
          <w:rFonts w:hint="eastAsia" w:ascii="仿宋" w:hAnsi="仿宋" w:eastAsia="仿宋" w:cs="仿宋"/>
          <w:u w:val="single"/>
          <w:lang w:val="en-US" w:eastAsia="zh-CN"/>
        </w:rPr>
        <w:t xml:space="preserve"> </w:t>
      </w:r>
      <w:r>
        <w:rPr>
          <w:rFonts w:hint="eastAsia" w:ascii="仿宋" w:hAnsi="仿宋" w:eastAsia="仿宋" w:cs="仿宋"/>
        </w:rPr>
        <w:t>）的投标总报价，按</w:t>
      </w:r>
      <w:r>
        <w:rPr>
          <w:rFonts w:hint="eastAsia" w:ascii="仿宋" w:hAnsi="仿宋" w:eastAsia="仿宋" w:cs="仿宋"/>
          <w:color w:val="FF0000"/>
          <w:u w:val="single"/>
        </w:rPr>
        <w:t>（项目名称）（项目编号）</w:t>
      </w:r>
      <w:r>
        <w:rPr>
          <w:rFonts w:hint="eastAsia" w:ascii="仿宋" w:hAnsi="仿宋" w:eastAsia="仿宋" w:cs="仿宋"/>
        </w:rPr>
        <w:t>招标文件、答疑纪要、合同条款、施工图纸、工程量清单及其他有关文件等承包本工程的施工、竣工和保修，并承担任何质量缺陷保修责任。</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2、我方已详细审核全部招标文件及有关附件、工程现场条件、招标答疑纪要、补遗书等文件。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3、该报价是完成本招标文件规定的、所需的一切费用，且不低于我单位工程施工的成本价。</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4、如果我方中标，</w:t>
      </w:r>
      <w:r>
        <w:rPr>
          <w:rFonts w:hint="eastAsia" w:ascii="仿宋" w:hAnsi="仿宋" w:eastAsia="仿宋" w:cs="仿宋"/>
          <w:color w:val="FF0000"/>
        </w:rPr>
        <w:t>我方保证在</w:t>
      </w:r>
      <w:r>
        <w:rPr>
          <w:rFonts w:hint="eastAsia" w:ascii="仿宋" w:hAnsi="仿宋" w:eastAsia="仿宋" w:cs="仿宋"/>
          <w:color w:val="FF0000"/>
          <w:u w:val="single"/>
          <w:lang w:val="en-US" w:eastAsia="zh-CN"/>
        </w:rPr>
        <w:t xml:space="preserve">        </w:t>
      </w:r>
      <w:r>
        <w:rPr>
          <w:rFonts w:hint="eastAsia" w:ascii="仿宋" w:hAnsi="仿宋" w:eastAsia="仿宋" w:cs="仿宋"/>
          <w:color w:val="FF0000"/>
          <w:u w:val="none"/>
          <w:lang w:val="en-US" w:eastAsia="zh-CN"/>
        </w:rPr>
        <w:t>（工期）内完</w:t>
      </w:r>
      <w:r>
        <w:rPr>
          <w:rFonts w:hint="eastAsia" w:ascii="仿宋" w:hAnsi="仿宋" w:eastAsia="仿宋" w:cs="仿宋"/>
          <w:color w:val="FF0000"/>
        </w:rPr>
        <w:t>工</w:t>
      </w:r>
      <w:r>
        <w:rPr>
          <w:rFonts w:hint="eastAsia" w:ascii="仿宋" w:hAnsi="仿宋" w:eastAsia="仿宋" w:cs="仿宋"/>
        </w:rPr>
        <w:t>，并确保工程质量达到标准。拟派项目</w:t>
      </w:r>
      <w:r>
        <w:rPr>
          <w:rFonts w:hint="eastAsia" w:ascii="仿宋" w:hAnsi="仿宋" w:eastAsia="仿宋" w:cs="仿宋"/>
          <w:lang w:eastAsia="zh-CN"/>
        </w:rPr>
        <w:t>经理</w:t>
      </w:r>
      <w:r>
        <w:rPr>
          <w:rFonts w:hint="eastAsia" w:ascii="仿宋" w:hAnsi="仿宋" w:eastAsia="仿宋" w:cs="仿宋"/>
          <w:u w:val="single"/>
          <w:lang w:val="en-US" w:eastAsia="zh-CN"/>
        </w:rPr>
        <w:t xml:space="preserve">     </w:t>
      </w:r>
      <w:r>
        <w:rPr>
          <w:rFonts w:hint="eastAsia" w:ascii="仿宋" w:hAnsi="仿宋" w:eastAsia="仿宋" w:cs="仿宋"/>
        </w:rPr>
        <w:t>，证书编号</w:t>
      </w:r>
      <w:r>
        <w:rPr>
          <w:rFonts w:hint="eastAsia" w:ascii="仿宋" w:hAnsi="仿宋" w:eastAsia="仿宋" w:cs="仿宋"/>
          <w:u w:val="single"/>
          <w:lang w:val="en-US" w:eastAsia="zh-CN"/>
        </w:rPr>
        <w:t xml:space="preserve">        </w:t>
      </w:r>
      <w:r>
        <w:rPr>
          <w:rFonts w:hint="eastAsia" w:ascii="仿宋" w:hAnsi="仿宋" w:eastAsia="仿宋" w:cs="仿宋"/>
        </w:rPr>
        <w:t>。我方同意本投标函在招标文件规定的提交投标文件截止时间后，在招标文件规定的投标有效期期满前对我方具有约束力，且随时准备接受你方发出的中标通知书。</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5、如果我方中标，我方将按照招标人规定时间足额提交合同履约保证金。</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6、我方保证以前递交的本工程相关资料和投标函中各种附件是真实可靠的，如有不实，我方将无条件接受招标人的处理决定，甚至自动退出投标，由此产生的一切后果均由我方负责。</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7、除非另外达成协议并生效，你方的中标通知书和本投标文件将构成约束我们双方的合同。</w:t>
      </w:r>
    </w:p>
    <w:p>
      <w:pPr>
        <w:pStyle w:val="31"/>
        <w:spacing w:before="0" w:beforeAutospacing="0" w:after="0" w:afterAutospacing="0" w:line="360" w:lineRule="auto"/>
        <w:ind w:firstLine="480" w:firstLineChars="200"/>
        <w:rPr>
          <w:rStyle w:val="38"/>
          <w:rFonts w:hint="eastAsia" w:ascii="仿宋" w:hAnsi="仿宋" w:eastAsia="仿宋" w:cs="仿宋"/>
          <w:b w:val="0"/>
          <w:bCs w:val="0"/>
        </w:rPr>
      </w:pPr>
      <w:r>
        <w:rPr>
          <w:rFonts w:hint="eastAsia" w:ascii="仿宋" w:hAnsi="仿宋" w:eastAsia="仿宋" w:cs="仿宋"/>
        </w:rPr>
        <w:t>8、我方的投标文件在开标后</w:t>
      </w:r>
      <w:r>
        <w:rPr>
          <w:rFonts w:hint="eastAsia" w:ascii="仿宋" w:hAnsi="仿宋" w:eastAsia="仿宋" w:cs="仿宋"/>
          <w:u w:val="single"/>
          <w:lang w:val="en-US" w:eastAsia="zh-CN"/>
        </w:rPr>
        <w:t xml:space="preserve">     天</w:t>
      </w:r>
      <w:r>
        <w:rPr>
          <w:rFonts w:hint="eastAsia" w:ascii="仿宋" w:hAnsi="仿宋" w:eastAsia="仿宋" w:cs="仿宋"/>
        </w:rPr>
        <w:t>有效，在投标有效期内不修改或撤回投标文件。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9、我方理解你方及</w:t>
      </w:r>
      <w:r>
        <w:rPr>
          <w:rFonts w:hint="eastAsia" w:ascii="仿宋" w:hAnsi="仿宋" w:eastAsia="仿宋" w:cs="仿宋"/>
          <w:lang w:eastAsia="zh-CN"/>
        </w:rPr>
        <w:t>招标代理机构</w:t>
      </w:r>
      <w:r>
        <w:rPr>
          <w:rFonts w:hint="eastAsia" w:ascii="仿宋" w:hAnsi="仿宋" w:eastAsia="仿宋" w:cs="仿宋"/>
        </w:rPr>
        <w:t>不另负担我们的任何投标费用，无论我方总报价中是否包括投标费用，也无论是否能够中标，均不要求你方及</w:t>
      </w:r>
      <w:r>
        <w:rPr>
          <w:rFonts w:hint="eastAsia" w:ascii="仿宋" w:hAnsi="仿宋" w:eastAsia="仿宋" w:cs="仿宋"/>
          <w:lang w:eastAsia="zh-CN"/>
        </w:rPr>
        <w:t>招标代理机构</w:t>
      </w:r>
      <w:r>
        <w:rPr>
          <w:rFonts w:hint="eastAsia" w:ascii="仿宋" w:hAnsi="仿宋" w:eastAsia="仿宋" w:cs="仿宋"/>
        </w:rPr>
        <w:t>对投标费用做任何补偿。</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10、我方理解你方及</w:t>
      </w:r>
      <w:r>
        <w:rPr>
          <w:rFonts w:hint="eastAsia" w:ascii="仿宋" w:hAnsi="仿宋" w:eastAsia="仿宋" w:cs="仿宋"/>
          <w:lang w:eastAsia="zh-CN"/>
        </w:rPr>
        <w:t>招标代理机构</w:t>
      </w:r>
      <w:r>
        <w:rPr>
          <w:rFonts w:hint="eastAsia" w:ascii="仿宋" w:hAnsi="仿宋" w:eastAsia="仿宋" w:cs="仿宋"/>
        </w:rPr>
        <w:t>，我方不要求你方及</w:t>
      </w:r>
      <w:r>
        <w:rPr>
          <w:rFonts w:hint="eastAsia" w:ascii="仿宋" w:hAnsi="仿宋" w:eastAsia="仿宋" w:cs="仿宋"/>
          <w:lang w:eastAsia="zh-CN"/>
        </w:rPr>
        <w:t>招标代理机构</w:t>
      </w:r>
      <w:r>
        <w:rPr>
          <w:rFonts w:hint="eastAsia" w:ascii="仿宋" w:hAnsi="仿宋" w:eastAsia="仿宋" w:cs="仿宋"/>
        </w:rPr>
        <w:t>对未中标原因做任何解释，也不退回投标文件。</w:t>
      </w:r>
    </w:p>
    <w:p>
      <w:pPr>
        <w:pStyle w:val="31"/>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rPr>
        <w:t>11、如果因我方原因放弃中标，我方承诺，如果因我方原因放弃</w:t>
      </w:r>
      <w:r>
        <w:rPr>
          <w:rFonts w:hint="eastAsia" w:ascii="仿宋" w:hAnsi="仿宋" w:eastAsia="仿宋" w:cs="仿宋"/>
          <w:lang w:eastAsia="zh-CN"/>
        </w:rPr>
        <w:t>成交</w:t>
      </w:r>
      <w:r>
        <w:rPr>
          <w:rFonts w:hint="eastAsia" w:ascii="仿宋" w:hAnsi="仿宋" w:eastAsia="仿宋" w:cs="仿宋"/>
        </w:rPr>
        <w:t>，我方承诺，</w:t>
      </w:r>
      <w:r>
        <w:rPr>
          <w:rFonts w:hint="eastAsia" w:ascii="仿宋" w:hAnsi="仿宋" w:eastAsia="仿宋" w:cs="仿宋"/>
          <w:lang w:eastAsia="zh-CN"/>
        </w:rPr>
        <w:t>将按照政府采购相关规定承担相应的责任</w:t>
      </w:r>
      <w:r>
        <w:rPr>
          <w:rFonts w:hint="eastAsia" w:ascii="仿宋" w:hAnsi="仿宋" w:eastAsia="仿宋" w:cs="仿宋"/>
        </w:rPr>
        <w:t>。</w:t>
      </w:r>
    </w:p>
    <w:p>
      <w:pPr>
        <w:pStyle w:val="31"/>
        <w:spacing w:before="0" w:beforeAutospacing="0" w:after="0" w:afterAutospacing="0" w:line="360" w:lineRule="auto"/>
        <w:ind w:firstLine="480" w:firstLineChars="200"/>
        <w:rPr>
          <w:rFonts w:hint="eastAsia" w:ascii="仿宋" w:hAnsi="仿宋" w:eastAsia="仿宋" w:cs="仿宋"/>
          <w:color w:val="FF0000"/>
        </w:rPr>
      </w:pP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投标人：（盖章）</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投标人电话：</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法人代表</w:t>
      </w:r>
      <w:r>
        <w:rPr>
          <w:rFonts w:hint="eastAsia" w:ascii="仿宋" w:hAnsi="仿宋" w:eastAsia="仿宋" w:cs="仿宋"/>
          <w:lang w:eastAsia="zh-CN"/>
        </w:rPr>
        <w:t>人</w:t>
      </w:r>
      <w:r>
        <w:rPr>
          <w:rFonts w:hint="eastAsia" w:ascii="仿宋" w:hAnsi="仿宋" w:eastAsia="仿宋" w:cs="仿宋"/>
        </w:rPr>
        <w:t>或委托代理人：</w:t>
      </w:r>
      <w:r>
        <w:rPr>
          <w:rFonts w:hint="eastAsia" w:ascii="仿宋" w:hAnsi="仿宋" w:eastAsia="仿宋" w:cs="仿宋"/>
          <w:lang w:val="en-US" w:eastAsia="zh-CN"/>
        </w:rPr>
        <w:t xml:space="preserve">             </w:t>
      </w:r>
      <w:r>
        <w:rPr>
          <w:rFonts w:hint="eastAsia" w:ascii="仿宋" w:hAnsi="仿宋" w:eastAsia="仿宋" w:cs="仿宋"/>
        </w:rPr>
        <w:t>（签</w:t>
      </w:r>
      <w:r>
        <w:rPr>
          <w:rFonts w:hint="eastAsia" w:ascii="仿宋" w:hAnsi="仿宋" w:eastAsia="仿宋" w:cs="仿宋"/>
          <w:lang w:eastAsia="zh-CN"/>
        </w:rPr>
        <w:t>字或盖</w:t>
      </w:r>
      <w:r>
        <w:rPr>
          <w:rFonts w:hint="eastAsia" w:ascii="仿宋" w:hAnsi="仿宋" w:eastAsia="仿宋" w:cs="仿宋"/>
        </w:rPr>
        <w:t>章）</w:t>
      </w:r>
    </w:p>
    <w:p>
      <w:pPr>
        <w:pStyle w:val="31"/>
        <w:spacing w:before="0" w:beforeAutospacing="0" w:after="0" w:afterAutospacing="0" w:line="480" w:lineRule="auto"/>
        <w:ind w:firstLine="480" w:firstLineChars="200"/>
        <w:rPr>
          <w:rFonts w:hint="eastAsia" w:ascii="仿宋" w:hAnsi="仿宋" w:eastAsia="仿宋" w:cs="仿宋"/>
          <w:lang w:eastAsia="zh-CN"/>
        </w:rPr>
      </w:pPr>
      <w:r>
        <w:rPr>
          <w:rFonts w:hint="eastAsia" w:ascii="仿宋" w:hAnsi="仿宋" w:eastAsia="仿宋" w:cs="仿宋"/>
        </w:rPr>
        <w:t>投标人地址</w:t>
      </w:r>
      <w:r>
        <w:rPr>
          <w:rFonts w:hint="eastAsia" w:ascii="仿宋" w:hAnsi="仿宋" w:eastAsia="仿宋" w:cs="仿宋"/>
          <w:lang w:eastAsia="zh-CN"/>
        </w:rPr>
        <w:t>：</w:t>
      </w:r>
    </w:p>
    <w:p>
      <w:pPr>
        <w:pStyle w:val="31"/>
        <w:spacing w:before="0" w:beforeAutospacing="0" w:after="0" w:afterAutospacing="0" w:line="480" w:lineRule="auto"/>
        <w:ind w:firstLine="480" w:firstLineChars="200"/>
        <w:rPr>
          <w:rFonts w:hint="eastAsia" w:ascii="仿宋" w:hAnsi="仿宋" w:eastAsia="仿宋" w:cs="仿宋"/>
        </w:rPr>
      </w:pPr>
      <w:r>
        <w:rPr>
          <w:rFonts w:hint="eastAsia" w:ascii="仿宋" w:hAnsi="仿宋" w:eastAsia="仿宋" w:cs="仿宋"/>
        </w:rPr>
        <w:t>日期：年　月　日</w:t>
      </w:r>
    </w:p>
    <w:p>
      <w:pPr>
        <w:pStyle w:val="31"/>
        <w:spacing w:before="0" w:beforeAutospacing="0" w:after="0" w:afterAutospacing="0" w:line="360" w:lineRule="auto"/>
        <w:ind w:firstLine="480" w:firstLineChars="200"/>
        <w:rPr>
          <w:rFonts w:hint="eastAsia" w:ascii="仿宋" w:hAnsi="仿宋" w:eastAsia="仿宋" w:cs="仿宋"/>
        </w:rPr>
      </w:pPr>
    </w:p>
    <w:p>
      <w:pPr>
        <w:pStyle w:val="31"/>
        <w:spacing w:before="0" w:beforeAutospacing="0" w:after="0" w:afterAutospacing="0" w:line="360" w:lineRule="auto"/>
        <w:ind w:firstLine="480" w:firstLineChars="200"/>
        <w:rPr>
          <w:rFonts w:hint="eastAsia" w:ascii="仿宋" w:hAnsi="仿宋" w:eastAsia="仿宋" w:cs="仿宋"/>
        </w:rPr>
      </w:pPr>
    </w:p>
    <w:p>
      <w:pPr>
        <w:keepLines/>
        <w:pageBreakBefore/>
        <w:jc w:val="center"/>
        <w:outlineLvl w:val="1"/>
        <w:rPr>
          <w:rFonts w:hint="eastAsia" w:ascii="仿宋" w:hAnsi="仿宋" w:eastAsia="仿宋" w:cs="仿宋"/>
          <w:b/>
          <w:bCs/>
          <w:sz w:val="32"/>
          <w:szCs w:val="32"/>
        </w:rPr>
      </w:pPr>
      <w:bookmarkStart w:id="208" w:name="_Toc420591668"/>
      <w:bookmarkStart w:id="209" w:name="_Toc425240482"/>
      <w:bookmarkStart w:id="210" w:name="_Toc32443"/>
      <w:bookmarkStart w:id="211" w:name="_Toc18824"/>
      <w:bookmarkStart w:id="212" w:name="_Toc3816"/>
      <w:bookmarkStart w:id="213" w:name="_Toc421778387"/>
      <w:bookmarkStart w:id="214" w:name="_Toc29026"/>
      <w:bookmarkStart w:id="215" w:name="_Toc3994"/>
      <w:r>
        <w:rPr>
          <w:rFonts w:hint="eastAsia" w:ascii="仿宋" w:hAnsi="仿宋" w:eastAsia="仿宋" w:cs="仿宋"/>
          <w:b/>
          <w:bCs/>
          <w:sz w:val="32"/>
          <w:szCs w:val="32"/>
        </w:rPr>
        <w:t>二、开标一览表</w:t>
      </w:r>
      <w:bookmarkEnd w:id="208"/>
      <w:bookmarkEnd w:id="209"/>
      <w:bookmarkEnd w:id="210"/>
      <w:bookmarkEnd w:id="211"/>
      <w:bookmarkEnd w:id="212"/>
      <w:bookmarkEnd w:id="213"/>
      <w:bookmarkEnd w:id="214"/>
      <w:bookmarkEnd w:id="21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p>
    <w:tbl>
      <w:tblPr>
        <w:tblStyle w:val="35"/>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047" w:type="dxa"/>
            <w:vMerge w:val="restart"/>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投标总报价（元）</w:t>
            </w:r>
          </w:p>
        </w:tc>
        <w:tc>
          <w:tcPr>
            <w:tcW w:w="6592" w:type="dxa"/>
            <w:vAlign w:val="center"/>
          </w:tcPr>
          <w:p>
            <w:pPr>
              <w:rPr>
                <w:rFonts w:hint="eastAsia" w:ascii="仿宋" w:hAnsi="仿宋" w:eastAsia="仿宋" w:cs="仿宋"/>
                <w:sz w:val="24"/>
                <w:szCs w:val="24"/>
              </w:rPr>
            </w:pPr>
            <w:r>
              <w:rPr>
                <w:rFonts w:hint="eastAsia" w:ascii="仿宋" w:hAnsi="仿宋" w:eastAsia="仿宋" w:cs="仿宋"/>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047" w:type="dxa"/>
            <w:vMerge w:val="continue"/>
            <w:vAlign w:val="center"/>
          </w:tcPr>
          <w:p>
            <w:pPr>
              <w:jc w:val="center"/>
              <w:rPr>
                <w:rFonts w:hint="eastAsia" w:ascii="仿宋" w:hAnsi="仿宋" w:eastAsia="仿宋" w:cs="仿宋"/>
                <w:sz w:val="24"/>
                <w:szCs w:val="24"/>
                <w:highlight w:val="none"/>
              </w:rPr>
            </w:pPr>
          </w:p>
        </w:tc>
        <w:tc>
          <w:tcPr>
            <w:tcW w:w="6592" w:type="dxa"/>
            <w:vAlign w:val="center"/>
          </w:tcPr>
          <w:p>
            <w:pPr>
              <w:rPr>
                <w:rFonts w:hint="eastAsia" w:ascii="仿宋" w:hAnsi="仿宋" w:eastAsia="仿宋" w:cs="仿宋"/>
                <w:sz w:val="24"/>
                <w:szCs w:val="24"/>
              </w:rPr>
            </w:pPr>
            <w:r>
              <w:rPr>
                <w:rFonts w:hint="eastAsia" w:ascii="仿宋" w:hAnsi="仿宋" w:eastAsia="仿宋" w:cs="仿宋"/>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047"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质量标准</w:t>
            </w:r>
          </w:p>
        </w:tc>
        <w:tc>
          <w:tcPr>
            <w:tcW w:w="6592"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047"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工期</w:t>
            </w:r>
          </w:p>
        </w:tc>
        <w:tc>
          <w:tcPr>
            <w:tcW w:w="6592"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047" w:type="dxa"/>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负责人</w:t>
            </w:r>
          </w:p>
        </w:tc>
        <w:tc>
          <w:tcPr>
            <w:tcW w:w="6592"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0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592" w:type="dxa"/>
            <w:vAlign w:val="center"/>
          </w:tcPr>
          <w:p>
            <w:pPr>
              <w:rPr>
                <w:rFonts w:hint="eastAsia" w:ascii="仿宋" w:hAnsi="仿宋" w:eastAsia="仿宋" w:cs="仿宋"/>
                <w:sz w:val="24"/>
                <w:szCs w:val="24"/>
              </w:rPr>
            </w:pPr>
          </w:p>
        </w:tc>
      </w:tr>
    </w:tbl>
    <w:p>
      <w:pPr>
        <w:spacing w:line="120" w:lineRule="exact"/>
        <w:rPr>
          <w:rFonts w:hint="eastAsia" w:ascii="仿宋" w:hAnsi="仿宋" w:eastAsia="仿宋" w:cs="仿宋"/>
          <w:sz w:val="24"/>
          <w:szCs w:val="24"/>
        </w:rPr>
      </w:pPr>
    </w:p>
    <w:p>
      <w:pPr>
        <w:ind w:firstLine="360" w:firstLineChars="150"/>
        <w:rPr>
          <w:rFonts w:hint="eastAsia" w:ascii="仿宋" w:hAnsi="仿宋" w:eastAsia="仿宋" w:cs="仿宋"/>
          <w:sz w:val="24"/>
          <w:szCs w:val="24"/>
        </w:rPr>
      </w:pPr>
      <w:r>
        <w:rPr>
          <w:rFonts w:hint="eastAsia" w:ascii="仿宋" w:hAnsi="仿宋" w:eastAsia="仿宋" w:cs="仿宋"/>
          <w:sz w:val="24"/>
          <w:szCs w:val="24"/>
        </w:rPr>
        <w:t>注：1、以上表内报价内容以元为单位，保留小数点后两位。</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2、本表应按“投标人须知”的规定密封单独提交。</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rPr>
        <w:t>（加盖单位公章）</w:t>
      </w:r>
    </w:p>
    <w:p>
      <w:pPr>
        <w:spacing w:line="280" w:lineRule="exact"/>
        <w:ind w:right="540" w:rightChars="257" w:firstLine="360" w:firstLineChars="1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firstLine="4440" w:firstLineChars="1850"/>
        <w:jc w:val="left"/>
        <w:rPr>
          <w:rFonts w:hint="eastAsia" w:ascii="仿宋" w:hAnsi="仿宋" w:eastAsia="仿宋" w:cs="仿宋"/>
          <w:sz w:val="24"/>
          <w:szCs w:val="24"/>
        </w:rPr>
      </w:pPr>
      <w:r>
        <w:rPr>
          <w:rFonts w:hint="eastAsia" w:ascii="仿宋" w:hAnsi="仿宋" w:eastAsia="仿宋" w:cs="仿宋"/>
          <w:sz w:val="24"/>
          <w:szCs w:val="24"/>
        </w:rPr>
        <w:t>法定代表人/被授权人签</w:t>
      </w:r>
      <w:r>
        <w:rPr>
          <w:rFonts w:hint="eastAsia" w:ascii="仿宋" w:hAnsi="仿宋" w:eastAsia="仿宋" w:cs="仿宋"/>
          <w:sz w:val="24"/>
          <w:szCs w:val="24"/>
          <w:lang w:eastAsia="zh-CN"/>
        </w:rPr>
        <w:t>字或盖</w:t>
      </w:r>
      <w:r>
        <w:rPr>
          <w:rFonts w:hint="eastAsia" w:ascii="仿宋" w:hAnsi="仿宋" w:eastAsia="仿宋" w:cs="仿宋"/>
          <w:sz w:val="24"/>
          <w:szCs w:val="24"/>
        </w:rPr>
        <w:t>章：</w:t>
      </w:r>
    </w:p>
    <w:p>
      <w:pPr>
        <w:spacing w:line="280" w:lineRule="exact"/>
        <w:ind w:right="540" w:rightChars="257" w:firstLine="4440" w:firstLineChars="1850"/>
        <w:jc w:val="left"/>
        <w:rPr>
          <w:rFonts w:hint="eastAsia" w:ascii="仿宋" w:hAnsi="仿宋" w:eastAsia="仿宋" w:cs="仿宋"/>
          <w:sz w:val="24"/>
          <w:szCs w:val="24"/>
        </w:rPr>
      </w:pPr>
    </w:p>
    <w:p>
      <w:pPr>
        <w:spacing w:line="280" w:lineRule="exact"/>
        <w:ind w:right="540" w:rightChars="257"/>
        <w:jc w:val="left"/>
        <w:rPr>
          <w:rFonts w:hint="eastAsia" w:ascii="仿宋" w:hAnsi="仿宋" w:eastAsia="仿宋" w:cs="仿宋"/>
          <w:sz w:val="24"/>
          <w:szCs w:val="24"/>
        </w:rPr>
      </w:pPr>
    </w:p>
    <w:p>
      <w:pPr>
        <w:spacing w:line="280" w:lineRule="exact"/>
        <w:ind w:right="540" w:rightChars="257" w:firstLine="4440" w:firstLineChars="1850"/>
        <w:rPr>
          <w:rFonts w:hint="eastAsia" w:ascii="仿宋" w:hAnsi="仿宋" w:eastAsia="仿宋" w:cs="仿宋"/>
          <w:b/>
          <w:bCs/>
          <w:sz w:val="24"/>
          <w:szCs w:val="24"/>
        </w:r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keepLines/>
        <w:pageBreakBefore/>
        <w:jc w:val="center"/>
        <w:outlineLvl w:val="1"/>
        <w:rPr>
          <w:rFonts w:hint="eastAsia" w:ascii="仿宋" w:hAnsi="仿宋" w:eastAsia="仿宋" w:cs="仿宋"/>
          <w:b/>
          <w:bCs/>
          <w:sz w:val="32"/>
          <w:szCs w:val="32"/>
        </w:rPr>
      </w:pPr>
      <w:bookmarkStart w:id="216" w:name="_Toc14400"/>
      <w:bookmarkStart w:id="217" w:name="_Toc17870"/>
      <w:bookmarkStart w:id="218" w:name="_Toc421778388"/>
      <w:bookmarkStart w:id="219" w:name="_Toc24525"/>
      <w:bookmarkStart w:id="220" w:name="_Toc1813"/>
      <w:bookmarkStart w:id="221" w:name="_Toc420591669"/>
      <w:bookmarkStart w:id="222" w:name="_Toc8191"/>
      <w:bookmarkStart w:id="223" w:name="_Toc425240483"/>
      <w:r>
        <w:rPr>
          <w:rFonts w:hint="eastAsia" w:ascii="仿宋" w:hAnsi="仿宋" w:eastAsia="仿宋" w:cs="仿宋"/>
          <w:b/>
          <w:bCs/>
          <w:sz w:val="32"/>
          <w:szCs w:val="32"/>
        </w:rPr>
        <w:t>三、法定代表人身份证明</w:t>
      </w:r>
      <w:bookmarkEnd w:id="216"/>
      <w:bookmarkEnd w:id="217"/>
      <w:bookmarkEnd w:id="218"/>
      <w:bookmarkEnd w:id="219"/>
      <w:bookmarkEnd w:id="220"/>
      <w:bookmarkEnd w:id="221"/>
      <w:bookmarkEnd w:id="222"/>
      <w:bookmarkEnd w:id="223"/>
    </w:p>
    <w:p>
      <w:pPr>
        <w:spacing w:line="360" w:lineRule="auto"/>
        <w:ind w:firstLine="420" w:firstLineChars="200"/>
        <w:rPr>
          <w:rFonts w:hint="eastAsia" w:ascii="仿宋" w:hAnsi="仿宋" w:eastAsia="仿宋" w:cs="仿宋"/>
        </w:rPr>
      </w:pP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单位性质：</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成立时间：年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经营期限：</w:t>
      </w:r>
    </w:p>
    <w:p>
      <w:pPr>
        <w:spacing w:line="48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性别：</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系（投标人名称）的法定代表人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附：法定代表人身份证复印件。（</w:t>
      </w:r>
      <w:r>
        <w:rPr>
          <w:rFonts w:hint="eastAsia" w:ascii="仿宋" w:hAnsi="仿宋" w:eastAsia="仿宋" w:cs="仿宋"/>
          <w:sz w:val="24"/>
          <w:szCs w:val="24"/>
          <w:lang w:val="en-US" w:eastAsia="zh-CN"/>
        </w:rPr>
        <w:t>正反面</w:t>
      </w:r>
      <w:r>
        <w:rPr>
          <w:rFonts w:hint="eastAsia" w:ascii="仿宋" w:hAnsi="仿宋" w:eastAsia="仿宋" w:cs="仿宋"/>
          <w:sz w:val="24"/>
          <w:szCs w:val="24"/>
        </w:rPr>
        <w:t>）</w:t>
      </w:r>
    </w:p>
    <w:p>
      <w:pPr>
        <w:spacing w:line="480" w:lineRule="auto"/>
        <w:ind w:firstLine="960" w:firstLineChars="400"/>
        <w:rPr>
          <w:rFonts w:hint="eastAsia" w:ascii="仿宋" w:hAnsi="仿宋" w:eastAsia="仿宋" w:cs="仿宋"/>
          <w:sz w:val="24"/>
          <w:szCs w:val="24"/>
        </w:rPr>
      </w:pPr>
    </w:p>
    <w:p>
      <w:pPr>
        <w:spacing w:line="48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特此证明</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0" w:firstLineChars="2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p>
    <w:p>
      <w:pPr>
        <w:spacing w:line="360" w:lineRule="auto"/>
        <w:ind w:firstLine="5160" w:firstLineChars="2150"/>
        <w:rPr>
          <w:rFonts w:hint="eastAsia" w:ascii="仿宋" w:hAnsi="仿宋" w:eastAsia="仿宋" w:cs="仿宋"/>
          <w:sz w:val="24"/>
          <w:szCs w:val="24"/>
          <w:u w:val="single"/>
        </w:rPr>
      </w:pPr>
    </w:p>
    <w:p>
      <w:pPr>
        <w:spacing w:line="360" w:lineRule="auto"/>
        <w:ind w:firstLine="5040" w:firstLineChars="21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14"/>
        <w:rPr>
          <w:rFonts w:hint="eastAsia" w:ascii="仿宋" w:hAnsi="仿宋" w:eastAsia="仿宋" w:cs="仿宋"/>
          <w:sz w:val="24"/>
          <w:szCs w:val="24"/>
        </w:rPr>
      </w:pPr>
    </w:p>
    <w:p>
      <w:pPr>
        <w:rPr>
          <w:rFonts w:hint="eastAsia" w:ascii="仿宋" w:hAnsi="仿宋" w:eastAsia="仿宋" w:cs="仿宋"/>
          <w:sz w:val="24"/>
          <w:szCs w:val="24"/>
        </w:rPr>
      </w:pPr>
    </w:p>
    <w:p>
      <w:pPr>
        <w:pStyle w:val="14"/>
        <w:rPr>
          <w:rFonts w:hint="eastAsia" w:ascii="仿宋" w:hAnsi="仿宋" w:eastAsia="仿宋" w:cs="仿宋"/>
          <w:sz w:val="24"/>
          <w:szCs w:val="24"/>
          <w:highlight w:val="none"/>
        </w:rPr>
      </w:pPr>
    </w:p>
    <w:p>
      <w:pPr>
        <w:pStyle w:val="14"/>
        <w:numPr>
          <w:ilvl w:val="0"/>
          <w:numId w:val="0"/>
        </w:numPr>
        <w:jc w:val="left"/>
        <w:rPr>
          <w:rFonts w:hint="eastAsia" w:ascii="仿宋" w:hAnsi="仿宋" w:eastAsia="仿宋" w:cs="仿宋"/>
          <w:b/>
          <w:bCs/>
          <w:color w:val="FF0000"/>
          <w:sz w:val="24"/>
          <w:szCs w:val="24"/>
          <w:highlight w:val="none"/>
          <w:lang w:val="zh-CN"/>
        </w:rPr>
      </w:pPr>
      <w:r>
        <w:rPr>
          <w:rFonts w:hint="eastAsia" w:ascii="仿宋" w:hAnsi="仿宋" w:eastAsia="仿宋" w:cs="仿宋"/>
          <w:b/>
          <w:bCs/>
          <w:color w:val="FF0000"/>
          <w:sz w:val="24"/>
          <w:szCs w:val="24"/>
          <w:highlight w:val="none"/>
          <w:lang w:val="zh-CN"/>
        </w:rPr>
        <w:t>说明：</w:t>
      </w:r>
      <w:r>
        <w:rPr>
          <w:rFonts w:hint="eastAsia" w:ascii="仿宋" w:hAnsi="仿宋" w:eastAsia="仿宋" w:cs="仿宋"/>
          <w:b/>
          <w:bCs/>
          <w:color w:val="FF0000"/>
          <w:sz w:val="24"/>
          <w:szCs w:val="24"/>
          <w:highlight w:val="none"/>
          <w:lang w:val="zh-CN" w:eastAsia="zh-CN"/>
        </w:rPr>
        <w:t>仅限法定代表人参加时提供。</w:t>
      </w:r>
    </w:p>
    <w:p>
      <w:pPr>
        <w:rPr>
          <w:rFonts w:hint="eastAsia" w:ascii="仿宋" w:hAnsi="仿宋" w:eastAsia="仿宋" w:cs="仿宋"/>
        </w:rPr>
        <w:sectPr>
          <w:pgSz w:w="11906" w:h="16838"/>
          <w:pgMar w:top="1417" w:right="1417" w:bottom="1417" w:left="1701" w:header="851" w:footer="992" w:gutter="0"/>
          <w:pgNumType w:fmt="decimal"/>
          <w:cols w:space="0" w:num="1"/>
          <w:docGrid w:type="lines" w:linePitch="312" w:charSpace="0"/>
        </w:sectPr>
      </w:pPr>
    </w:p>
    <w:p>
      <w:pPr>
        <w:keepLines/>
        <w:pageBreakBefore/>
        <w:spacing w:line="360" w:lineRule="auto"/>
        <w:jc w:val="center"/>
        <w:outlineLvl w:val="1"/>
        <w:rPr>
          <w:rFonts w:hint="eastAsia" w:ascii="仿宋" w:hAnsi="仿宋" w:eastAsia="仿宋" w:cs="仿宋"/>
          <w:b/>
          <w:bCs/>
          <w:sz w:val="32"/>
          <w:szCs w:val="32"/>
        </w:rPr>
      </w:pPr>
      <w:bookmarkStart w:id="224" w:name="_Toc420591670"/>
      <w:bookmarkStart w:id="225" w:name="_Toc421778389"/>
      <w:bookmarkStart w:id="226" w:name="_Toc13782"/>
      <w:bookmarkStart w:id="227" w:name="_Toc6444"/>
      <w:bookmarkStart w:id="228" w:name="_Toc13749"/>
      <w:bookmarkStart w:id="229" w:name="_Toc425240484"/>
      <w:bookmarkStart w:id="230" w:name="_Toc10384"/>
      <w:bookmarkStart w:id="231" w:name="_Toc9626"/>
      <w:r>
        <w:rPr>
          <w:rFonts w:hint="eastAsia" w:ascii="仿宋" w:hAnsi="仿宋" w:eastAsia="仿宋" w:cs="仿宋"/>
          <w:b/>
          <w:bCs/>
          <w:sz w:val="32"/>
          <w:szCs w:val="32"/>
        </w:rPr>
        <w:t>四、法人授权委托书</w:t>
      </w:r>
      <w:bookmarkEnd w:id="224"/>
      <w:bookmarkEnd w:id="225"/>
      <w:bookmarkEnd w:id="226"/>
      <w:bookmarkEnd w:id="227"/>
      <w:bookmarkEnd w:id="228"/>
      <w:bookmarkEnd w:id="229"/>
      <w:bookmarkEnd w:id="230"/>
      <w:bookmarkEnd w:id="23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本人（姓名）系（投标人名称）的法定代表人，现委托（姓名）为我方代理人。代理人根据授权，以我方名义签署、澄清、说明、补正、递交、撤回、修改</w:t>
      </w:r>
      <w:r>
        <w:rPr>
          <w:rFonts w:hint="eastAsia" w:ascii="仿宋" w:hAnsi="仿宋" w:eastAsia="仿宋" w:cs="仿宋"/>
          <w:sz w:val="24"/>
          <w:szCs w:val="24"/>
          <w:u w:val="single"/>
        </w:rPr>
        <w:t>（项目名称）</w:t>
      </w:r>
      <w:r>
        <w:rPr>
          <w:rFonts w:hint="eastAsia" w:ascii="仿宋" w:hAnsi="仿宋" w:eastAsia="仿宋" w:cs="仿宋"/>
          <w:sz w:val="24"/>
          <w:szCs w:val="24"/>
        </w:rPr>
        <w:t>施工投标文件、签订合同和处理有关事宜，其法律后果由我方承担。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hint="eastAsia" w:ascii="仿宋" w:hAnsi="仿宋" w:eastAsia="仿宋" w:cs="仿宋"/>
          <w:color w:val="auto"/>
          <w:sz w:val="24"/>
          <w:szCs w:val="24"/>
          <w:highlight w:val="none"/>
        </w:rPr>
      </w:pPr>
      <w:bookmarkStart w:id="232" w:name="_Toc201637979"/>
      <w:bookmarkStart w:id="233" w:name="_Toc214090947"/>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签字生效，特此证明！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委托期限：自投标截止日期之后90日历天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highlight w:val="none"/>
        </w:rPr>
        <w:t>签</w:t>
      </w:r>
      <w:r>
        <w:rPr>
          <w:rFonts w:hint="eastAsia" w:ascii="仿宋" w:hAnsi="仿宋" w:eastAsia="仿宋" w:cs="仿宋"/>
          <w:sz w:val="24"/>
          <w:szCs w:val="24"/>
          <w:highlight w:val="none"/>
          <w:lang w:eastAsia="zh-CN"/>
        </w:rPr>
        <w:t>字或盖</w:t>
      </w:r>
      <w:r>
        <w:rPr>
          <w:rFonts w:hint="eastAsia" w:ascii="仿宋" w:hAnsi="仿宋" w:eastAsia="仿宋" w:cs="仿宋"/>
          <w:sz w:val="24"/>
          <w:szCs w:val="24"/>
          <w:highlight w:val="none"/>
        </w:rPr>
        <w:t>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被授权人签字</w:t>
      </w:r>
      <w:r>
        <w:rPr>
          <w:rFonts w:hint="eastAsia" w:ascii="仿宋" w:hAnsi="仿宋" w:eastAsia="仿宋" w:cs="仿宋"/>
          <w:sz w:val="24"/>
          <w:szCs w:val="24"/>
        </w:rPr>
        <w:t>：</w:t>
      </w:r>
      <w:bookmarkEnd w:id="232"/>
      <w:bookmarkEnd w:id="233"/>
    </w:p>
    <w:p>
      <w:pPr>
        <w:spacing w:line="360" w:lineRule="auto"/>
        <w:ind w:firstLine="480" w:firstLineChars="200"/>
        <w:rPr>
          <w:rFonts w:hint="eastAsia" w:ascii="仿宋" w:hAnsi="仿宋" w:eastAsia="仿宋" w:cs="仿宋"/>
          <w:sz w:val="24"/>
          <w:szCs w:val="24"/>
        </w:rPr>
      </w:pPr>
      <w:bookmarkStart w:id="234" w:name="_Toc214090948"/>
      <w:bookmarkStart w:id="235" w:name="_Toc201637980"/>
      <w:r>
        <w:rPr>
          <w:rFonts w:hint="eastAsia" w:ascii="仿宋" w:hAnsi="仿宋" w:eastAsia="仿宋" w:cs="仿宋"/>
          <w:sz w:val="24"/>
          <w:szCs w:val="24"/>
        </w:rPr>
        <w:t>职务：</w:t>
      </w:r>
      <w:bookmarkEnd w:id="234"/>
      <w:bookmarkEnd w:id="23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职务：</w:t>
      </w:r>
    </w:p>
    <w:p>
      <w:pPr>
        <w:spacing w:line="360" w:lineRule="auto"/>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bookmarkStart w:id="236" w:name="_Toc201637982"/>
      <w:bookmarkStart w:id="237" w:name="_Toc214090950"/>
      <w:r>
        <w:rPr>
          <w:rFonts w:hint="eastAsia" w:ascii="仿宋" w:hAnsi="仿宋" w:eastAsia="仿宋" w:cs="仿宋"/>
          <w:sz w:val="24"/>
          <w:szCs w:val="24"/>
        </w:rPr>
        <w:t>附：法定代表人、被授权人身份证复印件。（</w:t>
      </w:r>
      <w:r>
        <w:rPr>
          <w:rFonts w:hint="eastAsia" w:ascii="仿宋" w:hAnsi="仿宋" w:eastAsia="仿宋" w:cs="仿宋"/>
          <w:sz w:val="24"/>
          <w:szCs w:val="24"/>
          <w:lang w:val="en-US" w:eastAsia="zh-CN"/>
        </w:rPr>
        <w:t>正反面</w:t>
      </w:r>
      <w:r>
        <w:rPr>
          <w:rFonts w:hint="eastAsia" w:ascii="仿宋" w:hAnsi="仿宋" w:eastAsia="仿宋" w:cs="仿宋"/>
          <w:sz w:val="24"/>
          <w:szCs w:val="24"/>
        </w:rPr>
        <w:t>）</w:t>
      </w:r>
      <w:bookmarkEnd w:id="236"/>
      <w:bookmarkEnd w:id="237"/>
    </w:p>
    <w:p>
      <w:pPr>
        <w:spacing w:line="360" w:lineRule="auto"/>
        <w:rPr>
          <w:rFonts w:hint="eastAsia" w:ascii="仿宋" w:hAnsi="仿宋" w:eastAsia="仿宋" w:cs="仿宋"/>
          <w:sz w:val="24"/>
          <w:szCs w:val="24"/>
        </w:rPr>
      </w:pPr>
    </w:p>
    <w:p>
      <w:pPr>
        <w:spacing w:line="480" w:lineRule="auto"/>
        <w:ind w:left="424" w:leftChars="202" w:right="540" w:rightChars="257"/>
        <w:jc w:val="left"/>
        <w:rPr>
          <w:rFonts w:hint="eastAsia" w:ascii="仿宋" w:hAnsi="仿宋" w:eastAsia="仿宋" w:cs="仿宋"/>
          <w:color w:val="auto"/>
          <w:sz w:val="24"/>
          <w:szCs w:val="24"/>
          <w:highlight w:val="none"/>
        </w:rPr>
      </w:pPr>
      <w:bookmarkStart w:id="238" w:name="_Toc421778390"/>
      <w:bookmarkStart w:id="239" w:name="_Toc425240485"/>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left="424" w:leftChars="202" w:right="540" w:rightChars="257"/>
        <w:jc w:val="left"/>
        <w:rPr>
          <w:rFonts w:hint="eastAsia" w:ascii="仿宋" w:hAnsi="仿宋" w:eastAsia="仿宋" w:cs="仿宋"/>
          <w:color w:val="auto"/>
          <w:sz w:val="24"/>
          <w:szCs w:val="24"/>
          <w:highlight w:val="none"/>
        </w:rPr>
      </w:pPr>
    </w:p>
    <w:p>
      <w:pPr>
        <w:spacing w:line="480" w:lineRule="auto"/>
        <w:ind w:right="540" w:rightChars="257" w:firstLine="3600" w:firstLineChars="15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（加盖单位公章）      </w:t>
      </w:r>
    </w:p>
    <w:p>
      <w:pPr>
        <w:spacing w:line="480" w:lineRule="auto"/>
        <w:ind w:right="540" w:rightChars="257" w:firstLine="6000" w:firstLineChars="25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color w:val="auto"/>
          <w:sz w:val="24"/>
          <w:szCs w:val="24"/>
          <w:highlight w:val="none"/>
        </w:rPr>
      </w:pPr>
    </w:p>
    <w:p>
      <w:pPr>
        <w:spacing w:line="480" w:lineRule="auto"/>
        <w:ind w:right="540" w:rightChars="257"/>
        <w:jc w:val="left"/>
        <w:rPr>
          <w:rFonts w:hint="eastAsia" w:ascii="仿宋" w:hAnsi="仿宋" w:eastAsia="仿宋" w:cs="仿宋"/>
          <w:sz w:val="24"/>
          <w:szCs w:val="24"/>
        </w:rPr>
      </w:pPr>
      <w:r>
        <w:rPr>
          <w:rFonts w:hint="eastAsia" w:ascii="仿宋" w:hAnsi="仿宋" w:eastAsia="仿宋" w:cs="仿宋"/>
          <w:b/>
          <w:bCs/>
          <w:color w:val="FF0000"/>
          <w:sz w:val="24"/>
          <w:szCs w:val="24"/>
          <w:highlight w:val="none"/>
          <w:lang w:eastAsia="zh-CN"/>
        </w:rPr>
        <w:t>注：法定代表人参加时无需提供。</w:t>
      </w:r>
      <w:r>
        <w:rPr>
          <w:rFonts w:hint="eastAsia" w:ascii="仿宋" w:hAnsi="仿宋" w:eastAsia="仿宋" w:cs="仿宋"/>
          <w:sz w:val="24"/>
          <w:szCs w:val="24"/>
        </w:rPr>
        <w:br w:type="page"/>
      </w:r>
    </w:p>
    <w:p>
      <w:pPr>
        <w:keepLines/>
        <w:pageBreakBefore/>
        <w:jc w:val="center"/>
        <w:outlineLvl w:val="1"/>
        <w:rPr>
          <w:rFonts w:hint="eastAsia" w:ascii="仿宋" w:hAnsi="仿宋" w:eastAsia="仿宋" w:cs="仿宋"/>
          <w:b/>
          <w:bCs/>
          <w:sz w:val="32"/>
          <w:szCs w:val="32"/>
        </w:rPr>
      </w:pPr>
      <w:bookmarkStart w:id="240" w:name="_Toc8044"/>
      <w:bookmarkStart w:id="241" w:name="_Toc7492"/>
      <w:bookmarkStart w:id="242" w:name="_Toc3909"/>
      <w:bookmarkStart w:id="243" w:name="_Toc16495"/>
      <w:bookmarkStart w:id="244" w:name="_Toc13497"/>
      <w:r>
        <w:rPr>
          <w:rFonts w:hint="eastAsia" w:ascii="仿宋" w:hAnsi="仿宋" w:eastAsia="仿宋" w:cs="仿宋"/>
          <w:b/>
          <w:bCs/>
          <w:sz w:val="32"/>
          <w:szCs w:val="32"/>
        </w:rPr>
        <w:t>五、已标价工程量清单</w:t>
      </w:r>
      <w:bookmarkEnd w:id="240"/>
      <w:bookmarkEnd w:id="241"/>
      <w:bookmarkEnd w:id="242"/>
      <w:bookmarkEnd w:id="243"/>
      <w:bookmarkEnd w:id="244"/>
    </w:p>
    <w:p>
      <w:pPr>
        <w:pStyle w:val="80"/>
        <w:spacing w:line="480" w:lineRule="auto"/>
        <w:rPr>
          <w:rFonts w:hint="eastAsia" w:ascii="仿宋" w:hAnsi="仿宋" w:eastAsia="仿宋" w:cs="仿宋"/>
          <w:b w:val="0"/>
          <w:bCs w:val="0"/>
          <w:sz w:val="24"/>
          <w:szCs w:val="24"/>
        </w:rPr>
      </w:pPr>
    </w:p>
    <w:p>
      <w:pPr>
        <w:pStyle w:val="80"/>
        <w:spacing w:line="480" w:lineRule="auto"/>
        <w:ind w:left="1680" w:leftChars="800"/>
        <w:jc w:val="both"/>
        <w:rPr>
          <w:rFonts w:hint="eastAsia" w:ascii="仿宋" w:hAnsi="仿宋" w:eastAsia="仿宋" w:cs="仿宋"/>
          <w:b/>
          <w:bCs/>
          <w:kern w:val="2"/>
          <w:sz w:val="32"/>
          <w:szCs w:val="32"/>
          <w:lang w:val="zh-CN" w:eastAsia="zh-CN" w:bidi="ar-SA"/>
        </w:rPr>
      </w:pPr>
      <w:r>
        <w:rPr>
          <w:rFonts w:hint="eastAsia" w:ascii="仿宋" w:hAnsi="仿宋" w:eastAsia="仿宋" w:cs="仿宋"/>
          <w:b/>
          <w:bCs/>
          <w:kern w:val="2"/>
          <w:sz w:val="32"/>
          <w:szCs w:val="32"/>
          <w:lang w:val="zh-CN" w:eastAsia="zh-CN" w:bidi="ar-SA"/>
        </w:rPr>
        <w:t>报价表统一格式</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1、投标总价</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2、总说明</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3、单位工程造价汇总表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4、分部分项工程清单计价表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5、措施项目清单计价表</w:t>
      </w:r>
    </w:p>
    <w:p>
      <w:pPr>
        <w:spacing w:line="480" w:lineRule="auto"/>
        <w:ind w:left="1680" w:leftChars="800"/>
        <w:textAlignment w:val="baseline"/>
        <w:rPr>
          <w:rFonts w:hint="eastAsia" w:ascii="仿宋" w:hAnsi="仿宋" w:eastAsia="仿宋" w:cs="仿宋"/>
          <w:sz w:val="24"/>
          <w:szCs w:val="24"/>
        </w:rPr>
      </w:pPr>
      <w:r>
        <w:rPr>
          <w:rFonts w:hint="eastAsia" w:ascii="仿宋" w:hAnsi="仿宋" w:eastAsia="仿宋" w:cs="仿宋"/>
          <w:sz w:val="24"/>
          <w:szCs w:val="24"/>
        </w:rPr>
        <w:t>6、其它项目清单计价表</w:t>
      </w:r>
    </w:p>
    <w:p>
      <w:pPr>
        <w:spacing w:line="480" w:lineRule="auto"/>
        <w:ind w:left="1680" w:leftChars="8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规费、税金项目清单</w:t>
      </w:r>
      <w:r>
        <w:rPr>
          <w:rFonts w:hint="eastAsia" w:ascii="仿宋" w:hAnsi="仿宋" w:eastAsia="仿宋" w:cs="仿宋"/>
          <w:sz w:val="24"/>
          <w:szCs w:val="24"/>
        </w:rPr>
        <w:t>计价表</w:t>
      </w:r>
    </w:p>
    <w:p>
      <w:pPr>
        <w:spacing w:line="480" w:lineRule="auto"/>
        <w:ind w:left="1680" w:leftChars="800"/>
        <w:rPr>
          <w:rFonts w:hint="eastAsia" w:ascii="仿宋" w:hAnsi="仿宋" w:eastAsia="仿宋" w:cs="仿宋"/>
          <w:kern w:val="0"/>
          <w:sz w:val="24"/>
          <w:szCs w:val="24"/>
        </w:rPr>
      </w:pPr>
      <w:bookmarkStart w:id="245" w:name="OLE_LINK92"/>
      <w:r>
        <w:rPr>
          <w:rFonts w:hint="eastAsia" w:ascii="仿宋" w:hAnsi="仿宋" w:eastAsia="仿宋" w:cs="仿宋"/>
          <w:kern w:val="0"/>
          <w:sz w:val="24"/>
          <w:szCs w:val="24"/>
        </w:rPr>
        <w:t>8、</w:t>
      </w:r>
      <w:bookmarkEnd w:id="245"/>
      <w:r>
        <w:rPr>
          <w:rFonts w:hint="eastAsia" w:ascii="仿宋" w:hAnsi="仿宋" w:eastAsia="仿宋" w:cs="仿宋"/>
          <w:kern w:val="0"/>
          <w:sz w:val="24"/>
          <w:szCs w:val="24"/>
        </w:rPr>
        <w:t>主要材料价格表</w:t>
      </w:r>
    </w:p>
    <w:p>
      <w:pPr>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rPr>
        <w:t>说明：投标人应按以上目录装订投标的报价部分，已标价工程量清单</w:t>
      </w:r>
      <w:r>
        <w:rPr>
          <w:rFonts w:hint="eastAsia" w:ascii="仿宋" w:hAnsi="仿宋" w:eastAsia="仿宋" w:cs="仿宋"/>
          <w:color w:val="auto"/>
          <w:sz w:val="24"/>
          <w:szCs w:val="24"/>
          <w:highlight w:val="none"/>
        </w:rPr>
        <w:t>按陕西省09清单计价规则</w:t>
      </w:r>
      <w:r>
        <w:rPr>
          <w:rFonts w:hint="eastAsia" w:ascii="仿宋" w:hAnsi="仿宋" w:eastAsia="仿宋" w:cs="仿宋"/>
          <w:color w:val="auto"/>
          <w:sz w:val="24"/>
          <w:szCs w:val="24"/>
        </w:rPr>
        <w:t>表格，用广联达GCCP6.0(6.3000.23.110)版本计价软件生成的格式填写。</w:t>
      </w: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spacing w:line="480" w:lineRule="auto"/>
        <w:jc w:val="left"/>
        <w:rPr>
          <w:rFonts w:hint="eastAsia" w:ascii="仿宋" w:hAnsi="仿宋" w:eastAsia="仿宋" w:cs="仿宋"/>
          <w:sz w:val="24"/>
          <w:szCs w:val="24"/>
        </w:rPr>
      </w:pPr>
    </w:p>
    <w:p>
      <w:pPr>
        <w:widowControl/>
        <w:jc w:val="center"/>
        <w:rPr>
          <w:rFonts w:hint="eastAsia" w:ascii="仿宋" w:hAnsi="仿宋" w:eastAsia="仿宋" w:cs="仿宋"/>
          <w:sz w:val="24"/>
          <w:szCs w:val="24"/>
        </w:rPr>
      </w:pPr>
      <w:r>
        <w:rPr>
          <w:rFonts w:hint="eastAsia" w:ascii="仿宋" w:hAnsi="仿宋" w:eastAsia="仿宋" w:cs="仿宋"/>
          <w:sz w:val="24"/>
          <w:szCs w:val="24"/>
        </w:rPr>
        <w:br w:type="page"/>
      </w:r>
      <w:bookmarkStart w:id="246" w:name="_Toc3574"/>
      <w:bookmarkStart w:id="247" w:name="_Toc5947"/>
    </w:p>
    <w:p>
      <w:pPr>
        <w:keepLines/>
        <w:pageBreakBefore/>
        <w:jc w:val="center"/>
        <w:outlineLvl w:val="1"/>
        <w:rPr>
          <w:rFonts w:hint="eastAsia" w:ascii="仿宋" w:hAnsi="仿宋" w:eastAsia="仿宋" w:cs="仿宋"/>
          <w:b/>
          <w:bCs/>
          <w:sz w:val="32"/>
          <w:szCs w:val="32"/>
        </w:rPr>
      </w:pPr>
      <w:bookmarkStart w:id="248" w:name="_Toc21095"/>
      <w:bookmarkStart w:id="249" w:name="_Toc30225"/>
      <w:bookmarkStart w:id="250" w:name="_Toc15646"/>
      <w:bookmarkStart w:id="251" w:name="_Toc6747"/>
      <w:bookmarkStart w:id="252" w:name="_Toc15602"/>
      <w:r>
        <w:rPr>
          <w:rFonts w:hint="eastAsia" w:ascii="仿宋" w:hAnsi="仿宋" w:eastAsia="仿宋" w:cs="仿宋"/>
          <w:b/>
          <w:bCs/>
          <w:sz w:val="32"/>
          <w:szCs w:val="32"/>
        </w:rPr>
        <w:t>六、商务响应与说明</w:t>
      </w:r>
      <w:bookmarkEnd w:id="248"/>
      <w:bookmarkEnd w:id="249"/>
      <w:bookmarkEnd w:id="250"/>
      <w:bookmarkEnd w:id="251"/>
      <w:bookmarkEnd w:id="252"/>
    </w:p>
    <w:p>
      <w:pPr>
        <w:spacing w:after="12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项目名称</w:t>
      </w:r>
    </w:p>
    <w:p>
      <w:pPr>
        <w:spacing w:after="12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项目编号：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按照招标文件的商务要求编制商务响应与说明，格式不限。但</w:t>
      </w:r>
      <w:r>
        <w:rPr>
          <w:rFonts w:hint="eastAsia" w:ascii="仿宋" w:hAnsi="仿宋" w:eastAsia="仿宋" w:cs="仿宋"/>
          <w:b/>
          <w:bCs/>
          <w:sz w:val="24"/>
          <w:szCs w:val="24"/>
        </w:rPr>
        <w:t>内容至少应包括如下：</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投标报价所包含的全部内容；</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对投标工期、地点、验收、服务承诺、结算方式、合同条款等投标响应；</w:t>
      </w: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招标文件中要求的其它内容。</w:t>
      </w: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p>
    <w:p>
      <w:pPr>
        <w:keepLines/>
        <w:pageBreakBefore/>
        <w:jc w:val="center"/>
        <w:outlineLvl w:val="1"/>
        <w:rPr>
          <w:rFonts w:hint="eastAsia" w:ascii="仿宋" w:hAnsi="仿宋" w:eastAsia="仿宋" w:cs="仿宋"/>
          <w:b/>
          <w:bCs/>
          <w:sz w:val="32"/>
          <w:szCs w:val="32"/>
          <w:lang w:eastAsia="zh-CN"/>
        </w:rPr>
      </w:pPr>
      <w:bookmarkStart w:id="253" w:name="_Toc15320"/>
      <w:bookmarkStart w:id="254" w:name="_Toc25310"/>
      <w:r>
        <w:rPr>
          <w:rFonts w:hint="eastAsia" w:ascii="仿宋" w:hAnsi="仿宋" w:eastAsia="仿宋" w:cs="仿宋"/>
          <w:b/>
          <w:bCs/>
          <w:sz w:val="32"/>
          <w:szCs w:val="32"/>
          <w:lang w:eastAsia="zh-CN"/>
        </w:rPr>
        <w:t>七、承诺书</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CN"/>
        </w:rPr>
        <w:t xml:space="preserve"> 陕</w:t>
      </w:r>
      <w:r>
        <w:rPr>
          <w:rFonts w:hint="eastAsia" w:ascii="仿宋" w:hAnsi="仿宋" w:eastAsia="仿宋" w:cs="仿宋"/>
          <w:b/>
          <w:bCs/>
          <w:sz w:val="30"/>
          <w:szCs w:val="30"/>
        </w:rPr>
        <w:t>西省政府采购供应商拒绝政府采购领域商业贿赂承诺书</w:t>
      </w:r>
    </w:p>
    <w:p>
      <w:pPr>
        <w:keepNext w:val="0"/>
        <w:keepLines w:val="0"/>
        <w:pageBreakBefore w:val="0"/>
        <w:widowControl/>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在参与政府采购活动中遵纪守法、诚信经营、公平竞标。</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不向政府采购人、采购代理机构和政府采购评审专家进行任何形式的商业贿赂以谋取交易机会。</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不向政府采购代理机构和采购人提供虚假资质文件或采用虚假应标方式参与政府采购市场竞争并谋取中标、成交。</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不采取“围标、陪标”等商业欺诈手段获得政府采购定单。</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不采取不正当手段诋毁、排挤其他供应商。</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不在提供商品和服务时“偷梁换柱、以次充好”损害采购人的合法权益。</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不与采购人、采购代理机构政府采购评审专家或其它供应商恶意串通，进行质疑和投诉，维护政府采购市场秩序。</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尊重和接受政府采购监督管理部门的监督和政府采购代理机构招标采购要求，承担因违约行为给采购人造成的损失。</w:t>
      </w:r>
    </w:p>
    <w:p>
      <w:pPr>
        <w:keepNext w:val="0"/>
        <w:keepLines w:val="0"/>
        <w:pageBreakBefore w:val="0"/>
        <w:widowControl/>
        <w:numPr>
          <w:ilvl w:val="0"/>
          <w:numId w:val="12"/>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rPr>
      </w:pPr>
      <w:r>
        <w:rPr>
          <w:rFonts w:hint="eastAsia" w:ascii="仿宋" w:hAnsi="仿宋" w:eastAsia="仿宋" w:cs="仿宋"/>
        </w:rPr>
        <w:t>不发生其他有悖于政府采购公开、公平、公正和诚信原则的行为。</w:t>
      </w:r>
      <w:r>
        <w:rPr>
          <w:rFonts w:hint="eastAsia" w:ascii="仿宋" w:hAnsi="仿宋" w:eastAsia="仿宋" w:cs="仿宋"/>
        </w:rPr>
        <w:br w:type="textWrapping"/>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承诺单位：</w:t>
      </w:r>
      <w:r>
        <w:rPr>
          <w:rFonts w:hint="eastAsia" w:ascii="仿宋" w:hAnsi="仿宋" w:eastAsia="仿宋" w:cs="仿宋"/>
          <w:u w:val="single"/>
          <w:lang w:val="en-US" w:eastAsia="zh-CN"/>
        </w:rPr>
        <w:t xml:space="preserve">                       </w:t>
      </w:r>
      <w:r>
        <w:rPr>
          <w:rFonts w:hint="eastAsia" w:ascii="仿宋" w:hAnsi="仿宋" w:eastAsia="仿宋" w:cs="仿宋"/>
        </w:rPr>
        <w:t>（盖章）</w:t>
      </w:r>
      <w:r>
        <w:rPr>
          <w:rFonts w:hint="eastAsia" w:ascii="仿宋" w:hAnsi="仿宋" w:eastAsia="仿宋" w:cs="仿宋"/>
        </w:rPr>
        <w:br w:type="textWrapping"/>
      </w:r>
      <w:r>
        <w:rPr>
          <w:rFonts w:hint="eastAsia" w:ascii="仿宋" w:hAnsi="仿宋" w:eastAsia="仿宋" w:cs="仿宋"/>
          <w:lang w:eastAsia="zh-CN"/>
        </w:rPr>
        <w:t>被授权人</w:t>
      </w:r>
      <w:r>
        <w:rPr>
          <w:rFonts w:hint="eastAsia" w:ascii="仿宋" w:hAnsi="仿宋" w:eastAsia="仿宋" w:cs="仿宋"/>
        </w:rPr>
        <w:t>：</w:t>
      </w:r>
      <w:r>
        <w:rPr>
          <w:rFonts w:hint="eastAsia" w:ascii="仿宋" w:hAnsi="仿宋" w:eastAsia="仿宋" w:cs="仿宋"/>
          <w:u w:val="single"/>
          <w:lang w:val="en-US" w:eastAsia="zh-CN"/>
        </w:rPr>
        <w:t xml:space="preserve">                       </w:t>
      </w:r>
      <w:r>
        <w:rPr>
          <w:rFonts w:hint="eastAsia" w:ascii="仿宋" w:hAnsi="仿宋" w:eastAsia="仿宋" w:cs="仿宋"/>
        </w:rPr>
        <w:t>（</w:t>
      </w:r>
      <w:r>
        <w:rPr>
          <w:rFonts w:hint="eastAsia" w:ascii="仿宋" w:hAnsi="仿宋" w:eastAsia="仿宋" w:cs="仿宋"/>
          <w:szCs w:val="24"/>
        </w:rPr>
        <w:t>签</w:t>
      </w:r>
      <w:r>
        <w:rPr>
          <w:rFonts w:hint="eastAsia" w:ascii="仿宋" w:hAnsi="仿宋" w:eastAsia="仿宋" w:cs="仿宋"/>
          <w:szCs w:val="24"/>
          <w:lang w:eastAsia="zh-CN"/>
        </w:rPr>
        <w:t>字</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rPr>
        <w:t>地  址：</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w:t>
      </w:r>
    </w:p>
    <w:p>
      <w:pPr>
        <w:widowControl/>
        <w:spacing w:line="408" w:lineRule="auto"/>
        <w:ind w:left="239" w:leftChars="114"/>
        <w:jc w:val="left"/>
        <w:rPr>
          <w:rFonts w:hint="eastAsia" w:ascii="仿宋" w:hAnsi="仿宋" w:eastAsia="仿宋" w:cs="仿宋"/>
        </w:rPr>
      </w:pPr>
      <w:r>
        <w:rPr>
          <w:rFonts w:hint="eastAsia" w:ascii="仿宋" w:hAnsi="仿宋" w:eastAsia="仿宋" w:cs="仿宋"/>
        </w:rPr>
        <w:t>邮  编：</w:t>
      </w:r>
      <w:r>
        <w:rPr>
          <w:rFonts w:hint="eastAsia" w:ascii="仿宋" w:hAnsi="仿宋" w:eastAsia="仿宋" w:cs="仿宋"/>
          <w:u w:val="single"/>
          <w:lang w:val="en-US" w:eastAsia="zh-CN"/>
        </w:rPr>
        <w:t xml:space="preserve">                         </w:t>
      </w:r>
      <w:r>
        <w:rPr>
          <w:rFonts w:hint="eastAsia" w:ascii="仿宋" w:hAnsi="仿宋" w:eastAsia="仿宋" w:cs="仿宋"/>
          <w:u w:val="single"/>
        </w:rPr>
        <w:br w:type="textWrapping"/>
      </w:r>
      <w:r>
        <w:rPr>
          <w:rFonts w:hint="eastAsia" w:ascii="仿宋" w:hAnsi="仿宋" w:eastAsia="仿宋" w:cs="仿宋"/>
        </w:rPr>
        <w:t>电  话：</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u w:val="single"/>
        </w:rPr>
        <w:t>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年  月  日</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30"/>
          <w:szCs w:val="30"/>
          <w:lang w:val="zh-CN"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val="zh-CN" w:eastAsia="zh-CN"/>
        </w:rPr>
        <w:t>投标人企业关系关联承诺书</w:t>
      </w:r>
    </w:p>
    <w:p>
      <w:pPr>
        <w:pStyle w:val="14"/>
        <w:rPr>
          <w:rFonts w:hint="eastAsia" w:ascii="仿宋" w:hAnsi="仿宋" w:eastAsia="仿宋" w:cs="仿宋"/>
          <w:lang w:val="zh-CN" w:eastAsia="zh-CN"/>
        </w:rPr>
      </w:pPr>
    </w:p>
    <w:bookmarkEnd w:id="253"/>
    <w:bookmarkEnd w:id="254"/>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bookmarkStart w:id="255" w:name="_Toc9252"/>
      <w:bookmarkStart w:id="256" w:name="_Toc15279"/>
      <w:r>
        <w:rPr>
          <w:rFonts w:hint="eastAsia" w:ascii="仿宋" w:hAnsi="仿宋" w:eastAsia="仿宋" w:cs="仿宋"/>
          <w:b w:val="0"/>
          <w:bCs w:val="0"/>
          <w:sz w:val="24"/>
          <w:szCs w:val="24"/>
          <w:highlight w:val="none"/>
          <w:lang w:val="en-US" w:eastAsia="zh-CN"/>
        </w:rPr>
        <w:t>1、供应商在本项目投标中，不存在与其它供应商负责人为同一人，有控股、管理等关联关系承诺：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1.1管理关系说明：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我单位管理的具有独立法人的下属单位有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我单位的上级管理单位有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1.2股权关系说明：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我单位控股的单位有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我单位被</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单位控股。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1.3单位负责人：</w:t>
      </w:r>
      <w:r>
        <w:rPr>
          <w:rFonts w:hint="eastAsia" w:ascii="仿宋" w:hAnsi="仿宋" w:eastAsia="仿宋" w:cs="仿宋"/>
          <w:b w:val="0"/>
          <w:bCs w:val="0"/>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（是或否，没有填否） 为采购项目提供整体设计、规范编制或者项目管理、监理、检测等服务的供应商。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3、其他与本项目有关的利害关系说明：</w:t>
      </w:r>
      <w:r>
        <w:rPr>
          <w:rFonts w:hint="eastAsia" w:ascii="仿宋" w:hAnsi="仿宋" w:eastAsia="仿宋" w:cs="仿宋"/>
          <w:b w:val="0"/>
          <w:bCs w:val="0"/>
          <w:sz w:val="24"/>
          <w:szCs w:val="24"/>
          <w:highlight w:val="none"/>
          <w:u w:val="single"/>
          <w:lang w:val="en-US" w:eastAsia="zh-CN"/>
        </w:rPr>
        <w:t xml:space="preserve">                               </w:t>
      </w:r>
    </w:p>
    <w:p>
      <w:pPr>
        <w:pStyle w:val="14"/>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我单位承诺以上说明真实有效，无虚假内容或隐瞒。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pPr>
        <w:pStyle w:val="14"/>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供应商名称</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法定代表人或被授权人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日      期：      年   月    日</w:t>
      </w:r>
    </w:p>
    <w:p>
      <w:pPr>
        <w:pStyle w:val="14"/>
        <w:rPr>
          <w:rFonts w:hint="eastAsia" w:ascii="仿宋" w:hAnsi="仿宋" w:eastAsia="仿宋" w:cs="仿宋"/>
        </w:rPr>
      </w:pPr>
    </w:p>
    <w:p>
      <w:pPr>
        <w:rPr>
          <w:rFonts w:hint="eastAsia" w:ascii="仿宋" w:hAnsi="仿宋" w:eastAsia="仿宋" w:cs="仿宋"/>
        </w:rPr>
      </w:pPr>
    </w:p>
    <w:p>
      <w:pPr>
        <w:pStyle w:val="14"/>
        <w:rPr>
          <w:rFonts w:hint="eastAsia" w:ascii="仿宋" w:hAnsi="仿宋" w:eastAsia="仿宋" w:cs="仿宋"/>
        </w:rPr>
      </w:pPr>
    </w:p>
    <w:p>
      <w:pPr>
        <w:rPr>
          <w:rFonts w:hint="eastAsia" w:ascii="仿宋" w:hAnsi="仿宋" w:eastAsia="仿宋" w:cs="仿宋"/>
        </w:rPr>
      </w:pPr>
    </w:p>
    <w:p>
      <w:pPr>
        <w:pStyle w:val="1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widowControl/>
        <w:numPr>
          <w:ilvl w:val="0"/>
          <w:numId w:val="13"/>
        </w:numPr>
        <w:jc w:val="center"/>
        <w:outlineLvl w:val="1"/>
        <w:rPr>
          <w:rFonts w:hint="eastAsia" w:ascii="仿宋" w:hAnsi="仿宋" w:eastAsia="仿宋" w:cs="仿宋"/>
          <w:b/>
          <w:bCs/>
          <w:sz w:val="32"/>
          <w:szCs w:val="32"/>
        </w:rPr>
      </w:pPr>
      <w:r>
        <w:rPr>
          <w:rFonts w:hint="eastAsia" w:ascii="仿宋" w:hAnsi="仿宋" w:eastAsia="仿宋" w:cs="仿宋"/>
          <w:b/>
          <w:bCs/>
          <w:sz w:val="32"/>
          <w:szCs w:val="32"/>
        </w:rPr>
        <w:t>招标文件要求的其他文件或承诺</w:t>
      </w:r>
      <w:bookmarkEnd w:id="255"/>
      <w:bookmarkEnd w:id="256"/>
    </w:p>
    <w:p>
      <w:pPr>
        <w:pStyle w:val="14"/>
        <w:numPr>
          <w:ilvl w:val="0"/>
          <w:numId w:val="0"/>
        </w:numPr>
        <w:jc w:val="both"/>
        <w:rPr>
          <w:rFonts w:hint="eastAsia" w:ascii="仿宋" w:hAnsi="仿宋" w:eastAsia="仿宋" w:cs="仿宋"/>
        </w:rPr>
      </w:pPr>
    </w:p>
    <w:p>
      <w:pPr>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1</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基本存款账户开户许可证（基本账户信息表）。</w:t>
      </w:r>
    </w:p>
    <w:p>
      <w:pPr>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lang w:eastAsia="zh-CN"/>
        </w:rPr>
        <w:t>其他文件。</w:t>
      </w:r>
    </w:p>
    <w:p>
      <w:pPr>
        <w:rPr>
          <w:rFonts w:hint="eastAsia" w:ascii="仿宋" w:hAnsi="仿宋" w:eastAsia="仿宋" w:cs="仿宋"/>
          <w:lang w:val="en-US" w:eastAsia="zh-CN"/>
        </w:rPr>
      </w:pPr>
    </w:p>
    <w:p>
      <w:pPr>
        <w:keepLines/>
        <w:pageBreakBefore/>
        <w:jc w:val="center"/>
        <w:outlineLvl w:val="1"/>
        <w:rPr>
          <w:rFonts w:hint="eastAsia" w:ascii="仿宋" w:hAnsi="仿宋" w:eastAsia="仿宋" w:cs="仿宋"/>
          <w:b/>
          <w:bCs/>
          <w:sz w:val="32"/>
          <w:szCs w:val="32"/>
          <w:highlight w:val="none"/>
        </w:rPr>
      </w:pPr>
      <w:bookmarkStart w:id="257" w:name="_Toc18840"/>
      <w:bookmarkStart w:id="258" w:name="_Toc16751"/>
      <w:r>
        <w:rPr>
          <w:rFonts w:hint="eastAsia" w:ascii="仿宋" w:hAnsi="仿宋" w:eastAsia="仿宋" w:cs="仿宋"/>
          <w:b/>
          <w:bCs/>
          <w:sz w:val="32"/>
          <w:szCs w:val="32"/>
          <w:highlight w:val="none"/>
        </w:rPr>
        <w:t>九、其他可以证明</w:t>
      </w:r>
      <w:r>
        <w:rPr>
          <w:rFonts w:hint="eastAsia" w:ascii="仿宋" w:hAnsi="仿宋" w:eastAsia="仿宋" w:cs="仿宋"/>
          <w:b/>
          <w:bCs/>
          <w:sz w:val="32"/>
          <w:szCs w:val="32"/>
          <w:highlight w:val="none"/>
          <w:lang w:eastAsia="zh-CN"/>
        </w:rPr>
        <w:t>投标人</w:t>
      </w:r>
      <w:r>
        <w:rPr>
          <w:rFonts w:hint="eastAsia" w:ascii="仿宋" w:hAnsi="仿宋" w:eastAsia="仿宋" w:cs="仿宋"/>
          <w:b/>
          <w:bCs/>
          <w:sz w:val="32"/>
          <w:szCs w:val="32"/>
          <w:highlight w:val="none"/>
        </w:rPr>
        <w:t>实力的文件</w:t>
      </w:r>
      <w:bookmarkEnd w:id="257"/>
      <w:bookmarkEnd w:id="258"/>
      <w:r>
        <w:rPr>
          <w:rFonts w:hint="eastAsia" w:ascii="仿宋" w:hAnsi="仿宋" w:eastAsia="仿宋" w:cs="仿宋"/>
          <w:b/>
          <w:bCs/>
          <w:sz w:val="32"/>
          <w:szCs w:val="32"/>
          <w:highlight w:val="none"/>
        </w:rPr>
        <w:t xml:space="preserve"> </w:t>
      </w:r>
    </w:p>
    <w:p>
      <w:pPr>
        <w:spacing w:line="408" w:lineRule="auto"/>
        <w:ind w:left="525" w:leftChars="250"/>
        <w:rPr>
          <w:rFonts w:hint="eastAsia" w:ascii="仿宋" w:hAnsi="仿宋" w:eastAsia="仿宋" w:cs="仿宋"/>
          <w:sz w:val="24"/>
          <w:szCs w:val="24"/>
        </w:rPr>
      </w:pPr>
    </w:p>
    <w:p>
      <w:pPr>
        <w:spacing w:line="408" w:lineRule="auto"/>
        <w:ind w:left="525" w:leftChars="250"/>
        <w:rPr>
          <w:rFonts w:hint="eastAsia" w:ascii="仿宋" w:hAnsi="仿宋" w:eastAsia="仿宋" w:cs="仿宋"/>
          <w:sz w:val="24"/>
          <w:szCs w:val="24"/>
        </w:rPr>
      </w:pPr>
      <w:r>
        <w:rPr>
          <w:rFonts w:hint="eastAsia" w:ascii="仿宋" w:hAnsi="仿宋" w:eastAsia="仿宋" w:cs="仿宋"/>
          <w:sz w:val="24"/>
          <w:szCs w:val="24"/>
        </w:rPr>
        <w:br w:type="page"/>
      </w:r>
    </w:p>
    <w:p>
      <w:pPr>
        <w:keepLines/>
        <w:pageBreakBefore/>
        <w:jc w:val="center"/>
        <w:outlineLvl w:val="1"/>
        <w:rPr>
          <w:rFonts w:hint="eastAsia" w:ascii="仿宋" w:hAnsi="仿宋" w:eastAsia="仿宋" w:cs="仿宋"/>
          <w:b/>
          <w:bCs/>
          <w:sz w:val="32"/>
          <w:szCs w:val="32"/>
        </w:rPr>
      </w:pPr>
      <w:bookmarkStart w:id="259" w:name="_Toc7207"/>
      <w:bookmarkStart w:id="260" w:name="_Toc13506"/>
      <w:r>
        <w:rPr>
          <w:rFonts w:hint="eastAsia" w:ascii="仿宋" w:hAnsi="仿宋" w:eastAsia="仿宋" w:cs="仿宋"/>
          <w:b/>
          <w:bCs/>
          <w:sz w:val="32"/>
          <w:szCs w:val="32"/>
        </w:rPr>
        <w:t>第二部分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技术</w:t>
      </w:r>
      <w:bookmarkEnd w:id="246"/>
      <w:bookmarkEnd w:id="247"/>
      <w:r>
        <w:rPr>
          <w:rFonts w:hint="eastAsia" w:ascii="仿宋" w:hAnsi="仿宋" w:eastAsia="仿宋" w:cs="仿宋"/>
          <w:b/>
          <w:bCs/>
          <w:sz w:val="32"/>
          <w:szCs w:val="32"/>
        </w:rPr>
        <w:t>标</w:t>
      </w:r>
      <w:bookmarkEnd w:id="259"/>
      <w:bookmarkEnd w:id="260"/>
    </w:p>
    <w:p>
      <w:pPr>
        <w:spacing w:after="120" w:line="440" w:lineRule="exact"/>
        <w:rPr>
          <w:rFonts w:hint="eastAsia" w:ascii="仿宋" w:hAnsi="仿宋" w:eastAsia="仿宋" w:cs="仿宋"/>
          <w:sz w:val="24"/>
          <w:szCs w:val="24"/>
        </w:rPr>
      </w:pPr>
      <w:r>
        <w:rPr>
          <w:rFonts w:hint="eastAsia" w:ascii="仿宋" w:hAnsi="仿宋" w:eastAsia="仿宋" w:cs="仿宋"/>
          <w:sz w:val="24"/>
          <w:szCs w:val="24"/>
        </w:rPr>
        <w:t>项目名称：</w:t>
      </w:r>
    </w:p>
    <w:p>
      <w:pPr>
        <w:spacing w:after="120" w:line="440" w:lineRule="exact"/>
        <w:rPr>
          <w:rFonts w:hint="eastAsia" w:ascii="仿宋" w:hAnsi="仿宋" w:eastAsia="仿宋" w:cs="仿宋"/>
          <w:sz w:val="24"/>
          <w:szCs w:val="24"/>
        </w:rPr>
      </w:pPr>
      <w:r>
        <w:rPr>
          <w:rFonts w:hint="eastAsia" w:ascii="仿宋" w:hAnsi="仿宋" w:eastAsia="仿宋" w:cs="仿宋"/>
          <w:sz w:val="24"/>
          <w:szCs w:val="24"/>
        </w:rPr>
        <w:t>项目编号：</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投标人编制的施工组织设计包含以下内容：</w:t>
      </w:r>
    </w:p>
    <w:p>
      <w:pPr>
        <w:spacing w:line="58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）评标办法技术标要求的内容</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合理化建议</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投标人认为有必要说明的问题</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施工组织设计除采用文字表述外可附下列图表，图表及格式要求附后。</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附表一拟投入本工程的主要施工设备表</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附表二拟配备本工程的试验和检测仪器设备表</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附表三劳动力计划表</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附表四计划开、竣工日期和施工进度网络图</w:t>
      </w:r>
    </w:p>
    <w:p>
      <w:pPr>
        <w:spacing w:line="5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附表五临时用地表</w:t>
      </w:r>
    </w:p>
    <w:p>
      <w:pPr>
        <w:spacing w:line="580" w:lineRule="exact"/>
        <w:ind w:firstLine="480" w:firstLineChars="200"/>
        <w:rPr>
          <w:rFonts w:hint="eastAsia" w:ascii="仿宋" w:hAnsi="仿宋" w:eastAsia="仿宋" w:cs="仿宋"/>
          <w:sz w:val="24"/>
          <w:szCs w:val="24"/>
          <w:highlight w:val="none"/>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rPr>
          <w:rFonts w:hint="eastAsia" w:ascii="仿宋" w:hAnsi="仿宋" w:eastAsia="仿宋" w:cs="仿宋"/>
          <w:sz w:val="24"/>
          <w:szCs w:val="24"/>
        </w:rPr>
      </w:pPr>
    </w:p>
    <w:p>
      <w:pPr>
        <w:spacing w:line="580" w:lineRule="exact"/>
        <w:ind w:firstLine="480" w:firstLineChars="200"/>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b/>
          <w:bCs/>
          <w:sz w:val="24"/>
          <w:szCs w:val="24"/>
        </w:rPr>
        <w:t>附表一：拟投入本工程的主要施工设备表</w:t>
      </w:r>
    </w:p>
    <w:tbl>
      <w:tblPr>
        <w:tblStyle w:val="35"/>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17"/>
        <w:gridCol w:w="992"/>
        <w:gridCol w:w="709"/>
        <w:gridCol w:w="1134"/>
        <w:gridCol w:w="1134"/>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vAlign w:val="center"/>
          </w:tcPr>
          <w:p>
            <w:pPr>
              <w:jc w:val="center"/>
              <w:rPr>
                <w:rFonts w:hint="eastAsia" w:ascii="仿宋" w:hAnsi="仿宋" w:eastAsia="仿宋" w:cs="仿宋"/>
              </w:rPr>
            </w:pPr>
            <w:r>
              <w:rPr>
                <w:rFonts w:hint="eastAsia" w:ascii="仿宋" w:hAnsi="仿宋" w:eastAsia="仿宋" w:cs="仿宋"/>
              </w:rPr>
              <w:t>序号</w:t>
            </w:r>
          </w:p>
        </w:tc>
        <w:tc>
          <w:tcPr>
            <w:tcW w:w="1117" w:type="dxa"/>
            <w:vAlign w:val="center"/>
          </w:tcPr>
          <w:p>
            <w:pPr>
              <w:jc w:val="center"/>
              <w:rPr>
                <w:rFonts w:hint="eastAsia" w:ascii="仿宋" w:hAnsi="仿宋" w:eastAsia="仿宋" w:cs="仿宋"/>
              </w:rPr>
            </w:pPr>
            <w:r>
              <w:rPr>
                <w:rFonts w:hint="eastAsia" w:ascii="仿宋" w:hAnsi="仿宋" w:eastAsia="仿宋" w:cs="仿宋"/>
              </w:rPr>
              <w:t>设备</w:t>
            </w:r>
          </w:p>
          <w:p>
            <w:pPr>
              <w:jc w:val="center"/>
              <w:rPr>
                <w:rFonts w:hint="eastAsia" w:ascii="仿宋" w:hAnsi="仿宋" w:eastAsia="仿宋" w:cs="仿宋"/>
              </w:rPr>
            </w:pPr>
            <w:r>
              <w:rPr>
                <w:rFonts w:hint="eastAsia" w:ascii="仿宋" w:hAnsi="仿宋" w:eastAsia="仿宋" w:cs="仿宋"/>
              </w:rPr>
              <w:t>名称</w:t>
            </w:r>
          </w:p>
        </w:tc>
        <w:tc>
          <w:tcPr>
            <w:tcW w:w="99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709" w:type="dxa"/>
            <w:vAlign w:val="center"/>
          </w:tcPr>
          <w:p>
            <w:pPr>
              <w:jc w:val="center"/>
              <w:rPr>
                <w:rFonts w:hint="eastAsia" w:ascii="仿宋" w:hAnsi="仿宋" w:eastAsia="仿宋" w:cs="仿宋"/>
              </w:rPr>
            </w:pPr>
            <w:r>
              <w:rPr>
                <w:rFonts w:hint="eastAsia" w:ascii="仿宋" w:hAnsi="仿宋" w:eastAsia="仿宋" w:cs="仿宋"/>
              </w:rPr>
              <w:t>数量</w:t>
            </w:r>
          </w:p>
        </w:tc>
        <w:tc>
          <w:tcPr>
            <w:tcW w:w="1134"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134" w:type="dxa"/>
            <w:vAlign w:val="center"/>
          </w:tcPr>
          <w:p>
            <w:pPr>
              <w:jc w:val="center"/>
              <w:rPr>
                <w:rFonts w:hint="eastAsia" w:ascii="仿宋" w:hAnsi="仿宋" w:eastAsia="仿宋" w:cs="仿宋"/>
              </w:rPr>
            </w:pPr>
            <w:r>
              <w:rPr>
                <w:rFonts w:hint="eastAsia" w:ascii="仿宋" w:hAnsi="仿宋" w:eastAsia="仿宋" w:cs="仿宋"/>
              </w:rPr>
              <w:t>额定功率</w:t>
            </w:r>
          </w:p>
          <w:p>
            <w:pPr>
              <w:jc w:val="center"/>
              <w:rPr>
                <w:rFonts w:hint="eastAsia" w:ascii="仿宋" w:hAnsi="仿宋" w:eastAsia="仿宋" w:cs="仿宋"/>
              </w:rPr>
            </w:pPr>
            <w:r>
              <w:rPr>
                <w:rFonts w:hint="eastAsia" w:ascii="仿宋" w:hAnsi="仿宋" w:eastAsia="仿宋" w:cs="仿宋"/>
              </w:rPr>
              <w:t>（KW）</w:t>
            </w:r>
          </w:p>
        </w:tc>
        <w:tc>
          <w:tcPr>
            <w:tcW w:w="1843" w:type="dxa"/>
            <w:vAlign w:val="center"/>
          </w:tcPr>
          <w:p>
            <w:pPr>
              <w:jc w:val="center"/>
              <w:rPr>
                <w:rFonts w:hint="eastAsia" w:ascii="仿宋" w:hAnsi="仿宋" w:eastAsia="仿宋" w:cs="仿宋"/>
              </w:rPr>
            </w:pPr>
            <w:r>
              <w:rPr>
                <w:rFonts w:hint="eastAsia" w:ascii="仿宋" w:hAnsi="仿宋" w:eastAsia="仿宋" w:cs="仿宋"/>
              </w:rPr>
              <w:t>用于施工部位</w:t>
            </w:r>
          </w:p>
        </w:tc>
        <w:tc>
          <w:tcPr>
            <w:tcW w:w="1701"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pPr>
              <w:jc w:val="center"/>
              <w:rPr>
                <w:rFonts w:hint="eastAsia" w:ascii="仿宋" w:hAnsi="仿宋" w:eastAsia="仿宋" w:cs="仿宋"/>
              </w:rPr>
            </w:pPr>
          </w:p>
        </w:tc>
        <w:tc>
          <w:tcPr>
            <w:tcW w:w="1117" w:type="dxa"/>
            <w:vAlign w:val="center"/>
          </w:tcPr>
          <w:p>
            <w:pPr>
              <w:jc w:val="center"/>
              <w:rPr>
                <w:rFonts w:hint="eastAsia" w:ascii="仿宋" w:hAnsi="仿宋" w:eastAsia="仿宋" w:cs="仿宋"/>
              </w:rPr>
            </w:pPr>
          </w:p>
        </w:tc>
        <w:tc>
          <w:tcPr>
            <w:tcW w:w="992"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134" w:type="dxa"/>
            <w:vAlign w:val="center"/>
          </w:tcPr>
          <w:p>
            <w:pPr>
              <w:jc w:val="center"/>
              <w:rPr>
                <w:rFonts w:hint="eastAsia" w:ascii="仿宋" w:hAnsi="仿宋" w:eastAsia="仿宋" w:cs="仿宋"/>
              </w:rPr>
            </w:pPr>
          </w:p>
        </w:tc>
        <w:tc>
          <w:tcPr>
            <w:tcW w:w="1843" w:type="dxa"/>
            <w:vAlign w:val="center"/>
          </w:tcPr>
          <w:p>
            <w:pPr>
              <w:jc w:val="center"/>
              <w:rPr>
                <w:rFonts w:hint="eastAsia" w:ascii="仿宋" w:hAnsi="仿宋" w:eastAsia="仿宋" w:cs="仿宋"/>
              </w:rPr>
            </w:pPr>
          </w:p>
        </w:tc>
        <w:tc>
          <w:tcPr>
            <w:tcW w:w="1701" w:type="dxa"/>
            <w:vAlign w:val="center"/>
          </w:tcPr>
          <w:p>
            <w:pPr>
              <w:jc w:val="center"/>
              <w:rPr>
                <w:rFonts w:hint="eastAsia" w:ascii="仿宋" w:hAnsi="仿宋" w:eastAsia="仿宋" w:cs="仿宋"/>
              </w:rPr>
            </w:pPr>
          </w:p>
        </w:tc>
      </w:tr>
    </w:tbl>
    <w:p>
      <w:pPr>
        <w:spacing w:line="420" w:lineRule="exact"/>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b/>
          <w:bCs/>
          <w:sz w:val="24"/>
          <w:szCs w:val="24"/>
        </w:rPr>
        <w:t>附表二：拟配备本工程的试验和检测仪器设备表</w:t>
      </w:r>
    </w:p>
    <w:tbl>
      <w:tblPr>
        <w:tblStyle w:val="3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pPr>
              <w:jc w:val="center"/>
              <w:rPr>
                <w:rFonts w:hint="eastAsia" w:ascii="仿宋" w:hAnsi="仿宋" w:eastAsia="仿宋" w:cs="仿宋"/>
              </w:rPr>
            </w:pPr>
            <w:r>
              <w:rPr>
                <w:rFonts w:hint="eastAsia" w:ascii="仿宋" w:hAnsi="仿宋" w:eastAsia="仿宋" w:cs="仿宋"/>
              </w:rPr>
              <w:t>序号</w:t>
            </w:r>
          </w:p>
        </w:tc>
        <w:tc>
          <w:tcPr>
            <w:tcW w:w="1624" w:type="dxa"/>
            <w:vAlign w:val="center"/>
          </w:tcPr>
          <w:p>
            <w:pPr>
              <w:jc w:val="center"/>
              <w:rPr>
                <w:rFonts w:hint="eastAsia" w:ascii="仿宋" w:hAnsi="仿宋" w:eastAsia="仿宋" w:cs="仿宋"/>
              </w:rPr>
            </w:pPr>
            <w:r>
              <w:rPr>
                <w:rFonts w:hint="eastAsia" w:ascii="仿宋" w:hAnsi="仿宋" w:eastAsia="仿宋" w:cs="仿宋"/>
              </w:rPr>
              <w:t>仪器设备名称</w:t>
            </w:r>
          </w:p>
        </w:tc>
        <w:tc>
          <w:tcPr>
            <w:tcW w:w="1362" w:type="dxa"/>
            <w:vAlign w:val="center"/>
          </w:tcPr>
          <w:p>
            <w:pPr>
              <w:jc w:val="center"/>
              <w:rPr>
                <w:rFonts w:hint="eastAsia" w:ascii="仿宋" w:hAnsi="仿宋" w:eastAsia="仿宋" w:cs="仿宋"/>
              </w:rPr>
            </w:pPr>
            <w:r>
              <w:rPr>
                <w:rFonts w:hint="eastAsia" w:ascii="仿宋" w:hAnsi="仿宋" w:eastAsia="仿宋" w:cs="仿宋"/>
              </w:rPr>
              <w:t>型号</w:t>
            </w:r>
          </w:p>
          <w:p>
            <w:pPr>
              <w:jc w:val="center"/>
              <w:rPr>
                <w:rFonts w:hint="eastAsia" w:ascii="仿宋" w:hAnsi="仿宋" w:eastAsia="仿宋" w:cs="仿宋"/>
              </w:rPr>
            </w:pPr>
            <w:r>
              <w:rPr>
                <w:rFonts w:hint="eastAsia" w:ascii="仿宋" w:hAnsi="仿宋" w:eastAsia="仿宋" w:cs="仿宋"/>
              </w:rPr>
              <w:t>规格</w:t>
            </w:r>
          </w:p>
        </w:tc>
        <w:tc>
          <w:tcPr>
            <w:tcW w:w="1001" w:type="dxa"/>
            <w:vAlign w:val="center"/>
          </w:tcPr>
          <w:p>
            <w:pPr>
              <w:jc w:val="center"/>
              <w:rPr>
                <w:rFonts w:hint="eastAsia" w:ascii="仿宋" w:hAnsi="仿宋" w:eastAsia="仿宋" w:cs="仿宋"/>
              </w:rPr>
            </w:pPr>
            <w:r>
              <w:rPr>
                <w:rFonts w:hint="eastAsia" w:ascii="仿宋" w:hAnsi="仿宋" w:eastAsia="仿宋" w:cs="仿宋"/>
              </w:rPr>
              <w:t>数量</w:t>
            </w:r>
          </w:p>
        </w:tc>
        <w:tc>
          <w:tcPr>
            <w:tcW w:w="1180" w:type="dxa"/>
            <w:vAlign w:val="center"/>
          </w:tcPr>
          <w:p>
            <w:pPr>
              <w:jc w:val="center"/>
              <w:rPr>
                <w:rFonts w:hint="eastAsia" w:ascii="仿宋" w:hAnsi="仿宋" w:eastAsia="仿宋" w:cs="仿宋"/>
              </w:rPr>
            </w:pPr>
            <w:r>
              <w:rPr>
                <w:rFonts w:hint="eastAsia" w:ascii="仿宋" w:hAnsi="仿宋" w:eastAsia="仿宋" w:cs="仿宋"/>
              </w:rPr>
              <w:t>国别</w:t>
            </w:r>
          </w:p>
          <w:p>
            <w:pPr>
              <w:jc w:val="center"/>
              <w:rPr>
                <w:rFonts w:hint="eastAsia" w:ascii="仿宋" w:hAnsi="仿宋" w:eastAsia="仿宋" w:cs="仿宋"/>
              </w:rPr>
            </w:pPr>
            <w:r>
              <w:rPr>
                <w:rFonts w:hint="eastAsia" w:ascii="仿宋" w:hAnsi="仿宋" w:eastAsia="仿宋" w:cs="仿宋"/>
              </w:rPr>
              <w:t>产地</w:t>
            </w:r>
          </w:p>
        </w:tc>
        <w:tc>
          <w:tcPr>
            <w:tcW w:w="1402" w:type="dxa"/>
            <w:vAlign w:val="center"/>
          </w:tcPr>
          <w:p>
            <w:pPr>
              <w:jc w:val="center"/>
              <w:rPr>
                <w:rFonts w:hint="eastAsia" w:ascii="仿宋" w:hAnsi="仿宋" w:eastAsia="仿宋" w:cs="仿宋"/>
              </w:rPr>
            </w:pPr>
            <w:r>
              <w:rPr>
                <w:rFonts w:hint="eastAsia" w:ascii="仿宋" w:hAnsi="仿宋" w:eastAsia="仿宋" w:cs="仿宋"/>
              </w:rPr>
              <w:t>用途</w:t>
            </w:r>
          </w:p>
        </w:tc>
        <w:tc>
          <w:tcPr>
            <w:tcW w:w="1279" w:type="dxa"/>
            <w:vAlign w:val="center"/>
          </w:tcPr>
          <w:p>
            <w:pPr>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pPr>
              <w:jc w:val="center"/>
              <w:rPr>
                <w:rFonts w:hint="eastAsia" w:ascii="仿宋" w:hAnsi="仿宋" w:eastAsia="仿宋" w:cs="仿宋"/>
              </w:rPr>
            </w:pPr>
          </w:p>
        </w:tc>
        <w:tc>
          <w:tcPr>
            <w:tcW w:w="1624" w:type="dxa"/>
            <w:vAlign w:val="center"/>
          </w:tcPr>
          <w:p>
            <w:pPr>
              <w:jc w:val="center"/>
              <w:rPr>
                <w:rFonts w:hint="eastAsia" w:ascii="仿宋" w:hAnsi="仿宋" w:eastAsia="仿宋" w:cs="仿宋"/>
              </w:rPr>
            </w:pPr>
          </w:p>
        </w:tc>
        <w:tc>
          <w:tcPr>
            <w:tcW w:w="1362" w:type="dxa"/>
            <w:vAlign w:val="center"/>
          </w:tcPr>
          <w:p>
            <w:pPr>
              <w:jc w:val="center"/>
              <w:rPr>
                <w:rFonts w:hint="eastAsia" w:ascii="仿宋" w:hAnsi="仿宋" w:eastAsia="仿宋" w:cs="仿宋"/>
              </w:rPr>
            </w:pPr>
          </w:p>
        </w:tc>
        <w:tc>
          <w:tcPr>
            <w:tcW w:w="1001" w:type="dxa"/>
            <w:vAlign w:val="center"/>
          </w:tcPr>
          <w:p>
            <w:pPr>
              <w:jc w:val="center"/>
              <w:rPr>
                <w:rFonts w:hint="eastAsia" w:ascii="仿宋" w:hAnsi="仿宋" w:eastAsia="仿宋" w:cs="仿宋"/>
              </w:rPr>
            </w:pPr>
          </w:p>
        </w:tc>
        <w:tc>
          <w:tcPr>
            <w:tcW w:w="1180" w:type="dxa"/>
            <w:vAlign w:val="center"/>
          </w:tcPr>
          <w:p>
            <w:pPr>
              <w:jc w:val="center"/>
              <w:rPr>
                <w:rFonts w:hint="eastAsia" w:ascii="仿宋" w:hAnsi="仿宋" w:eastAsia="仿宋" w:cs="仿宋"/>
              </w:rPr>
            </w:pPr>
          </w:p>
        </w:tc>
        <w:tc>
          <w:tcPr>
            <w:tcW w:w="1402" w:type="dxa"/>
            <w:vAlign w:val="center"/>
          </w:tcPr>
          <w:p>
            <w:pPr>
              <w:jc w:val="center"/>
              <w:rPr>
                <w:rFonts w:hint="eastAsia" w:ascii="仿宋" w:hAnsi="仿宋" w:eastAsia="仿宋" w:cs="仿宋"/>
              </w:rPr>
            </w:pPr>
          </w:p>
        </w:tc>
        <w:tc>
          <w:tcPr>
            <w:tcW w:w="1279" w:type="dxa"/>
            <w:vAlign w:val="center"/>
          </w:tcPr>
          <w:p>
            <w:pPr>
              <w:jc w:val="center"/>
              <w:rPr>
                <w:rFonts w:hint="eastAsia" w:ascii="仿宋" w:hAnsi="仿宋" w:eastAsia="仿宋" w:cs="仿宋"/>
              </w:rPr>
            </w:pPr>
          </w:p>
        </w:tc>
      </w:tr>
    </w:tbl>
    <w:p>
      <w:pPr>
        <w:spacing w:beforeLines="50" w:afterLines="50" w:line="48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附表三：劳动力计划表</w:t>
      </w:r>
    </w:p>
    <w:p>
      <w:pPr>
        <w:spacing w:beforeLines="50" w:afterLines="50" w:line="480" w:lineRule="auto"/>
        <w:rPr>
          <w:rFonts w:hint="eastAsia" w:ascii="仿宋" w:hAnsi="仿宋" w:eastAsia="仿宋" w:cs="仿宋"/>
          <w:b/>
          <w:bCs/>
          <w:sz w:val="24"/>
          <w:szCs w:val="24"/>
        </w:rPr>
      </w:pPr>
      <w:r>
        <w:rPr>
          <w:rFonts w:hint="eastAsia" w:ascii="仿宋" w:hAnsi="仿宋" w:eastAsia="仿宋" w:cs="仿宋"/>
          <w:sz w:val="24"/>
          <w:szCs w:val="24"/>
        </w:rPr>
        <w:t>单位：人</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pPr>
              <w:jc w:val="center"/>
              <w:rPr>
                <w:rFonts w:hint="eastAsia" w:ascii="仿宋" w:hAnsi="仿宋" w:eastAsia="仿宋" w:cs="仿宋"/>
              </w:rPr>
            </w:pPr>
            <w:r>
              <w:rPr>
                <w:rFonts w:hint="eastAsia" w:ascii="仿宋" w:hAnsi="仿宋" w:eastAsia="仿宋" w:cs="仿宋"/>
              </w:rPr>
              <w:t>工种</w:t>
            </w:r>
          </w:p>
        </w:tc>
        <w:tc>
          <w:tcPr>
            <w:tcW w:w="7425" w:type="dxa"/>
            <w:gridSpan w:val="7"/>
            <w:vAlign w:val="center"/>
          </w:tcPr>
          <w:p>
            <w:pPr>
              <w:jc w:val="center"/>
              <w:rPr>
                <w:rFonts w:hint="eastAsia" w:ascii="仿宋" w:hAnsi="仿宋" w:eastAsia="仿宋" w:cs="仿宋"/>
              </w:rPr>
            </w:pPr>
            <w:r>
              <w:rPr>
                <w:rFonts w:hint="eastAsia" w:ascii="仿宋" w:hAnsi="仿宋" w:eastAsia="仿宋" w:cs="仿宋"/>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pPr>
              <w:spacing w:line="360" w:lineRule="auto"/>
              <w:jc w:val="center"/>
              <w:rPr>
                <w:rFonts w:hint="eastAsia" w:ascii="仿宋" w:hAnsi="仿宋" w:eastAsia="仿宋" w:cs="仿宋"/>
              </w:rPr>
            </w:pPr>
          </w:p>
        </w:tc>
        <w:tc>
          <w:tcPr>
            <w:tcW w:w="1047"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c>
          <w:tcPr>
            <w:tcW w:w="1063" w:type="dxa"/>
            <w:vAlign w:val="center"/>
          </w:tcPr>
          <w:p>
            <w:pPr>
              <w:spacing w:line="360" w:lineRule="auto"/>
              <w:jc w:val="center"/>
              <w:rPr>
                <w:rFonts w:hint="eastAsia" w:ascii="仿宋" w:hAnsi="仿宋" w:eastAsia="仿宋" w:cs="仿宋"/>
              </w:rPr>
            </w:pPr>
          </w:p>
        </w:tc>
      </w:tr>
    </w:tbl>
    <w:p>
      <w:pPr>
        <w:spacing w:line="580" w:lineRule="exact"/>
        <w:rPr>
          <w:rFonts w:hint="eastAsia" w:ascii="仿宋" w:hAnsi="仿宋" w:eastAsia="仿宋" w:cs="仿宋"/>
          <w:b/>
          <w:bCs/>
          <w:spacing w:val="4"/>
          <w:sz w:val="24"/>
          <w:szCs w:val="24"/>
        </w:rPr>
      </w:pPr>
    </w:p>
    <w:p>
      <w:pPr>
        <w:spacing w:beforeLines="50" w:afterLines="100"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附表四：计划开、竣工日期和施工进度网络图</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投标人应递交施工进度网络图或施工进度表，说明按招标文件要求的计划工期进行施工的各个关键日期。</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施工进度表可采用网络图或横道图表示。</w:t>
      </w:r>
    </w:p>
    <w:p>
      <w:pPr>
        <w:spacing w:beforeLines="50" w:afterLines="100" w:line="480" w:lineRule="auto"/>
        <w:rPr>
          <w:rFonts w:hint="eastAsia" w:ascii="仿宋" w:hAnsi="仿宋" w:eastAsia="仿宋" w:cs="仿宋"/>
          <w:sz w:val="24"/>
          <w:szCs w:val="24"/>
        </w:rPr>
      </w:pPr>
    </w:p>
    <w:p>
      <w:pPr>
        <w:spacing w:beforeLines="50" w:afterLines="100" w:line="420" w:lineRule="exact"/>
        <w:rPr>
          <w:rFonts w:hint="eastAsia" w:ascii="仿宋" w:hAnsi="仿宋" w:eastAsia="仿宋" w:cs="仿宋"/>
          <w:b/>
          <w:bCs/>
          <w:sz w:val="24"/>
          <w:szCs w:val="24"/>
        </w:rPr>
      </w:pPr>
      <w:r>
        <w:rPr>
          <w:rFonts w:hint="eastAsia" w:ascii="仿宋" w:hAnsi="仿宋" w:eastAsia="仿宋" w:cs="仿宋"/>
        </w:rPr>
        <w:br w:type="page"/>
      </w:r>
      <w:r>
        <w:rPr>
          <w:rFonts w:hint="eastAsia" w:ascii="仿宋" w:hAnsi="仿宋" w:eastAsia="仿宋" w:cs="仿宋"/>
          <w:b/>
          <w:bCs/>
          <w:sz w:val="24"/>
          <w:szCs w:val="24"/>
        </w:rPr>
        <w:t>附表五：临时用地表</w:t>
      </w:r>
    </w:p>
    <w:tbl>
      <w:tblPr>
        <w:tblStyle w:val="3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pPr>
              <w:jc w:val="center"/>
              <w:rPr>
                <w:rFonts w:hint="eastAsia" w:ascii="仿宋" w:hAnsi="仿宋" w:eastAsia="仿宋" w:cs="仿宋"/>
              </w:rPr>
            </w:pPr>
            <w:r>
              <w:rPr>
                <w:rFonts w:hint="eastAsia" w:ascii="仿宋" w:hAnsi="仿宋" w:eastAsia="仿宋" w:cs="仿宋"/>
              </w:rPr>
              <w:t>用途</w:t>
            </w:r>
          </w:p>
        </w:tc>
        <w:tc>
          <w:tcPr>
            <w:tcW w:w="2082" w:type="dxa"/>
            <w:vAlign w:val="center"/>
          </w:tcPr>
          <w:p>
            <w:pPr>
              <w:jc w:val="center"/>
              <w:rPr>
                <w:rFonts w:hint="eastAsia" w:ascii="仿宋" w:hAnsi="仿宋" w:eastAsia="仿宋" w:cs="仿宋"/>
              </w:rPr>
            </w:pPr>
            <w:r>
              <w:rPr>
                <w:rFonts w:hint="eastAsia" w:ascii="仿宋" w:hAnsi="仿宋" w:eastAsia="仿宋" w:cs="仿宋"/>
              </w:rPr>
              <w:t>面积（平方米）</w:t>
            </w:r>
          </w:p>
        </w:tc>
        <w:tc>
          <w:tcPr>
            <w:tcW w:w="2082" w:type="dxa"/>
            <w:vAlign w:val="center"/>
          </w:tcPr>
          <w:p>
            <w:pPr>
              <w:jc w:val="center"/>
              <w:rPr>
                <w:rFonts w:hint="eastAsia" w:ascii="仿宋" w:hAnsi="仿宋" w:eastAsia="仿宋" w:cs="仿宋"/>
              </w:rPr>
            </w:pPr>
            <w:r>
              <w:rPr>
                <w:rFonts w:hint="eastAsia" w:ascii="仿宋" w:hAnsi="仿宋" w:eastAsia="仿宋" w:cs="仿宋"/>
              </w:rPr>
              <w:t>位置</w:t>
            </w:r>
          </w:p>
        </w:tc>
        <w:tc>
          <w:tcPr>
            <w:tcW w:w="2082" w:type="dxa"/>
            <w:vAlign w:val="center"/>
          </w:tcPr>
          <w:p>
            <w:pPr>
              <w:jc w:val="center"/>
              <w:rPr>
                <w:rFonts w:hint="eastAsia" w:ascii="仿宋" w:hAnsi="仿宋" w:eastAsia="仿宋" w:cs="仿宋"/>
              </w:rPr>
            </w:pPr>
            <w:r>
              <w:rPr>
                <w:rFonts w:hint="eastAsia" w:ascii="仿宋" w:hAnsi="仿宋" w:eastAsia="仿宋" w:cs="仿宋"/>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c>
          <w:tcPr>
            <w:tcW w:w="2082" w:type="dxa"/>
          </w:tcPr>
          <w:p>
            <w:pPr>
              <w:rPr>
                <w:rFonts w:hint="eastAsia" w:ascii="仿宋" w:hAnsi="仿宋" w:eastAsia="仿宋" w:cs="仿宋"/>
              </w:rPr>
            </w:pPr>
          </w:p>
        </w:tc>
      </w:tr>
    </w:tbl>
    <w:p>
      <w:pPr>
        <w:keepLines/>
        <w:pageBreakBefore/>
        <w:jc w:val="center"/>
        <w:outlineLvl w:val="1"/>
        <w:rPr>
          <w:rFonts w:hint="eastAsia" w:ascii="仿宋" w:hAnsi="仿宋" w:eastAsia="仿宋" w:cs="仿宋"/>
          <w:b/>
          <w:bCs/>
          <w:sz w:val="32"/>
          <w:szCs w:val="32"/>
        </w:rPr>
      </w:pPr>
      <w:bookmarkStart w:id="261" w:name="_Toc15616"/>
      <w:bookmarkStart w:id="262" w:name="_Toc12899"/>
      <w:bookmarkStart w:id="263" w:name="_Toc20335"/>
      <w:bookmarkStart w:id="264" w:name="_Toc16618"/>
      <w:bookmarkStart w:id="265" w:name="_Toc18300"/>
      <w:r>
        <w:rPr>
          <w:rFonts w:hint="eastAsia" w:ascii="仿宋" w:hAnsi="仿宋" w:eastAsia="仿宋" w:cs="仿宋"/>
          <w:b/>
          <w:bCs/>
          <w:sz w:val="32"/>
          <w:szCs w:val="32"/>
        </w:rPr>
        <w:t>第三部分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资格标</w:t>
      </w:r>
      <w:bookmarkEnd w:id="261"/>
      <w:bookmarkEnd w:id="262"/>
    </w:p>
    <w:p>
      <w:pPr>
        <w:keepLines/>
        <w:pageBreakBefore/>
        <w:numPr>
          <w:ilvl w:val="0"/>
          <w:numId w:val="14"/>
        </w:numPr>
        <w:jc w:val="center"/>
        <w:outlineLvl w:val="1"/>
        <w:rPr>
          <w:rFonts w:hint="eastAsia" w:ascii="仿宋" w:hAnsi="仿宋" w:eastAsia="仿宋" w:cs="仿宋"/>
          <w:b/>
          <w:sz w:val="32"/>
          <w:szCs w:val="32"/>
        </w:rPr>
      </w:pPr>
      <w:bookmarkStart w:id="266" w:name="_Toc504"/>
      <w:bookmarkStart w:id="267" w:name="_Toc28105"/>
      <w:r>
        <w:rPr>
          <w:rFonts w:hint="eastAsia" w:ascii="仿宋" w:hAnsi="仿宋" w:eastAsia="仿宋" w:cs="仿宋"/>
          <w:b/>
          <w:bCs/>
          <w:sz w:val="32"/>
          <w:szCs w:val="32"/>
        </w:rPr>
        <w:t>投标人的基本情况介绍和资格声明</w:t>
      </w:r>
      <w:bookmarkEnd w:id="266"/>
      <w:bookmarkEnd w:id="267"/>
    </w:p>
    <w:p>
      <w:pPr>
        <w:numPr>
          <w:ilvl w:val="0"/>
          <w:numId w:val="15"/>
        </w:numPr>
        <w:jc w:val="center"/>
        <w:rPr>
          <w:rFonts w:hint="eastAsia" w:ascii="仿宋" w:hAnsi="仿宋" w:eastAsia="仿宋" w:cs="仿宋"/>
          <w:b/>
          <w:bCs/>
          <w:sz w:val="32"/>
          <w:szCs w:val="32"/>
        </w:rPr>
      </w:pPr>
      <w:r>
        <w:rPr>
          <w:rFonts w:hint="eastAsia" w:ascii="仿宋" w:hAnsi="仿宋" w:eastAsia="仿宋" w:cs="仿宋"/>
          <w:b/>
          <w:bCs/>
          <w:sz w:val="32"/>
          <w:szCs w:val="32"/>
        </w:rPr>
        <w:t>投标人的基本情况介绍</w:t>
      </w:r>
    </w:p>
    <w:p>
      <w:pPr>
        <w:jc w:val="center"/>
        <w:rPr>
          <w:rFonts w:hint="eastAsia" w:ascii="仿宋" w:hAnsi="仿宋" w:eastAsia="仿宋" w:cs="仿宋"/>
          <w:b/>
          <w:bCs/>
          <w:sz w:val="32"/>
          <w:szCs w:val="32"/>
        </w:rPr>
      </w:pPr>
      <w:r>
        <w:rPr>
          <w:rFonts w:hint="eastAsia" w:ascii="仿宋" w:hAnsi="仿宋" w:eastAsia="仿宋" w:cs="仿宋"/>
          <w:b/>
          <w:bCs/>
          <w:sz w:val="32"/>
          <w:szCs w:val="32"/>
        </w:rPr>
        <w:t>（格式自拟）</w:t>
      </w:r>
    </w:p>
    <w:p>
      <w:pPr>
        <w:numPr>
          <w:ilvl w:val="0"/>
          <w:numId w:val="15"/>
        </w:numPr>
        <w:jc w:val="center"/>
        <w:rPr>
          <w:rFonts w:hint="eastAsia" w:ascii="仿宋" w:hAnsi="仿宋" w:eastAsia="仿宋" w:cs="仿宋"/>
          <w:b/>
          <w:sz w:val="32"/>
          <w:szCs w:val="32"/>
        </w:rPr>
      </w:pPr>
      <w:r>
        <w:rPr>
          <w:rFonts w:hint="eastAsia" w:ascii="仿宋" w:hAnsi="仿宋" w:eastAsia="仿宋" w:cs="仿宋"/>
          <w:b/>
          <w:sz w:val="32"/>
          <w:szCs w:val="32"/>
        </w:rPr>
        <w:t>投标人资格声明</w:t>
      </w:r>
    </w:p>
    <w:p>
      <w:pPr>
        <w:rPr>
          <w:rFonts w:hint="eastAsia" w:ascii="仿宋" w:hAnsi="仿宋" w:eastAsia="仿宋" w:cs="仿宋"/>
        </w:rPr>
      </w:pP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名称及其它情况</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投标人名称：____________________________________</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地   址：电  话：</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成立和注册日期：</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主管部门：</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公司性质：</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职工总人数：</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工程技术及管理人员数分别为：</w:t>
      </w:r>
    </w:p>
    <w:p>
      <w:pPr>
        <w:numPr>
          <w:ilvl w:val="0"/>
          <w:numId w:val="17"/>
        </w:numPr>
        <w:spacing w:line="520" w:lineRule="exact"/>
        <w:ind w:left="210" w:leftChars="100"/>
        <w:jc w:val="left"/>
        <w:rPr>
          <w:rFonts w:hint="eastAsia" w:ascii="仿宋" w:hAnsi="仿宋" w:eastAsia="仿宋" w:cs="仿宋"/>
          <w:sz w:val="24"/>
          <w:szCs w:val="24"/>
        </w:rPr>
      </w:pPr>
      <w:r>
        <w:rPr>
          <w:rFonts w:hint="eastAsia" w:ascii="仿宋" w:hAnsi="仿宋" w:eastAsia="仿宋" w:cs="仿宋"/>
          <w:sz w:val="24"/>
          <w:szCs w:val="24"/>
        </w:rPr>
        <w:t xml:space="preserve">本年度投标人的主要财务情况（到  </w:t>
      </w:r>
      <w:r>
        <w:rPr>
          <w:rFonts w:hint="eastAsia" w:ascii="仿宋" w:hAnsi="仿宋" w:eastAsia="仿宋" w:cs="仿宋"/>
          <w:sz w:val="24"/>
          <w:szCs w:val="24"/>
          <w:u w:val="single"/>
        </w:rPr>
        <w:t xml:space="preserve">年  月  日 </w:t>
      </w:r>
      <w:r>
        <w:rPr>
          <w:rFonts w:hint="eastAsia" w:ascii="仿宋" w:hAnsi="仿宋" w:eastAsia="仿宋" w:cs="仿宋"/>
          <w:sz w:val="24"/>
          <w:szCs w:val="24"/>
        </w:rPr>
        <w:t>止）</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注册资金：</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固定资产：</w:t>
      </w:r>
    </w:p>
    <w:p>
      <w:pPr>
        <w:spacing w:line="520" w:lineRule="exact"/>
        <w:jc w:val="left"/>
        <w:rPr>
          <w:rFonts w:hint="eastAsia" w:ascii="仿宋" w:hAnsi="仿宋" w:eastAsia="仿宋" w:cs="仿宋"/>
          <w:sz w:val="24"/>
          <w:szCs w:val="24"/>
          <w:u w:val="single"/>
        </w:rPr>
      </w:pPr>
      <w:r>
        <w:rPr>
          <w:rFonts w:hint="eastAsia" w:ascii="仿宋" w:hAnsi="仿宋" w:eastAsia="仿宋" w:cs="仿宋"/>
          <w:sz w:val="24"/>
          <w:szCs w:val="24"/>
        </w:rPr>
        <w:t xml:space="preserve">      原    值：</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 xml:space="preserve">      净    值：</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流动资产：</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长期负债：</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短期负债：</w:t>
      </w:r>
    </w:p>
    <w:p>
      <w:pPr>
        <w:numPr>
          <w:ilvl w:val="0"/>
          <w:numId w:val="18"/>
        </w:numPr>
        <w:spacing w:line="520" w:lineRule="exact"/>
        <w:ind w:left="691" w:leftChars="329"/>
        <w:jc w:val="left"/>
        <w:rPr>
          <w:rFonts w:hint="eastAsia" w:ascii="仿宋" w:hAnsi="仿宋" w:eastAsia="仿宋" w:cs="仿宋"/>
          <w:sz w:val="24"/>
          <w:szCs w:val="24"/>
        </w:rPr>
      </w:pPr>
      <w:r>
        <w:rPr>
          <w:rFonts w:hint="eastAsia" w:ascii="仿宋" w:hAnsi="仿宋" w:eastAsia="仿宋" w:cs="仿宋"/>
          <w:sz w:val="24"/>
          <w:szCs w:val="24"/>
        </w:rPr>
        <w:t>销售收入/主营业务收入：</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最近三年的年度总营业额：</w:t>
      </w:r>
    </w:p>
    <w:p>
      <w:pPr>
        <w:numPr>
          <w:ilvl w:val="0"/>
          <w:numId w:val="16"/>
        </w:numPr>
        <w:spacing w:line="520" w:lineRule="exact"/>
        <w:jc w:val="left"/>
        <w:rPr>
          <w:rFonts w:hint="eastAsia" w:ascii="仿宋" w:hAnsi="仿宋" w:eastAsia="仿宋" w:cs="仿宋"/>
          <w:sz w:val="24"/>
          <w:szCs w:val="24"/>
        </w:rPr>
      </w:pPr>
      <w:r>
        <w:rPr>
          <w:rFonts w:hint="eastAsia" w:ascii="仿宋" w:hAnsi="仿宋" w:eastAsia="仿宋" w:cs="仿宋"/>
          <w:sz w:val="24"/>
          <w:szCs w:val="24"/>
        </w:rPr>
        <w:t>投标人最近三年法律纠纷情况</w:t>
      </w:r>
    </w:p>
    <w:tbl>
      <w:tblPr>
        <w:tblStyle w:val="35"/>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时间</w:t>
            </w:r>
          </w:p>
        </w:tc>
        <w:tc>
          <w:tcPr>
            <w:tcW w:w="2280"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案由</w:t>
            </w:r>
          </w:p>
        </w:tc>
        <w:tc>
          <w:tcPr>
            <w:tcW w:w="1826"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涉及金额</w:t>
            </w:r>
          </w:p>
        </w:tc>
        <w:tc>
          <w:tcPr>
            <w:tcW w:w="2919" w:type="dxa"/>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520" w:lineRule="exact"/>
              <w:jc w:val="left"/>
              <w:rPr>
                <w:rFonts w:hint="eastAsia" w:ascii="仿宋" w:hAnsi="仿宋" w:eastAsia="仿宋" w:cs="仿宋"/>
                <w:sz w:val="24"/>
                <w:szCs w:val="24"/>
              </w:rPr>
            </w:pPr>
          </w:p>
        </w:tc>
        <w:tc>
          <w:tcPr>
            <w:tcW w:w="2280" w:type="dxa"/>
          </w:tcPr>
          <w:p>
            <w:pPr>
              <w:spacing w:line="520" w:lineRule="exact"/>
              <w:jc w:val="left"/>
              <w:rPr>
                <w:rFonts w:hint="eastAsia" w:ascii="仿宋" w:hAnsi="仿宋" w:eastAsia="仿宋" w:cs="仿宋"/>
                <w:sz w:val="24"/>
                <w:szCs w:val="24"/>
              </w:rPr>
            </w:pPr>
          </w:p>
        </w:tc>
        <w:tc>
          <w:tcPr>
            <w:tcW w:w="1826" w:type="dxa"/>
          </w:tcPr>
          <w:p>
            <w:pPr>
              <w:spacing w:line="520" w:lineRule="exact"/>
              <w:jc w:val="left"/>
              <w:rPr>
                <w:rFonts w:hint="eastAsia" w:ascii="仿宋" w:hAnsi="仿宋" w:eastAsia="仿宋" w:cs="仿宋"/>
                <w:sz w:val="24"/>
                <w:szCs w:val="24"/>
              </w:rPr>
            </w:pPr>
          </w:p>
        </w:tc>
        <w:tc>
          <w:tcPr>
            <w:tcW w:w="2919" w:type="dxa"/>
          </w:tcPr>
          <w:p>
            <w:pPr>
              <w:spacing w:line="520" w:lineRule="exact"/>
              <w:jc w:val="left"/>
              <w:rPr>
                <w:rFonts w:hint="eastAsia" w:ascii="仿宋" w:hAnsi="仿宋" w:eastAsia="仿宋" w:cs="仿宋"/>
                <w:sz w:val="24"/>
                <w:szCs w:val="24"/>
              </w:rPr>
            </w:pPr>
          </w:p>
        </w:tc>
      </w:tr>
    </w:tbl>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4、有关银行的名称和地址：</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5、其他情况：</w:t>
      </w:r>
    </w:p>
    <w:p>
      <w:pPr>
        <w:spacing w:line="520" w:lineRule="exact"/>
        <w:ind w:firstLine="360" w:firstLineChars="150"/>
        <w:jc w:val="left"/>
        <w:rPr>
          <w:rFonts w:hint="eastAsia" w:ascii="仿宋" w:hAnsi="仿宋" w:eastAsia="仿宋" w:cs="仿宋"/>
          <w:sz w:val="24"/>
          <w:szCs w:val="24"/>
        </w:rPr>
      </w:pPr>
      <w:r>
        <w:rPr>
          <w:rFonts w:hint="eastAsia" w:ascii="仿宋" w:hAnsi="仿宋" w:eastAsia="仿宋" w:cs="仿宋"/>
          <w:sz w:val="24"/>
          <w:szCs w:val="24"/>
        </w:rPr>
        <w:t>我们保证上述声明是真实的、正确的，并提供了全部能提供的资料和数据；如贵方要求我们同意出示进一步证明文件。</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授权代表签字：</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授权代表的职务：</w:t>
      </w:r>
    </w:p>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电话号和传真号：</w:t>
      </w:r>
    </w:p>
    <w:p>
      <w:pPr>
        <w:spacing w:line="520" w:lineRule="exact"/>
        <w:ind w:right="960"/>
        <w:rPr>
          <w:rFonts w:hint="eastAsia" w:ascii="仿宋" w:hAnsi="仿宋" w:eastAsia="仿宋" w:cs="仿宋"/>
          <w:sz w:val="24"/>
          <w:szCs w:val="24"/>
        </w:rPr>
      </w:pPr>
    </w:p>
    <w:p>
      <w:pPr>
        <w:spacing w:line="520" w:lineRule="exact"/>
        <w:ind w:right="960" w:firstLine="5400" w:firstLineChars="2250"/>
        <w:rPr>
          <w:rFonts w:hint="eastAsia" w:ascii="仿宋" w:hAnsi="仿宋" w:eastAsia="仿宋" w:cs="仿宋"/>
          <w:sz w:val="24"/>
          <w:szCs w:val="24"/>
        </w:rPr>
      </w:pPr>
      <w:r>
        <w:rPr>
          <w:rFonts w:hint="eastAsia" w:ascii="仿宋" w:hAnsi="仿宋" w:eastAsia="仿宋" w:cs="仿宋"/>
          <w:sz w:val="24"/>
          <w:szCs w:val="24"/>
        </w:rPr>
        <w:t xml:space="preserve"> 公   章:</w:t>
      </w:r>
    </w:p>
    <w:p>
      <w:pPr>
        <w:wordWrap w:val="0"/>
        <w:spacing w:line="520" w:lineRule="exact"/>
        <w:ind w:right="480"/>
        <w:jc w:val="right"/>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tabs>
          <w:tab w:val="left" w:pos="1799"/>
        </w:tabs>
        <w:jc w:val="left"/>
        <w:rPr>
          <w:rFonts w:hint="eastAsia" w:ascii="仿宋" w:hAnsi="仿宋" w:eastAsia="仿宋" w:cs="仿宋"/>
          <w:b/>
          <w:bCs/>
          <w:sz w:val="24"/>
          <w:szCs w:val="24"/>
        </w:rPr>
      </w:pPr>
    </w:p>
    <w:p>
      <w:pPr>
        <w:keepLines/>
        <w:pageBreakBefore/>
        <w:jc w:val="center"/>
        <w:outlineLvl w:val="1"/>
        <w:rPr>
          <w:rFonts w:hint="eastAsia" w:ascii="仿宋" w:hAnsi="仿宋" w:eastAsia="仿宋" w:cs="仿宋"/>
          <w:b/>
          <w:bCs/>
          <w:color w:val="auto"/>
          <w:sz w:val="32"/>
          <w:szCs w:val="32"/>
        </w:rPr>
      </w:pPr>
      <w:bookmarkStart w:id="268" w:name="_Toc19158"/>
      <w:bookmarkStart w:id="269" w:name="_Toc3088"/>
      <w:r>
        <w:rPr>
          <w:rFonts w:hint="eastAsia" w:ascii="仿宋" w:hAnsi="仿宋" w:eastAsia="仿宋" w:cs="仿宋"/>
          <w:b/>
          <w:bCs/>
          <w:color w:val="auto"/>
          <w:sz w:val="32"/>
          <w:szCs w:val="32"/>
        </w:rPr>
        <w:t>二、投标人资格证明文件</w:t>
      </w:r>
      <w:bookmarkEnd w:id="268"/>
      <w:bookmarkEnd w:id="269"/>
    </w:p>
    <w:p>
      <w:pPr>
        <w:pStyle w:val="14"/>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（见</w:t>
      </w:r>
      <w:r>
        <w:rPr>
          <w:rFonts w:hint="eastAsia" w:ascii="仿宋" w:hAnsi="仿宋" w:eastAsia="仿宋" w:cs="仿宋"/>
          <w:b/>
          <w:bCs/>
          <w:color w:val="auto"/>
          <w:sz w:val="24"/>
          <w:szCs w:val="24"/>
          <w:highlight w:val="none"/>
          <w:lang w:eastAsia="zh-CN"/>
        </w:rPr>
        <w:t>初步审查要素表</w:t>
      </w:r>
      <w:r>
        <w:rPr>
          <w:rFonts w:hint="eastAsia" w:ascii="仿宋" w:hAnsi="仿宋" w:eastAsia="仿宋" w:cs="仿宋"/>
          <w:b/>
          <w:bCs/>
          <w:color w:val="auto"/>
          <w:sz w:val="24"/>
          <w:szCs w:val="24"/>
          <w:highlight w:val="none"/>
        </w:rPr>
        <w:t>）</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bookmarkEnd w:id="238"/>
    <w:bookmarkEnd w:id="239"/>
    <w:bookmarkEnd w:id="263"/>
    <w:bookmarkEnd w:id="264"/>
    <w:bookmarkEnd w:id="265"/>
    <w:p>
      <w:pPr>
        <w:keepNext w:val="0"/>
        <w:keepLines/>
        <w:pageBreakBefore/>
        <w:widowControl w:val="0"/>
        <w:kinsoku/>
        <w:wordWrap/>
        <w:overflowPunct/>
        <w:topLinePunct w:val="0"/>
        <w:autoSpaceDE/>
        <w:autoSpaceDN/>
        <w:bidi w:val="0"/>
        <w:adjustRightInd/>
        <w:snapToGrid/>
        <w:spacing w:before="100" w:beforeAutospacing="1" w:afterLines="50" w:line="360" w:lineRule="auto"/>
        <w:textAlignment w:val="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附件1：</w:t>
      </w:r>
    </w:p>
    <w:p>
      <w:pPr>
        <w:pStyle w:val="5"/>
        <w:keepNext/>
        <w:keepLines/>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sz w:val="32"/>
          <w:szCs w:val="32"/>
        </w:rPr>
      </w:pPr>
      <w:r>
        <w:rPr>
          <w:rFonts w:hint="eastAsia" w:ascii="仿宋" w:hAnsi="仿宋" w:eastAsia="仿宋" w:cs="仿宋"/>
          <w:sz w:val="32"/>
          <w:szCs w:val="32"/>
        </w:rPr>
        <w:t>中小企业声明函（工程、服务）</w:t>
      </w:r>
    </w:p>
    <w:p>
      <w:pPr>
        <w:pStyle w:val="14"/>
        <w:keepNext w:val="0"/>
        <w:keepLines w:val="0"/>
        <w:pageBreakBefore w:val="0"/>
        <w:widowControl w:val="0"/>
        <w:kinsoku/>
        <w:wordWrap/>
        <w:overflowPunct/>
        <w:topLinePunct w:val="0"/>
        <w:autoSpaceDE/>
        <w:autoSpaceDN/>
        <w:bidi w:val="0"/>
        <w:adjustRightInd/>
        <w:snapToGrid/>
        <w:spacing w:before="55" w:after="0" w:afterLines="0" w:line="360" w:lineRule="auto"/>
        <w:ind w:right="415" w:firstLine="640"/>
        <w:textAlignment w:val="auto"/>
        <w:outlineLvl w:val="9"/>
        <w:rPr>
          <w:rFonts w:hint="eastAsia" w:ascii="仿宋" w:hAnsi="仿宋" w:eastAsia="仿宋" w:cs="仿宋"/>
          <w:b w:val="0"/>
          <w:bCs w:val="0"/>
          <w:spacing w:val="-2"/>
          <w:sz w:val="32"/>
          <w:szCs w:val="32"/>
        </w:rPr>
      </w:pPr>
    </w:p>
    <w:p>
      <w:pPr>
        <w:pStyle w:val="14"/>
        <w:keepNext w:val="0"/>
        <w:keepLines w:val="0"/>
        <w:pageBreakBefore w:val="0"/>
        <w:widowControl w:val="0"/>
        <w:kinsoku/>
        <w:wordWrap/>
        <w:overflowPunct/>
        <w:topLinePunct w:val="0"/>
        <w:autoSpaceDE/>
        <w:autoSpaceDN/>
        <w:bidi w:val="0"/>
        <w:adjustRightInd/>
        <w:snapToGrid/>
        <w:spacing w:before="55" w:after="0" w:afterLines="0" w:line="360" w:lineRule="auto"/>
        <w:ind w:right="415" w:firstLine="640"/>
        <w:jc w:val="left"/>
        <w:textAlignment w:val="auto"/>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本公司（联合体）郑重声明，根据《政府采购促进中小企业发展管理办法》（财库﹝2020﹞46 号）的规定，本公司（联合体）参加</w:t>
      </w:r>
      <w:r>
        <w:rPr>
          <w:rFonts w:hint="eastAsia" w:ascii="仿宋" w:hAnsi="仿宋" w:eastAsia="仿宋" w:cs="仿宋"/>
          <w:b w:val="0"/>
          <w:bCs w:val="0"/>
          <w:spacing w:val="-2"/>
          <w:sz w:val="24"/>
          <w:szCs w:val="24"/>
          <w:u w:val="single"/>
        </w:rPr>
        <w:t>（单位名称）</w:t>
      </w:r>
      <w:r>
        <w:rPr>
          <w:rFonts w:hint="eastAsia" w:ascii="仿宋" w:hAnsi="仿宋" w:eastAsia="仿宋" w:cs="仿宋"/>
          <w:b w:val="0"/>
          <w:bCs w:val="0"/>
          <w:spacing w:val="-2"/>
          <w:sz w:val="24"/>
          <w:szCs w:val="24"/>
        </w:rPr>
        <w:t>的</w:t>
      </w:r>
      <w:r>
        <w:rPr>
          <w:rFonts w:hint="eastAsia" w:ascii="仿宋" w:hAnsi="仿宋" w:eastAsia="仿宋" w:cs="仿宋"/>
          <w:b w:val="0"/>
          <w:bCs w:val="0"/>
          <w:spacing w:val="-2"/>
          <w:sz w:val="24"/>
          <w:szCs w:val="24"/>
          <w:u w:val="single"/>
        </w:rPr>
        <w:t>（项目名称）</w:t>
      </w:r>
      <w:r>
        <w:rPr>
          <w:rFonts w:hint="eastAsia" w:ascii="仿宋" w:hAnsi="仿宋" w:eastAsia="仿宋" w:cs="仿宋"/>
          <w:b w:val="0"/>
          <w:bCs w:val="0"/>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14"/>
        <w:pageBreakBefore w:val="0"/>
        <w:numPr>
          <w:ilvl w:val="0"/>
          <w:numId w:val="19"/>
        </w:numPr>
        <w:kinsoku/>
        <w:wordWrap/>
        <w:overflowPunct/>
        <w:topLinePunct w:val="0"/>
        <w:autoSpaceDE/>
        <w:autoSpaceDN/>
        <w:bidi w:val="0"/>
        <w:adjustRightInd/>
        <w:snapToGrid/>
        <w:spacing w:line="360" w:lineRule="auto"/>
        <w:ind w:right="386" w:rightChars="184"/>
        <w:textAlignment w:val="auto"/>
        <w:rPr>
          <w:rFonts w:hint="eastAsia" w:ascii="仿宋" w:hAnsi="仿宋" w:eastAsia="仿宋" w:cs="仿宋"/>
          <w:sz w:val="24"/>
          <w:szCs w:val="24"/>
        </w:rPr>
      </w:pPr>
      <w:r>
        <w:rPr>
          <w:rFonts w:hint="eastAsia" w:ascii="仿宋" w:hAnsi="仿宋" w:eastAsia="仿宋" w:cs="仿宋"/>
          <w:sz w:val="24"/>
          <w:szCs w:val="24"/>
          <w:u w:val="single"/>
          <w:lang w:val="zh-CN" w:eastAsia="zh-CN"/>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zh-CN" w:eastAsia="zh-CN"/>
        </w:rPr>
        <w:t>（采购文件中明确的所属行业）</w:t>
      </w:r>
      <w:r>
        <w:rPr>
          <w:rFonts w:hint="eastAsia" w:ascii="仿宋" w:hAnsi="仿宋" w:eastAsia="仿宋" w:cs="仿宋"/>
          <w:sz w:val="24"/>
          <w:szCs w:val="24"/>
          <w:lang w:val="zh-CN" w:eastAsia="zh-CN"/>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rPr>
        <w:t>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pStyle w:val="114"/>
        <w:pageBreakBefore w:val="0"/>
        <w:numPr>
          <w:ilvl w:val="0"/>
          <w:numId w:val="19"/>
        </w:numPr>
        <w:kinsoku/>
        <w:wordWrap/>
        <w:overflowPunct/>
        <w:topLinePunct w:val="0"/>
        <w:autoSpaceDE/>
        <w:autoSpaceDN/>
        <w:bidi w:val="0"/>
        <w:adjustRightInd/>
        <w:snapToGrid/>
        <w:spacing w:line="360" w:lineRule="auto"/>
        <w:ind w:right="386" w:rightChars="184"/>
        <w:textAlignment w:val="auto"/>
        <w:rPr>
          <w:rFonts w:hint="eastAsia" w:ascii="仿宋" w:hAnsi="仿宋" w:eastAsia="仿宋" w:cs="仿宋"/>
          <w:sz w:val="24"/>
          <w:szCs w:val="24"/>
        </w:rPr>
      </w:pPr>
      <w:r>
        <w:rPr>
          <w:rFonts w:hint="eastAsia" w:ascii="仿宋" w:hAnsi="仿宋" w:eastAsia="仿宋" w:cs="仿宋"/>
          <w:sz w:val="24"/>
          <w:szCs w:val="24"/>
          <w:u w:val="single"/>
          <w:lang w:val="zh-CN" w:eastAsia="zh-CN"/>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zh-CN" w:eastAsia="zh-CN"/>
        </w:rPr>
        <w:t>（采购文件中明确的所属行业）</w:t>
      </w:r>
      <w:r>
        <w:rPr>
          <w:rFonts w:hint="eastAsia" w:ascii="仿宋" w:hAnsi="仿宋" w:eastAsia="仿宋" w:cs="仿宋"/>
          <w:sz w:val="24"/>
          <w:szCs w:val="24"/>
          <w:lang w:val="zh-CN" w:eastAsia="zh-CN"/>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rPr>
        <w:t>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pStyle w:val="114"/>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w:t>
      </w:r>
    </w:p>
    <w:p>
      <w:pPr>
        <w:pStyle w:val="114"/>
        <w:pageBreakBefore w:val="0"/>
        <w:numPr>
          <w:ilvl w:val="0"/>
          <w:numId w:val="0"/>
        </w:numPr>
        <w:kinsoku/>
        <w:wordWrap/>
        <w:overflowPunct/>
        <w:topLinePunct w:val="0"/>
        <w:autoSpaceDE/>
        <w:autoSpaceDN/>
        <w:bidi w:val="0"/>
        <w:adjustRightInd/>
        <w:snapToGrid/>
        <w:spacing w:line="360" w:lineRule="auto"/>
        <w:ind w:right="386" w:rightChars="184"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以上企业，不属于大企业的分支机构，不存在控股股东为大企业的情形，也不存在与大企业的负责人为同一人的情形。</w:t>
      </w:r>
    </w:p>
    <w:p>
      <w:pPr>
        <w:pStyle w:val="114"/>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zh-CN" w:eastAsia="zh-CN"/>
        </w:rPr>
      </w:pPr>
      <w:r>
        <w:rPr>
          <w:rFonts w:hint="eastAsia" w:ascii="仿宋" w:hAnsi="仿宋" w:eastAsia="仿宋" w:cs="仿宋"/>
          <w:sz w:val="24"/>
          <w:szCs w:val="24"/>
          <w:u w:val="none"/>
          <w:lang w:val="zh-CN" w:eastAsia="zh-CN"/>
        </w:rPr>
        <w:t>本企业对上述声明内容的真实性负责。如有虚假，将依法承担相应责任。</w:t>
      </w:r>
    </w:p>
    <w:p>
      <w:pPr>
        <w:pStyle w:val="114"/>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rPr>
      </w:pPr>
    </w:p>
    <w:p>
      <w:pPr>
        <w:pStyle w:val="114"/>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企业名称（盖章）：</w:t>
      </w:r>
    </w:p>
    <w:p>
      <w:pPr>
        <w:pStyle w:val="114"/>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日期：</w:t>
      </w:r>
    </w:p>
    <w:p>
      <w:pPr>
        <w:pStyle w:val="11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p>
    <w:p>
      <w:pPr>
        <w:pStyle w:val="114"/>
        <w:pageBreakBefore w:val="0"/>
        <w:kinsoku/>
        <w:wordWrap/>
        <w:overflowPunct/>
        <w:topLinePunct w:val="0"/>
        <w:autoSpaceDE/>
        <w:autoSpaceDN/>
        <w:bidi w:val="0"/>
        <w:adjustRightInd/>
        <w:snapToGrid/>
        <w:spacing w:line="360" w:lineRule="auto"/>
        <w:ind w:left="720" w:leftChars="0" w:right="386" w:rightChars="184" w:hanging="720" w:hangingChars="300"/>
        <w:textAlignment w:val="auto"/>
        <w:rPr>
          <w:rFonts w:hint="eastAsia" w:ascii="仿宋" w:hAnsi="仿宋" w:eastAsia="仿宋" w:cs="仿宋"/>
          <w:spacing w:val="-8"/>
          <w:sz w:val="21"/>
          <w:szCs w:val="21"/>
          <w:lang w:eastAsia="zh-CN"/>
        </w:rPr>
      </w:pPr>
      <w:r>
        <w:rPr>
          <w:rFonts w:hint="eastAsia" w:ascii="仿宋" w:hAnsi="仿宋" w:eastAsia="仿宋" w:cs="仿宋"/>
          <w:sz w:val="24"/>
          <w:szCs w:val="24"/>
          <w:lang w:eastAsia="zh-CN"/>
        </w:rPr>
        <w:t>备</w:t>
      </w:r>
      <w:r>
        <w:rPr>
          <w:rFonts w:hint="eastAsia" w:ascii="仿宋" w:hAnsi="仿宋" w:eastAsia="仿宋" w:cs="仿宋"/>
          <w:sz w:val="21"/>
          <w:szCs w:val="21"/>
          <w:lang w:eastAsia="zh-CN"/>
        </w:rPr>
        <w:t>注：</w:t>
      </w:r>
      <w:r>
        <w:rPr>
          <w:rFonts w:hint="eastAsia" w:ascii="仿宋" w:hAnsi="仿宋" w:eastAsia="仿宋" w:cs="仿宋"/>
          <w:sz w:val="21"/>
          <w:szCs w:val="21"/>
          <w:lang w:val="en-US" w:eastAsia="zh-CN"/>
        </w:rPr>
        <w:t>1、</w:t>
      </w:r>
      <w:r>
        <w:rPr>
          <w:rFonts w:hint="eastAsia" w:ascii="仿宋" w:hAnsi="仿宋" w:eastAsia="仿宋" w:cs="仿宋"/>
          <w:spacing w:val="-8"/>
          <w:sz w:val="21"/>
          <w:szCs w:val="21"/>
        </w:rPr>
        <w:t>中小企业参加政府采购活动，应当按照</w:t>
      </w:r>
      <w:r>
        <w:rPr>
          <w:rFonts w:hint="eastAsia" w:ascii="仿宋" w:hAnsi="仿宋" w:eastAsia="仿宋" w:cs="仿宋"/>
          <w:spacing w:val="-8"/>
          <w:sz w:val="21"/>
          <w:szCs w:val="21"/>
          <w:lang w:eastAsia="zh-CN"/>
        </w:rPr>
        <w:t>《政府采购促进中小企业发展管理办法》（财库〔2020〕46号）</w:t>
      </w:r>
      <w:r>
        <w:rPr>
          <w:rFonts w:hint="eastAsia" w:ascii="仿宋" w:hAnsi="仿宋" w:eastAsia="仿宋" w:cs="仿宋"/>
          <w:spacing w:val="-8"/>
          <w:sz w:val="21"/>
          <w:szCs w:val="21"/>
        </w:rPr>
        <w:t>规定和《中小企业划型标准规定》（工信部联企业〔2011〕300号），如实填写并</w:t>
      </w:r>
      <w:r>
        <w:rPr>
          <w:rFonts w:hint="eastAsia" w:ascii="仿宋" w:hAnsi="仿宋" w:eastAsia="仿宋" w:cs="仿宋"/>
          <w:spacing w:val="-8"/>
          <w:sz w:val="21"/>
          <w:szCs w:val="21"/>
          <w:lang w:eastAsia="zh-CN"/>
        </w:rPr>
        <w:t>提交本</w:t>
      </w:r>
      <w:r>
        <w:rPr>
          <w:rFonts w:hint="eastAsia" w:ascii="仿宋" w:hAnsi="仿宋" w:eastAsia="仿宋" w:cs="仿宋"/>
          <w:spacing w:val="-8"/>
          <w:sz w:val="21"/>
          <w:szCs w:val="21"/>
        </w:rPr>
        <w:t>《中小企业声明函》</w:t>
      </w:r>
      <w:r>
        <w:rPr>
          <w:rFonts w:hint="eastAsia" w:ascii="仿宋" w:hAnsi="仿宋" w:eastAsia="仿宋" w:cs="仿宋"/>
          <w:spacing w:val="-8"/>
          <w:sz w:val="21"/>
          <w:szCs w:val="21"/>
          <w:lang w:eastAsia="zh-CN"/>
        </w:rPr>
        <w:t>。</w:t>
      </w:r>
    </w:p>
    <w:p>
      <w:pPr>
        <w:pStyle w:val="114"/>
        <w:pageBreakBefore w:val="0"/>
        <w:kinsoku/>
        <w:wordWrap/>
        <w:overflowPunct/>
        <w:topLinePunct w:val="0"/>
        <w:autoSpaceDE/>
        <w:autoSpaceDN/>
        <w:bidi w:val="0"/>
        <w:adjustRightInd/>
        <w:snapToGrid/>
        <w:spacing w:line="360" w:lineRule="auto"/>
        <w:ind w:left="615" w:leftChars="293" w:right="386" w:rightChars="184" w:firstLine="19" w:firstLineChars="10"/>
        <w:textAlignment w:val="auto"/>
        <w:rPr>
          <w:rFonts w:hint="eastAsia" w:ascii="仿宋" w:hAnsi="仿宋" w:eastAsia="仿宋" w:cs="仿宋"/>
          <w:sz w:val="21"/>
          <w:szCs w:val="21"/>
          <w:lang w:val="en-US" w:eastAsia="zh-CN"/>
        </w:rPr>
      </w:pPr>
      <w:r>
        <w:rPr>
          <w:rFonts w:hint="eastAsia" w:ascii="仿宋" w:hAnsi="仿宋" w:eastAsia="仿宋" w:cs="仿宋"/>
          <w:spacing w:val="-8"/>
          <w:sz w:val="21"/>
          <w:szCs w:val="21"/>
          <w:lang w:val="en-US" w:eastAsia="zh-CN"/>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100" w:beforeAutospacing="0" w:after="156" w:afterLines="50" w:line="360" w:lineRule="auto"/>
        <w:textAlignment w:val="auto"/>
        <w:outlineLvl w:val="2"/>
        <w:rPr>
          <w:rFonts w:hint="eastAsia" w:ascii="仿宋" w:hAnsi="仿宋" w:eastAsia="仿宋" w:cs="仿宋"/>
          <w:b/>
          <w:bCs/>
          <w:spacing w:val="6"/>
          <w:sz w:val="30"/>
          <w:szCs w:val="30"/>
        </w:rPr>
      </w:pPr>
      <w:r>
        <w:rPr>
          <w:rFonts w:hint="eastAsia" w:ascii="仿宋" w:hAnsi="仿宋" w:eastAsia="仿宋" w:cs="仿宋"/>
          <w:b/>
          <w:bCs/>
          <w:spacing w:val="6"/>
          <w:sz w:val="30"/>
          <w:szCs w:val="30"/>
        </w:rPr>
        <w:t>附件</w:t>
      </w:r>
      <w:r>
        <w:rPr>
          <w:rFonts w:hint="eastAsia" w:ascii="仿宋" w:hAnsi="仿宋" w:eastAsia="仿宋" w:cs="仿宋"/>
          <w:b/>
          <w:bCs/>
          <w:spacing w:val="6"/>
          <w:sz w:val="30"/>
          <w:szCs w:val="30"/>
          <w:lang w:val="en-US" w:eastAsia="zh-CN"/>
        </w:rPr>
        <w:t>2</w:t>
      </w:r>
      <w:r>
        <w:rPr>
          <w:rFonts w:hint="eastAsia" w:ascii="仿宋" w:hAnsi="仿宋" w:eastAsia="仿宋" w:cs="仿宋"/>
          <w:b/>
          <w:bCs/>
          <w:spacing w:val="6"/>
          <w:sz w:val="30"/>
          <w:szCs w:val="30"/>
        </w:rPr>
        <w:t>：</w:t>
      </w:r>
    </w:p>
    <w:p>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2"/>
        <w:rPr>
          <w:rFonts w:hint="eastAsia" w:ascii="仿宋" w:hAnsi="仿宋" w:eastAsia="仿宋" w:cs="仿宋"/>
          <w:b/>
          <w:spacing w:val="6"/>
          <w:sz w:val="32"/>
          <w:szCs w:val="32"/>
        </w:rPr>
      </w:pPr>
      <w:bookmarkStart w:id="270" w:name="OLE_LINK13"/>
      <w:bookmarkStart w:id="271" w:name="OLE_LINK14"/>
      <w:r>
        <w:rPr>
          <w:rFonts w:hint="eastAsia" w:ascii="仿宋" w:hAnsi="仿宋" w:eastAsia="仿宋" w:cs="仿宋"/>
          <w:b/>
          <w:spacing w:val="6"/>
          <w:sz w:val="32"/>
          <w:szCs w:val="32"/>
        </w:rPr>
        <w:t>残疾人福利性单位声明函</w:t>
      </w:r>
    </w:p>
    <w:bookmarkEnd w:id="270"/>
    <w:bookmarkEnd w:id="271"/>
    <w:p>
      <w:pPr>
        <w:spacing w:line="588" w:lineRule="exact"/>
        <w:rPr>
          <w:rFonts w:hint="eastAsia" w:ascii="仿宋" w:hAnsi="仿宋" w:eastAsia="仿宋" w:cs="仿宋"/>
          <w:b/>
          <w:spacing w:val="6"/>
          <w:sz w:val="30"/>
          <w:szCs w:val="30"/>
        </w:rPr>
      </w:pP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spacing w:line="588" w:lineRule="exact"/>
        <w:ind w:firstLine="504" w:firstLineChars="200"/>
        <w:rPr>
          <w:rFonts w:hint="eastAsia" w:ascii="仿宋" w:hAnsi="仿宋" w:eastAsia="仿宋" w:cs="仿宋"/>
          <w:spacing w:val="6"/>
          <w:sz w:val="24"/>
          <w:szCs w:val="24"/>
        </w:rPr>
      </w:pP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日    期：</w:t>
      </w:r>
    </w:p>
    <w:p>
      <w:pPr>
        <w:tabs>
          <w:tab w:val="left" w:pos="1620"/>
          <w:tab w:val="left" w:pos="1800"/>
        </w:tabs>
        <w:spacing w:line="440" w:lineRule="exact"/>
        <w:ind w:right="540" w:rightChars="257"/>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360" w:lineRule="auto"/>
        <w:ind w:right="640"/>
        <w:rPr>
          <w:rFonts w:hint="eastAsia" w:ascii="仿宋" w:hAnsi="仿宋" w:eastAsia="仿宋" w:cs="仿宋"/>
          <w:sz w:val="24"/>
          <w:szCs w:val="24"/>
        </w:rPr>
      </w:pPr>
    </w:p>
    <w:p>
      <w:pPr>
        <w:spacing w:line="550" w:lineRule="exact"/>
        <w:ind w:right="640"/>
        <w:rPr>
          <w:rFonts w:hint="eastAsia" w:ascii="仿宋" w:hAnsi="仿宋" w:eastAsia="仿宋" w:cs="仿宋"/>
          <w:sz w:val="24"/>
          <w:szCs w:val="24"/>
        </w:rPr>
      </w:pPr>
    </w:p>
    <w:bookmarkEnd w:id="175"/>
    <w:bookmarkEnd w:id="176"/>
    <w:bookmarkEnd w:id="177"/>
    <w:p>
      <w:pPr>
        <w:rPr>
          <w:rFonts w:hint="eastAsia" w:ascii="仿宋" w:hAnsi="仿宋" w:eastAsia="仿宋" w:cs="仿宋"/>
          <w:sz w:val="24"/>
          <w:szCs w:val="24"/>
        </w:rPr>
      </w:pPr>
    </w:p>
    <w:p>
      <w:pPr>
        <w:pStyle w:val="14"/>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备注：</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符合条件的残疾人福利性单位在参加政府采购活动时，应当提供《残疾人福利性单位声明函》，并对声明的真实性负责；非残疾人福利性单位无需提供。</w:t>
      </w:r>
    </w:p>
    <w:p>
      <w:pPr>
        <w:rPr>
          <w:rFonts w:hint="eastAsia" w:ascii="仿宋" w:hAnsi="仿宋" w:eastAsia="仿宋" w:cs="仿宋"/>
          <w:sz w:val="24"/>
          <w:szCs w:val="24"/>
        </w:rPr>
      </w:pPr>
    </w:p>
    <w:p>
      <w:pPr>
        <w:pStyle w:val="14"/>
        <w:rPr>
          <w:rFonts w:hint="eastAsia" w:ascii="仿宋" w:hAnsi="仿宋" w:eastAsia="仿宋" w:cs="仿宋"/>
          <w:sz w:val="24"/>
          <w:szCs w:val="24"/>
        </w:rPr>
      </w:pPr>
    </w:p>
    <w:p>
      <w:pPr>
        <w:rPr>
          <w:rFonts w:hint="eastAsia" w:ascii="仿宋" w:hAnsi="仿宋" w:eastAsia="仿宋" w:cs="仿宋"/>
          <w:sz w:val="24"/>
          <w:szCs w:val="24"/>
        </w:rPr>
      </w:pPr>
    </w:p>
    <w:p>
      <w:pPr>
        <w:pStyle w:val="14"/>
        <w:rPr>
          <w:rFonts w:hint="eastAsia" w:ascii="仿宋" w:hAnsi="仿宋" w:eastAsia="仿宋" w:cs="仿宋"/>
          <w:sz w:val="24"/>
          <w:szCs w:val="24"/>
        </w:rPr>
      </w:pPr>
    </w:p>
    <w:p>
      <w:pPr>
        <w:pStyle w:val="14"/>
        <w:keepNext w:val="0"/>
        <w:keepLines w:val="0"/>
        <w:pageBreakBefore w:val="0"/>
        <w:widowControl w:val="0"/>
        <w:kinsoku/>
        <w:wordWrap/>
        <w:overflowPunct/>
        <w:topLinePunct w:val="0"/>
        <w:autoSpaceDE/>
        <w:autoSpaceDN/>
        <w:bidi w:val="0"/>
        <w:adjustRightInd/>
        <w:snapToGrid/>
        <w:jc w:val="left"/>
        <w:textAlignment w:val="auto"/>
        <w:outlineLvl w:val="2"/>
        <w:rPr>
          <w:rFonts w:hint="eastAsia" w:ascii="仿宋" w:hAnsi="仿宋" w:eastAsia="仿宋" w:cs="仿宋"/>
          <w:b/>
          <w:bCs/>
          <w:spacing w:val="6"/>
          <w:sz w:val="30"/>
          <w:szCs w:val="30"/>
          <w:lang w:val="en-US" w:eastAsia="zh-CN"/>
        </w:rPr>
      </w:pPr>
      <w:r>
        <w:rPr>
          <w:rFonts w:hint="eastAsia" w:ascii="仿宋" w:hAnsi="仿宋" w:eastAsia="仿宋" w:cs="仿宋"/>
          <w:b/>
          <w:bCs/>
          <w:spacing w:val="6"/>
          <w:kern w:val="0"/>
          <w:sz w:val="30"/>
          <w:szCs w:val="30"/>
          <w:lang w:val="en-US" w:eastAsia="zh-CN" w:bidi="ar-SA"/>
        </w:rPr>
        <w:t>附件3</w:t>
      </w:r>
    </w:p>
    <w:p>
      <w:pPr>
        <w:pStyle w:val="14"/>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监狱企业证明文件</w:t>
      </w:r>
    </w:p>
    <w:p>
      <w:pPr>
        <w:spacing w:line="500" w:lineRule="exact"/>
        <w:ind w:firstLine="420" w:firstLineChars="200"/>
        <w:jc w:val="left"/>
        <w:rPr>
          <w:rFonts w:hint="eastAsia"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22" w:firstLineChars="200"/>
        <w:jc w:val="left"/>
        <w:rPr>
          <w:rFonts w:hint="eastAsia" w:ascii="仿宋" w:hAnsi="仿宋" w:eastAsia="仿宋" w:cs="仿宋"/>
          <w:b/>
          <w:bCs/>
        </w:rPr>
      </w:pPr>
      <w:r>
        <w:rPr>
          <w:rFonts w:hint="eastAsia" w:ascii="仿宋" w:hAnsi="仿宋" w:eastAsia="仿宋" w:cs="仿宋"/>
          <w:b/>
          <w:bCs/>
        </w:rPr>
        <w:t>监狱企业参加政府采购活动时，应当提供由省级以上监狱管理局、戒毒管理局（含新疆生产建设兵团）出具的属于监狱企业的证明文件</w:t>
      </w:r>
      <w:r>
        <w:rPr>
          <w:rFonts w:hint="eastAsia" w:ascii="仿宋" w:hAnsi="仿宋" w:eastAsia="仿宋" w:cs="仿宋"/>
          <w:b/>
          <w:bCs/>
          <w:lang w:eastAsia="zh-CN"/>
        </w:rPr>
        <w:t>，非监狱企业无需提供</w:t>
      </w:r>
      <w:r>
        <w:rPr>
          <w:rFonts w:hint="eastAsia" w:ascii="仿宋" w:hAnsi="仿宋" w:eastAsia="仿宋" w:cs="仿宋"/>
          <w:b/>
          <w:bCs/>
        </w:rPr>
        <w:t>。</w:t>
      </w:r>
    </w:p>
    <w:p>
      <w:pPr>
        <w:spacing w:line="500" w:lineRule="exact"/>
        <w:ind w:firstLine="420" w:firstLineChars="200"/>
        <w:jc w:val="left"/>
        <w:rPr>
          <w:rFonts w:hint="eastAsia" w:ascii="仿宋" w:hAnsi="仿宋" w:eastAsia="仿宋" w:cs="仿宋"/>
        </w:rPr>
      </w:pPr>
      <w:r>
        <w:rPr>
          <w:rFonts w:hint="eastAsia" w:ascii="仿宋" w:hAnsi="仿宋" w:eastAsia="仿宋" w:cs="仿宋"/>
        </w:rPr>
        <w:t>。</w:t>
      </w:r>
    </w:p>
    <w:p>
      <w:pPr>
        <w:pStyle w:val="14"/>
        <w:rPr>
          <w:rFonts w:hint="eastAsia" w:ascii="仿宋" w:hAnsi="仿宋" w:eastAsia="仿宋" w:cs="仿宋"/>
        </w:rPr>
      </w:pPr>
    </w:p>
    <w:sectPr>
      <w:pgSz w:w="11906" w:h="16838"/>
      <w:pgMar w:top="1417" w:right="1417"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rPr>
        <w:rFonts w:hint="eastAsia" w:ascii="仿宋" w:hAnsi="仿宋" w:eastAsia="仿宋" w:cs="仿宋"/>
        <w:lang w:val="en-US" w:eastAsia="zh-CN"/>
      </w:rPr>
    </w:pP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rPr>
        <w:rFonts w:hint="eastAsia" w:ascii="仿宋" w:hAnsi="仿宋" w:eastAsia="仿宋" w:cs="仿宋"/>
        <w:lang w:val="en-US" w:eastAsia="zh-CN"/>
      </w:rPr>
    </w:pP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 w:hAnsi="仿宋" w:eastAsia="仿宋" w:cs="仿宋"/>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lang w:eastAsia="zh-CN"/>
      </w:rPr>
      <w:t>华夏国际项目管理有限公司</w:t>
    </w:r>
    <w:r>
      <w:rPr>
        <w:rFonts w:hint="eastAsia" w:ascii="仿宋" w:hAnsi="仿宋" w:eastAsia="仿宋" w:cs="仿宋"/>
        <w:lang w:val="en-US" w:eastAsia="zh-CN"/>
      </w:rPr>
      <w:t xml:space="preserve">                             </w:t>
    </w:r>
    <w:r>
      <w:rPr>
        <w:rFonts w:hint="eastAsia" w:ascii="仿宋" w:hAnsi="仿宋" w:eastAsia="仿宋" w:cs="仿宋"/>
        <w:sz w:val="18"/>
        <w:szCs w:val="18"/>
        <w:lang w:eastAsia="zh-CN"/>
      </w:rPr>
      <w:tab/>
    </w:r>
    <w:r>
      <w:rPr>
        <w:rFonts w:hint="eastAsia" w:ascii="仿宋" w:hAnsi="仿宋" w:eastAsia="仿宋" w:cs="仿宋"/>
        <w:sz w:val="18"/>
        <w:szCs w:val="18"/>
        <w:lang w:eastAsia="zh-CN"/>
      </w:rPr>
      <w:t>地址：西安市高新区科技五路8号数字大厦11楼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5251"/>
        <w:tab w:val="clear" w:pos="4153"/>
      </w:tabs>
      <w:jc w:val="both"/>
      <w:rPr>
        <w:rFonts w:hint="eastAsia"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251"/>
        <w:tab w:val="clear" w:pos="4153"/>
      </w:tabs>
      <w:jc w:val="both"/>
      <w:rPr>
        <w:rFonts w:hint="eastAsia" w:ascii="仿宋" w:hAnsi="仿宋" w:eastAsia="仿宋" w:cs="仿宋"/>
      </w:rPr>
    </w:pPr>
    <w:r>
      <w:rPr>
        <w:rFonts w:hint="eastAsia" w:ascii="仿宋" w:hAnsi="仿宋" w:eastAsia="仿宋" w:cs="仿宋"/>
        <w:lang w:eastAsia="zh-CN"/>
      </w:rPr>
      <w:t>蓝田县“安村设施蔬菜产业园”项目</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B9A1F9B7"/>
    <w:multiLevelType w:val="singleLevel"/>
    <w:tmpl w:val="B9A1F9B7"/>
    <w:lvl w:ilvl="0" w:tentative="0">
      <w:start w:val="6"/>
      <w:numFmt w:val="chineseCounting"/>
      <w:suff w:val="nothing"/>
      <w:lvlText w:val="%1、"/>
      <w:lvlJc w:val="left"/>
      <w:rPr>
        <w:rFonts w:hint="eastAsia"/>
      </w:rPr>
    </w:lvl>
  </w:abstractNum>
  <w:abstractNum w:abstractNumId="2">
    <w:nsid w:val="E000030F"/>
    <w:multiLevelType w:val="singleLevel"/>
    <w:tmpl w:val="E000030F"/>
    <w:lvl w:ilvl="0" w:tentative="0">
      <w:start w:val="1"/>
      <w:numFmt w:val="decimal"/>
      <w:lvlText w:val="(%1)"/>
      <w:lvlJc w:val="left"/>
      <w:pPr>
        <w:tabs>
          <w:tab w:val="left" w:pos="420"/>
        </w:tabs>
        <w:ind w:left="0" w:leftChars="0" w:firstLine="0" w:firstLineChars="0"/>
      </w:pPr>
      <w:rPr>
        <w:rFonts w:hint="default"/>
      </w:rPr>
    </w:lvl>
  </w:abstractNum>
  <w:abstractNum w:abstractNumId="3">
    <w:nsid w:val="E7FC1343"/>
    <w:multiLevelType w:val="singleLevel"/>
    <w:tmpl w:val="E7FC1343"/>
    <w:lvl w:ilvl="0" w:tentative="0">
      <w:start w:val="1"/>
      <w:numFmt w:val="decimal"/>
      <w:suff w:val="nothing"/>
      <w:lvlText w:val="（%1）"/>
      <w:lvlJc w:val="left"/>
    </w:lvl>
  </w:abstractNum>
  <w:abstractNum w:abstractNumId="4">
    <w:nsid w:val="E94BFE82"/>
    <w:multiLevelType w:val="singleLevel"/>
    <w:tmpl w:val="E94BFE82"/>
    <w:lvl w:ilvl="0" w:tentative="0">
      <w:start w:val="4"/>
      <w:numFmt w:val="decimal"/>
      <w:suff w:val="nothing"/>
      <w:lvlText w:val="（%1）"/>
      <w:lvlJc w:val="left"/>
    </w:lvl>
  </w:abstractNum>
  <w:abstractNum w:abstractNumId="5">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6">
    <w:nsid w:val="0A3ED1F8"/>
    <w:multiLevelType w:val="singleLevel"/>
    <w:tmpl w:val="0A3ED1F8"/>
    <w:lvl w:ilvl="0" w:tentative="0">
      <w:start w:val="1"/>
      <w:numFmt w:val="decimal"/>
      <w:suff w:val="nothing"/>
      <w:lvlText w:val="（%1）"/>
      <w:lvlJc w:val="left"/>
    </w:lvl>
  </w:abstractNum>
  <w:abstractNum w:abstractNumId="7">
    <w:nsid w:val="1C0BC805"/>
    <w:multiLevelType w:val="singleLevel"/>
    <w:tmpl w:val="1C0BC805"/>
    <w:lvl w:ilvl="0" w:tentative="0">
      <w:start w:val="1"/>
      <w:numFmt w:val="decimal"/>
      <w:lvlText w:val="(%1)"/>
      <w:lvlJc w:val="left"/>
      <w:pPr>
        <w:tabs>
          <w:tab w:val="left" w:pos="420"/>
        </w:tabs>
        <w:ind w:left="0" w:leftChars="0" w:firstLine="0" w:firstLineChars="0"/>
      </w:pPr>
      <w:rPr>
        <w:rFonts w:hint="default"/>
      </w:rPr>
    </w:lvl>
  </w:abstractNum>
  <w:abstractNum w:abstractNumId="8">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10">
    <w:nsid w:val="2E2861B5"/>
    <w:multiLevelType w:val="multilevel"/>
    <w:tmpl w:val="2E2861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876073"/>
    <w:multiLevelType w:val="singleLevel"/>
    <w:tmpl w:val="3D876073"/>
    <w:lvl w:ilvl="0" w:tentative="0">
      <w:start w:val="11"/>
      <w:numFmt w:val="decimal"/>
      <w:suff w:val="nothing"/>
      <w:lvlText w:val="%1．"/>
      <w:lvlJc w:val="left"/>
    </w:lvl>
  </w:abstractNum>
  <w:abstractNum w:abstractNumId="12">
    <w:nsid w:val="3E44EB76"/>
    <w:multiLevelType w:val="singleLevel"/>
    <w:tmpl w:val="3E44EB76"/>
    <w:lvl w:ilvl="0" w:tentative="0">
      <w:start w:val="1"/>
      <w:numFmt w:val="chineseCounting"/>
      <w:suff w:val="nothing"/>
      <w:lvlText w:val="%1、"/>
      <w:lvlJc w:val="left"/>
      <w:rPr>
        <w:rFonts w:hint="eastAsia"/>
      </w:rPr>
    </w:lvl>
  </w:abstractNum>
  <w:abstractNum w:abstractNumId="13">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4">
    <w:nsid w:val="4ED52DEF"/>
    <w:multiLevelType w:val="singleLevel"/>
    <w:tmpl w:val="4ED52DEF"/>
    <w:lvl w:ilvl="0" w:tentative="0">
      <w:start w:val="1"/>
      <w:numFmt w:val="decimal"/>
      <w:lvlText w:val="(%1)"/>
      <w:lvlJc w:val="left"/>
      <w:pPr>
        <w:tabs>
          <w:tab w:val="left" w:pos="420"/>
        </w:tabs>
        <w:ind w:left="0" w:leftChars="0" w:firstLine="0" w:firstLineChars="0"/>
      </w:pPr>
      <w:rPr>
        <w:rFonts w:hint="default"/>
      </w:rPr>
    </w:lvl>
  </w:abstractNum>
  <w:abstractNum w:abstractNumId="15">
    <w:nsid w:val="5913EF14"/>
    <w:multiLevelType w:val="singleLevel"/>
    <w:tmpl w:val="5913EF14"/>
    <w:lvl w:ilvl="0" w:tentative="0">
      <w:start w:val="1"/>
      <w:numFmt w:val="chineseCounting"/>
      <w:suff w:val="nothing"/>
      <w:lvlText w:val="%1、"/>
      <w:lvlJc w:val="left"/>
    </w:lvl>
  </w:abstractNum>
  <w:abstractNum w:abstractNumId="16">
    <w:nsid w:val="5913EF5B"/>
    <w:multiLevelType w:val="singleLevel"/>
    <w:tmpl w:val="5913EF5B"/>
    <w:lvl w:ilvl="0" w:tentative="0">
      <w:start w:val="1"/>
      <w:numFmt w:val="chineseCounting"/>
      <w:suff w:val="nothing"/>
      <w:lvlText w:val="（%1）"/>
      <w:lvlJc w:val="left"/>
    </w:lvl>
  </w:abstractNum>
  <w:abstractNum w:abstractNumId="17">
    <w:nsid w:val="6E960A15"/>
    <w:multiLevelType w:val="singleLevel"/>
    <w:tmpl w:val="6E960A15"/>
    <w:lvl w:ilvl="0" w:tentative="0">
      <w:start w:val="8"/>
      <w:numFmt w:val="chineseCounting"/>
      <w:suff w:val="nothing"/>
      <w:lvlText w:val="%1、"/>
      <w:lvlJc w:val="left"/>
      <w:rPr>
        <w:rFonts w:hint="eastAsia"/>
      </w:rPr>
    </w:lvl>
  </w:abstractNum>
  <w:abstractNum w:abstractNumId="18">
    <w:nsid w:val="7ED0A0DE"/>
    <w:multiLevelType w:val="singleLevel"/>
    <w:tmpl w:val="7ED0A0DE"/>
    <w:lvl w:ilvl="0" w:tentative="0">
      <w:start w:val="1"/>
      <w:numFmt w:val="decimal"/>
      <w:suff w:val="nothing"/>
      <w:lvlText w:val="%1、"/>
      <w:lvlJc w:val="left"/>
    </w:lvl>
  </w:abstractNum>
  <w:num w:numId="1">
    <w:abstractNumId w:val="12"/>
  </w:num>
  <w:num w:numId="2">
    <w:abstractNumId w:val="1"/>
  </w:num>
  <w:num w:numId="3">
    <w:abstractNumId w:val="7"/>
  </w:num>
  <w:num w:numId="4">
    <w:abstractNumId w:val="14"/>
  </w:num>
  <w:num w:numId="5">
    <w:abstractNumId w:val="4"/>
  </w:num>
  <w:num w:numId="6">
    <w:abstractNumId w:val="11"/>
  </w:num>
  <w:num w:numId="7">
    <w:abstractNumId w:val="2"/>
  </w:num>
  <w:num w:numId="8">
    <w:abstractNumId w:val="8"/>
  </w:num>
  <w:num w:numId="9">
    <w:abstractNumId w:val="10"/>
  </w:num>
  <w:num w:numId="10">
    <w:abstractNumId w:val="6"/>
  </w:num>
  <w:num w:numId="11">
    <w:abstractNumId w:val="3"/>
  </w:num>
  <w:num w:numId="12">
    <w:abstractNumId w:val="0"/>
  </w:num>
  <w:num w:numId="13">
    <w:abstractNumId w:val="17"/>
  </w:num>
  <w:num w:numId="14">
    <w:abstractNumId w:val="15"/>
  </w:num>
  <w:num w:numId="15">
    <w:abstractNumId w:val="16"/>
  </w:num>
  <w:num w:numId="16">
    <w:abstractNumId w:val="9"/>
  </w:num>
  <w:num w:numId="17">
    <w:abstractNumId w:val="1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68AF"/>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63AB"/>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332"/>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2A1D4B"/>
    <w:rsid w:val="01382DB4"/>
    <w:rsid w:val="01457F6F"/>
    <w:rsid w:val="01747D1E"/>
    <w:rsid w:val="019D2E47"/>
    <w:rsid w:val="01B63198"/>
    <w:rsid w:val="01C43576"/>
    <w:rsid w:val="01C47CF3"/>
    <w:rsid w:val="01CF1907"/>
    <w:rsid w:val="01E4051A"/>
    <w:rsid w:val="01F178BE"/>
    <w:rsid w:val="022A1AA9"/>
    <w:rsid w:val="023006A7"/>
    <w:rsid w:val="0252665D"/>
    <w:rsid w:val="025F19CF"/>
    <w:rsid w:val="027E02F5"/>
    <w:rsid w:val="028376D4"/>
    <w:rsid w:val="028A13E5"/>
    <w:rsid w:val="02FF7A7B"/>
    <w:rsid w:val="035203D6"/>
    <w:rsid w:val="03610DE0"/>
    <w:rsid w:val="0361681B"/>
    <w:rsid w:val="03ED1CC0"/>
    <w:rsid w:val="03EE1902"/>
    <w:rsid w:val="04253FDA"/>
    <w:rsid w:val="0458071C"/>
    <w:rsid w:val="045C66B2"/>
    <w:rsid w:val="04641540"/>
    <w:rsid w:val="048A515F"/>
    <w:rsid w:val="0491498E"/>
    <w:rsid w:val="04A41675"/>
    <w:rsid w:val="04C4729C"/>
    <w:rsid w:val="04C837E3"/>
    <w:rsid w:val="04D253F8"/>
    <w:rsid w:val="05084354"/>
    <w:rsid w:val="0525422D"/>
    <w:rsid w:val="053B4857"/>
    <w:rsid w:val="05650543"/>
    <w:rsid w:val="056B1564"/>
    <w:rsid w:val="058B77B2"/>
    <w:rsid w:val="05A671DA"/>
    <w:rsid w:val="05B9261D"/>
    <w:rsid w:val="05D473BB"/>
    <w:rsid w:val="06176B56"/>
    <w:rsid w:val="0623601E"/>
    <w:rsid w:val="06597543"/>
    <w:rsid w:val="068C612B"/>
    <w:rsid w:val="06C33709"/>
    <w:rsid w:val="06D0743C"/>
    <w:rsid w:val="075E2523"/>
    <w:rsid w:val="077B5F48"/>
    <w:rsid w:val="07944BFB"/>
    <w:rsid w:val="079E63BC"/>
    <w:rsid w:val="07D26F91"/>
    <w:rsid w:val="07E439B3"/>
    <w:rsid w:val="081101EB"/>
    <w:rsid w:val="08377730"/>
    <w:rsid w:val="086C26E0"/>
    <w:rsid w:val="08822685"/>
    <w:rsid w:val="088C0A16"/>
    <w:rsid w:val="088E2F64"/>
    <w:rsid w:val="08C52D6F"/>
    <w:rsid w:val="08CE7D60"/>
    <w:rsid w:val="090A441A"/>
    <w:rsid w:val="09154278"/>
    <w:rsid w:val="0929584C"/>
    <w:rsid w:val="092E340E"/>
    <w:rsid w:val="093431FC"/>
    <w:rsid w:val="094E4EF9"/>
    <w:rsid w:val="0966617B"/>
    <w:rsid w:val="09AC0586"/>
    <w:rsid w:val="09DE12BD"/>
    <w:rsid w:val="09EF5D45"/>
    <w:rsid w:val="09F63589"/>
    <w:rsid w:val="0A4038E0"/>
    <w:rsid w:val="0A726387"/>
    <w:rsid w:val="0B243B52"/>
    <w:rsid w:val="0B591E2E"/>
    <w:rsid w:val="0B6049A4"/>
    <w:rsid w:val="0B982B1A"/>
    <w:rsid w:val="0BCC1C74"/>
    <w:rsid w:val="0BCD1763"/>
    <w:rsid w:val="0C1D75EE"/>
    <w:rsid w:val="0C293640"/>
    <w:rsid w:val="0C3D56C6"/>
    <w:rsid w:val="0C5F0057"/>
    <w:rsid w:val="0C641ED9"/>
    <w:rsid w:val="0C691C6B"/>
    <w:rsid w:val="0C8619B5"/>
    <w:rsid w:val="0CB50A66"/>
    <w:rsid w:val="0CC06DF7"/>
    <w:rsid w:val="0CC35518"/>
    <w:rsid w:val="0D8A250C"/>
    <w:rsid w:val="0DAF4501"/>
    <w:rsid w:val="0DEF62B6"/>
    <w:rsid w:val="0E3C75E8"/>
    <w:rsid w:val="0E5C591E"/>
    <w:rsid w:val="0E66157A"/>
    <w:rsid w:val="0E8419FF"/>
    <w:rsid w:val="0EB47E28"/>
    <w:rsid w:val="0EEA0A05"/>
    <w:rsid w:val="0EEE65D1"/>
    <w:rsid w:val="0F1152E7"/>
    <w:rsid w:val="0F4E27DE"/>
    <w:rsid w:val="0F6D575B"/>
    <w:rsid w:val="0F971E23"/>
    <w:rsid w:val="0FE02217"/>
    <w:rsid w:val="103A162C"/>
    <w:rsid w:val="105C346F"/>
    <w:rsid w:val="107431BA"/>
    <w:rsid w:val="109B03CC"/>
    <w:rsid w:val="109E452C"/>
    <w:rsid w:val="11127111"/>
    <w:rsid w:val="113D42B9"/>
    <w:rsid w:val="11515D18"/>
    <w:rsid w:val="11634A72"/>
    <w:rsid w:val="11645423"/>
    <w:rsid w:val="118B5AD6"/>
    <w:rsid w:val="11942369"/>
    <w:rsid w:val="12912E05"/>
    <w:rsid w:val="12A44024"/>
    <w:rsid w:val="12A97B84"/>
    <w:rsid w:val="12C03463"/>
    <w:rsid w:val="12FF1D3F"/>
    <w:rsid w:val="130A040F"/>
    <w:rsid w:val="13327318"/>
    <w:rsid w:val="13451321"/>
    <w:rsid w:val="134770B1"/>
    <w:rsid w:val="13887B1A"/>
    <w:rsid w:val="13AA413F"/>
    <w:rsid w:val="13D778B6"/>
    <w:rsid w:val="13E65301"/>
    <w:rsid w:val="140B4870"/>
    <w:rsid w:val="14162C01"/>
    <w:rsid w:val="141E411D"/>
    <w:rsid w:val="142D62D8"/>
    <w:rsid w:val="14417073"/>
    <w:rsid w:val="144615BF"/>
    <w:rsid w:val="14565413"/>
    <w:rsid w:val="14974E0A"/>
    <w:rsid w:val="14D56784"/>
    <w:rsid w:val="14E4621D"/>
    <w:rsid w:val="1508348E"/>
    <w:rsid w:val="150E2655"/>
    <w:rsid w:val="15203C88"/>
    <w:rsid w:val="15242DBE"/>
    <w:rsid w:val="1526273B"/>
    <w:rsid w:val="15317A6C"/>
    <w:rsid w:val="154842EA"/>
    <w:rsid w:val="15B21729"/>
    <w:rsid w:val="15EB4E7C"/>
    <w:rsid w:val="15F92FD8"/>
    <w:rsid w:val="1620557D"/>
    <w:rsid w:val="166655D3"/>
    <w:rsid w:val="167071E4"/>
    <w:rsid w:val="16733962"/>
    <w:rsid w:val="16757268"/>
    <w:rsid w:val="16AC5172"/>
    <w:rsid w:val="16FF19EA"/>
    <w:rsid w:val="172179B8"/>
    <w:rsid w:val="17DC4231"/>
    <w:rsid w:val="182944A3"/>
    <w:rsid w:val="1852743B"/>
    <w:rsid w:val="188B43D5"/>
    <w:rsid w:val="19024013"/>
    <w:rsid w:val="19414DFD"/>
    <w:rsid w:val="19420680"/>
    <w:rsid w:val="194C318E"/>
    <w:rsid w:val="195F115C"/>
    <w:rsid w:val="198A04EB"/>
    <w:rsid w:val="19AF5431"/>
    <w:rsid w:val="19CF3767"/>
    <w:rsid w:val="19E96131"/>
    <w:rsid w:val="19FC75E6"/>
    <w:rsid w:val="1A1041D0"/>
    <w:rsid w:val="1A247A97"/>
    <w:rsid w:val="1A3A7593"/>
    <w:rsid w:val="1A7C1301"/>
    <w:rsid w:val="1A985769"/>
    <w:rsid w:val="1A9C7638"/>
    <w:rsid w:val="1AA530AD"/>
    <w:rsid w:val="1ACC4497"/>
    <w:rsid w:val="1AFB58F2"/>
    <w:rsid w:val="1B2E3201"/>
    <w:rsid w:val="1B376301"/>
    <w:rsid w:val="1B380F38"/>
    <w:rsid w:val="1B6B6A0B"/>
    <w:rsid w:val="1B995899"/>
    <w:rsid w:val="1BDA585C"/>
    <w:rsid w:val="1C154F6E"/>
    <w:rsid w:val="1C197E29"/>
    <w:rsid w:val="1C4A49B2"/>
    <w:rsid w:val="1C4F6C7E"/>
    <w:rsid w:val="1C611926"/>
    <w:rsid w:val="1C625C9F"/>
    <w:rsid w:val="1C912F6B"/>
    <w:rsid w:val="1CD30C0D"/>
    <w:rsid w:val="1D047EAE"/>
    <w:rsid w:val="1D6E70D6"/>
    <w:rsid w:val="1D7A568E"/>
    <w:rsid w:val="1DB3788D"/>
    <w:rsid w:val="1DB530CD"/>
    <w:rsid w:val="1DC23799"/>
    <w:rsid w:val="1DC24C84"/>
    <w:rsid w:val="1E2101FE"/>
    <w:rsid w:val="1E3B28B6"/>
    <w:rsid w:val="1E5E66D2"/>
    <w:rsid w:val="1E9130C5"/>
    <w:rsid w:val="1EA416D1"/>
    <w:rsid w:val="1EE61241"/>
    <w:rsid w:val="1F010A0B"/>
    <w:rsid w:val="1F06691B"/>
    <w:rsid w:val="1F1C0F96"/>
    <w:rsid w:val="1F1F7A4B"/>
    <w:rsid w:val="1F271CAA"/>
    <w:rsid w:val="1F3C63CC"/>
    <w:rsid w:val="1F602E2D"/>
    <w:rsid w:val="1F895B24"/>
    <w:rsid w:val="1F8A0ACB"/>
    <w:rsid w:val="1FCD7EB9"/>
    <w:rsid w:val="200A5B20"/>
    <w:rsid w:val="20163B31"/>
    <w:rsid w:val="20201EC2"/>
    <w:rsid w:val="204C14F0"/>
    <w:rsid w:val="20585C30"/>
    <w:rsid w:val="207A3E5E"/>
    <w:rsid w:val="20E91E42"/>
    <w:rsid w:val="215C795C"/>
    <w:rsid w:val="219463BD"/>
    <w:rsid w:val="21C76D7B"/>
    <w:rsid w:val="21E736FC"/>
    <w:rsid w:val="221E3F06"/>
    <w:rsid w:val="225F7D91"/>
    <w:rsid w:val="22645564"/>
    <w:rsid w:val="229628CB"/>
    <w:rsid w:val="22CC223E"/>
    <w:rsid w:val="22D20532"/>
    <w:rsid w:val="22D66F38"/>
    <w:rsid w:val="22DC346F"/>
    <w:rsid w:val="230B04B3"/>
    <w:rsid w:val="2364201F"/>
    <w:rsid w:val="23A52A88"/>
    <w:rsid w:val="23B0469D"/>
    <w:rsid w:val="23C1773C"/>
    <w:rsid w:val="24470995"/>
    <w:rsid w:val="24482291"/>
    <w:rsid w:val="25013D92"/>
    <w:rsid w:val="258E2D61"/>
    <w:rsid w:val="25BF6788"/>
    <w:rsid w:val="260F5480"/>
    <w:rsid w:val="26414BCF"/>
    <w:rsid w:val="268D1C16"/>
    <w:rsid w:val="269D1C78"/>
    <w:rsid w:val="26A06F6E"/>
    <w:rsid w:val="26B639D7"/>
    <w:rsid w:val="26CC2619"/>
    <w:rsid w:val="26DE0FD1"/>
    <w:rsid w:val="26E31B2E"/>
    <w:rsid w:val="26EE1790"/>
    <w:rsid w:val="26FE21D3"/>
    <w:rsid w:val="272E1546"/>
    <w:rsid w:val="2781405D"/>
    <w:rsid w:val="28010842"/>
    <w:rsid w:val="280B3FC1"/>
    <w:rsid w:val="285E3505"/>
    <w:rsid w:val="287149A1"/>
    <w:rsid w:val="28AF344A"/>
    <w:rsid w:val="28B14910"/>
    <w:rsid w:val="28DC6898"/>
    <w:rsid w:val="29651877"/>
    <w:rsid w:val="296A7081"/>
    <w:rsid w:val="29854031"/>
    <w:rsid w:val="29880BEA"/>
    <w:rsid w:val="298B6CA9"/>
    <w:rsid w:val="29980F12"/>
    <w:rsid w:val="29F91A02"/>
    <w:rsid w:val="2A1A4572"/>
    <w:rsid w:val="2A230DAE"/>
    <w:rsid w:val="2A3B04C1"/>
    <w:rsid w:val="2A423861"/>
    <w:rsid w:val="2AB22C1B"/>
    <w:rsid w:val="2AC5168D"/>
    <w:rsid w:val="2AEA3A1A"/>
    <w:rsid w:val="2B1440A7"/>
    <w:rsid w:val="2B267866"/>
    <w:rsid w:val="2B320F6B"/>
    <w:rsid w:val="2B3C72FC"/>
    <w:rsid w:val="2B4E725B"/>
    <w:rsid w:val="2BA61C9D"/>
    <w:rsid w:val="2C25678C"/>
    <w:rsid w:val="2C623061"/>
    <w:rsid w:val="2CBB07AB"/>
    <w:rsid w:val="2CEF21C5"/>
    <w:rsid w:val="2D452F54"/>
    <w:rsid w:val="2D5A676F"/>
    <w:rsid w:val="2D5C36BA"/>
    <w:rsid w:val="2D6F1F0F"/>
    <w:rsid w:val="2DBD6096"/>
    <w:rsid w:val="2DC77CAA"/>
    <w:rsid w:val="2E257A8C"/>
    <w:rsid w:val="2EC36149"/>
    <w:rsid w:val="2ECC1AD7"/>
    <w:rsid w:val="2F0D2540"/>
    <w:rsid w:val="2F386C07"/>
    <w:rsid w:val="2F7552B2"/>
    <w:rsid w:val="2FCE0F61"/>
    <w:rsid w:val="2FD62A87"/>
    <w:rsid w:val="304D1C49"/>
    <w:rsid w:val="305D6C29"/>
    <w:rsid w:val="30771B9B"/>
    <w:rsid w:val="307D149D"/>
    <w:rsid w:val="30C10EB6"/>
    <w:rsid w:val="30D7336F"/>
    <w:rsid w:val="30E531BD"/>
    <w:rsid w:val="30EB624E"/>
    <w:rsid w:val="311D09DC"/>
    <w:rsid w:val="312F5E08"/>
    <w:rsid w:val="3157337F"/>
    <w:rsid w:val="318254C8"/>
    <w:rsid w:val="318A5CEF"/>
    <w:rsid w:val="319A5D04"/>
    <w:rsid w:val="31B44F8F"/>
    <w:rsid w:val="31F9640B"/>
    <w:rsid w:val="3204001F"/>
    <w:rsid w:val="32242AD2"/>
    <w:rsid w:val="322A3DF1"/>
    <w:rsid w:val="328234D4"/>
    <w:rsid w:val="328E1B6C"/>
    <w:rsid w:val="32C91C94"/>
    <w:rsid w:val="32ED5142"/>
    <w:rsid w:val="32F66563"/>
    <w:rsid w:val="32F93DAF"/>
    <w:rsid w:val="330672EA"/>
    <w:rsid w:val="333F0CA1"/>
    <w:rsid w:val="336921DA"/>
    <w:rsid w:val="33C92B36"/>
    <w:rsid w:val="33CE41B8"/>
    <w:rsid w:val="33D72119"/>
    <w:rsid w:val="33F73CD2"/>
    <w:rsid w:val="342324BA"/>
    <w:rsid w:val="34270272"/>
    <w:rsid w:val="344779A5"/>
    <w:rsid w:val="34933B51"/>
    <w:rsid w:val="34A90CC0"/>
    <w:rsid w:val="34F27A73"/>
    <w:rsid w:val="35216666"/>
    <w:rsid w:val="353F7ACA"/>
    <w:rsid w:val="35610FCE"/>
    <w:rsid w:val="358E1AEB"/>
    <w:rsid w:val="35A03CE6"/>
    <w:rsid w:val="35B80C45"/>
    <w:rsid w:val="35C032BE"/>
    <w:rsid w:val="35D579E0"/>
    <w:rsid w:val="35E84964"/>
    <w:rsid w:val="366D46DB"/>
    <w:rsid w:val="36820DFD"/>
    <w:rsid w:val="368D718F"/>
    <w:rsid w:val="36CB087B"/>
    <w:rsid w:val="36DB4D0F"/>
    <w:rsid w:val="371812F1"/>
    <w:rsid w:val="374D0B1B"/>
    <w:rsid w:val="375201D1"/>
    <w:rsid w:val="37910FBB"/>
    <w:rsid w:val="37BD5302"/>
    <w:rsid w:val="3810198E"/>
    <w:rsid w:val="384A2968"/>
    <w:rsid w:val="385641FC"/>
    <w:rsid w:val="385D6C32"/>
    <w:rsid w:val="386B671F"/>
    <w:rsid w:val="38997FF4"/>
    <w:rsid w:val="389D2BD1"/>
    <w:rsid w:val="38EE3475"/>
    <w:rsid w:val="38FD41B0"/>
    <w:rsid w:val="390A7481"/>
    <w:rsid w:val="392169C0"/>
    <w:rsid w:val="393F0C84"/>
    <w:rsid w:val="39BB7346"/>
    <w:rsid w:val="39BD488A"/>
    <w:rsid w:val="39D20B92"/>
    <w:rsid w:val="39EB029D"/>
    <w:rsid w:val="39FC7DAF"/>
    <w:rsid w:val="39FD3633"/>
    <w:rsid w:val="3A0B4374"/>
    <w:rsid w:val="3A29797A"/>
    <w:rsid w:val="3A70021B"/>
    <w:rsid w:val="3A73272E"/>
    <w:rsid w:val="3ACB7183"/>
    <w:rsid w:val="3AEE2E06"/>
    <w:rsid w:val="3AF634CD"/>
    <w:rsid w:val="3B191137"/>
    <w:rsid w:val="3B6405FB"/>
    <w:rsid w:val="3C1C362D"/>
    <w:rsid w:val="3C26613B"/>
    <w:rsid w:val="3C94676F"/>
    <w:rsid w:val="3CA96714"/>
    <w:rsid w:val="3CC66044"/>
    <w:rsid w:val="3CE974FE"/>
    <w:rsid w:val="3D264530"/>
    <w:rsid w:val="3D327577"/>
    <w:rsid w:val="3D393E77"/>
    <w:rsid w:val="3D493E51"/>
    <w:rsid w:val="3D61263F"/>
    <w:rsid w:val="3D8C258A"/>
    <w:rsid w:val="3DBE36DC"/>
    <w:rsid w:val="3DEC58B0"/>
    <w:rsid w:val="3DF95BCC"/>
    <w:rsid w:val="3DFA2BBE"/>
    <w:rsid w:val="3DFE50A4"/>
    <w:rsid w:val="3E0F3A5D"/>
    <w:rsid w:val="3F0874F8"/>
    <w:rsid w:val="3F39320C"/>
    <w:rsid w:val="3F423951"/>
    <w:rsid w:val="3F69137B"/>
    <w:rsid w:val="3F6F5F91"/>
    <w:rsid w:val="3FA12730"/>
    <w:rsid w:val="3FDE08F5"/>
    <w:rsid w:val="401776B5"/>
    <w:rsid w:val="402639E9"/>
    <w:rsid w:val="404D1AA1"/>
    <w:rsid w:val="40535BEF"/>
    <w:rsid w:val="408D22B4"/>
    <w:rsid w:val="40A57735"/>
    <w:rsid w:val="40C50AD3"/>
    <w:rsid w:val="40CF052E"/>
    <w:rsid w:val="40E65833"/>
    <w:rsid w:val="40F137ED"/>
    <w:rsid w:val="414B09AC"/>
    <w:rsid w:val="418A654E"/>
    <w:rsid w:val="41947EA6"/>
    <w:rsid w:val="41D47F93"/>
    <w:rsid w:val="41F43D04"/>
    <w:rsid w:val="41F533C3"/>
    <w:rsid w:val="42004FD7"/>
    <w:rsid w:val="42014C57"/>
    <w:rsid w:val="4211049B"/>
    <w:rsid w:val="42772D77"/>
    <w:rsid w:val="42C07614"/>
    <w:rsid w:val="42C42797"/>
    <w:rsid w:val="42C8103A"/>
    <w:rsid w:val="42D178AE"/>
    <w:rsid w:val="43053A31"/>
    <w:rsid w:val="431B5BB6"/>
    <w:rsid w:val="432418C0"/>
    <w:rsid w:val="435C3C0F"/>
    <w:rsid w:val="43713BB4"/>
    <w:rsid w:val="438B4FB1"/>
    <w:rsid w:val="439B601B"/>
    <w:rsid w:val="43A12317"/>
    <w:rsid w:val="43A37114"/>
    <w:rsid w:val="43A45F3A"/>
    <w:rsid w:val="43AE11BC"/>
    <w:rsid w:val="43EA211A"/>
    <w:rsid w:val="442339D8"/>
    <w:rsid w:val="44563ED5"/>
    <w:rsid w:val="44605A3B"/>
    <w:rsid w:val="448F588F"/>
    <w:rsid w:val="44D25AAC"/>
    <w:rsid w:val="44F92736"/>
    <w:rsid w:val="44FC29B6"/>
    <w:rsid w:val="45030AC7"/>
    <w:rsid w:val="453D2F11"/>
    <w:rsid w:val="45441531"/>
    <w:rsid w:val="45647867"/>
    <w:rsid w:val="45913BAE"/>
    <w:rsid w:val="459833CC"/>
    <w:rsid w:val="45A4454B"/>
    <w:rsid w:val="45C66607"/>
    <w:rsid w:val="45DF5413"/>
    <w:rsid w:val="4607231F"/>
    <w:rsid w:val="46295027"/>
    <w:rsid w:val="4650656B"/>
    <w:rsid w:val="465E3302"/>
    <w:rsid w:val="46C75188"/>
    <w:rsid w:val="47051512"/>
    <w:rsid w:val="47567722"/>
    <w:rsid w:val="478E1953"/>
    <w:rsid w:val="47D01EDF"/>
    <w:rsid w:val="47DD782E"/>
    <w:rsid w:val="481822D3"/>
    <w:rsid w:val="48AF49E7"/>
    <w:rsid w:val="48B17C16"/>
    <w:rsid w:val="48BF3D66"/>
    <w:rsid w:val="491A30CE"/>
    <w:rsid w:val="498C34BA"/>
    <w:rsid w:val="499E6ADA"/>
    <w:rsid w:val="49B8117F"/>
    <w:rsid w:val="4A5329DB"/>
    <w:rsid w:val="4ABD162D"/>
    <w:rsid w:val="4ACE2F74"/>
    <w:rsid w:val="4AEA39F4"/>
    <w:rsid w:val="4B1160EC"/>
    <w:rsid w:val="4B383176"/>
    <w:rsid w:val="4B3F2B00"/>
    <w:rsid w:val="4B8B517E"/>
    <w:rsid w:val="4B9B51B7"/>
    <w:rsid w:val="4BB11B9C"/>
    <w:rsid w:val="4BD03E62"/>
    <w:rsid w:val="4C0751FE"/>
    <w:rsid w:val="4C0C69D1"/>
    <w:rsid w:val="4C4A4923"/>
    <w:rsid w:val="4C8F3727"/>
    <w:rsid w:val="4CB06962"/>
    <w:rsid w:val="4CD01F92"/>
    <w:rsid w:val="4D304619"/>
    <w:rsid w:val="4D490586"/>
    <w:rsid w:val="4D5D700D"/>
    <w:rsid w:val="4D5E2AFB"/>
    <w:rsid w:val="4D761EBE"/>
    <w:rsid w:val="4D7A64BE"/>
    <w:rsid w:val="4D7E0E31"/>
    <w:rsid w:val="4E0C3F18"/>
    <w:rsid w:val="4E6D2CB8"/>
    <w:rsid w:val="4ED032E7"/>
    <w:rsid w:val="4ED97DE9"/>
    <w:rsid w:val="4F45079D"/>
    <w:rsid w:val="4F7C2E75"/>
    <w:rsid w:val="5027550C"/>
    <w:rsid w:val="5054095A"/>
    <w:rsid w:val="507B081A"/>
    <w:rsid w:val="50A75D18"/>
    <w:rsid w:val="50CD3844"/>
    <w:rsid w:val="5104097D"/>
    <w:rsid w:val="512A4843"/>
    <w:rsid w:val="513A40D0"/>
    <w:rsid w:val="514946EA"/>
    <w:rsid w:val="515A6B83"/>
    <w:rsid w:val="517A073C"/>
    <w:rsid w:val="517F6B8D"/>
    <w:rsid w:val="519B2E9C"/>
    <w:rsid w:val="51A161BE"/>
    <w:rsid w:val="51D714C7"/>
    <w:rsid w:val="51E00412"/>
    <w:rsid w:val="51F562DF"/>
    <w:rsid w:val="520C074F"/>
    <w:rsid w:val="52121BB5"/>
    <w:rsid w:val="521D0102"/>
    <w:rsid w:val="525154C4"/>
    <w:rsid w:val="526F78B2"/>
    <w:rsid w:val="52B513BE"/>
    <w:rsid w:val="52EC03EB"/>
    <w:rsid w:val="530B1DCC"/>
    <w:rsid w:val="530C225C"/>
    <w:rsid w:val="531F0928"/>
    <w:rsid w:val="532F5343"/>
    <w:rsid w:val="533E08F9"/>
    <w:rsid w:val="5346672E"/>
    <w:rsid w:val="5357444A"/>
    <w:rsid w:val="53820B12"/>
    <w:rsid w:val="54267F9B"/>
    <w:rsid w:val="54F31517"/>
    <w:rsid w:val="5509025D"/>
    <w:rsid w:val="551556A5"/>
    <w:rsid w:val="55401D6C"/>
    <w:rsid w:val="554558D8"/>
    <w:rsid w:val="55754AD4"/>
    <w:rsid w:val="557708B5"/>
    <w:rsid w:val="55B735B4"/>
    <w:rsid w:val="55C43625"/>
    <w:rsid w:val="55DB77D0"/>
    <w:rsid w:val="55ED318A"/>
    <w:rsid w:val="55FA625C"/>
    <w:rsid w:val="563E54BC"/>
    <w:rsid w:val="565B7F3A"/>
    <w:rsid w:val="56F51BA4"/>
    <w:rsid w:val="56FD77F1"/>
    <w:rsid w:val="571E12FD"/>
    <w:rsid w:val="571F24A8"/>
    <w:rsid w:val="573E3DB0"/>
    <w:rsid w:val="578A642E"/>
    <w:rsid w:val="578B67CD"/>
    <w:rsid w:val="578C1931"/>
    <w:rsid w:val="57A3063E"/>
    <w:rsid w:val="57A7215B"/>
    <w:rsid w:val="57D24E7C"/>
    <w:rsid w:val="58425BDC"/>
    <w:rsid w:val="588562C6"/>
    <w:rsid w:val="58895EB5"/>
    <w:rsid w:val="58D6513A"/>
    <w:rsid w:val="59522196"/>
    <w:rsid w:val="597102E2"/>
    <w:rsid w:val="59A92BA5"/>
    <w:rsid w:val="59AA2204"/>
    <w:rsid w:val="59EC260F"/>
    <w:rsid w:val="5A006E37"/>
    <w:rsid w:val="5A2202AE"/>
    <w:rsid w:val="5A595071"/>
    <w:rsid w:val="5A6C3F68"/>
    <w:rsid w:val="5ABF32C5"/>
    <w:rsid w:val="5ADE5CD3"/>
    <w:rsid w:val="5AEE3DBE"/>
    <w:rsid w:val="5B0F6FF4"/>
    <w:rsid w:val="5B343F5B"/>
    <w:rsid w:val="5B715A14"/>
    <w:rsid w:val="5B7F2E79"/>
    <w:rsid w:val="5B8945B3"/>
    <w:rsid w:val="5B9C20DB"/>
    <w:rsid w:val="5BD313DB"/>
    <w:rsid w:val="5BD347B4"/>
    <w:rsid w:val="5BD42235"/>
    <w:rsid w:val="5BDD2B45"/>
    <w:rsid w:val="5BE701AC"/>
    <w:rsid w:val="5C493E38"/>
    <w:rsid w:val="5C497C75"/>
    <w:rsid w:val="5C9024CB"/>
    <w:rsid w:val="5CD765E0"/>
    <w:rsid w:val="5D1660D4"/>
    <w:rsid w:val="5D385380"/>
    <w:rsid w:val="5D444935"/>
    <w:rsid w:val="5D6F7A58"/>
    <w:rsid w:val="5D9D39C5"/>
    <w:rsid w:val="5DA80EB7"/>
    <w:rsid w:val="5DD067F8"/>
    <w:rsid w:val="5DF606E4"/>
    <w:rsid w:val="5DFA2766"/>
    <w:rsid w:val="5E12784F"/>
    <w:rsid w:val="5E26061F"/>
    <w:rsid w:val="5EC84538"/>
    <w:rsid w:val="5ED50624"/>
    <w:rsid w:val="5ED8702A"/>
    <w:rsid w:val="5EE81179"/>
    <w:rsid w:val="5F164911"/>
    <w:rsid w:val="5F3560BF"/>
    <w:rsid w:val="5FA60727"/>
    <w:rsid w:val="5FD50E80"/>
    <w:rsid w:val="603921BF"/>
    <w:rsid w:val="60467201"/>
    <w:rsid w:val="611B369C"/>
    <w:rsid w:val="617A613E"/>
    <w:rsid w:val="61855A0A"/>
    <w:rsid w:val="62146209"/>
    <w:rsid w:val="623A4E7F"/>
    <w:rsid w:val="623F1E5F"/>
    <w:rsid w:val="627B71A0"/>
    <w:rsid w:val="627D0929"/>
    <w:rsid w:val="62F135FC"/>
    <w:rsid w:val="63130619"/>
    <w:rsid w:val="63483071"/>
    <w:rsid w:val="634E6169"/>
    <w:rsid w:val="637B25BA"/>
    <w:rsid w:val="63800859"/>
    <w:rsid w:val="64423289"/>
    <w:rsid w:val="645B1696"/>
    <w:rsid w:val="645F60EA"/>
    <w:rsid w:val="64713024"/>
    <w:rsid w:val="64857557"/>
    <w:rsid w:val="64901066"/>
    <w:rsid w:val="649C3F62"/>
    <w:rsid w:val="64B1636B"/>
    <w:rsid w:val="64D14660"/>
    <w:rsid w:val="65367019"/>
    <w:rsid w:val="655A434A"/>
    <w:rsid w:val="659A6D3E"/>
    <w:rsid w:val="65D920A6"/>
    <w:rsid w:val="66023033"/>
    <w:rsid w:val="6619093D"/>
    <w:rsid w:val="664107D0"/>
    <w:rsid w:val="666979C8"/>
    <w:rsid w:val="667A6BE2"/>
    <w:rsid w:val="667B19B6"/>
    <w:rsid w:val="667C162B"/>
    <w:rsid w:val="66990B2F"/>
    <w:rsid w:val="66B229A3"/>
    <w:rsid w:val="66CC7AB7"/>
    <w:rsid w:val="66EC34BE"/>
    <w:rsid w:val="670E46A1"/>
    <w:rsid w:val="67456D79"/>
    <w:rsid w:val="67602EBD"/>
    <w:rsid w:val="67666032"/>
    <w:rsid w:val="676C7B91"/>
    <w:rsid w:val="67706CC4"/>
    <w:rsid w:val="67742D74"/>
    <w:rsid w:val="677A5055"/>
    <w:rsid w:val="678655E4"/>
    <w:rsid w:val="679B7D49"/>
    <w:rsid w:val="67B14957"/>
    <w:rsid w:val="67BC5ABE"/>
    <w:rsid w:val="68120C6A"/>
    <w:rsid w:val="683F2814"/>
    <w:rsid w:val="68511835"/>
    <w:rsid w:val="686D58E2"/>
    <w:rsid w:val="688A7410"/>
    <w:rsid w:val="68B50ACE"/>
    <w:rsid w:val="690B5432"/>
    <w:rsid w:val="6923630A"/>
    <w:rsid w:val="692E7F1E"/>
    <w:rsid w:val="6974674E"/>
    <w:rsid w:val="698F343B"/>
    <w:rsid w:val="699636A9"/>
    <w:rsid w:val="69AC6C0B"/>
    <w:rsid w:val="69B279D6"/>
    <w:rsid w:val="6A015CF8"/>
    <w:rsid w:val="6A3D00DC"/>
    <w:rsid w:val="6A491970"/>
    <w:rsid w:val="6A5C2B8F"/>
    <w:rsid w:val="6A9A0475"/>
    <w:rsid w:val="6AE37104"/>
    <w:rsid w:val="6AEA5C76"/>
    <w:rsid w:val="6B4A6908"/>
    <w:rsid w:val="6BB256BF"/>
    <w:rsid w:val="6BC31BD8"/>
    <w:rsid w:val="6BF74B2E"/>
    <w:rsid w:val="6C05197D"/>
    <w:rsid w:val="6C272092"/>
    <w:rsid w:val="6C2B07E3"/>
    <w:rsid w:val="6C3706BD"/>
    <w:rsid w:val="6C3A689C"/>
    <w:rsid w:val="6C6241DE"/>
    <w:rsid w:val="6C8F7D1B"/>
    <w:rsid w:val="6CAD2E04"/>
    <w:rsid w:val="6CBD35F3"/>
    <w:rsid w:val="6CCE70DF"/>
    <w:rsid w:val="6CD509F7"/>
    <w:rsid w:val="6CDC28EF"/>
    <w:rsid w:val="6D302924"/>
    <w:rsid w:val="6D400349"/>
    <w:rsid w:val="6D474FD5"/>
    <w:rsid w:val="6D727209"/>
    <w:rsid w:val="6D756624"/>
    <w:rsid w:val="6DAA1F76"/>
    <w:rsid w:val="6DAF3180"/>
    <w:rsid w:val="6DD01259"/>
    <w:rsid w:val="6E077F01"/>
    <w:rsid w:val="6E0E0CE3"/>
    <w:rsid w:val="6E20323A"/>
    <w:rsid w:val="6E2668FA"/>
    <w:rsid w:val="6E4E2A84"/>
    <w:rsid w:val="6E500DC6"/>
    <w:rsid w:val="6EA64798"/>
    <w:rsid w:val="6EB66959"/>
    <w:rsid w:val="6EDC35ED"/>
    <w:rsid w:val="6EFC1923"/>
    <w:rsid w:val="6EFC51A7"/>
    <w:rsid w:val="6F147640"/>
    <w:rsid w:val="6FE633B4"/>
    <w:rsid w:val="6FEE0256"/>
    <w:rsid w:val="700C1760"/>
    <w:rsid w:val="701170EC"/>
    <w:rsid w:val="703716AB"/>
    <w:rsid w:val="70406A16"/>
    <w:rsid w:val="70593DDE"/>
    <w:rsid w:val="706A37E2"/>
    <w:rsid w:val="70A319BE"/>
    <w:rsid w:val="70A367DC"/>
    <w:rsid w:val="70B6663A"/>
    <w:rsid w:val="70B97668"/>
    <w:rsid w:val="70BF5182"/>
    <w:rsid w:val="70DA0EB4"/>
    <w:rsid w:val="70DE1F36"/>
    <w:rsid w:val="71311D99"/>
    <w:rsid w:val="714A2FA6"/>
    <w:rsid w:val="715304D9"/>
    <w:rsid w:val="716866D4"/>
    <w:rsid w:val="718B3B25"/>
    <w:rsid w:val="71920663"/>
    <w:rsid w:val="719E6674"/>
    <w:rsid w:val="72057764"/>
    <w:rsid w:val="724C7A91"/>
    <w:rsid w:val="72510C2D"/>
    <w:rsid w:val="726F7A40"/>
    <w:rsid w:val="727A2B5F"/>
    <w:rsid w:val="728D3B4B"/>
    <w:rsid w:val="72C267D6"/>
    <w:rsid w:val="72D95730"/>
    <w:rsid w:val="73166260"/>
    <w:rsid w:val="733C5638"/>
    <w:rsid w:val="7359610E"/>
    <w:rsid w:val="73807E8C"/>
    <w:rsid w:val="7396227D"/>
    <w:rsid w:val="73B1065D"/>
    <w:rsid w:val="73C64D7F"/>
    <w:rsid w:val="73C85151"/>
    <w:rsid w:val="73C93A07"/>
    <w:rsid w:val="73DF76FC"/>
    <w:rsid w:val="740D74D1"/>
    <w:rsid w:val="74887320"/>
    <w:rsid w:val="74944C62"/>
    <w:rsid w:val="74964153"/>
    <w:rsid w:val="74A024E4"/>
    <w:rsid w:val="74A677B5"/>
    <w:rsid w:val="74A9289C"/>
    <w:rsid w:val="74C0081A"/>
    <w:rsid w:val="74CF3C20"/>
    <w:rsid w:val="74E81B55"/>
    <w:rsid w:val="75011284"/>
    <w:rsid w:val="752175BA"/>
    <w:rsid w:val="756D74E4"/>
    <w:rsid w:val="75A17482"/>
    <w:rsid w:val="75B76E85"/>
    <w:rsid w:val="75C42647"/>
    <w:rsid w:val="75D00657"/>
    <w:rsid w:val="75D100C4"/>
    <w:rsid w:val="762F7C0A"/>
    <w:rsid w:val="765C3ABF"/>
    <w:rsid w:val="7663757C"/>
    <w:rsid w:val="767720EA"/>
    <w:rsid w:val="76853969"/>
    <w:rsid w:val="768C07D8"/>
    <w:rsid w:val="76FB7CCC"/>
    <w:rsid w:val="772A2DE3"/>
    <w:rsid w:val="772B760F"/>
    <w:rsid w:val="772D6395"/>
    <w:rsid w:val="77543BCA"/>
    <w:rsid w:val="778238A1"/>
    <w:rsid w:val="778D1C32"/>
    <w:rsid w:val="77FB2266"/>
    <w:rsid w:val="78173D95"/>
    <w:rsid w:val="78304CBF"/>
    <w:rsid w:val="78711EA5"/>
    <w:rsid w:val="78F227FE"/>
    <w:rsid w:val="78FC3F32"/>
    <w:rsid w:val="79573F75"/>
    <w:rsid w:val="79BD3F25"/>
    <w:rsid w:val="7A8315F1"/>
    <w:rsid w:val="7A905722"/>
    <w:rsid w:val="7AA51E44"/>
    <w:rsid w:val="7AD0650C"/>
    <w:rsid w:val="7B4F3A26"/>
    <w:rsid w:val="7B5D15F3"/>
    <w:rsid w:val="7BB3741F"/>
    <w:rsid w:val="7BBB1C1E"/>
    <w:rsid w:val="7BC36BAD"/>
    <w:rsid w:val="7BFC0976"/>
    <w:rsid w:val="7C5B3A94"/>
    <w:rsid w:val="7C6552DE"/>
    <w:rsid w:val="7C8313D5"/>
    <w:rsid w:val="7C8E7766"/>
    <w:rsid w:val="7C985AF7"/>
    <w:rsid w:val="7CA9768F"/>
    <w:rsid w:val="7CAD6D0A"/>
    <w:rsid w:val="7CDC328D"/>
    <w:rsid w:val="7CEF6506"/>
    <w:rsid w:val="7CFA011A"/>
    <w:rsid w:val="7D237F9B"/>
    <w:rsid w:val="7D4071CA"/>
    <w:rsid w:val="7D9E6DEE"/>
    <w:rsid w:val="7DC93C6B"/>
    <w:rsid w:val="7DD532C9"/>
    <w:rsid w:val="7DF34AAF"/>
    <w:rsid w:val="7E0A3E44"/>
    <w:rsid w:val="7E286E4E"/>
    <w:rsid w:val="7E4A0D41"/>
    <w:rsid w:val="7E5252B7"/>
    <w:rsid w:val="7E620CB9"/>
    <w:rsid w:val="7ECD2214"/>
    <w:rsid w:val="7F242240"/>
    <w:rsid w:val="7F2C6E61"/>
    <w:rsid w:val="7F5B0B7E"/>
    <w:rsid w:val="7F5D1C11"/>
    <w:rsid w:val="7F656F0F"/>
    <w:rsid w:val="7F7E7F1B"/>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1"/>
    <w:qFormat/>
    <w:uiPriority w:val="99"/>
    <w:pPr>
      <w:keepNext/>
      <w:keepLines/>
      <w:spacing w:line="360" w:lineRule="auto"/>
      <w:outlineLvl w:val="0"/>
    </w:pPr>
    <w:rPr>
      <w:b/>
      <w:bCs/>
      <w:kern w:val="44"/>
      <w:sz w:val="32"/>
      <w:szCs w:val="32"/>
    </w:rPr>
  </w:style>
  <w:style w:type="paragraph" w:styleId="4">
    <w:name w:val="heading 2"/>
    <w:basedOn w:val="1"/>
    <w:next w:val="1"/>
    <w:link w:val="52"/>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link w:val="53"/>
    <w:qFormat/>
    <w:uiPriority w:val="99"/>
    <w:pPr>
      <w:keepNext/>
      <w:keepLines/>
      <w:spacing w:line="360" w:lineRule="auto"/>
      <w:outlineLvl w:val="2"/>
    </w:pPr>
    <w:rPr>
      <w:b/>
      <w:bCs/>
      <w:sz w:val="24"/>
      <w:szCs w:val="24"/>
    </w:rPr>
  </w:style>
  <w:style w:type="paragraph" w:styleId="6">
    <w:name w:val="heading 4"/>
    <w:basedOn w:val="1"/>
    <w:next w:val="1"/>
    <w:link w:val="54"/>
    <w:qFormat/>
    <w:uiPriority w:val="99"/>
    <w:pPr>
      <w:keepNext/>
      <w:keepLines/>
      <w:spacing w:line="360" w:lineRule="auto"/>
      <w:outlineLvl w:val="3"/>
    </w:pPr>
    <w:rPr>
      <w:rFonts w:ascii="Arial" w:hAnsi="Arial" w:cs="Arial"/>
      <w:b/>
      <w:bCs/>
    </w:rPr>
  </w:style>
  <w:style w:type="paragraph" w:styleId="7">
    <w:name w:val="heading 5"/>
    <w:basedOn w:val="1"/>
    <w:next w:val="1"/>
    <w:link w:val="55"/>
    <w:qFormat/>
    <w:uiPriority w:val="99"/>
    <w:pPr>
      <w:keepNext/>
      <w:keepLines/>
      <w:spacing w:before="280" w:after="290" w:line="376" w:lineRule="auto"/>
      <w:outlineLvl w:val="4"/>
    </w:pPr>
    <w:rPr>
      <w:b/>
      <w:bCs/>
      <w:sz w:val="28"/>
      <w:szCs w:val="28"/>
    </w:rPr>
  </w:style>
  <w:style w:type="paragraph" w:styleId="8">
    <w:name w:val="heading 6"/>
    <w:basedOn w:val="1"/>
    <w:next w:val="1"/>
    <w:link w:val="56"/>
    <w:qFormat/>
    <w:uiPriority w:val="99"/>
    <w:pPr>
      <w:keepNext/>
      <w:keepLines/>
      <w:spacing w:before="240" w:after="64" w:line="320" w:lineRule="auto"/>
      <w:outlineLvl w:val="5"/>
    </w:pPr>
    <w:rPr>
      <w:rFonts w:ascii="Arial" w:hAnsi="Arial" w:eastAsia="黑体" w:cs="Arial"/>
      <w:b/>
      <w:bCs/>
      <w:sz w:val="24"/>
      <w:szCs w:val="24"/>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2">
    <w:name w:val="footer"/>
    <w:basedOn w:val="1"/>
    <w:link w:val="67"/>
    <w:qFormat/>
    <w:uiPriority w:val="99"/>
    <w:pPr>
      <w:tabs>
        <w:tab w:val="center" w:pos="4153"/>
        <w:tab w:val="right" w:pos="8306"/>
      </w:tabs>
      <w:snapToGrid w:val="0"/>
      <w:jc w:val="left"/>
    </w:pPr>
    <w:rPr>
      <w:sz w:val="18"/>
      <w:szCs w:val="18"/>
    </w:rPr>
  </w:style>
  <w:style w:type="paragraph" w:styleId="9">
    <w:name w:val="toc 7"/>
    <w:basedOn w:val="1"/>
    <w:next w:val="1"/>
    <w:semiHidden/>
    <w:qFormat/>
    <w:uiPriority w:val="99"/>
    <w:pPr>
      <w:ind w:left="1260"/>
      <w:jc w:val="left"/>
    </w:pPr>
    <w:rPr>
      <w:rFonts w:ascii="Calibri" w:hAnsi="Calibri" w:cs="Calibri"/>
      <w:sz w:val="18"/>
      <w:szCs w:val="18"/>
    </w:rPr>
  </w:style>
  <w:style w:type="paragraph" w:styleId="10">
    <w:name w:val="Normal Indent"/>
    <w:basedOn w:val="1"/>
    <w:qFormat/>
    <w:uiPriority w:val="99"/>
    <w:pPr>
      <w:ind w:firstLine="420"/>
    </w:pPr>
  </w:style>
  <w:style w:type="paragraph" w:styleId="11">
    <w:name w:val="Document Map"/>
    <w:basedOn w:val="1"/>
    <w:link w:val="59"/>
    <w:semiHidden/>
    <w:qFormat/>
    <w:uiPriority w:val="99"/>
    <w:pPr>
      <w:shd w:val="clear" w:color="auto" w:fill="000080"/>
    </w:pPr>
  </w:style>
  <w:style w:type="paragraph" w:styleId="12">
    <w:name w:val="annotation text"/>
    <w:basedOn w:val="1"/>
    <w:link w:val="57"/>
    <w:semiHidden/>
    <w:qFormat/>
    <w:uiPriority w:val="99"/>
    <w:pPr>
      <w:jc w:val="left"/>
    </w:pPr>
  </w:style>
  <w:style w:type="paragraph" w:styleId="13">
    <w:name w:val="Body Text 3"/>
    <w:basedOn w:val="1"/>
    <w:link w:val="60"/>
    <w:qFormat/>
    <w:uiPriority w:val="99"/>
    <w:rPr>
      <w:rFonts w:ascii="宋体" w:cs="宋体"/>
      <w:sz w:val="24"/>
      <w:szCs w:val="24"/>
    </w:rPr>
  </w:style>
  <w:style w:type="paragraph" w:styleId="14">
    <w:name w:val="Body Text"/>
    <w:basedOn w:val="1"/>
    <w:next w:val="1"/>
    <w:link w:val="61"/>
    <w:qFormat/>
    <w:uiPriority w:val="99"/>
    <w:pPr>
      <w:jc w:val="center"/>
    </w:pPr>
  </w:style>
  <w:style w:type="paragraph" w:styleId="15">
    <w:name w:val="Body Text Indent"/>
    <w:basedOn w:val="1"/>
    <w:link w:val="62"/>
    <w:qFormat/>
    <w:uiPriority w:val="99"/>
    <w:pPr>
      <w:spacing w:line="360" w:lineRule="auto"/>
      <w:ind w:left="424" w:leftChars="202" w:firstLine="567"/>
    </w:pPr>
    <w:rPr>
      <w:sz w:val="24"/>
      <w:szCs w:val="24"/>
    </w:rPr>
  </w:style>
  <w:style w:type="paragraph" w:styleId="16">
    <w:name w:val="toc 5"/>
    <w:basedOn w:val="1"/>
    <w:next w:val="1"/>
    <w:semiHidden/>
    <w:qFormat/>
    <w:uiPriority w:val="99"/>
    <w:pPr>
      <w:ind w:left="840"/>
      <w:jc w:val="left"/>
    </w:pPr>
    <w:rPr>
      <w:rFonts w:ascii="Calibri" w:hAnsi="Calibri" w:cs="Calibri"/>
      <w:sz w:val="18"/>
      <w:szCs w:val="18"/>
    </w:rPr>
  </w:style>
  <w:style w:type="paragraph" w:styleId="17">
    <w:name w:val="toc 3"/>
    <w:basedOn w:val="1"/>
    <w:next w:val="1"/>
    <w:semiHidden/>
    <w:qFormat/>
    <w:uiPriority w:val="99"/>
    <w:pPr>
      <w:ind w:left="420"/>
      <w:jc w:val="left"/>
    </w:pPr>
    <w:rPr>
      <w:rFonts w:ascii="Calibri" w:hAnsi="Calibri" w:cs="Calibri"/>
      <w:i/>
      <w:iCs/>
      <w:sz w:val="20"/>
      <w:szCs w:val="20"/>
    </w:rPr>
  </w:style>
  <w:style w:type="paragraph" w:styleId="18">
    <w:name w:val="Plain Text"/>
    <w:basedOn w:val="1"/>
    <w:link w:val="63"/>
    <w:qFormat/>
    <w:uiPriority w:val="99"/>
    <w:rPr>
      <w:rFonts w:ascii="宋体" w:hAnsi="Courier New" w:cs="宋体"/>
    </w:rPr>
  </w:style>
  <w:style w:type="paragraph" w:styleId="19">
    <w:name w:val="toc 8"/>
    <w:basedOn w:val="1"/>
    <w:next w:val="1"/>
    <w:semiHidden/>
    <w:qFormat/>
    <w:uiPriority w:val="99"/>
    <w:pPr>
      <w:ind w:left="1470"/>
      <w:jc w:val="left"/>
    </w:pPr>
    <w:rPr>
      <w:rFonts w:ascii="Calibri" w:hAnsi="Calibri" w:cs="Calibri"/>
      <w:sz w:val="18"/>
      <w:szCs w:val="18"/>
    </w:rPr>
  </w:style>
  <w:style w:type="paragraph" w:styleId="20">
    <w:name w:val="Date"/>
    <w:basedOn w:val="1"/>
    <w:next w:val="1"/>
    <w:link w:val="64"/>
    <w:qFormat/>
    <w:uiPriority w:val="99"/>
    <w:pPr>
      <w:ind w:left="100" w:leftChars="2500"/>
    </w:pPr>
  </w:style>
  <w:style w:type="paragraph" w:styleId="21">
    <w:name w:val="Body Text Indent 2"/>
    <w:basedOn w:val="1"/>
    <w:link w:val="65"/>
    <w:qFormat/>
    <w:uiPriority w:val="99"/>
    <w:pPr>
      <w:spacing w:line="480" w:lineRule="exact"/>
      <w:ind w:left="-1"/>
    </w:pPr>
    <w:rPr>
      <w:sz w:val="24"/>
      <w:szCs w:val="24"/>
    </w:rPr>
  </w:style>
  <w:style w:type="paragraph" w:styleId="22">
    <w:name w:val="Balloon Text"/>
    <w:basedOn w:val="1"/>
    <w:link w:val="66"/>
    <w:semiHidden/>
    <w:qFormat/>
    <w:uiPriority w:val="99"/>
    <w:rPr>
      <w:sz w:val="18"/>
      <w:szCs w:val="18"/>
    </w:rPr>
  </w:style>
  <w:style w:type="paragraph" w:styleId="23">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spacing w:before="120" w:after="120"/>
      <w:jc w:val="left"/>
    </w:pPr>
    <w:rPr>
      <w:rFonts w:ascii="Calibri" w:hAnsi="Calibri" w:cs="Calibri"/>
      <w:b/>
      <w:bCs/>
      <w:caps/>
      <w:sz w:val="20"/>
      <w:szCs w:val="20"/>
    </w:rPr>
  </w:style>
  <w:style w:type="paragraph" w:styleId="25">
    <w:name w:val="toc 4"/>
    <w:basedOn w:val="1"/>
    <w:next w:val="1"/>
    <w:semiHidden/>
    <w:qFormat/>
    <w:uiPriority w:val="99"/>
    <w:pPr>
      <w:ind w:left="630"/>
      <w:jc w:val="left"/>
    </w:pPr>
    <w:rPr>
      <w:rFonts w:ascii="Calibri" w:hAnsi="Calibri" w:cs="Calibri"/>
      <w:sz w:val="18"/>
      <w:szCs w:val="18"/>
    </w:rPr>
  </w:style>
  <w:style w:type="paragraph" w:styleId="26">
    <w:name w:val="toc 6"/>
    <w:basedOn w:val="1"/>
    <w:next w:val="1"/>
    <w:semiHidden/>
    <w:qFormat/>
    <w:uiPriority w:val="99"/>
    <w:pPr>
      <w:ind w:left="1050"/>
      <w:jc w:val="left"/>
    </w:pPr>
    <w:rPr>
      <w:rFonts w:ascii="Calibri" w:hAnsi="Calibri" w:cs="Calibri"/>
      <w:sz w:val="18"/>
      <w:szCs w:val="18"/>
    </w:rPr>
  </w:style>
  <w:style w:type="paragraph" w:styleId="27">
    <w:name w:val="Body Text Indent 3"/>
    <w:basedOn w:val="1"/>
    <w:link w:val="69"/>
    <w:qFormat/>
    <w:uiPriority w:val="99"/>
    <w:pPr>
      <w:spacing w:line="360" w:lineRule="auto"/>
      <w:ind w:left="420" w:firstLine="480"/>
    </w:pPr>
    <w:rPr>
      <w:rFonts w:ascii="宋体" w:hAnsi="宋体" w:cs="宋体"/>
      <w:sz w:val="24"/>
      <w:szCs w:val="24"/>
    </w:rPr>
  </w:style>
  <w:style w:type="paragraph" w:styleId="28">
    <w:name w:val="toc 2"/>
    <w:basedOn w:val="1"/>
    <w:next w:val="1"/>
    <w:semiHidden/>
    <w:qFormat/>
    <w:uiPriority w:val="99"/>
    <w:pPr>
      <w:ind w:left="210"/>
      <w:jc w:val="left"/>
    </w:pPr>
    <w:rPr>
      <w:rFonts w:ascii="Calibri" w:hAnsi="Calibri" w:cs="Calibri"/>
      <w:smallCaps/>
      <w:sz w:val="20"/>
      <w:szCs w:val="20"/>
    </w:rPr>
  </w:style>
  <w:style w:type="paragraph" w:styleId="29">
    <w:name w:val="toc 9"/>
    <w:basedOn w:val="1"/>
    <w:next w:val="1"/>
    <w:semiHidden/>
    <w:qFormat/>
    <w:uiPriority w:val="99"/>
    <w:pPr>
      <w:ind w:left="1680"/>
      <w:jc w:val="left"/>
    </w:pPr>
    <w:rPr>
      <w:rFonts w:ascii="Calibri" w:hAnsi="Calibri" w:cs="Calibri"/>
      <w:sz w:val="18"/>
      <w:szCs w:val="18"/>
    </w:rPr>
  </w:style>
  <w:style w:type="paragraph" w:styleId="30">
    <w:name w:val="Body Text 2"/>
    <w:basedOn w:val="1"/>
    <w:link w:val="70"/>
    <w:qFormat/>
    <w:uiPriority w:val="99"/>
    <w:pPr>
      <w:adjustRightInd w:val="0"/>
      <w:snapToGrid w:val="0"/>
      <w:spacing w:before="60" w:after="60" w:line="300" w:lineRule="auto"/>
    </w:pPr>
    <w:rPr>
      <w:rFonts w:ascii="宋体" w:cs="宋体"/>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2"/>
    <w:next w:val="12"/>
    <w:link w:val="58"/>
    <w:semiHidden/>
    <w:qFormat/>
    <w:uiPriority w:val="99"/>
    <w:rPr>
      <w:b/>
      <w:bCs/>
    </w:rPr>
  </w:style>
  <w:style w:type="paragraph" w:styleId="33">
    <w:name w:val="Body Text First Indent"/>
    <w:basedOn w:val="14"/>
    <w:next w:val="34"/>
    <w:unhideWhenUsed/>
    <w:qFormat/>
    <w:locked/>
    <w:uiPriority w:val="99"/>
    <w:pPr>
      <w:ind w:firstLine="420" w:firstLineChars="100"/>
    </w:pPr>
    <w:rPr>
      <w:szCs w:val="24"/>
    </w:rPr>
  </w:style>
  <w:style w:type="paragraph" w:styleId="34">
    <w:name w:val="Body Text First Indent 2"/>
    <w:basedOn w:val="15"/>
    <w:next w:val="33"/>
    <w:qFormat/>
    <w:locked/>
    <w:uiPriority w:val="0"/>
    <w:pPr>
      <w:ind w:firstLine="420" w:firstLineChars="2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99"/>
    <w:rPr>
      <w:b/>
      <w:bCs/>
    </w:rPr>
  </w:style>
  <w:style w:type="character" w:styleId="39">
    <w:name w:val="page number"/>
    <w:basedOn w:val="37"/>
    <w:qFormat/>
    <w:uiPriority w:val="99"/>
  </w:style>
  <w:style w:type="character" w:styleId="40">
    <w:name w:val="FollowedHyperlink"/>
    <w:basedOn w:val="37"/>
    <w:qFormat/>
    <w:uiPriority w:val="99"/>
    <w:rPr>
      <w:color w:val="auto"/>
      <w:u w:val="none"/>
    </w:rPr>
  </w:style>
  <w:style w:type="character" w:styleId="41">
    <w:name w:val="Emphasis"/>
    <w:basedOn w:val="37"/>
    <w:qFormat/>
    <w:uiPriority w:val="99"/>
    <w:rPr>
      <w:i/>
      <w:iCs/>
    </w:rPr>
  </w:style>
  <w:style w:type="character" w:styleId="42">
    <w:name w:val="HTML Definition"/>
    <w:basedOn w:val="37"/>
    <w:qFormat/>
    <w:uiPriority w:val="99"/>
  </w:style>
  <w:style w:type="character" w:styleId="43">
    <w:name w:val="HTML Acronym"/>
    <w:basedOn w:val="37"/>
    <w:qFormat/>
    <w:uiPriority w:val="99"/>
  </w:style>
  <w:style w:type="character" w:styleId="44">
    <w:name w:val="HTML Variable"/>
    <w:basedOn w:val="37"/>
    <w:qFormat/>
    <w:uiPriority w:val="99"/>
  </w:style>
  <w:style w:type="character" w:styleId="45">
    <w:name w:val="Hyperlink"/>
    <w:basedOn w:val="37"/>
    <w:qFormat/>
    <w:uiPriority w:val="99"/>
    <w:rPr>
      <w:color w:val="auto"/>
      <w:u w:val="none"/>
    </w:rPr>
  </w:style>
  <w:style w:type="character" w:styleId="46">
    <w:name w:val="HTML Code"/>
    <w:basedOn w:val="37"/>
    <w:qFormat/>
    <w:uiPriority w:val="99"/>
    <w:rPr>
      <w:rFonts w:ascii="monospace" w:hAnsi="monospace" w:cs="monospace"/>
      <w:sz w:val="24"/>
      <w:szCs w:val="24"/>
    </w:rPr>
  </w:style>
  <w:style w:type="character" w:styleId="47">
    <w:name w:val="annotation reference"/>
    <w:basedOn w:val="37"/>
    <w:semiHidden/>
    <w:qFormat/>
    <w:uiPriority w:val="99"/>
    <w:rPr>
      <w:sz w:val="21"/>
      <w:szCs w:val="21"/>
    </w:rPr>
  </w:style>
  <w:style w:type="character" w:styleId="48">
    <w:name w:val="HTML Cite"/>
    <w:basedOn w:val="37"/>
    <w:qFormat/>
    <w:uiPriority w:val="99"/>
  </w:style>
  <w:style w:type="character" w:styleId="49">
    <w:name w:val="HTML Keyboard"/>
    <w:basedOn w:val="37"/>
    <w:qFormat/>
    <w:uiPriority w:val="99"/>
    <w:rPr>
      <w:rFonts w:ascii="monospace" w:hAnsi="monospace" w:cs="monospace"/>
      <w:sz w:val="24"/>
      <w:szCs w:val="24"/>
    </w:rPr>
  </w:style>
  <w:style w:type="character" w:styleId="50">
    <w:name w:val="HTML Sample"/>
    <w:basedOn w:val="37"/>
    <w:qFormat/>
    <w:uiPriority w:val="99"/>
    <w:rPr>
      <w:rFonts w:ascii="monospace" w:hAnsi="monospace" w:cs="monospace"/>
      <w:sz w:val="24"/>
      <w:szCs w:val="24"/>
    </w:rPr>
  </w:style>
  <w:style w:type="character" w:customStyle="1" w:styleId="51">
    <w:name w:val="标题 1 Char"/>
    <w:basedOn w:val="37"/>
    <w:link w:val="3"/>
    <w:qFormat/>
    <w:locked/>
    <w:uiPriority w:val="99"/>
    <w:rPr>
      <w:b/>
      <w:bCs/>
      <w:kern w:val="44"/>
      <w:sz w:val="44"/>
      <w:szCs w:val="44"/>
    </w:rPr>
  </w:style>
  <w:style w:type="character" w:customStyle="1" w:styleId="52">
    <w:name w:val="标题 2 Char"/>
    <w:basedOn w:val="37"/>
    <w:link w:val="4"/>
    <w:qFormat/>
    <w:locked/>
    <w:uiPriority w:val="99"/>
    <w:rPr>
      <w:rFonts w:ascii="Cambria" w:hAnsi="Cambria" w:cs="Cambria"/>
      <w:b/>
      <w:bCs/>
      <w:kern w:val="2"/>
      <w:sz w:val="32"/>
      <w:szCs w:val="32"/>
    </w:rPr>
  </w:style>
  <w:style w:type="character" w:customStyle="1" w:styleId="53">
    <w:name w:val="标题 3 Char"/>
    <w:basedOn w:val="37"/>
    <w:link w:val="5"/>
    <w:qFormat/>
    <w:locked/>
    <w:uiPriority w:val="99"/>
    <w:rPr>
      <w:b/>
      <w:bCs/>
      <w:kern w:val="2"/>
      <w:sz w:val="32"/>
      <w:szCs w:val="32"/>
    </w:rPr>
  </w:style>
  <w:style w:type="character" w:customStyle="1" w:styleId="54">
    <w:name w:val="标题 4 Char"/>
    <w:basedOn w:val="37"/>
    <w:link w:val="6"/>
    <w:semiHidden/>
    <w:qFormat/>
    <w:locked/>
    <w:uiPriority w:val="99"/>
    <w:rPr>
      <w:rFonts w:ascii="Cambria" w:hAnsi="Cambria" w:eastAsia="宋体" w:cs="Cambria"/>
      <w:b/>
      <w:bCs/>
      <w:sz w:val="28"/>
      <w:szCs w:val="28"/>
    </w:rPr>
  </w:style>
  <w:style w:type="character" w:customStyle="1" w:styleId="55">
    <w:name w:val="标题 5 Char"/>
    <w:basedOn w:val="37"/>
    <w:link w:val="7"/>
    <w:qFormat/>
    <w:locked/>
    <w:uiPriority w:val="99"/>
    <w:rPr>
      <w:b/>
      <w:bCs/>
      <w:kern w:val="2"/>
      <w:sz w:val="28"/>
      <w:szCs w:val="28"/>
    </w:rPr>
  </w:style>
  <w:style w:type="character" w:customStyle="1" w:styleId="56">
    <w:name w:val="标题 6 Char"/>
    <w:basedOn w:val="37"/>
    <w:link w:val="8"/>
    <w:semiHidden/>
    <w:qFormat/>
    <w:locked/>
    <w:uiPriority w:val="99"/>
    <w:rPr>
      <w:rFonts w:ascii="Cambria" w:hAnsi="Cambria" w:eastAsia="宋体" w:cs="Cambria"/>
      <w:b/>
      <w:bCs/>
      <w:sz w:val="24"/>
      <w:szCs w:val="24"/>
    </w:rPr>
  </w:style>
  <w:style w:type="character" w:customStyle="1" w:styleId="57">
    <w:name w:val="批注文字 Char"/>
    <w:basedOn w:val="37"/>
    <w:link w:val="12"/>
    <w:semiHidden/>
    <w:qFormat/>
    <w:locked/>
    <w:uiPriority w:val="99"/>
    <w:rPr>
      <w:sz w:val="21"/>
      <w:szCs w:val="21"/>
    </w:rPr>
  </w:style>
  <w:style w:type="character" w:customStyle="1" w:styleId="58">
    <w:name w:val="批注主题 Char"/>
    <w:basedOn w:val="57"/>
    <w:link w:val="32"/>
    <w:semiHidden/>
    <w:qFormat/>
    <w:locked/>
    <w:uiPriority w:val="99"/>
    <w:rPr>
      <w:b/>
      <w:bCs/>
    </w:rPr>
  </w:style>
  <w:style w:type="character" w:customStyle="1" w:styleId="59">
    <w:name w:val="文档结构图 Char"/>
    <w:basedOn w:val="37"/>
    <w:link w:val="11"/>
    <w:semiHidden/>
    <w:qFormat/>
    <w:locked/>
    <w:uiPriority w:val="99"/>
    <w:rPr>
      <w:sz w:val="2"/>
      <w:szCs w:val="2"/>
    </w:rPr>
  </w:style>
  <w:style w:type="character" w:customStyle="1" w:styleId="60">
    <w:name w:val="正文文本 3 Char"/>
    <w:basedOn w:val="37"/>
    <w:link w:val="13"/>
    <w:semiHidden/>
    <w:qFormat/>
    <w:locked/>
    <w:uiPriority w:val="99"/>
    <w:rPr>
      <w:sz w:val="16"/>
      <w:szCs w:val="16"/>
    </w:rPr>
  </w:style>
  <w:style w:type="character" w:customStyle="1" w:styleId="61">
    <w:name w:val="正文文本 Char"/>
    <w:basedOn w:val="37"/>
    <w:link w:val="14"/>
    <w:qFormat/>
    <w:locked/>
    <w:uiPriority w:val="99"/>
    <w:rPr>
      <w:rFonts w:eastAsia="宋体"/>
      <w:kern w:val="2"/>
      <w:sz w:val="21"/>
      <w:szCs w:val="21"/>
      <w:lang w:val="en-US" w:eastAsia="zh-CN"/>
    </w:rPr>
  </w:style>
  <w:style w:type="character" w:customStyle="1" w:styleId="62">
    <w:name w:val="正文文本缩进 Char"/>
    <w:basedOn w:val="37"/>
    <w:link w:val="15"/>
    <w:qFormat/>
    <w:locked/>
    <w:uiPriority w:val="99"/>
    <w:rPr>
      <w:snapToGrid w:val="0"/>
      <w:sz w:val="24"/>
      <w:szCs w:val="24"/>
    </w:rPr>
  </w:style>
  <w:style w:type="character" w:customStyle="1" w:styleId="63">
    <w:name w:val="纯文本 Char"/>
    <w:basedOn w:val="37"/>
    <w:link w:val="18"/>
    <w:qFormat/>
    <w:locked/>
    <w:uiPriority w:val="99"/>
    <w:rPr>
      <w:rFonts w:ascii="宋体" w:hAnsi="Courier New" w:eastAsia="宋体" w:cs="宋体"/>
      <w:kern w:val="2"/>
      <w:sz w:val="21"/>
      <w:szCs w:val="21"/>
      <w:lang w:val="en-US" w:eastAsia="zh-CN"/>
    </w:rPr>
  </w:style>
  <w:style w:type="character" w:customStyle="1" w:styleId="64">
    <w:name w:val="日期 Char"/>
    <w:basedOn w:val="37"/>
    <w:link w:val="20"/>
    <w:semiHidden/>
    <w:qFormat/>
    <w:locked/>
    <w:uiPriority w:val="99"/>
    <w:rPr>
      <w:sz w:val="21"/>
      <w:szCs w:val="21"/>
    </w:rPr>
  </w:style>
  <w:style w:type="character" w:customStyle="1" w:styleId="65">
    <w:name w:val="正文文本缩进 2 Char"/>
    <w:basedOn w:val="37"/>
    <w:link w:val="21"/>
    <w:qFormat/>
    <w:locked/>
    <w:uiPriority w:val="99"/>
    <w:rPr>
      <w:snapToGrid w:val="0"/>
      <w:sz w:val="24"/>
      <w:szCs w:val="24"/>
    </w:rPr>
  </w:style>
  <w:style w:type="character" w:customStyle="1" w:styleId="66">
    <w:name w:val="批注框文本 Char"/>
    <w:basedOn w:val="37"/>
    <w:link w:val="22"/>
    <w:qFormat/>
    <w:locked/>
    <w:uiPriority w:val="99"/>
    <w:rPr>
      <w:kern w:val="2"/>
      <w:sz w:val="18"/>
      <w:szCs w:val="18"/>
    </w:rPr>
  </w:style>
  <w:style w:type="character" w:customStyle="1" w:styleId="67">
    <w:name w:val="页脚 Char"/>
    <w:basedOn w:val="37"/>
    <w:link w:val="2"/>
    <w:qFormat/>
    <w:locked/>
    <w:uiPriority w:val="99"/>
    <w:rPr>
      <w:rFonts w:eastAsia="宋体"/>
      <w:kern w:val="2"/>
      <w:sz w:val="18"/>
      <w:szCs w:val="18"/>
      <w:lang w:val="en-US" w:eastAsia="zh-CN"/>
    </w:rPr>
  </w:style>
  <w:style w:type="character" w:customStyle="1" w:styleId="68">
    <w:name w:val="页眉 Char"/>
    <w:basedOn w:val="37"/>
    <w:link w:val="23"/>
    <w:semiHidden/>
    <w:qFormat/>
    <w:locked/>
    <w:uiPriority w:val="99"/>
    <w:rPr>
      <w:sz w:val="18"/>
      <w:szCs w:val="18"/>
    </w:rPr>
  </w:style>
  <w:style w:type="character" w:customStyle="1" w:styleId="69">
    <w:name w:val="正文文本缩进 3 Char"/>
    <w:basedOn w:val="37"/>
    <w:link w:val="27"/>
    <w:qFormat/>
    <w:locked/>
    <w:uiPriority w:val="99"/>
    <w:rPr>
      <w:rFonts w:ascii="宋体" w:eastAsia="宋体" w:cs="宋体"/>
      <w:snapToGrid w:val="0"/>
      <w:sz w:val="24"/>
      <w:szCs w:val="24"/>
    </w:rPr>
  </w:style>
  <w:style w:type="character" w:customStyle="1" w:styleId="70">
    <w:name w:val="正文文本 2 Char"/>
    <w:basedOn w:val="37"/>
    <w:link w:val="30"/>
    <w:qFormat/>
    <w:locked/>
    <w:uiPriority w:val="99"/>
    <w:rPr>
      <w:rFonts w:ascii="宋体" w:cs="宋体"/>
      <w:kern w:val="2"/>
      <w:sz w:val="24"/>
      <w:szCs w:val="24"/>
    </w:rPr>
  </w:style>
  <w:style w:type="character" w:customStyle="1" w:styleId="71">
    <w:name w:val="Char Char24"/>
    <w:qFormat/>
    <w:locked/>
    <w:uiPriority w:val="99"/>
    <w:rPr>
      <w:rFonts w:eastAsia="宋体"/>
      <w:b/>
      <w:bCs/>
      <w:kern w:val="2"/>
      <w:sz w:val="32"/>
      <w:szCs w:val="32"/>
      <w:lang w:val="en-US" w:eastAsia="zh-CN"/>
    </w:rPr>
  </w:style>
  <w:style w:type="character" w:customStyle="1" w:styleId="72">
    <w:name w:val="t_tag"/>
    <w:basedOn w:val="37"/>
    <w:qFormat/>
    <w:uiPriority w:val="99"/>
  </w:style>
  <w:style w:type="character" w:customStyle="1" w:styleId="73">
    <w:name w:val="Char Char3"/>
    <w:qFormat/>
    <w:uiPriority w:val="99"/>
    <w:rPr>
      <w:rFonts w:eastAsia="宋体"/>
      <w:kern w:val="2"/>
      <w:sz w:val="24"/>
      <w:szCs w:val="24"/>
      <w:lang w:val="en-US" w:eastAsia="zh-CN"/>
    </w:rPr>
  </w:style>
  <w:style w:type="paragraph" w:customStyle="1" w:styleId="74">
    <w:name w:val="Char Char Char Char"/>
    <w:basedOn w:val="1"/>
    <w:qFormat/>
    <w:uiPriority w:val="99"/>
    <w:rPr>
      <w:rFonts w:ascii="Tahoma" w:hAnsi="Tahoma" w:cs="Tahoma"/>
      <w:sz w:val="24"/>
      <w:szCs w:val="24"/>
    </w:rPr>
  </w:style>
  <w:style w:type="paragraph" w:customStyle="1" w:styleId="75">
    <w:name w:val="Char Char Char"/>
    <w:basedOn w:val="1"/>
    <w:qFormat/>
    <w:uiPriority w:val="99"/>
    <w:pPr>
      <w:spacing w:line="360" w:lineRule="auto"/>
    </w:pPr>
  </w:style>
  <w:style w:type="paragraph" w:customStyle="1" w:styleId="76">
    <w:name w:val="列出段落1"/>
    <w:basedOn w:val="1"/>
    <w:qFormat/>
    <w:uiPriority w:val="99"/>
    <w:pPr>
      <w:ind w:firstLine="420" w:firstLineChars="200"/>
    </w:pPr>
    <w:rPr>
      <w:rFonts w:ascii="Calibri" w:hAnsi="Calibri" w:cs="Calibri"/>
    </w:rPr>
  </w:style>
  <w:style w:type="paragraph" w:customStyle="1" w:styleId="77">
    <w:name w:val="Char"/>
    <w:basedOn w:val="1"/>
    <w:qFormat/>
    <w:uiPriority w:val="99"/>
    <w:pPr>
      <w:spacing w:line="360" w:lineRule="auto"/>
    </w:pPr>
    <w:rPr>
      <w:rFonts w:ascii="仿宋_GB2312" w:eastAsia="仿宋_GB2312" w:cs="仿宋_GB2312"/>
      <w:b/>
      <w:bCs/>
      <w:sz w:val="32"/>
      <w:szCs w:val="32"/>
    </w:rPr>
  </w:style>
  <w:style w:type="paragraph" w:customStyle="1" w:styleId="78">
    <w:name w:val="保留正文"/>
    <w:basedOn w:val="14"/>
    <w:qFormat/>
    <w:uiPriority w:val="99"/>
    <w:pPr>
      <w:keepNext/>
      <w:spacing w:after="160"/>
      <w:jc w:val="both"/>
    </w:pPr>
  </w:style>
  <w:style w:type="paragraph" w:customStyle="1" w:styleId="79">
    <w:name w:val="普通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80">
    <w:name w:val="目录"/>
    <w:basedOn w:val="1"/>
    <w:qFormat/>
    <w:uiPriority w:val="99"/>
    <w:pPr>
      <w:widowControl/>
      <w:jc w:val="center"/>
    </w:pPr>
    <w:rPr>
      <w:rFonts w:ascii="宋体" w:cs="宋体"/>
      <w:b/>
      <w:bCs/>
      <w:sz w:val="36"/>
      <w:szCs w:val="36"/>
    </w:rPr>
  </w:style>
  <w:style w:type="paragraph" w:customStyle="1" w:styleId="81">
    <w:name w:val="Char Char Char Char1"/>
    <w:basedOn w:val="1"/>
    <w:qFormat/>
    <w:uiPriority w:val="99"/>
    <w:pPr>
      <w:adjustRightInd w:val="0"/>
      <w:spacing w:line="440" w:lineRule="exact"/>
    </w:pPr>
    <w:rPr>
      <w:sz w:val="20"/>
      <w:szCs w:val="20"/>
    </w:rPr>
  </w:style>
  <w:style w:type="character" w:customStyle="1" w:styleId="82">
    <w:name w:val="ui-bz-bg-hover"/>
    <w:basedOn w:val="37"/>
    <w:qFormat/>
    <w:uiPriority w:val="99"/>
    <w:rPr>
      <w:shd w:val="clear" w:color="auto" w:fill="000000"/>
    </w:rPr>
  </w:style>
  <w:style w:type="character" w:customStyle="1" w:styleId="83">
    <w:name w:val="ui-bz-bg-hover1"/>
    <w:basedOn w:val="37"/>
    <w:qFormat/>
    <w:uiPriority w:val="99"/>
  </w:style>
  <w:style w:type="character" w:customStyle="1" w:styleId="84">
    <w:name w:val="top-icon"/>
    <w:basedOn w:val="37"/>
    <w:qFormat/>
    <w:uiPriority w:val="99"/>
  </w:style>
  <w:style w:type="character" w:customStyle="1" w:styleId="85">
    <w:name w:val="t-tag"/>
    <w:basedOn w:val="37"/>
    <w:qFormat/>
    <w:uiPriority w:val="99"/>
    <w:rPr>
      <w:color w:val="FFFFFF"/>
      <w:sz w:val="18"/>
      <w:szCs w:val="18"/>
      <w:shd w:val="clear" w:color="auto" w:fill="auto"/>
    </w:rPr>
  </w:style>
  <w:style w:type="character" w:customStyle="1" w:styleId="86">
    <w:name w:val="bds_more2"/>
    <w:basedOn w:val="37"/>
    <w:qFormat/>
    <w:uiPriority w:val="99"/>
  </w:style>
  <w:style w:type="character" w:customStyle="1" w:styleId="87">
    <w:name w:val="bds_more3"/>
    <w:basedOn w:val="37"/>
    <w:qFormat/>
    <w:uiPriority w:val="99"/>
  </w:style>
  <w:style w:type="character" w:customStyle="1" w:styleId="88">
    <w:name w:val="f-star"/>
    <w:basedOn w:val="37"/>
    <w:qFormat/>
    <w:uiPriority w:val="99"/>
    <w:rPr>
      <w:color w:val="auto"/>
      <w:sz w:val="21"/>
      <w:szCs w:val="21"/>
    </w:rPr>
  </w:style>
  <w:style w:type="character" w:customStyle="1" w:styleId="89">
    <w:name w:val="bds_nopic"/>
    <w:basedOn w:val="37"/>
    <w:qFormat/>
    <w:uiPriority w:val="99"/>
  </w:style>
  <w:style w:type="character" w:customStyle="1" w:styleId="90">
    <w:name w:val="orange"/>
    <w:basedOn w:val="37"/>
    <w:qFormat/>
    <w:uiPriority w:val="99"/>
    <w:rPr>
      <w:color w:val="auto"/>
    </w:rPr>
  </w:style>
  <w:style w:type="character" w:customStyle="1" w:styleId="91">
    <w:name w:val="org_name"/>
    <w:basedOn w:val="37"/>
    <w:qFormat/>
    <w:uiPriority w:val="99"/>
  </w:style>
  <w:style w:type="character" w:customStyle="1" w:styleId="92">
    <w:name w:val="no42"/>
    <w:basedOn w:val="37"/>
    <w:qFormat/>
    <w:uiPriority w:val="99"/>
  </w:style>
  <w:style w:type="character" w:customStyle="1" w:styleId="93">
    <w:name w:val="no52"/>
    <w:basedOn w:val="37"/>
    <w:qFormat/>
    <w:uiPriority w:val="99"/>
  </w:style>
  <w:style w:type="character" w:customStyle="1" w:styleId="94">
    <w:name w:val="no62"/>
    <w:basedOn w:val="37"/>
    <w:qFormat/>
    <w:uiPriority w:val="99"/>
  </w:style>
  <w:style w:type="character" w:customStyle="1" w:styleId="95">
    <w:name w:val="no72"/>
    <w:basedOn w:val="37"/>
    <w:qFormat/>
    <w:uiPriority w:val="99"/>
  </w:style>
  <w:style w:type="character" w:customStyle="1" w:styleId="96">
    <w:name w:val="ico-jiang"/>
    <w:basedOn w:val="37"/>
    <w:qFormat/>
    <w:uiPriority w:val="99"/>
  </w:style>
  <w:style w:type="character" w:customStyle="1" w:styleId="97">
    <w:name w:val="ico-jiang1"/>
    <w:basedOn w:val="37"/>
    <w:qFormat/>
    <w:uiPriority w:val="99"/>
  </w:style>
  <w:style w:type="character" w:customStyle="1" w:styleId="98">
    <w:name w:val="my-notice1"/>
    <w:basedOn w:val="37"/>
    <w:qFormat/>
    <w:uiPriority w:val="99"/>
  </w:style>
  <w:style w:type="character" w:customStyle="1" w:styleId="99">
    <w:name w:val="my-class"/>
    <w:basedOn w:val="37"/>
    <w:qFormat/>
    <w:uiPriority w:val="99"/>
  </w:style>
  <w:style w:type="character" w:customStyle="1" w:styleId="100">
    <w:name w:val="tip10"/>
    <w:basedOn w:val="37"/>
    <w:qFormat/>
    <w:uiPriority w:val="99"/>
    <w:rPr>
      <w:vanish/>
      <w:color w:val="FF0000"/>
      <w:sz w:val="18"/>
      <w:szCs w:val="18"/>
    </w:rPr>
  </w:style>
  <w:style w:type="character" w:customStyle="1" w:styleId="101">
    <w:name w:val="my-class2"/>
    <w:basedOn w:val="37"/>
    <w:qFormat/>
    <w:uiPriority w:val="99"/>
  </w:style>
  <w:style w:type="character" w:customStyle="1" w:styleId="102">
    <w:name w:val="bds_more"/>
    <w:basedOn w:val="37"/>
    <w:qFormat/>
    <w:uiPriority w:val="99"/>
  </w:style>
  <w:style w:type="character" w:customStyle="1" w:styleId="103">
    <w:name w:val="bds_more1"/>
    <w:basedOn w:val="37"/>
    <w:qFormat/>
    <w:uiPriority w:val="99"/>
    <w:rPr>
      <w:rFonts w:ascii="宋体" w:hAnsi="宋体" w:eastAsia="宋体" w:cs="宋体"/>
    </w:rPr>
  </w:style>
  <w:style w:type="character" w:customStyle="1" w:styleId="104">
    <w:name w:val="bds_nopic1"/>
    <w:basedOn w:val="37"/>
    <w:qFormat/>
    <w:uiPriority w:val="99"/>
  </w:style>
  <w:style w:type="character" w:customStyle="1" w:styleId="105">
    <w:name w:val="bds_nopic2"/>
    <w:basedOn w:val="37"/>
    <w:qFormat/>
    <w:uiPriority w:val="99"/>
  </w:style>
  <w:style w:type="character" w:customStyle="1" w:styleId="106">
    <w:name w:val="orange6"/>
    <w:basedOn w:val="37"/>
    <w:qFormat/>
    <w:uiPriority w:val="99"/>
    <w:rPr>
      <w:color w:val="auto"/>
    </w:rPr>
  </w:style>
  <w:style w:type="character" w:customStyle="1" w:styleId="107">
    <w:name w:val="font31"/>
    <w:basedOn w:val="37"/>
    <w:qFormat/>
    <w:uiPriority w:val="99"/>
    <w:rPr>
      <w:rFonts w:ascii="font-weight : 400" w:hAnsi="font-weight : 400" w:cs="font-weight : 400"/>
      <w:color w:val="000000"/>
      <w:sz w:val="20"/>
      <w:szCs w:val="20"/>
      <w:u w:val="none"/>
      <w:vertAlign w:val="superscript"/>
    </w:rPr>
  </w:style>
  <w:style w:type="character" w:customStyle="1" w:styleId="108">
    <w:name w:val="font01"/>
    <w:basedOn w:val="37"/>
    <w:qFormat/>
    <w:uiPriority w:val="99"/>
    <w:rPr>
      <w:rFonts w:ascii="宋体" w:hAnsi="宋体" w:eastAsia="宋体" w:cs="宋体"/>
      <w:color w:val="FF0000"/>
      <w:sz w:val="20"/>
      <w:szCs w:val="20"/>
      <w:u w:val="none"/>
    </w:rPr>
  </w:style>
  <w:style w:type="character" w:customStyle="1" w:styleId="109">
    <w:name w:val="font11"/>
    <w:basedOn w:val="37"/>
    <w:qFormat/>
    <w:uiPriority w:val="99"/>
    <w:rPr>
      <w:rFonts w:ascii="宋体" w:hAnsi="宋体" w:eastAsia="宋体" w:cs="宋体"/>
      <w:color w:val="000000"/>
      <w:sz w:val="20"/>
      <w:szCs w:val="20"/>
      <w:u w:val="none"/>
    </w:rPr>
  </w:style>
  <w:style w:type="paragraph" w:customStyle="1" w:styleId="110">
    <w:name w:val="Revision1"/>
    <w:hidden/>
    <w:qFormat/>
    <w:uiPriority w:val="99"/>
    <w:rPr>
      <w:rFonts w:ascii="Times New Roman" w:hAnsi="Times New Roman" w:eastAsia="宋体" w:cs="Times New Roman"/>
      <w:kern w:val="2"/>
      <w:sz w:val="21"/>
      <w:szCs w:val="21"/>
      <w:lang w:val="en-US" w:eastAsia="zh-CN" w:bidi="ar-SA"/>
    </w:rPr>
  </w:style>
  <w:style w:type="paragraph" w:customStyle="1" w:styleId="111">
    <w:name w:val="表注1"/>
    <w:basedOn w:val="1"/>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2">
    <w:name w:val="List Paragraph"/>
    <w:basedOn w:val="1"/>
    <w:qFormat/>
    <w:uiPriority w:val="34"/>
    <w:pPr>
      <w:ind w:firstLine="420" w:firstLineChars="200"/>
    </w:pPr>
  </w:style>
  <w:style w:type="paragraph" w:customStyle="1" w:styleId="113">
    <w:name w:val="目录文字"/>
    <w:basedOn w:val="1"/>
    <w:qFormat/>
    <w:uiPriority w:val="0"/>
    <w:pPr>
      <w:widowControl/>
      <w:spacing w:line="480" w:lineRule="auto"/>
      <w:jc w:val="left"/>
    </w:pPr>
    <w:rPr>
      <w:rFonts w:ascii="宋体" w:hAnsi="宋体"/>
      <w:kern w:val="0"/>
      <w:sz w:val="24"/>
      <w:szCs w:val="20"/>
    </w:rPr>
  </w:style>
  <w:style w:type="paragraph" w:customStyle="1" w:styleId="114">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27236</Words>
  <Characters>29032</Characters>
  <Lines>97</Lines>
  <Paragraphs>102</Paragraphs>
  <TotalTime>4</TotalTime>
  <ScaleCrop>false</ScaleCrop>
  <LinksUpToDate>false</LinksUpToDate>
  <CharactersWithSpaces>30037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Administrator</cp:lastModifiedBy>
  <cp:lastPrinted>2017-05-10T10:09:00Z</cp:lastPrinted>
  <dcterms:modified xsi:type="dcterms:W3CDTF">2022-08-29T01:30:22Z</dcterms:modified>
  <dc:title>招标编号:SXLHZB2009-276</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6C2A7A1ABE4347C1959369812129D404</vt:lpwstr>
  </property>
</Properties>
</file>