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numId w:val="0"/>
        </w:numPr>
        <w:shd w:val="clear"/>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采购内容及技术要求</w:t>
      </w:r>
      <w:bookmarkStart w:id="0" w:name="_Toc63242021"/>
    </w:p>
    <w:bookmarkEnd w:id="0"/>
    <w:p>
      <w:pPr>
        <w:shd w:val="clear"/>
        <w:bidi w:val="0"/>
        <w:rPr>
          <w:rFonts w:hint="eastAsia"/>
          <w:highlight w:val="none"/>
          <w:lang w:val="en-US" w:eastAsia="zh-CN"/>
        </w:rPr>
      </w:pPr>
    </w:p>
    <w:p>
      <w:pPr>
        <w:shd w:val="clear"/>
        <w:adjustRightInd w:val="0"/>
        <w:snapToGrid w:val="0"/>
        <w:spacing w:line="360" w:lineRule="auto"/>
        <w:rPr>
          <w:sz w:val="28"/>
          <w:szCs w:val="28"/>
          <w:highlight w:val="none"/>
        </w:rPr>
      </w:pPr>
      <w:r>
        <w:rPr>
          <w:rFonts w:hint="eastAsia" w:ascii="宋体" w:hAnsi="宋体" w:cs="宋体"/>
          <w:b/>
          <w:bCs/>
          <w:sz w:val="28"/>
          <w:szCs w:val="28"/>
          <w:highlight w:val="none"/>
        </w:rPr>
        <w:t>一、采购内容及要求</w:t>
      </w:r>
    </w:p>
    <w:p>
      <w:pPr>
        <w:pStyle w:val="5"/>
        <w:shd w:val="clear"/>
        <w:spacing w:line="440" w:lineRule="exact"/>
        <w:ind w:left="0" w:leftChars="0" w:right="-147" w:firstLine="0" w:firstLineChars="0"/>
        <w:rPr>
          <w:rFonts w:ascii="宋体" w:hAnsi="宋体" w:eastAsia="宋体" w:cs="宋体"/>
          <w:b/>
          <w:kern w:val="0"/>
          <w:sz w:val="24"/>
          <w:szCs w:val="24"/>
          <w:highlight w:val="none"/>
          <w:lang w:bidi="ar"/>
        </w:rPr>
      </w:pPr>
      <w:r>
        <w:rPr>
          <w:rFonts w:hint="eastAsia" w:ascii="宋体" w:hAnsi="宋体" w:eastAsia="宋体" w:cs="宋体"/>
          <w:b/>
          <w:kern w:val="0"/>
          <w:sz w:val="24"/>
          <w:szCs w:val="24"/>
          <w:highlight w:val="none"/>
          <w:lang w:bidi="ar"/>
        </w:rPr>
        <w:t>1.1 采购背景</w:t>
      </w:r>
    </w:p>
    <w:p>
      <w:pPr>
        <w:pStyle w:val="5"/>
        <w:shd w:val="clear"/>
        <w:spacing w:line="440" w:lineRule="exact"/>
        <w:ind w:left="0" w:leftChars="0" w:right="-147" w:firstLine="480"/>
        <w:rPr>
          <w:rFonts w:ascii="宋体" w:hAnsi="宋体" w:eastAsia="宋体" w:cs="宋体"/>
          <w:bCs/>
          <w:kern w:val="0"/>
          <w:sz w:val="24"/>
          <w:szCs w:val="24"/>
          <w:highlight w:val="none"/>
          <w:lang w:bidi="ar"/>
        </w:rPr>
      </w:pPr>
      <w:r>
        <w:rPr>
          <w:rFonts w:hint="eastAsia" w:ascii="宋体" w:hAnsi="宋体" w:eastAsia="宋体" w:cs="宋体"/>
          <w:bCs/>
          <w:kern w:val="0"/>
          <w:sz w:val="24"/>
          <w:szCs w:val="24"/>
          <w:highlight w:val="none"/>
          <w:lang w:bidi="ar"/>
        </w:rPr>
        <w:t>为了响应中共中央总书记习近平关于政法综治“提升平安中国建设能力和水平”相关要求，全面提高全国政法综治工作信息化水平和平安建设现代化水平，中央政法委2013年在工信部推进司的推荐下，采用视联网技术开始建设面向全国的“社会治安综合治理视联网平台”（简称全国综治视联网）。</w:t>
      </w:r>
    </w:p>
    <w:p>
      <w:pPr>
        <w:pStyle w:val="5"/>
        <w:shd w:val="clear"/>
        <w:spacing w:line="440" w:lineRule="exact"/>
        <w:ind w:left="0" w:leftChars="0" w:right="-147" w:firstLine="480"/>
        <w:rPr>
          <w:rFonts w:ascii="宋体" w:hAnsi="宋体" w:eastAsia="宋体" w:cs="宋体"/>
          <w:bCs/>
          <w:kern w:val="0"/>
          <w:sz w:val="24"/>
          <w:szCs w:val="24"/>
          <w:highlight w:val="none"/>
          <w:lang w:bidi="ar"/>
        </w:rPr>
      </w:pPr>
      <w:r>
        <w:rPr>
          <w:rFonts w:hint="eastAsia" w:ascii="宋体" w:hAnsi="宋体" w:eastAsia="宋体" w:cs="宋体"/>
          <w:bCs/>
          <w:kern w:val="0"/>
          <w:sz w:val="24"/>
          <w:szCs w:val="24"/>
          <w:highlight w:val="none"/>
          <w:lang w:bidi="ar"/>
        </w:rPr>
        <w:t>2020年初，中央政法委在抗击新型冠状病毒期间，为贯彻落实好习近平总书记关于做好疫情防控工作的一系列重要指示精神，印发了《关于进一步发挥基层综治中心和网格员作用筑牢疫情防控第一道防线的通知》。其中指出，要充分运用“综治中心＋网格化＋信息化”体系，服务疫情防控整体工作。发挥基层综治中心平台优势，整合基层政法单位等资源力量，推动相关部门协调联动，着力推动防控力量向社区下沉、向网格延伸。引导社区在开展必要“面对面”巡查检查的同时，充分运用“屏对屏”方式，搭建线上便捷渠道，及时响应群众需求。推进信息系统完善功能、互联互通，减少信息重复采集录入。深化大数据、物联网及“雪亮工程”等系统应用，提升疫情防控效能。</w:t>
      </w:r>
    </w:p>
    <w:p>
      <w:pPr>
        <w:pStyle w:val="5"/>
        <w:shd w:val="clear"/>
        <w:spacing w:line="440" w:lineRule="exact"/>
        <w:ind w:left="0" w:leftChars="0" w:right="-147" w:firstLine="480"/>
        <w:rPr>
          <w:rFonts w:hint="eastAsia" w:ascii="宋体" w:hAnsi="宋体" w:eastAsia="宋体" w:cs="宋体"/>
          <w:bCs/>
          <w:kern w:val="0"/>
          <w:sz w:val="24"/>
          <w:szCs w:val="24"/>
          <w:highlight w:val="none"/>
          <w:lang w:bidi="ar"/>
        </w:rPr>
      </w:pPr>
      <w:r>
        <w:rPr>
          <w:rFonts w:hint="eastAsia" w:ascii="宋体" w:hAnsi="宋体" w:eastAsia="宋体" w:cs="宋体"/>
          <w:bCs/>
          <w:kern w:val="0"/>
          <w:sz w:val="24"/>
          <w:szCs w:val="24"/>
          <w:highlight w:val="none"/>
          <w:lang w:bidi="ar"/>
        </w:rPr>
        <w:t>为认真贯彻落实中央和省委、市委部署，打造新时代共建共治共享社会治理格局。本方案按照中央政法委“顶层设计、统一规划”相关要求，遵循《关于加强公共安全监控建设联网应用工作的若干意见》(发改高技〔2015〕996号)、《社会治安综合治理基础数据规范》（GB/T 31000-2015）及《社会治安综合治理综治中心建设与管理规范》（GB/T 33200-2016）等相关规范，结合周至县实际情况，积极落实基层社会治理理念、制度、机制，深入推进基层联网覆盖，建立健全区域联动、资源共享、全程可视的社会治理安全防控体系，形成基层社会治理的工作合力，共建共创共享社会治理新格局，为周至县经济高质量发展保驾护航。</w:t>
      </w:r>
    </w:p>
    <w:p>
      <w:pPr>
        <w:pStyle w:val="5"/>
        <w:shd w:val="clear"/>
        <w:spacing w:line="440" w:lineRule="exact"/>
        <w:ind w:left="0" w:leftChars="0" w:right="-147" w:firstLine="480"/>
        <w:rPr>
          <w:rFonts w:hint="eastAsia" w:ascii="宋体" w:hAnsi="宋体" w:eastAsia="宋体" w:cs="宋体"/>
          <w:bCs/>
          <w:kern w:val="0"/>
          <w:sz w:val="24"/>
          <w:szCs w:val="24"/>
          <w:highlight w:val="none"/>
          <w:lang w:bidi="ar"/>
        </w:rPr>
      </w:pPr>
      <w:bookmarkStart w:id="1" w:name="_GoBack"/>
      <w:bookmarkEnd w:id="1"/>
    </w:p>
    <w:p>
      <w:pPr>
        <w:pStyle w:val="5"/>
        <w:shd w:val="clear"/>
        <w:spacing w:line="440" w:lineRule="exact"/>
        <w:ind w:left="0" w:leftChars="0" w:right="-147" w:firstLine="0" w:firstLineChars="0"/>
        <w:rPr>
          <w:rFonts w:ascii="宋体" w:hAnsi="宋体" w:eastAsia="宋体" w:cs="宋体"/>
          <w:b/>
          <w:kern w:val="0"/>
          <w:sz w:val="24"/>
          <w:szCs w:val="24"/>
          <w:highlight w:val="none"/>
          <w:lang w:bidi="ar"/>
        </w:rPr>
      </w:pPr>
      <w:r>
        <w:rPr>
          <w:rFonts w:hint="eastAsia" w:ascii="宋体" w:hAnsi="宋体" w:eastAsia="宋体" w:cs="宋体"/>
          <w:b/>
          <w:kern w:val="0"/>
          <w:sz w:val="24"/>
          <w:szCs w:val="24"/>
          <w:highlight w:val="none"/>
          <w:lang w:bidi="ar"/>
        </w:rPr>
        <w:t>1.2 采购内容</w:t>
      </w:r>
    </w:p>
    <w:p>
      <w:pPr>
        <w:pStyle w:val="5"/>
        <w:shd w:val="clear"/>
        <w:spacing w:line="440" w:lineRule="exact"/>
        <w:ind w:left="0" w:leftChars="0" w:right="-147" w:firstLine="480"/>
        <w:rPr>
          <w:rFonts w:ascii="宋体" w:hAnsi="宋体" w:eastAsia="宋体" w:cs="宋体"/>
          <w:bCs/>
          <w:kern w:val="0"/>
          <w:sz w:val="24"/>
          <w:szCs w:val="24"/>
          <w:highlight w:val="none"/>
          <w:lang w:bidi="ar"/>
        </w:rPr>
      </w:pPr>
      <w:r>
        <w:rPr>
          <w:rFonts w:hint="eastAsia" w:ascii="宋体" w:hAnsi="宋体" w:eastAsia="宋体" w:cs="宋体"/>
          <w:bCs/>
          <w:kern w:val="0"/>
          <w:sz w:val="24"/>
          <w:szCs w:val="24"/>
          <w:highlight w:val="none"/>
          <w:lang w:bidi="ar"/>
        </w:rPr>
        <w:t>为满足综治视联网区、社区（村）二级自主调度，需采购视频会议服务，主要包括会议组织服务，会议调度服务，会议保障服务。为满足以上服务，须提供以下产品：</w:t>
      </w:r>
    </w:p>
    <w:p>
      <w:pPr>
        <w:pStyle w:val="5"/>
        <w:shd w:val="clear"/>
        <w:spacing w:line="440" w:lineRule="exact"/>
        <w:ind w:left="0" w:leftChars="0" w:right="-147" w:firstLine="0" w:firstLineChars="0"/>
        <w:rPr>
          <w:rFonts w:ascii="宋体" w:hAnsi="宋体" w:eastAsia="宋体" w:cs="宋体"/>
          <w:bCs/>
          <w:kern w:val="0"/>
          <w:sz w:val="24"/>
          <w:szCs w:val="24"/>
          <w:highlight w:val="none"/>
          <w:lang w:bidi="ar"/>
        </w:rPr>
      </w:pPr>
      <w:r>
        <w:rPr>
          <w:rFonts w:ascii="宋体" w:hAnsi="宋体" w:eastAsia="宋体" w:cs="宋体"/>
          <w:bCs/>
          <w:kern w:val="0"/>
          <w:sz w:val="24"/>
          <w:szCs w:val="24"/>
          <w:highlight w:val="none"/>
          <w:lang w:bidi="ar"/>
        </w:rPr>
        <w:t>1</w:t>
      </w:r>
      <w:r>
        <w:rPr>
          <w:rFonts w:hint="eastAsia" w:ascii="宋体" w:hAnsi="宋体" w:eastAsia="宋体" w:cs="宋体"/>
          <w:bCs/>
          <w:kern w:val="0"/>
          <w:sz w:val="24"/>
          <w:szCs w:val="24"/>
          <w:highlight w:val="none"/>
          <w:lang w:bidi="ar"/>
        </w:rPr>
        <w:t>、社区指挥中心（一体式会议终端、视联网专线、安装调试服务）。</w:t>
      </w:r>
    </w:p>
    <w:p>
      <w:pPr>
        <w:pStyle w:val="5"/>
        <w:shd w:val="clear"/>
        <w:spacing w:line="440" w:lineRule="exact"/>
        <w:ind w:left="0" w:leftChars="0" w:right="-147" w:firstLine="0" w:firstLineChars="0"/>
        <w:rPr>
          <w:rFonts w:ascii="宋体" w:hAnsi="宋体" w:eastAsia="宋体" w:cs="宋体"/>
          <w:bCs/>
          <w:kern w:val="0"/>
          <w:sz w:val="24"/>
          <w:szCs w:val="24"/>
          <w:highlight w:val="none"/>
          <w:lang w:bidi="ar"/>
        </w:rPr>
      </w:pPr>
    </w:p>
    <w:p>
      <w:pPr>
        <w:pStyle w:val="5"/>
        <w:shd w:val="clear"/>
        <w:spacing w:line="440" w:lineRule="exact"/>
        <w:ind w:left="0" w:leftChars="0" w:right="-147" w:firstLine="0" w:firstLineChars="0"/>
        <w:rPr>
          <w:rFonts w:ascii="宋体" w:hAnsi="宋体" w:eastAsia="宋体" w:cs="宋体"/>
          <w:bCs/>
          <w:kern w:val="0"/>
          <w:sz w:val="24"/>
          <w:szCs w:val="24"/>
          <w:highlight w:val="none"/>
          <w:lang w:bidi="ar"/>
        </w:rPr>
      </w:pPr>
    </w:p>
    <w:p>
      <w:pPr>
        <w:pStyle w:val="5"/>
        <w:shd w:val="clear"/>
        <w:spacing w:line="440" w:lineRule="exact"/>
        <w:ind w:left="0" w:leftChars="0" w:right="-147" w:firstLine="0" w:firstLineChars="0"/>
        <w:rPr>
          <w:rFonts w:ascii="宋体" w:hAnsi="宋体" w:eastAsia="宋体" w:cs="宋体"/>
          <w:bCs/>
          <w:kern w:val="0"/>
          <w:sz w:val="24"/>
          <w:szCs w:val="24"/>
          <w:highlight w:val="none"/>
          <w:lang w:bidi="ar"/>
        </w:rPr>
      </w:pPr>
    </w:p>
    <w:p>
      <w:pPr>
        <w:pStyle w:val="5"/>
        <w:shd w:val="clear"/>
        <w:spacing w:line="440" w:lineRule="exact"/>
        <w:ind w:left="0" w:leftChars="0" w:right="-147" w:firstLine="0" w:firstLineChars="0"/>
        <w:rPr>
          <w:rFonts w:ascii="宋体" w:hAnsi="宋体" w:eastAsia="宋体" w:cs="宋体"/>
          <w:b/>
          <w:kern w:val="0"/>
          <w:sz w:val="24"/>
          <w:szCs w:val="24"/>
          <w:highlight w:val="none"/>
          <w:lang w:bidi="ar"/>
        </w:rPr>
      </w:pPr>
      <w:r>
        <w:rPr>
          <w:rFonts w:hint="eastAsia" w:ascii="宋体" w:hAnsi="宋体" w:eastAsia="宋体" w:cs="宋体"/>
          <w:b/>
          <w:kern w:val="0"/>
          <w:sz w:val="24"/>
          <w:szCs w:val="24"/>
          <w:highlight w:val="none"/>
          <w:lang w:bidi="ar"/>
        </w:rPr>
        <w:t>1.3设备清单</w:t>
      </w:r>
    </w:p>
    <w:p>
      <w:pPr>
        <w:pStyle w:val="5"/>
        <w:shd w:val="clear"/>
        <w:spacing w:line="440" w:lineRule="exact"/>
        <w:ind w:left="0" w:leftChars="0" w:right="-147" w:firstLine="0" w:firstLineChars="0"/>
        <w:rPr>
          <w:rFonts w:ascii="宋体" w:hAnsi="宋体" w:eastAsia="宋体" w:cs="宋体"/>
          <w:b/>
          <w:kern w:val="0"/>
          <w:sz w:val="24"/>
          <w:szCs w:val="24"/>
          <w:highlight w:val="none"/>
          <w:lang w:bidi="ar"/>
        </w:rPr>
      </w:pPr>
    </w:p>
    <w:p>
      <w:pPr>
        <w:pStyle w:val="5"/>
        <w:shd w:val="clear"/>
        <w:spacing w:line="440" w:lineRule="exact"/>
        <w:ind w:left="0" w:leftChars="0" w:right="-147" w:firstLine="0" w:firstLineChars="0"/>
        <w:rPr>
          <w:rFonts w:ascii="宋体" w:hAnsi="宋体" w:eastAsia="宋体" w:cs="宋体"/>
          <w:b/>
          <w:kern w:val="0"/>
          <w:sz w:val="24"/>
          <w:szCs w:val="24"/>
          <w:highlight w:val="none"/>
          <w:lang w:bidi="ar"/>
        </w:rPr>
      </w:pPr>
    </w:p>
    <w:tbl>
      <w:tblPr>
        <w:tblStyle w:val="6"/>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2129"/>
        <w:gridCol w:w="1856"/>
        <w:gridCol w:w="123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7" w:type="dxa"/>
            <w:gridSpan w:val="5"/>
            <w:noWrap w:val="0"/>
            <w:vAlign w:val="center"/>
          </w:tcPr>
          <w:p>
            <w:pPr>
              <w:shd w:val="clear"/>
              <w:autoSpaceDE w:val="0"/>
              <w:autoSpaceDN w:val="0"/>
              <w:adjustRightInd w:val="0"/>
              <w:snapToGrid w:val="0"/>
              <w:spacing w:line="348" w:lineRule="auto"/>
              <w:jc w:val="center"/>
              <w:rPr>
                <w:rFonts w:ascii="宋体" w:hAnsi="宋体" w:cs="宋体"/>
                <w:bCs/>
                <w:sz w:val="24"/>
                <w:highlight w:val="none"/>
              </w:rPr>
            </w:pPr>
            <w:r>
              <w:rPr>
                <w:rFonts w:hint="eastAsia" w:ascii="宋体" w:hAnsi="宋体" w:cs="宋体"/>
                <w:sz w:val="24"/>
                <w:highlight w:val="none"/>
              </w:rPr>
              <w:t>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7" w:type="dxa"/>
            <w:gridSpan w:val="5"/>
            <w:noWrap w:val="0"/>
            <w:vAlign w:val="center"/>
          </w:tcPr>
          <w:p>
            <w:pPr>
              <w:shd w:val="clear"/>
              <w:autoSpaceDE w:val="0"/>
              <w:autoSpaceDN w:val="0"/>
              <w:adjustRightInd w:val="0"/>
              <w:snapToGrid w:val="0"/>
              <w:spacing w:line="348" w:lineRule="auto"/>
              <w:jc w:val="left"/>
              <w:rPr>
                <w:rFonts w:ascii="宋体" w:hAnsi="宋体" w:cs="宋体"/>
                <w:bCs/>
                <w:sz w:val="24"/>
                <w:highlight w:val="none"/>
              </w:rPr>
            </w:pPr>
            <w:r>
              <w:rPr>
                <w:rFonts w:hint="eastAsia" w:ascii="宋体" w:hAnsi="宋体" w:cs="宋体"/>
                <w:sz w:val="24"/>
                <w:highlight w:val="none"/>
              </w:rPr>
              <w:t>一、社区村指挥中心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noWrap w:val="0"/>
            <w:vAlign w:val="center"/>
          </w:tcPr>
          <w:p>
            <w:pPr>
              <w:shd w:val="clear"/>
              <w:autoSpaceDE w:val="0"/>
              <w:autoSpaceDN w:val="0"/>
              <w:adjustRightInd w:val="0"/>
              <w:snapToGrid w:val="0"/>
              <w:spacing w:line="348" w:lineRule="auto"/>
              <w:jc w:val="center"/>
              <w:rPr>
                <w:rFonts w:ascii="宋体" w:hAnsi="宋体" w:cs="宋体"/>
                <w:sz w:val="24"/>
                <w:highlight w:val="none"/>
              </w:rPr>
            </w:pPr>
            <w:r>
              <w:rPr>
                <w:rFonts w:hint="eastAsia" w:ascii="宋体" w:hAnsi="宋体" w:cs="宋体"/>
                <w:sz w:val="24"/>
                <w:highlight w:val="none"/>
              </w:rPr>
              <w:t>序号</w:t>
            </w:r>
          </w:p>
        </w:tc>
        <w:tc>
          <w:tcPr>
            <w:tcW w:w="2129" w:type="dxa"/>
            <w:noWrap w:val="0"/>
            <w:vAlign w:val="center"/>
          </w:tcPr>
          <w:p>
            <w:pPr>
              <w:shd w:val="clear"/>
              <w:jc w:val="center"/>
              <w:rPr>
                <w:rFonts w:ascii="宋体" w:hAnsi="宋体" w:cs="宋体"/>
                <w:sz w:val="24"/>
                <w:highlight w:val="none"/>
              </w:rPr>
            </w:pPr>
            <w:r>
              <w:rPr>
                <w:rFonts w:hint="eastAsia" w:ascii="宋体" w:hAnsi="宋体" w:cs="宋体"/>
                <w:bCs/>
                <w:sz w:val="24"/>
                <w:highlight w:val="none"/>
              </w:rPr>
              <w:t>服务名称</w:t>
            </w:r>
          </w:p>
        </w:tc>
        <w:tc>
          <w:tcPr>
            <w:tcW w:w="1856" w:type="dxa"/>
            <w:noWrap w:val="0"/>
            <w:vAlign w:val="center"/>
          </w:tcPr>
          <w:p>
            <w:pPr>
              <w:shd w:val="clear"/>
              <w:autoSpaceDE w:val="0"/>
              <w:autoSpaceDN w:val="0"/>
              <w:adjustRightInd w:val="0"/>
              <w:snapToGrid w:val="0"/>
              <w:spacing w:line="348" w:lineRule="auto"/>
              <w:jc w:val="center"/>
              <w:rPr>
                <w:rFonts w:ascii="宋体" w:hAnsi="宋体" w:cs="宋体"/>
                <w:bCs/>
                <w:sz w:val="24"/>
                <w:highlight w:val="none"/>
              </w:rPr>
            </w:pPr>
            <w:r>
              <w:rPr>
                <w:rFonts w:hint="eastAsia" w:ascii="宋体" w:hAnsi="宋体" w:cs="宋体"/>
                <w:bCs/>
                <w:sz w:val="24"/>
                <w:highlight w:val="none"/>
              </w:rPr>
              <w:t>服务所需产品</w:t>
            </w:r>
          </w:p>
        </w:tc>
        <w:tc>
          <w:tcPr>
            <w:tcW w:w="1230" w:type="dxa"/>
            <w:noWrap w:val="0"/>
            <w:vAlign w:val="center"/>
          </w:tcPr>
          <w:p>
            <w:pPr>
              <w:shd w:val="clear"/>
              <w:autoSpaceDE w:val="0"/>
              <w:autoSpaceDN w:val="0"/>
              <w:adjustRightInd w:val="0"/>
              <w:snapToGrid w:val="0"/>
              <w:spacing w:line="348" w:lineRule="auto"/>
              <w:jc w:val="center"/>
              <w:rPr>
                <w:rFonts w:ascii="宋体" w:hAnsi="宋体" w:cs="宋体"/>
                <w:bCs/>
                <w:sz w:val="24"/>
                <w:highlight w:val="none"/>
              </w:rPr>
            </w:pPr>
            <w:r>
              <w:rPr>
                <w:rFonts w:hint="eastAsia" w:ascii="宋体" w:hAnsi="宋体" w:cs="宋体"/>
                <w:sz w:val="24"/>
                <w:highlight w:val="none"/>
              </w:rPr>
              <w:t>数量</w:t>
            </w:r>
          </w:p>
        </w:tc>
        <w:tc>
          <w:tcPr>
            <w:tcW w:w="1418" w:type="dxa"/>
            <w:noWrap w:val="0"/>
            <w:vAlign w:val="center"/>
          </w:tcPr>
          <w:p>
            <w:pPr>
              <w:shd w:val="clear"/>
              <w:autoSpaceDE w:val="0"/>
              <w:autoSpaceDN w:val="0"/>
              <w:adjustRightInd w:val="0"/>
              <w:snapToGrid w:val="0"/>
              <w:spacing w:line="348" w:lineRule="auto"/>
              <w:jc w:val="center"/>
              <w:rPr>
                <w:rFonts w:ascii="宋体" w:hAnsi="宋体" w:cs="宋体"/>
                <w:bCs/>
                <w:sz w:val="24"/>
                <w:highlight w:val="none"/>
              </w:rPr>
            </w:pPr>
            <w:r>
              <w:rPr>
                <w:rFonts w:hint="eastAsia" w:ascii="宋体" w:hAnsi="宋体" w:cs="宋体"/>
                <w:sz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1584" w:type="dxa"/>
            <w:noWrap w:val="0"/>
            <w:vAlign w:val="center"/>
          </w:tcPr>
          <w:p>
            <w:pPr>
              <w:shd w:val="clear"/>
              <w:autoSpaceDE w:val="0"/>
              <w:autoSpaceDN w:val="0"/>
              <w:adjustRightInd w:val="0"/>
              <w:snapToGrid w:val="0"/>
              <w:spacing w:line="348" w:lineRule="auto"/>
              <w:jc w:val="center"/>
              <w:rPr>
                <w:rFonts w:ascii="宋体" w:hAnsi="宋体" w:cs="宋体"/>
                <w:bCs/>
                <w:sz w:val="24"/>
                <w:highlight w:val="none"/>
              </w:rPr>
            </w:pPr>
            <w:r>
              <w:rPr>
                <w:rFonts w:hint="eastAsia" w:ascii="宋体" w:hAnsi="宋体" w:cs="宋体"/>
                <w:bCs/>
                <w:sz w:val="24"/>
                <w:highlight w:val="none"/>
              </w:rPr>
              <w:t>1</w:t>
            </w:r>
          </w:p>
        </w:tc>
        <w:tc>
          <w:tcPr>
            <w:tcW w:w="2129" w:type="dxa"/>
            <w:vMerge w:val="restart"/>
            <w:noWrap w:val="0"/>
            <w:vAlign w:val="center"/>
          </w:tcPr>
          <w:p>
            <w:pPr>
              <w:shd w:val="clear"/>
              <w:jc w:val="center"/>
              <w:rPr>
                <w:rFonts w:ascii="宋体" w:hAnsi="宋体" w:cs="宋体"/>
                <w:sz w:val="24"/>
                <w:highlight w:val="none"/>
              </w:rPr>
            </w:pPr>
            <w:r>
              <w:rPr>
                <w:rFonts w:hint="eastAsia" w:ascii="宋体" w:hAnsi="宋体" w:cs="宋体"/>
                <w:sz w:val="24"/>
                <w:highlight w:val="none"/>
              </w:rPr>
              <w:t>视频会议服务</w:t>
            </w:r>
          </w:p>
        </w:tc>
        <w:tc>
          <w:tcPr>
            <w:tcW w:w="1856" w:type="dxa"/>
            <w:noWrap w:val="0"/>
            <w:vAlign w:val="center"/>
          </w:tcPr>
          <w:p>
            <w:pPr>
              <w:shd w:val="clear"/>
              <w:jc w:val="center"/>
              <w:rPr>
                <w:rFonts w:ascii="宋体" w:hAnsi="宋体" w:cs="宋体"/>
                <w:sz w:val="24"/>
                <w:highlight w:val="none"/>
              </w:rPr>
            </w:pPr>
            <w:r>
              <w:rPr>
                <w:rFonts w:hint="eastAsia" w:ascii="宋体" w:hAnsi="宋体" w:cs="宋体"/>
                <w:sz w:val="24"/>
                <w:highlight w:val="none"/>
              </w:rPr>
              <w:t>社区村视联网终端</w:t>
            </w:r>
          </w:p>
        </w:tc>
        <w:tc>
          <w:tcPr>
            <w:tcW w:w="1230" w:type="dxa"/>
            <w:noWrap w:val="0"/>
            <w:vAlign w:val="center"/>
          </w:tcPr>
          <w:p>
            <w:pPr>
              <w:shd w:val="clear"/>
              <w:jc w:val="center"/>
              <w:rPr>
                <w:rFonts w:hint="eastAsia" w:ascii="宋体" w:hAnsi="宋体" w:eastAsia="宋体" w:cs="宋体"/>
                <w:sz w:val="24"/>
                <w:highlight w:val="none"/>
                <w:lang w:eastAsia="zh-CN"/>
              </w:rPr>
            </w:pPr>
          </w:p>
        </w:tc>
        <w:tc>
          <w:tcPr>
            <w:tcW w:w="1418" w:type="dxa"/>
            <w:noWrap w:val="0"/>
            <w:vAlign w:val="center"/>
          </w:tcPr>
          <w:p>
            <w:pPr>
              <w:shd w:val="clea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4" w:type="dxa"/>
            <w:vMerge w:val="restart"/>
            <w:noWrap w:val="0"/>
            <w:vAlign w:val="center"/>
          </w:tcPr>
          <w:p>
            <w:pPr>
              <w:shd w:val="clear"/>
              <w:autoSpaceDE w:val="0"/>
              <w:autoSpaceDN w:val="0"/>
              <w:adjustRightInd w:val="0"/>
              <w:snapToGrid w:val="0"/>
              <w:spacing w:line="348" w:lineRule="auto"/>
              <w:jc w:val="center"/>
              <w:rPr>
                <w:rFonts w:ascii="宋体" w:hAnsi="宋体" w:cs="宋体"/>
                <w:bCs/>
                <w:sz w:val="24"/>
                <w:highlight w:val="none"/>
              </w:rPr>
            </w:pPr>
          </w:p>
        </w:tc>
        <w:tc>
          <w:tcPr>
            <w:tcW w:w="2129" w:type="dxa"/>
            <w:vMerge w:val="continue"/>
            <w:noWrap w:val="0"/>
            <w:vAlign w:val="center"/>
          </w:tcPr>
          <w:p>
            <w:pPr>
              <w:shd w:val="clear"/>
              <w:autoSpaceDE w:val="0"/>
              <w:autoSpaceDN w:val="0"/>
              <w:adjustRightInd w:val="0"/>
              <w:snapToGrid w:val="0"/>
              <w:spacing w:line="348" w:lineRule="auto"/>
              <w:jc w:val="center"/>
              <w:rPr>
                <w:rFonts w:ascii="宋体" w:hAnsi="宋体" w:cs="宋体"/>
                <w:bCs/>
                <w:sz w:val="24"/>
                <w:highlight w:val="none"/>
              </w:rPr>
            </w:pPr>
          </w:p>
        </w:tc>
        <w:tc>
          <w:tcPr>
            <w:tcW w:w="1856" w:type="dxa"/>
            <w:noWrap w:val="0"/>
            <w:vAlign w:val="center"/>
          </w:tcPr>
          <w:p>
            <w:pPr>
              <w:shd w:val="clear"/>
              <w:jc w:val="center"/>
              <w:rPr>
                <w:rFonts w:ascii="宋体" w:hAnsi="宋体" w:cs="宋体"/>
                <w:sz w:val="24"/>
                <w:highlight w:val="none"/>
              </w:rPr>
            </w:pPr>
            <w:r>
              <w:rPr>
                <w:rFonts w:hint="eastAsia" w:ascii="宋体" w:hAnsi="宋体" w:cs="宋体"/>
                <w:sz w:val="24"/>
                <w:highlight w:val="none"/>
              </w:rPr>
              <w:t>视联网专线</w:t>
            </w:r>
          </w:p>
        </w:tc>
        <w:tc>
          <w:tcPr>
            <w:tcW w:w="1230" w:type="dxa"/>
            <w:noWrap w:val="0"/>
            <w:vAlign w:val="center"/>
          </w:tcPr>
          <w:p>
            <w:pPr>
              <w:shd w:val="clear"/>
              <w:jc w:val="center"/>
              <w:rPr>
                <w:rFonts w:ascii="宋体" w:hAnsi="宋体" w:cs="宋体"/>
                <w:sz w:val="24"/>
                <w:highlight w:val="none"/>
              </w:rPr>
            </w:pPr>
          </w:p>
        </w:tc>
        <w:tc>
          <w:tcPr>
            <w:tcW w:w="1418" w:type="dxa"/>
            <w:noWrap w:val="0"/>
            <w:vAlign w:val="center"/>
          </w:tcPr>
          <w:p>
            <w:pPr>
              <w:shd w:val="clea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84" w:type="dxa"/>
            <w:vMerge w:val="continue"/>
            <w:noWrap w:val="0"/>
            <w:vAlign w:val="center"/>
          </w:tcPr>
          <w:p>
            <w:pPr>
              <w:shd w:val="clear"/>
              <w:autoSpaceDE w:val="0"/>
              <w:autoSpaceDN w:val="0"/>
              <w:adjustRightInd w:val="0"/>
              <w:snapToGrid w:val="0"/>
              <w:spacing w:line="348" w:lineRule="auto"/>
              <w:jc w:val="center"/>
              <w:rPr>
                <w:rFonts w:ascii="宋体" w:hAnsi="宋体" w:cs="宋体"/>
                <w:bCs/>
                <w:sz w:val="24"/>
                <w:highlight w:val="none"/>
              </w:rPr>
            </w:pPr>
          </w:p>
        </w:tc>
        <w:tc>
          <w:tcPr>
            <w:tcW w:w="2129" w:type="dxa"/>
            <w:vMerge w:val="continue"/>
            <w:noWrap w:val="0"/>
            <w:vAlign w:val="center"/>
          </w:tcPr>
          <w:p>
            <w:pPr>
              <w:shd w:val="clear"/>
              <w:autoSpaceDE w:val="0"/>
              <w:autoSpaceDN w:val="0"/>
              <w:adjustRightInd w:val="0"/>
              <w:snapToGrid w:val="0"/>
              <w:spacing w:line="348" w:lineRule="auto"/>
              <w:jc w:val="center"/>
              <w:rPr>
                <w:rFonts w:ascii="宋体" w:hAnsi="宋体" w:cs="宋体"/>
                <w:bCs/>
                <w:sz w:val="24"/>
                <w:highlight w:val="none"/>
              </w:rPr>
            </w:pPr>
          </w:p>
        </w:tc>
        <w:tc>
          <w:tcPr>
            <w:tcW w:w="1856" w:type="dxa"/>
            <w:noWrap w:val="0"/>
            <w:vAlign w:val="center"/>
          </w:tcPr>
          <w:p>
            <w:pPr>
              <w:shd w:val="clear"/>
              <w:jc w:val="center"/>
              <w:rPr>
                <w:rFonts w:ascii="宋体" w:hAnsi="宋体" w:cs="宋体"/>
                <w:sz w:val="24"/>
                <w:highlight w:val="none"/>
              </w:rPr>
            </w:pPr>
            <w:r>
              <w:rPr>
                <w:rFonts w:hint="eastAsia" w:ascii="宋体" w:hAnsi="宋体" w:cs="宋体"/>
                <w:sz w:val="24"/>
                <w:highlight w:val="none"/>
              </w:rPr>
              <w:t>系统集成服务</w:t>
            </w:r>
          </w:p>
        </w:tc>
        <w:tc>
          <w:tcPr>
            <w:tcW w:w="1230" w:type="dxa"/>
            <w:noWrap w:val="0"/>
            <w:vAlign w:val="center"/>
          </w:tcPr>
          <w:p>
            <w:pPr>
              <w:shd w:val="clear"/>
              <w:jc w:val="center"/>
              <w:rPr>
                <w:rFonts w:hint="default" w:ascii="宋体" w:hAnsi="宋体" w:cs="宋体"/>
                <w:sz w:val="24"/>
                <w:highlight w:val="none"/>
                <w:lang w:val="en-US"/>
              </w:rPr>
            </w:pPr>
          </w:p>
        </w:tc>
        <w:tc>
          <w:tcPr>
            <w:tcW w:w="1418" w:type="dxa"/>
            <w:noWrap w:val="0"/>
            <w:vAlign w:val="center"/>
          </w:tcPr>
          <w:p>
            <w:pPr>
              <w:shd w:val="clear"/>
              <w:jc w:val="center"/>
              <w:rPr>
                <w:rFonts w:hint="default" w:ascii="宋体" w:hAnsi="宋体" w:cs="宋体"/>
                <w:sz w:val="24"/>
                <w:highlight w:val="none"/>
                <w:lang w:val="en-US"/>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YzQ1MzJjMDRmNmU2MGZmNzlmZmU4MzQ3NjcwZTIifQ=="/>
  </w:docVars>
  <w:rsids>
    <w:rsidRoot w:val="06EF46CA"/>
    <w:rsid w:val="06EF4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4">
    <w:name w:val="heading 1"/>
    <w:basedOn w:val="1"/>
    <w:next w:val="1"/>
    <w:qFormat/>
    <w:uiPriority w:val="0"/>
    <w:pPr>
      <w:keepNext/>
      <w:outlineLvl w:val="0"/>
    </w:pPr>
    <w:rPr>
      <w:rFonts w:ascii="仿宋_GB2312" w:hAnsi="宋体" w:eastAsia="仿宋_GB2312"/>
      <w:b/>
      <w:kern w:val="2"/>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99"/>
  </w:style>
  <w:style w:type="paragraph" w:styleId="3">
    <w:name w:val="Body Text Indent"/>
    <w:basedOn w:val="1"/>
    <w:next w:val="1"/>
    <w:qFormat/>
    <w:uiPriority w:val="0"/>
    <w:pPr>
      <w:widowControl/>
      <w:ind w:firstLine="652" w:firstLineChars="233"/>
    </w:pPr>
    <w:rPr>
      <w:rFonts w:ascii="Times New Roman"/>
      <w:sz w:val="28"/>
    </w:rPr>
  </w:style>
  <w:style w:type="paragraph" w:styleId="5">
    <w:name w:val="Block Text"/>
    <w:basedOn w:val="1"/>
    <w:qFormat/>
    <w:uiPriority w:val="0"/>
    <w:pPr>
      <w:ind w:left="420" w:leftChars="200" w:right="-70" w:rightChars="-70" w:firstLine="560" w:firstLineChars="200"/>
    </w:pPr>
    <w:rPr>
      <w:rFonts w:ascii="楷体_GB2312" w:eastAsia="楷体_GB2312"/>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2022-11-06T06:53:00Z</dcterms:created>
  <dc:creator>青春</dc:creator>
  <cp:lastModifiedBy>青春</cp:lastModifiedBy>
  <dcterms:modified xsi:type="dcterms:W3CDTF">2022-11-06T06:54:08Z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B528C8A0F1834A44BA7F2F41FF55C514</vt:lpwstr>
  </property>
</Properties>
</file>