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auto"/>
        <w:spacing w:before="333" w:beforeLines="100" w:after="333" w:afterLines="100" w:line="360" w:lineRule="auto"/>
        <w:jc w:val="center"/>
        <w:rPr>
          <w:rFonts w:hint="default" w:ascii="宋体" w:eastAsia="宋体" w:cs="宋体"/>
          <w:color w:val="auto"/>
          <w:sz w:val="24"/>
          <w:szCs w:val="24"/>
          <w:u w:val="none" w:color="auto"/>
          <w:lang w:val="en-US" w:eastAsia="zh-CN"/>
        </w:rPr>
      </w:pPr>
      <w:bookmarkStart w:id="0" w:name="_Toc23741"/>
      <w:r>
        <w:rPr>
          <w:rFonts w:hint="eastAsia" w:ascii="宋体" w:eastAsia="宋体" w:cs="宋体"/>
          <w:color w:val="auto"/>
          <w:sz w:val="28"/>
          <w:szCs w:val="28"/>
          <w:u w:val="none" w:color="auto"/>
          <w:lang w:val="en-US" w:eastAsia="zh-CN"/>
        </w:rPr>
        <w:t>第四章  招标内容及</w:t>
      </w:r>
      <w:bookmarkStart w:id="1" w:name="_Toc317530110"/>
      <w:r>
        <w:rPr>
          <w:rFonts w:hint="eastAsia" w:ascii="宋体" w:eastAsia="宋体" w:cs="宋体"/>
          <w:color w:val="auto"/>
          <w:sz w:val="28"/>
          <w:szCs w:val="28"/>
          <w:u w:val="none" w:color="auto"/>
          <w:lang w:val="en-US" w:eastAsia="zh-CN"/>
        </w:rPr>
        <w:t>采购需求</w:t>
      </w:r>
      <w:bookmarkEnd w:id="0"/>
    </w:p>
    <w:bookmarkEnd w:id="1"/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" w:name="_Toc12923"/>
      <w:bookmarkStart w:id="3" w:name="_Toc6662"/>
      <w:bookmarkStart w:id="4" w:name="_Toc283"/>
      <w:bookmarkStart w:id="5" w:name="_Toc26483"/>
      <w:r>
        <w:rPr>
          <w:rFonts w:hint="eastAsia" w:ascii="宋体" w:hAnsi="宋体" w:eastAsia="宋体" w:cs="宋体"/>
          <w:sz w:val="24"/>
          <w:szCs w:val="24"/>
          <w:highlight w:val="none"/>
        </w:rPr>
        <w:t>根据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义务段学生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营养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计划工作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实际情况，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继续推行学校食堂供餐模式，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大宗食材实行“六统一”，即政府统一招标、统一采购、统一配送、统一价格、统一服务、统一结算，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现制定大宗食材采购实施方案。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范围及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内容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全县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义务段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实施营养午餐项目的学校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采购内容为：大米、面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条或面粉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、食用油、鸡蛋、牛奶、水果、肉类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期限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采购方式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周至县营养专家领导小组参照《农村学生膳食营养指导手册》，根据各年龄阶段学生身体发育的营养需求制定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午餐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春夏秋冬四季食谱八套，食谱中对大宗食材的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量有明确的规定。营养午餐所需的大米、面粉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或面条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、食用油、鸡蛋、牛奶、水果、肉类大宗食材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统一招标、统一采购、统一配送、统一价格、统一服务、统一结算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”的方式确定中标单位，中标单位通过专用车辆配送到实施学校，学校对大宗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数量及质量进行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核验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，验收合格后，双方在配送单上签字，供餐企业配送人员方可离开。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资金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预算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营养午餐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所需资金全部来源于中央财政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分为两个标段进行采购。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一标段：西片学校，学生数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18611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标准以中标价为准，但不可超出评估单价（1—3年级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4—6年级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7—9年级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4.36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学年按照200天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二标段：东片学校，学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9202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标准以中标价为准，但不可超出评估单价（1—3年级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4—6年级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7—9年级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4.36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学年按照200天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、支付方式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实际供应人数、在校天数等因素据实结算。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、供应标准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大宗食材标准必须符合国家营养改善计划相关政策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要求，同时符合周至县义务段学校营养午餐食谱中规定的具体标准，不得随意更改标准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按照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以下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标准执行。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总体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配量：牛奶每周每生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盒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鸡蛋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每周每生2个、不少于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120克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1—3年级每周3次、不少于180克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水果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每周每生2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肉类平均每生每天50克、大米100——150克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或者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0——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0克，食用油1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——14克。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.各年龄段摄入量。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小学1—3年级学生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摄入量</w:t>
      </w:r>
    </w:p>
    <w:tbl>
      <w:tblPr>
        <w:tblStyle w:val="5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115"/>
        <w:gridCol w:w="4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食材名称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用量/天(不少于)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肉类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猪、牛、羊肉、禽类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食用油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非转基因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菜籽油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大米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条或面粉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面条按照面粉的评估价格结算。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定点养殖企业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牛奶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水果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2次/周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时令水果，每个不少于150克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小学4—6年级学生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摄入量</w:t>
      </w:r>
    </w:p>
    <w:tbl>
      <w:tblPr>
        <w:tblStyle w:val="5"/>
        <w:tblW w:w="8490" w:type="dxa"/>
        <w:tblInd w:w="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02"/>
        <w:gridCol w:w="4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食材名称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用量/天(不少于)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肉类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50g/天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猪、牛、羊肉、禽类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食用油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14g/天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非转基因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菜籽油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大米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130g/天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条或面粉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面条按照面粉的评估价格结算。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定点养殖企业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牛奶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水果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2次/周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时令水果，每个不少于150克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初中7—9年级学生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摄入量</w:t>
      </w:r>
    </w:p>
    <w:tbl>
      <w:tblPr>
        <w:tblStyle w:val="5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25"/>
        <w:gridCol w:w="4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食材名称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用量/天(不少于)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肉类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50g/天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猪、牛、羊肉、禽类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食用油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14g/天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非转基因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菜籽油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大米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150g/天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条或面粉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面条按照面粉的评估价格结算。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定点养殖企业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牛奶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水果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2次/周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时令水果，每个不少于150克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、采购要求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中标企业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提供的原材料（大米、面粉、食用油等）质量符合国家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相关行业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严格按照营养午餐食谱标准配送食材，确保大宗食材数量准确、质量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优良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大米：独立包装，著名生产企业生产，每袋25KG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质量符合国家GB1354-2009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级品标准要求；包装袋上有注册商标及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SC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标注，有检验合格证、生产日期、生产厂家、执行标准、品牌规格和保质期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面粉：特制一等或以上；每袋25KG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质量符合国家标GB1355-1986特制一等标准要求；包装袋上有注册商标及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SC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标注，有检验合格证、生产日期、品牌规格和保质期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食用油：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菜籽油，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级或以上；非转基因压榨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包装袋上有注册商标及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SC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标注，有检验合格证、生产日期、生产厂家、执行标准、品牌规格和保质期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肉类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必须是新鲜猪、牛、羊、鸡、鸭肉。猪肉禁止供应种猪肉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肉类必须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国家定点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肉联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企业屠宰，必须提供动物检疫验讫章、动物防疫合格证。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鸡蛋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国家定点养殖企业，须提供动物防疫合格证。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牛奶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必须是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国家正规学生饮用奶生产企业，须提供食品生产许可证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等有限证件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水果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必须是新鲜、无公害的，必须经过消毒清洗，种类包括苹果、梨、香蕉、乳瓜、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普罗旺斯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、橙子等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（二）服务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配送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1.中标企业必须严格执行国家《食品安全法》等有关法律法规，遵守《食堂食品安全管理制度》，为采购人指定的学校提供专业、规范、安全、高质量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中标企业需在配送中心内设立监管部门联合办公室，供相关部门现场指导及监督。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中标企业从学生开学开始进行供货配送。当日所需的肉类、牛奶、水果于当天10：00前送达学校，鸡蛋、大米、面粉、食用油每周配送一次，不得提前或拖后配送。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中标企业供应的商品、原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料必须确保进货渠道正规，并对质量负责。中标企业必须按有关部门的要求及时向学校提供每批次食品的检验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证明材料。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中标企业应按学校提供的学生人数供应，杜绝使用过期商品、假冒伪劣产品等现象。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中标企业无故不按时供货，导致学校误餐的，造成的一切后果和损失由中标企业依法承担。如遇不可抗拒因素导致延期送货或不能送货时，中标企业不承担责任。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中标企业须按照国家有关规定向所配送的学校提供食品留样，并作好登记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实行食品安全责任制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部门认定属中标企业造成的食品安全事故，依照国家相关规定，承担相应责任。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中标企业给各实施学校供应的食材应附一份带量带价的详细清单，各校按照配送单接收食材，并存档。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中标企业从业人员须遵守《从业人员健康检查制度》，每年进行一次健康体检，持有效健康证上岗。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中标企业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建立食品质量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集中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检测室，配备专职食品检验人员以及配置相关检验化验仪器设备。按照国家食品验收标准进行检验，保证所采购物品均无品质异常，同时接受市场监督管理及相关食品卫生安全部门全程监督。米面制品进行过氧化苯甲酰检测，粮油、肉禽蛋类进行抽样检测检验，配送中心库房负责人和食品检验师验收检验通过后方能使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严禁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不良产品流入学校食堂，确保食品安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（三）其他要求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国家营养改善计划政策于合同期内变化或取消等，依据国家调整后的政策执行。甲方不承担任何过错赔偿责任。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 w:color="auto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 w:color="auto"/>
          <w:lang w:val="en-US" w:eastAsia="zh-CN"/>
        </w:rPr>
        <w:t>商务要求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一、地点：采购人指定地点</w:t>
      </w:r>
      <w:bookmarkEnd w:id="2"/>
      <w:bookmarkEnd w:id="3"/>
      <w:bookmarkEnd w:id="4"/>
      <w:bookmarkEnd w:id="5"/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</w:pPr>
      <w:bookmarkStart w:id="6" w:name="_Toc19435"/>
      <w:bookmarkStart w:id="7" w:name="_Toc3833"/>
      <w:bookmarkStart w:id="8" w:name="_Toc6273"/>
      <w:bookmarkStart w:id="9" w:name="_Toc21690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  <w:lang w:val="en-US" w:eastAsia="zh-CN"/>
        </w:rPr>
        <w:t>采购期限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：</w:t>
      </w:r>
      <w:bookmarkEnd w:id="6"/>
      <w:bookmarkEnd w:id="7"/>
      <w:bookmarkEnd w:id="8"/>
      <w:bookmarkEnd w:id="9"/>
      <w:bookmarkStart w:id="10" w:name="_Toc31180"/>
      <w:bookmarkStart w:id="11" w:name="_Toc10624"/>
      <w:bookmarkStart w:id="12" w:name="_Toc1811"/>
      <w:bookmarkStart w:id="13" w:name="_Toc3743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年（202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年学期）（具体服务起止日期可随合同签订时间相应顺延）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u w:val="none" w:color="auto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三、</w:t>
      </w:r>
      <w:bookmarkEnd w:id="10"/>
      <w:bookmarkEnd w:id="11"/>
      <w:bookmarkEnd w:id="12"/>
      <w:bookmarkEnd w:id="13"/>
      <w:bookmarkStart w:id="14" w:name="_Toc20659"/>
      <w:bookmarkStart w:id="15" w:name="_Toc2591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 w:color="auto"/>
        </w:rPr>
        <w:t>合同单价：包含了投标人为此项目所支付的一切费用（含原料、生产、税费、包装、运输、留样等一切费用），整个合同期内不做调整。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 w:color="auto"/>
        </w:rPr>
      </w:pPr>
      <w:bookmarkStart w:id="16" w:name="_Toc32633"/>
      <w:bookmarkStart w:id="17" w:name="_Toc1279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 w:color="auto"/>
        </w:rPr>
        <w:t>四、款项结算</w:t>
      </w:r>
      <w:bookmarkEnd w:id="16"/>
      <w:bookmarkEnd w:id="17"/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  <w:t>付款方式：依据中标单价，根据学生实际人数、在校天数等因素据实结算。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  <w:t>付款时间：以签订合同为准。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  <w:t>结算单位：周至县教育和科学技术局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 w:color="auto"/>
        </w:rPr>
      </w:pPr>
      <w:bookmarkStart w:id="18" w:name="_Toc6104"/>
      <w:bookmarkStart w:id="19" w:name="_Toc1187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 w:color="auto"/>
        </w:rPr>
        <w:t>五、服务及标准</w:t>
      </w:r>
      <w:bookmarkEnd w:id="14"/>
      <w:bookmarkEnd w:id="15"/>
      <w:bookmarkEnd w:id="18"/>
      <w:bookmarkEnd w:id="19"/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  <w:t>供货标准：供应商应保证所提供的食材应符合招标文件的要求。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  <w:t>采购项目需执行的国家相关标准、行业标准、地方标准或者其他标准、规范：符合国家标准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 w:color="auto"/>
        </w:rPr>
      </w:pPr>
      <w:bookmarkStart w:id="20" w:name="_Toc18390"/>
      <w:bookmarkStart w:id="21" w:name="_Toc12049"/>
      <w:bookmarkStart w:id="22" w:name="_Toc7929"/>
      <w:bookmarkStart w:id="23" w:name="_Toc2434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 w:color="auto"/>
        </w:rPr>
        <w:t>六、质量保证</w:t>
      </w:r>
      <w:bookmarkEnd w:id="20"/>
      <w:bookmarkEnd w:id="21"/>
      <w:bookmarkEnd w:id="22"/>
      <w:bookmarkEnd w:id="23"/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Style w:val="7"/>
          <w:rFonts w:hint="eastAsia" w:ascii="宋体" w:hAnsi="宋体" w:eastAsia="宋体" w:cs="宋体"/>
          <w:color w:val="auto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 w:color="auto"/>
        </w:rPr>
        <w:t>质量:合格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仿宋" w:hAnsi="仿宋" w:cs="仿宋"/>
          <w:b/>
          <w:bCs/>
          <w:color w:val="auto"/>
          <w:szCs w:val="32"/>
          <w:u w:val="none" w:color="auto"/>
        </w:rPr>
      </w:pPr>
      <w:bookmarkStart w:id="24" w:name="_Toc13292"/>
      <w:bookmarkStart w:id="25" w:name="_Toc13338"/>
      <w:bookmarkStart w:id="26" w:name="_Toc12094"/>
      <w:bookmarkStart w:id="27" w:name="_Toc17496"/>
      <w:r>
        <w:rPr>
          <w:rFonts w:hint="eastAsia" w:ascii="仿宋" w:hAnsi="仿宋" w:cs="仿宋"/>
          <w:b/>
          <w:bCs/>
          <w:color w:val="auto"/>
          <w:szCs w:val="32"/>
          <w:u w:val="none" w:color="auto"/>
          <w:lang w:val="en-US" w:eastAsia="zh-CN"/>
        </w:rPr>
        <w:t>七</w:t>
      </w:r>
      <w:r>
        <w:rPr>
          <w:rFonts w:hint="eastAsia" w:ascii="仿宋" w:hAnsi="仿宋" w:cs="仿宋"/>
          <w:b/>
          <w:bCs/>
          <w:color w:val="auto"/>
          <w:szCs w:val="32"/>
          <w:u w:val="none" w:color="auto"/>
        </w:rPr>
        <w:t>、争议</w:t>
      </w:r>
      <w:bookmarkEnd w:id="24"/>
      <w:bookmarkEnd w:id="25"/>
      <w:bookmarkEnd w:id="26"/>
      <w:bookmarkEnd w:id="27"/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cs="仿宋"/>
          <w:color w:val="auto"/>
          <w:szCs w:val="32"/>
          <w:u w:val="none" w:color="auto"/>
        </w:rPr>
      </w:pPr>
      <w:r>
        <w:rPr>
          <w:rFonts w:hint="eastAsia" w:ascii="仿宋" w:hAnsi="仿宋" w:cs="仿宋"/>
          <w:color w:val="auto"/>
          <w:szCs w:val="32"/>
          <w:u w:val="none" w:color="auto"/>
        </w:rPr>
        <w:t>在签订正式合同时再约定。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outlineLvl w:val="1"/>
        <w:rPr>
          <w:rFonts w:hint="eastAsia" w:ascii="仿宋" w:hAnsi="仿宋" w:cs="仿宋"/>
          <w:b/>
          <w:bCs/>
          <w:color w:val="auto"/>
          <w:szCs w:val="32"/>
          <w:u w:val="none" w:color="auto"/>
        </w:rPr>
      </w:pPr>
      <w:bookmarkStart w:id="28" w:name="_Toc26813"/>
      <w:bookmarkStart w:id="29" w:name="_Toc20410"/>
      <w:bookmarkStart w:id="30" w:name="_Toc11599"/>
      <w:bookmarkStart w:id="31" w:name="_Toc5228"/>
      <w:r>
        <w:rPr>
          <w:rFonts w:hint="eastAsia" w:ascii="仿宋" w:hAnsi="仿宋" w:cs="仿宋"/>
          <w:b/>
          <w:bCs/>
          <w:color w:val="auto"/>
          <w:szCs w:val="32"/>
          <w:u w:val="none" w:color="auto"/>
          <w:lang w:val="en-US" w:eastAsia="zh-CN"/>
        </w:rPr>
        <w:t>八</w:t>
      </w:r>
      <w:r>
        <w:rPr>
          <w:rFonts w:hint="eastAsia" w:ascii="仿宋" w:hAnsi="仿宋" w:cs="仿宋"/>
          <w:b/>
          <w:bCs/>
          <w:color w:val="auto"/>
          <w:szCs w:val="32"/>
          <w:u w:val="none" w:color="auto"/>
        </w:rPr>
        <w:t>、其他</w:t>
      </w:r>
      <w:bookmarkEnd w:id="28"/>
      <w:bookmarkEnd w:id="29"/>
      <w:bookmarkEnd w:id="30"/>
      <w:bookmarkEnd w:id="31"/>
    </w:p>
    <w:p>
      <w:pPr>
        <w:shd w:val="clear" w:color="auto" w:fill="auto"/>
        <w:autoSpaceDE w:val="0"/>
        <w:autoSpaceDN w:val="0"/>
        <w:adjustRightInd w:val="0"/>
        <w:spacing w:line="360" w:lineRule="auto"/>
        <w:rPr>
          <w:rFonts w:hint="eastAsia" w:ascii="仿宋" w:hAnsi="仿宋" w:cs="仿宋"/>
          <w:b/>
          <w:bCs/>
          <w:color w:val="auto"/>
          <w:szCs w:val="32"/>
          <w:u w:val="none" w:color="auto"/>
        </w:rPr>
      </w:pPr>
      <w:r>
        <w:rPr>
          <w:rFonts w:hint="eastAsia" w:ascii="仿宋" w:hAnsi="仿宋" w:cs="仿宋"/>
          <w:b/>
          <w:bCs/>
          <w:color w:val="auto"/>
          <w:szCs w:val="32"/>
          <w:u w:val="none" w:color="auto"/>
        </w:rPr>
        <w:t>（一）合同份数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cs="仿宋"/>
          <w:color w:val="auto"/>
          <w:szCs w:val="32"/>
          <w:u w:val="none" w:color="auto"/>
        </w:rPr>
      </w:pPr>
      <w:r>
        <w:rPr>
          <w:rFonts w:hint="eastAsia" w:ascii="仿宋" w:hAnsi="仿宋" w:cs="仿宋"/>
          <w:color w:val="auto"/>
          <w:szCs w:val="32"/>
          <w:u w:val="none" w:color="auto"/>
        </w:rPr>
        <w:t>见正式合同。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rPr>
          <w:rFonts w:hint="eastAsia" w:ascii="仿宋" w:hAnsi="仿宋" w:cs="仿宋"/>
          <w:b/>
          <w:bCs/>
          <w:color w:val="auto"/>
          <w:szCs w:val="32"/>
          <w:u w:val="none" w:color="auto"/>
        </w:rPr>
      </w:pPr>
      <w:r>
        <w:rPr>
          <w:rFonts w:hint="eastAsia" w:ascii="仿宋" w:hAnsi="仿宋" w:cs="仿宋"/>
          <w:b/>
          <w:bCs/>
          <w:color w:val="auto"/>
          <w:szCs w:val="32"/>
          <w:u w:val="none" w:color="auto"/>
        </w:rPr>
        <w:t>（二）补充条款</w:t>
      </w:r>
    </w:p>
    <w:p>
      <w:pPr>
        <w:shd w:val="clear" w:color="auto" w:fill="auto"/>
        <w:autoSpaceDE w:val="0"/>
        <w:autoSpaceDN w:val="0"/>
        <w:adjustRightInd w:val="0"/>
        <w:spacing w:line="360" w:lineRule="auto"/>
        <w:rPr>
          <w:rFonts w:hint="eastAsia" w:ascii="仿宋" w:hAnsi="仿宋" w:cs="仿宋"/>
          <w:color w:val="auto"/>
          <w:szCs w:val="32"/>
          <w:u w:val="none" w:color="auto"/>
        </w:rPr>
      </w:pPr>
      <w:r>
        <w:rPr>
          <w:rFonts w:hint="eastAsia" w:ascii="仿宋" w:hAnsi="仿宋" w:cs="仿宋"/>
          <w:b/>
          <w:bCs/>
          <w:color w:val="auto"/>
          <w:szCs w:val="32"/>
          <w:u w:val="none" w:color="auto"/>
        </w:rPr>
        <w:t xml:space="preserve">    </w:t>
      </w:r>
      <w:r>
        <w:rPr>
          <w:rFonts w:hint="eastAsia" w:ascii="仿宋" w:hAnsi="仿宋" w:cs="仿宋"/>
          <w:color w:val="auto"/>
          <w:szCs w:val="32"/>
          <w:u w:val="none" w:color="auto"/>
        </w:rPr>
        <w:t>具体内容以正式合同为准。</w:t>
      </w:r>
    </w:p>
    <w:p>
      <w:pPr>
        <w:pStyle w:val="2"/>
        <w:shd w:val="clear" w:color="auto" w:fill="auto"/>
        <w:rPr>
          <w:rFonts w:hint="eastAsia"/>
          <w:color w:val="auto"/>
          <w:u w:val="none" w:color="auto"/>
          <w:lang w:val="en-US" w:eastAsia="zh-CN"/>
        </w:rPr>
      </w:pPr>
    </w:p>
    <w:p>
      <w:pPr>
        <w:shd w:val="clear" w:color="auto" w:fill="auto"/>
        <w:tabs>
          <w:tab w:val="left" w:pos="3485"/>
        </w:tabs>
        <w:adjustRightInd w:val="0"/>
        <w:snapToGrid w:val="0"/>
        <w:spacing w:line="360" w:lineRule="auto"/>
        <w:jc w:val="left"/>
        <w:rPr>
          <w:rFonts w:hint="eastAsia" w:hAnsi="宋体"/>
          <w:b/>
          <w:color w:val="auto"/>
          <w:sz w:val="52"/>
          <w:szCs w:val="22"/>
          <w:u w:val="none" w:color="auto"/>
        </w:rPr>
      </w:pPr>
      <w:r>
        <w:rPr>
          <w:rFonts w:hint="eastAsia" w:hAnsi="宋体" w:cs="宋体"/>
          <w:b/>
          <w:color w:val="auto"/>
          <w:sz w:val="32"/>
          <w:szCs w:val="32"/>
          <w:u w:val="none" w:color="auto"/>
        </w:rPr>
        <w:t>注：商务要求为实质性要求，不得负偏离</w:t>
      </w:r>
      <w:r>
        <w:rPr>
          <w:rFonts w:hint="eastAsia" w:hAnsi="宋体"/>
          <w:b/>
          <w:color w:val="auto"/>
          <w:sz w:val="28"/>
          <w:szCs w:val="28"/>
          <w:u w:val="none" w:color="auto"/>
        </w:rPr>
        <w:t>。</w:t>
      </w:r>
    </w:p>
    <w:p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2RkODIwNTA1OTQ3MDUzMWNkZDVlY2QzZDk5NTQifQ=="/>
  </w:docVars>
  <w:rsids>
    <w:rsidRoot w:val="45640698"/>
    <w:rsid w:val="45640698"/>
    <w:rsid w:val="70E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华文仿宋" w:cs="Arial"/>
      <w:b/>
      <w:snapToGrid w:val="0"/>
      <w:color w:val="000000"/>
      <w:kern w:val="0"/>
      <w:sz w:val="28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</w:rPr>
  </w:style>
  <w:style w:type="character" w:customStyle="1" w:styleId="7">
    <w:name w:val="标题 1 Char"/>
    <w:link w:val="3"/>
    <w:uiPriority w:val="0"/>
    <w:rPr>
      <w:rFonts w:ascii="仿宋_GB2312" w:hAnsi="宋体" w:eastAsia="仿宋_GB2312"/>
      <w:b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2022-12-19T10:13:00Z</dcterms:created>
  <dc:creator>单</dc:creator>
  <cp:lastModifiedBy>单</cp:lastModifiedBy>
  <dcterms:modified xsi:type="dcterms:W3CDTF">2022-12-19T10:13:49Z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877925FA61894DECB90A779AA6393851</vt:lpwstr>
  </property>
</Properties>
</file>