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auto"/>
        <w:spacing w:before="333" w:beforeLines="100" w:after="333" w:afterLines="100" w:line="360" w:lineRule="auto"/>
        <w:jc w:val="center"/>
        <w:rPr>
          <w:rFonts w:hint="default" w:ascii="宋体" w:eastAsia="宋体" w:cs="宋体"/>
          <w:color w:val="auto"/>
          <w:sz w:val="24"/>
          <w:szCs w:val="24"/>
          <w:u w:val="none" w:color="auto"/>
          <w:lang w:val="en-US" w:eastAsia="zh-CN"/>
        </w:rPr>
      </w:pPr>
      <w:bookmarkStart w:id="0" w:name="_Toc23741"/>
      <w:r>
        <w:rPr>
          <w:rFonts w:hint="eastAsia" w:ascii="宋体" w:eastAsia="宋体" w:cs="宋体"/>
          <w:color w:val="auto"/>
          <w:sz w:val="28"/>
          <w:szCs w:val="28"/>
          <w:u w:val="none" w:color="auto"/>
          <w:lang w:val="en-US" w:eastAsia="zh-CN"/>
        </w:rPr>
        <w:t>第四章  招标内容及</w:t>
      </w:r>
      <w:bookmarkStart w:id="1" w:name="_Toc317530110"/>
      <w:r>
        <w:rPr>
          <w:rFonts w:hint="eastAsia" w:ascii="宋体" w:eastAsia="宋体" w:cs="宋体"/>
          <w:color w:val="auto"/>
          <w:sz w:val="28"/>
          <w:szCs w:val="28"/>
          <w:u w:val="none" w:color="auto"/>
          <w:lang w:val="en-US" w:eastAsia="zh-CN"/>
        </w:rPr>
        <w:t>采购需求</w:t>
      </w:r>
      <w:bookmarkEnd w:id="0"/>
    </w:p>
    <w:bookmarkEnd w:id="1"/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义务段学生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营养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计划工作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实际情况，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继续推行学校食堂供餐模式，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大宗食材实行“六统一”，即政府统一招标、统一采购、统一配送、统一价格、统一服务、统一结算，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现制定大宗食材采购实施方案。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一、采购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范围及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内容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全县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义务段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实施营养午餐项目的学校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采购内容为：大米、面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条或面粉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、食用油、鸡蛋、牛奶、水果、肉类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大宗食材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二、采购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期限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2023年度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采购方式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周至县营养专家领导小组参照《农村学生膳食营养指导手册》，根据各年龄阶段学生身体发育的营养需求制定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午餐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春夏秋冬四季食谱八套，食谱中对大宗食材的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量有明确的规定。营养午餐所需的大米、面粉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或面条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、食用油、鸡蛋、牛奶、水果、肉类大宗食材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统一招标、统一采购、统一配送、统一价格、统一服务、统一结算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”的方式确定中标单位，中标单位通过专用车辆配送到实施学校，学校对大宗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食材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数量及质量进行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核验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，验收合格后，双方在配送单上签字，供餐企业配送人员方可离开。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资金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预算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营养午餐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所需资金全部来源于中央财政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分为两个标段进行采购。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一标段：西片学校，学生数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18611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标准以中标价为准，但不可超出评估单价（1—3年级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每生每天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4—6年级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每生每天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4.25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7—9年级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每生每天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4.36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学年按照200天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计算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二标段：东片学校，学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数1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9202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标准以中标价为准，但不可超出评估单价（1—3年级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每生每天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4—6年级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每生每天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4.25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7—9年级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每生每天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4.36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学年按照200天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计算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、支付方式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实际供应人数、在校天数等因素据实结算。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、供应标准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大宗食材标准必须符合国家营养改善计划相关政策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标准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要求，同时符合周至县义务段学校营养午餐食谱中规定的具体标准，不得随意更改标准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按照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以下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标准执行。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总体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配量：牛奶每周每生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盒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鸡蛋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每周每生2个、不少于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120克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1—3年级每周3次、不少于180克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水果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每周每生2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次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肉类平均每生每天50克、大米100——150克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或者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0——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0克，食用油1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——14克。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.各年龄段摄入量。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小学1—3年级学生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大宗食材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摄入量</w:t>
      </w:r>
    </w:p>
    <w:tbl>
      <w:tblPr>
        <w:tblStyle w:val="4"/>
        <w:tblW w:w="8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2115"/>
        <w:gridCol w:w="4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食材名称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用量/天(不少于)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肉类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50g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/天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猪、牛、羊肉、禽类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食用油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/天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非转基因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菜籽油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大米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100g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/天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不低于一级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条或面粉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/天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不低于一级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面条按照面粉的评估价格结算。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鸡蛋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/周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定点养殖企业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牛奶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00ml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/周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学生奶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水果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2次/周</w:t>
            </w:r>
          </w:p>
        </w:tc>
        <w:tc>
          <w:tcPr>
            <w:tcW w:w="48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时令水果，每个不少于150克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小学4—6年级学生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大宗食材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摄入量</w:t>
      </w:r>
    </w:p>
    <w:tbl>
      <w:tblPr>
        <w:tblStyle w:val="4"/>
        <w:tblW w:w="8490" w:type="dxa"/>
        <w:tblInd w:w="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202"/>
        <w:gridCol w:w="4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食材名称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用量/天(不少于)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肉类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50g/天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猪、牛、羊肉、禽类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食用油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14g/天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非转基因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菜籽油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大米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130g/天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不低于一级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条或面粉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0g/天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不低于一级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面条按照面粉的评估价格结算。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鸡蛋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120g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/周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定点养殖企业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牛奶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00ml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/周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学生奶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水果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2次/周</w:t>
            </w:r>
          </w:p>
        </w:tc>
        <w:tc>
          <w:tcPr>
            <w:tcW w:w="47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时令水果，每个不少于150克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初中7—9年级学生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大宗食材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摄入量</w:t>
      </w:r>
    </w:p>
    <w:tbl>
      <w:tblPr>
        <w:tblStyle w:val="4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25"/>
        <w:gridCol w:w="4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食材名称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用量/天(不少于)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肉类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50g/天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猪、牛、羊肉、禽类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食用油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14g/天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非转基因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菜籽油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大米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150g/天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不低于一级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条或面粉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0g/天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不低于一级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面条按照面粉的评估价格结算。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鸡蛋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120g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/周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定点养殖企业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牛奶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00ml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/周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学生奶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水果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2次/周</w:t>
            </w:r>
          </w:p>
        </w:tc>
        <w:tc>
          <w:tcPr>
            <w:tcW w:w="47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时令水果，每个不少于150克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、采购要求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中标企业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提供的原材料（大米、面粉、食用油等）质量符合国家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相关行业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标准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严格按照营养午餐食谱标准配送食材，确保大宗食材数量准确、质量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优良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质量要求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大米：独立包装，著名生产企业生产，每袋25KG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质量符合国家GB1354-2009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级品标准要求；包装袋上有注册商标及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SC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标注，有检验合格证、生产日期、生产厂家、执行标准、品牌规格和保质期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面粉：特制一等或以上；每袋25KG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质量符合国家标GB1355-1986特制一等标准要求；包装袋上有注册商标及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SC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标注，有检验合格证、生产日期、品牌规格和保质期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食用油：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菜籽油，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国标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级或以上；非转基因压榨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包装袋上有注册商标及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SC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标注，有检验合格证、生产日期、生产厂家、执行标准、品牌规格和保质期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肉类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必须是新鲜猪、牛、羊、鸡、鸭肉。猪肉禁止供应种猪肉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肉类必须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国家定点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肉联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企业屠宰，必须提供动物检疫验讫章、动物防疫合格证。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鸡蛋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须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国家定点养殖企业，须提供动物防疫合格证。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牛奶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必须是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国家正规学生饮用奶生产企业，须提供食品生产许可证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等有限证件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水果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必须是新鲜、无公害的，必须经过消毒清洗，种类包括苹果、梨、香蕉、乳瓜、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普罗旺斯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、橙子等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（二）服务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配送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要求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1.中标企业必须严格执行国家《食品安全法》等有关法律法规，遵守《食堂食品安全管理制度》，为采购人指定的学校提供专业、规范、安全、高质量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中标企业需在配送中心内设立监管部门联合办公室，供相关部门现场指导及监督。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中标企业从学生开学开始进行供货配送。当日所需的肉类、牛奶、水果于当天10：00前送达学校，鸡蛋、大米、面粉、食用油每周配送一次，不得提前或拖后配送。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中标企业供应的商品、原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料必须确保进货渠道正规，并对质量负责。中标企业必须按有关部门的要求及时向学校提供每批次食品的检验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证明材料。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中标企业应按学校提供的学生人数供应，杜绝使用过期商品、假冒伪劣产品等现象。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中标企业无故不按时供货，导致学校误餐的，造成的一切后果和损失由中标企业依法承担。如遇不可抗拒因素导致延期送货或不能送货时，中标企业不承担责任。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中标企业须按照国家有关规定向所配送的学校提供食品留样，并作好登记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实行食品安全责任制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相关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部门认定属中标企业造成的食品安全事故，依照国家相关规定，承担相应责任。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中标企业给各实施学校供应的食材应附一份带量带价的详细清单，各校按照配送单接收食材，并存档。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中标企业从业人员须遵守《从业人员健康检查制度》，每年进行一次健康体检，持有效健康证上岗。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中标企业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建立食品质量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集中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检测室，配备专职食品检验人员以及配置相关检验化验仪器设备。按照国家食品验收标准进行检验，保证所采购物品均无品质异常，同时接受市场监督管理及相关食品卫生安全部门全程监督。米面制品进行过氧化苯甲酰检测，粮油、肉禽蛋类进行抽样检测检验，配送中心库房负责人和食品检验师验收检验通过后方能使用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严禁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不良产品流入学校食堂，确保食品安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全。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（三）其他要求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国家营养改善计划政策于合同期内变化或取消等，依据国家调整后的政策执行。甲方不承担任何过错赔偿责任。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N2M0NTkxNDA5NzgxZjM3ZmI1NjlmNTczZTkwMjkifQ=="/>
  </w:docVars>
  <w:rsids>
    <w:rsidRoot w:val="43C64F91"/>
    <w:rsid w:val="43C6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2022-12-30T05:17:00Z</dcterms:created>
  <dc:creator>三言两语</dc:creator>
  <cp:lastModifiedBy>三言两语</cp:lastModifiedBy>
  <dcterms:modified xsi:type="dcterms:W3CDTF">2022-12-30T05:17:46Z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1FFA567571584B1A8DDCD8C768F37295</vt:lpwstr>
  </property>
</Properties>
</file>