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3：政府采购需求书范本（工程类）</w:t>
      </w:r>
    </w:p>
    <w:tbl>
      <w:tblPr>
        <w:tblStyle w:val="10"/>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Layout w:type="fixed"/>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31"/>
              <w:ind w:left="38"/>
              <w:jc w:val="center"/>
              <w:rPr>
                <w:b/>
                <w:kern w:val="2"/>
                <w:lang w:val="zh-CN"/>
              </w:rPr>
            </w:pPr>
            <w:r>
              <w:rPr>
                <w:rFonts w:hint="eastAsia"/>
                <w:b/>
                <w:kern w:val="2"/>
                <w:sz w:val="28"/>
                <w:szCs w:val="28"/>
                <w:lang w:val="zh-CN"/>
              </w:rPr>
              <w:t>关键事项</w:t>
            </w:r>
          </w:p>
        </w:tc>
        <w:tc>
          <w:tcPr>
            <w:tcW w:w="7067" w:type="dxa"/>
            <w:vAlign w:val="center"/>
          </w:tcPr>
          <w:p>
            <w:pPr>
              <w:pStyle w:val="31"/>
              <w:jc w:val="center"/>
              <w:rPr>
                <w:b/>
                <w:kern w:val="2"/>
                <w:lang w:val="zh-CN"/>
              </w:rPr>
            </w:pPr>
            <w:r>
              <w:rPr>
                <w:rFonts w:hint="eastAsia"/>
                <w:b/>
                <w:kern w:val="2"/>
                <w:sz w:val="28"/>
                <w:szCs w:val="28"/>
                <w:lang w:val="zh-CN"/>
              </w:rPr>
              <w:t>说明和要求</w:t>
            </w:r>
          </w:p>
        </w:tc>
      </w:tr>
      <w:tr>
        <w:tblPrEx>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31"/>
              <w:ind w:left="38"/>
              <w:jc w:val="center"/>
              <w:rPr>
                <w:kern w:val="2"/>
                <w:lang w:val="zh-CN"/>
              </w:rPr>
            </w:pPr>
            <w:r>
              <w:rPr>
                <w:rFonts w:hint="eastAsia"/>
                <w:kern w:val="2"/>
                <w:lang w:val="zh-CN"/>
              </w:rPr>
              <w:t>采购预算</w:t>
            </w:r>
          </w:p>
        </w:tc>
        <w:tc>
          <w:tcPr>
            <w:tcW w:w="7067" w:type="dxa"/>
            <w:vAlign w:val="center"/>
          </w:tcPr>
          <w:p>
            <w:pPr>
              <w:pStyle w:val="31"/>
              <w:jc w:val="both"/>
              <w:rPr>
                <w:b/>
                <w:kern w:val="2"/>
                <w:lang w:val="zh-CN"/>
              </w:rPr>
            </w:pPr>
            <w:r>
              <w:rPr>
                <w:rFonts w:hint="eastAsia"/>
                <w:b/>
                <w:kern w:val="2"/>
                <w:lang w:val="zh-CN"/>
              </w:rPr>
              <w:t>人民币</w:t>
            </w:r>
            <w:r>
              <w:rPr>
                <w:rFonts w:hint="eastAsia"/>
                <w:b/>
                <w:kern w:val="2"/>
                <w:u w:val="none"/>
                <w:lang w:val="en-US" w:eastAsia="zh-CN"/>
              </w:rPr>
              <w:t>462287.00</w:t>
            </w:r>
            <w:r>
              <w:rPr>
                <w:rFonts w:hint="eastAsia"/>
                <w:b/>
                <w:kern w:val="2"/>
                <w:lang w:val="zh-CN"/>
              </w:rPr>
              <w:t>元</w:t>
            </w:r>
          </w:p>
          <w:p>
            <w:pPr>
              <w:pStyle w:val="31"/>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31"/>
              <w:ind w:left="38"/>
              <w:jc w:val="center"/>
              <w:rPr>
                <w:kern w:val="2"/>
                <w:lang w:val="zh-CN"/>
              </w:rPr>
            </w:pPr>
            <w:r>
              <w:rPr>
                <w:rFonts w:hint="eastAsia"/>
                <w:kern w:val="2"/>
                <w:lang w:val="zh-CN"/>
              </w:rPr>
              <w:t>最高限价</w:t>
            </w:r>
          </w:p>
        </w:tc>
        <w:tc>
          <w:tcPr>
            <w:tcW w:w="7067" w:type="dxa"/>
            <w:vAlign w:val="center"/>
          </w:tcPr>
          <w:p>
            <w:pPr>
              <w:pStyle w:val="31"/>
              <w:jc w:val="both"/>
              <w:rPr>
                <w:b/>
                <w:kern w:val="2"/>
                <w:lang w:val="zh-CN"/>
              </w:rPr>
            </w:pPr>
            <w:r>
              <w:rPr>
                <w:rFonts w:hint="eastAsia"/>
                <w:b/>
                <w:kern w:val="2"/>
                <w:lang w:val="zh-CN"/>
              </w:rPr>
              <w:t>人民币</w:t>
            </w:r>
            <w:r>
              <w:rPr>
                <w:rFonts w:hint="eastAsia"/>
                <w:b/>
                <w:kern w:val="2"/>
                <w:lang w:val="zh-CN" w:eastAsia="zh-CN"/>
              </w:rPr>
              <w:t>462287.00</w:t>
            </w:r>
            <w:r>
              <w:rPr>
                <w:rFonts w:hint="eastAsia"/>
                <w:b/>
                <w:kern w:val="2"/>
                <w:lang w:val="zh-CN"/>
              </w:rPr>
              <w:t>元</w:t>
            </w:r>
          </w:p>
          <w:p>
            <w:pPr>
              <w:pStyle w:val="31"/>
              <w:ind w:left="38"/>
              <w:jc w:val="both"/>
              <w:rPr>
                <w:b/>
                <w:kern w:val="2"/>
                <w:lang w:val="zh-CN"/>
              </w:rPr>
            </w:pPr>
            <w:r>
              <w:rPr>
                <w:rFonts w:hint="eastAsia"/>
                <w:kern w:val="2"/>
                <w:sz w:val="21"/>
                <w:szCs w:val="21"/>
                <w:lang w:val="zh-CN"/>
              </w:rPr>
              <w:t>供应商投标报价高于最高限价的则其投标文件将按无效投标文件处理。</w:t>
            </w:r>
          </w:p>
        </w:tc>
      </w:tr>
      <w:tr>
        <w:tblPrEx>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Align w:val="center"/>
          </w:tcPr>
          <w:p>
            <w:pPr>
              <w:pStyle w:val="31"/>
              <w:ind w:left="38"/>
              <w:jc w:val="center"/>
              <w:rPr>
                <w:rFonts w:hint="eastAsia"/>
                <w:kern w:val="2"/>
                <w:lang w:val="zh-CN"/>
              </w:rPr>
            </w:pPr>
            <w:r>
              <w:rPr>
                <w:rFonts w:hint="eastAsia"/>
                <w:kern w:val="2"/>
                <w:lang w:val="zh-CN"/>
              </w:rPr>
              <w:t>暂列金</w:t>
            </w:r>
          </w:p>
        </w:tc>
        <w:tc>
          <w:tcPr>
            <w:tcW w:w="7067" w:type="dxa"/>
            <w:vAlign w:val="center"/>
          </w:tcPr>
          <w:p>
            <w:pPr>
              <w:pStyle w:val="31"/>
              <w:jc w:val="both"/>
              <w:rPr>
                <w:b/>
                <w:kern w:val="2"/>
                <w:lang w:val="zh-CN"/>
              </w:rPr>
            </w:pPr>
            <w:r>
              <w:rPr>
                <w:rFonts w:hint="eastAsia"/>
                <w:b/>
                <w:kern w:val="2"/>
                <w:lang w:val="zh-CN"/>
              </w:rPr>
              <w:t>人民币</w:t>
            </w:r>
            <w:r>
              <w:rPr>
                <w:rFonts w:hint="eastAsia"/>
                <w:b/>
                <w:kern w:val="2"/>
                <w:lang w:val="en-US" w:eastAsia="zh-CN"/>
              </w:rPr>
              <w:t>17780.00</w:t>
            </w:r>
            <w:r>
              <w:rPr>
                <w:rFonts w:hint="eastAsia"/>
                <w:b/>
                <w:kern w:val="2"/>
                <w:lang w:val="zh-CN"/>
              </w:rPr>
              <w:t>元</w:t>
            </w:r>
          </w:p>
          <w:p>
            <w:pPr>
              <w:pStyle w:val="31"/>
              <w:jc w:val="both"/>
              <w:rPr>
                <w:rFonts w:hint="eastAsia"/>
                <w:b/>
                <w:kern w:val="2"/>
                <w:lang w:val="zh-CN"/>
              </w:rPr>
            </w:pPr>
            <w:r>
              <w:rPr>
                <w:kern w:val="2"/>
                <w:sz w:val="21"/>
                <w:szCs w:val="21"/>
                <w:lang w:val="zh-CN"/>
              </w:rPr>
              <w:t>如有，请列明。</w:t>
            </w:r>
          </w:p>
        </w:tc>
      </w:tr>
      <w:tr>
        <w:tblPrEx>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sz w:val="28"/>
                <w:szCs w:val="28"/>
                <w:lang w:val="zh-CN"/>
              </w:rPr>
            </w:pPr>
            <w:r>
              <w:rPr>
                <w:rFonts w:ascii="宋体" w:hAnsi="宋体"/>
                <w:sz w:val="28"/>
                <w:szCs w:val="28"/>
                <w:lang w:val="zh-CN"/>
              </w:rPr>
              <w:t>4</w:t>
            </w:r>
          </w:p>
        </w:tc>
        <w:tc>
          <w:tcPr>
            <w:tcW w:w="1556" w:type="dxa"/>
            <w:vAlign w:val="center"/>
          </w:tcPr>
          <w:p>
            <w:pPr>
              <w:pStyle w:val="31"/>
              <w:ind w:left="38"/>
              <w:jc w:val="center"/>
              <w:rPr>
                <w:rFonts w:hint="eastAsia"/>
                <w:kern w:val="2"/>
                <w:lang w:val="zh-CN"/>
              </w:rPr>
            </w:pPr>
            <w:r>
              <w:rPr>
                <w:rFonts w:hint="eastAsia"/>
                <w:kern w:val="2"/>
                <w:lang w:val="zh-CN"/>
              </w:rPr>
              <w:t>图纸</w:t>
            </w:r>
          </w:p>
        </w:tc>
        <w:tc>
          <w:tcPr>
            <w:tcW w:w="7067" w:type="dxa"/>
            <w:vAlign w:val="center"/>
          </w:tcPr>
          <w:p>
            <w:pPr>
              <w:pStyle w:val="31"/>
              <w:jc w:val="both"/>
              <w:rPr>
                <w:rFonts w:hint="eastAsia"/>
                <w:b/>
                <w:kern w:val="2"/>
                <w:lang w:val="zh-CN"/>
              </w:rPr>
            </w:pPr>
            <w:r>
              <w:rPr>
                <w:rFonts w:hint="eastAsia"/>
                <w:b/>
                <w:kern w:val="2"/>
                <w:lang w:val="zh-CN"/>
              </w:rPr>
              <w:sym w:font="Wingdings" w:char="00FE"/>
            </w:r>
            <w:r>
              <w:rPr>
                <w:rFonts w:hint="eastAsia"/>
                <w:b/>
                <w:kern w:val="2"/>
                <w:lang w:val="zh-CN"/>
              </w:rPr>
              <w:t>有图纸，图纸与工程量清单不一致时以_图纸_为准。</w:t>
            </w:r>
          </w:p>
          <w:p>
            <w:pPr>
              <w:pStyle w:val="31"/>
              <w:jc w:val="both"/>
              <w:rPr>
                <w:rFonts w:hint="eastAsia"/>
                <w:b/>
                <w:kern w:val="2"/>
                <w:lang w:val="zh-CN"/>
              </w:rPr>
            </w:pPr>
            <w:r>
              <w:rPr>
                <w:b/>
                <w:kern w:val="2"/>
                <w:lang w:val="zh-CN"/>
              </w:rPr>
              <w:t>○无图纸</w:t>
            </w:r>
          </w:p>
        </w:tc>
      </w:tr>
      <w:tr>
        <w:tblPrEx>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ascii="宋体" w:hAnsi="宋体"/>
                <w:sz w:val="28"/>
                <w:szCs w:val="28"/>
                <w:lang w:val="zh-CN"/>
              </w:rPr>
              <w:t>5</w:t>
            </w:r>
          </w:p>
        </w:tc>
        <w:tc>
          <w:tcPr>
            <w:tcW w:w="1556" w:type="dxa"/>
            <w:vMerge w:val="restart"/>
            <w:vAlign w:val="center"/>
          </w:tcPr>
          <w:p>
            <w:pPr>
              <w:pStyle w:val="31"/>
              <w:ind w:left="38"/>
              <w:jc w:val="center"/>
              <w:rPr>
                <w:kern w:val="2"/>
                <w:lang w:val="zh-CN"/>
              </w:rPr>
            </w:pPr>
            <w:r>
              <w:rPr>
                <w:rFonts w:hint="eastAsia"/>
                <w:kern w:val="2"/>
                <w:lang w:val="zh-CN"/>
              </w:rPr>
              <w:t>项目性质</w:t>
            </w:r>
          </w:p>
        </w:tc>
        <w:tc>
          <w:tcPr>
            <w:tcW w:w="7067" w:type="dxa"/>
            <w:vAlign w:val="center"/>
          </w:tcPr>
          <w:p>
            <w:pPr>
              <w:pStyle w:val="31"/>
              <w:jc w:val="both"/>
              <w:rPr>
                <w:b/>
                <w:kern w:val="2"/>
                <w:highlight w:val="none"/>
                <w:lang w:val="zh-CN"/>
              </w:rPr>
            </w:pPr>
            <w:r>
              <w:rPr>
                <w:rFonts w:hint="eastAsia"/>
                <w:b/>
                <w:kern w:val="2"/>
                <w:highlight w:val="none"/>
                <w:lang w:val="zh-CN"/>
              </w:rPr>
              <w:sym w:font="Wingdings" w:char="00FE"/>
            </w:r>
            <w:r>
              <w:rPr>
                <w:rFonts w:hint="eastAsia"/>
                <w:b/>
                <w:kern w:val="2"/>
                <w:highlight w:val="none"/>
                <w:lang w:val="zh-CN"/>
              </w:rPr>
              <w:t>专门面向中小企业采购</w:t>
            </w:r>
          </w:p>
          <w:p>
            <w:pPr>
              <w:pStyle w:val="31"/>
              <w:ind w:left="38"/>
              <w:jc w:val="both"/>
              <w:rPr>
                <w:b/>
                <w:kern w:val="2"/>
                <w:highlight w:val="none"/>
                <w:lang w:val="zh-CN"/>
              </w:rPr>
            </w:pPr>
            <w:r>
              <w:rPr>
                <w:rFonts w:hint="eastAsia"/>
                <w:kern w:val="2"/>
                <w:sz w:val="21"/>
                <w:szCs w:val="21"/>
                <w:highlight w:val="none"/>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31"/>
              <w:ind w:left="96"/>
              <w:jc w:val="center"/>
              <w:rPr>
                <w:kern w:val="2"/>
                <w:lang w:val="zh-CN"/>
              </w:rPr>
            </w:pPr>
          </w:p>
        </w:tc>
        <w:tc>
          <w:tcPr>
            <w:tcW w:w="7067" w:type="dxa"/>
            <w:vAlign w:val="center"/>
          </w:tcPr>
          <w:p>
            <w:pPr>
              <w:rPr>
                <w:rFonts w:ascii="宋体" w:hAnsi="宋体" w:cs="宋体"/>
                <w:b/>
                <w:sz w:val="24"/>
                <w:szCs w:val="24"/>
                <w:highlight w:val="none"/>
                <w:lang w:val="zh-CN"/>
              </w:rPr>
            </w:pPr>
            <w:r>
              <w:rPr>
                <w:rFonts w:ascii="宋体" w:hAnsi="宋体" w:cs="宋体"/>
                <w:b/>
                <w:sz w:val="24"/>
                <w:szCs w:val="24"/>
                <w:highlight w:val="none"/>
                <w:lang w:val="zh-CN"/>
              </w:rPr>
              <w:t>○</w:t>
            </w:r>
            <w:r>
              <w:rPr>
                <w:rFonts w:hint="eastAsia" w:ascii="宋体" w:hAnsi="宋体" w:cs="宋体"/>
                <w:b/>
                <w:sz w:val="24"/>
                <w:szCs w:val="24"/>
                <w:highlight w:val="none"/>
                <w:lang w:val="zh-CN"/>
              </w:rPr>
              <w:t>非专门面向中小企业采购</w:t>
            </w:r>
          </w:p>
          <w:p>
            <w:pPr>
              <w:ind w:right="94" w:rightChars="45"/>
              <w:rPr>
                <w:rFonts w:ascii="宋体" w:hAnsi="宋体"/>
                <w:b/>
                <w:szCs w:val="21"/>
                <w:highlight w:val="none"/>
              </w:rPr>
            </w:pPr>
            <w:r>
              <w:rPr>
                <w:rFonts w:hint="eastAsia" w:ascii="宋体" w:hAnsi="宋体" w:cs="宋体"/>
                <w:color w:val="000000" w:themeColor="text1"/>
                <w:kern w:val="0"/>
                <w:szCs w:val="21"/>
                <w:highlight w:val="none"/>
                <w:lang w:val="zh-CN"/>
                <w14:textFill>
                  <w14:solidFill>
                    <w14:schemeClr w14:val="tx1"/>
                  </w14:solidFill>
                </w14:textFill>
              </w:rPr>
              <w:t>对符合《政府采购促进中小企业发展管理办法》（财库〔2020〕46号）规定的小微企业（监狱企业视同小型、微型企业）的</w:t>
            </w:r>
            <w:r>
              <w:rPr>
                <w:rFonts w:hint="eastAsia" w:ascii="宋体" w:hAnsi="宋体" w:cs="宋体"/>
                <w:b/>
                <w:color w:val="000000" w:themeColor="text1"/>
                <w:kern w:val="0"/>
                <w:szCs w:val="21"/>
                <w:highlight w:val="none"/>
                <w:lang w:val="zh-CN"/>
                <w14:textFill>
                  <w14:solidFill>
                    <w14:schemeClr w14:val="tx1"/>
                  </w14:solidFill>
                </w14:textFill>
              </w:rPr>
              <w:t>报价给予___%（</w:t>
            </w:r>
            <w:r>
              <w:rPr>
                <w:rFonts w:ascii="宋体" w:hAnsi="宋体" w:cs="宋体"/>
                <w:b/>
                <w:color w:val="000000" w:themeColor="text1"/>
                <w:kern w:val="0"/>
                <w:szCs w:val="21"/>
                <w:highlight w:val="none"/>
                <w:lang w:val="zh-CN"/>
                <w14:textFill>
                  <w14:solidFill>
                    <w14:schemeClr w14:val="tx1"/>
                  </w14:solidFill>
                </w14:textFill>
              </w:rPr>
              <w:t>3</w:t>
            </w:r>
            <w:r>
              <w:rPr>
                <w:rFonts w:hint="eastAsia" w:ascii="宋体" w:hAnsi="宋体" w:cs="宋体"/>
                <w:b/>
                <w:color w:val="000000" w:themeColor="text1"/>
                <w:kern w:val="0"/>
                <w:szCs w:val="21"/>
                <w:highlight w:val="none"/>
                <w:lang w:val="zh-CN"/>
                <w14:textFill>
                  <w14:solidFill>
                    <w14:schemeClr w14:val="tx1"/>
                  </w14:solidFill>
                </w14:textFill>
              </w:rPr>
              <w:t>%-</w:t>
            </w:r>
            <w:r>
              <w:rPr>
                <w:rFonts w:ascii="宋体" w:hAnsi="宋体" w:cs="宋体"/>
                <w:b/>
                <w:color w:val="000000" w:themeColor="text1"/>
                <w:kern w:val="0"/>
                <w:szCs w:val="21"/>
                <w:highlight w:val="none"/>
                <w:lang w:val="zh-CN"/>
                <w14:textFill>
                  <w14:solidFill>
                    <w14:schemeClr w14:val="tx1"/>
                  </w14:solidFill>
                </w14:textFill>
              </w:rPr>
              <w:t>5%</w:t>
            </w:r>
            <w:r>
              <w:rPr>
                <w:rFonts w:hint="eastAsia" w:ascii="宋体" w:hAnsi="宋体" w:cs="宋体"/>
                <w:b/>
                <w:color w:val="000000" w:themeColor="text1"/>
                <w:kern w:val="0"/>
                <w:szCs w:val="21"/>
                <w:highlight w:val="none"/>
                <w:lang w:val="zh-CN"/>
                <w14:textFill>
                  <w14:solidFill>
                    <w14:schemeClr w14:val="tx1"/>
                  </w14:solidFill>
                </w14:textFill>
              </w:rPr>
              <w:t>）的扣除（当采用招标方式时，实际上是对其价格分给予一定比例的增加）</w:t>
            </w:r>
            <w:r>
              <w:rPr>
                <w:rFonts w:hint="eastAsia" w:ascii="宋体" w:hAnsi="宋体" w:cs="宋体"/>
                <w:color w:val="000000" w:themeColor="text1"/>
                <w:kern w:val="0"/>
                <w:szCs w:val="21"/>
                <w:highlight w:val="none"/>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6</w:t>
            </w:r>
          </w:p>
        </w:tc>
        <w:tc>
          <w:tcPr>
            <w:tcW w:w="1556" w:type="dxa"/>
            <w:vAlign w:val="center"/>
          </w:tcPr>
          <w:p>
            <w:pPr>
              <w:pStyle w:val="31"/>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rPr>
                <w:rFonts w:hint="default"/>
              </w:rPr>
            </w:pPr>
            <w:r>
              <w:rPr>
                <w:rFonts w:hint="default"/>
              </w:rPr>
              <w:t>供应商应具有独立承担民事责任的能力的企业法人、事业法人或其他组织或自然人，并出具合法有效的营业执照或事业单位法人证书等国家规定的相关证明；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法定代表人直接参加投标的，须出具法人身份证；法定代表人授权代表参加投标的，须出具法定代表人授权书及授权代表身份证；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供应商须具备建设行政主管部门颁发的水利水电工程施工总承包三级（含三级）以上资质，及有效的安全生产许可证；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拟派项目经理须具备有效的水利水电工程专业二级（含二级）以上建造师注册证，</w:t>
            </w:r>
            <w:r>
              <w:rPr>
                <w:rFonts w:hint="eastAsia"/>
                <w:lang w:eastAsia="zh-CN"/>
              </w:rPr>
              <w:t>具备</w:t>
            </w:r>
            <w:r>
              <w:rPr>
                <w:rFonts w:hint="default"/>
              </w:rPr>
              <w:t>水行政主管部门颁发的安全生产考核合格证（B证），且在本单位注册，无在建工程</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专职安全员须具备建设主管部门或水行政主管部门颁发的安全生产考核合格证；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供应商不得为“信用中国”网站中列入失信被执行人和重大税收违法案件当事人名单的供应商，不得为中国政府采购网政府采购严重违法失信行为记录名单中被财政部门禁止参加政府采购活动的供应商；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参加本次招标前3年内，在经营活动中没有重大违法记录的书面声明；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pPr>
            <w:r>
              <w:rPr>
                <w:rFonts w:hint="default"/>
              </w:rPr>
              <w:t>供应商须具有履行合同所必需的设备和专业技术能力，须附相关证明材料或书面声明；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rPr>
                <w:lang w:val="zh-CN"/>
              </w:rPr>
            </w:pPr>
            <w:r>
              <w:rPr>
                <w:rFonts w:hint="eastAsia"/>
                <w:lang w:val="zh-CN" w:eastAsia="zh-CN"/>
              </w:rPr>
              <w:t>本项目专门面向中小企业采购（提供中小企业声明函）；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rPr>
                <w:lang w:val="zh-CN"/>
              </w:rPr>
            </w:pPr>
            <w:r>
              <w:rPr>
                <w:rFonts w:hint="default"/>
              </w:rPr>
              <w:t>本项目不接受联合体，单位负责人为同一人或者存在控股、管理关系的不同单位不得同时参加。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7</w:t>
            </w:r>
          </w:p>
        </w:tc>
        <w:tc>
          <w:tcPr>
            <w:tcW w:w="1556" w:type="dxa"/>
            <w:vMerge w:val="restart"/>
            <w:vAlign w:val="center"/>
          </w:tcPr>
          <w:p>
            <w:pPr>
              <w:pStyle w:val="31"/>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31"/>
              <w:jc w:val="both"/>
              <w:rPr>
                <w:b/>
                <w:kern w:val="2"/>
                <w:lang w:val="zh-CN"/>
              </w:rPr>
            </w:pPr>
            <w:r>
              <w:rPr>
                <w:rFonts w:hint="eastAsia"/>
                <w:b/>
                <w:kern w:val="2"/>
                <w:lang w:val="zh-CN"/>
              </w:rPr>
              <w:t>○接受</w:t>
            </w:r>
          </w:p>
          <w:p>
            <w:pPr>
              <w:pStyle w:val="31"/>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b/>
                <w:kern w:val="2"/>
                <w:sz w:val="21"/>
                <w:szCs w:val="21"/>
                <w:lang w:val="zh-CN"/>
              </w:rPr>
              <w:t>1</w:t>
            </w:r>
            <w:r>
              <w:rPr>
                <w:rFonts w:hint="eastAsia"/>
                <w:b/>
                <w:kern w:val="2"/>
                <w:sz w:val="21"/>
                <w:szCs w:val="21"/>
                <w:lang w:val="zh-CN"/>
              </w:rPr>
              <w:t>%-</w:t>
            </w:r>
            <w:r>
              <w:rPr>
                <w:b/>
                <w:kern w:val="2"/>
                <w:sz w:val="21"/>
                <w:szCs w:val="21"/>
                <w:lang w:val="zh-CN"/>
              </w:rPr>
              <w:t>2%</w:t>
            </w:r>
            <w:r>
              <w:rPr>
                <w:rFonts w:hint="eastAsia"/>
                <w:b/>
                <w:kern w:val="2"/>
                <w:sz w:val="21"/>
                <w:szCs w:val="21"/>
                <w:lang w:val="zh-CN"/>
              </w:rPr>
              <w:t>）的扣除</w:t>
            </w:r>
            <w:r>
              <w:rPr>
                <w:rFonts w:hint="eastAsia"/>
                <w:b/>
                <w:color w:val="000000" w:themeColor="text1"/>
                <w:szCs w:val="21"/>
                <w:lang w:val="zh-CN"/>
                <w14:textFill>
                  <w14:solidFill>
                    <w14:schemeClr w14:val="tx1"/>
                  </w14:solidFill>
                </w14:textFill>
              </w:rPr>
              <w:t>（当采用招标方式时，实际上是对其价格分给予一定比例的增加）</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1"/>
              <w:ind w:left="96"/>
              <w:jc w:val="center"/>
              <w:rPr>
                <w:kern w:val="2"/>
                <w:lang w:val="zh-CN"/>
              </w:rPr>
            </w:pPr>
          </w:p>
        </w:tc>
        <w:tc>
          <w:tcPr>
            <w:tcW w:w="7067" w:type="dxa"/>
            <w:vAlign w:val="center"/>
          </w:tcPr>
          <w:p>
            <w:pPr>
              <w:pStyle w:val="31"/>
              <w:jc w:val="both"/>
              <w:rPr>
                <w:b/>
                <w:kern w:val="2"/>
                <w:lang w:val="zh-CN"/>
              </w:rPr>
            </w:pPr>
            <w:r>
              <w:rPr>
                <w:rFonts w:hint="eastAsia"/>
                <w:b/>
                <w:kern w:val="2"/>
                <w:lang w:val="zh-CN"/>
              </w:rPr>
              <w:sym w:font="Wingdings" w:char="00FE"/>
            </w:r>
            <w:r>
              <w:rPr>
                <w:rFonts w:hint="eastAsia"/>
                <w:b/>
                <w:kern w:val="2"/>
                <w:lang w:val="zh-CN"/>
              </w:rPr>
              <w:t>不接受</w:t>
            </w:r>
          </w:p>
        </w:tc>
      </w:tr>
      <w:tr>
        <w:tblPrEx>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8</w:t>
            </w:r>
          </w:p>
        </w:tc>
        <w:tc>
          <w:tcPr>
            <w:tcW w:w="1556" w:type="dxa"/>
            <w:vMerge w:val="restart"/>
            <w:vAlign w:val="center"/>
          </w:tcPr>
          <w:p>
            <w:pPr>
              <w:pStyle w:val="31"/>
              <w:ind w:left="96"/>
              <w:jc w:val="center"/>
              <w:rPr>
                <w:kern w:val="2"/>
                <w:lang w:val="zh-CN"/>
              </w:rPr>
            </w:pPr>
            <w:r>
              <w:rPr>
                <w:kern w:val="2"/>
                <w:lang w:val="zh-CN"/>
              </w:rPr>
              <w:t>履约保证金</w:t>
            </w:r>
          </w:p>
        </w:tc>
        <w:tc>
          <w:tcPr>
            <w:tcW w:w="7067" w:type="dxa"/>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rPr>
              <w:t>_</w:t>
            </w:r>
            <w:r>
              <w:rPr>
                <w:rFonts w:hint="eastAsia" w:ascii="宋体" w:hAnsi="宋体"/>
                <w:b/>
                <w:sz w:val="24"/>
                <w:lang w:val="en-US" w:eastAsia="zh-CN"/>
              </w:rPr>
              <w:t>/</w:t>
            </w:r>
            <w:r>
              <w:rPr>
                <w:rFonts w:hint="eastAsia" w:ascii="宋体" w:hAnsi="宋体"/>
                <w:b/>
                <w:sz w:val="24"/>
              </w:rPr>
              <w:t>_%</w:t>
            </w:r>
          </w:p>
          <w:p>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1"/>
              <w:ind w:left="96"/>
              <w:jc w:val="center"/>
              <w:rPr>
                <w:kern w:val="2"/>
                <w:lang w:val="zh-CN"/>
              </w:rPr>
            </w:pPr>
          </w:p>
        </w:tc>
        <w:tc>
          <w:tcPr>
            <w:tcW w:w="7067" w:type="dxa"/>
            <w:vAlign w:val="center"/>
          </w:tcPr>
          <w:p>
            <w:pPr>
              <w:ind w:right="94" w:rightChars="45"/>
              <w:rPr>
                <w:rFonts w:ascii="宋体" w:hAnsi="宋体"/>
                <w:b/>
                <w:sz w:val="24"/>
              </w:rPr>
            </w:pPr>
            <w:r>
              <w:rPr>
                <w:rFonts w:ascii="宋体" w:hAnsi="宋体"/>
                <w:b/>
                <w:sz w:val="24"/>
              </w:rPr>
              <w:t>○由采购单位自行收退</w:t>
            </w:r>
          </w:p>
          <w:p>
            <w:pPr>
              <w:ind w:right="94" w:rightChars="45"/>
              <w:rPr>
                <w:rFonts w:ascii="宋体" w:hAnsi="宋体"/>
                <w:b/>
                <w:sz w:val="24"/>
              </w:rPr>
            </w:pP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9</w:t>
            </w:r>
          </w:p>
        </w:tc>
        <w:tc>
          <w:tcPr>
            <w:tcW w:w="1556" w:type="dxa"/>
            <w:vAlign w:val="center"/>
          </w:tcPr>
          <w:p>
            <w:pPr>
              <w:pStyle w:val="31"/>
              <w:ind w:left="96"/>
              <w:jc w:val="center"/>
              <w:rPr>
                <w:kern w:val="2"/>
                <w:lang w:val="zh-CN"/>
              </w:rPr>
            </w:pPr>
            <w:r>
              <w:rPr>
                <w:kern w:val="2"/>
                <w:lang w:val="zh-CN"/>
              </w:rPr>
              <w:t>现场踏勘和集中答疑</w:t>
            </w:r>
          </w:p>
        </w:tc>
        <w:tc>
          <w:tcPr>
            <w:tcW w:w="7067" w:type="dxa"/>
            <w:vAlign w:val="center"/>
          </w:tcPr>
          <w:p>
            <w:pPr>
              <w:ind w:right="94" w:rightChars="45"/>
              <w:rPr>
                <w:rFonts w:ascii="宋体" w:hAnsi="宋体"/>
                <w:b/>
                <w:sz w:val="24"/>
              </w:rPr>
            </w:pPr>
            <w:r>
              <w:rPr>
                <w:rFonts w:ascii="宋体" w:hAnsi="宋体"/>
                <w:b/>
                <w:sz w:val="24"/>
              </w:rPr>
              <w:t>○组织，集结地点为：</w:t>
            </w:r>
            <w:r>
              <w:rPr>
                <w:rFonts w:hint="eastAsia" w:ascii="宋体" w:hAnsi="宋体"/>
                <w:b/>
                <w:sz w:val="24"/>
              </w:rPr>
              <w:t>_______________________</w:t>
            </w:r>
          </w:p>
          <w:p>
            <w:pPr>
              <w:ind w:right="94" w:rightChars="45"/>
              <w:rPr>
                <w:rFonts w:ascii="宋体" w:hAnsi="宋体"/>
                <w:b/>
                <w:sz w:val="24"/>
              </w:rPr>
            </w:pPr>
            <w:r>
              <w:rPr>
                <w:rFonts w:hint="eastAsia" w:ascii="宋体" w:hAnsi="宋体"/>
                <w:b/>
                <w:sz w:val="24"/>
                <w:lang w:val="zh-CN"/>
              </w:rPr>
              <w:sym w:font="Wingdings" w:char="00FE"/>
            </w:r>
            <w:r>
              <w:rPr>
                <w:rFonts w:ascii="宋体" w:hAnsi="宋体"/>
                <w:b/>
                <w:sz w:val="24"/>
              </w:rPr>
              <w:t>不组织</w:t>
            </w:r>
          </w:p>
        </w:tc>
      </w:tr>
      <w:tr>
        <w:tblPrEx>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10</w:t>
            </w:r>
          </w:p>
        </w:tc>
        <w:tc>
          <w:tcPr>
            <w:tcW w:w="1556" w:type="dxa"/>
            <w:vAlign w:val="center"/>
          </w:tcPr>
          <w:p>
            <w:pPr>
              <w:pStyle w:val="31"/>
              <w:ind w:left="96"/>
              <w:jc w:val="center"/>
              <w:rPr>
                <w:kern w:val="2"/>
                <w:lang w:val="zh-CN"/>
              </w:rPr>
            </w:pPr>
            <w:r>
              <w:rPr>
                <w:kern w:val="2"/>
                <w:lang w:val="zh-CN"/>
              </w:rPr>
              <w:t>价格分比重</w:t>
            </w:r>
          </w:p>
        </w:tc>
        <w:tc>
          <w:tcPr>
            <w:tcW w:w="7067" w:type="dxa"/>
            <w:vAlign w:val="center"/>
          </w:tcPr>
          <w:p>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lang w:val="zh-CN" w:eastAsia="zh-CN"/>
              </w:rPr>
              <w:t xml:space="preserve"> 50 </w:t>
            </w:r>
            <w:r>
              <w:rPr>
                <w:rFonts w:hint="eastAsia" w:ascii="宋体" w:hAnsi="宋体" w:cs="宋体"/>
                <w:b/>
                <w:kern w:val="0"/>
                <w:sz w:val="24"/>
                <w:szCs w:val="24"/>
                <w:lang w:val="zh-CN"/>
              </w:rPr>
              <w:t>%</w:t>
            </w:r>
          </w:p>
          <w:p>
            <w:pPr>
              <w:widowControl/>
              <w:rPr>
                <w:rFonts w:ascii="宋体" w:hAnsi="宋体" w:cs="宋体"/>
                <w:kern w:val="0"/>
                <w:szCs w:val="21"/>
                <w:lang w:val="zh-CN"/>
              </w:rPr>
            </w:pPr>
            <w:r>
              <w:rPr>
                <w:rFonts w:ascii="宋体" w:hAnsi="宋体" w:cs="宋体"/>
                <w:kern w:val="0"/>
                <w:szCs w:val="21"/>
                <w:lang w:val="zh-CN"/>
              </w:rPr>
              <w:t>政府采购法律法规未有明确限制。</w:t>
            </w:r>
          </w:p>
        </w:tc>
      </w:tr>
      <w:tr>
        <w:tblPrEx>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11</w:t>
            </w:r>
          </w:p>
        </w:tc>
        <w:tc>
          <w:tcPr>
            <w:tcW w:w="1556" w:type="dxa"/>
            <w:vAlign w:val="center"/>
          </w:tcPr>
          <w:p>
            <w:pPr>
              <w:pStyle w:val="31"/>
              <w:ind w:left="96"/>
              <w:jc w:val="center"/>
              <w:rPr>
                <w:kern w:val="2"/>
                <w:lang w:val="zh-CN"/>
              </w:rPr>
            </w:pPr>
            <w:r>
              <w:rPr>
                <w:kern w:val="2"/>
                <w:lang w:val="zh-CN"/>
              </w:rPr>
              <w:t>合同类型</w:t>
            </w:r>
          </w:p>
        </w:tc>
        <w:tc>
          <w:tcPr>
            <w:tcW w:w="7067" w:type="dxa"/>
            <w:vAlign w:val="center"/>
          </w:tcPr>
          <w:p>
            <w:pPr>
              <w:rPr>
                <w:rFonts w:ascii="宋体" w:hAnsi="宋体"/>
                <w:b/>
                <w:sz w:val="24"/>
                <w:lang w:val="zh-CN"/>
              </w:rPr>
            </w:pPr>
            <w:r>
              <w:rPr>
                <w:rFonts w:hint="eastAsia" w:ascii="宋体" w:hAnsi="宋体"/>
                <w:b/>
                <w:sz w:val="24"/>
                <w:lang w:val="zh-CN"/>
              </w:rPr>
              <w:sym w:font="Wingdings" w:char="00FE"/>
            </w:r>
            <w:r>
              <w:rPr>
                <w:rFonts w:ascii="宋体" w:hAnsi="宋体"/>
                <w:b/>
                <w:sz w:val="24"/>
                <w:lang w:val="zh-CN"/>
              </w:rPr>
              <w:t>总价</w:t>
            </w:r>
          </w:p>
          <w:p>
            <w:pPr>
              <w:rPr>
                <w:rFonts w:ascii="宋体" w:hAnsi="宋体"/>
                <w:b/>
                <w:sz w:val="24"/>
                <w:lang w:val="zh-CN"/>
              </w:rPr>
            </w:pPr>
            <w:r>
              <w:rPr>
                <w:rFonts w:ascii="宋体" w:hAnsi="宋体"/>
                <w:b/>
                <w:sz w:val="24"/>
                <w:lang w:val="zh-CN"/>
              </w:rPr>
              <w:t>○综合单价（适用于采购数量不定的情形）</w:t>
            </w:r>
          </w:p>
          <w:p>
            <w:pPr>
              <w:rPr>
                <w:rFonts w:ascii="宋体" w:hAnsi="宋体"/>
                <w:sz w:val="24"/>
                <w:lang w:val="zh-CN"/>
              </w:rPr>
            </w:pPr>
            <w:r>
              <w:rPr>
                <w:rFonts w:ascii="宋体" w:hAnsi="宋体"/>
                <w:b/>
                <w:sz w:val="24"/>
                <w:lang w:val="zh-CN"/>
              </w:rPr>
              <w:t>○其他：</w:t>
            </w:r>
            <w:r>
              <w:rPr>
                <w:rFonts w:hint="eastAsia" w:ascii="宋体" w:hAnsi="宋体"/>
                <w:b/>
                <w:sz w:val="24"/>
                <w:lang w:val="zh-CN"/>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12</w:t>
            </w:r>
          </w:p>
        </w:tc>
        <w:tc>
          <w:tcPr>
            <w:tcW w:w="1556" w:type="dxa"/>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pPr>
              <w:tabs>
                <w:tab w:val="left" w:pos="7665"/>
              </w:tabs>
              <w:snapToGrid w:val="0"/>
              <w:rPr>
                <w:rFonts w:ascii="宋体" w:hAnsi="宋体"/>
                <w:b/>
                <w:sz w:val="24"/>
              </w:rPr>
            </w:pPr>
            <w:r>
              <w:rPr>
                <w:rFonts w:hint="eastAsia" w:ascii="宋体" w:hAnsi="宋体"/>
                <w:b/>
                <w:sz w:val="24"/>
                <w:lang w:val="zh-CN"/>
              </w:rPr>
              <w:sym w:font="Wingdings" w:char="00FE"/>
            </w:r>
            <w:r>
              <w:rPr>
                <w:rFonts w:ascii="宋体" w:hAnsi="宋体"/>
                <w:b/>
                <w:sz w:val="24"/>
              </w:rPr>
              <w:t>向有管辖权的人民法院提起诉讼</w:t>
            </w:r>
          </w:p>
          <w:p>
            <w:pPr>
              <w:tabs>
                <w:tab w:val="left" w:pos="7665"/>
              </w:tabs>
              <w:snapToGrid w:val="0"/>
              <w:rPr>
                <w:rFonts w:ascii="宋体" w:hAnsi="宋体"/>
                <w:b/>
                <w:sz w:val="24"/>
              </w:rPr>
            </w:pPr>
            <w:r>
              <w:rPr>
                <w:rFonts w:ascii="宋体" w:hAnsi="宋体"/>
                <w:b/>
                <w:sz w:val="24"/>
              </w:rPr>
              <w:t>○向西安仲裁委员会提请仲裁</w:t>
            </w:r>
          </w:p>
          <w:p>
            <w:pPr>
              <w:tabs>
                <w:tab w:val="left" w:pos="7665"/>
              </w:tabs>
              <w:snapToGrid w:val="0"/>
              <w:rPr>
                <w:rFonts w:ascii="宋体" w:hAnsi="宋体"/>
                <w:sz w:val="24"/>
              </w:rPr>
            </w:pPr>
            <w:r>
              <w:rPr>
                <w:rFonts w:ascii="宋体" w:hAnsi="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13</w:t>
            </w:r>
          </w:p>
        </w:tc>
        <w:tc>
          <w:tcPr>
            <w:tcW w:w="1556" w:type="dxa"/>
            <w:vAlign w:val="center"/>
          </w:tcPr>
          <w:p>
            <w:pPr>
              <w:snapToGrid w:val="0"/>
              <w:jc w:val="center"/>
              <w:rPr>
                <w:rFonts w:ascii="宋体" w:hAnsi="宋体"/>
                <w:sz w:val="24"/>
                <w:highlight w:val="none"/>
              </w:rPr>
            </w:pPr>
            <w:r>
              <w:rPr>
                <w:rFonts w:hint="eastAsia" w:ascii="宋体" w:hAnsi="宋体"/>
                <w:sz w:val="24"/>
                <w:highlight w:val="none"/>
              </w:rPr>
              <w:t>联系方式</w:t>
            </w:r>
          </w:p>
        </w:tc>
        <w:tc>
          <w:tcPr>
            <w:tcW w:w="7067" w:type="dxa"/>
            <w:vAlign w:val="center"/>
          </w:tcPr>
          <w:p>
            <w:pPr>
              <w:tabs>
                <w:tab w:val="left" w:pos="7665"/>
              </w:tabs>
              <w:snapToGrid w:val="0"/>
              <w:rPr>
                <w:rFonts w:hint="eastAsia" w:ascii="宋体" w:hAnsi="宋体" w:eastAsia="宋体"/>
                <w:b/>
                <w:bCs/>
                <w:sz w:val="24"/>
                <w:highlight w:val="none"/>
                <w:lang w:eastAsia="zh-CN"/>
              </w:rPr>
            </w:pPr>
            <w:r>
              <w:rPr>
                <w:rFonts w:hint="eastAsia" w:ascii="宋体" w:hAnsi="宋体"/>
                <w:b/>
                <w:bCs/>
                <w:sz w:val="24"/>
                <w:highlight w:val="none"/>
              </w:rPr>
              <w:t>项目对接人：</w:t>
            </w:r>
            <w:r>
              <w:rPr>
                <w:rFonts w:hint="eastAsia" w:ascii="宋体" w:hAnsi="宋体"/>
                <w:b/>
                <w:bCs/>
                <w:sz w:val="24"/>
                <w:highlight w:val="none"/>
                <w:lang w:val="en-US" w:eastAsia="zh-CN"/>
              </w:rPr>
              <w:t>郭工</w:t>
            </w:r>
          </w:p>
          <w:p>
            <w:pPr>
              <w:tabs>
                <w:tab w:val="left" w:pos="7665"/>
              </w:tabs>
              <w:snapToGrid w:val="0"/>
              <w:rPr>
                <w:rFonts w:hint="default" w:ascii="宋体" w:hAnsi="宋体" w:eastAsia="宋体"/>
                <w:b/>
                <w:bCs/>
                <w:sz w:val="24"/>
                <w:highlight w:val="none"/>
                <w:lang w:val="en-US" w:eastAsia="zh-CN"/>
              </w:rPr>
            </w:pPr>
            <w:r>
              <w:rPr>
                <w:rFonts w:ascii="宋体" w:hAnsi="宋体"/>
                <w:b/>
                <w:bCs/>
                <w:sz w:val="24"/>
                <w:highlight w:val="none"/>
              </w:rPr>
              <w:t>联系电话：</w:t>
            </w:r>
            <w:r>
              <w:rPr>
                <w:rFonts w:hint="eastAsia" w:ascii="宋体" w:hAnsi="宋体"/>
                <w:b/>
                <w:bCs/>
                <w:sz w:val="24"/>
                <w:highlight w:val="none"/>
                <w:lang w:val="en-US" w:eastAsia="zh-CN"/>
              </w:rPr>
              <w:t>029-84858566</w:t>
            </w:r>
          </w:p>
          <w:p>
            <w:pPr>
              <w:tabs>
                <w:tab w:val="left" w:pos="7665"/>
              </w:tabs>
              <w:snapToGrid w:val="0"/>
              <w:rPr>
                <w:rFonts w:hint="eastAsia" w:ascii="宋体" w:hAnsi="宋体" w:eastAsia="宋体"/>
                <w:sz w:val="24"/>
                <w:highlight w:val="none"/>
                <w:lang w:eastAsia="zh-CN"/>
              </w:rPr>
            </w:pPr>
            <w:r>
              <w:rPr>
                <w:rFonts w:ascii="宋体" w:hAnsi="宋体"/>
                <w:b/>
                <w:bCs/>
                <w:sz w:val="24"/>
                <w:highlight w:val="none"/>
              </w:rPr>
              <w:t>电子邮箱：</w:t>
            </w:r>
            <w:r>
              <w:rPr>
                <w:rFonts w:hint="eastAsia" w:ascii="宋体" w:hAnsi="宋体"/>
                <w:b/>
                <w:bCs/>
                <w:sz w:val="24"/>
                <w:highlight w:val="none"/>
                <w:lang w:val="en-US" w:eastAsia="zh-CN"/>
              </w:rPr>
              <w:t>/</w:t>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一、项目概况</w:t>
      </w:r>
    </w:p>
    <w:p>
      <w:pPr>
        <w:pStyle w:val="38"/>
        <w:spacing w:line="400" w:lineRule="exact"/>
        <w:ind w:firstLine="480"/>
        <w:rPr>
          <w:rFonts w:ascii="楷体" w:hAnsi="楷体" w:eastAsia="楷体"/>
          <w:color w:val="FF0000"/>
          <w:sz w:val="24"/>
          <w:szCs w:val="24"/>
        </w:rPr>
      </w:pPr>
      <w:r>
        <w:rPr>
          <w:rFonts w:hint="eastAsia" w:ascii="仿宋" w:hAnsi="仿宋" w:eastAsia="仿宋"/>
          <w:sz w:val="28"/>
          <w:szCs w:val="28"/>
        </w:rPr>
        <w:t>西安市</w:t>
      </w:r>
      <w:r>
        <w:rPr>
          <w:rFonts w:hint="eastAsia" w:ascii="仿宋" w:hAnsi="仿宋" w:eastAsia="仿宋"/>
          <w:sz w:val="28"/>
          <w:szCs w:val="28"/>
          <w:lang w:val="en-US" w:eastAsia="zh-CN"/>
        </w:rPr>
        <w:t>鄠</w:t>
      </w:r>
      <w:r>
        <w:rPr>
          <w:rFonts w:hint="eastAsia" w:ascii="仿宋" w:hAnsi="仿宋" w:eastAsia="仿宋"/>
          <w:sz w:val="28"/>
          <w:szCs w:val="28"/>
        </w:rPr>
        <w:t>邑区2022年省级水利补助资金农村饮水工程维修养护项</w:t>
      </w:r>
      <w:r>
        <w:rPr>
          <w:rFonts w:hint="eastAsia" w:ascii="仿宋" w:hAnsi="仿宋" w:eastAsia="仿宋"/>
          <w:sz w:val="28"/>
          <w:szCs w:val="28"/>
          <w:lang w:val="en-US" w:eastAsia="zh-CN"/>
        </w:rPr>
        <w:t>目</w:t>
      </w:r>
      <w:r>
        <w:rPr>
          <w:rFonts w:hint="eastAsia" w:ascii="仿宋" w:hAnsi="仿宋" w:eastAsia="仿宋"/>
          <w:sz w:val="28"/>
          <w:szCs w:val="28"/>
        </w:rPr>
        <w:t>,位</w:t>
      </w:r>
      <w:r>
        <w:rPr>
          <w:rFonts w:hint="eastAsia" w:ascii="仿宋" w:hAnsi="仿宋" w:eastAsia="仿宋"/>
          <w:sz w:val="28"/>
          <w:szCs w:val="28"/>
          <w:lang w:val="en-US" w:eastAsia="zh-CN"/>
        </w:rPr>
        <w:t>于</w:t>
      </w:r>
      <w:r>
        <w:rPr>
          <w:rFonts w:hint="eastAsia" w:ascii="仿宋" w:hAnsi="仿宋" w:eastAsia="仿宋"/>
          <w:sz w:val="28"/>
          <w:szCs w:val="28"/>
        </w:rPr>
        <w:t>西安市鄠邑区。主要提高鄠邑区涝上供水、甘</w:t>
      </w:r>
      <w:r>
        <w:rPr>
          <w:rFonts w:hint="eastAsia" w:ascii="仿宋" w:hAnsi="仿宋" w:eastAsia="仿宋"/>
          <w:sz w:val="28"/>
          <w:szCs w:val="28"/>
          <w:lang w:val="en-US" w:eastAsia="zh-CN"/>
        </w:rPr>
        <w:t>峪</w:t>
      </w:r>
      <w:r>
        <w:rPr>
          <w:rFonts w:hint="eastAsia" w:ascii="仿宋" w:hAnsi="仿宋" w:eastAsia="仿宋"/>
          <w:sz w:val="28"/>
          <w:szCs w:val="28"/>
        </w:rPr>
        <w:t>水厂、侯家庙水厂、曲</w:t>
      </w:r>
      <w:r>
        <w:rPr>
          <w:rFonts w:hint="eastAsia" w:ascii="仿宋" w:hAnsi="仿宋" w:eastAsia="仿宋"/>
          <w:sz w:val="28"/>
          <w:szCs w:val="28"/>
          <w:lang w:val="en-US" w:eastAsia="zh-CN"/>
        </w:rPr>
        <w:t>峪</w:t>
      </w:r>
      <w:r>
        <w:rPr>
          <w:rFonts w:hint="eastAsia" w:ascii="仿宋" w:hAnsi="仿宋" w:eastAsia="仿宋"/>
          <w:sz w:val="28"/>
          <w:szCs w:val="28"/>
        </w:rPr>
        <w:t>河供水、玉蝉上涧子供水、</w:t>
      </w:r>
      <w:r>
        <w:rPr>
          <w:rFonts w:hint="eastAsia" w:ascii="仿宋" w:hAnsi="仿宋" w:eastAsia="仿宋"/>
          <w:sz w:val="28"/>
          <w:szCs w:val="28"/>
          <w:lang w:val="en-US" w:eastAsia="zh-CN"/>
        </w:rPr>
        <w:t>圪</w:t>
      </w:r>
      <w:r>
        <w:rPr>
          <w:rFonts w:hint="eastAsia" w:ascii="仿宋" w:hAnsi="仿宋" w:eastAsia="仿宋"/>
          <w:sz w:val="28"/>
          <w:szCs w:val="28"/>
        </w:rPr>
        <w:t>塔头供水、马坊供水、教场新村供水共计8处供水站的生活用水问题,工程设计现状年2022年，设计水平年2032年,项目建设任务是提高现状村民的生活用水问题。</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pPr>
        <w:pStyle w:val="38"/>
        <w:spacing w:line="400" w:lineRule="exact"/>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一）工程内容：主要提高鄠邑区涝上供水、甘峪水厂、侯家庙水厂、曲峪河供水、玉蝉上涧子供水、圪塔头供水、马坊供水、教场新村供水共计8处供水站的生活用水问题,工程设计现状年2022年，设计水平年2032年,项目建设任务是提高现状村民的生活用水问题。</w:t>
      </w:r>
    </w:p>
    <w:p>
      <w:pPr>
        <w:pStyle w:val="38"/>
        <w:spacing w:line="400" w:lineRule="exact"/>
        <w:ind w:firstLine="480"/>
        <w:rPr>
          <w:rFonts w:hint="eastAsia" w:ascii="仿宋" w:hAnsi="仿宋" w:eastAsia="仿宋"/>
          <w:sz w:val="28"/>
          <w:szCs w:val="28"/>
        </w:rPr>
      </w:pPr>
      <w:r>
        <w:rPr>
          <w:rFonts w:hint="eastAsia" w:ascii="仿宋" w:hAnsi="仿宋" w:eastAsia="仿宋"/>
          <w:sz w:val="28"/>
          <w:szCs w:val="28"/>
        </w:rPr>
        <w:t>（二）工程地点：</w:t>
      </w:r>
      <w:r>
        <w:rPr>
          <w:rFonts w:hint="eastAsia" w:ascii="仿宋" w:hAnsi="仿宋" w:eastAsia="仿宋"/>
          <w:sz w:val="28"/>
          <w:szCs w:val="28"/>
          <w:lang w:val="en-US" w:eastAsia="zh-CN"/>
        </w:rPr>
        <w:t>西安市鄠邑区</w:t>
      </w:r>
    </w:p>
    <w:p>
      <w:pPr>
        <w:pStyle w:val="38"/>
        <w:spacing w:line="400" w:lineRule="exact"/>
        <w:ind w:firstLine="480"/>
        <w:rPr>
          <w:rFonts w:hint="default" w:ascii="仿宋" w:hAnsi="仿宋" w:eastAsia="仿宋"/>
          <w:sz w:val="28"/>
          <w:szCs w:val="28"/>
          <w:highlight w:val="none"/>
          <w:lang w:val="en-US" w:eastAsia="zh-CN"/>
        </w:rPr>
      </w:pPr>
      <w:r>
        <w:rPr>
          <w:rFonts w:hint="eastAsia" w:ascii="仿宋" w:hAnsi="仿宋" w:eastAsia="仿宋"/>
          <w:sz w:val="28"/>
          <w:szCs w:val="28"/>
          <w:highlight w:val="none"/>
        </w:rPr>
        <w:t>（三）计划工期：</w:t>
      </w:r>
      <w:r>
        <w:rPr>
          <w:rFonts w:hint="eastAsia" w:ascii="仿宋" w:hAnsi="仿宋" w:eastAsia="仿宋"/>
          <w:sz w:val="28"/>
          <w:szCs w:val="28"/>
          <w:highlight w:val="none"/>
          <w:lang w:val="en-US" w:eastAsia="zh-CN"/>
        </w:rPr>
        <w:t>3个月</w:t>
      </w:r>
    </w:p>
    <w:p>
      <w:pPr>
        <w:pStyle w:val="38"/>
        <w:spacing w:line="400" w:lineRule="exact"/>
        <w:ind w:firstLine="480"/>
        <w:rPr>
          <w:rFonts w:hint="eastAsia" w:ascii="仿宋" w:hAnsi="仿宋" w:eastAsia="仿宋"/>
          <w:sz w:val="28"/>
          <w:szCs w:val="28"/>
        </w:rPr>
      </w:pPr>
      <w:r>
        <w:rPr>
          <w:rFonts w:hint="eastAsia" w:ascii="仿宋" w:hAnsi="仿宋" w:eastAsia="仿宋"/>
          <w:sz w:val="28"/>
          <w:szCs w:val="28"/>
        </w:rPr>
        <w:t>（四）缺陷责任期（与质保金的退还有关）：</w:t>
      </w:r>
      <w:r>
        <w:rPr>
          <w:rFonts w:hint="eastAsia" w:ascii="仿宋" w:hAnsi="仿宋" w:eastAsia="仿宋"/>
          <w:sz w:val="28"/>
          <w:szCs w:val="28"/>
          <w:lang w:val="en-US" w:eastAsia="zh-CN"/>
        </w:rPr>
        <w:t>/</w:t>
      </w:r>
      <w:r>
        <w:rPr>
          <w:rFonts w:hint="eastAsia" w:ascii="仿宋" w:hAnsi="仿宋" w:eastAsia="仿宋"/>
          <w:sz w:val="28"/>
          <w:szCs w:val="28"/>
          <w:lang w:eastAsia="zh-CN"/>
        </w:rPr>
        <w:t>（</w:t>
      </w:r>
      <w:r>
        <w:rPr>
          <w:rFonts w:hint="eastAsia" w:ascii="仿宋" w:hAnsi="仿宋" w:eastAsia="仿宋"/>
          <w:sz w:val="28"/>
          <w:szCs w:val="28"/>
          <w:lang w:val="en-US" w:eastAsia="zh-CN"/>
        </w:rPr>
        <w:t>本项目不要求质保金）</w:t>
      </w:r>
      <w:r>
        <w:rPr>
          <w:rFonts w:hint="eastAsia" w:ascii="仿宋" w:hAnsi="仿宋" w:eastAsia="仿宋"/>
          <w:sz w:val="28"/>
          <w:szCs w:val="28"/>
        </w:rPr>
        <w:t>。</w:t>
      </w:r>
    </w:p>
    <w:p>
      <w:pPr>
        <w:pStyle w:val="38"/>
        <w:spacing w:line="400" w:lineRule="exact"/>
        <w:ind w:firstLine="480"/>
        <w:rPr>
          <w:rFonts w:hint="eastAsia" w:ascii="仿宋" w:hAnsi="仿宋" w:eastAsia="仿宋"/>
          <w:sz w:val="28"/>
          <w:szCs w:val="28"/>
        </w:rPr>
      </w:pPr>
      <w:r>
        <w:rPr>
          <w:rFonts w:hint="eastAsia" w:ascii="仿宋" w:hAnsi="仿宋" w:eastAsia="仿宋"/>
          <w:sz w:val="28"/>
          <w:szCs w:val="28"/>
        </w:rPr>
        <w:t>（五）质量保修期（与质保金的退还无关）：见《建设工程质量管理条例》。</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pPr>
        <w:pStyle w:val="38"/>
        <w:spacing w:line="400" w:lineRule="exact"/>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（一）计价依据：</w:t>
      </w:r>
    </w:p>
    <w:p>
      <w:pPr>
        <w:pStyle w:val="38"/>
        <w:spacing w:line="400" w:lineRule="exact"/>
        <w:ind w:firstLine="480"/>
        <w:rPr>
          <w:rFonts w:hint="default" w:ascii="仿宋" w:hAnsi="仿宋" w:eastAsia="仿宋"/>
          <w:sz w:val="28"/>
          <w:szCs w:val="28"/>
          <w:lang w:val="en-US" w:eastAsia="zh-CN"/>
        </w:rPr>
      </w:pPr>
      <w:r>
        <w:rPr>
          <w:rFonts w:hint="eastAsia" w:ascii="仿宋" w:hAnsi="仿宋" w:eastAsia="仿宋"/>
          <w:sz w:val="28"/>
          <w:szCs w:val="28"/>
          <w:lang w:val="en-US" w:eastAsia="zh-CN"/>
        </w:rPr>
        <w:t>详见招标限价等相关资料。</w:t>
      </w:r>
    </w:p>
    <w:p>
      <w:pPr>
        <w:pStyle w:val="38"/>
        <w:numPr>
          <w:ilvl w:val="0"/>
          <w:numId w:val="2"/>
        </w:numPr>
        <w:spacing w:line="400" w:lineRule="exact"/>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工程量清单：</w:t>
      </w:r>
    </w:p>
    <w:p>
      <w:pPr>
        <w:pStyle w:val="38"/>
        <w:spacing w:line="400" w:lineRule="exact"/>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详见招标限价等相关资料。</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四、施工要求（可选）</w:t>
      </w:r>
    </w:p>
    <w:p>
      <w:pPr>
        <w:pStyle w:val="38"/>
        <w:spacing w:line="400" w:lineRule="exact"/>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在施工期间，中标供应商必须注意院内人员安全，加强安全措施，并对施工人员进行安全教育。施工人员必须持证上岗。因采购人工作的特殊性，要求中标供应商在施工中做到封闭性施工。</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pPr>
        <w:pStyle w:val="38"/>
        <w:spacing w:line="400" w:lineRule="exact"/>
        <w:ind w:firstLine="48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结算方式</w:t>
      </w:r>
      <w:r>
        <w:rPr>
          <w:rFonts w:hint="eastAsia" w:ascii="仿宋" w:hAnsi="仿宋" w:eastAsia="仿宋"/>
          <w:color w:val="000000" w:themeColor="text1"/>
          <w:sz w:val="28"/>
          <w:szCs w:val="28"/>
          <w:highlight w:val="none"/>
          <w:lang w:eastAsia="zh-CN"/>
          <w14:textFill>
            <w14:solidFill>
              <w14:schemeClr w14:val="tx1"/>
            </w14:solidFill>
          </w14:textFill>
        </w:rPr>
        <w:t>：本合同为单价合同，具体施工内容按照实际工程量结算。工程款按进度支付，工程完工并经三方审定后付90%暂停；待财政评审(或审计）完成后，支付清剩余款项。</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（一）对供应商的业绩要求。</w:t>
      </w:r>
    </w:p>
    <w:p>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（二）质量验收标准或规范</w:t>
      </w:r>
    </w:p>
    <w:p>
      <w:pPr>
        <w:pStyle w:val="38"/>
        <w:spacing w:line="400" w:lineRule="exact"/>
        <w:ind w:firstLine="480"/>
        <w:rPr>
          <w:rFonts w:hint="eastAsia" w:ascii="仿宋" w:hAnsi="仿宋" w:eastAsia="仿宋"/>
          <w:color w:val="000000" w:themeColor="text1"/>
          <w:sz w:val="28"/>
          <w:szCs w:val="28"/>
          <w:highlight w:val="none"/>
          <w:lang w:eastAsia="zh-CN"/>
          <w14:textFill>
            <w14:solidFill>
              <w14:schemeClr w14:val="tx1"/>
            </w14:solidFill>
          </w14:textFill>
        </w:rPr>
      </w:pPr>
      <w:bookmarkStart w:id="0" w:name="_GoBack"/>
      <w:r>
        <w:rPr>
          <w:rFonts w:hint="eastAsia" w:ascii="仿宋" w:hAnsi="仿宋" w:eastAsia="仿宋"/>
          <w:color w:val="000000" w:themeColor="text1"/>
          <w:sz w:val="28"/>
          <w:szCs w:val="28"/>
          <w:highlight w:val="none"/>
          <w:lang w:eastAsia="zh-CN"/>
          <w14:textFill>
            <w14:solidFill>
              <w14:schemeClr w14:val="tx1"/>
            </w14:solidFill>
          </w14:textFill>
        </w:rPr>
        <w:t>现行的国家标准或国家行政部门颁布的法律法规、规章制度等，是项目验收的另一个重要依据。没有国家标准的，可以参考行业标准。</w:t>
      </w:r>
      <w:bookmarkEnd w:id="0"/>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（三）违约责任</w:t>
      </w:r>
    </w:p>
    <w:p>
      <w:pPr>
        <w:spacing w:line="400" w:lineRule="exact"/>
        <w:ind w:firstLine="560" w:firstLineChars="200"/>
      </w:pPr>
      <w:r>
        <w:rPr>
          <w:rFonts w:hint="eastAsia" w:ascii="仿宋" w:hAnsi="仿宋" w:eastAsia="仿宋"/>
          <w:sz w:val="28"/>
          <w:szCs w:val="28"/>
          <w:lang w:val="en-US" w:eastAsia="zh-CN"/>
        </w:rPr>
        <w:t>详见</w:t>
      </w:r>
      <w:r>
        <w:rPr>
          <w:rFonts w:hint="eastAsia" w:ascii="仿宋" w:hAnsi="仿宋" w:eastAsia="仿宋"/>
          <w:sz w:val="28"/>
          <w:szCs w:val="28"/>
          <w:lang w:eastAsia="zh-CN"/>
        </w:rPr>
        <w:t>建设工程合</w:t>
      </w:r>
      <w:r>
        <w:rPr>
          <w:rFonts w:hint="eastAsia" w:ascii="仿宋" w:hAnsi="仿宋" w:eastAsia="仿宋"/>
          <w:sz w:val="28"/>
          <w:szCs w:val="28"/>
          <w:lang w:val="en-US" w:eastAsia="zh-CN"/>
        </w:rPr>
        <w:t>同</w:t>
      </w:r>
      <w:r>
        <w:rPr>
          <w:rFonts w:hint="eastAsia" w:ascii="仿宋" w:hAnsi="仿宋" w:eastAsia="仿宋"/>
          <w:sz w:val="28"/>
          <w:szCs w:val="28"/>
          <w:lang w:eastAsia="zh-CN"/>
        </w:rPr>
        <w:t>。</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2EED1"/>
    <w:multiLevelType w:val="singleLevel"/>
    <w:tmpl w:val="BDB2EED1"/>
    <w:lvl w:ilvl="0" w:tentative="0">
      <w:start w:val="1"/>
      <w:numFmt w:val="decimal"/>
      <w:suff w:val="nothing"/>
      <w:lvlText w:val="（%1）"/>
      <w:lvlJc w:val="left"/>
    </w:lvl>
  </w:abstractNum>
  <w:abstractNum w:abstractNumId="1">
    <w:nsid w:val="4D7523AF"/>
    <w:multiLevelType w:val="singleLevel"/>
    <w:tmpl w:val="4D7523A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subject"/>
    <w:basedOn w:val="4"/>
    <w:next w:val="4"/>
    <w:link w:val="36"/>
    <w:unhideWhenUsed/>
    <w:qFormat/>
    <w:uiPriority w:val="99"/>
    <w:rPr>
      <w:b/>
      <w:bCs/>
    </w:rPr>
  </w:style>
  <w:style w:type="paragraph" w:styleId="4">
    <w:name w:val="annotation text"/>
    <w:basedOn w:val="1"/>
    <w:link w:val="35"/>
    <w:unhideWhenUsed/>
    <w:qFormat/>
    <w:uiPriority w:val="99"/>
    <w:pPr>
      <w:jc w:val="left"/>
    </w:pPr>
  </w:style>
  <w:style w:type="paragraph" w:styleId="5">
    <w:name w:val="Balloon Text"/>
    <w:basedOn w:val="1"/>
    <w:link w:val="37"/>
    <w:unhideWhenUsed/>
    <w:qFormat/>
    <w:uiPriority w:val="99"/>
    <w:rPr>
      <w:sz w:val="18"/>
      <w:szCs w:val="18"/>
    </w:rPr>
  </w:style>
  <w:style w:type="paragraph" w:styleId="6">
    <w:name w:val="footer"/>
    <w:basedOn w:val="1"/>
    <w:link w:val="34"/>
    <w:unhideWhenUsed/>
    <w:qFormat/>
    <w:uiPriority w:val="99"/>
    <w:pPr>
      <w:tabs>
        <w:tab w:val="center" w:pos="4153"/>
        <w:tab w:val="right" w:pos="8306"/>
      </w:tabs>
      <w:snapToGrid w:val="0"/>
      <w:jc w:val="left"/>
    </w:pPr>
    <w:rPr>
      <w:sz w:val="18"/>
      <w:szCs w:val="18"/>
    </w:rPr>
  </w:style>
  <w:style w:type="paragraph" w:styleId="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20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8"/>
    <w:link w:val="7"/>
    <w:qFormat/>
    <w:uiPriority w:val="99"/>
    <w:rPr>
      <w:rFonts w:ascii="Calibri" w:hAnsi="Calibri" w:eastAsia="宋体" w:cs="Times New Roman"/>
      <w:sz w:val="18"/>
      <w:szCs w:val="18"/>
    </w:rPr>
  </w:style>
  <w:style w:type="character" w:customStyle="1" w:styleId="34">
    <w:name w:val="页脚 Char"/>
    <w:basedOn w:val="8"/>
    <w:link w:val="6"/>
    <w:qFormat/>
    <w:uiPriority w:val="99"/>
    <w:rPr>
      <w:rFonts w:ascii="Calibri" w:hAnsi="Calibri" w:eastAsia="宋体" w:cs="Times New Roman"/>
      <w:sz w:val="18"/>
      <w:szCs w:val="18"/>
    </w:rPr>
  </w:style>
  <w:style w:type="character" w:customStyle="1" w:styleId="35">
    <w:name w:val="批注文字 Char"/>
    <w:basedOn w:val="8"/>
    <w:link w:val="4"/>
    <w:semiHidden/>
    <w:qFormat/>
    <w:uiPriority w:val="99"/>
    <w:rPr>
      <w:rFonts w:ascii="Calibri" w:hAnsi="Calibri" w:eastAsia="宋体" w:cs="Times New Roman"/>
    </w:rPr>
  </w:style>
  <w:style w:type="character" w:customStyle="1" w:styleId="36">
    <w:name w:val="批注主题 Char"/>
    <w:basedOn w:val="35"/>
    <w:link w:val="3"/>
    <w:semiHidden/>
    <w:qFormat/>
    <w:uiPriority w:val="99"/>
    <w:rPr>
      <w:rFonts w:ascii="Calibri" w:hAnsi="Calibri" w:eastAsia="宋体" w:cs="Times New Roman"/>
      <w:b/>
      <w:bCs/>
    </w:rPr>
  </w:style>
  <w:style w:type="character" w:customStyle="1" w:styleId="37">
    <w:name w:val="批注框文本 Char"/>
    <w:basedOn w:val="8"/>
    <w:link w:val="5"/>
    <w:semiHidden/>
    <w:qFormat/>
    <w:uiPriority w:val="99"/>
    <w:rPr>
      <w:rFonts w:ascii="Calibri" w:hAnsi="Calibri" w:eastAsia="宋体" w:cs="Times New Roman"/>
      <w:sz w:val="18"/>
      <w:szCs w:val="18"/>
    </w:rPr>
  </w:style>
  <w:style w:type="paragraph" w:customStyle="1" w:styleId="38">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4870</Words>
  <Characters>5787</Characters>
  <Lines>20</Lines>
  <Paragraphs>5</Paragraphs>
  <TotalTime>0</TotalTime>
  <ScaleCrop>false</ScaleCrop>
  <LinksUpToDate>false</LinksUpToDate>
  <CharactersWithSpaces>5817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2021-03-19T12:47:00Z</dcterms:created>
  <dc:creator>lenovo</dc:creator>
  <cp:lastModifiedBy>iPhone</cp:lastModifiedBy>
  <cp:lastPrinted>2021-03-24T10:37:00Z</cp:lastPrinted>
  <dcterms:modified xsi:type="dcterms:W3CDTF">2022-10-17T10:20:51Z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2052-11.30.1</vt:lpwstr>
  </property>
  <property fmtid="{D5CDD505-2E9C-101B-9397-08002B2CF9AE}" pid="3" name="ICV">
    <vt:lpwstr>5D34701CECB64072A0C906A974D1B162</vt:lpwstr>
  </property>
</Properties>
</file>