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auto"/>
          <w:sz w:val="36"/>
          <w:szCs w:val="36"/>
          <w:highlight w:val="none"/>
          <w:bdr w:val="single" w:color="auto" w:sz="4" w:space="0"/>
          <w:shd w:val="pct10" w:color="auto" w:fill="FFFFFF"/>
        </w:rPr>
      </w:pPr>
      <w:r>
        <w:rPr>
          <w:rFonts w:hint="eastAsia" w:ascii="宋体" w:hAnsi="宋体" w:eastAsia="宋体" w:cs="宋体"/>
          <w:color w:val="auto"/>
          <w:sz w:val="36"/>
          <w:szCs w:val="36"/>
          <w:highlight w:val="none"/>
          <w:bdr w:val="single" w:color="auto" w:sz="4" w:space="0"/>
          <w:shd w:val="pct10" w:color="auto" w:fill="FFFFFF"/>
        </w:rPr>
        <w:t>政府采购项目</w:t>
      </w:r>
    </w:p>
    <w:p>
      <w:pPr>
        <w:jc w:val="cente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p>
    <w:p>
      <w:pPr>
        <w:jc w:val="center"/>
        <w:outlineLvl w:val="0"/>
        <w:rPr>
          <w:rFonts w:hint="eastAsia" w:ascii="宋体" w:hAnsi="宋体" w:eastAsia="宋体" w:cs="宋体"/>
          <w:color w:val="auto"/>
          <w:sz w:val="52"/>
          <w:szCs w:val="52"/>
          <w:highlight w:val="none"/>
          <w:lang w:val="en-US" w:eastAsia="zh-CN"/>
        </w:rPr>
      </w:pPr>
      <w:bookmarkStart w:id="0" w:name="_Toc4123"/>
      <w:bookmarkStart w:id="1" w:name="_Toc29543"/>
      <w:r>
        <w:rPr>
          <w:rFonts w:hint="eastAsia" w:ascii="宋体" w:hAnsi="宋体" w:eastAsia="宋体" w:cs="宋体"/>
          <w:color w:val="auto"/>
          <w:sz w:val="52"/>
          <w:szCs w:val="52"/>
          <w:highlight w:val="none"/>
          <w:lang w:val="en-US" w:eastAsia="zh-CN"/>
        </w:rPr>
        <w:t>陕西上德招标有限公司</w:t>
      </w:r>
      <w:bookmarkEnd w:id="0"/>
      <w:bookmarkEnd w:id="1"/>
    </w:p>
    <w:p>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招标文件</w:t>
      </w: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960" w:firstLineChars="300"/>
        <w:jc w:val="left"/>
        <w:rPr>
          <w:rFonts w:hint="eastAsia" w:ascii="宋体" w:hAnsi="宋体" w:eastAsia="宋体" w:cs="宋体"/>
          <w:color w:val="auto"/>
          <w:sz w:val="32"/>
          <w:szCs w:val="32"/>
          <w:highlight w:val="none"/>
          <w:u w:val="none"/>
          <w:lang w:eastAsia="zh-CN"/>
        </w:rPr>
      </w:pP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u w:val="none"/>
          <w:lang w:eastAsia="zh-CN"/>
        </w:rPr>
        <w:t>西安市鄠邑区妇幼保健计划生育服务中心</w:t>
      </w:r>
    </w:p>
    <w:p>
      <w:pPr>
        <w:bidi w:val="0"/>
        <w:ind w:firstLine="960" w:firstLineChars="300"/>
        <w:rPr>
          <w:rFonts w:hint="eastAsia" w:ascii="宋体" w:hAnsi="宋体" w:eastAsia="宋体" w:cs="宋体"/>
          <w:sz w:val="32"/>
          <w:szCs w:val="32"/>
          <w:lang w:eastAsia="zh-CN"/>
        </w:rPr>
      </w:pPr>
      <w:r>
        <w:rPr>
          <w:rFonts w:hint="eastAsia" w:ascii="宋体" w:hAnsi="宋体" w:eastAsia="宋体" w:cs="宋体"/>
          <w:sz w:val="32"/>
          <w:szCs w:val="32"/>
          <w:lang w:eastAsia="zh-CN"/>
        </w:rPr>
        <w:t>（区妇幼保健院）宫腔镜和电子阴道镜系统购置项目</w:t>
      </w:r>
    </w:p>
    <w:p>
      <w:pPr>
        <w:spacing w:line="560" w:lineRule="exact"/>
        <w:ind w:firstLine="960" w:firstLineChars="300"/>
        <w:jc w:val="center"/>
        <w:rPr>
          <w:rFonts w:hint="eastAsia" w:ascii="宋体" w:hAnsi="宋体" w:eastAsia="宋体" w:cs="宋体"/>
          <w:color w:val="auto"/>
          <w:sz w:val="32"/>
          <w:szCs w:val="32"/>
          <w:highlight w:val="none"/>
          <w:u w:val="none"/>
          <w:lang w:eastAsia="zh-CN"/>
        </w:rPr>
      </w:pPr>
      <w:r>
        <w:rPr>
          <w:rFonts w:hint="eastAsia" w:ascii="宋体" w:hAnsi="宋体" w:eastAsia="宋体" w:cs="宋体"/>
          <w:color w:val="auto"/>
          <w:sz w:val="32"/>
          <w:szCs w:val="32"/>
          <w:highlight w:val="none"/>
          <w:u w:val="none"/>
          <w:lang w:eastAsia="zh-CN"/>
        </w:rPr>
        <w:t>（第一标段：电子阴道镜系统购置项目）</w:t>
      </w:r>
    </w:p>
    <w:p>
      <w:pPr>
        <w:spacing w:line="560" w:lineRule="exact"/>
        <w:ind w:firstLine="960" w:firstLineChars="300"/>
        <w:jc w:val="left"/>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ascii="宋体" w:hAnsi="宋体" w:eastAsia="宋体" w:cs="宋体"/>
          <w:color w:val="auto"/>
          <w:sz w:val="32"/>
          <w:szCs w:val="32"/>
          <w:highlight w:val="none"/>
          <w:lang w:eastAsia="zh-CN"/>
        </w:rPr>
        <w:t>SDZC2022-286-01</w:t>
      </w:r>
    </w:p>
    <w:p>
      <w:pPr>
        <w:spacing w:line="560" w:lineRule="exact"/>
        <w:ind w:firstLine="640" w:firstLineChars="200"/>
        <w:jc w:val="center"/>
        <w:rPr>
          <w:rFonts w:hint="eastAsia" w:ascii="宋体" w:hAnsi="宋体" w:eastAsia="宋体" w:cs="宋体"/>
          <w:color w:val="auto"/>
          <w:sz w:val="32"/>
          <w:szCs w:val="32"/>
          <w:highlight w:val="none"/>
        </w:rPr>
      </w:pPr>
    </w:p>
    <w:p>
      <w:pPr>
        <w:spacing w:line="560" w:lineRule="exact"/>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sectPr>
          <w:headerReference r:id="rId5" w:type="first"/>
          <w:footerReference r:id="rId7" w:type="first"/>
          <w:headerReference r:id="rId3" w:type="default"/>
          <w:headerReference r:id="rId4" w:type="even"/>
          <w:footerReference r:id="rId6" w:type="even"/>
          <w:pgSz w:w="11906" w:h="16838"/>
          <w:pgMar w:top="1440" w:right="1406" w:bottom="1440" w:left="1633" w:header="851" w:footer="992" w:gutter="0"/>
          <w:pgBorders>
            <w:top w:val="none" w:sz="0" w:space="0"/>
            <w:left w:val="none" w:sz="0" w:space="0"/>
            <w:bottom w:val="none" w:sz="0" w:space="0"/>
            <w:right w:val="none" w:sz="0" w:space="0"/>
          </w:pgBorders>
          <w:cols w:space="425" w:num="1"/>
          <w:docGrid w:type="linesAndChars" w:linePitch="420" w:charSpace="0"/>
        </w:sectPr>
      </w:pPr>
      <w:bookmarkStart w:id="2" w:name="_Toc19033"/>
      <w:bookmarkStart w:id="3" w:name="_Toc18285"/>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TIME \@ "yyyy年M月"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2022年10月</w:t>
      </w:r>
      <w:r>
        <w:rPr>
          <w:rFonts w:hint="eastAsia" w:ascii="宋体" w:hAnsi="宋体" w:eastAsia="宋体" w:cs="宋体"/>
          <w:color w:val="auto"/>
          <w:sz w:val="32"/>
          <w:szCs w:val="32"/>
          <w:highlight w:val="none"/>
        </w:rPr>
        <w:fldChar w:fldCharType="end"/>
      </w:r>
      <w:bookmarkEnd w:id="2"/>
      <w:bookmarkEnd w:id="3"/>
      <w:bookmarkStart w:id="4" w:name="_Toc100219612"/>
    </w:p>
    <w:sdt>
      <w:sdtPr>
        <w:rPr>
          <w:rFonts w:ascii="宋体" w:hAnsi="宋体" w:eastAsia="宋体" w:cs="Times New Roman"/>
          <w:b/>
          <w:bCs/>
          <w:color w:val="auto"/>
          <w:sz w:val="40"/>
          <w:szCs w:val="48"/>
          <w:highlight w:val="none"/>
          <w:lang w:val="en-US" w:eastAsia="zh-CN" w:bidi="ar-SA"/>
        </w:rPr>
        <w:id w:val="147475430"/>
        <w15:color w:val="DBDBDB"/>
        <w:docPartObj>
          <w:docPartGallery w:val="Table of Contents"/>
          <w:docPartUnique/>
        </w:docPartObj>
      </w:sdtPr>
      <w:sdtEndPr>
        <w:rPr>
          <w:rFonts w:hint="eastAsia" w:ascii="宋体" w:hAnsi="宋体" w:eastAsia="宋体" w:cs="宋体"/>
          <w:b/>
          <w:bCs/>
          <w:color w:val="auto"/>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48"/>
              <w:szCs w:val="48"/>
              <w:highlight w:val="none"/>
            </w:rPr>
          </w:pPr>
          <w:r>
            <w:rPr>
              <w:rFonts w:ascii="宋体" w:hAnsi="宋体" w:eastAsia="宋体"/>
              <w:b/>
              <w:bCs/>
              <w:color w:val="auto"/>
              <w:sz w:val="40"/>
              <w:szCs w:val="48"/>
              <w:highlight w:val="none"/>
            </w:rPr>
            <w:t>目</w:t>
          </w:r>
          <w:r>
            <w:rPr>
              <w:rFonts w:hint="eastAsia" w:ascii="宋体" w:hAnsi="宋体" w:eastAsia="宋体"/>
              <w:b/>
              <w:bCs/>
              <w:color w:val="auto"/>
              <w:sz w:val="40"/>
              <w:szCs w:val="48"/>
              <w:highlight w:val="none"/>
              <w:lang w:val="en-US" w:eastAsia="zh-CN"/>
            </w:rPr>
            <w:t xml:space="preserve">  </w:t>
          </w:r>
          <w:r>
            <w:rPr>
              <w:rFonts w:ascii="宋体" w:hAnsi="宋体" w:eastAsia="宋体"/>
              <w:b/>
              <w:bCs/>
              <w:color w:val="auto"/>
              <w:sz w:val="40"/>
              <w:szCs w:val="48"/>
              <w:highlight w:val="none"/>
            </w:rPr>
            <w:t>录</w:t>
          </w:r>
        </w:p>
        <w:p>
          <w:pPr>
            <w:pStyle w:val="102"/>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color w:val="auto"/>
              <w:sz w:val="24"/>
              <w:szCs w:val="24"/>
              <w:highlight w:val="none"/>
            </w:rPr>
            <w:tab/>
          </w:r>
          <w:r>
            <w:rPr>
              <w:rFonts w:hint="eastAsia"/>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p>
        <w:p>
          <w:pPr>
            <w:pStyle w:val="102"/>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_Toc1830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_Toc28595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一、有关定义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_Toc28595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注意事项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_Toc18249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投标流程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_Toc2975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_Toc10189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（二）关于询问、质疑和投诉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_Toc10189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1．询问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_Toc415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_Toc27463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2．质疑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_Toc27463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3．投诉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_Toc609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4．恶意质疑、投诉的法律后果</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_Toc21647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（三）关于保证金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_Toc7297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（四）关于联合体</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_Toc9936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_Toc18164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（五）关于进口产品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_Toc18164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_Toc28193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（六）关于政府采购政策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_Toc28193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_Toc29567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1．对中小企业、监狱企业、残疾人福利性单位的优惠政策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_Toc29567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_Toc32162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2．节能、环保产品采购政策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_Toc32162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4"/>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3．陕西省中小企业政府采购信用融资办法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_Toc12208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（七）关于现场踏勘和集中答疑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_Toc2708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（八）关于同一品牌产品的处理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_Toc16237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_Toc17987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（九）关于知识产权和保密事项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_Toc17987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_Toc8141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（十）关于信用记录的查询和使用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_Toc8141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_Toc28286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（十一）其他重要事项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_Toc28286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三、招标文件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_Toc16427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_Toc25303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（一）招标文件的解释权</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_Toc25303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（二）招标文件主要内容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_Toc236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（三）招标文件的检查及阅读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_Toc27851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_Toc3462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（四）招标文件的修改、澄清</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_Toc3462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_Toc6721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（一）投标文件的式样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_Toc4984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_Toc24886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（二）投标文件的有效期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_Toc24886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_Toc7102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_Toc6077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（四）投标文件的制作和签章</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_Toc6077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（五）投标文件的加密和提交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_Toc8936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（六）投标文件的补充、修改和撤回</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_Toc15901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（七）关于投标文件的雷同性分析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_Toc18383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_Toc9339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（八）投标文件被拒绝接收的情形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_Toc9339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五、开标程序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_Toc15904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（一）“不见面开标”基本流程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_Toc19303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_Toc6494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）开标环节投标文件视为无效的情形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_Toc6494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）突发状况的应急处置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_Toc195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_Toc32425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七、评审方法和程序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_Toc12520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_Toc32195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（一）评标方法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_Toc32195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_Toc30239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_Toc30859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（三）评标争议处理规则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_Toc30859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（四）评审现场人员的保密责任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_Toc2900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_Toc20093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（五）视同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串通投标的情形，其投标无效：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_Toc20093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_Toc31588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八、中标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_Toc31588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_Toc3816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九、合同签订、履行及验收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_Toc3816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（一）签订政府采购合同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_Toc30314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（二）合同公告及备案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_Toc993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_Toc13241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（三）履行合同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_Toc13241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_Toc28391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（四）验收或考核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_Toc28391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3"/>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十、废标及重新招标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_Toc8941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2"/>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招标内容及要求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_Toc17694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2"/>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合同文本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_Toc20811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2"/>
            <w:keepNext w:val="0"/>
            <w:keepLines w:val="0"/>
            <w:pageBreakBefore w:val="0"/>
            <w:widowControl/>
            <w:tabs>
              <w:tab w:val="right" w:leader="dot" w:pos="8867"/>
            </w:tabs>
            <w:kinsoku/>
            <w:wordWrap/>
            <w:overflowPunct/>
            <w:topLinePunct w:val="0"/>
            <w:autoSpaceDE/>
            <w:autoSpaceDN/>
            <w:bidi w:val="0"/>
            <w:adjustRightInd/>
            <w:snapToGrid/>
            <w:spacing w:line="420" w:lineRule="exact"/>
            <w:textAlignment w:val="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投标文件构成及格式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_Toc23737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
            <w:keepNext w:val="0"/>
            <w:keepLines w:val="0"/>
            <w:pageBreakBefore w:val="0"/>
            <w:widowControl/>
            <w:kinsoku/>
            <w:wordWrap/>
            <w:overflowPunct/>
            <w:topLinePunct w:val="0"/>
            <w:autoSpaceDE/>
            <w:autoSpaceDN/>
            <w:bidi w:val="0"/>
            <w:adjustRightInd/>
            <w:snapToGrid/>
            <w:spacing w:line="420" w:lineRule="exact"/>
            <w:jc w:val="both"/>
            <w:textAlignment w:val="auto"/>
            <w:outlineLvl w:val="9"/>
            <w:rPr>
              <w:color w:val="auto"/>
              <w:highlight w:val="none"/>
            </w:rPr>
          </w:pPr>
          <w:r>
            <w:rPr>
              <w:rFonts w:hint="eastAsia" w:ascii="宋体" w:hAnsi="宋体" w:eastAsia="宋体" w:cs="宋体"/>
              <w:color w:val="auto"/>
              <w:highlight w:val="none"/>
            </w:rPr>
            <w:fldChar w:fldCharType="end"/>
          </w:r>
          <w:bookmarkStart w:id="5" w:name="_Toc27929"/>
          <w:bookmarkStart w:id="6" w:name="_Toc12120"/>
        </w:p>
      </w:sdtContent>
    </w:sdt>
    <w:p>
      <w:pPr>
        <w:rPr>
          <w:rFonts w:hint="eastAsia"/>
        </w:rPr>
      </w:pPr>
      <w:r>
        <w:rPr>
          <w:rFonts w:hint="eastAsia" w:ascii="宋体" w:hAnsi="宋体" w:eastAsia="宋体" w:cs="宋体"/>
          <w:b/>
          <w:bCs/>
          <w:color w:val="auto"/>
          <w:highlight w:val="none"/>
        </w:rPr>
        <w:br w:type="page"/>
      </w:r>
    </w:p>
    <w:p>
      <w:pPr>
        <w:pStyle w:val="3"/>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第一章  </w:t>
      </w:r>
      <w:bookmarkEnd w:id="4"/>
      <w:r>
        <w:rPr>
          <w:rFonts w:hint="eastAsia" w:ascii="宋体" w:hAnsi="宋体" w:eastAsia="宋体" w:cs="宋体"/>
          <w:b/>
          <w:bCs/>
          <w:color w:val="auto"/>
          <w:highlight w:val="none"/>
        </w:rPr>
        <w:t>招标公告</w:t>
      </w:r>
      <w:bookmarkEnd w:id="5"/>
      <w:bookmarkEnd w:id="6"/>
    </w:p>
    <w:p>
      <w:pPr>
        <w:pStyle w:val="8"/>
        <w:keepNext w:val="0"/>
        <w:keepLines w:val="0"/>
        <w:pageBreakBefore w:val="0"/>
        <w:widowControl/>
        <w:numPr>
          <w:ilvl w:val="5"/>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right="0" w:rightChars="0"/>
        <w:jc w:val="left"/>
        <w:textAlignment w:val="auto"/>
        <w:outlineLvl w:val="1"/>
        <w:rPr>
          <w:rFonts w:hint="eastAsia" w:ascii="宋体" w:hAnsi="宋体" w:eastAsia="宋体" w:cs="宋体"/>
          <w:b w:val="0"/>
          <w:bCs w:val="0"/>
          <w:color w:val="auto"/>
          <w:sz w:val="24"/>
          <w:szCs w:val="24"/>
          <w:highlight w:val="none"/>
        </w:rPr>
      </w:pPr>
      <w:bookmarkStart w:id="7" w:name="_Toc16614"/>
      <w:r>
        <w:rPr>
          <w:rStyle w:val="28"/>
          <w:rFonts w:hint="eastAsia" w:ascii="宋体" w:hAnsi="宋体" w:eastAsia="宋体" w:cs="宋体"/>
          <w:b/>
          <w:bCs/>
          <w:i w:val="0"/>
          <w:iCs w:val="0"/>
          <w:caps w:val="0"/>
          <w:color w:val="auto"/>
          <w:spacing w:val="0"/>
          <w:sz w:val="24"/>
          <w:szCs w:val="24"/>
          <w:highlight w:val="none"/>
          <w:shd w:val="clear" w:fill="FFFFFF"/>
        </w:rPr>
        <w:t>项目概况</w:t>
      </w:r>
      <w:bookmarkEnd w:id="7"/>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宫腔镜和电子阴道镜系统购置项目</w:t>
      </w:r>
      <w:r>
        <w:rPr>
          <w:rFonts w:hint="eastAsia" w:ascii="宋体" w:hAnsi="宋体" w:eastAsia="宋体" w:cs="宋体"/>
          <w:i w:val="0"/>
          <w:iCs w:val="0"/>
          <w:caps w:val="0"/>
          <w:color w:val="auto"/>
          <w:spacing w:val="0"/>
          <w:sz w:val="24"/>
          <w:szCs w:val="24"/>
          <w:highlight w:val="none"/>
          <w:shd w:val="clear" w:color="auto" w:fill="auto"/>
        </w:rPr>
        <w:t>的潜在投标人应在全国公共资源交易平台（陕西省·西安市）网站〖首页〉电子交易平台〉陕西政府采购交易系统〉企业端〗获取招标文件，并于</w:t>
      </w:r>
      <w:r>
        <w:rPr>
          <w:rFonts w:hint="eastAsia" w:ascii="宋体" w:hAnsi="宋体" w:eastAsia="宋体" w:cs="宋体"/>
          <w:i w:val="0"/>
          <w:iCs w:val="0"/>
          <w:caps w:val="0"/>
          <w:color w:val="auto"/>
          <w:spacing w:val="0"/>
          <w:sz w:val="24"/>
          <w:szCs w:val="24"/>
          <w:highlight w:val="none"/>
          <w:shd w:val="clear" w:fill="FFFFFF"/>
        </w:rPr>
        <w:t>2022年</w:t>
      </w:r>
      <w:r>
        <w:rPr>
          <w:rFonts w:hint="eastAsia" w:ascii="宋体" w:hAnsi="宋体"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15</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时00分（北京时间）前递交投标文件。</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8" w:name="_Toc6010"/>
      <w:r>
        <w:rPr>
          <w:rStyle w:val="28"/>
          <w:rFonts w:hint="eastAsia" w:ascii="宋体" w:hAnsi="宋体" w:eastAsia="宋体" w:cs="宋体"/>
          <w:b/>
          <w:bCs/>
          <w:i w:val="0"/>
          <w:iCs w:val="0"/>
          <w:caps w:val="0"/>
          <w:color w:val="auto"/>
          <w:spacing w:val="0"/>
          <w:sz w:val="24"/>
          <w:szCs w:val="24"/>
          <w:highlight w:val="none"/>
          <w:shd w:val="clear" w:fill="FFFFFF"/>
        </w:rPr>
        <w:t>一、项目基本情况</w:t>
      </w:r>
      <w:bookmarkEnd w:id="8"/>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eastAsia="宋体" w:cs="宋体"/>
          <w:i w:val="0"/>
          <w:iCs w:val="0"/>
          <w:caps w:val="0"/>
          <w:color w:val="auto"/>
          <w:spacing w:val="0"/>
          <w:sz w:val="24"/>
          <w:szCs w:val="24"/>
          <w:highlight w:val="none"/>
          <w:shd w:val="clear" w:fill="FFFFFF"/>
          <w:lang w:eastAsia="zh-CN"/>
        </w:rPr>
        <w:t>SDZC2022-286-01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1680" w:leftChars="200" w:right="0" w:hanging="1200" w:hangingChars="5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val="en-US" w:eastAsia="zh-CN"/>
        </w:rPr>
        <w:t>宫腔镜和电子阴道镜系统购置项目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ascii="宋体" w:hAnsi="宋体" w:eastAsia="宋体" w:cs="宋体"/>
          <w:i w:val="0"/>
          <w:iCs w:val="0"/>
          <w:caps w:val="0"/>
          <w:color w:val="auto"/>
          <w:spacing w:val="0"/>
          <w:sz w:val="24"/>
          <w:szCs w:val="24"/>
          <w:highlight w:val="none"/>
          <w:shd w:val="clear" w:fill="FFFFFF"/>
          <w:lang w:val="en-US" w:eastAsia="zh-CN"/>
        </w:rPr>
        <w:t>30万</w:t>
      </w:r>
      <w:r>
        <w:rPr>
          <w:rFonts w:hint="eastAsia" w:ascii="宋体" w:hAnsi="宋体" w:eastAsia="宋体" w:cs="宋体"/>
          <w:i w:val="0"/>
          <w:iCs w:val="0"/>
          <w:caps w:val="0"/>
          <w:color w:val="auto"/>
          <w:spacing w:val="0"/>
          <w:sz w:val="24"/>
          <w:szCs w:val="24"/>
          <w:highlight w:val="none"/>
          <w:shd w:val="clear" w:fill="FFFFFF"/>
          <w:lang w:val="zh-CN"/>
        </w:rPr>
        <w:t>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1680" w:leftChars="200" w:right="0" w:hanging="1200" w:hangingChars="5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合同包1(电子阴道镜系统购置):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1680" w:leftChars="200" w:right="0" w:hanging="1200" w:hangingChars="5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合同包预算金额：300,000.00元</w:t>
      </w:r>
    </w:p>
    <w:tbl>
      <w:tblPr>
        <w:tblStyle w:val="2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02"/>
        <w:gridCol w:w="1019"/>
        <w:gridCol w:w="1289"/>
        <w:gridCol w:w="1312"/>
        <w:gridCol w:w="1798"/>
        <w:gridCol w:w="1575"/>
        <w:gridCol w:w="13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医用内窥镜</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电子阴道镜一套</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300,000.00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1680" w:leftChars="200" w:right="0" w:hanging="1200" w:hangingChars="500"/>
              <w:jc w:val="center"/>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1680" w:leftChars="200" w:right="0" w:hanging="1200" w:hangingChars="5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1680" w:leftChars="200" w:right="0" w:hanging="1200" w:hangingChars="50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合同履行期限：合同签订之日起30天内，按需配送</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9" w:name="_Toc13358"/>
      <w:r>
        <w:rPr>
          <w:rStyle w:val="28"/>
          <w:rFonts w:hint="eastAsia" w:ascii="宋体" w:hAnsi="宋体" w:eastAsia="宋体" w:cs="宋体"/>
          <w:b/>
          <w:bCs/>
          <w:i w:val="0"/>
          <w:iCs w:val="0"/>
          <w:caps w:val="0"/>
          <w:color w:val="auto"/>
          <w:spacing w:val="0"/>
          <w:sz w:val="24"/>
          <w:szCs w:val="24"/>
          <w:highlight w:val="none"/>
          <w:shd w:val="clear" w:fill="FFFFFF"/>
        </w:rPr>
        <w:t>二、申请人的资格要求：</w:t>
      </w:r>
      <w:bookmarkEnd w:id="9"/>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r>
        <w:rPr>
          <w:rFonts w:hint="eastAsia" w:ascii="宋体" w:hAnsi="宋体" w:eastAsia="宋体" w:cs="宋体"/>
          <w:i w:val="0"/>
          <w:iCs w:val="0"/>
          <w:caps w:val="0"/>
          <w:color w:val="auto"/>
          <w:spacing w:val="0"/>
          <w:sz w:val="24"/>
          <w:szCs w:val="24"/>
          <w:highlight w:val="none"/>
          <w:shd w:val="clear" w:fill="FFFFFF"/>
          <w:lang w:val="en-US" w:eastAsia="zh-CN"/>
        </w:rPr>
        <w:t>无</w:t>
      </w:r>
      <w:r>
        <w:rPr>
          <w:rFonts w:hint="eastAsia" w:ascii="宋体" w:hAnsi="宋体" w:eastAsia="宋体" w:cs="宋体"/>
          <w:i w:val="0"/>
          <w:iCs w:val="0"/>
          <w:caps w:val="0"/>
          <w:color w:val="auto"/>
          <w:spacing w:val="0"/>
          <w:sz w:val="24"/>
          <w:szCs w:val="24"/>
          <w:highlight w:val="none"/>
          <w:shd w:val="clear" w:fill="FFFFFF"/>
        </w:rPr>
        <w:t>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电子阴道镜系统购置项目</w:t>
      </w:r>
      <w:r>
        <w:rPr>
          <w:rFonts w:hint="eastAsia" w:ascii="宋体" w:hAnsi="宋体" w:eastAsia="宋体" w:cs="宋体"/>
          <w:i w:val="0"/>
          <w:iCs w:val="0"/>
          <w:caps w:val="0"/>
          <w:color w:val="auto"/>
          <w:spacing w:val="0"/>
          <w:sz w:val="24"/>
          <w:szCs w:val="24"/>
          <w:highlight w:val="none"/>
          <w:shd w:val="clear" w:fill="FFFFFF"/>
        </w:rPr>
        <w:t>)特定资格要求如下: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3.1</w:t>
      </w:r>
      <w:r>
        <w:rPr>
          <w:rFonts w:hint="eastAsia" w:ascii="宋体" w:hAnsi="宋体" w:eastAsia="宋体" w:cs="宋体"/>
          <w:i w:val="0"/>
          <w:iCs w:val="0"/>
          <w:caps w:val="0"/>
          <w:color w:val="auto"/>
          <w:spacing w:val="0"/>
          <w:sz w:val="24"/>
          <w:szCs w:val="24"/>
          <w:highlight w:val="none"/>
          <w:shd w:val="clear" w:fill="FFFFFF"/>
          <w:lang w:eastAsia="zh-CN"/>
        </w:rPr>
        <w:t xml:space="preserve">法定代表人授权委托书（附法定代表人或负责人身份证复印件及被授权人身份证复印件）；法定代表人或负责人直接参加投标只须提供法定代表人资格证明书（附法定代表人或负责人身份证复印件）；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3.2</w:t>
      </w:r>
      <w:r>
        <w:rPr>
          <w:rFonts w:ascii="宋体" w:hAnsi="宋体" w:eastAsia="宋体" w:cs="宋体"/>
          <w:color w:val="auto"/>
          <w:sz w:val="24"/>
          <w:szCs w:val="24"/>
        </w:rPr>
        <w:t>投标人须提供医疗器械经营许可证或备案凭证、所投产品生产厂家的医疗器械生产许可证、所投产品医疗器械产品注册证（或备案凭证）</w:t>
      </w:r>
      <w:r>
        <w:rPr>
          <w:rFonts w:hint="eastAsia" w:ascii="宋体" w:hAnsi="宋体" w:eastAsia="宋体" w:cs="宋体"/>
          <w:color w:val="auto"/>
          <w:sz w:val="24"/>
          <w:szCs w:val="24"/>
          <w:lang w:val="en-US" w:eastAsia="zh-CN"/>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3.3</w:t>
      </w:r>
      <w:r>
        <w:rPr>
          <w:rFonts w:hint="eastAsia" w:ascii="宋体" w:hAnsi="宋体" w:eastAsia="宋体" w:cs="宋体"/>
          <w:i w:val="0"/>
          <w:iCs w:val="0"/>
          <w:caps w:val="0"/>
          <w:color w:val="auto"/>
          <w:spacing w:val="0"/>
          <w:sz w:val="24"/>
          <w:szCs w:val="24"/>
          <w:highlight w:val="none"/>
          <w:shd w:val="clear" w:fill="FFFFFF"/>
        </w:rPr>
        <w:t>不得为“信用中国”网站(http://www.creditchina.gov.cn)列入“失信被执行人</w:t>
      </w:r>
      <w:r>
        <w:rPr>
          <w:rFonts w:hint="eastAsia" w:ascii="宋体" w:hAnsi="宋体" w:eastAsia="宋体" w:cs="宋体"/>
          <w:i w:val="0"/>
          <w:iCs w:val="0"/>
          <w:caps w:val="0"/>
          <w:color w:val="auto"/>
          <w:spacing w:val="0"/>
          <w:sz w:val="24"/>
          <w:szCs w:val="24"/>
          <w:highlight w:val="none"/>
          <w:shd w:val="clear" w:fill="FFFFFF"/>
          <w:lang w:eastAsia="zh-CN"/>
        </w:rPr>
        <w:t>、重大税收违法失信主体、</w:t>
      </w:r>
      <w:r>
        <w:rPr>
          <w:rFonts w:hint="eastAsia" w:ascii="宋体" w:hAnsi="宋体" w:eastAsia="宋体" w:cs="宋体"/>
          <w:i w:val="0"/>
          <w:iCs w:val="0"/>
          <w:caps w:val="0"/>
          <w:color w:val="auto"/>
          <w:spacing w:val="0"/>
          <w:sz w:val="24"/>
          <w:szCs w:val="24"/>
          <w:highlight w:val="none"/>
          <w:shd w:val="clear" w:fill="FFFFFF"/>
        </w:rPr>
        <w:t>政府采购严重违法失信行为记录名单”的</w:t>
      </w:r>
      <w:r>
        <w:rPr>
          <w:rFonts w:hint="eastAsia" w:ascii="宋体" w:hAnsi="宋体" w:eastAsia="宋体" w:cs="宋体"/>
          <w:i w:val="0"/>
          <w:iCs w:val="0"/>
          <w:caps w:val="0"/>
          <w:color w:val="auto"/>
          <w:spacing w:val="0"/>
          <w:sz w:val="24"/>
          <w:szCs w:val="24"/>
          <w:highlight w:val="none"/>
          <w:shd w:val="clear" w:fill="FFFFFF"/>
          <w:lang w:eastAsia="zh-CN"/>
        </w:rPr>
        <w:t>投标人</w:t>
      </w:r>
      <w:r>
        <w:rPr>
          <w:rFonts w:hint="eastAsia" w:ascii="宋体" w:hAnsi="宋体" w:eastAsia="宋体" w:cs="宋体"/>
          <w:i w:val="0"/>
          <w:iCs w:val="0"/>
          <w:caps w:val="0"/>
          <w:color w:val="auto"/>
          <w:spacing w:val="0"/>
          <w:sz w:val="24"/>
          <w:szCs w:val="24"/>
          <w:highlight w:val="none"/>
          <w:shd w:val="clear" w:fill="FFFFFF"/>
        </w:rPr>
        <w:t>；不得为中国政府采购网(http://www.ccgp.gov.cn)“政府采购严重违法失信行为记录名单”中的</w:t>
      </w:r>
      <w:r>
        <w:rPr>
          <w:rFonts w:hint="eastAsia" w:ascii="宋体" w:hAnsi="宋体" w:eastAsia="宋体" w:cs="宋体"/>
          <w:i w:val="0"/>
          <w:iCs w:val="0"/>
          <w:caps w:val="0"/>
          <w:color w:val="auto"/>
          <w:spacing w:val="0"/>
          <w:sz w:val="24"/>
          <w:szCs w:val="24"/>
          <w:highlight w:val="none"/>
          <w:shd w:val="clear" w:fill="FFFFFF"/>
          <w:lang w:eastAsia="zh-CN"/>
        </w:rPr>
        <w:t>投标人</w:t>
      </w:r>
      <w:r>
        <w:rPr>
          <w:rFonts w:hint="eastAsia" w:ascii="宋体" w:hAnsi="宋体" w:eastAsia="宋体" w:cs="宋体"/>
          <w:i w:val="0"/>
          <w:iCs w:val="0"/>
          <w:caps w:val="0"/>
          <w:color w:val="auto"/>
          <w:spacing w:val="0"/>
          <w:sz w:val="24"/>
          <w:szCs w:val="24"/>
          <w:highlight w:val="none"/>
          <w:shd w:val="clear" w:fill="FFFFFF"/>
        </w:rPr>
        <w:t xml:space="preserve">；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3.4</w:t>
      </w:r>
      <w:r>
        <w:rPr>
          <w:rFonts w:hint="eastAsia" w:ascii="宋体" w:hAnsi="宋体" w:eastAsia="宋体" w:cs="宋体"/>
          <w:i w:val="0"/>
          <w:iCs w:val="0"/>
          <w:caps w:val="0"/>
          <w:color w:val="auto"/>
          <w:spacing w:val="0"/>
          <w:sz w:val="24"/>
          <w:szCs w:val="24"/>
          <w:highlight w:val="none"/>
          <w:shd w:val="clear" w:fill="FFFFFF"/>
        </w:rPr>
        <w:t>单位负责人为同一人或者存在直接控股、管理关系的不同</w:t>
      </w:r>
      <w:r>
        <w:rPr>
          <w:rFonts w:hint="eastAsia" w:ascii="宋体" w:hAnsi="宋体" w:eastAsia="宋体" w:cs="宋体"/>
          <w:i w:val="0"/>
          <w:iCs w:val="0"/>
          <w:caps w:val="0"/>
          <w:color w:val="auto"/>
          <w:spacing w:val="0"/>
          <w:sz w:val="24"/>
          <w:szCs w:val="24"/>
          <w:highlight w:val="none"/>
          <w:shd w:val="clear" w:fill="FFFFFF"/>
          <w:lang w:eastAsia="zh-CN"/>
        </w:rPr>
        <w:t>投标人</w:t>
      </w:r>
      <w:r>
        <w:rPr>
          <w:rFonts w:hint="eastAsia" w:ascii="宋体" w:hAnsi="宋体" w:eastAsia="宋体" w:cs="宋体"/>
          <w:i w:val="0"/>
          <w:iCs w:val="0"/>
          <w:caps w:val="0"/>
          <w:color w:val="auto"/>
          <w:spacing w:val="0"/>
          <w:sz w:val="24"/>
          <w:szCs w:val="24"/>
          <w:highlight w:val="none"/>
          <w:shd w:val="clear" w:fill="FFFFFF"/>
        </w:rPr>
        <w:t>，不得参加同一合同项下的政府采购活动</w:t>
      </w:r>
      <w:r>
        <w:rPr>
          <w:rFonts w:hint="eastAsia" w:ascii="宋体" w:hAnsi="宋体" w:eastAsia="宋体" w:cs="宋体"/>
          <w:i w:val="0"/>
          <w:iCs w:val="0"/>
          <w:caps w:val="0"/>
          <w:color w:val="auto"/>
          <w:spacing w:val="0"/>
          <w:sz w:val="24"/>
          <w:szCs w:val="24"/>
          <w:highlight w:val="none"/>
          <w:shd w:val="clear" w:fill="FFFFFF"/>
          <w:lang w:eastAsia="zh-CN"/>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outlineLvl w:val="1"/>
        <w:rPr>
          <w:rFonts w:hint="eastAsia" w:ascii="宋体" w:hAnsi="宋体" w:eastAsia="宋体" w:cs="宋体"/>
          <w:b w:val="0"/>
          <w:bCs w:val="0"/>
          <w:i w:val="0"/>
          <w:iCs w:val="0"/>
          <w:caps w:val="0"/>
          <w:color w:val="auto"/>
          <w:spacing w:val="0"/>
          <w:sz w:val="24"/>
          <w:szCs w:val="24"/>
          <w:highlight w:val="none"/>
        </w:rPr>
      </w:pPr>
      <w:bookmarkStart w:id="10" w:name="_Toc22133"/>
      <w:r>
        <w:rPr>
          <w:rStyle w:val="28"/>
          <w:rFonts w:hint="eastAsia" w:ascii="宋体" w:hAnsi="宋体" w:eastAsia="宋体" w:cs="宋体"/>
          <w:b/>
          <w:bCs/>
          <w:i w:val="0"/>
          <w:iCs w:val="0"/>
          <w:caps w:val="0"/>
          <w:color w:val="auto"/>
          <w:spacing w:val="0"/>
          <w:sz w:val="24"/>
          <w:szCs w:val="24"/>
          <w:highlight w:val="none"/>
          <w:shd w:val="clear" w:fill="FFFFFF"/>
        </w:rPr>
        <w:t>三、获取招标文件</w:t>
      </w:r>
      <w:bookmarkEnd w:id="10"/>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24</w:t>
      </w:r>
      <w:r>
        <w:rPr>
          <w:rFonts w:hint="eastAsia" w:ascii="宋体" w:hAnsi="宋体" w:eastAsia="宋体" w:cs="宋体"/>
          <w:i w:val="0"/>
          <w:iCs w:val="0"/>
          <w:caps w:val="0"/>
          <w:color w:val="auto"/>
          <w:spacing w:val="0"/>
          <w:sz w:val="24"/>
          <w:szCs w:val="24"/>
          <w:highlight w:val="none"/>
          <w:shd w:val="clear" w:fill="FFFFFF"/>
        </w:rPr>
        <w:t>日至2022年</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31</w:t>
      </w:r>
      <w:r>
        <w:rPr>
          <w:rFonts w:hint="eastAsia" w:ascii="宋体" w:hAnsi="宋体" w:eastAsia="宋体" w:cs="宋体"/>
          <w:i w:val="0"/>
          <w:iCs w:val="0"/>
          <w:caps w:val="0"/>
          <w:color w:val="auto"/>
          <w:spacing w:val="0"/>
          <w:sz w:val="24"/>
          <w:szCs w:val="24"/>
          <w:highlight w:val="none"/>
          <w:shd w:val="clear" w:fill="FFFFFF"/>
        </w:rPr>
        <w:t>日，每天上午00:00:00至12:00:00，下午12:00:00至23:59:59（北京时间,法定节假日除外）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途径：全国公共资源交易平台（陕西省·西安市）网站〖首页〉电子交易平台〉陕西政府采购交易系统〉企业端〗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售价：免费获取</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11" w:name="_Toc19895"/>
      <w:r>
        <w:rPr>
          <w:rStyle w:val="28"/>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bookmarkEnd w:id="11"/>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w:t>
      </w:r>
      <w:r>
        <w:rPr>
          <w:rFonts w:hint="eastAsia" w:ascii="宋体" w:hAnsi="宋体"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15</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时00分00秒（北京时间）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提交投标文件地点：全国公共资源交易平台（陕西省·西安市）网站〖首页〉电子交易平台&lt;陕西政府采购交易系统&gt;企业端〗，在线提交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开标地点：全国公共资源交易平台（陕西省·西安市）</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12" w:name="_Toc16107"/>
      <w:r>
        <w:rPr>
          <w:rStyle w:val="28"/>
          <w:rFonts w:hint="eastAsia" w:ascii="宋体" w:hAnsi="宋体" w:eastAsia="宋体" w:cs="宋体"/>
          <w:b/>
          <w:bCs/>
          <w:i w:val="0"/>
          <w:iCs w:val="0"/>
          <w:caps w:val="0"/>
          <w:color w:val="auto"/>
          <w:spacing w:val="0"/>
          <w:sz w:val="24"/>
          <w:szCs w:val="24"/>
          <w:highlight w:val="none"/>
          <w:shd w:val="clear" w:fill="FFFFFF"/>
        </w:rPr>
        <w:t>五、公告期限</w:t>
      </w:r>
      <w:bookmarkEnd w:id="12"/>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13" w:name="_Toc8021"/>
      <w:r>
        <w:rPr>
          <w:rStyle w:val="28"/>
          <w:rFonts w:hint="eastAsia" w:ascii="宋体" w:hAnsi="宋体" w:eastAsia="宋体" w:cs="宋体"/>
          <w:b/>
          <w:bCs/>
          <w:i w:val="0"/>
          <w:iCs w:val="0"/>
          <w:caps w:val="0"/>
          <w:color w:val="auto"/>
          <w:spacing w:val="0"/>
          <w:sz w:val="24"/>
          <w:szCs w:val="24"/>
          <w:highlight w:val="none"/>
          <w:shd w:val="clear" w:fill="FFFFFF"/>
        </w:rPr>
        <w:t>六、其他补充事宜</w:t>
      </w:r>
      <w:bookmarkEnd w:id="13"/>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1.落实的政府采购政策: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1.1《政府采购促进中小企业发展管理办法》（财库〔2020〕46号）；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1.2《财政部 司法部关于政府采购支持监狱企业发展有关问题的通知》（财库〔2014〕68号）；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1.3《国务院办公厅关于建立政府强制采购节能产品制度的通知》（国办发〔2007〕51号）；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1.4《节能产品政府采购实施意见》（财库[2004]185号）；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1.5《环境标志产品政府采购实施的意见》（财库[2006]90号）；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1.6《财政部、民政部、中国残疾人联合会关于促进残疾人就业政府采购政策的通知》（财库[2017]141号）；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1.7《陕西省中小企业政府采购信用融资办法》（陕财办采〔2018〕23号）</w:t>
      </w:r>
      <w:r>
        <w:rPr>
          <w:rFonts w:hint="eastAsia" w:ascii="宋体" w:hAnsi="宋体" w:eastAsia="宋体" w:cs="宋体"/>
          <w:i w:val="0"/>
          <w:iCs w:val="0"/>
          <w:caps w:val="0"/>
          <w:color w:val="auto"/>
          <w:spacing w:val="0"/>
          <w:sz w:val="24"/>
          <w:szCs w:val="24"/>
          <w:highlight w:val="none"/>
          <w:shd w:val="clear" w:fill="FFFFFF"/>
          <w:lang w:eastAsia="zh-CN"/>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1.8《陕西省财政厅关于进一步加大政府采购支持中小企业力度的通知》（陕财办采〔2022〕5号）、《陕西省财政厅关于落实政府采购支持中小企业政策有关事项的通知》（陕财办采函〔2022〕10号）；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1.9如有最新颁布的政府采购政策，按最新的文件执行。</w:t>
      </w:r>
    </w:p>
    <w:p>
      <w:pPr>
        <w:pStyle w:val="2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其他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2.1供应商初次使用电子交易平台时,请先阅读【全国公共资源交易平台(陕西省·西安市)】 (http://sxggzyjy.xa.gov.cn/)网站 〖首页〉服务指南〉下载专区〗中的 《西安市市级单位电子化政府采购项目投标指南》,并按要求完成诚信入库登记 、CA认证及企业信息绑定；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2.2办理CA认证:电子交易平台现已接入陕西CA、深圳CA、西部CA、北京CA四家数字证书公司,各供应商在交易过程中登录系统、加密/解密投标文件、文件签章等均可使用上述四家 CA公司签发的数字证书。办理须知及所需资料详见 :http://www.sxggzyjy.cn/fwzn/004003/20220701/6972fe02-f996-4928-951e-545dab02e53c.htm1；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2.3请各供应商务必及时下载招标文件并做好备份，否则会影响投标文件编制及后续投标活动；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制作电子投标文件（*.SXSTF）需要使用专用制作工具。软件下载及操作说明详见西安市公共资源交易平台〖首面·&gt;服务指南·&gt;下载专区〗中的《政府采购项目投标文件制作软件及操作手册》。提交投标文件截止时间前，供应商应随时留意【陕西省政府采购网〗、【全国公区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提交投标文件截止时间前，供应商应随时留意【陕西省政府采购网〗、【全国公区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本项目采用“不见面开标”形式，供应商可登录全国公共资源交易平台（陕西省·西安市）网站〖首页〉不见面开标〗系统，在线参加开标过程。操作手册详见〖首页〉服务指南〉下载专区〗中的《西安公共资源交易不见面开标大厅投标人操作手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2.7因供应商自身设施故障或自身原因导致无法完成签到、解密或投标的，由供应商自行承担后果；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2.8按照陕西省财政厅《关于政府采购供应商注册登记有关事项的通知》中的要求,供应商应通过陕西省政府采购网 (http://www.ccgp shaanxi.gov.cn/)注册登记 ,加入陕西省政府采购供应商库；</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sz w:val="24"/>
          <w:szCs w:val="24"/>
          <w:highlight w:val="none"/>
        </w:rPr>
        <w:t>2.9其他事项见本项目招标文件</w:t>
      </w:r>
      <w:r>
        <w:rPr>
          <w:rFonts w:hint="eastAsia" w:ascii="宋体" w:hAnsi="宋体" w:eastAsia="宋体" w:cs="宋体"/>
          <w:i w:val="0"/>
          <w:iCs w:val="0"/>
          <w:caps w:val="0"/>
          <w:color w:val="auto"/>
          <w:spacing w:val="0"/>
          <w:sz w:val="24"/>
          <w:szCs w:val="24"/>
          <w:highlight w:val="none"/>
          <w:shd w:val="clear" w:color="auto" w:fill="FFFFFF"/>
        </w:rPr>
        <w:t>。</w:t>
      </w:r>
    </w:p>
    <w:p>
      <w:pPr>
        <w:pStyle w:val="101"/>
        <w:shd w:val="clear" w:color="auto" w:fill="FFFFFF"/>
        <w:spacing w:before="0" w:beforeAutospacing="0" w:after="0" w:afterAutospacing="0" w:line="500" w:lineRule="exact"/>
        <w:outlineLvl w:val="1"/>
        <w:rPr>
          <w:rFonts w:hint="eastAsia" w:ascii="宋体" w:hAnsi="宋体" w:eastAsia="宋体" w:cs="宋体"/>
          <w:b/>
          <w:bCs/>
          <w:color w:val="auto"/>
          <w:highlight w:val="none"/>
        </w:rPr>
      </w:pPr>
      <w:bookmarkStart w:id="14" w:name="_Toc30524"/>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、凡对本次采购提出询问，请按以下方式联系。</w:t>
      </w:r>
      <w:bookmarkEnd w:id="14"/>
    </w:p>
    <w:p>
      <w:pPr>
        <w:pStyle w:val="101"/>
        <w:shd w:val="clear" w:color="auto" w:fill="FFFFFF"/>
        <w:spacing w:before="0" w:beforeAutospacing="0" w:after="0" w:afterAutospacing="0" w:line="500" w:lineRule="exact"/>
        <w:ind w:firstLine="240" w:firstLineChars="100"/>
        <w:outlineLvl w:val="2"/>
        <w:rPr>
          <w:rFonts w:hint="eastAsia" w:ascii="宋体" w:hAnsi="宋体" w:eastAsia="宋体" w:cs="宋体"/>
          <w:b w:val="0"/>
          <w:bCs w:val="0"/>
          <w:color w:val="auto"/>
          <w:highlight w:val="none"/>
        </w:rPr>
      </w:pPr>
      <w:bookmarkStart w:id="15" w:name="_Toc1157"/>
      <w:r>
        <w:rPr>
          <w:rFonts w:hint="eastAsia" w:ascii="宋体" w:hAnsi="宋体" w:eastAsia="宋体" w:cs="宋体"/>
          <w:b w:val="0"/>
          <w:bCs w:val="0"/>
          <w:color w:val="auto"/>
          <w:highlight w:val="none"/>
        </w:rPr>
        <w:t>1.釆购人信息</w:t>
      </w:r>
      <w:bookmarkEnd w:id="15"/>
    </w:p>
    <w:p>
      <w:pPr>
        <w:pStyle w:val="101"/>
        <w:shd w:val="clear" w:color="auto" w:fill="FFFFFF"/>
        <w:spacing w:before="0" w:beforeAutospacing="0" w:after="0" w:afterAutospacing="0" w:line="500" w:lineRule="exact"/>
        <w:ind w:firstLine="240" w:firstLineChars="1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名称：</w:t>
      </w:r>
      <w:r>
        <w:rPr>
          <w:rFonts w:hint="eastAsia" w:ascii="宋体" w:hAnsi="宋体" w:eastAsia="宋体" w:cs="宋体"/>
          <w:b w:val="0"/>
          <w:bCs w:val="0"/>
          <w:color w:val="auto"/>
          <w:highlight w:val="none"/>
          <w:lang w:val="en-US" w:eastAsia="zh-CN"/>
        </w:rPr>
        <w:t>西安市鄠邑区妇幼保健计划生育服务中心（区妇幼保健院）</w:t>
      </w:r>
    </w:p>
    <w:p>
      <w:pPr>
        <w:pStyle w:val="101"/>
        <w:shd w:val="clear" w:color="auto" w:fill="FFFFFF"/>
        <w:spacing w:before="0" w:beforeAutospacing="0" w:after="0" w:afterAutospacing="0" w:line="500" w:lineRule="exact"/>
        <w:ind w:firstLine="240" w:firstLineChars="100"/>
        <w:rPr>
          <w:rFonts w:hint="default" w:ascii="宋体" w:hAnsi="宋体" w:eastAsia="宋体" w:cs="宋体"/>
          <w:b w:val="0"/>
          <w:bCs w:val="0"/>
          <w:color w:val="0000FF"/>
          <w:highlight w:val="none"/>
          <w:lang w:val="en-US" w:eastAsia="zh-CN"/>
        </w:rPr>
      </w:pPr>
      <w:r>
        <w:rPr>
          <w:rFonts w:hint="eastAsia" w:ascii="宋体" w:hAnsi="宋体" w:eastAsia="宋体" w:cs="宋体"/>
          <w:b w:val="0"/>
          <w:bCs w:val="0"/>
          <w:color w:val="auto"/>
          <w:highlight w:val="none"/>
        </w:rPr>
        <w:t>地址：</w:t>
      </w:r>
      <w:r>
        <w:rPr>
          <w:rFonts w:hint="eastAsia" w:eastAsia="宋体" w:cs="宋体"/>
          <w:b w:val="0"/>
          <w:bCs w:val="0"/>
          <w:color w:val="auto"/>
          <w:highlight w:val="none"/>
          <w:lang w:eastAsia="zh-CN"/>
        </w:rPr>
        <w:t>西安市鄠邑区画展路</w:t>
      </w:r>
      <w:r>
        <w:rPr>
          <w:rFonts w:hint="eastAsia" w:eastAsia="宋体" w:cs="宋体"/>
          <w:b w:val="0"/>
          <w:bCs w:val="0"/>
          <w:color w:val="auto"/>
          <w:highlight w:val="none"/>
          <w:lang w:val="en-US" w:eastAsia="zh-CN"/>
        </w:rPr>
        <w:t>17号</w:t>
      </w:r>
    </w:p>
    <w:p>
      <w:pPr>
        <w:pStyle w:val="101"/>
        <w:shd w:val="clear" w:color="auto" w:fill="FFFFFF"/>
        <w:spacing w:before="0" w:beforeAutospacing="0" w:after="0" w:afterAutospacing="0" w:line="500" w:lineRule="exact"/>
        <w:ind w:firstLine="240" w:firstLineChars="100"/>
        <w:outlineLvl w:val="2"/>
        <w:rPr>
          <w:rFonts w:hint="default" w:ascii="宋体" w:hAnsi="宋体" w:eastAsia="宋体" w:cs="宋体"/>
          <w:b w:val="0"/>
          <w:bCs w:val="0"/>
          <w:color w:val="0000FF"/>
          <w:highlight w:val="none"/>
          <w:lang w:val="en-US" w:eastAsia="zh-CN"/>
        </w:rPr>
      </w:pPr>
      <w:r>
        <w:rPr>
          <w:rFonts w:hint="eastAsia" w:ascii="宋体" w:hAnsi="宋体" w:eastAsia="宋体" w:cs="宋体"/>
          <w:b w:val="0"/>
          <w:bCs w:val="0"/>
          <w:color w:val="auto"/>
          <w:highlight w:val="none"/>
        </w:rPr>
        <w:t>联系方式：</w:t>
      </w:r>
      <w:bookmarkStart w:id="16" w:name="_Toc23642"/>
      <w:r>
        <w:rPr>
          <w:rFonts w:hint="eastAsia" w:eastAsia="宋体" w:cs="宋体"/>
          <w:b w:val="0"/>
          <w:bCs w:val="0"/>
          <w:color w:val="auto"/>
          <w:highlight w:val="none"/>
          <w:lang w:val="en-US" w:eastAsia="zh-CN"/>
        </w:rPr>
        <w:t>029-84812572</w:t>
      </w:r>
    </w:p>
    <w:p>
      <w:pPr>
        <w:pStyle w:val="101"/>
        <w:shd w:val="clear" w:color="auto" w:fill="FFFFFF"/>
        <w:spacing w:before="0" w:beforeAutospacing="0" w:after="0" w:afterAutospacing="0" w:line="500" w:lineRule="exact"/>
        <w:ind w:firstLine="240" w:firstLineChars="100"/>
        <w:outlineLvl w:val="2"/>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2.釆购代理机构信息</w:t>
      </w:r>
      <w:bookmarkEnd w:id="16"/>
    </w:p>
    <w:p>
      <w:pPr>
        <w:pStyle w:val="101"/>
        <w:shd w:val="clear" w:color="auto" w:fill="FFFFFF"/>
        <w:spacing w:before="0" w:beforeAutospacing="0" w:after="0" w:afterAutospacing="0" w:line="500" w:lineRule="exact"/>
        <w:ind w:firstLine="240" w:firstLineChars="1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名称：</w:t>
      </w:r>
      <w:r>
        <w:rPr>
          <w:rFonts w:hint="eastAsia" w:ascii="宋体" w:hAnsi="宋体" w:eastAsia="宋体" w:cs="宋体"/>
          <w:color w:val="auto"/>
          <w:highlight w:val="none"/>
        </w:rPr>
        <w:t>陕西上德招标有限公司</w:t>
      </w:r>
    </w:p>
    <w:p>
      <w:pPr>
        <w:pStyle w:val="101"/>
        <w:shd w:val="clear" w:color="auto" w:fill="FFFFFF"/>
        <w:spacing w:before="0" w:beforeAutospacing="0" w:after="0" w:afterAutospacing="0" w:line="500" w:lineRule="exact"/>
        <w:ind w:firstLine="240" w:firstLineChars="1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地址：西安市经开区凤城八路正尚国际金融广场A座7层703（张家堡转盘东南角）</w:t>
      </w:r>
    </w:p>
    <w:p>
      <w:pPr>
        <w:pStyle w:val="101"/>
        <w:shd w:val="clear" w:color="auto" w:fill="FFFFFF"/>
        <w:spacing w:before="0" w:beforeAutospacing="0" w:after="0" w:afterAutospacing="0" w:line="500" w:lineRule="exact"/>
        <w:ind w:firstLine="240" w:firstLineChars="100"/>
        <w:rPr>
          <w:rFonts w:hint="eastAsia" w:ascii="宋体" w:hAnsi="宋体" w:eastAsia="宋体" w:cs="宋体"/>
          <w:color w:val="auto"/>
          <w:highlight w:val="none"/>
          <w:lang w:val="en-US" w:eastAsia="zh-CN"/>
        </w:rPr>
      </w:pPr>
      <w:r>
        <w:rPr>
          <w:rFonts w:hint="eastAsia" w:ascii="宋体" w:hAnsi="宋体" w:eastAsia="宋体" w:cs="宋体"/>
          <w:b w:val="0"/>
          <w:bCs w:val="0"/>
          <w:color w:val="auto"/>
          <w:highlight w:val="none"/>
        </w:rPr>
        <w:t>联系方式：</w:t>
      </w:r>
      <w:r>
        <w:rPr>
          <w:rFonts w:hint="eastAsia" w:ascii="宋体" w:hAnsi="宋体" w:eastAsia="宋体" w:cs="宋体"/>
          <w:color w:val="auto"/>
          <w:highlight w:val="none"/>
        </w:rPr>
        <w:t xml:space="preserve">029-86673953、029-86518381、029-89299829、029-89293231  </w:t>
      </w:r>
    </w:p>
    <w:p>
      <w:pPr>
        <w:pStyle w:val="101"/>
        <w:shd w:val="clear" w:color="auto" w:fill="FFFFFF"/>
        <w:spacing w:before="0" w:beforeAutospacing="0" w:after="0" w:afterAutospacing="0" w:line="500" w:lineRule="exact"/>
        <w:ind w:firstLine="240" w:firstLineChars="100"/>
        <w:outlineLvl w:val="2"/>
        <w:rPr>
          <w:rFonts w:hint="eastAsia" w:ascii="宋体" w:hAnsi="宋体" w:eastAsia="宋体" w:cs="宋体"/>
          <w:b w:val="0"/>
          <w:bCs w:val="0"/>
          <w:color w:val="auto"/>
          <w:highlight w:val="none"/>
        </w:rPr>
      </w:pPr>
      <w:bookmarkStart w:id="17" w:name="_Toc22972"/>
      <w:r>
        <w:rPr>
          <w:rFonts w:hint="eastAsia" w:ascii="宋体" w:hAnsi="宋体" w:eastAsia="宋体" w:cs="宋体"/>
          <w:b w:val="0"/>
          <w:bCs w:val="0"/>
          <w:color w:val="auto"/>
          <w:highlight w:val="none"/>
        </w:rPr>
        <w:t>3.项目联系方式</w:t>
      </w:r>
      <w:bookmarkEnd w:id="17"/>
    </w:p>
    <w:p>
      <w:pPr>
        <w:pStyle w:val="101"/>
        <w:shd w:val="clear" w:color="auto" w:fill="FFFFFF"/>
        <w:spacing w:before="0" w:beforeAutospacing="0" w:after="0" w:afterAutospacing="0" w:line="500" w:lineRule="exact"/>
        <w:ind w:firstLine="240" w:firstLineChars="1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项目联系人：</w:t>
      </w:r>
      <w:r>
        <w:rPr>
          <w:rFonts w:hint="eastAsia" w:ascii="宋体" w:hAnsi="宋体" w:eastAsia="宋体" w:cs="宋体"/>
          <w:color w:val="auto"/>
          <w:sz w:val="24"/>
          <w:highlight w:val="none"/>
          <w:lang w:val="en-US" w:eastAsia="zh-CN"/>
        </w:rPr>
        <w:t>郅龙（17号工位）</w:t>
      </w:r>
    </w:p>
    <w:p>
      <w:pPr>
        <w:spacing w:line="560" w:lineRule="exact"/>
        <w:ind w:firstLine="240" w:firstLineChars="10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402590</wp:posOffset>
                </wp:positionV>
                <wp:extent cx="5953125" cy="735965"/>
                <wp:effectExtent l="4445" t="4445" r="5080" b="21590"/>
                <wp:wrapSquare wrapText="bothSides"/>
                <wp:docPr id="1" name="文本框 1"/>
                <wp:cNvGraphicFramePr/>
                <a:graphic xmlns:a="http://schemas.openxmlformats.org/drawingml/2006/main">
                  <a:graphicData uri="http://schemas.microsoft.com/office/word/2010/wordprocessingShape">
                    <wps:wsp>
                      <wps:cNvSpPr txBox="1"/>
                      <wps:spPr>
                        <a:xfrm>
                          <a:off x="0" y="0"/>
                          <a:ext cx="5953125" cy="735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rPr>
                                <w:rFonts w:ascii="宋体" w:hAnsi="宋体"/>
                                <w:b/>
                                <w:sz w:val="24"/>
                              </w:rPr>
                            </w:pPr>
                            <w:r>
                              <w:rPr>
                                <w:rFonts w:hint="eastAsia" w:ascii="宋体" w:hAnsi="宋体"/>
                                <w:b/>
                                <w:sz w:val="24"/>
                              </w:rPr>
                              <w:t>温馨提示：</w:t>
                            </w:r>
                            <w:r>
                              <w:rPr>
                                <w:rFonts w:hint="eastAsia" w:ascii="宋体" w:hAnsi="宋体"/>
                                <w:b/>
                                <w:sz w:val="24"/>
                                <w:lang w:eastAsia="zh-CN"/>
                              </w:rPr>
                              <w:t>获取公开招标</w:t>
                            </w:r>
                            <w:r>
                              <w:rPr>
                                <w:rFonts w:hint="eastAsia" w:ascii="宋体" w:hAnsi="宋体"/>
                                <w:b/>
                                <w:sz w:val="24"/>
                              </w:rPr>
                              <w:t>文件后，请仔细阅读，特别注意粗体及划线部分，如有疑问请来电咨询。</w:t>
                            </w:r>
                          </w:p>
                        </w:txbxContent>
                      </wps:txbx>
                      <wps:bodyPr wrap="none" upright="1">
                        <a:spAutoFit/>
                      </wps:bodyPr>
                    </wps:wsp>
                  </a:graphicData>
                </a:graphic>
              </wp:anchor>
            </w:drawing>
          </mc:Choice>
          <mc:Fallback>
            <w:pict>
              <v:shape id="_x0000_s1026" o:spid="_x0000_s1026" o:spt="202" type="#_x0000_t202" style="position:absolute;left:0pt;margin-left:-3.3pt;margin-top:31.7pt;height:57.95pt;width:468.75pt;mso-wrap-distance-bottom:0pt;mso-wrap-distance-left:9pt;mso-wrap-distance-right:9pt;mso-wrap-distance-top:0pt;mso-wrap-style:none;z-index:251659264;mso-width-relative:page;mso-height-relative:page;" fillcolor="#FFFFFF" filled="t" stroked="t" coordsize="21600,21600" o:gfxdata="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HBTz2gAAAAkB&#10;AAAPAAAAAAAAAAEAIAAAACIAAABkcnMvZG93bnJldi54bWxQSwECFAAUAAAACACHTuJA2ZakpBkC&#10;AABcBAAADgAAAAAAAAABACAAAAApAQAAZHJzL2Uyb0RvYy54bWxQSwUGAAAAAAYABgBZAQAAtAUA&#10;AAAA&#10;">
                <v:fill on="t" focussize="0,0"/>
                <v:stroke color="#000000" joinstyle="miter"/>
                <v:imagedata o:title=""/>
                <o:lock v:ext="edit" aspectratio="f"/>
                <v:textbox style="mso-fit-shape-to-text:t;">
                  <w:txbxContent>
                    <w:p>
                      <w:pPr>
                        <w:spacing w:line="500" w:lineRule="exact"/>
                        <w:rPr>
                          <w:rFonts w:ascii="宋体" w:hAnsi="宋体"/>
                          <w:b/>
                          <w:sz w:val="24"/>
                        </w:rPr>
                      </w:pPr>
                      <w:r>
                        <w:rPr>
                          <w:rFonts w:hint="eastAsia" w:ascii="宋体" w:hAnsi="宋体"/>
                          <w:b/>
                          <w:sz w:val="24"/>
                        </w:rPr>
                        <w:t>温馨提示：</w:t>
                      </w:r>
                      <w:r>
                        <w:rPr>
                          <w:rFonts w:hint="eastAsia" w:ascii="宋体" w:hAnsi="宋体"/>
                          <w:b/>
                          <w:sz w:val="24"/>
                          <w:lang w:eastAsia="zh-CN"/>
                        </w:rPr>
                        <w:t>获取公开招标</w:t>
                      </w:r>
                      <w:r>
                        <w:rPr>
                          <w:rFonts w:hint="eastAsia" w:ascii="宋体" w:hAnsi="宋体"/>
                          <w:b/>
                          <w:sz w:val="24"/>
                        </w:rPr>
                        <w:t>文件后，请仔细阅读，特别注意粗体及划线部分，如有疑问请来电咨询。</w:t>
                      </w:r>
                    </w:p>
                  </w:txbxContent>
                </v:textbox>
                <w10:wrap type="square"/>
              </v:shape>
            </w:pict>
          </mc:Fallback>
        </mc:AlternateContent>
      </w:r>
      <w:r>
        <w:rPr>
          <w:rFonts w:hint="eastAsia" w:ascii="宋体" w:hAnsi="宋体" w:eastAsia="宋体" w:cs="宋体"/>
          <w:b w:val="0"/>
          <w:bCs w:val="0"/>
          <w:color w:val="auto"/>
          <w:highlight w:val="none"/>
        </w:rPr>
        <w:t>电话：</w:t>
      </w:r>
      <w:r>
        <w:rPr>
          <w:rFonts w:hint="eastAsia" w:ascii="宋体" w:hAnsi="宋体" w:eastAsia="宋体" w:cs="宋体"/>
          <w:color w:val="auto"/>
          <w:highlight w:val="none"/>
          <w:lang w:eastAsia="zh-CN"/>
        </w:rPr>
        <w:t>029-86673953、029-86518381、029-89299829、029-89293231</w:t>
      </w:r>
      <w:r>
        <w:rPr>
          <w:rFonts w:hint="eastAsia" w:ascii="宋体" w:hAnsi="宋体" w:eastAsia="宋体" w:cs="宋体"/>
          <w:color w:val="auto"/>
          <w:highlight w:val="none"/>
        </w:rPr>
        <w:t>转80</w:t>
      </w:r>
      <w:r>
        <w:rPr>
          <w:rFonts w:hint="eastAsia" w:ascii="宋体" w:hAnsi="宋体" w:eastAsia="宋体" w:cs="宋体"/>
          <w:color w:val="auto"/>
          <w:highlight w:val="none"/>
          <w:lang w:val="en-US" w:eastAsia="zh-CN"/>
        </w:rPr>
        <w:t>17</w:t>
      </w:r>
    </w:p>
    <w:p>
      <w:pPr>
        <w:rPr>
          <w:rFonts w:hint="eastAsia" w:ascii="宋体" w:hAnsi="宋体" w:eastAsia="宋体" w:cs="宋体"/>
          <w:b/>
          <w:bCs/>
          <w:color w:val="auto"/>
          <w:highlight w:val="none"/>
        </w:rPr>
      </w:pPr>
      <w:bookmarkStart w:id="18" w:name="_Toc100219613"/>
      <w:bookmarkStart w:id="19" w:name="_Toc533363235"/>
      <w:bookmarkStart w:id="20" w:name="_Toc533363262"/>
      <w:bookmarkStart w:id="21" w:name="_Toc3398"/>
      <w:bookmarkStart w:id="22" w:name="_Toc445407251"/>
      <w:bookmarkStart w:id="23" w:name="_Toc1830"/>
      <w:bookmarkStart w:id="24" w:name="_Toc534656414"/>
      <w:bookmarkStart w:id="25" w:name="_Toc534656409"/>
      <w:bookmarkStart w:id="26" w:name="_Toc97563329"/>
      <w:bookmarkStart w:id="27" w:name="_Toc498349068"/>
      <w:r>
        <w:rPr>
          <w:rFonts w:hint="eastAsia" w:ascii="宋体" w:hAnsi="宋体" w:eastAsia="宋体" w:cs="宋体"/>
          <w:b/>
          <w:bCs/>
          <w:color w:val="auto"/>
          <w:highlight w:val="none"/>
        </w:rPr>
        <w:br w:type="page"/>
      </w:r>
    </w:p>
    <w:p>
      <w:pPr>
        <w:pStyle w:val="3"/>
        <w:jc w:val="center"/>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第二章  </w:t>
      </w:r>
      <w:r>
        <w:rPr>
          <w:rFonts w:hint="eastAsia" w:ascii="宋体" w:hAnsi="宋体" w:eastAsia="宋体" w:cs="宋体"/>
          <w:b/>
          <w:bCs/>
          <w:color w:val="auto"/>
          <w:highlight w:val="none"/>
          <w:lang w:eastAsia="zh-CN"/>
        </w:rPr>
        <w:t>投标人</w:t>
      </w:r>
      <w:r>
        <w:rPr>
          <w:rFonts w:hint="eastAsia" w:ascii="宋体" w:hAnsi="宋体" w:eastAsia="宋体" w:cs="宋体"/>
          <w:b/>
          <w:bCs/>
          <w:color w:val="auto"/>
          <w:highlight w:val="none"/>
        </w:rPr>
        <w:t>须知</w:t>
      </w:r>
      <w:bookmarkEnd w:id="18"/>
      <w:bookmarkEnd w:id="19"/>
      <w:bookmarkEnd w:id="20"/>
      <w:bookmarkEnd w:id="21"/>
      <w:bookmarkEnd w:id="22"/>
      <w:bookmarkEnd w:id="23"/>
      <w:bookmarkEnd w:id="24"/>
      <w:bookmarkEnd w:id="25"/>
      <w:bookmarkEnd w:id="26"/>
      <w:bookmarkEnd w:id="27"/>
    </w:p>
    <w:p>
      <w:pPr>
        <w:pStyle w:val="3"/>
        <w:spacing w:line="240" w:lineRule="auto"/>
        <w:jc w:val="center"/>
        <w:outlineLvl w:val="1"/>
        <w:rPr>
          <w:rFonts w:hint="eastAsia"/>
        </w:rPr>
      </w:pPr>
      <w:bookmarkStart w:id="28" w:name="_Toc21988"/>
      <w:bookmarkStart w:id="29" w:name="_Toc12706"/>
      <w:r>
        <w:rPr>
          <w:rFonts w:hint="eastAsia" w:ascii="宋体" w:hAnsi="宋体" w:eastAsia="宋体" w:cs="宋体"/>
          <w:color w:val="auto"/>
          <w:sz w:val="24"/>
          <w:szCs w:val="24"/>
          <w:highlight w:val="none"/>
        </w:rPr>
        <w:t>〖前附表〗</w:t>
      </w:r>
      <w:bookmarkEnd w:id="28"/>
      <w:bookmarkEnd w:id="29"/>
    </w:p>
    <w:tbl>
      <w:tblPr>
        <w:tblStyle w:val="26"/>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01"/>
        <w:gridCol w:w="2549"/>
        <w:gridCol w:w="552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12" w:space="0"/>
              <w:bottom w:val="single" w:color="auto" w:sz="1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549" w:type="dxa"/>
            <w:tcBorders>
              <w:top w:val="single" w:color="auto" w:sz="12" w:space="0"/>
              <w:bottom w:val="single" w:color="auto" w:sz="1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5520" w:type="dxa"/>
            <w:tcBorders>
              <w:top w:val="single" w:color="auto" w:sz="12" w:space="0"/>
              <w:bottom w:val="single" w:color="auto" w:sz="1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5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预算执行书编号</w:t>
            </w:r>
          </w:p>
        </w:tc>
        <w:tc>
          <w:tcPr>
            <w:tcW w:w="5520" w:type="dxa"/>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ZCBN-鄠邑区-2022-00490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5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5520" w:type="dxa"/>
            <w:tcBorders>
              <w:top w:val="single" w:color="auto" w:sz="4" w:space="0"/>
              <w:left w:val="single" w:color="auto" w:sz="4" w:space="0"/>
              <w:bottom w:val="single" w:color="auto" w:sz="4" w:space="0"/>
              <w:right w:val="single" w:color="auto" w:sz="12"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highlight w:val="none"/>
                <w:lang w:val="en-US" w:eastAsia="zh-CN"/>
              </w:rPr>
              <w:t>西安市鄠邑区妇幼保健计划生育服务中心（区妇幼保健院）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5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5520" w:type="dxa"/>
            <w:tcBorders>
              <w:top w:val="single" w:color="auto" w:sz="4" w:space="0"/>
              <w:left w:val="single" w:color="auto" w:sz="4" w:space="0"/>
              <w:bottom w:val="single" w:color="auto" w:sz="4" w:space="0"/>
              <w:right w:val="single" w:color="auto" w:sz="12"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陕西上德招标有限公司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5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监督管理机构</w:t>
            </w:r>
          </w:p>
        </w:tc>
        <w:tc>
          <w:tcPr>
            <w:tcW w:w="5520" w:type="dxa"/>
            <w:tcBorders>
              <w:top w:val="single" w:color="auto" w:sz="4" w:space="0"/>
              <w:left w:val="single" w:color="auto" w:sz="4" w:space="0"/>
              <w:bottom w:val="single" w:color="auto" w:sz="4" w:space="0"/>
              <w:right w:val="single" w:color="auto" w:sz="12" w:space="0"/>
            </w:tcBorders>
            <w:shd w:val="clear" w:color="auto" w:fill="auto"/>
            <w:vAlign w:val="top"/>
          </w:tcPr>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西安市鄠邑区财政局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5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资金性质</w:t>
            </w:r>
          </w:p>
        </w:tc>
        <w:tc>
          <w:tcPr>
            <w:tcW w:w="5520" w:type="dxa"/>
            <w:tcBorders>
              <w:top w:val="single" w:color="auto" w:sz="4" w:space="0"/>
              <w:left w:val="single" w:color="auto" w:sz="4" w:space="0"/>
              <w:bottom w:val="single" w:color="auto" w:sz="4" w:space="0"/>
              <w:right w:val="single" w:color="auto" w:sz="12"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财政划拨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54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交货期、交货地点</w:t>
            </w:r>
          </w:p>
        </w:tc>
        <w:tc>
          <w:tcPr>
            <w:tcW w:w="5520" w:type="dxa"/>
            <w:tcBorders>
              <w:top w:val="single" w:color="auto" w:sz="4" w:space="0"/>
              <w:left w:val="single" w:color="auto" w:sz="4" w:space="0"/>
              <w:bottom w:val="single" w:color="auto" w:sz="4"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交货期：自合同签订之日起30天内，按需配送</w:t>
            </w:r>
            <w:r>
              <w:rPr>
                <w:rFonts w:hint="eastAsia" w:ascii="宋体" w:hAnsi="宋体" w:eastAsia="宋体" w:cs="宋体"/>
                <w:color w:val="auto"/>
                <w:sz w:val="24"/>
                <w:szCs w:val="24"/>
                <w:highlight w:val="none"/>
                <w:lang w:val="en-US" w:eastAsia="zh-CN"/>
              </w:rPr>
              <w:t>。</w:t>
            </w:r>
          </w:p>
          <w:p>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交货地点：</w:t>
            </w:r>
            <w:r>
              <w:rPr>
                <w:rFonts w:hint="eastAsia" w:ascii="宋体" w:hAnsi="宋体" w:eastAsia="宋体" w:cs="宋体"/>
                <w:b w:val="0"/>
                <w:bCs w:val="0"/>
                <w:color w:val="auto"/>
                <w:highlight w:val="none"/>
                <w:lang w:val="en-US" w:eastAsia="zh-CN"/>
              </w:rPr>
              <w:t>西安市鄠邑区妇幼保健计划生育服务中心（区妇幼保健院）</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549" w:type="dxa"/>
            <w:tcBorders>
              <w:top w:val="single" w:color="auto" w:sz="4" w:space="0"/>
            </w:tcBorders>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投标人对招标文件提出质疑的时间</w:t>
            </w:r>
          </w:p>
        </w:tc>
        <w:tc>
          <w:tcPr>
            <w:tcW w:w="5520" w:type="dxa"/>
            <w:tcBorders>
              <w:top w:val="single" w:color="auto" w:sz="4"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投标人认为招标文件使自己的权益受到损害的，在收到采购文件之日起七个工作日内提出质疑，逾期提出的无效，因此带来的一切不利后果由投标人自负。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549" w:type="dxa"/>
            <w:tcBorders>
              <w:top w:val="single" w:color="auto" w:sz="4" w:space="0"/>
            </w:tcBorders>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5520" w:type="dxa"/>
            <w:tcBorders>
              <w:top w:val="single" w:color="auto" w:sz="4"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549" w:type="dxa"/>
            <w:tcBorders>
              <w:top w:val="single" w:color="auto" w:sz="4" w:space="0"/>
            </w:tcBorders>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5520" w:type="dxa"/>
            <w:tcBorders>
              <w:top w:val="single" w:color="auto" w:sz="4"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自提交投标文件的截止之日起90个日历日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549" w:type="dxa"/>
            <w:tcBorders>
              <w:top w:val="single" w:color="auto" w:sz="4" w:space="0"/>
            </w:tcBorders>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汇款账户</w:t>
            </w:r>
          </w:p>
        </w:tc>
        <w:tc>
          <w:tcPr>
            <w:tcW w:w="5520" w:type="dxa"/>
            <w:tcBorders>
              <w:top w:val="single" w:color="auto" w:sz="4" w:space="0"/>
            </w:tcBorders>
            <w:shd w:val="clear" w:color="auto" w:fill="auto"/>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1、开户行名称：陕西上德招标有限公司</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  户  行：中信银行西安南稍门支行</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3、帐      号：8111 7010 1170 0299 237</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财务部联系方式： </w:t>
            </w:r>
            <w:r>
              <w:rPr>
                <w:rFonts w:hint="eastAsia" w:ascii="宋体" w:hAnsi="宋体" w:eastAsia="宋体" w:cs="宋体"/>
                <w:color w:val="auto"/>
                <w:sz w:val="24"/>
                <w:szCs w:val="24"/>
                <w:highlight w:val="none"/>
                <w:lang w:eastAsia="zh-CN"/>
              </w:rPr>
              <w:t>029-86673953、029-86518381、029-89299829、029-89293231</w:t>
            </w:r>
            <w:r>
              <w:rPr>
                <w:rFonts w:hint="eastAsia" w:ascii="宋体" w:hAnsi="宋体" w:eastAsia="宋体" w:cs="宋体"/>
                <w:color w:val="auto"/>
                <w:sz w:val="24"/>
                <w:szCs w:val="24"/>
                <w:highlight w:val="none"/>
              </w:rPr>
              <w:t xml:space="preserve"> 转8033</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在汇款</w:t>
            </w:r>
            <w:r>
              <w:rPr>
                <w:rFonts w:hint="eastAsia" w:ascii="宋体" w:hAnsi="宋体" w:eastAsia="宋体" w:cs="宋体"/>
                <w:color w:val="auto"/>
                <w:sz w:val="24"/>
                <w:szCs w:val="24"/>
                <w:highlight w:val="none"/>
                <w:lang w:eastAsia="zh-CN"/>
              </w:rPr>
              <w:t>（招标服务费）</w:t>
            </w:r>
            <w:r>
              <w:rPr>
                <w:rFonts w:hint="eastAsia" w:ascii="宋体" w:hAnsi="宋体" w:eastAsia="宋体" w:cs="宋体"/>
                <w:color w:val="auto"/>
                <w:sz w:val="24"/>
                <w:szCs w:val="24"/>
                <w:highlight w:val="none"/>
              </w:rPr>
              <w:t>时须注明项目编号+项目简称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549" w:type="dxa"/>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备选投标方案</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和报价</w:t>
            </w:r>
          </w:p>
        </w:tc>
        <w:tc>
          <w:tcPr>
            <w:tcW w:w="5520" w:type="dxa"/>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549" w:type="dxa"/>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盖章签字</w:t>
            </w:r>
          </w:p>
        </w:tc>
        <w:tc>
          <w:tcPr>
            <w:tcW w:w="5520" w:type="dxa"/>
            <w:shd w:val="clear" w:color="auto" w:fill="auto"/>
            <w:vAlign w:val="center"/>
          </w:tcPr>
          <w:p>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电子投标文件制作过程中，需要法定代表人签字或盖章的地方，请使用“法人CA锁”进行签章；需要加盖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公章的地方，请使用“企业CA锁”进行签章</w:t>
            </w:r>
            <w:r>
              <w:rPr>
                <w:rFonts w:hint="eastAsia" w:ascii="宋体" w:hAnsi="宋体" w:eastAsia="宋体" w:cs="宋体"/>
                <w:color w:val="auto"/>
                <w:sz w:val="24"/>
                <w:szCs w:val="24"/>
                <w:highlight w:val="none"/>
                <w:lang w:eastAsia="zh-CN"/>
              </w:rPr>
              <w:t>。</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投标人必须按照招标文件的规定和要求在投标文件中指定的页面落款处加盖公章（鲜章）并由法定代表人签字（或盖章）。招标文件凡是要求法定代表人签字或盖章之处，非法人单位的负责人均参照执行。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5520" w:type="dxa"/>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本项目属于交钥匙工程，投标报价=设备价（含税）＋运输费+安装费+调试费+培训费+产品辅材费+售后服务费+保险费+相关伴随费用等。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评标办法及标准</w:t>
            </w:r>
          </w:p>
        </w:tc>
        <w:tc>
          <w:tcPr>
            <w:tcW w:w="5520" w:type="dxa"/>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详见招标文件第二章。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其它事项</w:t>
            </w:r>
          </w:p>
        </w:tc>
        <w:tc>
          <w:tcPr>
            <w:tcW w:w="5520" w:type="dxa"/>
            <w:shd w:val="clear" w:color="auto" w:fill="auto"/>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本次采购、投标报价、评审和合同授予均以项目为单位，投标人必须就一个完整项目进行响应。</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与采购人在中标通知书发出30天内签订合同，不及时签订视为自动放弃。本项目不允许中标后另行转包或者分包履行。因自身原因拒绝签订政府采购合同的或者未按合同约定进行履约的，中标人不得参加对该项目重新开展的招标活动。</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已免费领取</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，如不参与项目</w:t>
            </w:r>
            <w:r>
              <w:rPr>
                <w:rFonts w:hint="eastAsia" w:ascii="宋体" w:hAnsi="宋体" w:eastAsia="宋体" w:cs="宋体"/>
                <w:color w:val="auto"/>
                <w:sz w:val="24"/>
                <w:szCs w:val="24"/>
                <w:highlight w:val="none"/>
                <w:lang w:eastAsia="zh-CN"/>
              </w:rPr>
              <w:t>投标活动</w:t>
            </w:r>
            <w:r>
              <w:rPr>
                <w:rFonts w:hint="eastAsia" w:ascii="宋体" w:hAnsi="宋体" w:eastAsia="宋体" w:cs="宋体"/>
                <w:color w:val="auto"/>
                <w:sz w:val="24"/>
                <w:szCs w:val="24"/>
                <w:highlight w:val="none"/>
              </w:rPr>
              <w:t>，应在递</w:t>
            </w:r>
            <w:r>
              <w:rPr>
                <w:rFonts w:hint="eastAsia" w:ascii="宋体" w:hAnsi="宋体" w:eastAsia="宋体" w:cs="宋体"/>
                <w:color w:val="auto"/>
                <w:sz w:val="24"/>
                <w:szCs w:val="24"/>
                <w:highlight w:val="none"/>
                <w:lang w:eastAsia="zh-CN"/>
              </w:rPr>
              <w:t>交投标</w:t>
            </w:r>
            <w:r>
              <w:rPr>
                <w:rFonts w:hint="eastAsia" w:ascii="宋体" w:hAnsi="宋体" w:eastAsia="宋体" w:cs="宋体"/>
                <w:color w:val="auto"/>
                <w:sz w:val="24"/>
                <w:szCs w:val="24"/>
                <w:highlight w:val="none"/>
              </w:rPr>
              <w:t>文件截止时间前一天以书面形式告知采购代理机构。否则，采购代理机构可以向财政部门反应情况并提供相应佐证。投标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是否预留份额</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专门面向中小企业采购</w:t>
            </w:r>
          </w:p>
        </w:tc>
        <w:tc>
          <w:tcPr>
            <w:tcW w:w="5520"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w:t>
            </w:r>
          </w:p>
        </w:tc>
        <w:tc>
          <w:tcPr>
            <w:tcW w:w="5520"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c>
          <w:tcPr>
            <w:tcW w:w="5520"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tcBorders>
              <w:top w:val="single" w:color="auto" w:sz="4" w:space="0"/>
            </w:tcBorders>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是否允许大中企业</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向小微企业分包</w:t>
            </w:r>
          </w:p>
        </w:tc>
        <w:tc>
          <w:tcPr>
            <w:tcW w:w="5520"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5520"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5520"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w:t>
            </w:r>
          </w:p>
        </w:tc>
        <w:tc>
          <w:tcPr>
            <w:tcW w:w="5520" w:type="dxa"/>
            <w:shd w:val="clear" w:color="auto" w:fill="auto"/>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无需提供；</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在领取中标通知书时提供一正两副</w:t>
            </w:r>
            <w:r>
              <w:rPr>
                <w:rFonts w:hint="eastAsia" w:ascii="宋体" w:hAnsi="宋体" w:eastAsia="宋体" w:cs="宋体"/>
                <w:color w:val="auto"/>
                <w:sz w:val="24"/>
                <w:szCs w:val="24"/>
                <w:highlight w:val="none"/>
                <w:lang w:eastAsia="zh-CN"/>
              </w:rPr>
              <w:t>纸质投标文件及</w:t>
            </w:r>
            <w:r>
              <w:rPr>
                <w:rFonts w:hint="eastAsia" w:ascii="宋体" w:hAnsi="宋体" w:eastAsia="宋体" w:cs="宋体"/>
                <w:color w:val="auto"/>
                <w:sz w:val="24"/>
                <w:szCs w:val="24"/>
                <w:highlight w:val="none"/>
              </w:rPr>
              <w:t>电子投标文件一份（U盘或移动硬盘；电子投标文件为Word版本和PDF版本，PDF文件为签字、盖章的完整正本扫描件）。</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装订：纸质投标文件采用书籍（胶装）方式装订成册，</w:t>
            </w:r>
            <w:r>
              <w:rPr>
                <w:rFonts w:hint="eastAsia" w:ascii="宋体" w:hAnsi="宋体" w:eastAsia="宋体" w:cs="宋体"/>
                <w:color w:val="auto"/>
                <w:sz w:val="24"/>
                <w:szCs w:val="24"/>
                <w:highlight w:val="none"/>
                <w:lang w:eastAsia="zh-CN"/>
              </w:rPr>
              <w:t>与电子投标文件一致的</w:t>
            </w:r>
            <w:r>
              <w:rPr>
                <w:rFonts w:hint="eastAsia" w:ascii="宋体" w:hAnsi="宋体" w:eastAsia="宋体" w:cs="宋体"/>
                <w:color w:val="auto"/>
                <w:sz w:val="24"/>
                <w:szCs w:val="24"/>
                <w:highlight w:val="none"/>
              </w:rPr>
              <w:t>签字、盖章的</w:t>
            </w:r>
            <w:r>
              <w:rPr>
                <w:rFonts w:hint="eastAsia" w:ascii="宋体" w:hAnsi="宋体" w:eastAsia="宋体" w:cs="宋体"/>
                <w:color w:val="auto"/>
                <w:sz w:val="24"/>
                <w:szCs w:val="24"/>
                <w:highlight w:val="none"/>
                <w:lang w:eastAsia="zh-CN"/>
              </w:rPr>
              <w:t>完整版本</w:t>
            </w:r>
            <w:r>
              <w:rPr>
                <w:rFonts w:hint="eastAsia" w:ascii="宋体" w:hAnsi="宋体" w:eastAsia="宋体" w:cs="宋体"/>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现场踏勘和集中答疑</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政府采购信息发布媒体</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（采购公告、采购结果公告、变更公告）</w:t>
            </w:r>
          </w:p>
        </w:tc>
        <w:tc>
          <w:tcPr>
            <w:tcW w:w="5520" w:type="dxa"/>
            <w:shd w:val="clear" w:color="auto" w:fill="auto"/>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1．陕西省政府采购网：仅提供项目公告，官网地址：http://ccgp-shaanxi.gov.cn/。</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询问和质疑</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投诉受理</w:t>
            </w:r>
          </w:p>
        </w:tc>
        <w:tc>
          <w:tcPr>
            <w:tcW w:w="5520" w:type="dxa"/>
            <w:shd w:val="clear" w:color="auto" w:fill="auto"/>
            <w:vAlign w:val="center"/>
          </w:tcPr>
          <w:p>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受理单位：</w:t>
            </w:r>
            <w:r>
              <w:rPr>
                <w:rFonts w:hint="eastAsia" w:ascii="宋体" w:hAnsi="宋体" w:eastAsia="宋体" w:cs="宋体"/>
                <w:color w:val="auto"/>
                <w:sz w:val="24"/>
                <w:szCs w:val="24"/>
                <w:highlight w:val="none"/>
                <w:lang w:eastAsia="zh-CN"/>
              </w:rPr>
              <w:t>西安市鄠邑区财政局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信用信息查询截至时点</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开标形式</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不见面开标 </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是否允许递交多个备选投标方案</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西安市公共资源交易中心电子化政府采购系统技术支持（软件开发商）</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国泰新点软件股份有限公司</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1．技术支持热线：400-998-0000/400-928-0095</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801" w:type="dxa"/>
            <w:shd w:val="clear" w:color="auto" w:fill="auto"/>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2549" w:type="dxa"/>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CA业务网点</w:t>
            </w:r>
          </w:p>
        </w:tc>
        <w:tc>
          <w:tcPr>
            <w:tcW w:w="5520" w:type="dxa"/>
            <w:shd w:val="clear" w:color="auto" w:fill="auto"/>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陕西省数字证书认证中心股份有限公司</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网点1：西安市高新三路信息港大厦1楼客服中心</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客服电话：4006-369-888</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网点2：西安市长安北路14号省体育公寓B座一楼</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咨询电话：029-88661241</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网点3：西安市文景北路16号白桦林国际B座2楼11#窗口</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咨询电话：029-86510073转80211</w:t>
            </w:r>
          </w:p>
        </w:tc>
      </w:tr>
    </w:tbl>
    <w:p>
      <w:pPr>
        <w:spacing w:line="560" w:lineRule="exact"/>
        <w:ind w:firstLine="640" w:firstLineChars="2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4"/>
        <w:rPr>
          <w:rFonts w:hint="eastAsia" w:ascii="宋体" w:hAnsi="宋体" w:eastAsia="宋体" w:cs="宋体"/>
          <w:color w:val="auto"/>
          <w:sz w:val="24"/>
          <w:szCs w:val="24"/>
          <w:highlight w:val="none"/>
        </w:rPr>
      </w:pPr>
      <w:bookmarkStart w:id="30" w:name="_Toc28595"/>
      <w:r>
        <w:rPr>
          <w:rFonts w:hint="eastAsia" w:ascii="宋体" w:hAnsi="宋体" w:eastAsia="宋体" w:cs="宋体"/>
          <w:color w:val="auto"/>
          <w:sz w:val="24"/>
          <w:szCs w:val="24"/>
          <w:highlight w:val="none"/>
        </w:rPr>
        <w:t>一、有关定义</w:t>
      </w:r>
      <w:bookmarkEnd w:id="30"/>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1．采购人：依法进行政府采购的西安市市级机关、事业单位或团体组织。</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：指向采购人提供货物、工程或者服务的法人、其他组织或者自然人。</w:t>
      </w:r>
    </w:p>
    <w:p>
      <w:pPr>
        <w:spacing w:line="560" w:lineRule="exact"/>
        <w:ind w:firstLine="480" w:firstLineChars="200"/>
        <w:jc w:val="both"/>
        <w:outlineLvl w:val="2"/>
        <w:rPr>
          <w:rFonts w:hint="eastAsia" w:ascii="宋体" w:hAnsi="宋体" w:eastAsia="宋体" w:cs="宋体"/>
          <w:color w:val="auto"/>
          <w:sz w:val="24"/>
          <w:szCs w:val="24"/>
          <w:highlight w:val="none"/>
        </w:rPr>
      </w:pPr>
      <w:bookmarkStart w:id="31" w:name="_Toc15334"/>
      <w:r>
        <w:rPr>
          <w:rFonts w:hint="eastAsia" w:ascii="宋体" w:hAnsi="宋体" w:eastAsia="宋体" w:cs="宋体"/>
          <w:color w:val="auto"/>
          <w:sz w:val="24"/>
          <w:szCs w:val="24"/>
          <w:highlight w:val="none"/>
        </w:rPr>
        <w:t>3．同级政府采购监管部门：西安市鄠邑区财政局。</w:t>
      </w:r>
      <w:bookmarkEnd w:id="31"/>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4．西安市公共资源交易平台：即【全国公共资源交易平台（陕西省西安市）】的简称，官网地址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"http://sxggzyjy.xa.gov.cn/"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http://sxggzyjy.xa.gov.cn/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5．企业端：指西安市公共资源交易平台〖首页〉电子交易平台〉陕西政府采购交易系统〉企业端〗，快捷登录网址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"http://www.sxggzyjy.cn:9002/TPBidder/memberLogin"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http://www.sxggzyjy.cn:9002/TPBidder/memberLogin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w:t>
      </w:r>
    </w:p>
    <w:p>
      <w:pPr>
        <w:pStyle w:val="4"/>
        <w:rPr>
          <w:rFonts w:hint="eastAsia" w:ascii="宋体" w:hAnsi="宋体" w:eastAsia="宋体" w:cs="宋体"/>
          <w:color w:val="auto"/>
          <w:sz w:val="24"/>
          <w:szCs w:val="24"/>
          <w:highlight w:val="none"/>
        </w:rPr>
      </w:pPr>
      <w:bookmarkStart w:id="32" w:name="_Toc18249"/>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注意事项</w:t>
      </w:r>
      <w:bookmarkEnd w:id="32"/>
    </w:p>
    <w:p>
      <w:pPr>
        <w:pStyle w:val="93"/>
        <w:spacing w:before="210" w:after="210"/>
        <w:ind w:firstLine="640"/>
        <w:outlineLvl w:val="2"/>
        <w:rPr>
          <w:rFonts w:hint="eastAsia" w:ascii="宋体" w:hAnsi="宋体" w:eastAsia="宋体" w:cs="宋体"/>
          <w:color w:val="auto"/>
          <w:sz w:val="24"/>
          <w:szCs w:val="24"/>
          <w:highlight w:val="none"/>
        </w:rPr>
      </w:pPr>
      <w:bookmarkStart w:id="33" w:name="_Toc2975"/>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投标流程</w:t>
      </w:r>
      <w:bookmarkEnd w:id="33"/>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使用电子交易系统的采购项目（即线上项目），将同时提供WORD\PDF格式（仅用于预览）和SXSZF格式（用于制作电子投标文件）两个版本，文件内容一致。</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1．预览采购文件：打开西安市公共资源交易平台〖首页〉交易大厅〉政府采购〗栏目，下载和阅读本项目采购文件的预览版本（WORD\PDF格式）；</w:t>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2．办理注册登记（针对初次使用电子交易系统的用户）：</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（1）办理诚信入库注册：在决定参加本项目采购活动后，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应先在西安市公共资源交易平台上完成“诚信入库登记”；</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widowControl w:val="0"/>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办理须知：</w:t>
      </w:r>
    </w:p>
    <w:p>
      <w:pPr>
        <w:widowControl w:val="0"/>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"http://www.snca.com.cn/channel/show/27.html"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www.snca.com.cn/channel/show/27.html</w:t>
      </w:r>
      <w:r>
        <w:rPr>
          <w:rStyle w:val="32"/>
          <w:rFonts w:hint="eastAsia" w:ascii="宋体" w:hAnsi="宋体" w:eastAsia="宋体" w:cs="宋体"/>
          <w:color w:val="auto"/>
          <w:sz w:val="24"/>
          <w:szCs w:val="24"/>
          <w:highlight w:val="none"/>
          <w:u w:val="none"/>
        </w:rPr>
        <w:fldChar w:fldCharType="end"/>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（3）绑定和激活CA：将数字证书与诚信库中的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账户进行绑定。</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3．下载电子招标文件：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5．提交电子投标文件：在提交投标文件截止时间前及时提交加密后电子投标文件，逾期提交的，系统将会拒收；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6．在线参加开标大会：开标当日，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法定代表人或其授权代表需提前登录“不见面开标”系统，收到主持人“开始解密”指令后，使用CA锁（必须与加密文件时的CA锁为同一把锁）在线对电子投标文件进行解密。采用“不见面开标”系统后，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无需到达开标现场，即可在线参与整个开标过程。相关技术问题，请咨询软件开发商。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7．等待专家评审：评审期间，可能需要对评审专家提出的问题进行澄清或答复。在主持人宣布评审结束前，</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请勿擅自离席，否则由此造成的不利后果，由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注册：按照陕西省政府采购监管部门的要求，采购代理机构在发布中标公告前，应由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在陕西省政府采购网上完成注册。</w:t>
      </w:r>
    </w:p>
    <w:p>
      <w:pPr>
        <w:pStyle w:val="93"/>
        <w:spacing w:before="210" w:after="210"/>
        <w:ind w:firstLine="640"/>
        <w:outlineLvl w:val="2"/>
        <w:rPr>
          <w:rFonts w:hint="eastAsia" w:ascii="宋体" w:hAnsi="宋体" w:eastAsia="宋体" w:cs="宋体"/>
          <w:color w:val="auto"/>
          <w:sz w:val="24"/>
          <w:szCs w:val="24"/>
          <w:highlight w:val="none"/>
        </w:rPr>
      </w:pPr>
      <w:bookmarkStart w:id="34" w:name="_Toc10189"/>
      <w:r>
        <w:rPr>
          <w:rFonts w:hint="eastAsia" w:ascii="宋体" w:hAnsi="宋体" w:eastAsia="宋体" w:cs="宋体"/>
          <w:color w:val="auto"/>
          <w:sz w:val="24"/>
          <w:szCs w:val="24"/>
          <w:highlight w:val="none"/>
        </w:rPr>
        <w:t>（二）关于询问、质疑和投诉</w:t>
      </w:r>
      <w:bookmarkEnd w:id="34"/>
    </w:p>
    <w:p>
      <w:pPr>
        <w:pStyle w:val="92"/>
        <w:outlineLvl w:val="3"/>
        <w:rPr>
          <w:rFonts w:hint="eastAsia" w:ascii="宋体" w:hAnsi="宋体" w:eastAsia="宋体" w:cs="宋体"/>
          <w:color w:val="auto"/>
          <w:sz w:val="24"/>
          <w:szCs w:val="24"/>
          <w:highlight w:val="none"/>
        </w:rPr>
      </w:pPr>
      <w:bookmarkStart w:id="35" w:name="_Toc415"/>
      <w:r>
        <w:rPr>
          <w:rFonts w:hint="eastAsia" w:ascii="宋体" w:hAnsi="宋体" w:eastAsia="宋体" w:cs="宋体"/>
          <w:color w:val="auto"/>
          <w:sz w:val="24"/>
          <w:szCs w:val="24"/>
          <w:highlight w:val="none"/>
        </w:rPr>
        <w:t>1．询问</w:t>
      </w:r>
      <w:bookmarkEnd w:id="35"/>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对政府采购活动事项有疑问的，可以向采购人或采购代理机构提出询问。采购人或采购代理机构将在3个工作日内对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依法提出的询问作出答复。</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根据采购人和采购代理机构签订的《政府采购委托代理协议》，针对采购需求（包括采购内容、技术或服务要求、商务要求、合同条款、</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资格条件、评审要素及分值一览表）的询问请向采购人提出。</w:t>
      </w:r>
    </w:p>
    <w:p>
      <w:pPr>
        <w:pStyle w:val="92"/>
        <w:outlineLvl w:val="3"/>
        <w:rPr>
          <w:rFonts w:hint="eastAsia" w:ascii="宋体" w:hAnsi="宋体" w:eastAsia="宋体" w:cs="宋体"/>
          <w:color w:val="auto"/>
          <w:sz w:val="24"/>
          <w:szCs w:val="24"/>
          <w:highlight w:val="none"/>
        </w:rPr>
      </w:pPr>
      <w:bookmarkStart w:id="36" w:name="_Toc27463"/>
      <w:r>
        <w:rPr>
          <w:rFonts w:hint="eastAsia" w:ascii="宋体" w:hAnsi="宋体" w:eastAsia="宋体" w:cs="宋体"/>
          <w:color w:val="auto"/>
          <w:sz w:val="24"/>
          <w:szCs w:val="24"/>
          <w:highlight w:val="none"/>
        </w:rPr>
        <w:t>2．质疑</w:t>
      </w:r>
      <w:bookmarkEnd w:id="36"/>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认为采购文件、采购过程、成交结果使自己的权益受到损害的，可以在知道或应知其权益受到损害之日起7个工作日内以书面形式向采购人、采购代理机构提出。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（2）质疑方式：</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在线质疑：</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登录西安市公共资源交易平台〖首页〉电子交易平台〉企业端〗，在〖我的项目〗中点击“项目流程〉提出质疑”，填写表单并提交质疑。</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书面质疑：</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书面质疑函应按照财政部国库司制定的《政府采购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质疑函范本》（见下方链接）进行填写，签字、盖章后提交至采购人、采购代理机构。</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质疑函范本地址：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"http://download.ccgp.gov.cn/2018/zhiyihanfanben.zip"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http://download.ccgp.gov.cn/2018/zhiyihanfanben.zip</w:t>
      </w:r>
      <w:r>
        <w:rPr>
          <w:rStyle w:val="32"/>
          <w:rFonts w:hint="eastAsia" w:ascii="宋体" w:hAnsi="宋体" w:eastAsia="宋体" w:cs="宋体"/>
          <w:color w:val="auto"/>
          <w:sz w:val="24"/>
          <w:szCs w:val="24"/>
          <w:highlight w:val="none"/>
          <w:u w:val="none"/>
        </w:rPr>
        <w:fldChar w:fldCharType="end"/>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为自然人的，应当由本人签字；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为法人或者其他组织的，应当由法定代表人、主要负责人，或者其授权代表签字或者盖章，并加盖单位公章，公章不得以合同章或其他印章代替。</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委托代理人提出质疑的，应当同时提交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签署的授权委托书。</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（4）在法定质疑期内，针对同一采购程序环节的质疑应当一次性提出。采购人、采购代理机构将在收到书面质疑后7个工作日内做出答复，并以书面形式通知质疑人和其他有关</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（5）有下列情形之一的，属于无效质疑：</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对采购文件提出质疑的质疑人不是依法获取采购文件的潜在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；对采购过程、中标结果提出质疑的质疑人不是参与本次政府采购项目的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超过法定期限或未以书面形式提出的；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缺乏必要的证明材料，或捏造事实、提供虚假材料，或以非法手段取得证明材料的；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 质疑函没有合法有效的签字、盖章或委托授权书的（代理人提出质疑和投诉，应当提交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签署的授权委托书）；</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 针对同一采购程序环节又提出其他质疑事项的，或质疑答复后就同一事项再次提出质疑的；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 不符合法律、法规、规章和政府采购监管机构规定的其他条件的。</w:t>
      </w:r>
    </w:p>
    <w:p>
      <w:pPr>
        <w:pStyle w:val="92"/>
        <w:outlineLvl w:val="3"/>
        <w:rPr>
          <w:rFonts w:hint="eastAsia" w:ascii="宋体" w:hAnsi="宋体" w:eastAsia="宋体" w:cs="宋体"/>
          <w:color w:val="auto"/>
          <w:sz w:val="24"/>
          <w:szCs w:val="24"/>
          <w:highlight w:val="none"/>
        </w:rPr>
      </w:pPr>
      <w:bookmarkStart w:id="37" w:name="_Toc609"/>
      <w:r>
        <w:rPr>
          <w:rFonts w:hint="eastAsia" w:ascii="宋体" w:hAnsi="宋体" w:eastAsia="宋体" w:cs="宋体"/>
          <w:color w:val="auto"/>
          <w:sz w:val="24"/>
          <w:szCs w:val="24"/>
          <w:highlight w:val="none"/>
        </w:rPr>
        <w:t>3．投诉</w:t>
      </w:r>
      <w:bookmarkEnd w:id="37"/>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对采购人、采购代理机构的答复不满意，或者采购人、采购代理机构未在规定的时间内做出答复的，可以在答复期满后15个工作日内按照《政府采购质疑和投诉办法》（财政部94号令）相关规定向西安市</w:t>
      </w:r>
      <w:r>
        <w:rPr>
          <w:rFonts w:hint="eastAsia" w:ascii="宋体" w:hAnsi="宋体" w:eastAsia="宋体" w:cs="宋体"/>
          <w:color w:val="auto"/>
          <w:sz w:val="24"/>
          <w:szCs w:val="24"/>
          <w:highlight w:val="none"/>
          <w:lang w:eastAsia="zh-CN"/>
        </w:rPr>
        <w:t>鄠邑区</w:t>
      </w:r>
      <w:r>
        <w:rPr>
          <w:rFonts w:hint="eastAsia" w:ascii="宋体" w:hAnsi="宋体" w:eastAsia="宋体" w:cs="宋体"/>
          <w:color w:val="auto"/>
          <w:sz w:val="24"/>
          <w:szCs w:val="24"/>
          <w:highlight w:val="none"/>
        </w:rPr>
        <w:t>财政局提出投诉。</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投诉的事项不得超出已质疑事项的范围。</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提出投诉时，应当提交投诉书和必要的证明材料，并按财政部《投诉书范本》给定的格式进行填写。</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投诉书范本地址：</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"http://download.ccgp.gov.cn/2018/tousushufanben.zip"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rPr>
        <w:t>http://download.ccgp.gov.cn/2018/tousushufanben.zip</w:t>
      </w:r>
      <w:r>
        <w:rPr>
          <w:rStyle w:val="32"/>
          <w:rFonts w:hint="eastAsia" w:ascii="宋体" w:hAnsi="宋体" w:eastAsia="宋体" w:cs="宋体"/>
          <w:color w:val="auto"/>
          <w:sz w:val="24"/>
          <w:szCs w:val="24"/>
          <w:highlight w:val="none"/>
        </w:rPr>
        <w:fldChar w:fldCharType="end"/>
      </w:r>
    </w:p>
    <w:p>
      <w:pPr>
        <w:pStyle w:val="92"/>
        <w:outlineLvl w:val="3"/>
        <w:rPr>
          <w:rFonts w:hint="eastAsia" w:ascii="宋体" w:hAnsi="宋体" w:eastAsia="宋体" w:cs="宋体"/>
          <w:color w:val="auto"/>
          <w:sz w:val="24"/>
          <w:szCs w:val="24"/>
          <w:highlight w:val="none"/>
        </w:rPr>
      </w:pPr>
      <w:bookmarkStart w:id="38" w:name="_Toc21647"/>
      <w:r>
        <w:rPr>
          <w:rFonts w:hint="eastAsia" w:ascii="宋体" w:hAnsi="宋体" w:eastAsia="宋体" w:cs="宋体"/>
          <w:color w:val="auto"/>
          <w:sz w:val="24"/>
          <w:szCs w:val="24"/>
          <w:highlight w:val="none"/>
        </w:rPr>
        <w:t>4．恶意质疑、投诉的法律后果</w:t>
      </w:r>
      <w:bookmarkEnd w:id="3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（1）对捏造事实、提供虚假材料进行质疑、投诉的行为予以严肃处理：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（2）对捏造事实诬告陷害他人、诽谤他人的法律适用：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《中华人民共和国刑法》第246条【侮辱罪、诽谤罪】以暴力或者其他方法公然侮辱他人或者捏造事实诽谤他人，情节严重的，处三年以下有期徒刑、拘役、管制或者剥夺政治权利。</w:t>
      </w:r>
    </w:p>
    <w:p>
      <w:pPr>
        <w:pStyle w:val="93"/>
        <w:numPr>
          <w:ilvl w:val="0"/>
          <w:numId w:val="3"/>
        </w:numPr>
        <w:spacing w:before="210" w:after="210"/>
        <w:ind w:firstLine="640"/>
        <w:outlineLvl w:val="2"/>
        <w:rPr>
          <w:rFonts w:hint="eastAsia" w:ascii="宋体" w:hAnsi="宋体" w:eastAsia="宋体" w:cs="宋体"/>
          <w:color w:val="auto"/>
          <w:sz w:val="24"/>
          <w:szCs w:val="24"/>
          <w:highlight w:val="none"/>
        </w:rPr>
      </w:pPr>
      <w:bookmarkStart w:id="39" w:name="_Toc7297"/>
      <w:r>
        <w:rPr>
          <w:rFonts w:hint="eastAsia" w:ascii="宋体" w:hAnsi="宋体" w:eastAsia="宋体" w:cs="宋体"/>
          <w:color w:val="auto"/>
          <w:sz w:val="24"/>
          <w:szCs w:val="24"/>
          <w:highlight w:val="none"/>
        </w:rPr>
        <w:t>关于保证金</w:t>
      </w:r>
      <w:bookmarkEnd w:id="39"/>
    </w:p>
    <w:p>
      <w:pPr>
        <w:pStyle w:val="93"/>
        <w:spacing w:before="210" w:after="210"/>
        <w:ind w:firstLine="640"/>
        <w:outlineLvl w:val="2"/>
        <w:rPr>
          <w:rFonts w:hint="eastAsia" w:ascii="宋体" w:hAnsi="宋体" w:eastAsia="宋体" w:cs="宋体"/>
          <w:b w:val="0"/>
          <w:bCs w:val="0"/>
          <w:color w:val="auto"/>
          <w:sz w:val="24"/>
          <w:szCs w:val="24"/>
          <w:highlight w:val="none"/>
          <w:lang w:val="en-US" w:eastAsia="zh-CN"/>
        </w:rPr>
      </w:pPr>
      <w:bookmarkStart w:id="40" w:name="_Toc9936"/>
      <w:r>
        <w:rPr>
          <w:rFonts w:hint="eastAsia" w:ascii="宋体" w:hAnsi="宋体" w:eastAsia="宋体" w:cs="宋体"/>
          <w:b w:val="0"/>
          <w:bCs w:val="0"/>
          <w:color w:val="auto"/>
          <w:sz w:val="24"/>
          <w:szCs w:val="24"/>
          <w:highlight w:val="none"/>
          <w:lang w:val="en-US" w:eastAsia="zh-CN"/>
        </w:rPr>
        <w:t>本项目不收取保证金</w:t>
      </w:r>
    </w:p>
    <w:p>
      <w:pPr>
        <w:pStyle w:val="93"/>
        <w:spacing w:before="210" w:after="210"/>
        <w:ind w:firstLine="64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（四）关于联合体</w:t>
      </w:r>
      <w:bookmarkEnd w:id="40"/>
    </w:p>
    <w:p>
      <w:pPr>
        <w:spacing w:line="56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投标</w:t>
      </w:r>
    </w:p>
    <w:p>
      <w:pPr>
        <w:pStyle w:val="93"/>
        <w:spacing w:before="210" w:after="210"/>
        <w:ind w:firstLine="640"/>
        <w:outlineLvl w:val="2"/>
        <w:rPr>
          <w:rFonts w:hint="eastAsia" w:ascii="宋体" w:hAnsi="宋体" w:eastAsia="宋体" w:cs="宋体"/>
          <w:color w:val="auto"/>
          <w:sz w:val="24"/>
          <w:szCs w:val="24"/>
          <w:highlight w:val="none"/>
        </w:rPr>
      </w:pPr>
      <w:bookmarkStart w:id="41" w:name="_Toc18164"/>
      <w:r>
        <w:rPr>
          <w:rFonts w:hint="eastAsia" w:ascii="宋体" w:hAnsi="宋体" w:eastAsia="宋体" w:cs="宋体"/>
          <w:color w:val="auto"/>
          <w:sz w:val="24"/>
          <w:szCs w:val="24"/>
          <w:highlight w:val="none"/>
        </w:rPr>
        <w:t>（五）关于进口产品</w:t>
      </w:r>
      <w:bookmarkEnd w:id="41"/>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本项目不接受进口产品</w:t>
      </w:r>
      <w:r>
        <w:rPr>
          <w:rFonts w:hint="eastAsia" w:ascii="宋体" w:hAnsi="宋体" w:eastAsia="宋体" w:cs="宋体"/>
          <w:color w:val="auto"/>
          <w:sz w:val="24"/>
          <w:szCs w:val="24"/>
          <w:highlight w:val="none"/>
          <w:lang w:val="en-US" w:eastAsia="zh-CN"/>
        </w:rPr>
        <w:t>投标</w:t>
      </w:r>
    </w:p>
    <w:p>
      <w:pPr>
        <w:pStyle w:val="93"/>
        <w:spacing w:before="210" w:after="210"/>
        <w:ind w:firstLine="640"/>
        <w:outlineLvl w:val="2"/>
        <w:rPr>
          <w:rFonts w:hint="eastAsia" w:ascii="宋体" w:hAnsi="宋体" w:eastAsia="宋体" w:cs="宋体"/>
          <w:color w:val="auto"/>
          <w:sz w:val="24"/>
          <w:szCs w:val="24"/>
          <w:highlight w:val="none"/>
        </w:rPr>
      </w:pPr>
      <w:bookmarkStart w:id="42" w:name="_Toc28193"/>
      <w:r>
        <w:rPr>
          <w:rFonts w:hint="eastAsia" w:ascii="宋体" w:hAnsi="宋体" w:eastAsia="宋体" w:cs="宋体"/>
          <w:color w:val="auto"/>
          <w:sz w:val="24"/>
          <w:szCs w:val="24"/>
          <w:highlight w:val="none"/>
        </w:rPr>
        <w:t>（六）关于政府采购政策</w:t>
      </w:r>
      <w:bookmarkEnd w:id="42"/>
    </w:p>
    <w:p>
      <w:pPr>
        <w:pStyle w:val="92"/>
        <w:outlineLvl w:val="3"/>
        <w:rPr>
          <w:rFonts w:hint="eastAsia" w:ascii="宋体" w:hAnsi="宋体" w:eastAsia="宋体" w:cs="宋体"/>
          <w:color w:val="auto"/>
          <w:sz w:val="24"/>
          <w:szCs w:val="24"/>
          <w:highlight w:val="none"/>
        </w:rPr>
      </w:pPr>
      <w:bookmarkStart w:id="43" w:name="_Toc29567"/>
      <w:r>
        <w:rPr>
          <w:rFonts w:hint="eastAsia" w:ascii="宋体" w:hAnsi="宋体" w:eastAsia="宋体" w:cs="宋体"/>
          <w:color w:val="auto"/>
          <w:sz w:val="24"/>
          <w:szCs w:val="24"/>
          <w:highlight w:val="none"/>
        </w:rPr>
        <w:t>1．对中小企业、监狱企业、残疾人福利性单位的优惠政策</w:t>
      </w:r>
      <w:bookmarkEnd w:id="43"/>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%的扣除（实际价格扣除比例以本章《评审要素及分值一览表》中的具体规定为准），用扣除后的价格参加评审。同时，依据该办法第四条第二款规定在货物采购项目中，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提供的货物既有中小企业制造货物，也有大型企业制造货物的，不享受中小企业扶持政策。</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（2）根据财政部、司法部联合下发的《关于政府采购支持监狱企业发展有关问题的通知》（财库〔2014〕68号）的规定，监狱企业视同小型、微型企业。</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92"/>
        <w:outlineLvl w:val="3"/>
        <w:rPr>
          <w:rFonts w:hint="eastAsia" w:ascii="宋体" w:hAnsi="宋体" w:eastAsia="宋体" w:cs="宋体"/>
          <w:color w:val="auto"/>
          <w:sz w:val="24"/>
          <w:szCs w:val="24"/>
          <w:highlight w:val="none"/>
        </w:rPr>
      </w:pPr>
      <w:bookmarkStart w:id="44" w:name="_Toc32162"/>
      <w:r>
        <w:rPr>
          <w:rFonts w:hint="eastAsia" w:ascii="宋体" w:hAnsi="宋体" w:eastAsia="宋体" w:cs="宋体"/>
          <w:color w:val="auto"/>
          <w:sz w:val="24"/>
          <w:szCs w:val="24"/>
          <w:highlight w:val="none"/>
        </w:rPr>
        <w:t>2．节能、环保产品采购政策</w:t>
      </w:r>
      <w:bookmarkEnd w:id="44"/>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（3）《节能产品政府采购品目清单》见财政部、发展改革委《关于印发节能产品政府采购品目清单的通知》（财库〔2019〕19号）附件。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（4）《环境标志产品政府采购品目清单》见财政部、生态环境部《关于印发环境标志产品政府采购品目清单的通知》（财库〔2019〕18号）附件。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（5）“国家确定的认证机构”名单见市场监管总局《关于发布参与实施政府采购节能产品、环境标志产品认证机构名录的公告》（2019年第16号）。</w:t>
      </w:r>
    </w:p>
    <w:p>
      <w:pPr>
        <w:pStyle w:val="92"/>
        <w:outlineLvl w:val="3"/>
        <w:rPr>
          <w:rFonts w:hint="eastAsia" w:ascii="宋体" w:hAnsi="宋体" w:eastAsia="宋体" w:cs="宋体"/>
          <w:color w:val="auto"/>
          <w:sz w:val="24"/>
          <w:szCs w:val="24"/>
          <w:highlight w:val="none"/>
        </w:rPr>
      </w:pPr>
      <w:bookmarkStart w:id="45" w:name="_Toc12208"/>
      <w:r>
        <w:rPr>
          <w:rFonts w:hint="eastAsia" w:ascii="宋体" w:hAnsi="宋体" w:eastAsia="宋体" w:cs="宋体"/>
          <w:color w:val="auto"/>
          <w:sz w:val="24"/>
          <w:szCs w:val="24"/>
          <w:highlight w:val="none"/>
        </w:rPr>
        <w:t>3．陕西省中小企业政府采购信用融资办法</w:t>
      </w:r>
      <w:bookmarkEnd w:id="45"/>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链接地址：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"http://www.ccgp-shaanxi.gov.cn/zcdservice/zcd/shanxi/article/zcdt/1390497710741917696"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http://www.ccgp-shaanxi.gov.cn/zcdservice/zcd/shanxi/article/zcdt/1390497710741917696</w:t>
      </w:r>
      <w:r>
        <w:rPr>
          <w:rStyle w:val="32"/>
          <w:rFonts w:hint="eastAsia" w:ascii="宋体" w:hAnsi="宋体" w:eastAsia="宋体" w:cs="宋体"/>
          <w:color w:val="auto"/>
          <w:sz w:val="24"/>
          <w:szCs w:val="24"/>
          <w:highlight w:val="none"/>
          <w:u w:val="none"/>
        </w:rPr>
        <w:fldChar w:fldCharType="end"/>
      </w:r>
    </w:p>
    <w:p>
      <w:pPr>
        <w:pStyle w:val="93"/>
        <w:spacing w:before="210" w:after="210"/>
        <w:ind w:firstLine="640"/>
        <w:outlineLvl w:val="2"/>
        <w:rPr>
          <w:rFonts w:hint="eastAsia" w:ascii="宋体" w:hAnsi="宋体" w:eastAsia="宋体" w:cs="宋体"/>
          <w:color w:val="auto"/>
          <w:sz w:val="24"/>
          <w:szCs w:val="24"/>
          <w:highlight w:val="none"/>
        </w:rPr>
      </w:pPr>
      <w:bookmarkStart w:id="46" w:name="_Toc2708"/>
      <w:r>
        <w:rPr>
          <w:rFonts w:hint="eastAsia" w:ascii="宋体" w:hAnsi="宋体" w:eastAsia="宋体" w:cs="宋体"/>
          <w:color w:val="auto"/>
          <w:sz w:val="24"/>
          <w:szCs w:val="24"/>
          <w:highlight w:val="none"/>
        </w:rPr>
        <w:t>（七）关于现场踏勘和集中答疑</w:t>
      </w:r>
      <w:bookmarkEnd w:id="46"/>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color w:val="auto"/>
          <w:sz w:val="24"/>
          <w:highlight w:val="none"/>
        </w:rPr>
        <w:t>不组织。</w:t>
      </w:r>
    </w:p>
    <w:p>
      <w:pPr>
        <w:pStyle w:val="93"/>
        <w:spacing w:before="210" w:after="210"/>
        <w:ind w:firstLine="640"/>
        <w:outlineLvl w:val="2"/>
        <w:rPr>
          <w:rFonts w:hint="eastAsia" w:ascii="宋体" w:hAnsi="宋体" w:eastAsia="宋体" w:cs="宋体"/>
          <w:color w:val="auto"/>
          <w:sz w:val="24"/>
          <w:szCs w:val="24"/>
          <w:highlight w:val="none"/>
        </w:rPr>
      </w:pPr>
      <w:bookmarkStart w:id="47" w:name="_Toc16237"/>
      <w:r>
        <w:rPr>
          <w:rFonts w:hint="eastAsia" w:ascii="宋体" w:hAnsi="宋体" w:eastAsia="宋体" w:cs="宋体"/>
          <w:color w:val="auto"/>
          <w:sz w:val="24"/>
          <w:szCs w:val="24"/>
          <w:highlight w:val="none"/>
        </w:rPr>
        <w:t>（八）关于同一品牌产品的处理</w:t>
      </w:r>
      <w:bookmarkEnd w:id="47"/>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使用综合评分法的采购项目，提供相同品牌产品且通过资格审查、符合性审查的不同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参加同一合同项下投标的，按一家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计算，评审后得分最高的同品牌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获得</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推荐资格；评审得分相同的，由采购人或者采购人委托评审委员会按照采购文件规定的方式确定一个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获得</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推荐资格，采购文件未规定的采取随机抽取方式确定，其他同品牌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不作为中标候选人。</w:t>
      </w:r>
    </w:p>
    <w:p>
      <w:pPr>
        <w:pStyle w:val="93"/>
        <w:spacing w:before="210" w:after="210"/>
        <w:ind w:firstLine="640"/>
        <w:outlineLvl w:val="2"/>
        <w:rPr>
          <w:rFonts w:hint="eastAsia" w:ascii="宋体" w:hAnsi="宋体" w:eastAsia="宋体" w:cs="宋体"/>
          <w:color w:val="auto"/>
          <w:sz w:val="24"/>
          <w:szCs w:val="24"/>
          <w:highlight w:val="none"/>
        </w:rPr>
      </w:pPr>
      <w:bookmarkStart w:id="48" w:name="_Toc17987"/>
      <w:r>
        <w:rPr>
          <w:rFonts w:hint="eastAsia" w:ascii="宋体" w:hAnsi="宋体" w:eastAsia="宋体" w:cs="宋体"/>
          <w:color w:val="auto"/>
          <w:sz w:val="24"/>
          <w:szCs w:val="24"/>
          <w:highlight w:val="none"/>
        </w:rPr>
        <w:t>（九）关于知识产权和保密事项</w:t>
      </w:r>
      <w:bookmarkEnd w:id="4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1．所有涉及知识产权的产品及设计，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必须确保委托人、采购人拥有其合法的、不受限制的无偿使用权，并免受任何侵权诉讼或索偿；否则，由此产生的一切经济损失和法律责任由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承担。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2．由采购人向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提供的用户需求书、图纸、样品、模型、模件和所有资料，</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获得后，应对其保密。除非采购人同意，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不得向第三方透露或将其用于本次投 标以外的任何用途。开标后，若采购人有要求，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人须归还采购人认为需保密的文件和资料，并销毁所有相应的备份文件及资料。</w:t>
      </w:r>
    </w:p>
    <w:p>
      <w:pPr>
        <w:pStyle w:val="93"/>
        <w:spacing w:before="210" w:after="210"/>
        <w:ind w:firstLine="640"/>
        <w:outlineLvl w:val="2"/>
        <w:rPr>
          <w:rFonts w:hint="eastAsia" w:ascii="宋体" w:hAnsi="宋体" w:eastAsia="宋体" w:cs="宋体"/>
          <w:color w:val="auto"/>
          <w:sz w:val="24"/>
          <w:szCs w:val="24"/>
          <w:highlight w:val="none"/>
        </w:rPr>
      </w:pPr>
      <w:bookmarkStart w:id="49" w:name="_Toc8141"/>
      <w:r>
        <w:rPr>
          <w:rFonts w:hint="eastAsia" w:ascii="宋体" w:hAnsi="宋体" w:eastAsia="宋体" w:cs="宋体"/>
          <w:color w:val="auto"/>
          <w:sz w:val="24"/>
          <w:szCs w:val="24"/>
          <w:highlight w:val="none"/>
        </w:rPr>
        <w:t>（十）关于信用记录的查询和使用</w:t>
      </w:r>
      <w:bookmarkEnd w:id="49"/>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1．根据财政部《关于在政府采购活动中查询及使用信用记录有关问题的通知》（财库〔2016〕125号）第二条有关要求，采购人将在资格审查阶段通过【信用中国】（</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"https://www.creditchina.gov.cn"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https://www.creditchina.gov.cn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/）和【中国政府采购网】（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http://www.ccgp.gov.cn/）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的信用情况进行甄别。</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，将拒绝其参与政府采购活动。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在参加政府采购活动前3年内因违法经营被禁止在一定期限内参加政府采购活动，期限届满的，可以参加政府采购活动的，但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应提供相关证明材料。</w:t>
      </w:r>
    </w:p>
    <w:p>
      <w:pPr>
        <w:spacing w:line="56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4．信用记录查询结果打印后，将与其他采购文件一并保存。如相关失信记录已失效，需提供相关证明资料</w:t>
      </w:r>
      <w:r>
        <w:rPr>
          <w:rFonts w:hint="eastAsia" w:ascii="宋体" w:hAnsi="宋体" w:eastAsia="宋体" w:cs="宋体"/>
          <w:color w:val="auto"/>
          <w:sz w:val="24"/>
          <w:szCs w:val="24"/>
          <w:highlight w:val="none"/>
          <w:lang w:eastAsia="zh-CN"/>
        </w:rPr>
        <w:t>。</w:t>
      </w:r>
    </w:p>
    <w:p>
      <w:pPr>
        <w:pStyle w:val="93"/>
        <w:spacing w:before="210" w:after="210"/>
        <w:ind w:firstLine="640"/>
        <w:outlineLvl w:val="2"/>
        <w:rPr>
          <w:rFonts w:hint="eastAsia" w:ascii="宋体" w:hAnsi="宋体" w:eastAsia="宋体" w:cs="宋体"/>
          <w:color w:val="auto"/>
          <w:sz w:val="24"/>
          <w:szCs w:val="24"/>
          <w:highlight w:val="none"/>
        </w:rPr>
      </w:pPr>
      <w:bookmarkStart w:id="50" w:name="_Toc28286"/>
      <w:r>
        <w:rPr>
          <w:rFonts w:hint="eastAsia" w:ascii="宋体" w:hAnsi="宋体" w:eastAsia="宋体" w:cs="宋体"/>
          <w:color w:val="auto"/>
          <w:sz w:val="24"/>
          <w:szCs w:val="24"/>
          <w:highlight w:val="none"/>
        </w:rPr>
        <w:t>（十一）其他重要事项</w:t>
      </w:r>
      <w:bookmarkEnd w:id="50"/>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1．招标文件内所附网络链接仅供参考，不保证其长期有效性。</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的投标费用自理。</w:t>
      </w:r>
    </w:p>
    <w:p>
      <w:pPr>
        <w:pStyle w:val="4"/>
        <w:rPr>
          <w:rFonts w:hint="eastAsia" w:ascii="宋体" w:hAnsi="宋体" w:eastAsia="宋体" w:cs="宋体"/>
          <w:color w:val="auto"/>
          <w:sz w:val="24"/>
          <w:szCs w:val="24"/>
          <w:highlight w:val="none"/>
        </w:rPr>
      </w:pPr>
      <w:bookmarkStart w:id="51" w:name="_Toc16427"/>
      <w:r>
        <w:rPr>
          <w:rFonts w:hint="eastAsia" w:ascii="宋体" w:hAnsi="宋体" w:eastAsia="宋体" w:cs="宋体"/>
          <w:color w:val="auto"/>
          <w:sz w:val="24"/>
          <w:szCs w:val="24"/>
          <w:highlight w:val="none"/>
        </w:rPr>
        <w:t>三、招标文件</w:t>
      </w:r>
      <w:bookmarkEnd w:id="51"/>
    </w:p>
    <w:p>
      <w:pPr>
        <w:pStyle w:val="93"/>
        <w:spacing w:before="210" w:after="210"/>
        <w:ind w:firstLine="640"/>
        <w:outlineLvl w:val="2"/>
        <w:rPr>
          <w:rFonts w:hint="eastAsia" w:ascii="宋体" w:hAnsi="宋体" w:eastAsia="宋体" w:cs="宋体"/>
          <w:color w:val="auto"/>
          <w:sz w:val="24"/>
          <w:szCs w:val="24"/>
          <w:highlight w:val="none"/>
        </w:rPr>
      </w:pPr>
      <w:bookmarkStart w:id="52" w:name="_Toc25303"/>
      <w:r>
        <w:rPr>
          <w:rFonts w:hint="eastAsia" w:ascii="宋体" w:hAnsi="宋体" w:eastAsia="宋体" w:cs="宋体"/>
          <w:color w:val="auto"/>
          <w:sz w:val="24"/>
          <w:szCs w:val="24"/>
          <w:highlight w:val="none"/>
        </w:rPr>
        <w:t>（一）招标文件的解释权</w:t>
      </w:r>
      <w:bookmarkEnd w:id="52"/>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本项目招标文件的解释权归采购代理机构，评标委员会成员应根据政府采购法律法规和招标文件所载明的评审方法、标准进行评审。</w:t>
      </w:r>
    </w:p>
    <w:p>
      <w:pPr>
        <w:pStyle w:val="93"/>
        <w:spacing w:before="210" w:after="210"/>
        <w:ind w:firstLine="640"/>
        <w:outlineLvl w:val="2"/>
        <w:rPr>
          <w:rFonts w:hint="eastAsia" w:ascii="宋体" w:hAnsi="宋体" w:eastAsia="宋体" w:cs="宋体"/>
          <w:color w:val="auto"/>
          <w:sz w:val="24"/>
          <w:szCs w:val="24"/>
          <w:highlight w:val="none"/>
        </w:rPr>
      </w:pPr>
      <w:bookmarkStart w:id="53" w:name="_Toc236"/>
      <w:r>
        <w:rPr>
          <w:rFonts w:hint="eastAsia" w:ascii="宋体" w:hAnsi="宋体" w:eastAsia="宋体" w:cs="宋体"/>
          <w:color w:val="auto"/>
          <w:sz w:val="24"/>
          <w:szCs w:val="24"/>
          <w:highlight w:val="none"/>
        </w:rPr>
        <w:t>（二）招标文件主要内容</w:t>
      </w:r>
      <w:bookmarkEnd w:id="53"/>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第1章  投标邀请函</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第2章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第3章  招标内容及要求</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第4章  合同文本</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第5章  投标文件构成及格式</w:t>
      </w:r>
    </w:p>
    <w:p>
      <w:pPr>
        <w:pStyle w:val="93"/>
        <w:spacing w:before="210" w:after="210"/>
        <w:ind w:firstLine="640"/>
        <w:outlineLvl w:val="2"/>
        <w:rPr>
          <w:rFonts w:hint="eastAsia" w:ascii="宋体" w:hAnsi="宋体" w:eastAsia="宋体" w:cs="宋体"/>
          <w:color w:val="auto"/>
          <w:sz w:val="24"/>
          <w:szCs w:val="24"/>
          <w:highlight w:val="none"/>
        </w:rPr>
      </w:pPr>
      <w:bookmarkStart w:id="54" w:name="_Toc27851"/>
      <w:r>
        <w:rPr>
          <w:rFonts w:hint="eastAsia" w:ascii="宋体" w:hAnsi="宋体" w:eastAsia="宋体" w:cs="宋体"/>
          <w:color w:val="auto"/>
          <w:sz w:val="24"/>
          <w:szCs w:val="24"/>
          <w:highlight w:val="none"/>
        </w:rPr>
        <w:t>（三）招标文件的检查及阅读</w:t>
      </w:r>
      <w:bookmarkEnd w:id="54"/>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应认真阅读和充分理解招标文件中所有的事项、格式条款和规范要求，在投标文件中对招标文件做出全面响应，并按招标文件的要求提交全部资料。</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项目废标后重新组织招标的，采购代理机构将重新编制、发布新版招标文件，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应按新版招标文件重新编制投标文件。原招标文件及投标文件失效。</w:t>
      </w:r>
    </w:p>
    <w:p>
      <w:pPr>
        <w:pStyle w:val="93"/>
        <w:spacing w:before="210" w:after="210"/>
        <w:ind w:firstLine="640"/>
        <w:outlineLvl w:val="2"/>
        <w:rPr>
          <w:rFonts w:hint="eastAsia" w:ascii="宋体" w:hAnsi="宋体" w:eastAsia="宋体" w:cs="宋体"/>
          <w:color w:val="auto"/>
          <w:sz w:val="24"/>
          <w:szCs w:val="24"/>
          <w:highlight w:val="none"/>
        </w:rPr>
      </w:pPr>
      <w:bookmarkStart w:id="55" w:name="_Toc3462"/>
      <w:r>
        <w:rPr>
          <w:rFonts w:hint="eastAsia" w:ascii="宋体" w:hAnsi="宋体" w:eastAsia="宋体" w:cs="宋体"/>
          <w:color w:val="auto"/>
          <w:sz w:val="24"/>
          <w:szCs w:val="24"/>
          <w:highlight w:val="none"/>
        </w:rPr>
        <w:t>（四）招标文件的修改、澄清</w:t>
      </w:r>
      <w:bookmarkEnd w:id="55"/>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1．提交投标文件截止之日前，采购人或采购代理机构可能对已发出的招标文件进行澄清或者修改，澄清或者修改的内容为招标文件的组成部分。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3．澄清或修改的内容可能影响投标文件编制时，采购代理机构将在发布变更公告的同时，提醒</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下载答疑文件（*.SXSCF，即更新后的电子招标文件）。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4．请各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在提交投标文件截止时间之前，务必随时关注“政府采购信息发布媒体”上发布的变更公告，采购代理机构不再另行通知，因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未及时关注所造成的一切后果由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陕西省政府采购网</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http://www.ccgp-shaanxi.gov.cn/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）中的〖首页〉信息公告〉市级〉西安市〗；</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"http://xa.sxggzyjy.cn/"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全国公共资源交易网（陕西省西安市）</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"http://sxggzyjy.xa.gov.cn/"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http://sxggzyjy.xa.gov.cn/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）中的〖首页〉交易大厅〉政府采购〗。</w:t>
      </w:r>
    </w:p>
    <w:p>
      <w:pPr>
        <w:pStyle w:val="4"/>
        <w:rPr>
          <w:rFonts w:hint="eastAsia" w:ascii="宋体" w:hAnsi="宋体" w:eastAsia="宋体" w:cs="宋体"/>
          <w:color w:val="auto"/>
          <w:sz w:val="24"/>
          <w:szCs w:val="24"/>
          <w:highlight w:val="none"/>
        </w:rPr>
      </w:pPr>
      <w:bookmarkStart w:id="56" w:name="_Toc6721"/>
      <w:r>
        <w:rPr>
          <w:rFonts w:hint="eastAsia" w:ascii="宋体" w:hAnsi="宋体" w:eastAsia="宋体" w:cs="宋体"/>
          <w:color w:val="auto"/>
          <w:sz w:val="24"/>
          <w:szCs w:val="24"/>
          <w:highlight w:val="none"/>
        </w:rPr>
        <w:t>四、投标文件</w:t>
      </w:r>
      <w:bookmarkEnd w:id="56"/>
    </w:p>
    <w:p>
      <w:pPr>
        <w:pStyle w:val="93"/>
        <w:spacing w:before="210" w:after="210"/>
        <w:ind w:firstLine="640"/>
        <w:outlineLvl w:val="2"/>
        <w:rPr>
          <w:rFonts w:hint="eastAsia" w:ascii="宋体" w:hAnsi="宋体" w:eastAsia="宋体" w:cs="宋体"/>
          <w:color w:val="auto"/>
          <w:sz w:val="24"/>
          <w:szCs w:val="24"/>
          <w:highlight w:val="none"/>
        </w:rPr>
      </w:pPr>
      <w:bookmarkStart w:id="57" w:name="_Toc4984"/>
      <w:r>
        <w:rPr>
          <w:rFonts w:hint="eastAsia" w:ascii="宋体" w:hAnsi="宋体" w:eastAsia="宋体" w:cs="宋体"/>
          <w:color w:val="auto"/>
          <w:sz w:val="24"/>
          <w:szCs w:val="24"/>
          <w:highlight w:val="none"/>
        </w:rPr>
        <w:t>（一）投标文件的式样</w:t>
      </w:r>
      <w:bookmarkEnd w:id="57"/>
    </w:p>
    <w:p>
      <w:pPr>
        <w:pStyle w:val="92"/>
        <w:outlineLvl w:val="3"/>
        <w:rPr>
          <w:rFonts w:hint="eastAsia" w:ascii="宋体" w:hAnsi="宋体" w:eastAsia="宋体" w:cs="宋体"/>
          <w:color w:val="auto"/>
          <w:sz w:val="24"/>
          <w:szCs w:val="24"/>
          <w:highlight w:val="none"/>
        </w:rPr>
      </w:pPr>
      <w:bookmarkStart w:id="58" w:name="_Toc17676"/>
      <w:r>
        <w:rPr>
          <w:rFonts w:hint="eastAsia" w:ascii="宋体" w:hAnsi="宋体" w:eastAsia="宋体" w:cs="宋体"/>
          <w:color w:val="auto"/>
          <w:sz w:val="24"/>
          <w:szCs w:val="24"/>
          <w:highlight w:val="none"/>
        </w:rPr>
        <w:t>1．组成及格式</w:t>
      </w:r>
      <w:bookmarkEnd w:id="5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依照招标文件第五章《投标文件构成及格式》给定形式进行编制投标文件。项目分标段的，应按所投标段分别准备投标文件。</w:t>
      </w:r>
    </w:p>
    <w:p>
      <w:pPr>
        <w:pStyle w:val="92"/>
        <w:outlineLvl w:val="3"/>
        <w:rPr>
          <w:rFonts w:hint="eastAsia" w:ascii="宋体" w:hAnsi="宋体" w:eastAsia="宋体" w:cs="宋体"/>
          <w:color w:val="auto"/>
          <w:sz w:val="24"/>
          <w:szCs w:val="24"/>
          <w:highlight w:val="none"/>
        </w:rPr>
      </w:pPr>
      <w:bookmarkStart w:id="59" w:name="_Toc9818"/>
      <w:r>
        <w:rPr>
          <w:rFonts w:hint="eastAsia" w:ascii="宋体" w:hAnsi="宋体" w:eastAsia="宋体" w:cs="宋体"/>
          <w:color w:val="auto"/>
          <w:sz w:val="24"/>
          <w:szCs w:val="24"/>
          <w:highlight w:val="none"/>
        </w:rPr>
        <w:t>2．语言</w:t>
      </w:r>
      <w:bookmarkEnd w:id="59"/>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招标活动的所有文件、资料、函电文字均使用简体中文，确需提交用其他语言形成的资料，必须翻译成简体中文，如有差异，以简体中文为准。</w:t>
      </w:r>
    </w:p>
    <w:p>
      <w:pPr>
        <w:pStyle w:val="92"/>
        <w:outlineLvl w:val="3"/>
        <w:rPr>
          <w:rFonts w:hint="eastAsia" w:ascii="宋体" w:hAnsi="宋体" w:eastAsia="宋体" w:cs="宋体"/>
          <w:color w:val="auto"/>
          <w:sz w:val="24"/>
          <w:szCs w:val="24"/>
          <w:highlight w:val="none"/>
        </w:rPr>
      </w:pPr>
      <w:bookmarkStart w:id="60" w:name="_Toc30532"/>
      <w:r>
        <w:rPr>
          <w:rFonts w:hint="eastAsia" w:ascii="宋体" w:hAnsi="宋体" w:eastAsia="宋体" w:cs="宋体"/>
          <w:color w:val="auto"/>
          <w:sz w:val="24"/>
          <w:szCs w:val="24"/>
          <w:highlight w:val="none"/>
        </w:rPr>
        <w:t>3．计量单位</w:t>
      </w:r>
      <w:bookmarkEnd w:id="60"/>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投标文件的计量单位应使用中华人民共和国法定计量单位，但招标文件另有规定的除外。</w:t>
      </w:r>
    </w:p>
    <w:p>
      <w:pPr>
        <w:pStyle w:val="93"/>
        <w:spacing w:before="210" w:after="210"/>
        <w:ind w:firstLine="640"/>
        <w:outlineLvl w:val="2"/>
        <w:rPr>
          <w:rFonts w:hint="eastAsia" w:ascii="宋体" w:hAnsi="宋体" w:eastAsia="宋体" w:cs="宋体"/>
          <w:color w:val="auto"/>
          <w:sz w:val="24"/>
          <w:szCs w:val="24"/>
          <w:highlight w:val="none"/>
        </w:rPr>
      </w:pPr>
      <w:bookmarkStart w:id="61" w:name="_Toc24886"/>
      <w:r>
        <w:rPr>
          <w:rFonts w:hint="eastAsia" w:ascii="宋体" w:hAnsi="宋体" w:eastAsia="宋体" w:cs="宋体"/>
          <w:color w:val="auto"/>
          <w:sz w:val="24"/>
          <w:szCs w:val="24"/>
          <w:highlight w:val="none"/>
        </w:rPr>
        <w:t>（二）投标文件的有效期</w:t>
      </w:r>
      <w:bookmarkEnd w:id="61"/>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投标文件有效期为自开标之日起不少于90个日历日。如中标，延长至合同执行完毕时止。</w:t>
      </w:r>
    </w:p>
    <w:p>
      <w:pPr>
        <w:pStyle w:val="93"/>
        <w:spacing w:before="210" w:after="210"/>
        <w:ind w:firstLine="640"/>
        <w:outlineLvl w:val="2"/>
        <w:rPr>
          <w:rFonts w:hint="eastAsia" w:ascii="宋体" w:hAnsi="宋体" w:eastAsia="宋体" w:cs="宋体"/>
          <w:color w:val="auto"/>
          <w:sz w:val="24"/>
          <w:szCs w:val="24"/>
          <w:highlight w:val="none"/>
        </w:rPr>
      </w:pPr>
      <w:bookmarkStart w:id="62" w:name="_Toc7102"/>
      <w:r>
        <w:rPr>
          <w:rFonts w:hint="eastAsia" w:ascii="宋体" w:hAnsi="宋体" w:eastAsia="宋体" w:cs="宋体"/>
          <w:color w:val="auto"/>
          <w:sz w:val="24"/>
          <w:szCs w:val="24"/>
          <w:highlight w:val="none"/>
        </w:rPr>
        <w:t>（三）投标报价</w:t>
      </w:r>
      <w:bookmarkEnd w:id="62"/>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响应采购项目要求的全部工作内容的价格体现，包括完成采购内容所需的直接费、间接费、利润、税金及其它相关的一切费用。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在报价时应充分考虑所有可能发生的费用，招标文件未列明，而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认为应当计取的费用均应列入报价中。报价时不论是否计取，采购人均按已计取对待。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3．投标报价货币：人民币；单位：元。</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4．投标文件报价出现前后不一致的，除招标文件另有规定外，按照下列规则修正：</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（1）投标文件中开标一览表内容与投标文件中其他位置相应内容表述不一致的，以开标一览表为准；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不确认的，其投标无效。</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对招标文件理解不透、误解、疏漏或对市场行情了解不清造成的后果和风险，均由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自己负责。</w:t>
      </w:r>
    </w:p>
    <w:p>
      <w:pPr>
        <w:pStyle w:val="93"/>
        <w:spacing w:before="210" w:after="210"/>
        <w:ind w:firstLine="640"/>
        <w:outlineLvl w:val="2"/>
        <w:rPr>
          <w:rFonts w:hint="eastAsia" w:ascii="宋体" w:hAnsi="宋体" w:eastAsia="宋体" w:cs="宋体"/>
          <w:color w:val="auto"/>
          <w:sz w:val="24"/>
          <w:szCs w:val="24"/>
          <w:highlight w:val="none"/>
        </w:rPr>
      </w:pPr>
      <w:bookmarkStart w:id="63" w:name="_Toc6077"/>
      <w:r>
        <w:rPr>
          <w:rFonts w:hint="eastAsia" w:ascii="宋体" w:hAnsi="宋体" w:eastAsia="宋体" w:cs="宋体"/>
          <w:color w:val="auto"/>
          <w:sz w:val="24"/>
          <w:szCs w:val="24"/>
          <w:highlight w:val="none"/>
        </w:rPr>
        <w:t>（四）投标文件的制作和签章</w:t>
      </w:r>
      <w:bookmarkEnd w:id="63"/>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链接地址：</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"http://sxggzyjy.xa.gov.cn/fwzn/004003/20181115/4d59c184-e8f6-4d5a-a416-c2f6b0601e66.html"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rPr>
        <w:t>http://sxggzyjy.xa.gov.cn/fwzn/004003/20181115/4d59c184-e8f6-4d5a-a416-c2f6b0601e66.html</w:t>
      </w:r>
      <w:r>
        <w:rPr>
          <w:rStyle w:val="32"/>
          <w:rFonts w:hint="eastAsia" w:ascii="宋体" w:hAnsi="宋体" w:eastAsia="宋体" w:cs="宋体"/>
          <w:color w:val="auto"/>
          <w:sz w:val="24"/>
          <w:szCs w:val="24"/>
          <w:highlight w:val="none"/>
        </w:rPr>
        <w:fldChar w:fldCharType="end"/>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再次提醒：提交投标文件截止时间前，</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应随时留意“政府采购信息发布媒体”上可能发布的变更公告。若变更公告中明确注明本项目伴有变更文件的，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应登录企业端后，从〖项目流程〉项目管理〉答疑文件下载〗获取更新后的电子招标文件（*.SXSCF），使用旧版电子招标文件制作的电子投标文件（*.SXSTF），系统将拒绝接收。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3．电子投标文件制作过程中，需要法定代表人签字或盖章的地方，请使用“法人CA锁”进行签章；需要加盖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公章的地方，请使用“企业CA锁”进行签章。</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93"/>
        <w:spacing w:before="210" w:after="210"/>
        <w:ind w:firstLine="640"/>
        <w:outlineLvl w:val="2"/>
        <w:rPr>
          <w:rFonts w:hint="eastAsia" w:ascii="宋体" w:hAnsi="宋体" w:eastAsia="宋体" w:cs="宋体"/>
          <w:color w:val="auto"/>
          <w:sz w:val="24"/>
          <w:szCs w:val="24"/>
          <w:highlight w:val="none"/>
        </w:rPr>
      </w:pPr>
      <w:bookmarkStart w:id="64" w:name="_Toc8936"/>
      <w:r>
        <w:rPr>
          <w:rFonts w:hint="eastAsia" w:ascii="宋体" w:hAnsi="宋体" w:eastAsia="宋体" w:cs="宋体"/>
          <w:color w:val="auto"/>
          <w:sz w:val="24"/>
          <w:szCs w:val="24"/>
          <w:highlight w:val="none"/>
        </w:rPr>
        <w:t>（五）投标文件的加密和提交</w:t>
      </w:r>
      <w:bookmarkEnd w:id="64"/>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1．在生成电子投标文件时，需要使用CA锁对投标文件进行加密。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注意：加密投标文件和开标时解密投标文件应当使用同一CA，否则将会导致解密失败。</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3．上传文件有误或需要重新提交的，可先撤销已经上传的文件，然后重新上传新文件。</w:t>
      </w:r>
    </w:p>
    <w:p>
      <w:pPr>
        <w:pStyle w:val="93"/>
        <w:spacing w:before="210" w:after="210"/>
        <w:ind w:firstLine="640"/>
        <w:outlineLvl w:val="2"/>
        <w:rPr>
          <w:rFonts w:hint="eastAsia" w:ascii="宋体" w:hAnsi="宋体" w:eastAsia="宋体" w:cs="宋体"/>
          <w:color w:val="auto"/>
          <w:sz w:val="24"/>
          <w:szCs w:val="24"/>
          <w:highlight w:val="none"/>
        </w:rPr>
      </w:pPr>
      <w:bookmarkStart w:id="65" w:name="_Toc15901"/>
      <w:r>
        <w:rPr>
          <w:rFonts w:hint="eastAsia" w:ascii="宋体" w:hAnsi="宋体" w:eastAsia="宋体" w:cs="宋体"/>
          <w:color w:val="auto"/>
          <w:sz w:val="24"/>
          <w:szCs w:val="24"/>
          <w:highlight w:val="none"/>
        </w:rPr>
        <w:t>（六）投标文件的补充、修改和撤回</w:t>
      </w:r>
      <w:bookmarkEnd w:id="65"/>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在提交投标文件截止时间后，撤回投标文件的，投标保证金不予退还。</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93"/>
        <w:spacing w:before="210" w:after="210"/>
        <w:ind w:firstLine="640"/>
        <w:outlineLvl w:val="2"/>
        <w:rPr>
          <w:rFonts w:hint="eastAsia" w:ascii="宋体" w:hAnsi="宋体" w:eastAsia="宋体" w:cs="宋体"/>
          <w:color w:val="auto"/>
          <w:sz w:val="24"/>
          <w:szCs w:val="24"/>
          <w:highlight w:val="none"/>
        </w:rPr>
      </w:pPr>
      <w:bookmarkStart w:id="66" w:name="_Toc18383"/>
      <w:r>
        <w:rPr>
          <w:rFonts w:hint="eastAsia" w:ascii="宋体" w:hAnsi="宋体" w:eastAsia="宋体" w:cs="宋体"/>
          <w:color w:val="auto"/>
          <w:sz w:val="24"/>
          <w:szCs w:val="24"/>
          <w:highlight w:val="none"/>
        </w:rPr>
        <w:t>（七）关于投标文件的雷同性分析</w:t>
      </w:r>
      <w:bookmarkEnd w:id="66"/>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根据陕西省公共资源交易中心2021年7月22日印发的《关于在政府采购交易系统中开通标书雷同性分析功能的通知》，在符合性审查环节，将由评标委员会在评标系统中对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的电子投标文件进行雷同性分析。</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若“文件制作机器码”一致，则表明不同</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的电子投标文件出自同一台制作设备，根据《陕西省财政厅关于政府采购有关政策的复函》（陕财办采函〔2019〕18号），该情形可以视为</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串通投标，其投标无效。</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若“文件创建标识码”一致，则表示不同</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使用投标文件制作软件时，使用同一源工程文件，该情形建议由评标委员会结合项目情况综合判定。</w:t>
      </w:r>
    </w:p>
    <w:p>
      <w:pPr>
        <w:pStyle w:val="93"/>
        <w:spacing w:before="210" w:after="210"/>
        <w:ind w:firstLine="640"/>
        <w:outlineLvl w:val="2"/>
        <w:rPr>
          <w:rFonts w:hint="eastAsia" w:ascii="宋体" w:hAnsi="宋体" w:eastAsia="宋体" w:cs="宋体"/>
          <w:color w:val="auto"/>
          <w:sz w:val="24"/>
          <w:szCs w:val="24"/>
          <w:highlight w:val="none"/>
        </w:rPr>
      </w:pPr>
      <w:bookmarkStart w:id="67" w:name="_Toc9339"/>
      <w:r>
        <w:rPr>
          <w:rFonts w:hint="eastAsia" w:ascii="宋体" w:hAnsi="宋体" w:eastAsia="宋体" w:cs="宋体"/>
          <w:color w:val="auto"/>
          <w:sz w:val="24"/>
          <w:szCs w:val="24"/>
          <w:highlight w:val="none"/>
        </w:rPr>
        <w:t>（八）投标文件被拒绝接收的情形</w:t>
      </w:r>
      <w:bookmarkEnd w:id="67"/>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1．误投的或采用旧版电子招标文件制作的；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2．逾期提交电子投标文件的。</w:t>
      </w:r>
    </w:p>
    <w:p>
      <w:pPr>
        <w:spacing w:line="560" w:lineRule="exact"/>
        <w:ind w:firstLine="480" w:firstLineChars="200"/>
        <w:jc w:val="both"/>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bookmarkStart w:id="68" w:name="_Toc15904"/>
      <w:r>
        <w:rPr>
          <w:rFonts w:hint="eastAsia" w:ascii="宋体" w:hAnsi="宋体" w:eastAsia="宋体" w:cs="宋体"/>
          <w:color w:val="auto"/>
          <w:sz w:val="24"/>
          <w:szCs w:val="24"/>
          <w:highlight w:val="none"/>
        </w:rPr>
        <w:t>五、开标程序</w:t>
      </w:r>
      <w:bookmarkEnd w:id="6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开标工作由采购代理机构组织实施，整个过程受同级政府采购监管机构的监督、管理。</w:t>
      </w:r>
    </w:p>
    <w:p>
      <w:pPr>
        <w:pStyle w:val="93"/>
        <w:spacing w:before="210" w:after="210"/>
        <w:ind w:firstLine="640"/>
        <w:outlineLvl w:val="2"/>
        <w:rPr>
          <w:rFonts w:hint="eastAsia" w:ascii="宋体" w:hAnsi="宋体" w:eastAsia="宋体" w:cs="宋体"/>
          <w:color w:val="auto"/>
          <w:sz w:val="24"/>
          <w:szCs w:val="24"/>
          <w:highlight w:val="none"/>
        </w:rPr>
      </w:pPr>
      <w:bookmarkStart w:id="69" w:name="_Toc19303"/>
      <w:r>
        <w:rPr>
          <w:rFonts w:hint="eastAsia" w:ascii="宋体" w:hAnsi="宋体" w:eastAsia="宋体" w:cs="宋体"/>
          <w:color w:val="auto"/>
          <w:sz w:val="24"/>
          <w:szCs w:val="24"/>
          <w:highlight w:val="none"/>
        </w:rPr>
        <w:t>（一）“不见面开标”基本流程</w:t>
      </w:r>
      <w:bookmarkEnd w:id="69"/>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“不见面开标”是依托政府采购云平台实现的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在线参与开标的一种组织形式。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无需抵达开标现场，即可在线实现开标、解密、澄清等操作。</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登录：开标前，请各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至少提前半小时登录西安市公共资源交易平台〖首页〉不见面开标〗系统。</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2．主持人宣布开标：提交投标文件截止时间过后，系统将不再接收任何投标文件。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3．解密投标文件：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收到主持人“开始解密”指令后，应使用“加密该投标文件的CA锁（必须是同一把锁）”在线完成投标文件解密。除因【西安市公共资源交易中心】断电、断网、系统故障及其他不可抗力等因素，导致“不见面开标”系统无法正常运行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应在规定的解密时间内完成解密。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4．唱标：对于公开招标项目，“不见面开标”系统将自动展示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名单及其投标报价。</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5．开标结束：进入评审环节。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请保持在线，评审期间评标委员会可能会要求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做相应的澄清。因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擅自离席造成的不利后果，由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“不见面开标”系统操作说明：详见西安市公共资源交易平台〖首页〉服务指南〉下载专区〗中的《西安公共资源交易不见面开标大厅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操作手册》。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链接地址：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"http://sxggzyjy.xa.gov.cn/fwzn/004003/20200426/bc8b2c1e-abe2-4168-913c-68ff93345faf.html"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http://sxggzyjy.xa.gov.cn/fwzn/004003/20200426/bc8b2c1e-abe2-4168-913c-68ff93345faf.html</w:t>
      </w:r>
      <w:r>
        <w:rPr>
          <w:rStyle w:val="32"/>
          <w:rFonts w:hint="eastAsia" w:ascii="宋体" w:hAnsi="宋体" w:eastAsia="宋体" w:cs="宋体"/>
          <w:color w:val="auto"/>
          <w:sz w:val="24"/>
          <w:szCs w:val="24"/>
          <w:highlight w:val="none"/>
          <w:u w:val="none"/>
        </w:rPr>
        <w:fldChar w:fldCharType="end"/>
      </w:r>
    </w:p>
    <w:p>
      <w:pPr>
        <w:pStyle w:val="93"/>
        <w:spacing w:before="210" w:after="210"/>
        <w:ind w:firstLine="640"/>
        <w:outlineLvl w:val="2"/>
        <w:rPr>
          <w:rFonts w:hint="eastAsia" w:ascii="宋体" w:hAnsi="宋体" w:eastAsia="宋体" w:cs="宋体"/>
          <w:color w:val="auto"/>
          <w:sz w:val="24"/>
          <w:szCs w:val="24"/>
          <w:highlight w:val="none"/>
        </w:rPr>
      </w:pPr>
      <w:bookmarkStart w:id="70" w:name="_Toc6494"/>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）开标环节投标文件视为无效的情形</w:t>
      </w:r>
      <w:bookmarkEnd w:id="70"/>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放弃或拒绝对电子投标文件进行解密的；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自身原因，导致未在规定的解密时限内完整解密的，如忘带CA锁、或携带的CA锁与加密文件的CA锁不同、或使用旧版招标文件编制投标文件等情形；</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3．上传的电子投标文件无法正常打开的；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4．政府采购法律法规规定的其他无效情形。</w:t>
      </w:r>
    </w:p>
    <w:p>
      <w:pPr>
        <w:pStyle w:val="93"/>
        <w:spacing w:before="210" w:after="210"/>
        <w:ind w:firstLine="640"/>
        <w:outlineLvl w:val="2"/>
        <w:rPr>
          <w:rFonts w:hint="eastAsia" w:ascii="宋体" w:hAnsi="宋体" w:eastAsia="宋体" w:cs="宋体"/>
          <w:color w:val="auto"/>
          <w:sz w:val="24"/>
          <w:szCs w:val="24"/>
          <w:highlight w:val="none"/>
        </w:rPr>
      </w:pPr>
      <w:bookmarkStart w:id="71" w:name="_Toc19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）突发状况的应急处置</w:t>
      </w:r>
      <w:bookmarkEnd w:id="71"/>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在开评标过程中，如因停电、断网、电子化系统故障等特殊原因导致电子化开、评标工作无法正常进行时，采购代理机构将及时汇报政府采购监管部门，并等待或中止后续活动。</w:t>
      </w:r>
    </w:p>
    <w:p>
      <w:pPr>
        <w:pStyle w:val="4"/>
        <w:rPr>
          <w:rFonts w:hint="eastAsia" w:ascii="宋体" w:hAnsi="宋体" w:eastAsia="宋体" w:cs="宋体"/>
          <w:color w:val="auto"/>
          <w:sz w:val="24"/>
          <w:szCs w:val="24"/>
          <w:highlight w:val="none"/>
        </w:rPr>
      </w:pPr>
      <w:bookmarkStart w:id="72" w:name="_Toc32425"/>
      <w:r>
        <w:rPr>
          <w:rFonts w:hint="eastAsia" w:ascii="宋体" w:hAnsi="宋体" w:eastAsia="宋体" w:cs="宋体"/>
          <w:color w:val="auto"/>
          <w:sz w:val="24"/>
          <w:szCs w:val="24"/>
          <w:highlight w:val="none"/>
        </w:rPr>
        <w:t>六、资格审查</w:t>
      </w:r>
      <w:bookmarkEnd w:id="72"/>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开标结束后，由采购人委派的资格审查小组按照《政府采购货物和服务招标投标管理办法》（财政部第87号令）有关规定，对投标文件中的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资格证明文件进行审查，并对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信用记录进行核查。资格审查小组由3人以上单数组成，采购人应出具书面授权函，并指定组长。</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提供的资格证明文件缺少任何一项或有任何一项不满足，都将被视为无效投标。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所提供的资格证明文件应图文清晰、易于辨识，否则由此带来的不利后果由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资格审查结束后，资格审查小组成员应当对审查结果进行签字确认；对未通过资格审查的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，资格审查小组应当场告知其未通过的原因。</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不足3家的，不得评标。</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〖资格性审查表〗</w:t>
      </w:r>
    </w:p>
    <w:tbl>
      <w:tblPr>
        <w:tblStyle w:val="2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6"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资格项</w:t>
            </w:r>
          </w:p>
        </w:tc>
        <w:tc>
          <w:tcPr>
            <w:tcW w:w="5696" w:type="dxa"/>
            <w:gridSpan w:val="2"/>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032" w:type="dxa"/>
            <w:gridSpan w:val="3"/>
            <w:tcBorders>
              <w:top w:val="single" w:color="auto" w:sz="2" w:space="0"/>
            </w:tcBorders>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有效的主体资格证明</w:t>
            </w:r>
          </w:p>
        </w:tc>
        <w:tc>
          <w:tcPr>
            <w:tcW w:w="5696"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具有独立承担民事责任能力，提供投标人合法注册的法人或其他组织的营业执照/事业单位法人证书/非企业专业服务机构执业许可证/民办非企业单位登记证书；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财务状况报告</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（任选其一）</w:t>
            </w:r>
          </w:p>
        </w:tc>
        <w:tc>
          <w:tcPr>
            <w:tcW w:w="5696"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1．提供具有财务审计资质单位出具的20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年度或202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年度财务报告（成立时间至开标时间不足一年的可提供成立后任意时段的资产负债表）；</w:t>
            </w:r>
          </w:p>
          <w:p>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2、开标前六个月内其基本账户银行出具的资信证明；</w:t>
            </w:r>
            <w:r>
              <w:rPr>
                <w:rFonts w:hint="eastAsia" w:ascii="宋体" w:hAnsi="宋体" w:eastAsia="宋体" w:cs="宋体"/>
                <w:color w:val="auto"/>
                <w:sz w:val="24"/>
                <w:szCs w:val="24"/>
                <w:highlight w:val="none"/>
              </w:rPr>
              <w:t>（附基本存款账户信息）</w:t>
            </w:r>
          </w:p>
          <w:p>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政府采购信用担保机构出具的担保函</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税收缴纳证明</w:t>
            </w:r>
          </w:p>
        </w:tc>
        <w:tc>
          <w:tcPr>
            <w:tcW w:w="5696" w:type="dxa"/>
            <w:gridSpan w:val="2"/>
            <w:vAlign w:val="center"/>
          </w:tcPr>
          <w:p>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提交投标文件截止时间前一年内至少一个月的纳税证明或完税证明（</w:t>
            </w:r>
            <w:r>
              <w:rPr>
                <w:rFonts w:hint="eastAsia" w:ascii="宋体" w:hAnsi="宋体" w:eastAsia="宋体" w:cs="宋体"/>
                <w:b/>
                <w:bCs/>
                <w:color w:val="auto"/>
                <w:sz w:val="24"/>
                <w:szCs w:val="24"/>
                <w:highlight w:val="none"/>
              </w:rPr>
              <w:t>增值税、营业税、企业所得税至少提供一种</w:t>
            </w:r>
            <w:r>
              <w:rPr>
                <w:rFonts w:hint="eastAsia" w:ascii="宋体" w:hAnsi="宋体" w:eastAsia="宋体" w:cs="宋体"/>
                <w:color w:val="auto"/>
                <w:sz w:val="24"/>
                <w:szCs w:val="24"/>
                <w:highlight w:val="none"/>
              </w:rPr>
              <w:t>），纳税证明或完税证明上应有代收机构或税务机关的公章或业务专用章。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社保资金缴纳</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w:t>
            </w:r>
          </w:p>
        </w:tc>
        <w:tc>
          <w:tcPr>
            <w:tcW w:w="5696"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提交投标文件截止时间前一年内至少一个月的社会保障资金缴存单据或社保机构开具的社会保险参保缴费情况证明，单据或证明上应有社保机构或代收机构的公章或业务专用章。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履行合同的说明和承诺</w:t>
            </w:r>
          </w:p>
        </w:tc>
        <w:tc>
          <w:tcPr>
            <w:tcW w:w="5696"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提供具有履行本合同所必需的设备和专业技术能力的说明及承诺；（提供书面说明及承诺，加盖投标人公章）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w:t>
            </w:r>
          </w:p>
        </w:tc>
        <w:tc>
          <w:tcPr>
            <w:tcW w:w="5696"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参加本次政府采购活动前3年内在经营活动中没有重大违法记录，以及未被列入失信被执行人、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32" w:type="dxa"/>
            <w:gridSpan w:val="3"/>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45"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法定代表人授权委托书</w:t>
            </w:r>
            <w:r>
              <w:rPr>
                <w:rFonts w:hint="eastAsia" w:ascii="宋体" w:hAnsi="宋体" w:eastAsia="宋体" w:cs="宋体"/>
                <w:color w:val="auto"/>
                <w:sz w:val="24"/>
                <w:szCs w:val="24"/>
                <w:highlight w:val="none"/>
              </w:rPr>
              <w:t>\身份证明</w:t>
            </w:r>
          </w:p>
        </w:tc>
        <w:tc>
          <w:tcPr>
            <w:tcW w:w="5687" w:type="dxa"/>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授权委托书（附法定代表人或负责人身份证复印件及被授权人身份证复印件）；法定代表人或负责人直接参加投标只须提供法定代表人资格证明书（附法定代表人或负责人身份证复印件）；（式样见投标文件格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45" w:type="dxa"/>
            <w:gridSpan w:val="2"/>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医疗器械许可证</w:t>
            </w:r>
          </w:p>
        </w:tc>
        <w:tc>
          <w:tcPr>
            <w:tcW w:w="5687" w:type="dxa"/>
            <w:vAlign w:val="center"/>
          </w:tcPr>
          <w:p>
            <w:pPr>
              <w:jc w:val="left"/>
              <w:rPr>
                <w:rFonts w:hint="eastAsia" w:ascii="宋体" w:hAnsi="宋体" w:eastAsia="宋体" w:cs="宋体"/>
                <w:color w:val="auto"/>
                <w:sz w:val="24"/>
                <w:szCs w:val="24"/>
                <w:highlight w:val="none"/>
              </w:rPr>
            </w:pPr>
            <w:r>
              <w:rPr>
                <w:rFonts w:ascii="宋体" w:hAnsi="宋体" w:eastAsia="宋体" w:cs="宋体"/>
                <w:color w:val="auto"/>
                <w:sz w:val="24"/>
                <w:szCs w:val="24"/>
              </w:rPr>
              <w:t>投标人须提供医疗器械经营许可证或备案凭证、所投产品生产厂家的医疗器械生产许可证、所投产品医疗器械产品注册证（或备案凭证）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45"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信用记录审查</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结果</w:t>
            </w:r>
          </w:p>
        </w:tc>
        <w:tc>
          <w:tcPr>
            <w:tcW w:w="5687" w:type="dxa"/>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不得为“信用中国”网站(http://www.creditchina.gov.cn)列入“失信被执行人、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、政府采购严重违法失信行为记录名单”的投标人；不得为中国政府采购网(http://www.ccgp.gov.cn)“政府采购严重违法失信行为记录名单”中的投标人；(根据财库【2019】38号文规定，此项由</w:t>
            </w:r>
            <w:r>
              <w:rPr>
                <w:rFonts w:hint="eastAsia" w:ascii="宋体" w:hAnsi="宋体" w:eastAsia="宋体" w:cs="宋体"/>
                <w:b/>
                <w:bCs/>
                <w:color w:val="auto"/>
                <w:sz w:val="24"/>
                <w:szCs w:val="24"/>
                <w:highlight w:val="none"/>
                <w:lang w:val="en-US" w:eastAsia="zh-CN"/>
              </w:rPr>
              <w:t>资审小组</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截止日当天在“信用中国”网站和中国政府采购网站进行查询，截图留档；如网站无投标人信息的，投标人须提供相关证明资料或书面声明，且</w:t>
            </w:r>
            <w:r>
              <w:rPr>
                <w:rFonts w:hint="eastAsia" w:ascii="宋体" w:hAnsi="宋体" w:eastAsia="宋体" w:cs="宋体"/>
                <w:color w:val="auto"/>
                <w:sz w:val="24"/>
                <w:szCs w:val="24"/>
                <w:highlight w:val="none"/>
                <w:lang w:val="en-US" w:eastAsia="zh-CN"/>
              </w:rPr>
              <w:t>附</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numPr>
                <w:ilvl w:val="0"/>
                <w:numId w:val="4"/>
              </w:numPr>
              <w:ind w:left="425" w:leftChars="0" w:hanging="425" w:firstLineChars="0"/>
              <w:jc w:val="center"/>
              <w:rPr>
                <w:rFonts w:hint="eastAsia" w:ascii="宋体" w:hAnsi="宋体" w:eastAsia="宋体" w:cs="宋体"/>
                <w:color w:val="auto"/>
                <w:sz w:val="24"/>
                <w:szCs w:val="24"/>
                <w:highlight w:val="none"/>
              </w:rPr>
            </w:pPr>
          </w:p>
        </w:tc>
        <w:tc>
          <w:tcPr>
            <w:tcW w:w="2345" w:type="dxa"/>
            <w:gridSpan w:val="2"/>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控股、管理关系的</w:t>
            </w:r>
            <w:r>
              <w:rPr>
                <w:rFonts w:hint="eastAsia" w:ascii="宋体" w:hAnsi="宋体" w:eastAsia="宋体" w:cs="宋体"/>
                <w:color w:val="auto"/>
                <w:sz w:val="24"/>
                <w:szCs w:val="24"/>
                <w:highlight w:val="none"/>
                <w:lang w:eastAsia="zh-CN"/>
              </w:rPr>
              <w:t>查询结果</w:t>
            </w:r>
          </w:p>
        </w:tc>
        <w:tc>
          <w:tcPr>
            <w:tcW w:w="5687" w:type="dxa"/>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单位负责人为同一人或者存在直接控股、管理关系的不同投标人，不得参加同一合同项下的政府采购活动。投标响应截止日当天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在“国家企业信用信息公示系统”进行查询(查询结果打印后，将与其他采购文件一并保存。如相关失信记录已失效，需提供相关证明资料。）(根据财库【2019】38号文规定，此项由</w:t>
            </w:r>
            <w:r>
              <w:rPr>
                <w:rFonts w:hint="eastAsia" w:ascii="宋体" w:hAnsi="宋体" w:eastAsia="宋体" w:cs="宋体"/>
                <w:b/>
                <w:bCs/>
                <w:color w:val="auto"/>
                <w:sz w:val="24"/>
                <w:szCs w:val="24"/>
                <w:highlight w:val="none"/>
                <w:lang w:val="en-US" w:eastAsia="zh-CN"/>
              </w:rPr>
              <w:t>资审小组</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截止日当天在“国家企业信用信息公示系统”网站进行查询，截图留档；如网站无投标人信息的，投标人须提供相关证明资料或书面声明，且</w:t>
            </w:r>
            <w:r>
              <w:rPr>
                <w:rFonts w:hint="eastAsia" w:ascii="宋体" w:hAnsi="宋体" w:eastAsia="宋体" w:cs="宋体"/>
                <w:color w:val="auto"/>
                <w:sz w:val="24"/>
                <w:szCs w:val="24"/>
                <w:highlight w:val="none"/>
                <w:lang w:val="en-US" w:eastAsia="zh-CN"/>
              </w:rPr>
              <w:t>附</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2．事业单位参与投标时，可不提供财务状况报告、社会保障资金和税收缴纳证明；依法免税或不需要缴纳社会保障资金的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，应提供相应证明文件，证明其依法免税或不需要缴纳社会保障资金；自然人（仅限中国公民）参与投标时，只须提供身份证复印件。</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．《基本存款账户信息》、《无重大违法记录声明》、《</w:t>
            </w:r>
            <w:r>
              <w:rPr>
                <w:rFonts w:hint="eastAsia" w:ascii="宋体" w:hAnsi="宋体" w:eastAsia="宋体" w:cs="宋体"/>
                <w:color w:val="auto"/>
                <w:sz w:val="24"/>
                <w:szCs w:val="24"/>
                <w:highlight w:val="none"/>
                <w:lang w:eastAsia="zh-CN"/>
              </w:rPr>
              <w:t>法定代表人授权委托书</w:t>
            </w:r>
            <w:r>
              <w:rPr>
                <w:rFonts w:hint="eastAsia" w:ascii="宋体" w:hAnsi="宋体" w:eastAsia="宋体" w:cs="宋体"/>
                <w:color w:val="auto"/>
                <w:sz w:val="24"/>
                <w:szCs w:val="24"/>
                <w:highlight w:val="none"/>
              </w:rPr>
              <w:t>》、《法定代表人身份证明书》应按第五章《投标文件构成及格式》中给定的格式填写，并按要求签字、盖章。</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．按照财政部《关于在政府采购活动中查询及使用信用记录有关问题的通知》（财库〔2016〕125号）要求，在资格审查阶段，采购人将对</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的信用记录进行核查，出现招标文件第二章中“关于信用记录的查询和使用”所列失信行为的，将拒绝其参与政府采购活动。</w:t>
            </w:r>
          </w:p>
        </w:tc>
      </w:tr>
    </w:tbl>
    <w:p>
      <w:pPr>
        <w:pStyle w:val="4"/>
        <w:rPr>
          <w:rFonts w:hint="eastAsia" w:ascii="宋体" w:hAnsi="宋体" w:eastAsia="宋体" w:cs="宋体"/>
          <w:color w:val="auto"/>
          <w:sz w:val="24"/>
          <w:szCs w:val="24"/>
          <w:highlight w:val="none"/>
        </w:rPr>
      </w:pPr>
      <w:bookmarkStart w:id="73" w:name="_Toc12520"/>
      <w:r>
        <w:rPr>
          <w:rFonts w:hint="eastAsia" w:ascii="宋体" w:hAnsi="宋体" w:eastAsia="宋体" w:cs="宋体"/>
          <w:color w:val="auto"/>
          <w:sz w:val="24"/>
          <w:szCs w:val="24"/>
          <w:highlight w:val="none"/>
        </w:rPr>
        <w:t>七、评审方法和程序</w:t>
      </w:r>
      <w:bookmarkEnd w:id="73"/>
    </w:p>
    <w:p>
      <w:pPr>
        <w:pStyle w:val="93"/>
        <w:spacing w:before="210" w:after="210"/>
        <w:ind w:firstLine="640"/>
        <w:outlineLvl w:val="2"/>
        <w:rPr>
          <w:rFonts w:hint="eastAsia" w:ascii="宋体" w:hAnsi="宋体" w:eastAsia="宋体" w:cs="宋体"/>
          <w:color w:val="auto"/>
          <w:sz w:val="24"/>
          <w:szCs w:val="24"/>
          <w:highlight w:val="none"/>
        </w:rPr>
      </w:pPr>
      <w:bookmarkStart w:id="74" w:name="_Toc32195"/>
      <w:r>
        <w:rPr>
          <w:rFonts w:hint="eastAsia" w:ascii="宋体" w:hAnsi="宋体" w:eastAsia="宋体" w:cs="宋体"/>
          <w:color w:val="auto"/>
          <w:sz w:val="24"/>
          <w:szCs w:val="24"/>
          <w:highlight w:val="none"/>
        </w:rPr>
        <w:t>（一）评标方法</w:t>
      </w:r>
      <w:bookmarkEnd w:id="74"/>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本项目采用综合评分法，即投标文件满足招标文件全部实质性要求，且按照评审因素的量化指标评审得分最高的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为中标候选人。</w:t>
      </w:r>
    </w:p>
    <w:p>
      <w:pPr>
        <w:pStyle w:val="93"/>
        <w:spacing w:before="210" w:after="210"/>
        <w:ind w:firstLine="640"/>
        <w:outlineLvl w:val="2"/>
        <w:rPr>
          <w:rFonts w:hint="eastAsia" w:ascii="宋体" w:hAnsi="宋体" w:eastAsia="宋体" w:cs="宋体"/>
          <w:color w:val="auto"/>
          <w:sz w:val="24"/>
          <w:szCs w:val="24"/>
          <w:highlight w:val="none"/>
        </w:rPr>
      </w:pPr>
      <w:bookmarkStart w:id="75" w:name="_Toc30239"/>
      <w:r>
        <w:rPr>
          <w:rFonts w:hint="eastAsia" w:ascii="宋体" w:hAnsi="宋体" w:eastAsia="宋体" w:cs="宋体"/>
          <w:color w:val="auto"/>
          <w:sz w:val="24"/>
          <w:szCs w:val="24"/>
          <w:highlight w:val="none"/>
        </w:rPr>
        <w:t>（二）评标程序</w:t>
      </w:r>
      <w:bookmarkEnd w:id="75"/>
    </w:p>
    <w:p>
      <w:pPr>
        <w:pStyle w:val="92"/>
        <w:outlineLvl w:val="3"/>
        <w:rPr>
          <w:rFonts w:hint="eastAsia" w:ascii="宋体" w:hAnsi="宋体" w:eastAsia="宋体" w:cs="宋体"/>
          <w:color w:val="auto"/>
          <w:sz w:val="24"/>
          <w:szCs w:val="24"/>
          <w:highlight w:val="none"/>
        </w:rPr>
      </w:pPr>
      <w:bookmarkStart w:id="76" w:name="_Toc4917"/>
      <w:r>
        <w:rPr>
          <w:rFonts w:hint="eastAsia" w:ascii="宋体" w:hAnsi="宋体" w:eastAsia="宋体" w:cs="宋体"/>
          <w:color w:val="auto"/>
          <w:sz w:val="24"/>
          <w:szCs w:val="24"/>
          <w:highlight w:val="none"/>
        </w:rPr>
        <w:t>1．组建评标委员会</w:t>
      </w:r>
      <w:bookmarkEnd w:id="76"/>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为了确保评标工作的公平、公正，依据</w:t>
      </w:r>
      <w:r>
        <w:rPr>
          <w:rFonts w:hint="eastAsia" w:ascii="宋体" w:hAnsi="宋体" w:eastAsia="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由采购代理机构组织评标委员会推选评标组长，采购人代表不得担任组长。</w:t>
      </w:r>
    </w:p>
    <w:p>
      <w:pPr>
        <w:pStyle w:val="92"/>
        <w:outlineLvl w:val="3"/>
        <w:rPr>
          <w:rFonts w:hint="eastAsia" w:ascii="宋体" w:hAnsi="宋体" w:eastAsia="宋体" w:cs="宋体"/>
          <w:color w:val="auto"/>
          <w:sz w:val="24"/>
          <w:szCs w:val="24"/>
          <w:highlight w:val="none"/>
        </w:rPr>
      </w:pPr>
      <w:bookmarkStart w:id="77" w:name="_Toc159"/>
      <w:r>
        <w:rPr>
          <w:rFonts w:hint="eastAsia" w:ascii="宋体" w:hAnsi="宋体" w:eastAsia="宋体" w:cs="宋体"/>
          <w:color w:val="auto"/>
          <w:sz w:val="24"/>
          <w:szCs w:val="24"/>
          <w:highlight w:val="none"/>
        </w:rPr>
        <w:t>2．投标文件的符合性审查</w:t>
      </w:r>
      <w:bookmarkEnd w:id="77"/>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资格性审查通过后，评标委员会对符合资格的投标人的投标文件进行符合性审查，以确定其是否满足招标文件的实质性要求。</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对于投标文件中含义不明确、同类问题表述不一致或者有明显文字和计算错误的内容，评标委员会应当以书面形式要求投标人作出必要的澄清、说明或者补正。</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〖符合性审查表〗</w:t>
      </w:r>
    </w:p>
    <w:tbl>
      <w:tblPr>
        <w:tblStyle w:val="2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92" w:type="dxa"/>
            <w:tcBorders>
              <w:top w:val="single" w:color="auto" w:sz="2" w:space="0"/>
            </w:tcBorders>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与项目的一致性</w:t>
            </w:r>
          </w:p>
        </w:tc>
        <w:tc>
          <w:tcPr>
            <w:tcW w:w="5498" w:type="dxa"/>
            <w:tcBorders>
              <w:top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至少以下三处的项目名称、项目编号、标段（未分标段的除外）与本项目完全一致：</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（1）投标文件封面</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（3）法定代表人（主要负责人）委托授权书\身份证明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6" w:hRule="atLeast"/>
          <w:jc w:val="center"/>
        </w:trPr>
        <w:tc>
          <w:tcPr>
            <w:tcW w:w="978" w:type="dxa"/>
            <w:tcBorders>
              <w:top w:val="single" w:color="auto" w:sz="2" w:space="0"/>
            </w:tcBorders>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92" w:type="dxa"/>
            <w:tcBorders>
              <w:top w:val="single" w:color="auto" w:sz="2" w:space="0"/>
            </w:tcBorders>
            <w:vAlign w:val="center"/>
          </w:tcPr>
          <w:p>
            <w:pPr>
              <w:spacing w:line="5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编制格式</w:t>
            </w:r>
          </w:p>
        </w:tc>
        <w:tc>
          <w:tcPr>
            <w:tcW w:w="5498" w:type="dxa"/>
            <w:tcBorders>
              <w:top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除明确允许投标人可以自行编写的外，投标文件</w:t>
            </w:r>
            <w:r>
              <w:rPr>
                <w:rFonts w:hint="eastAsia" w:ascii="宋体" w:hAnsi="宋体" w:eastAsia="宋体" w:cs="宋体"/>
                <w:color w:val="auto"/>
                <w:sz w:val="24"/>
                <w:szCs w:val="24"/>
                <w:highlight w:val="none"/>
                <w:lang w:eastAsia="zh-CN"/>
              </w:rPr>
              <w:t>必须</w:t>
            </w:r>
            <w:r>
              <w:rPr>
                <w:rFonts w:hint="eastAsia" w:ascii="宋体" w:hAnsi="宋体" w:eastAsia="宋体" w:cs="宋体"/>
                <w:color w:val="auto"/>
                <w:sz w:val="24"/>
                <w:szCs w:val="24"/>
                <w:highlight w:val="none"/>
              </w:rPr>
              <w:t xml:space="preserve">按照招标文件给定的格式和要求编制；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投标文件组成</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投标文件应包含以下部分：</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概况</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参加政府采购活动承诺书</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签章</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语言和计量单位</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投标文件有效期</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同时满足以下条款：</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（1）货币单位符合招标文件要求</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（2）报价符合唯一性要求</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（3）未超出采购预算</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实质性条款响应</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完全响应招标文件要求的各项技术</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服务、商务实质性条款。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合同条款响应</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完全理解并响应招标文件合同条款的要求，且未含有采购人不能接受的附加条件的。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电子投标文件雷同性分析</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392" w:type="dxa"/>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498"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完全理解并接受法律法规和招标文件对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合法经营的各类规约和责任义务要求，没有出现法律法规或招标文件规定的其他无效情形。</w:t>
            </w:r>
          </w:p>
        </w:tc>
      </w:tr>
    </w:tbl>
    <w:p>
      <w:pPr>
        <w:pStyle w:val="92"/>
        <w:outlineLvl w:val="3"/>
        <w:rPr>
          <w:rFonts w:hint="eastAsia" w:ascii="宋体" w:hAnsi="宋体" w:eastAsia="宋体" w:cs="宋体"/>
          <w:color w:val="auto"/>
          <w:sz w:val="24"/>
          <w:szCs w:val="24"/>
          <w:highlight w:val="none"/>
        </w:rPr>
      </w:pPr>
      <w:bookmarkStart w:id="78" w:name="_Toc9423"/>
      <w:r>
        <w:rPr>
          <w:rFonts w:hint="eastAsia" w:ascii="宋体" w:hAnsi="宋体" w:eastAsia="宋体" w:cs="宋体"/>
          <w:color w:val="auto"/>
          <w:sz w:val="24"/>
          <w:szCs w:val="24"/>
          <w:highlight w:val="none"/>
        </w:rPr>
        <w:t>3．综合比较与评价</w:t>
      </w:r>
      <w:bookmarkEnd w:id="7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评标委员会按《评审要素及分值一览表》中规定的评标方法和标准，对通过符合性审查的投标文件进行商务和技术评估，综合比较与评价。</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投标无效：</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（1）投标文件报价出现本章第五小节“投标报价”所列需要修正情形，但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对修正后的报价不予确认的；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的报价明显低于其他通过符合性审查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的报价，有可能影响产品质量或者不能诚信履约的，要求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在评标现场合理的时间内提供书面说明（必要时提交相关证明材料），</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不能证明其报价合理性的。</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56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〖评审要素及分值一览表〗</w:t>
      </w:r>
    </w:p>
    <w:tbl>
      <w:tblPr>
        <w:tblStyle w:val="25"/>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80" w:lineRule="exact"/>
              <w:ind w:left="-134" w:leftChars="-56" w:right="-108" w:rightChars="-45"/>
              <w:jc w:val="center"/>
              <w:rPr>
                <w:rFonts w:hint="eastAsia" w:ascii="宋体" w:hAnsi="宋体"/>
                <w:szCs w:val="24"/>
              </w:rPr>
            </w:pPr>
            <w:bookmarkStart w:id="79" w:name="_Toc937"/>
            <w:r>
              <w:rPr>
                <w:rFonts w:hint="eastAsia" w:ascii="宋体" w:hAnsi="宋体"/>
              </w:rPr>
              <w:t>评审分项</w:t>
            </w:r>
          </w:p>
        </w:tc>
        <w:tc>
          <w:tcPr>
            <w:tcW w:w="992" w:type="dxa"/>
            <w:noWrap w:val="0"/>
            <w:vAlign w:val="center"/>
          </w:tcPr>
          <w:p>
            <w:pPr>
              <w:spacing w:line="480" w:lineRule="exact"/>
              <w:ind w:left="-134" w:leftChars="-56" w:right="-108" w:rightChars="-45"/>
              <w:jc w:val="center"/>
              <w:rPr>
                <w:rFonts w:hint="eastAsia" w:ascii="宋体" w:hAnsi="宋体"/>
                <w:szCs w:val="24"/>
              </w:rPr>
            </w:pPr>
            <w:r>
              <w:rPr>
                <w:rFonts w:hint="eastAsia" w:ascii="宋体" w:hAnsi="宋体"/>
              </w:rPr>
              <w:t>分项分值</w:t>
            </w:r>
          </w:p>
        </w:tc>
        <w:tc>
          <w:tcPr>
            <w:tcW w:w="7541" w:type="dxa"/>
            <w:noWrap w:val="0"/>
            <w:vAlign w:val="center"/>
          </w:tcPr>
          <w:p>
            <w:pPr>
              <w:spacing w:line="420" w:lineRule="exact"/>
              <w:jc w:val="center"/>
              <w:rPr>
                <w:rFonts w:hint="eastAsia" w:ascii="宋体" w:hAnsi="宋体"/>
                <w:szCs w:val="24"/>
              </w:rPr>
            </w:pPr>
            <w:r>
              <w:rPr>
                <w:rFonts w:hint="eastAsia" w:ascii="宋体" w:hAnsi="宋体"/>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80" w:lineRule="exact"/>
              <w:ind w:right="-108" w:rightChars="-45"/>
              <w:jc w:val="center"/>
              <w:rPr>
                <w:rFonts w:ascii="宋体" w:hAnsi="宋体"/>
                <w:szCs w:val="24"/>
              </w:rPr>
            </w:pPr>
            <w:r>
              <w:rPr>
                <w:rFonts w:hint="eastAsia" w:ascii="宋体" w:hAnsi="宋体"/>
                <w:szCs w:val="24"/>
              </w:rPr>
              <w:t>报价</w:t>
            </w:r>
          </w:p>
        </w:tc>
        <w:tc>
          <w:tcPr>
            <w:tcW w:w="992" w:type="dxa"/>
            <w:noWrap w:val="0"/>
            <w:vAlign w:val="center"/>
          </w:tcPr>
          <w:p>
            <w:pPr>
              <w:spacing w:line="480" w:lineRule="exact"/>
              <w:ind w:left="-134" w:leftChars="-56" w:right="-108" w:rightChars="-45"/>
              <w:jc w:val="center"/>
              <w:rPr>
                <w:rFonts w:ascii="宋体" w:hAnsi="宋体"/>
                <w:szCs w:val="24"/>
              </w:rPr>
            </w:pPr>
            <w:r>
              <w:rPr>
                <w:rFonts w:hint="eastAsia" w:ascii="宋体" w:hAnsi="宋体"/>
                <w:szCs w:val="24"/>
              </w:rPr>
              <w:t>30分</w:t>
            </w:r>
          </w:p>
        </w:tc>
        <w:tc>
          <w:tcPr>
            <w:tcW w:w="7541" w:type="dxa"/>
            <w:noWrap w:val="0"/>
            <w:vAlign w:val="center"/>
          </w:tcPr>
          <w:p>
            <w:pPr>
              <w:pStyle w:val="100"/>
              <w:spacing w:line="460" w:lineRule="exact"/>
              <w:rPr>
                <w:rFonts w:ascii="宋体" w:hAnsi="宋体"/>
                <w:kern w:val="2"/>
                <w:sz w:val="24"/>
                <w:szCs w:val="24"/>
              </w:rPr>
            </w:pPr>
            <w:r>
              <w:rPr>
                <w:rFonts w:hint="eastAsia" w:ascii="宋体" w:hAnsi="宋体"/>
                <w:sz w:val="24"/>
                <w:szCs w:val="24"/>
              </w:rPr>
              <w:t xml:space="preserve">    按照财政部《政府采购货物和服务招标投标管理办法》（财政部令第87号）的有关规定：</w:t>
            </w:r>
            <w:r>
              <w:rPr>
                <w:rFonts w:hint="eastAsia" w:ascii="宋体" w:hAnsi="宋体"/>
                <w:kern w:val="2"/>
                <w:sz w:val="24"/>
                <w:szCs w:val="24"/>
              </w:rPr>
              <w:t>价格分采用低价优先法计算，即满足招标文件要求且投标价格最低的投标报价为评标基准价，其价格分为满分。其他投标人的价格分统一按照下列公式计算：</w:t>
            </w:r>
          </w:p>
          <w:p>
            <w:pPr>
              <w:widowControl/>
              <w:spacing w:line="460" w:lineRule="exact"/>
              <w:jc w:val="left"/>
              <w:rPr>
                <w:rFonts w:ascii="宋体" w:hAnsi="宋体"/>
                <w:szCs w:val="24"/>
              </w:rPr>
            </w:pPr>
            <w:r>
              <w:rPr>
                <w:rFonts w:hint="eastAsia" w:ascii="宋体" w:hAnsi="宋体"/>
                <w:szCs w:val="24"/>
              </w:rPr>
              <w:t>投标报价得分=（评标基准价/投标报价）</w:t>
            </w:r>
            <w:r>
              <w:rPr>
                <w:rFonts w:hint="eastAsia" w:ascii="宋体" w:hAnsi="宋体"/>
                <w:spacing w:val="-10"/>
              </w:rPr>
              <w:t>×价格权值（即30%）×100</w:t>
            </w:r>
          </w:p>
          <w:p>
            <w:pPr>
              <w:widowControl/>
              <w:spacing w:line="460" w:lineRule="exact"/>
              <w:jc w:val="left"/>
              <w:rPr>
                <w:rFonts w:ascii="宋体" w:hAnsi="宋体"/>
                <w:szCs w:val="24"/>
              </w:rPr>
            </w:pPr>
            <w:r>
              <w:rPr>
                <w:rFonts w:hint="eastAsia" w:ascii="宋体" w:hAnsi="宋体"/>
                <w:szCs w:val="24"/>
              </w:rPr>
              <w:t>（因落实政府采购政策进行价格调整的，以调整后的价格计算评标基准价和投标报价，详见3</w:t>
            </w:r>
            <w:r>
              <w:rPr>
                <w:rFonts w:hint="eastAsia" w:ascii="宋体" w:hAnsi="宋体"/>
                <w:szCs w:val="24"/>
                <w:lang w:val="en-US" w:eastAsia="zh-CN"/>
              </w:rPr>
              <w:t>.7.1</w:t>
            </w:r>
            <w:r>
              <w:rPr>
                <w:rFonts w:hint="eastAsia" w:ascii="宋体" w:hAnsi="宋体"/>
                <w:szCs w:val="24"/>
              </w:rPr>
              <w:t>至</w:t>
            </w:r>
            <w:r>
              <w:rPr>
                <w:rFonts w:hint="eastAsia" w:ascii="宋体" w:hAnsi="宋体"/>
                <w:szCs w:val="24"/>
                <w:lang w:val="en-US" w:eastAsia="zh-CN"/>
              </w:rPr>
              <w:t>3.7.3</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92" w:type="dxa"/>
            <w:noWrap w:val="0"/>
            <w:vAlign w:val="center"/>
          </w:tcPr>
          <w:p>
            <w:pPr>
              <w:spacing w:line="480" w:lineRule="exact"/>
              <w:ind w:left="-134" w:leftChars="-56" w:right="-108" w:rightChars="-45"/>
              <w:jc w:val="center"/>
              <w:rPr>
                <w:rFonts w:ascii="宋体" w:hAnsi="宋体"/>
                <w:szCs w:val="24"/>
              </w:rPr>
            </w:pPr>
            <w:r>
              <w:rPr>
                <w:rFonts w:hint="eastAsia" w:ascii="宋体" w:hAnsi="宋体"/>
                <w:szCs w:val="24"/>
              </w:rPr>
              <w:t>商务</w:t>
            </w:r>
          </w:p>
          <w:p>
            <w:pPr>
              <w:spacing w:line="480" w:lineRule="exact"/>
              <w:ind w:left="-134" w:leftChars="-56" w:right="-108" w:rightChars="-45"/>
              <w:jc w:val="center"/>
              <w:rPr>
                <w:rFonts w:ascii="宋体" w:hAnsi="宋体"/>
                <w:szCs w:val="24"/>
              </w:rPr>
            </w:pPr>
            <w:r>
              <w:rPr>
                <w:rFonts w:hint="eastAsia" w:ascii="宋体" w:hAnsi="宋体"/>
                <w:szCs w:val="24"/>
              </w:rPr>
              <w:t>响应</w:t>
            </w:r>
          </w:p>
        </w:tc>
        <w:tc>
          <w:tcPr>
            <w:tcW w:w="992" w:type="dxa"/>
            <w:noWrap w:val="0"/>
            <w:vAlign w:val="center"/>
          </w:tcPr>
          <w:p>
            <w:pPr>
              <w:spacing w:line="480" w:lineRule="exact"/>
              <w:ind w:left="-134" w:leftChars="-56" w:right="-108" w:rightChars="-45"/>
              <w:jc w:val="center"/>
              <w:rPr>
                <w:rFonts w:ascii="宋体" w:hAnsi="宋体"/>
                <w:szCs w:val="24"/>
              </w:rPr>
            </w:pPr>
            <w:r>
              <w:rPr>
                <w:rFonts w:hint="eastAsia" w:ascii="宋体" w:hAnsi="宋体"/>
                <w:szCs w:val="24"/>
              </w:rPr>
              <w:t>3分</w:t>
            </w:r>
          </w:p>
        </w:tc>
        <w:tc>
          <w:tcPr>
            <w:tcW w:w="7541" w:type="dxa"/>
            <w:noWrap w:val="0"/>
            <w:vAlign w:val="center"/>
          </w:tcPr>
          <w:p>
            <w:pPr>
              <w:spacing w:line="460" w:lineRule="exact"/>
              <w:rPr>
                <w:rFonts w:ascii="宋体" w:hAnsi="宋体"/>
                <w:szCs w:val="24"/>
              </w:rPr>
            </w:pPr>
            <w:r>
              <w:rPr>
                <w:rFonts w:hint="eastAsia" w:ascii="宋体" w:hAnsi="宋体"/>
                <w:szCs w:val="24"/>
              </w:rPr>
              <w:t xml:space="preserve">   投标文件对交货期、质保期、付款方式、验收等商务要求进行详细说明，完全响应招标文件的计1分，交货期、质保期两项优于招标文件的，每项最多加1分。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60" w:lineRule="exact"/>
              <w:rPr>
                <w:rFonts w:ascii="宋体" w:hAnsi="宋体" w:cs="宋体"/>
                <w:color w:val="000000"/>
                <w:kern w:val="0"/>
                <w:szCs w:val="24"/>
              </w:rPr>
            </w:pPr>
            <w:r>
              <w:rPr>
                <w:rFonts w:hint="eastAsia" w:ascii="宋体" w:hAnsi="宋体" w:cs="宋体"/>
                <w:color w:val="000000"/>
                <w:kern w:val="0"/>
                <w:szCs w:val="24"/>
              </w:rPr>
              <w:t>技术</w:t>
            </w:r>
          </w:p>
          <w:p>
            <w:pPr>
              <w:spacing w:line="460" w:lineRule="exact"/>
              <w:rPr>
                <w:rFonts w:ascii="宋体" w:hAnsi="宋体" w:cs="宋体"/>
                <w:color w:val="000000"/>
                <w:kern w:val="0"/>
                <w:szCs w:val="24"/>
              </w:rPr>
            </w:pPr>
            <w:r>
              <w:rPr>
                <w:rFonts w:hint="eastAsia" w:ascii="宋体" w:hAnsi="宋体" w:cs="宋体"/>
                <w:color w:val="000000"/>
                <w:kern w:val="0"/>
                <w:szCs w:val="24"/>
              </w:rPr>
              <w:t>指标和配置</w:t>
            </w:r>
          </w:p>
        </w:tc>
        <w:tc>
          <w:tcPr>
            <w:tcW w:w="992" w:type="dxa"/>
            <w:noWrap w:val="0"/>
            <w:vAlign w:val="center"/>
          </w:tcPr>
          <w:p>
            <w:pPr>
              <w:spacing w:line="460" w:lineRule="exact"/>
              <w:jc w:val="center"/>
              <w:rPr>
                <w:rFonts w:ascii="宋体" w:hAnsi="宋体" w:cs="宋体"/>
                <w:color w:val="000000"/>
                <w:kern w:val="0"/>
                <w:szCs w:val="24"/>
              </w:rPr>
            </w:pPr>
            <w:r>
              <w:rPr>
                <w:rFonts w:hint="eastAsia" w:ascii="宋体" w:hAnsi="宋体" w:cs="宋体"/>
                <w:color w:val="000000"/>
                <w:kern w:val="0"/>
                <w:szCs w:val="24"/>
              </w:rPr>
              <w:t>2</w:t>
            </w:r>
            <w:r>
              <w:rPr>
                <w:rFonts w:hint="eastAsia" w:ascii="宋体" w:hAnsi="宋体" w:cs="宋体"/>
                <w:color w:val="000000"/>
                <w:kern w:val="0"/>
                <w:szCs w:val="24"/>
                <w:lang w:val="en-US" w:eastAsia="zh-CN"/>
              </w:rPr>
              <w:t>5</w:t>
            </w:r>
            <w:r>
              <w:rPr>
                <w:rFonts w:hint="eastAsia" w:ascii="宋体" w:hAnsi="宋体" w:cs="宋体"/>
                <w:color w:val="000000"/>
                <w:kern w:val="0"/>
                <w:szCs w:val="24"/>
              </w:rPr>
              <w:t>分</w:t>
            </w:r>
          </w:p>
        </w:tc>
        <w:tc>
          <w:tcPr>
            <w:tcW w:w="7541" w:type="dxa"/>
            <w:noWrap w:val="0"/>
            <w:vAlign w:val="top"/>
          </w:tcPr>
          <w:p>
            <w:pPr>
              <w:widowControl/>
              <w:spacing w:line="460" w:lineRule="exact"/>
              <w:jc w:val="left"/>
              <w:rPr>
                <w:rFonts w:ascii="宋体" w:hAnsi="宋体"/>
              </w:rPr>
            </w:pPr>
            <w:r>
              <w:rPr>
                <w:rFonts w:hint="eastAsia"/>
              </w:rPr>
              <w:t>1</w:t>
            </w:r>
            <w:r>
              <w:rPr>
                <w:rFonts w:hint="eastAsia" w:ascii="宋体" w:hAnsi="宋体"/>
              </w:rPr>
              <w:t>、基本分（</w:t>
            </w:r>
            <w:r>
              <w:rPr>
                <w:rFonts w:hint="eastAsia" w:ascii="宋体" w:hAnsi="宋体"/>
                <w:lang w:val="en-US" w:eastAsia="zh-CN"/>
              </w:rPr>
              <w:t>20</w:t>
            </w:r>
            <w:r>
              <w:rPr>
                <w:rFonts w:hint="eastAsia" w:ascii="宋体" w:hAnsi="宋体"/>
              </w:rPr>
              <w:t>分）：完全符合、满足招标文件技术要求的，计2</w:t>
            </w:r>
            <w:r>
              <w:rPr>
                <w:rFonts w:hint="eastAsia" w:ascii="宋体" w:hAnsi="宋体"/>
                <w:lang w:val="en-US" w:eastAsia="zh-CN"/>
              </w:rPr>
              <w:t>0</w:t>
            </w:r>
            <w:r>
              <w:rPr>
                <w:rFonts w:hint="eastAsia" w:ascii="宋体" w:hAnsi="宋体"/>
              </w:rPr>
              <w:t>分；</w:t>
            </w:r>
            <w:r>
              <w:rPr>
                <w:rFonts w:hint="eastAsia" w:ascii="宋体" w:hAnsi="宋体"/>
                <w:highlight w:val="none"/>
              </w:rPr>
              <w:t>“★”号技术参数</w:t>
            </w:r>
            <w:r>
              <w:rPr>
                <w:rFonts w:hint="eastAsia" w:ascii="宋体" w:hAnsi="宋体"/>
                <w:color w:val="auto"/>
                <w:sz w:val="24"/>
                <w:szCs w:val="24"/>
                <w:highlight w:val="none"/>
              </w:rPr>
              <w:t>逐项提供详细说明及相关证明材料（包括但不限于</w:t>
            </w:r>
            <w:r>
              <w:rPr>
                <w:rFonts w:hint="eastAsia" w:ascii="宋体" w:hAnsi="宋体"/>
                <w:highlight w:val="none"/>
              </w:rPr>
              <w:t>经厂家确认的产品彩页</w:t>
            </w:r>
            <w:r>
              <w:rPr>
                <w:rFonts w:hint="eastAsia" w:ascii="宋体" w:hAnsi="宋体"/>
                <w:color w:val="auto"/>
                <w:sz w:val="24"/>
                <w:szCs w:val="24"/>
                <w:highlight w:val="none"/>
              </w:rPr>
              <w:t>、</w:t>
            </w:r>
            <w:r>
              <w:rPr>
                <w:rFonts w:hint="eastAsia" w:ascii="宋体" w:hAnsi="宋体"/>
                <w:highlight w:val="none"/>
              </w:rPr>
              <w:t>检测报告</w:t>
            </w:r>
            <w:r>
              <w:rPr>
                <w:rFonts w:hint="eastAsia" w:ascii="宋体" w:hAnsi="宋体"/>
                <w:color w:val="auto"/>
                <w:sz w:val="24"/>
                <w:szCs w:val="24"/>
                <w:highlight w:val="none"/>
              </w:rPr>
              <w:t>、说明书、功能截图等）</w:t>
            </w:r>
            <w:r>
              <w:rPr>
                <w:rFonts w:hint="eastAsia" w:ascii="宋体" w:hAnsi="宋体"/>
                <w:color w:val="auto"/>
                <w:sz w:val="24"/>
                <w:szCs w:val="24"/>
                <w:highlight w:val="none"/>
                <w:lang w:val="en-US" w:eastAsia="zh-CN"/>
              </w:rPr>
              <w:t>,</w:t>
            </w:r>
            <w:r>
              <w:rPr>
                <w:rFonts w:hint="eastAsia" w:ascii="宋体" w:hAnsi="宋体"/>
                <w:highlight w:val="none"/>
              </w:rPr>
              <w:t>每有一条负偏离扣2分。参数中非“★”号技术指标每有一条负偏离扣</w:t>
            </w:r>
            <w:r>
              <w:rPr>
                <w:rFonts w:hint="eastAsia" w:ascii="宋体" w:hAnsi="宋体"/>
                <w:highlight w:val="none"/>
                <w:lang w:val="en-US" w:eastAsia="zh-CN"/>
              </w:rPr>
              <w:t>1</w:t>
            </w:r>
            <w:r>
              <w:rPr>
                <w:rFonts w:hint="eastAsia" w:ascii="宋体" w:hAnsi="宋体"/>
                <w:highlight w:val="none"/>
              </w:rPr>
              <w:t>分，基本分扣完为止。</w:t>
            </w:r>
          </w:p>
          <w:p>
            <w:pPr>
              <w:widowControl/>
              <w:spacing w:line="460" w:lineRule="exact"/>
              <w:jc w:val="left"/>
              <w:rPr>
                <w:rFonts w:ascii="宋体" w:hAnsi="宋体"/>
              </w:rPr>
            </w:pPr>
            <w:r>
              <w:rPr>
                <w:rFonts w:hint="eastAsia" w:ascii="宋体" w:hAnsi="宋体"/>
              </w:rPr>
              <w:t>2、加分（</w:t>
            </w:r>
            <w:r>
              <w:rPr>
                <w:rFonts w:hint="eastAsia" w:ascii="宋体" w:hAnsi="宋体"/>
                <w:lang w:val="en-US" w:eastAsia="zh-CN"/>
              </w:rPr>
              <w:t>5</w:t>
            </w:r>
            <w:r>
              <w:rPr>
                <w:rFonts w:hint="eastAsia" w:ascii="宋体" w:hAnsi="宋体"/>
              </w:rPr>
              <w:t>分）：在各自所得基本分的基础上，主要投标产品技术指标、参数或功能优于招标文件规定的相应技术指标、参数或功能，并且有实质性能提升的，评标委员会一致认可的可进行相应加分，每项加1分，加分最多加</w:t>
            </w:r>
            <w:r>
              <w:rPr>
                <w:rFonts w:hint="eastAsia" w:ascii="宋体" w:hAnsi="宋体"/>
                <w:lang w:val="en-US" w:eastAsia="zh-CN"/>
              </w:rPr>
              <w:t>5</w:t>
            </w:r>
            <w:r>
              <w:rPr>
                <w:rFonts w:hint="eastAsia" w:ascii="宋体" w:hAnsi="宋体"/>
              </w:rPr>
              <w:t>分。投标人应提供充足的佐证材料（佐证材料包括但不限于：经厂家确认的产品彩页、检测报告、官网截图等证明材料）予以佐证，佐证材料应编制在投标文件中，投标人自行承担因佐证材料不全而被视为技术参数无正偏离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60" w:lineRule="exact"/>
              <w:rPr>
                <w:rFonts w:ascii="宋体" w:hAnsi="宋体" w:cs="宋体"/>
                <w:color w:val="000000"/>
                <w:kern w:val="0"/>
                <w:szCs w:val="24"/>
              </w:rPr>
            </w:pPr>
            <w:r>
              <w:rPr>
                <w:rFonts w:hint="eastAsia" w:ascii="宋体" w:hAnsi="宋体" w:cs="宋体"/>
                <w:color w:val="000000"/>
                <w:kern w:val="0"/>
                <w:szCs w:val="24"/>
              </w:rPr>
              <w:t>项目实施方案</w:t>
            </w:r>
          </w:p>
        </w:tc>
        <w:tc>
          <w:tcPr>
            <w:tcW w:w="992" w:type="dxa"/>
            <w:noWrap w:val="0"/>
            <w:vAlign w:val="center"/>
          </w:tcPr>
          <w:p>
            <w:pPr>
              <w:spacing w:line="460" w:lineRule="exact"/>
              <w:jc w:val="center"/>
              <w:rPr>
                <w:rFonts w:ascii="宋体" w:hAnsi="宋体" w:cs="宋体"/>
                <w:color w:val="000000"/>
                <w:kern w:val="0"/>
                <w:szCs w:val="24"/>
              </w:rPr>
            </w:pPr>
            <w:r>
              <w:rPr>
                <w:rFonts w:hint="eastAsia" w:ascii="宋体" w:hAnsi="宋体" w:cs="宋体"/>
                <w:color w:val="000000"/>
                <w:kern w:val="0"/>
                <w:szCs w:val="24"/>
              </w:rPr>
              <w:t>10分</w:t>
            </w:r>
          </w:p>
        </w:tc>
        <w:tc>
          <w:tcPr>
            <w:tcW w:w="7541" w:type="dxa"/>
            <w:noWrap w:val="0"/>
            <w:vAlign w:val="top"/>
          </w:tcPr>
          <w:p>
            <w:pPr>
              <w:spacing w:line="460" w:lineRule="exact"/>
              <w:jc w:val="left"/>
              <w:rPr>
                <w:rFonts w:ascii="宋体" w:hAnsi="宋体" w:cs="宋体"/>
                <w:color w:val="000000"/>
                <w:kern w:val="0"/>
                <w:szCs w:val="24"/>
              </w:rPr>
            </w:pPr>
            <w:r>
              <w:rPr>
                <w:rFonts w:hint="eastAsia" w:ascii="宋体" w:hAnsi="宋体" w:cs="宋体"/>
                <w:color w:val="000000"/>
                <w:kern w:val="0"/>
                <w:szCs w:val="24"/>
              </w:rPr>
              <w:t>项目实施方案：</w:t>
            </w:r>
            <w:r>
              <w:rPr>
                <w:rFonts w:hint="eastAsia" w:ascii="宋体" w:hAnsi="宋体"/>
              </w:rPr>
              <w:t>备货、供货进度及保证措施，拟投入本项目的人员安排及责任制度，</w:t>
            </w:r>
            <w:r>
              <w:rPr>
                <w:rFonts w:hint="eastAsia" w:ascii="宋体" w:hAnsi="宋体" w:cs="宋体"/>
                <w:color w:val="000000"/>
                <w:kern w:val="0"/>
                <w:szCs w:val="24"/>
              </w:rPr>
              <w:t>安装、检测、调试措施，安全保障措施，应急处理措施。①方案内容完整、全面、详细的计10-7分；</w:t>
            </w:r>
          </w:p>
          <w:p>
            <w:pPr>
              <w:spacing w:line="460" w:lineRule="exact"/>
              <w:jc w:val="left"/>
              <w:rPr>
                <w:rFonts w:ascii="宋体" w:hAnsi="宋体" w:cs="宋体"/>
                <w:color w:val="000000"/>
                <w:kern w:val="0"/>
                <w:szCs w:val="24"/>
              </w:rPr>
            </w:pPr>
            <w:r>
              <w:rPr>
                <w:rFonts w:hint="eastAsia" w:ascii="宋体" w:hAnsi="宋体" w:cs="宋体"/>
                <w:color w:val="000000"/>
                <w:kern w:val="0"/>
                <w:szCs w:val="24"/>
              </w:rPr>
              <w:t>②方案内容有1到3项欠缺、较薄弱的计7-4分；</w:t>
            </w:r>
          </w:p>
          <w:p>
            <w:pPr>
              <w:spacing w:line="460" w:lineRule="exact"/>
              <w:jc w:val="left"/>
              <w:rPr>
                <w:rFonts w:ascii="宋体" w:hAnsi="宋体" w:cs="宋体"/>
                <w:color w:val="000000"/>
                <w:kern w:val="0"/>
                <w:szCs w:val="24"/>
              </w:rPr>
            </w:pPr>
            <w:r>
              <w:rPr>
                <w:rFonts w:hint="eastAsia" w:ascii="宋体" w:hAnsi="宋体"/>
              </w:rPr>
              <w:t>③</w:t>
            </w:r>
            <w:r>
              <w:rPr>
                <w:rFonts w:hint="eastAsia" w:ascii="宋体" w:hAnsi="宋体" w:cs="宋体"/>
                <w:color w:val="000000"/>
                <w:kern w:val="0"/>
                <w:szCs w:val="24"/>
              </w:rPr>
              <w:t>方案内容有3项以上严重欠缺、薄弱的计4-1分；</w:t>
            </w:r>
          </w:p>
          <w:p>
            <w:pPr>
              <w:spacing w:line="460" w:lineRule="exact"/>
              <w:jc w:val="left"/>
              <w:rPr>
                <w:rFonts w:ascii="宋体" w:hAnsi="宋体" w:cs="宋体"/>
                <w:color w:val="000000"/>
                <w:kern w:val="0"/>
                <w:szCs w:val="24"/>
              </w:rPr>
            </w:pPr>
            <w:r>
              <w:rPr>
                <w:rFonts w:hint="eastAsia" w:ascii="宋体" w:hAnsi="宋体" w:cs="宋体"/>
                <w:color w:val="000000"/>
                <w:kern w:val="0"/>
                <w:szCs w:val="24"/>
              </w:rPr>
              <w:t>④未提供项目实施方案不计分。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80" w:lineRule="exact"/>
              <w:jc w:val="center"/>
              <w:rPr>
                <w:rFonts w:hint="eastAsia" w:ascii="宋体" w:hAnsi="宋体" w:cs="宋体"/>
                <w:color w:val="000000"/>
                <w:szCs w:val="24"/>
              </w:rPr>
            </w:pPr>
            <w:r>
              <w:rPr>
                <w:rFonts w:hint="eastAsia" w:ascii="宋体" w:hAnsi="宋体" w:cs="宋体"/>
                <w:color w:val="000000"/>
                <w:szCs w:val="24"/>
              </w:rPr>
              <w:t>产品</w:t>
            </w:r>
          </w:p>
          <w:p>
            <w:pPr>
              <w:spacing w:line="480" w:lineRule="exact"/>
              <w:jc w:val="center"/>
              <w:rPr>
                <w:rFonts w:hint="eastAsia" w:ascii="宋体" w:hAnsi="宋体" w:cs="宋体"/>
                <w:color w:val="000000"/>
                <w:szCs w:val="24"/>
              </w:rPr>
            </w:pPr>
            <w:r>
              <w:rPr>
                <w:rFonts w:hint="eastAsia" w:ascii="宋体" w:hAnsi="宋体" w:cs="宋体"/>
                <w:color w:val="000000"/>
                <w:szCs w:val="24"/>
              </w:rPr>
              <w:t>渠道</w:t>
            </w:r>
          </w:p>
        </w:tc>
        <w:tc>
          <w:tcPr>
            <w:tcW w:w="992" w:type="dxa"/>
            <w:noWrap w:val="0"/>
            <w:vAlign w:val="center"/>
          </w:tcPr>
          <w:p>
            <w:pPr>
              <w:spacing w:line="480" w:lineRule="exact"/>
              <w:jc w:val="center"/>
              <w:rPr>
                <w:rFonts w:hint="eastAsia"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分</w:t>
            </w:r>
          </w:p>
        </w:tc>
        <w:tc>
          <w:tcPr>
            <w:tcW w:w="7541" w:type="dxa"/>
            <w:noWrap w:val="0"/>
            <w:vAlign w:val="center"/>
          </w:tcPr>
          <w:p>
            <w:pPr>
              <w:spacing w:line="480" w:lineRule="exact"/>
              <w:rPr>
                <w:rFonts w:hint="eastAsia" w:ascii="宋体" w:hAnsi="宋体" w:cs="宋体"/>
                <w:color w:val="FF0000"/>
                <w:szCs w:val="24"/>
                <w:lang w:val="zh-CN"/>
              </w:rPr>
            </w:pPr>
            <w:r>
              <w:rPr>
                <w:rFonts w:hint="eastAsia" w:ascii="宋体" w:hAnsi="宋体" w:cs="宋体"/>
                <w:color w:val="auto"/>
                <w:szCs w:val="24"/>
                <w:lang w:val="zh-CN"/>
              </w:rPr>
              <w:t>能提供所投产品的合法来源渠道证明文件（包括但不限于产品制造商授权、销售协议、代理协议、原厂授权等），计</w:t>
            </w:r>
            <w:r>
              <w:rPr>
                <w:rFonts w:hint="eastAsia" w:ascii="宋体" w:hAnsi="宋体" w:cs="宋体"/>
                <w:color w:val="auto"/>
                <w:szCs w:val="24"/>
                <w:lang w:val="en-US" w:eastAsia="zh-CN"/>
              </w:rPr>
              <w:t>4</w:t>
            </w:r>
            <w:r>
              <w:rPr>
                <w:rFonts w:hint="eastAsia" w:ascii="宋体" w:hAnsi="宋体" w:cs="宋体"/>
                <w:color w:val="auto"/>
                <w:szCs w:val="24"/>
                <w:lang w:val="zh-CN"/>
              </w:rPr>
              <w:t>分，不提供的不计分。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80" w:lineRule="exact"/>
              <w:jc w:val="center"/>
              <w:rPr>
                <w:rFonts w:hint="eastAsia" w:ascii="宋体" w:hAnsi="宋体" w:cs="宋体" w:eastAsiaTheme="minorEastAsia"/>
                <w:color w:val="000000"/>
                <w:szCs w:val="24"/>
                <w:highlight w:val="none"/>
                <w:lang w:eastAsia="zh-CN"/>
              </w:rPr>
            </w:pPr>
            <w:r>
              <w:rPr>
                <w:rFonts w:hint="eastAsia" w:ascii="宋体" w:hAnsi="宋体" w:cs="宋体"/>
                <w:color w:val="000000"/>
                <w:szCs w:val="24"/>
                <w:highlight w:val="none"/>
                <w:lang w:eastAsia="zh-CN"/>
              </w:rPr>
              <w:t>业绩</w:t>
            </w:r>
          </w:p>
        </w:tc>
        <w:tc>
          <w:tcPr>
            <w:tcW w:w="992" w:type="dxa"/>
            <w:noWrap w:val="0"/>
            <w:vAlign w:val="center"/>
          </w:tcPr>
          <w:p>
            <w:pPr>
              <w:spacing w:line="480" w:lineRule="exact"/>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4分</w:t>
            </w:r>
          </w:p>
        </w:tc>
        <w:tc>
          <w:tcPr>
            <w:tcW w:w="7541" w:type="dxa"/>
            <w:noWrap w:val="0"/>
            <w:vAlign w:val="center"/>
          </w:tcPr>
          <w:p>
            <w:pPr>
              <w:spacing w:line="480" w:lineRule="exact"/>
              <w:rPr>
                <w:rFonts w:hint="eastAsia" w:ascii="宋体" w:hAnsi="宋体" w:cs="宋体"/>
                <w:color w:val="auto"/>
                <w:szCs w:val="24"/>
                <w:highlight w:val="none"/>
                <w:lang w:val="zh-CN"/>
              </w:rPr>
            </w:pPr>
            <w:r>
              <w:rPr>
                <w:rFonts w:hint="eastAsia" w:ascii="宋体" w:hAnsi="宋体" w:cs="宋体"/>
                <w:color w:val="000000"/>
                <w:kern w:val="0"/>
                <w:szCs w:val="24"/>
                <w:highlight w:val="none"/>
              </w:rPr>
              <w:t>以合同形式提供</w:t>
            </w:r>
            <w:r>
              <w:rPr>
                <w:rFonts w:hint="eastAsia" w:ascii="宋体" w:hAnsi="宋体" w:cs="宋体"/>
                <w:color w:val="000000"/>
                <w:kern w:val="0"/>
                <w:szCs w:val="24"/>
                <w:highlight w:val="none"/>
                <w:lang w:eastAsia="zh-CN"/>
              </w:rPr>
              <w:t>厂商</w:t>
            </w:r>
            <w:r>
              <w:rPr>
                <w:rFonts w:hint="eastAsia" w:ascii="宋体" w:hAnsi="宋体" w:cs="宋体"/>
                <w:color w:val="000000"/>
                <w:kern w:val="0"/>
                <w:szCs w:val="24"/>
                <w:highlight w:val="none"/>
              </w:rPr>
              <w:t>201</w:t>
            </w:r>
            <w:r>
              <w:rPr>
                <w:rFonts w:hint="eastAsia" w:ascii="宋体" w:hAnsi="宋体" w:cs="宋体"/>
                <w:color w:val="000000"/>
                <w:kern w:val="0"/>
                <w:szCs w:val="24"/>
                <w:highlight w:val="none"/>
                <w:lang w:val="en-US" w:eastAsia="zh-CN"/>
              </w:rPr>
              <w:t>9</w:t>
            </w:r>
            <w:r>
              <w:rPr>
                <w:rFonts w:hint="eastAsia" w:ascii="宋体" w:hAnsi="宋体" w:cs="宋体"/>
                <w:color w:val="000000"/>
                <w:kern w:val="0"/>
                <w:szCs w:val="24"/>
                <w:highlight w:val="none"/>
              </w:rPr>
              <w:t>年</w:t>
            </w:r>
            <w:r>
              <w:rPr>
                <w:rFonts w:hint="eastAsia" w:ascii="宋体" w:hAnsi="宋体" w:cs="宋体"/>
                <w:color w:val="000000"/>
                <w:kern w:val="0"/>
                <w:szCs w:val="24"/>
                <w:highlight w:val="none"/>
                <w:lang w:val="en-US" w:eastAsia="zh-CN"/>
              </w:rPr>
              <w:t>10</w:t>
            </w:r>
            <w:r>
              <w:rPr>
                <w:rFonts w:hint="eastAsia" w:ascii="宋体" w:hAnsi="宋体" w:cs="宋体"/>
                <w:color w:val="000000"/>
                <w:kern w:val="0"/>
                <w:szCs w:val="24"/>
                <w:highlight w:val="none"/>
              </w:rPr>
              <w:t>月至今同类项目业绩，每份计</w:t>
            </w:r>
            <w:r>
              <w:rPr>
                <w:rFonts w:hint="eastAsia" w:ascii="宋体" w:hAnsi="宋体" w:cs="宋体"/>
                <w:color w:val="000000"/>
                <w:kern w:val="0"/>
                <w:szCs w:val="24"/>
                <w:highlight w:val="none"/>
                <w:lang w:val="en-US" w:eastAsia="zh-CN"/>
              </w:rPr>
              <w:t>2</w:t>
            </w:r>
            <w:r>
              <w:rPr>
                <w:rFonts w:hint="eastAsia" w:ascii="宋体" w:hAnsi="宋体" w:cs="宋体"/>
                <w:color w:val="000000"/>
                <w:kern w:val="0"/>
                <w:szCs w:val="24"/>
                <w:highlight w:val="none"/>
              </w:rPr>
              <w:t>分，计满</w:t>
            </w:r>
            <w:r>
              <w:rPr>
                <w:rFonts w:hint="eastAsia" w:ascii="宋体" w:hAnsi="宋体" w:cs="宋体"/>
                <w:color w:val="000000"/>
                <w:kern w:val="0"/>
                <w:szCs w:val="24"/>
                <w:highlight w:val="none"/>
                <w:lang w:val="en-US" w:eastAsia="zh-CN"/>
              </w:rPr>
              <w:t>4</w:t>
            </w:r>
            <w:r>
              <w:rPr>
                <w:rFonts w:hint="eastAsia" w:ascii="宋体" w:hAnsi="宋体" w:cs="宋体"/>
                <w:color w:val="000000"/>
                <w:kern w:val="0"/>
                <w:szCs w:val="24"/>
                <w:highlight w:val="none"/>
              </w:rPr>
              <w:t>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80" w:lineRule="atLeast"/>
              <w:ind w:right="-95"/>
              <w:rPr>
                <w:rFonts w:ascii="宋体" w:hAnsi="宋体" w:cs="宋体"/>
                <w:color w:val="000000"/>
                <w:kern w:val="0"/>
                <w:szCs w:val="24"/>
              </w:rPr>
            </w:pPr>
            <w:r>
              <w:rPr>
                <w:rFonts w:hint="eastAsia" w:ascii="宋体" w:hAnsi="宋体" w:cs="宋体"/>
                <w:color w:val="000000"/>
                <w:kern w:val="0"/>
                <w:szCs w:val="24"/>
              </w:rPr>
              <w:t>质量</w:t>
            </w:r>
          </w:p>
          <w:p>
            <w:pPr>
              <w:spacing w:line="480" w:lineRule="atLeast"/>
              <w:ind w:right="-95"/>
              <w:rPr>
                <w:rFonts w:ascii="宋体" w:hAnsi="宋体" w:cs="宋体"/>
                <w:color w:val="000000"/>
                <w:kern w:val="0"/>
                <w:szCs w:val="24"/>
              </w:rPr>
            </w:pPr>
            <w:r>
              <w:rPr>
                <w:rFonts w:hint="eastAsia" w:ascii="宋体" w:hAnsi="宋体" w:cs="宋体"/>
                <w:color w:val="000000"/>
                <w:kern w:val="0"/>
                <w:szCs w:val="24"/>
              </w:rPr>
              <w:t>保证</w:t>
            </w:r>
          </w:p>
        </w:tc>
        <w:tc>
          <w:tcPr>
            <w:tcW w:w="992" w:type="dxa"/>
            <w:noWrap w:val="0"/>
            <w:vAlign w:val="center"/>
          </w:tcPr>
          <w:p>
            <w:pPr>
              <w:spacing w:line="480" w:lineRule="atLeast"/>
              <w:ind w:right="-95"/>
              <w:jc w:val="center"/>
              <w:rPr>
                <w:rFonts w:ascii="宋体" w:hAnsi="宋体" w:cs="宋体"/>
                <w:color w:val="000000"/>
                <w:kern w:val="0"/>
                <w:szCs w:val="24"/>
              </w:rPr>
            </w:pPr>
            <w:r>
              <w:rPr>
                <w:rFonts w:hint="eastAsia" w:ascii="宋体" w:hAnsi="宋体" w:cs="宋体"/>
                <w:color w:val="000000"/>
                <w:kern w:val="0"/>
                <w:szCs w:val="24"/>
                <w:lang w:val="en-US" w:eastAsia="zh-CN"/>
              </w:rPr>
              <w:t>6</w:t>
            </w:r>
            <w:r>
              <w:rPr>
                <w:rFonts w:hint="eastAsia" w:ascii="宋体" w:hAnsi="宋体" w:cs="宋体"/>
                <w:color w:val="000000"/>
                <w:kern w:val="0"/>
                <w:szCs w:val="24"/>
              </w:rPr>
              <w:t>分</w:t>
            </w:r>
          </w:p>
        </w:tc>
        <w:tc>
          <w:tcPr>
            <w:tcW w:w="7541" w:type="dxa"/>
            <w:noWrap w:val="0"/>
            <w:vAlign w:val="center"/>
          </w:tcPr>
          <w:p>
            <w:pPr>
              <w:spacing w:line="460" w:lineRule="exact"/>
              <w:rPr>
                <w:rFonts w:hint="eastAsia" w:ascii="宋体" w:hAnsi="宋体"/>
              </w:rPr>
            </w:pPr>
            <w:r>
              <w:rPr>
                <w:rFonts w:hint="eastAsia" w:ascii="宋体" w:hAnsi="宋体"/>
              </w:rPr>
              <w:t>所投产品制造厂家有可靠、完善的管理制度；有足够的设计、工艺、加工、检验能力；所投产品符合国际、国内相关标准，有具体可行的</w:t>
            </w:r>
            <w:r>
              <w:rPr>
                <w:rFonts w:hint="eastAsia" w:ascii="宋体" w:hAnsi="宋体" w:cs="宋体"/>
                <w:color w:val="000000"/>
                <w:kern w:val="0"/>
                <w:szCs w:val="24"/>
              </w:rPr>
              <w:t>质量保证承诺，保证使用单位能熟练操作维护和正常使用</w:t>
            </w:r>
            <w:r>
              <w:rPr>
                <w:rFonts w:hint="eastAsia" w:ascii="宋体" w:hAnsi="宋体"/>
              </w:rPr>
              <w:t>。</w:t>
            </w:r>
          </w:p>
          <w:p>
            <w:pPr>
              <w:spacing w:line="460" w:lineRule="exact"/>
              <w:rPr>
                <w:rFonts w:hint="eastAsia" w:ascii="宋体" w:hAnsi="宋体"/>
              </w:rPr>
            </w:pPr>
            <w:r>
              <w:rPr>
                <w:rFonts w:hint="eastAsia" w:ascii="宋体" w:hAnsi="宋体" w:cs="宋体"/>
                <w:color w:val="000000"/>
                <w:kern w:val="0"/>
                <w:szCs w:val="24"/>
              </w:rPr>
              <w:t>①内容具体、完整、详细、全面的计</w:t>
            </w:r>
            <w:r>
              <w:rPr>
                <w:rFonts w:hint="eastAsia" w:ascii="宋体" w:hAnsi="宋体" w:cs="宋体"/>
                <w:color w:val="000000"/>
                <w:kern w:val="0"/>
                <w:szCs w:val="24"/>
                <w:lang w:val="en-US" w:eastAsia="zh-CN"/>
              </w:rPr>
              <w:t>6</w:t>
            </w:r>
            <w:r>
              <w:rPr>
                <w:rFonts w:hint="eastAsia" w:ascii="宋体" w:hAnsi="宋体"/>
              </w:rPr>
              <w:t>-</w:t>
            </w:r>
            <w:r>
              <w:rPr>
                <w:rFonts w:hint="eastAsia" w:ascii="宋体" w:hAnsi="宋体"/>
                <w:lang w:val="en-US" w:eastAsia="zh-CN"/>
              </w:rPr>
              <w:t>3</w:t>
            </w:r>
            <w:r>
              <w:rPr>
                <w:rFonts w:hint="eastAsia" w:ascii="宋体" w:hAnsi="宋体"/>
              </w:rPr>
              <w:t>分；</w:t>
            </w:r>
          </w:p>
          <w:p>
            <w:pPr>
              <w:spacing w:line="460" w:lineRule="exact"/>
              <w:rPr>
                <w:rFonts w:hint="eastAsia" w:ascii="宋体" w:hAnsi="宋体"/>
              </w:rPr>
            </w:pPr>
            <w:r>
              <w:rPr>
                <w:rFonts w:hint="eastAsia" w:ascii="宋体" w:hAnsi="宋体"/>
              </w:rPr>
              <w:t>②内容</w:t>
            </w:r>
            <w:r>
              <w:rPr>
                <w:rFonts w:hint="eastAsia" w:ascii="宋体" w:hAnsi="宋体" w:cs="宋体"/>
                <w:color w:val="000000"/>
                <w:kern w:val="0"/>
                <w:szCs w:val="24"/>
              </w:rPr>
              <w:t>欠缺、薄弱的计</w:t>
            </w:r>
            <w:r>
              <w:rPr>
                <w:rFonts w:hint="eastAsia" w:ascii="宋体" w:hAnsi="宋体"/>
              </w:rPr>
              <w:t>3-1分；</w:t>
            </w:r>
          </w:p>
          <w:p>
            <w:pPr>
              <w:spacing w:line="460" w:lineRule="exact"/>
              <w:rPr>
                <w:rFonts w:ascii="宋体" w:hAnsi="宋体" w:cs="宋体"/>
                <w:color w:val="000000"/>
                <w:kern w:val="0"/>
                <w:szCs w:val="24"/>
              </w:rPr>
            </w:pPr>
            <w:r>
              <w:rPr>
                <w:rFonts w:hint="eastAsia" w:ascii="宋体" w:hAnsi="宋体"/>
              </w:rPr>
              <w:t>③未提供</w:t>
            </w:r>
            <w:r>
              <w:rPr>
                <w:rFonts w:hint="eastAsia" w:ascii="宋体" w:hAnsi="宋体" w:cs="宋体"/>
                <w:color w:val="000000"/>
                <w:kern w:val="0"/>
                <w:szCs w:val="24"/>
              </w:rPr>
              <w:t>质量保证及与质量保证有关内容的</w:t>
            </w:r>
            <w:r>
              <w:rPr>
                <w:rFonts w:hint="eastAsia" w:ascii="宋体" w:hAnsi="宋体"/>
              </w:rPr>
              <w:t>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noWrap w:val="0"/>
            <w:vAlign w:val="center"/>
          </w:tcPr>
          <w:p>
            <w:pPr>
              <w:spacing w:line="480" w:lineRule="atLeast"/>
              <w:ind w:right="-95"/>
              <w:rPr>
                <w:rFonts w:hint="eastAsia" w:ascii="宋体" w:hAnsi="宋体" w:cs="宋体"/>
                <w:color w:val="000000"/>
                <w:kern w:val="0"/>
                <w:szCs w:val="24"/>
              </w:rPr>
            </w:pPr>
            <w:r>
              <w:rPr>
                <w:rFonts w:hint="eastAsia" w:ascii="宋体" w:hAnsi="宋体" w:cs="宋体"/>
                <w:color w:val="000000"/>
                <w:kern w:val="0"/>
                <w:szCs w:val="24"/>
              </w:rPr>
              <w:t>履约</w:t>
            </w:r>
          </w:p>
          <w:p>
            <w:pPr>
              <w:spacing w:line="480" w:lineRule="atLeast"/>
              <w:ind w:right="-95"/>
              <w:rPr>
                <w:rFonts w:hint="eastAsia" w:ascii="宋体" w:hAnsi="宋体" w:cs="宋体"/>
                <w:color w:val="000000"/>
                <w:kern w:val="0"/>
                <w:szCs w:val="24"/>
              </w:rPr>
            </w:pPr>
            <w:r>
              <w:rPr>
                <w:rFonts w:hint="eastAsia" w:ascii="宋体" w:hAnsi="宋体" w:cs="宋体"/>
                <w:color w:val="000000"/>
                <w:kern w:val="0"/>
                <w:szCs w:val="24"/>
              </w:rPr>
              <w:t>能力</w:t>
            </w:r>
          </w:p>
        </w:tc>
        <w:tc>
          <w:tcPr>
            <w:tcW w:w="992" w:type="dxa"/>
            <w:noWrap w:val="0"/>
            <w:vAlign w:val="center"/>
          </w:tcPr>
          <w:p>
            <w:pPr>
              <w:spacing w:line="480" w:lineRule="atLeast"/>
              <w:ind w:right="-95"/>
              <w:jc w:val="center"/>
              <w:rPr>
                <w:rFonts w:hint="eastAsia" w:ascii="宋体" w:hAnsi="宋体" w:cs="宋体"/>
                <w:color w:val="000000"/>
                <w:kern w:val="0"/>
                <w:szCs w:val="24"/>
              </w:rPr>
            </w:pPr>
            <w:r>
              <w:rPr>
                <w:rFonts w:hint="eastAsia" w:ascii="宋体" w:hAnsi="宋体" w:cs="宋体"/>
                <w:color w:val="000000"/>
                <w:kern w:val="0"/>
                <w:szCs w:val="24"/>
                <w:lang w:val="en-US" w:eastAsia="zh-CN"/>
              </w:rPr>
              <w:t>6</w:t>
            </w:r>
            <w:r>
              <w:rPr>
                <w:rFonts w:hint="eastAsia" w:ascii="宋体" w:hAnsi="宋体" w:cs="宋体"/>
                <w:color w:val="000000"/>
                <w:kern w:val="0"/>
                <w:szCs w:val="24"/>
              </w:rPr>
              <w:t>分</w:t>
            </w:r>
          </w:p>
        </w:tc>
        <w:tc>
          <w:tcPr>
            <w:tcW w:w="7541" w:type="dxa"/>
            <w:noWrap w:val="0"/>
            <w:vAlign w:val="center"/>
          </w:tcPr>
          <w:p>
            <w:pPr>
              <w:spacing w:line="460" w:lineRule="exact"/>
              <w:rPr>
                <w:rFonts w:hint="eastAsia" w:ascii="宋体" w:hAnsi="宋体" w:cs="宋体"/>
                <w:color w:val="FF0000"/>
                <w:kern w:val="0"/>
                <w:szCs w:val="24"/>
              </w:rPr>
            </w:pPr>
            <w:r>
              <w:rPr>
                <w:rFonts w:hint="eastAsia" w:ascii="宋体" w:hAnsi="宋体" w:cs="宋体"/>
                <w:color w:val="auto"/>
                <w:kern w:val="0"/>
                <w:szCs w:val="24"/>
              </w:rPr>
              <w:t>履约能力承诺详细、具体,包括</w:t>
            </w:r>
            <w:r>
              <w:rPr>
                <w:rFonts w:ascii="宋体" w:hAnsi="宋体" w:cs="宋体"/>
                <w:color w:val="auto"/>
                <w:kern w:val="0"/>
                <w:szCs w:val="24"/>
              </w:rPr>
              <w:t>资金筹措、仓储设施、运输工具、人员素质、管理水平</w:t>
            </w:r>
            <w:r>
              <w:rPr>
                <w:rFonts w:hint="eastAsia" w:ascii="宋体" w:hAnsi="宋体" w:cs="宋体"/>
                <w:color w:val="auto"/>
                <w:kern w:val="0"/>
                <w:szCs w:val="24"/>
              </w:rPr>
              <w:t>等方面进行比较</w:t>
            </w:r>
            <w:r>
              <w:rPr>
                <w:rFonts w:hint="eastAsia" w:ascii="宋体" w:hAnsi="宋体"/>
                <w:color w:val="auto"/>
              </w:rPr>
              <w:t>计</w:t>
            </w:r>
            <w:r>
              <w:rPr>
                <w:rFonts w:hint="eastAsia" w:ascii="宋体" w:hAnsi="宋体"/>
                <w:color w:val="auto"/>
                <w:lang w:val="en-US" w:eastAsia="zh-CN"/>
              </w:rPr>
              <w:t>6</w:t>
            </w:r>
            <w:r>
              <w:rPr>
                <w:rFonts w:hint="eastAsia" w:ascii="宋体" w:hAnsi="宋体" w:cs="宋体"/>
                <w:color w:val="000000"/>
                <w:kern w:val="0"/>
                <w:szCs w:val="24"/>
                <w:lang w:val="zh-CN"/>
              </w:rPr>
              <w:t>-1分，没有履约能力的不计分</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92" w:type="dxa"/>
            <w:noWrap w:val="0"/>
            <w:vAlign w:val="center"/>
          </w:tcPr>
          <w:p>
            <w:pPr>
              <w:spacing w:line="460" w:lineRule="exact"/>
              <w:rPr>
                <w:rFonts w:ascii="宋体" w:hAnsi="宋体" w:cs="宋体"/>
                <w:color w:val="000000"/>
                <w:kern w:val="0"/>
                <w:szCs w:val="24"/>
              </w:rPr>
            </w:pPr>
            <w:r>
              <w:rPr>
                <w:rFonts w:hint="eastAsia" w:ascii="宋体" w:hAnsi="宋体" w:cs="宋体"/>
                <w:color w:val="000000"/>
                <w:kern w:val="0"/>
                <w:szCs w:val="24"/>
              </w:rPr>
              <w:t>售后</w:t>
            </w:r>
          </w:p>
          <w:p>
            <w:pPr>
              <w:spacing w:line="460" w:lineRule="exact"/>
              <w:rPr>
                <w:rFonts w:hint="eastAsia" w:ascii="宋体" w:hAnsi="宋体" w:cs="宋体"/>
                <w:color w:val="000000"/>
                <w:kern w:val="0"/>
                <w:szCs w:val="24"/>
              </w:rPr>
            </w:pPr>
            <w:r>
              <w:rPr>
                <w:rFonts w:hint="eastAsia" w:ascii="宋体" w:hAnsi="宋体" w:cs="宋体"/>
                <w:color w:val="000000"/>
                <w:kern w:val="0"/>
                <w:szCs w:val="24"/>
              </w:rPr>
              <w:t>服务</w:t>
            </w:r>
          </w:p>
          <w:p>
            <w:pPr>
              <w:spacing w:line="460" w:lineRule="exact"/>
              <w:rPr>
                <w:rFonts w:ascii="宋体" w:hAnsi="宋体" w:cs="宋体"/>
                <w:color w:val="000000"/>
                <w:kern w:val="0"/>
                <w:szCs w:val="24"/>
              </w:rPr>
            </w:pPr>
            <w:r>
              <w:rPr>
                <w:rFonts w:hint="eastAsia" w:ascii="宋体" w:hAnsi="宋体" w:cs="宋体"/>
                <w:color w:val="000000"/>
                <w:kern w:val="0"/>
                <w:szCs w:val="24"/>
              </w:rPr>
              <w:t>方案</w:t>
            </w:r>
          </w:p>
        </w:tc>
        <w:tc>
          <w:tcPr>
            <w:tcW w:w="992" w:type="dxa"/>
            <w:noWrap w:val="0"/>
            <w:vAlign w:val="center"/>
          </w:tcPr>
          <w:p>
            <w:pPr>
              <w:spacing w:line="460" w:lineRule="exact"/>
              <w:jc w:val="center"/>
              <w:rPr>
                <w:rFonts w:ascii="宋体" w:hAnsi="宋体" w:cs="宋体"/>
                <w:color w:val="000000"/>
                <w:kern w:val="0"/>
                <w:szCs w:val="24"/>
              </w:rPr>
            </w:pPr>
            <w:r>
              <w:rPr>
                <w:rFonts w:hint="eastAsia" w:ascii="宋体" w:hAnsi="宋体" w:cs="宋体"/>
                <w:color w:val="000000"/>
                <w:kern w:val="0"/>
                <w:szCs w:val="24"/>
                <w:lang w:val="en-US" w:eastAsia="zh-CN"/>
              </w:rPr>
              <w:t>6</w:t>
            </w:r>
            <w:r>
              <w:rPr>
                <w:rFonts w:hint="eastAsia" w:ascii="宋体" w:hAnsi="宋体" w:cs="宋体"/>
                <w:color w:val="000000"/>
                <w:kern w:val="0"/>
                <w:szCs w:val="24"/>
              </w:rPr>
              <w:t>分</w:t>
            </w:r>
          </w:p>
        </w:tc>
        <w:tc>
          <w:tcPr>
            <w:tcW w:w="7541" w:type="dxa"/>
            <w:noWrap w:val="0"/>
            <w:vAlign w:val="center"/>
          </w:tcPr>
          <w:p>
            <w:pPr>
              <w:spacing w:line="360" w:lineRule="auto"/>
              <w:rPr>
                <w:rFonts w:ascii="宋体" w:hAnsi="宋体"/>
              </w:rPr>
            </w:pPr>
            <w:r>
              <w:rPr>
                <w:rFonts w:hint="eastAsia" w:ascii="宋体" w:hAnsi="宋体" w:cs="宋体"/>
                <w:color w:val="000000"/>
                <w:kern w:val="0"/>
                <w:szCs w:val="24"/>
              </w:rPr>
              <w:t>售后服务方案：售后服务网点的设定、拟投入售后服务人员配置情况、日常维护、</w:t>
            </w:r>
            <w:r>
              <w:rPr>
                <w:rFonts w:hint="eastAsia" w:ascii="宋体" w:hAnsi="宋体"/>
              </w:rPr>
              <w:t>项目交付用户后出现故障响应时间及措施、备品备件计划，质量保证范围。</w:t>
            </w:r>
          </w:p>
          <w:p>
            <w:pPr>
              <w:spacing w:line="360" w:lineRule="auto"/>
              <w:rPr>
                <w:rFonts w:ascii="宋体" w:hAnsi="宋体"/>
              </w:rPr>
            </w:pPr>
            <w:r>
              <w:rPr>
                <w:rFonts w:hint="eastAsia" w:ascii="宋体" w:hAnsi="宋体" w:cs="宋体"/>
                <w:color w:val="000000"/>
                <w:kern w:val="0"/>
                <w:szCs w:val="24"/>
              </w:rPr>
              <w:t>①售后服务方案内容具体、完整、详细、全面的计</w:t>
            </w:r>
            <w:r>
              <w:rPr>
                <w:rFonts w:hint="eastAsia" w:ascii="宋体" w:hAnsi="宋体"/>
                <w:lang w:val="en-US" w:eastAsia="zh-CN"/>
              </w:rPr>
              <w:t>6</w:t>
            </w:r>
            <w:r>
              <w:rPr>
                <w:rFonts w:hint="eastAsia" w:ascii="宋体" w:hAnsi="宋体"/>
              </w:rPr>
              <w:t>-3分；</w:t>
            </w:r>
          </w:p>
          <w:p>
            <w:pPr>
              <w:spacing w:line="360" w:lineRule="auto"/>
              <w:rPr>
                <w:rFonts w:ascii="宋体" w:hAnsi="宋体"/>
              </w:rPr>
            </w:pPr>
            <w:r>
              <w:rPr>
                <w:rFonts w:hint="eastAsia" w:ascii="宋体" w:hAnsi="宋体"/>
              </w:rPr>
              <w:t>②售后服务方案内容</w:t>
            </w:r>
            <w:r>
              <w:rPr>
                <w:rFonts w:hint="eastAsia" w:ascii="宋体" w:hAnsi="宋体" w:cs="宋体"/>
                <w:color w:val="000000"/>
                <w:kern w:val="0"/>
                <w:szCs w:val="24"/>
              </w:rPr>
              <w:t>欠缺、薄弱的计</w:t>
            </w:r>
            <w:r>
              <w:rPr>
                <w:rFonts w:hint="eastAsia" w:ascii="宋体" w:hAnsi="宋体"/>
              </w:rPr>
              <w:t>3-1分；</w:t>
            </w:r>
          </w:p>
          <w:p>
            <w:pPr>
              <w:spacing w:line="360" w:lineRule="auto"/>
              <w:rPr>
                <w:rFonts w:ascii="宋体" w:hAnsi="宋体"/>
              </w:rPr>
            </w:pPr>
            <w:r>
              <w:rPr>
                <w:rFonts w:hint="eastAsia" w:ascii="宋体" w:hAnsi="宋体"/>
              </w:rPr>
              <w:t>③未提供</w:t>
            </w:r>
            <w:r>
              <w:rPr>
                <w:rFonts w:hint="eastAsia" w:ascii="宋体" w:hAnsi="宋体" w:cs="宋体"/>
                <w:color w:val="000000"/>
                <w:kern w:val="0"/>
                <w:szCs w:val="24"/>
              </w:rPr>
              <w:t>售后服务方案</w:t>
            </w:r>
            <w:r>
              <w:rPr>
                <w:rFonts w:hint="eastAsia" w:ascii="宋体" w:hAnsi="宋体"/>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92" w:type="dxa"/>
            <w:noWrap w:val="0"/>
            <w:vAlign w:val="center"/>
          </w:tcPr>
          <w:p>
            <w:pPr>
              <w:spacing w:line="460" w:lineRule="exact"/>
              <w:rPr>
                <w:rFonts w:hint="eastAsia" w:ascii="宋体" w:hAnsi="宋体" w:cs="宋体"/>
                <w:color w:val="000000"/>
                <w:kern w:val="0"/>
                <w:szCs w:val="24"/>
              </w:rPr>
            </w:pPr>
            <w:r>
              <w:rPr>
                <w:rFonts w:hint="eastAsia" w:ascii="宋体" w:hAnsi="宋体" w:cs="宋体"/>
                <w:color w:val="000000"/>
                <w:kern w:val="0"/>
                <w:szCs w:val="24"/>
              </w:rPr>
              <w:t>培训</w:t>
            </w:r>
          </w:p>
          <w:p>
            <w:pPr>
              <w:spacing w:line="460" w:lineRule="exact"/>
              <w:rPr>
                <w:rFonts w:hint="eastAsia" w:ascii="宋体" w:hAnsi="宋体" w:cs="宋体"/>
                <w:color w:val="000000"/>
                <w:kern w:val="0"/>
                <w:szCs w:val="24"/>
              </w:rPr>
            </w:pPr>
            <w:r>
              <w:rPr>
                <w:rFonts w:hint="eastAsia" w:ascii="宋体" w:hAnsi="宋体" w:cs="宋体"/>
                <w:color w:val="000000"/>
                <w:kern w:val="0"/>
                <w:szCs w:val="24"/>
              </w:rPr>
              <w:t>方案</w:t>
            </w:r>
          </w:p>
        </w:tc>
        <w:tc>
          <w:tcPr>
            <w:tcW w:w="992" w:type="dxa"/>
            <w:noWrap w:val="0"/>
            <w:vAlign w:val="center"/>
          </w:tcPr>
          <w:p>
            <w:pPr>
              <w:spacing w:line="460" w:lineRule="exact"/>
              <w:jc w:val="center"/>
              <w:rPr>
                <w:rFonts w:hint="eastAsia" w:ascii="宋体" w:hAnsi="宋体" w:cs="宋体"/>
                <w:color w:val="000000"/>
                <w:kern w:val="0"/>
                <w:szCs w:val="24"/>
              </w:rPr>
            </w:pPr>
            <w:r>
              <w:rPr>
                <w:rFonts w:hint="eastAsia" w:ascii="宋体" w:hAnsi="宋体" w:cs="宋体"/>
                <w:color w:val="000000"/>
                <w:kern w:val="0"/>
                <w:szCs w:val="24"/>
                <w:lang w:val="en-US" w:eastAsia="zh-CN"/>
              </w:rPr>
              <w:t>6</w:t>
            </w:r>
            <w:r>
              <w:rPr>
                <w:rFonts w:hint="eastAsia" w:ascii="宋体" w:hAnsi="宋体" w:cs="宋体"/>
                <w:color w:val="000000"/>
                <w:kern w:val="0"/>
                <w:szCs w:val="24"/>
              </w:rPr>
              <w:t>分</w:t>
            </w:r>
          </w:p>
        </w:tc>
        <w:tc>
          <w:tcPr>
            <w:tcW w:w="7541" w:type="dxa"/>
            <w:noWrap w:val="0"/>
            <w:vAlign w:val="center"/>
          </w:tcPr>
          <w:p>
            <w:pPr>
              <w:spacing w:line="360" w:lineRule="auto"/>
              <w:rPr>
                <w:rFonts w:ascii="宋体" w:hAnsi="宋体"/>
              </w:rPr>
            </w:pPr>
            <w:r>
              <w:rPr>
                <w:rFonts w:hint="eastAsia" w:ascii="宋体" w:hAnsi="宋体"/>
              </w:rPr>
              <w:t>培训方案：培训方式、时间、地点、人员、</w:t>
            </w:r>
            <w:r>
              <w:rPr>
                <w:rFonts w:hint="eastAsia" w:ascii="宋体" w:hAnsi="宋体"/>
                <w:szCs w:val="24"/>
              </w:rPr>
              <w:t>培训内容</w:t>
            </w:r>
            <w:r>
              <w:rPr>
                <w:rFonts w:hint="eastAsia" w:ascii="宋体" w:hAnsi="宋体"/>
              </w:rPr>
              <w:t>。</w:t>
            </w:r>
          </w:p>
          <w:p>
            <w:pPr>
              <w:spacing w:line="360" w:lineRule="auto"/>
              <w:rPr>
                <w:rFonts w:ascii="宋体" w:hAnsi="宋体"/>
              </w:rPr>
            </w:pPr>
            <w:r>
              <w:rPr>
                <w:rFonts w:hint="eastAsia" w:ascii="宋体" w:hAnsi="宋体" w:cs="宋体"/>
                <w:color w:val="000000"/>
                <w:kern w:val="0"/>
                <w:szCs w:val="24"/>
              </w:rPr>
              <w:t>①</w:t>
            </w:r>
            <w:r>
              <w:rPr>
                <w:rFonts w:hint="eastAsia" w:ascii="宋体" w:hAnsi="宋体"/>
              </w:rPr>
              <w:t>培训方案</w:t>
            </w:r>
            <w:r>
              <w:rPr>
                <w:rFonts w:hint="eastAsia" w:ascii="宋体" w:hAnsi="宋体" w:cs="宋体"/>
                <w:color w:val="000000"/>
                <w:kern w:val="0"/>
                <w:szCs w:val="24"/>
              </w:rPr>
              <w:t>内容具体、完整、详细、全面、可行的计</w:t>
            </w:r>
            <w:r>
              <w:rPr>
                <w:rFonts w:hint="eastAsia" w:ascii="宋体" w:hAnsi="宋体" w:cs="宋体"/>
                <w:color w:val="000000"/>
                <w:kern w:val="0"/>
                <w:szCs w:val="24"/>
                <w:lang w:val="en-US" w:eastAsia="zh-CN"/>
              </w:rPr>
              <w:t>6</w:t>
            </w:r>
            <w:r>
              <w:rPr>
                <w:rFonts w:hint="eastAsia" w:ascii="宋体" w:hAnsi="宋体"/>
              </w:rPr>
              <w:t>-3分；</w:t>
            </w:r>
          </w:p>
          <w:p>
            <w:pPr>
              <w:spacing w:line="360" w:lineRule="auto"/>
              <w:rPr>
                <w:rFonts w:ascii="宋体" w:hAnsi="宋体"/>
              </w:rPr>
            </w:pPr>
            <w:r>
              <w:rPr>
                <w:rFonts w:hint="eastAsia" w:ascii="宋体" w:hAnsi="宋体"/>
              </w:rPr>
              <w:t>②培训方案内容</w:t>
            </w:r>
            <w:r>
              <w:rPr>
                <w:rFonts w:hint="eastAsia" w:ascii="宋体" w:hAnsi="宋体" w:cs="宋体"/>
                <w:color w:val="000000"/>
                <w:kern w:val="0"/>
                <w:szCs w:val="24"/>
              </w:rPr>
              <w:t>欠缺、薄弱的计</w:t>
            </w:r>
            <w:r>
              <w:rPr>
                <w:rFonts w:hint="eastAsia" w:ascii="宋体" w:hAnsi="宋体"/>
              </w:rPr>
              <w:t>3-1分；</w:t>
            </w:r>
          </w:p>
          <w:p>
            <w:pPr>
              <w:spacing w:line="360" w:lineRule="auto"/>
              <w:rPr>
                <w:rFonts w:hint="eastAsia" w:ascii="宋体" w:hAnsi="宋体" w:cs="宋体"/>
                <w:color w:val="000000"/>
                <w:kern w:val="0"/>
                <w:szCs w:val="24"/>
              </w:rPr>
            </w:pPr>
            <w:r>
              <w:rPr>
                <w:rFonts w:hint="eastAsia" w:ascii="宋体" w:hAnsi="宋体"/>
              </w:rPr>
              <w:t>③未提供</w:t>
            </w:r>
            <w:r>
              <w:rPr>
                <w:rFonts w:hint="eastAsia" w:ascii="宋体" w:hAnsi="宋体" w:cs="宋体"/>
                <w:color w:val="000000"/>
                <w:kern w:val="0"/>
                <w:szCs w:val="24"/>
              </w:rPr>
              <w:t>培训服务方案</w:t>
            </w:r>
            <w:r>
              <w:rPr>
                <w:rFonts w:hint="eastAsia" w:ascii="宋体" w:hAnsi="宋体"/>
              </w:rPr>
              <w:t>不得分。</w:t>
            </w:r>
          </w:p>
        </w:tc>
      </w:tr>
    </w:tbl>
    <w:p>
      <w:pPr>
        <w:pStyle w:val="92"/>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4．推荐中标候选人</w:t>
      </w:r>
      <w:bookmarkEnd w:id="79"/>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为排名第一的中标候选人。</w:t>
      </w:r>
    </w:p>
    <w:p>
      <w:pPr>
        <w:pStyle w:val="92"/>
        <w:outlineLvl w:val="3"/>
        <w:rPr>
          <w:rFonts w:hint="eastAsia" w:ascii="宋体" w:hAnsi="宋体" w:eastAsia="宋体" w:cs="宋体"/>
          <w:color w:val="auto"/>
          <w:sz w:val="24"/>
          <w:szCs w:val="24"/>
          <w:highlight w:val="none"/>
        </w:rPr>
      </w:pPr>
      <w:bookmarkStart w:id="80" w:name="_Toc4809"/>
      <w:r>
        <w:rPr>
          <w:rFonts w:hint="eastAsia" w:ascii="宋体" w:hAnsi="宋体" w:eastAsia="宋体" w:cs="宋体"/>
          <w:color w:val="auto"/>
          <w:sz w:val="24"/>
          <w:szCs w:val="24"/>
          <w:highlight w:val="none"/>
        </w:rPr>
        <w:t>5．编写评审报告</w:t>
      </w:r>
      <w:bookmarkEnd w:id="80"/>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评审报告是评标委员会根据全体评标成员签字的原始评标记录和评标结果编写的报告，其主要内容包括：</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（1）招标公告刊登的媒体名称、开标日期和地点；</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名单和评标委员会成员名单；</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（3）评标方法；</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（4）开标记录和评标情况及说明，包括投标无效</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名单及原因；</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（5）评标结果，确定的中标候选人名单或者经采购人委托直接确定的</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（6）其他需要说明的情况，包括评标过程中</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根据评标委员会要求进行的澄清、说明或者补正，评标委员会成员的更换等。</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93"/>
        <w:spacing w:before="210" w:after="210"/>
        <w:ind w:firstLine="640"/>
        <w:outlineLvl w:val="2"/>
        <w:rPr>
          <w:rFonts w:hint="eastAsia" w:ascii="宋体" w:hAnsi="宋体" w:eastAsia="宋体" w:cs="宋体"/>
          <w:color w:val="auto"/>
          <w:sz w:val="24"/>
          <w:szCs w:val="24"/>
          <w:highlight w:val="none"/>
        </w:rPr>
      </w:pPr>
      <w:bookmarkStart w:id="81" w:name="_Toc30859"/>
      <w:r>
        <w:rPr>
          <w:rFonts w:hint="eastAsia" w:ascii="宋体" w:hAnsi="宋体" w:eastAsia="宋体" w:cs="宋体"/>
          <w:color w:val="auto"/>
          <w:sz w:val="24"/>
          <w:szCs w:val="24"/>
          <w:highlight w:val="none"/>
        </w:rPr>
        <w:t>（三）评标争议处理规则</w:t>
      </w:r>
      <w:bookmarkEnd w:id="81"/>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93"/>
        <w:spacing w:before="210" w:after="210"/>
        <w:ind w:firstLine="640"/>
        <w:outlineLvl w:val="2"/>
        <w:rPr>
          <w:rFonts w:hint="eastAsia" w:ascii="宋体" w:hAnsi="宋体" w:eastAsia="宋体" w:cs="宋体"/>
          <w:color w:val="auto"/>
          <w:sz w:val="24"/>
          <w:szCs w:val="24"/>
          <w:highlight w:val="none"/>
        </w:rPr>
      </w:pPr>
      <w:bookmarkStart w:id="82" w:name="_Toc2900"/>
      <w:r>
        <w:rPr>
          <w:rFonts w:hint="eastAsia" w:ascii="宋体" w:hAnsi="宋体" w:eastAsia="宋体" w:cs="宋体"/>
          <w:color w:val="auto"/>
          <w:sz w:val="24"/>
          <w:szCs w:val="24"/>
          <w:highlight w:val="none"/>
        </w:rPr>
        <w:t>（四）评审现场人员的保密责任</w:t>
      </w:r>
      <w:bookmarkEnd w:id="82"/>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93"/>
        <w:spacing w:before="210" w:after="210"/>
        <w:ind w:firstLine="640"/>
        <w:outlineLvl w:val="2"/>
        <w:rPr>
          <w:rFonts w:hint="eastAsia" w:ascii="宋体" w:hAnsi="宋体" w:eastAsia="宋体" w:cs="宋体"/>
          <w:color w:val="auto"/>
          <w:sz w:val="24"/>
          <w:szCs w:val="24"/>
          <w:highlight w:val="none"/>
        </w:rPr>
      </w:pPr>
      <w:bookmarkStart w:id="83" w:name="_Toc20093"/>
      <w:r>
        <w:rPr>
          <w:rFonts w:hint="eastAsia" w:ascii="宋体" w:hAnsi="宋体" w:eastAsia="宋体" w:cs="宋体"/>
          <w:color w:val="auto"/>
          <w:sz w:val="24"/>
          <w:szCs w:val="24"/>
          <w:highlight w:val="none"/>
        </w:rPr>
        <w:t>（五）视同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串通投标的情形，其投标无效：</w:t>
      </w:r>
      <w:bookmarkEnd w:id="83"/>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的投标文件由同一单位或者个人编制；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委托同一单位或者个人办理投标事宜；</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的投标文件载明的项目管理成员或者联系人员为同一人；</w:t>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的投标文件异常一致或者投标报价呈规律性差异。</w:t>
      </w:r>
    </w:p>
    <w:p>
      <w:pPr>
        <w:pStyle w:val="4"/>
        <w:rPr>
          <w:rFonts w:hint="eastAsia" w:ascii="宋体" w:hAnsi="宋体" w:eastAsia="宋体" w:cs="宋体"/>
          <w:color w:val="auto"/>
          <w:sz w:val="24"/>
          <w:szCs w:val="24"/>
          <w:highlight w:val="none"/>
        </w:rPr>
      </w:pPr>
      <w:bookmarkStart w:id="84" w:name="_Toc31588"/>
      <w:r>
        <w:rPr>
          <w:rFonts w:hint="eastAsia" w:ascii="宋体" w:hAnsi="宋体" w:eastAsia="宋体" w:cs="宋体"/>
          <w:color w:val="auto"/>
          <w:sz w:val="24"/>
          <w:szCs w:val="24"/>
          <w:highlight w:val="none"/>
        </w:rPr>
        <w:t>八、中标</w:t>
      </w:r>
      <w:bookmarkEnd w:id="84"/>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1．采购代理机构在评标工作结束后2个工作日内将评审报告送采购人。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3．采购代理机构将在</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确定之日起2个工作日内，在【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陕西省政府采购网</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 </w:instrText>
      </w:r>
      <w:r>
        <w:rPr>
          <w:rFonts w:hint="eastAsia" w:ascii="宋体" w:hAnsi="宋体" w:eastAsia="宋体" w:cs="宋体"/>
          <w:color w:val="auto"/>
          <w:sz w:val="24"/>
          <w:szCs w:val="24"/>
          <w:highlight w:val="none"/>
        </w:rPr>
        <w:fldChar w:fldCharType="separate"/>
      </w:r>
      <w:r>
        <w:rPr>
          <w:rStyle w:val="32"/>
          <w:rFonts w:hint="eastAsia" w:ascii="宋体" w:hAnsi="宋体" w:eastAsia="宋体" w:cs="宋体"/>
          <w:color w:val="auto"/>
          <w:sz w:val="24"/>
          <w:szCs w:val="24"/>
          <w:highlight w:val="none"/>
          <w:u w:val="none"/>
        </w:rPr>
        <w:t>http://www.ccgp-shaanxi.gov.cn/</w:t>
      </w:r>
      <w:r>
        <w:rPr>
          <w:rStyle w:val="32"/>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rPr>
        <w:t>）上公布中标结果。中标公告期限为1个工作日。</w:t>
      </w:r>
    </w:p>
    <w:p>
      <w:pPr>
        <w:spacing w:line="560" w:lineRule="exact"/>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bCs/>
          <w:color w:val="auto"/>
          <w:sz w:val="24"/>
          <w:szCs w:val="24"/>
          <w:highlight w:val="none"/>
        </w:rPr>
        <w:t>在公告中标结果的同时，代理机构在线向</w:t>
      </w:r>
      <w:r>
        <w:rPr>
          <w:rFonts w:hint="eastAsia" w:ascii="宋体" w:hAnsi="宋体" w:eastAsia="宋体" w:cs="宋体"/>
          <w:b/>
          <w:bCs/>
          <w:color w:val="auto"/>
          <w:sz w:val="24"/>
          <w:szCs w:val="24"/>
          <w:highlight w:val="none"/>
          <w:lang w:eastAsia="zh-CN"/>
        </w:rPr>
        <w:t>中标人</w:t>
      </w:r>
      <w:r>
        <w:rPr>
          <w:rFonts w:hint="eastAsia" w:ascii="宋体" w:hAnsi="宋体" w:eastAsia="宋体" w:cs="宋体"/>
          <w:b/>
          <w:bCs/>
          <w:color w:val="auto"/>
          <w:sz w:val="24"/>
          <w:szCs w:val="24"/>
          <w:highlight w:val="none"/>
        </w:rPr>
        <w:t>发出中标通知书，</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可登录【全国公共资源交易平台（陕西省•西安市）】网站〖首页〉电子交易平台〉企业端〗后，在〖我的项目/项目流程〗模块中点击下载“中标通知书”。</w:t>
      </w:r>
    </w:p>
    <w:p>
      <w:pPr>
        <w:spacing w:line="560" w:lineRule="exact"/>
        <w:ind w:firstLine="480" w:firstLineChars="20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中标人</w:t>
      </w:r>
      <w:r>
        <w:rPr>
          <w:rFonts w:hint="eastAsia" w:ascii="宋体" w:hAnsi="宋体" w:eastAsia="宋体" w:cs="宋体"/>
          <w:b/>
          <w:bCs/>
          <w:color w:val="auto"/>
          <w:sz w:val="24"/>
          <w:szCs w:val="24"/>
          <w:highlight w:val="none"/>
        </w:rPr>
        <w:t>下载中标通知书后，向采购代理机构提供一正两副纸质投标文件</w:t>
      </w:r>
      <w:r>
        <w:rPr>
          <w:rFonts w:hint="eastAsia" w:ascii="宋体" w:hAnsi="宋体" w:eastAsia="宋体" w:cs="宋体"/>
          <w:b/>
          <w:bCs/>
          <w:color w:val="auto"/>
          <w:sz w:val="24"/>
          <w:szCs w:val="24"/>
          <w:highlight w:val="none"/>
          <w:lang w:eastAsia="zh-CN"/>
        </w:rPr>
        <w:t>及</w:t>
      </w:r>
      <w:r>
        <w:rPr>
          <w:rFonts w:hint="eastAsia" w:ascii="宋体" w:hAnsi="宋体" w:eastAsia="宋体" w:cs="宋体"/>
          <w:b/>
          <w:bCs/>
          <w:color w:val="auto"/>
          <w:sz w:val="24"/>
          <w:szCs w:val="24"/>
          <w:highlight w:val="none"/>
        </w:rPr>
        <w:t>电子投标文件一份（U盘或移动硬盘；电子投标文件为Word版本和PDF版本，PDF文件为签字、盖章的完整正本扫描件）用于备案及档案保存。</w:t>
      </w:r>
    </w:p>
    <w:p>
      <w:pPr>
        <w:spacing w:line="56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5．采用综合评分法评审的，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480" w:firstLineChars="200"/>
        <w:jc w:val="both"/>
        <w:outlineLvl w:val="2"/>
        <w:rPr>
          <w:rFonts w:hint="eastAsia" w:ascii="宋体" w:hAnsi="宋体" w:eastAsia="宋体" w:cs="宋体"/>
          <w:color w:val="auto"/>
          <w:sz w:val="24"/>
          <w:szCs w:val="24"/>
          <w:highlight w:val="none"/>
        </w:rPr>
      </w:pPr>
      <w:bookmarkStart w:id="85" w:name="_Toc5823"/>
      <w:r>
        <w:rPr>
          <w:rFonts w:hint="eastAsia" w:ascii="宋体" w:hAnsi="宋体" w:eastAsia="宋体" w:cs="宋体"/>
          <w:color w:val="auto"/>
          <w:sz w:val="24"/>
          <w:szCs w:val="24"/>
          <w:highlight w:val="none"/>
        </w:rPr>
        <w:t>6．采购代理机构按照相关规定将评审报告送监管机构备案。</w:t>
      </w:r>
      <w:bookmarkEnd w:id="85"/>
    </w:p>
    <w:p>
      <w:pPr>
        <w:pStyle w:val="4"/>
        <w:rPr>
          <w:rFonts w:hint="eastAsia" w:ascii="宋体" w:hAnsi="宋体" w:eastAsia="宋体" w:cs="宋体"/>
          <w:color w:val="auto"/>
          <w:sz w:val="24"/>
          <w:szCs w:val="24"/>
          <w:highlight w:val="none"/>
        </w:rPr>
      </w:pPr>
      <w:bookmarkStart w:id="86" w:name="_Toc3816"/>
      <w:r>
        <w:rPr>
          <w:rFonts w:hint="eastAsia" w:ascii="宋体" w:hAnsi="宋体" w:eastAsia="宋体" w:cs="宋体"/>
          <w:color w:val="auto"/>
          <w:sz w:val="24"/>
          <w:szCs w:val="24"/>
          <w:highlight w:val="none"/>
        </w:rPr>
        <w:t>九、合同签订、履行及验收</w:t>
      </w:r>
      <w:bookmarkEnd w:id="86"/>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招标文件、投标文件、澄清、补充合同等为政府采购合同的组成部分，具有同等法律效力。</w:t>
      </w:r>
    </w:p>
    <w:p>
      <w:pPr>
        <w:pStyle w:val="93"/>
        <w:spacing w:before="210" w:after="210"/>
        <w:ind w:firstLine="640"/>
        <w:outlineLvl w:val="2"/>
        <w:rPr>
          <w:rFonts w:hint="eastAsia" w:ascii="宋体" w:hAnsi="宋体" w:eastAsia="宋体" w:cs="宋体"/>
          <w:color w:val="auto"/>
          <w:sz w:val="24"/>
          <w:szCs w:val="24"/>
          <w:highlight w:val="none"/>
        </w:rPr>
      </w:pPr>
      <w:bookmarkStart w:id="87" w:name="_Toc30314"/>
      <w:r>
        <w:rPr>
          <w:rFonts w:hint="eastAsia" w:ascii="宋体" w:hAnsi="宋体" w:eastAsia="宋体" w:cs="宋体"/>
          <w:color w:val="auto"/>
          <w:sz w:val="24"/>
          <w:szCs w:val="24"/>
          <w:highlight w:val="none"/>
        </w:rPr>
        <w:t>（一）签订政府采购合同</w:t>
      </w:r>
      <w:bookmarkEnd w:id="87"/>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1．自中标通知书发出之日起30日内，采购人与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应按招标文件和</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投标文件的约定，签订书面合同。</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拒绝与采购人签订合同的，采购人可以按照《</w:t>
      </w:r>
      <w:r>
        <w:rPr>
          <w:rFonts w:hint="eastAsia" w:ascii="宋体" w:hAnsi="宋体" w:eastAsia="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政府采购法实施条例》第四十九条规定，确定下一候选人为</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，也可以重新开展政府采购活动。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3．采购人不得向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提出任何不合理的要求，作为签订合同的条件，不得与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私下订立背离合同实质性内容的任何协议，所签订的合同不得对招标文件和</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投标文件作实质性修改。</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4．质疑或者投诉事项可能影响中标、成交结果的，采购人应当暂停签订合同，已经签订合同的，应当中止履行合同。</w:t>
      </w:r>
    </w:p>
    <w:p>
      <w:pPr>
        <w:pStyle w:val="93"/>
        <w:spacing w:before="210" w:after="210"/>
        <w:ind w:firstLine="640"/>
        <w:outlineLvl w:val="2"/>
        <w:rPr>
          <w:rFonts w:hint="eastAsia" w:ascii="宋体" w:hAnsi="宋体" w:eastAsia="宋体" w:cs="宋体"/>
          <w:color w:val="auto"/>
          <w:sz w:val="24"/>
          <w:szCs w:val="24"/>
          <w:highlight w:val="none"/>
        </w:rPr>
      </w:pPr>
      <w:bookmarkStart w:id="88" w:name="_Toc993"/>
      <w:r>
        <w:rPr>
          <w:rFonts w:hint="eastAsia" w:ascii="宋体" w:hAnsi="宋体" w:eastAsia="宋体" w:cs="宋体"/>
          <w:color w:val="auto"/>
          <w:sz w:val="24"/>
          <w:szCs w:val="24"/>
          <w:highlight w:val="none"/>
        </w:rPr>
        <w:t>（二）合同公告及备案</w:t>
      </w:r>
      <w:bookmarkEnd w:id="8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1．采购人应当自政府采购合同签订之日起2个工作日内，在陕西省政府采购网对合同进行公示，但政府采购合同中涉及国家秘密、商业秘密的内容除外。</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2．采购人应自合同签订之日起7个工作日内将政府采购合同报送监管机构备案。</w:t>
      </w:r>
    </w:p>
    <w:p>
      <w:pPr>
        <w:pStyle w:val="93"/>
        <w:spacing w:before="210" w:after="210"/>
        <w:ind w:firstLine="640"/>
        <w:outlineLvl w:val="2"/>
        <w:rPr>
          <w:rFonts w:hint="eastAsia" w:ascii="宋体" w:hAnsi="宋体" w:eastAsia="宋体" w:cs="宋体"/>
          <w:color w:val="auto"/>
          <w:sz w:val="24"/>
          <w:szCs w:val="24"/>
          <w:highlight w:val="none"/>
        </w:rPr>
      </w:pPr>
      <w:bookmarkStart w:id="89" w:name="_Toc13241"/>
      <w:r>
        <w:rPr>
          <w:rFonts w:hint="eastAsia" w:ascii="宋体" w:hAnsi="宋体" w:eastAsia="宋体" w:cs="宋体"/>
          <w:color w:val="auto"/>
          <w:sz w:val="24"/>
          <w:szCs w:val="24"/>
          <w:highlight w:val="none"/>
        </w:rPr>
        <w:t>（三）履行合同</w:t>
      </w:r>
      <w:bookmarkEnd w:id="89"/>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1．合同一经签订，双方应严格履行合同规定的义务。</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2．在合同履行过程中，如发生合同纠纷，合同双方应按照《中华人民共和国民法典》及合同条款的有关规定进行处理。</w:t>
      </w:r>
    </w:p>
    <w:p>
      <w:pPr>
        <w:pStyle w:val="93"/>
        <w:spacing w:before="210" w:after="210"/>
        <w:ind w:firstLine="640"/>
        <w:outlineLvl w:val="2"/>
        <w:rPr>
          <w:rFonts w:hint="eastAsia" w:ascii="宋体" w:hAnsi="宋体" w:eastAsia="宋体" w:cs="宋体"/>
          <w:color w:val="auto"/>
          <w:sz w:val="24"/>
          <w:szCs w:val="24"/>
          <w:highlight w:val="none"/>
        </w:rPr>
      </w:pPr>
      <w:bookmarkStart w:id="90" w:name="_Toc28391"/>
      <w:r>
        <w:rPr>
          <w:rFonts w:hint="eastAsia" w:ascii="宋体" w:hAnsi="宋体" w:eastAsia="宋体" w:cs="宋体"/>
          <w:color w:val="auto"/>
          <w:sz w:val="24"/>
          <w:szCs w:val="24"/>
          <w:highlight w:val="none"/>
        </w:rPr>
        <w:t>（四）验收或考核</w:t>
      </w:r>
      <w:bookmarkEnd w:id="90"/>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1．采购人严格按照国家相关法律法规的要求及招标文件的要求组织验收或考核。</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2．采购人按《关于促进政府采购公平竞争优化营商环境的通知》（财库〔2019〕38号）、《保障中小企业款项支付条例》（国务院令第728号）等规定及采购合同的约定进行支付合同款项。</w:t>
      </w:r>
    </w:p>
    <w:p>
      <w:pPr>
        <w:pStyle w:val="4"/>
        <w:rPr>
          <w:rFonts w:hint="eastAsia" w:ascii="宋体" w:hAnsi="宋体" w:eastAsia="宋体" w:cs="宋体"/>
          <w:color w:val="auto"/>
          <w:sz w:val="24"/>
          <w:szCs w:val="24"/>
          <w:highlight w:val="none"/>
        </w:rPr>
      </w:pPr>
      <w:bookmarkStart w:id="91" w:name="_Toc8941"/>
      <w:r>
        <w:rPr>
          <w:rFonts w:hint="eastAsia" w:ascii="宋体" w:hAnsi="宋体" w:eastAsia="宋体" w:cs="宋体"/>
          <w:color w:val="auto"/>
          <w:sz w:val="24"/>
          <w:szCs w:val="24"/>
          <w:highlight w:val="none"/>
        </w:rPr>
        <w:t>十、废标及重新招标</w:t>
      </w:r>
      <w:bookmarkEnd w:id="91"/>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w:t>
      </w:r>
      <w:r>
        <w:rPr>
          <w:rFonts w:hint="eastAsia" w:ascii="宋体" w:hAnsi="宋体" w:eastAsia="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政府采购法》第三十六条规定，在招标采购中，出现下列情形之一的，本项目按废标处理：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（1）出现影响采购公正的违法、违规行为的；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的报价均超过了采购预算，采购人不能支付的；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（3）因重大变故，采购任务取消的。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废标后，除采购任务取消外，本项目将重新组织招标。</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3．在递交投标文件阶段、密封性等形式检查阶段、资格审查阶段或评标委员会评标阶段，当出现有效</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4．招标文件未明确的其他事项，按《</w:t>
      </w:r>
      <w:r>
        <w:rPr>
          <w:rFonts w:hint="eastAsia" w:ascii="宋体" w:hAnsi="宋体" w:eastAsia="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政府采购法》及其相关法律法规执行。</w:t>
      </w:r>
    </w:p>
    <w:p>
      <w:pPr>
        <w:rPr>
          <w:rFonts w:hint="eastAsia" w:ascii="宋体" w:hAnsi="宋体" w:eastAsia="宋体" w:cs="宋体"/>
          <w:color w:val="auto"/>
          <w:sz w:val="24"/>
          <w:szCs w:val="24"/>
          <w:highlight w:val="none"/>
        </w:rPr>
      </w:pPr>
      <w:bookmarkStart w:id="92" w:name="_Toc100219614"/>
      <w:r>
        <w:rPr>
          <w:rFonts w:hint="eastAsia" w:ascii="宋体" w:hAnsi="宋体" w:eastAsia="宋体" w:cs="宋体"/>
          <w:color w:val="auto"/>
          <w:sz w:val="24"/>
          <w:szCs w:val="24"/>
          <w:highlight w:val="none"/>
        </w:rPr>
        <w:br w:type="page"/>
      </w:r>
    </w:p>
    <w:p>
      <w:pPr>
        <w:pStyle w:val="3"/>
        <w:numPr>
          <w:ilvl w:val="0"/>
          <w:numId w:val="5"/>
        </w:numPr>
        <w:jc w:val="center"/>
        <w:outlineLvl w:val="9"/>
        <w:rPr>
          <w:rFonts w:hint="eastAsia" w:ascii="宋体" w:hAnsi="宋体" w:eastAsia="宋体" w:cs="宋体"/>
          <w:b/>
          <w:bCs/>
          <w:color w:val="auto"/>
          <w:highlight w:val="none"/>
        </w:rPr>
      </w:pPr>
      <w:bookmarkStart w:id="93" w:name="_Toc17694"/>
      <w:bookmarkStart w:id="94" w:name="_Toc31046"/>
      <w:r>
        <w:rPr>
          <w:rFonts w:hint="eastAsia" w:ascii="宋体" w:hAnsi="宋体" w:eastAsia="宋体" w:cs="宋体"/>
          <w:b/>
          <w:bCs/>
          <w:color w:val="auto"/>
          <w:highlight w:val="none"/>
        </w:rPr>
        <w:t xml:space="preserve"> 招标内容及要求</w:t>
      </w:r>
      <w:bookmarkEnd w:id="92"/>
      <w:bookmarkEnd w:id="93"/>
      <w:bookmarkEnd w:id="94"/>
      <w:bookmarkStart w:id="95" w:name="_Toc26024"/>
    </w:p>
    <w:p>
      <w:pPr>
        <w:pBdr>
          <w:bottom w:val="single" w:color="auto" w:sz="4" w:space="1"/>
        </w:pBdr>
        <w:spacing w:before="312" w:beforeLines="100"/>
        <w:ind w:left="420" w:hanging="42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一、电子阴道镜系统技术参数</w:t>
      </w:r>
    </w:p>
    <w:p>
      <w:pPr>
        <w:numPr>
          <w:ilvl w:val="0"/>
          <w:numId w:val="6"/>
        </w:num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整机要求</w:t>
      </w:r>
    </w:p>
    <w:p>
      <w:pPr>
        <w:numPr>
          <w:ilvl w:val="1"/>
          <w:numId w:val="7"/>
        </w:num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整机要求：投标产品镜头和工作站同时在国内组合注册，且必须是同一个产品名称通过</w:t>
      </w:r>
      <w:r>
        <w:rPr>
          <w:rFonts w:hint="eastAsia" w:ascii="宋体" w:hAnsi="宋体" w:eastAsia="宋体" w:cs="宋体"/>
          <w:color w:val="000000" w:themeColor="text1"/>
          <w:sz w:val="24"/>
          <w:szCs w:val="24"/>
          <w:lang w:val="en-US" w:eastAsia="zh-CN"/>
          <w14:textFill>
            <w14:solidFill>
              <w14:schemeClr w14:val="tx1"/>
            </w14:solidFill>
          </w14:textFill>
        </w:rPr>
        <w:t>NMPA</w:t>
      </w:r>
      <w:r>
        <w:rPr>
          <w:rFonts w:hint="eastAsia" w:ascii="宋体" w:hAnsi="宋体" w:eastAsia="宋体" w:cs="宋体"/>
          <w:color w:val="000000" w:themeColor="text1"/>
          <w:sz w:val="24"/>
          <w:szCs w:val="24"/>
          <w14:textFill>
            <w14:solidFill>
              <w14:schemeClr w14:val="tx1"/>
            </w14:solidFill>
          </w14:textFill>
        </w:rPr>
        <w:t>注册，不接受镜头或工作站单独注册产品或组合投标，提供注册证及注册登记表证明其符合要</w:t>
      </w:r>
      <w:r>
        <w:rPr>
          <w:rFonts w:hint="eastAsia" w:ascii="宋体" w:hAnsi="宋体" w:eastAsia="宋体" w:cs="宋体"/>
          <w:color w:val="000000" w:themeColor="text1"/>
          <w:sz w:val="24"/>
          <w:szCs w:val="24"/>
          <w:lang w:val="en-US" w:eastAsia="zh-CN"/>
          <w14:textFill>
            <w14:solidFill>
              <w14:schemeClr w14:val="tx1"/>
            </w14:solidFill>
          </w14:textFill>
        </w:rPr>
        <w:t>及</w:t>
      </w:r>
      <w:r>
        <w:rPr>
          <w:rFonts w:hint="eastAsia" w:ascii="宋体" w:hAnsi="宋体" w:eastAsia="宋体" w:cs="宋体"/>
          <w:color w:val="000000" w:themeColor="text1"/>
          <w:sz w:val="24"/>
          <w:szCs w:val="24"/>
          <w14:textFill>
            <w14:solidFill>
              <w14:schemeClr w14:val="tx1"/>
            </w14:solidFill>
          </w14:textFill>
        </w:rPr>
        <w:t>求。</w:t>
      </w:r>
    </w:p>
    <w:p>
      <w:pPr>
        <w:numPr>
          <w:ilvl w:val="1"/>
          <w:numId w:val="7"/>
        </w:num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产品适用范围：适用于女性外阴、阴道、宫颈疾病的非接触性观察和影像记录。</w:t>
      </w:r>
    </w:p>
    <w:p>
      <w:pPr>
        <w:spacing w:line="400" w:lineRule="exact"/>
        <w:rPr>
          <w:rFonts w:hint="eastAsia" w:ascii="宋体" w:hAnsi="宋体" w:eastAsia="宋体" w:cs="宋体"/>
          <w:color w:val="000000" w:themeColor="text1"/>
          <w:sz w:val="24"/>
          <w:szCs w:val="24"/>
          <w14:textFill>
            <w14:solidFill>
              <w14:schemeClr w14:val="tx1"/>
            </w14:solidFill>
          </w14:textFill>
        </w:rPr>
      </w:pPr>
    </w:p>
    <w:p>
      <w:pPr>
        <w:numPr>
          <w:ilvl w:val="0"/>
          <w:numId w:val="6"/>
        </w:numPr>
        <w:spacing w:line="400" w:lineRule="exact"/>
        <w:ind w:left="24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性能指标</w:t>
      </w:r>
    </w:p>
    <w:p>
      <w:pPr>
        <w:numPr>
          <w:ilvl w:val="1"/>
          <w:numId w:val="8"/>
        </w:numPr>
        <w:spacing w:line="400" w:lineRule="exact"/>
        <w:ind w:left="24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w:t>
      </w:r>
      <w:r>
        <w:rPr>
          <w:rFonts w:hint="eastAsia" w:ascii="宋体" w:hAnsi="宋体" w:eastAsia="宋体" w:cs="宋体"/>
          <w:color w:val="000000" w:themeColor="text1"/>
          <w:sz w:val="24"/>
          <w:szCs w:val="24"/>
          <w14:textFill>
            <w14:solidFill>
              <w14:schemeClr w14:val="tx1"/>
            </w14:solidFill>
          </w14:textFill>
        </w:rPr>
        <w:t>200万像素高清摄像模块，1080P视频输出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图像采集质量 ≥</w:t>
      </w:r>
      <w:r>
        <w:rPr>
          <w:rFonts w:hint="eastAsia" w:ascii="宋体" w:hAnsi="宋体" w:eastAsia="宋体" w:cs="宋体"/>
          <w:color w:val="000000" w:themeColor="text1"/>
          <w:sz w:val="24"/>
          <w:szCs w:val="24"/>
          <w:lang w:val="en-US" w:eastAsia="zh-CN"/>
          <w14:textFill>
            <w14:solidFill>
              <w14:schemeClr w14:val="tx1"/>
            </w14:solidFill>
          </w14:textFill>
        </w:rPr>
        <w:t>1920*1080。</w:t>
      </w:r>
    </w:p>
    <w:p>
      <w:pPr>
        <w:numPr>
          <w:ilvl w:val="1"/>
          <w:numId w:val="8"/>
        </w:numPr>
        <w:spacing w:line="400" w:lineRule="exact"/>
        <w:ind w:left="24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整机系统水平分辨率≥</w:t>
      </w:r>
      <w:r>
        <w:rPr>
          <w:rFonts w:hint="eastAsia" w:ascii="宋体" w:hAnsi="宋体" w:eastAsia="宋体" w:cs="宋体"/>
          <w:color w:val="000000" w:themeColor="text1"/>
          <w:sz w:val="24"/>
          <w:szCs w:val="24"/>
          <w:lang w:val="en-US" w:eastAsia="zh-CN"/>
          <w14:textFill>
            <w14:solidFill>
              <w14:schemeClr w14:val="tx1"/>
            </w14:solidFill>
          </w14:textFill>
        </w:rPr>
        <w:t>1110</w:t>
      </w:r>
      <w:r>
        <w:rPr>
          <w:rFonts w:hint="eastAsia" w:ascii="宋体" w:hAnsi="宋体" w:eastAsia="宋体" w:cs="宋体"/>
          <w:color w:val="000000" w:themeColor="text1"/>
          <w:sz w:val="24"/>
          <w:szCs w:val="24"/>
          <w14:textFill>
            <w14:solidFill>
              <w14:schemeClr w14:val="tx1"/>
            </w14:solidFill>
          </w14:textFill>
        </w:rPr>
        <w:t>TVL</w:t>
      </w:r>
      <w:r>
        <w:rPr>
          <w:rFonts w:hint="eastAsia" w:ascii="宋体" w:hAnsi="宋体" w:eastAsia="宋体" w:cs="宋体"/>
          <w:color w:val="000000" w:themeColor="text1"/>
          <w:sz w:val="24"/>
          <w:szCs w:val="24"/>
          <w:lang w:eastAsia="zh-CN"/>
          <w14:textFill>
            <w14:solidFill>
              <w14:schemeClr w14:val="tx1"/>
            </w14:solidFill>
          </w14:textFill>
        </w:rPr>
        <w:t>。</w:t>
      </w:r>
    </w:p>
    <w:p>
      <w:pPr>
        <w:numPr>
          <w:ilvl w:val="1"/>
          <w:numId w:val="8"/>
        </w:numPr>
        <w:spacing w:line="400" w:lineRule="exact"/>
        <w:ind w:left="24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自动聚焦/手动聚焦，三级白光观察和电子滤镜功能</w:t>
      </w:r>
      <w:r>
        <w:rPr>
          <w:rFonts w:hint="eastAsia" w:ascii="宋体" w:hAnsi="宋体" w:eastAsia="宋体" w:cs="宋体"/>
          <w:color w:val="000000" w:themeColor="text1"/>
          <w:sz w:val="24"/>
          <w:szCs w:val="24"/>
          <w:lang w:eastAsia="zh-CN"/>
          <w14:textFill>
            <w14:solidFill>
              <w14:schemeClr w14:val="tx1"/>
            </w14:solidFill>
          </w14:textFill>
        </w:rPr>
        <w:t>，按键计时功能</w:t>
      </w:r>
    </w:p>
    <w:p>
      <w:pPr>
        <w:numPr>
          <w:ilvl w:val="1"/>
          <w:numId w:val="8"/>
        </w:numPr>
        <w:spacing w:line="400" w:lineRule="exact"/>
        <w:ind w:left="24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具有按键控制自动计时功能，可显示/关闭；时长标记可显示。</w:t>
      </w:r>
    </w:p>
    <w:p>
      <w:pPr>
        <w:numPr>
          <w:ilvl w:val="1"/>
          <w:numId w:val="8"/>
        </w:numPr>
        <w:spacing w:line="400" w:lineRule="exact"/>
        <w:ind w:left="24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放大倍数为1～</w:t>
      </w:r>
      <w:r>
        <w:rPr>
          <w:rFonts w:hint="eastAsia" w:ascii="宋体" w:hAnsi="宋体" w:eastAsia="宋体" w:cs="宋体"/>
          <w:color w:val="000000" w:themeColor="text1"/>
          <w:sz w:val="24"/>
          <w:szCs w:val="24"/>
          <w:lang w:val="en-US" w:eastAsia="zh-CN"/>
          <w14:textFill>
            <w14:solidFill>
              <w14:schemeClr w14:val="tx1"/>
            </w14:solidFill>
          </w14:textFill>
        </w:rPr>
        <w:t>65</w:t>
      </w:r>
      <w:r>
        <w:rPr>
          <w:rFonts w:hint="eastAsia" w:ascii="宋体" w:hAnsi="宋体" w:eastAsia="宋体" w:cs="宋体"/>
          <w:color w:val="000000" w:themeColor="text1"/>
          <w:sz w:val="24"/>
          <w:szCs w:val="24"/>
          <w14:textFill>
            <w14:solidFill>
              <w14:schemeClr w14:val="tx1"/>
            </w14:solidFill>
          </w14:textFill>
        </w:rPr>
        <w:t>连续放大。</w:t>
      </w:r>
    </w:p>
    <w:p>
      <w:pPr>
        <w:numPr>
          <w:ilvl w:val="1"/>
          <w:numId w:val="8"/>
        </w:numPr>
        <w:spacing w:line="400" w:lineRule="exact"/>
        <w:ind w:left="24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镜头景深为放大4倍时 ≥40mm,放大18倍时 ≥5mm;视场范围为放大3倍时 ≥φ60mm；放大最大倍时 ≥φ6mm。</w:t>
      </w:r>
    </w:p>
    <w:p>
      <w:pPr>
        <w:numPr>
          <w:ilvl w:val="1"/>
          <w:numId w:val="8"/>
        </w:numPr>
        <w:spacing w:line="400" w:lineRule="exact"/>
        <w:ind w:left="24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工作距离为放大3倍时230mm±5mm～350mm±5mm。</w:t>
      </w:r>
    </w:p>
    <w:p>
      <w:pPr>
        <w:numPr>
          <w:ilvl w:val="1"/>
          <w:numId w:val="8"/>
        </w:numPr>
        <w:spacing w:line="400" w:lineRule="exact"/>
        <w:ind w:left="240" w:left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LED环形光源的色温为3200K-7000K,显色指数Ra≥76,温升≤1℃（20min）,光斑直径≥80mm;光源的照度可调节，当工作距离为200mm时目标中心照度的最大值≥5000Lx，当工作距离为300mm时目标中心照度的最大值≥3000Lx。</w:t>
      </w:r>
    </w:p>
    <w:p>
      <w:pPr>
        <w:numPr>
          <w:ilvl w:val="1"/>
          <w:numId w:val="8"/>
        </w:numPr>
        <w:spacing w:line="400" w:lineRule="exact"/>
        <w:ind w:left="240" w:left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w:t>
      </w:r>
      <w:r>
        <w:rPr>
          <w:rFonts w:hint="eastAsia" w:ascii="宋体" w:hAnsi="宋体" w:eastAsia="宋体" w:cs="宋体"/>
          <w:color w:val="000000" w:themeColor="text1"/>
          <w:sz w:val="24"/>
          <w:szCs w:val="24"/>
          <w14:textFill>
            <w14:solidFill>
              <w14:schemeClr w14:val="tx1"/>
            </w14:solidFill>
          </w14:textFill>
        </w:rPr>
        <w:t>辐射热≤350 W/㎡,</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紫外辐射强度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不超过0.008 W/m2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光源的均匀性为最大照度/平均照度≤1.5</w:t>
      </w:r>
      <w:r>
        <w:rPr>
          <w:rFonts w:hint="eastAsia" w:ascii="宋体" w:hAnsi="宋体" w:eastAsia="宋体" w:cs="宋体"/>
          <w:color w:val="000000" w:themeColor="text1"/>
          <w:sz w:val="24"/>
          <w:szCs w:val="24"/>
          <w:highlight w:val="none"/>
          <w14:textFill>
            <w14:solidFill>
              <w14:schemeClr w14:val="tx1"/>
            </w14:solidFill>
          </w14:textFill>
        </w:rPr>
        <w:t>。</w:t>
      </w:r>
    </w:p>
    <w:p>
      <w:pPr>
        <w:numPr>
          <w:ilvl w:val="1"/>
          <w:numId w:val="8"/>
        </w:numPr>
        <w:spacing w:line="400" w:lineRule="exact"/>
        <w:ind w:left="240" w:left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图像几何失真度为≤3%；视场中心的空间分辨力≥15 lP/mm;色彩饱和度平均值为95%～120%,色彩还原度最大误差不大于30 NBS，平均误差不大于20 NBS</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numPr>
          <w:ilvl w:val="1"/>
          <w:numId w:val="8"/>
        </w:numPr>
        <w:spacing w:line="400" w:lineRule="exact"/>
        <w:ind w:left="240" w:left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具有激光自动测距功能的技术，可以实时显示阴道镜头到宫颈的距离，方便医生掌握阴道镜最佳工作距离。</w:t>
      </w:r>
    </w:p>
    <w:p>
      <w:pPr>
        <w:spacing w:line="400" w:lineRule="exact"/>
        <w:ind w:left="240" w:leftChars="100"/>
        <w:rPr>
          <w:rFonts w:hint="eastAsia" w:ascii="宋体" w:hAnsi="宋体" w:eastAsia="宋体" w:cs="宋体"/>
          <w:color w:val="000000" w:themeColor="text1"/>
          <w:sz w:val="24"/>
          <w:szCs w:val="24"/>
          <w:highlight w:val="none"/>
          <w14:textFill>
            <w14:solidFill>
              <w14:schemeClr w14:val="tx1"/>
            </w14:solidFill>
          </w14:textFill>
        </w:rPr>
      </w:pPr>
    </w:p>
    <w:p>
      <w:pPr>
        <w:numPr>
          <w:ilvl w:val="0"/>
          <w:numId w:val="6"/>
        </w:num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整机功能配置</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可对病人信息进行录入、修改、删除、浏览和查询；可设定预约和随访；可对病史、妇检、病理学/HPV/细胞学检查结果、LEEP手术记录等信息进行浏览和编辑功能。</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病人可通过微信下载电子报告单，也可通过微信修改预约和随访。</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可刷病人身份证读取病人身份证信息。</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可对图像进行注释、标记、测量计算，调节亮度和对比度，可全屏放大和浏览高清图片;定时自动采图；视频录制和录像回放；录制过程中采图，视频回放时采图</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可提供临床常见病例图谱。</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w:t>
      </w:r>
      <w:r>
        <w:rPr>
          <w:rFonts w:hint="eastAsia" w:ascii="宋体" w:hAnsi="宋体" w:eastAsia="宋体" w:cs="宋体"/>
          <w:color w:val="000000" w:themeColor="text1"/>
          <w:kern w:val="0"/>
          <w:sz w:val="24"/>
          <w:szCs w:val="24"/>
          <w:highlight w:val="none"/>
          <w14:textFill>
            <w14:solidFill>
              <w14:schemeClr w14:val="tx1"/>
            </w14:solidFill>
          </w14:textFill>
        </w:rPr>
        <w:t>IFCPC2011/ASCCP 2017阴道镜专业术语</w:t>
      </w:r>
      <w:r>
        <w:rPr>
          <w:rFonts w:hint="eastAsia" w:ascii="宋体" w:hAnsi="宋体" w:eastAsia="宋体" w:cs="宋体"/>
          <w:color w:val="000000" w:themeColor="text1"/>
          <w:sz w:val="24"/>
          <w:szCs w:val="24"/>
          <w:highlight w:val="none"/>
          <w14:textFill>
            <w14:solidFill>
              <w14:schemeClr w14:val="tx1"/>
            </w14:solidFill>
          </w14:textFill>
        </w:rPr>
        <w:t>，可进行国际认可的RCI评估和Swede评估。</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软件具有随访提醒功能，医生可通过软件向病人发送随访提醒短信</w:t>
      </w:r>
      <w:r>
        <w:rPr>
          <w:rFonts w:hint="eastAsia" w:ascii="宋体" w:hAnsi="宋体" w:eastAsia="宋体" w:cs="宋体"/>
          <w:color w:val="000000" w:themeColor="text1"/>
          <w:sz w:val="24"/>
          <w:szCs w:val="24"/>
          <w:highlight w:val="none"/>
          <w14:textFill>
            <w14:solidFill>
              <w14:schemeClr w14:val="tx1"/>
            </w14:solidFill>
          </w14:textFill>
        </w:rPr>
        <w:t>提供多种检查/手术报告单模板。</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病人资料可导出；病例数据信息可自动备份与恢复。</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统计分析功能：可生成统计图表和数据列表；图表和数据列表可导出excel表格。</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标配一键联网叫号客户端主机，实现排队叫号，视频宣教，系统不低于安卓4.44。</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局域网功能：提供DICOM 3.0数据接口、可连接院内HIS、PACS系统。</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广域网功能：可支持阴道镜数据管理系统联网，从阴道镜管理系统中下载数据，并将检查数据自动上传或手动上传到阴道镜数据管理系统。</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远程教学系统接口：连接专用远程教学软件后，可实现主任端电脑和门诊阴道镜实时同步，可远程指导门诊检查医生操作，远程拟诊，远程查看门诊阴道镜病例。</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会议直播教学接口：可实现会议室屏幕和门诊阴道镜实时同步，可进行阴道镜远程实操教学、直播培训。</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SDI高清视频采集卡。</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高性能计算机主机：Intel芯片高速主板，Intel 3.5G以上高速CPU,4G以上 DDR高速内存，1T以上高速硬盘；配置22寸高清液晶显示器，360°可调节显示器支架；照片级彩色喷墨打印机；一体化医疗仪器推车，可升降直立式移动支架。 </w:t>
      </w:r>
    </w:p>
    <w:p>
      <w:pPr>
        <w:numPr>
          <w:ilvl w:val="1"/>
          <w:numId w:val="9"/>
        </w:num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配备专用的镜头硅胶保护套，是按照镜头按键和手柄外型开模，一次注塑成型的。可高温高压消毒。用于保护镜头按键和手柄，减少交叉感染风险。</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pStyle w:val="4"/>
        <w:keepNext w:val="0"/>
        <w:keepLines w:val="0"/>
        <w:pageBreakBefore w:val="0"/>
        <w:widowControl/>
        <w:kinsoku/>
        <w:wordWrap/>
        <w:overflowPunct/>
        <w:topLinePunct w:val="0"/>
        <w:autoSpaceDE/>
        <w:autoSpaceDN/>
        <w:bidi w:val="0"/>
        <w:spacing w:line="48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、商务要求</w:t>
      </w:r>
    </w:p>
    <w:p>
      <w:pPr>
        <w:keepNext w:val="0"/>
        <w:keepLines w:val="0"/>
        <w:pageBreakBefore w:val="0"/>
        <w:widowControl/>
        <w:kinsoku/>
        <w:wordWrap/>
        <w:overflowPunct/>
        <w:topLinePunct w:val="0"/>
        <w:autoSpaceDE/>
        <w:autoSpaceDN/>
        <w:bidi w:val="0"/>
        <w:spacing w:line="480" w:lineRule="exact"/>
        <w:ind w:firstLine="480" w:firstLineChars="200"/>
        <w:textAlignment w:val="auto"/>
        <w:outlineLvl w:val="2"/>
        <w:rPr>
          <w:rFonts w:hint="eastAsia" w:ascii="宋体" w:hAnsi="宋体" w:eastAsia="宋体" w:cs="宋体"/>
          <w:sz w:val="24"/>
          <w:szCs w:val="24"/>
          <w:highlight w:val="none"/>
        </w:rPr>
      </w:pPr>
      <w:bookmarkStart w:id="96" w:name="_Toc24247"/>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交货期</w:t>
      </w:r>
      <w:r>
        <w:rPr>
          <w:rFonts w:hint="eastAsia" w:ascii="宋体" w:hAnsi="宋体" w:eastAsia="宋体" w:cs="宋体"/>
          <w:b/>
          <w:sz w:val="24"/>
          <w:szCs w:val="24"/>
          <w:highlight w:val="none"/>
        </w:rPr>
        <w:t>及地点：</w:t>
      </w:r>
      <w:bookmarkEnd w:id="96"/>
    </w:p>
    <w:p>
      <w:pPr>
        <w:keepNext w:val="0"/>
        <w:keepLines w:val="0"/>
        <w:pageBreakBefore w:val="0"/>
        <w:widowControl/>
        <w:kinsoku/>
        <w:wordWrap/>
        <w:overflowPunct/>
        <w:topLinePunct w:val="0"/>
        <w:autoSpaceDE/>
        <w:autoSpaceDN/>
        <w:bidi w:val="0"/>
        <w:adjustRightInd w:val="0"/>
        <w:snapToGrid w:val="0"/>
        <w:spacing w:line="480" w:lineRule="exact"/>
        <w:ind w:firstLine="840" w:firstLineChars="350"/>
        <w:textAlignment w:val="auto"/>
        <w:rPr>
          <w:rFonts w:hint="eastAsia" w:ascii="宋体" w:hAnsi="宋体" w:eastAsia="宋体" w:cs="宋体"/>
          <w:sz w:val="24"/>
          <w:szCs w:val="24"/>
          <w:highlight w:val="none"/>
          <w:lang w:eastAsia="zh-CN"/>
        </w:rPr>
      </w:pPr>
      <w:bookmarkStart w:id="97" w:name="_Toc167712839"/>
      <w:bookmarkStart w:id="98" w:name="_Toc167715234"/>
      <w:bookmarkStart w:id="99" w:name="_Toc167714037"/>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eastAsia="zh-CN"/>
        </w:rPr>
        <w:t>交货期</w:t>
      </w:r>
      <w:r>
        <w:rPr>
          <w:rFonts w:hint="eastAsia" w:ascii="宋体" w:hAnsi="宋体" w:eastAsia="宋体" w:cs="宋体"/>
          <w:sz w:val="24"/>
          <w:szCs w:val="24"/>
          <w:highlight w:val="none"/>
        </w:rPr>
        <w:t>：</w:t>
      </w:r>
      <w:bookmarkEnd w:id="97"/>
      <w:bookmarkEnd w:id="98"/>
      <w:bookmarkEnd w:id="99"/>
      <w:r>
        <w:rPr>
          <w:rFonts w:hint="eastAsia" w:ascii="宋体" w:hAnsi="宋体"/>
          <w:color w:val="auto"/>
          <w:sz w:val="24"/>
          <w:highlight w:val="none"/>
        </w:rPr>
        <w:t>自合同签订之日起30天内，按需配送</w:t>
      </w:r>
      <w:r>
        <w:rPr>
          <w:rFonts w:hint="eastAsia" w:ascii="宋体" w:hAnsi="宋体" w:eastAsia="宋体" w:cs="宋体"/>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80" w:lineRule="exact"/>
        <w:ind w:firstLine="840" w:firstLineChars="3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交货地点：</w:t>
      </w:r>
      <w:r>
        <w:rPr>
          <w:rFonts w:hint="eastAsia" w:ascii="宋体" w:hAnsi="宋体" w:cs="宋体"/>
          <w:color w:val="auto"/>
          <w:kern w:val="0"/>
          <w:sz w:val="24"/>
          <w:highlight w:val="none"/>
          <w:lang w:eastAsia="zh-CN"/>
        </w:rPr>
        <w:t>西安市鄠邑区妇幼保健计划生育服务中心（区妇幼保健院）</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outlineLvl w:val="2"/>
        <w:rPr>
          <w:rFonts w:hint="eastAsia" w:ascii="宋体" w:hAnsi="宋体" w:eastAsia="宋体" w:cs="宋体"/>
          <w:b/>
          <w:sz w:val="24"/>
          <w:highlight w:val="none"/>
        </w:rPr>
      </w:pPr>
      <w:bookmarkStart w:id="100" w:name="_Toc23647"/>
      <w:r>
        <w:rPr>
          <w:rFonts w:hint="eastAsia" w:ascii="宋体" w:hAnsi="宋体" w:eastAsia="宋体" w:cs="宋体"/>
          <w:b/>
          <w:sz w:val="24"/>
          <w:highlight w:val="none"/>
          <w:lang w:val="en-US" w:eastAsia="zh-CN"/>
        </w:rPr>
        <w:t>2.</w:t>
      </w:r>
      <w:r>
        <w:rPr>
          <w:rFonts w:hint="eastAsia" w:ascii="宋体" w:hAnsi="宋体" w:eastAsia="宋体" w:cs="宋体"/>
          <w:b/>
          <w:sz w:val="24"/>
          <w:highlight w:val="none"/>
        </w:rPr>
        <w:t>包装、运输、安装、调试及培训要求：</w:t>
      </w:r>
      <w:bookmarkEnd w:id="100"/>
    </w:p>
    <w:p>
      <w:pPr>
        <w:keepNext w:val="0"/>
        <w:keepLines w:val="0"/>
        <w:pageBreakBefore w:val="0"/>
        <w:widowControl/>
        <w:kinsoku/>
        <w:wordWrap/>
        <w:overflowPunct/>
        <w:topLinePunct w:val="0"/>
        <w:autoSpaceDE/>
        <w:autoSpaceDN/>
        <w:bidi w:val="0"/>
        <w:adjustRightInd w:val="0"/>
        <w:snapToGrid w:val="0"/>
        <w:spacing w:line="480" w:lineRule="exact"/>
        <w:ind w:firstLine="828" w:firstLineChars="345"/>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2.1</w:t>
      </w:r>
      <w:r>
        <w:rPr>
          <w:rFonts w:hint="eastAsia" w:ascii="宋体" w:hAnsi="宋体" w:eastAsia="宋体" w:cs="宋体"/>
          <w:sz w:val="24"/>
          <w:highlight w:val="none"/>
        </w:rPr>
        <w:t>包装：应采取防潮、防晒、防腐蚀、防震动及防止其它损坏的必要措施。</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应承担由于其包装或防护措施不妥而引起的货物锈蚀、损坏和丢失等任何损失造成的责任或费用。</w:t>
      </w:r>
    </w:p>
    <w:p>
      <w:pPr>
        <w:keepNext w:val="0"/>
        <w:keepLines w:val="0"/>
        <w:pageBreakBefore w:val="0"/>
        <w:widowControl/>
        <w:kinsoku/>
        <w:wordWrap/>
        <w:overflowPunct/>
        <w:topLinePunct w:val="0"/>
        <w:autoSpaceDE/>
        <w:autoSpaceDN/>
        <w:bidi w:val="0"/>
        <w:adjustRightInd w:val="0"/>
        <w:snapToGrid w:val="0"/>
        <w:spacing w:line="480" w:lineRule="exact"/>
        <w:ind w:firstLine="828" w:firstLineChars="345"/>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2.2</w:t>
      </w:r>
      <w:r>
        <w:rPr>
          <w:rFonts w:hint="eastAsia" w:ascii="宋体" w:hAnsi="宋体" w:eastAsia="宋体" w:cs="宋体"/>
          <w:sz w:val="24"/>
          <w:highlight w:val="none"/>
        </w:rPr>
        <w:t>运输：选择运输风险小、运费低、距离短的运输路线。运杂费一次包死在总价内，包括生产厂到施工现场所需的装卸、运输（含保险费）、现场保管费、二次倒运费、吊装费等费用。</w:t>
      </w:r>
    </w:p>
    <w:p>
      <w:pPr>
        <w:keepNext w:val="0"/>
        <w:keepLines w:val="0"/>
        <w:pageBreakBefore w:val="0"/>
        <w:widowControl/>
        <w:kinsoku/>
        <w:wordWrap/>
        <w:overflowPunct/>
        <w:topLinePunct w:val="0"/>
        <w:autoSpaceDE/>
        <w:autoSpaceDN/>
        <w:bidi w:val="0"/>
        <w:adjustRightInd w:val="0"/>
        <w:snapToGrid w:val="0"/>
        <w:spacing w:line="480" w:lineRule="exact"/>
        <w:ind w:firstLine="828" w:firstLineChars="345"/>
        <w:textAlignment w:val="auto"/>
        <w:rPr>
          <w:rFonts w:hint="eastAsia" w:ascii="宋体" w:hAnsi="宋体" w:eastAsia="宋体" w:cs="宋体"/>
          <w:b/>
          <w:bCs/>
          <w:sz w:val="24"/>
          <w:highlight w:val="none"/>
        </w:rPr>
      </w:pPr>
      <w:r>
        <w:rPr>
          <w:rFonts w:hint="eastAsia" w:ascii="宋体" w:hAnsi="宋体" w:eastAsia="宋体" w:cs="宋体"/>
          <w:sz w:val="24"/>
          <w:highlight w:val="none"/>
          <w:lang w:val="en-US" w:eastAsia="zh-CN"/>
        </w:rPr>
        <w:t>2.3</w:t>
      </w:r>
      <w:r>
        <w:rPr>
          <w:rFonts w:hint="eastAsia" w:ascii="宋体" w:hAnsi="宋体" w:eastAsia="宋体" w:cs="宋体"/>
          <w:sz w:val="24"/>
          <w:highlight w:val="none"/>
        </w:rPr>
        <w:t>安装、调试</w:t>
      </w:r>
      <w:r>
        <w:rPr>
          <w:rFonts w:hint="eastAsia" w:ascii="宋体" w:hAnsi="宋体" w:eastAsia="宋体" w:cs="宋体"/>
          <w:sz w:val="24"/>
          <w:highlight w:val="none"/>
          <w:lang w:eastAsia="zh-CN"/>
        </w:rPr>
        <w:t>、</w:t>
      </w:r>
      <w:r>
        <w:rPr>
          <w:rFonts w:hint="eastAsia" w:ascii="宋体" w:hAnsi="宋体" w:eastAsia="宋体" w:cs="宋体"/>
          <w:sz w:val="24"/>
          <w:highlight w:val="none"/>
        </w:rPr>
        <w:t>培训：</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负责所有设备的安装、调试工作，所有费用一次包死在总价内。</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应免费培训科室工作人员熟练掌握设备操作及设备今后免费系统升级。</w:t>
      </w:r>
    </w:p>
    <w:p>
      <w:pPr>
        <w:keepNext w:val="0"/>
        <w:keepLines w:val="0"/>
        <w:pageBreakBefore w:val="0"/>
        <w:widowControl/>
        <w:kinsoku/>
        <w:wordWrap/>
        <w:overflowPunct/>
        <w:topLinePunct w:val="0"/>
        <w:autoSpaceDE/>
        <w:autoSpaceDN/>
        <w:bidi w:val="0"/>
        <w:spacing w:line="480" w:lineRule="exact"/>
        <w:ind w:firstLine="480" w:firstLineChars="200"/>
        <w:textAlignment w:val="auto"/>
        <w:outlineLvl w:val="2"/>
        <w:rPr>
          <w:rFonts w:hint="eastAsia" w:ascii="宋体" w:hAnsi="宋体" w:eastAsia="宋体" w:cs="宋体"/>
          <w:sz w:val="24"/>
          <w:highlight w:val="none"/>
        </w:rPr>
      </w:pPr>
      <w:bookmarkStart w:id="101" w:name="_Toc14764"/>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付款方式：</w:t>
      </w:r>
      <w:bookmarkEnd w:id="101"/>
    </w:p>
    <w:p>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b/>
          <w:bCs/>
          <w:sz w:val="24"/>
          <w:highlight w:val="none"/>
          <w:lang w:val="en-US" w:eastAsia="zh-CN"/>
        </w:rPr>
      </w:pPr>
      <w:bookmarkStart w:id="102" w:name="_Toc3408"/>
      <w:r>
        <w:rPr>
          <w:rFonts w:hint="eastAsia" w:ascii="宋体" w:hAnsi="宋体"/>
          <w:color w:val="auto"/>
          <w:sz w:val="24"/>
          <w:highlight w:val="none"/>
        </w:rPr>
        <w:t>货物安装调试使用合格验收后支付总金额的60%，一年后无质量问题支付总金额的30%，二年后无质量问题支付剩余10%</w:t>
      </w:r>
      <w:r>
        <w:rPr>
          <w:rFonts w:hint="eastAsia" w:ascii="宋体" w:hAnsi="宋体" w:eastAsia="宋体" w:cs="宋体"/>
          <w:b w:val="0"/>
          <w:bCs w:val="0"/>
          <w:sz w:val="24"/>
          <w:highlight w:val="none"/>
          <w:lang w:val="en-US" w:eastAsia="zh-CN"/>
        </w:rPr>
        <w:t>。</w:t>
      </w:r>
    </w:p>
    <w:p>
      <w:pPr>
        <w:keepNext w:val="0"/>
        <w:keepLines w:val="0"/>
        <w:pageBreakBefore w:val="0"/>
        <w:widowControl/>
        <w:tabs>
          <w:tab w:val="left" w:pos="3918"/>
        </w:tabs>
        <w:kinsoku/>
        <w:wordWrap/>
        <w:overflowPunct/>
        <w:topLinePunct w:val="0"/>
        <w:autoSpaceDE/>
        <w:autoSpaceDN/>
        <w:bidi w:val="0"/>
        <w:adjustRightInd w:val="0"/>
        <w:snapToGrid w:val="0"/>
        <w:spacing w:line="480" w:lineRule="exact"/>
        <w:ind w:firstLine="470" w:firstLineChars="196"/>
        <w:textAlignment w:val="auto"/>
        <w:outlineLvl w:val="2"/>
        <w:rPr>
          <w:rFonts w:hint="eastAsia" w:ascii="宋体" w:hAnsi="宋体" w:eastAsia="宋体" w:cs="宋体"/>
          <w:b/>
          <w:sz w:val="24"/>
          <w:highlight w:val="none"/>
        </w:rPr>
      </w:pPr>
      <w:r>
        <w:rPr>
          <w:rFonts w:hint="eastAsia" w:ascii="宋体" w:hAnsi="宋体" w:eastAsia="宋体" w:cs="宋体"/>
          <w:b/>
          <w:sz w:val="24"/>
          <w:highlight w:val="none"/>
          <w:lang w:val="en-US" w:eastAsia="zh-CN"/>
        </w:rPr>
        <w:t>4.</w:t>
      </w:r>
      <w:r>
        <w:rPr>
          <w:rFonts w:hint="eastAsia" w:ascii="宋体" w:hAnsi="宋体" w:eastAsia="宋体" w:cs="宋体"/>
          <w:b/>
          <w:sz w:val="24"/>
          <w:highlight w:val="none"/>
        </w:rPr>
        <w:t>验收</w:t>
      </w:r>
      <w:bookmarkStart w:id="103" w:name="_Toc167714041"/>
      <w:bookmarkStart w:id="104" w:name="_Toc167715238"/>
      <w:bookmarkStart w:id="105" w:name="_Toc167712843"/>
      <w:r>
        <w:rPr>
          <w:rFonts w:hint="eastAsia" w:ascii="宋体" w:hAnsi="宋体" w:eastAsia="宋体" w:cs="宋体"/>
          <w:b/>
          <w:sz w:val="24"/>
          <w:highlight w:val="none"/>
        </w:rPr>
        <w:t>:</w:t>
      </w:r>
      <w:bookmarkEnd w:id="102"/>
      <w:r>
        <w:rPr>
          <w:rFonts w:hint="eastAsia" w:ascii="宋体" w:hAnsi="宋体" w:eastAsia="宋体" w:cs="宋体"/>
          <w:b/>
          <w:sz w:val="24"/>
          <w:highlight w:val="none"/>
        </w:rPr>
        <w:tab/>
      </w:r>
    </w:p>
    <w:p>
      <w:pPr>
        <w:keepNext w:val="0"/>
        <w:keepLines w:val="0"/>
        <w:pageBreakBefore w:val="0"/>
        <w:widowControl/>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设备的验收执行</w:t>
      </w:r>
      <w:r>
        <w:rPr>
          <w:rFonts w:hint="eastAsia" w:ascii="宋体" w:hAnsi="宋体" w:eastAsia="宋体" w:cs="宋体"/>
          <w:color w:val="000000" w:themeColor="text1"/>
          <w:sz w:val="24"/>
          <w:szCs w:val="24"/>
          <w:highlight w:val="none"/>
          <w14:textFill>
            <w14:solidFill>
              <w14:schemeClr w14:val="tx1"/>
            </w14:solidFill>
          </w14:textFill>
        </w:rPr>
        <w:t>国家标准或国家行政部门颁布的法律法规、规章制度等，没有国家标准的，可以参考行业标准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4.1</w:t>
      </w:r>
      <w:r>
        <w:rPr>
          <w:rFonts w:hint="eastAsia" w:ascii="宋体" w:hAnsi="宋体" w:eastAsia="宋体" w:cs="宋体"/>
          <w:sz w:val="24"/>
          <w:highlight w:val="none"/>
        </w:rPr>
        <w:t>项目验收分初验和终验:</w:t>
      </w:r>
      <w:bookmarkEnd w:id="103"/>
      <w:bookmarkEnd w:id="104"/>
      <w:bookmarkEnd w:id="105"/>
      <w:bookmarkStart w:id="106" w:name="_Toc167714042"/>
      <w:bookmarkStart w:id="107" w:name="_Toc167715239"/>
      <w:bookmarkStart w:id="108" w:name="_Toc167712844"/>
    </w:p>
    <w:bookmarkEnd w:id="106"/>
    <w:bookmarkEnd w:id="107"/>
    <w:bookmarkEnd w:id="108"/>
    <w:p>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sz w:val="24"/>
          <w:highlight w:val="none"/>
        </w:rPr>
      </w:pPr>
      <w:bookmarkStart w:id="109" w:name="_Toc167715241"/>
      <w:bookmarkStart w:id="110" w:name="_Toc167714044"/>
      <w:bookmarkStart w:id="111" w:name="_Toc167712846"/>
      <w:r>
        <w:rPr>
          <w:rFonts w:hint="eastAsia" w:ascii="宋体" w:hAnsi="宋体" w:eastAsia="宋体" w:cs="宋体"/>
          <w:sz w:val="24"/>
          <w:highlight w:val="none"/>
        </w:rPr>
        <w:t>初验：货物到达交货地点后，由使用单位根据合同对货物的名称、品牌、规格、型号、产地、数量进行检查。</w:t>
      </w:r>
    </w:p>
    <w:p>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终验：所有货物安装完毕，正常使用10个日历日后，由采购人、使用单位进行终验（最终验收），合格后签发《终验合格单》。</w:t>
      </w:r>
      <w:r>
        <w:rPr>
          <w:rFonts w:hint="eastAsia" w:ascii="宋体" w:hAnsi="宋体" w:eastAsia="宋体" w:cs="宋体"/>
          <w:sz w:val="24"/>
          <w:highlight w:val="none"/>
        </w:rPr>
        <w:cr/>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4.2</w:t>
      </w:r>
      <w:r>
        <w:rPr>
          <w:rFonts w:hint="eastAsia" w:ascii="宋体" w:hAnsi="宋体" w:eastAsia="宋体" w:cs="宋体"/>
          <w:sz w:val="24"/>
          <w:highlight w:val="none"/>
        </w:rPr>
        <w:t>验收不合格的</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，必须在接到通知后7个日历日内确保货物通过验收。如接到通知后7个日历日内验收仍不合格，采购人可提出索赔或取消其供货合同。采购代理机构将把成交资格授予评审排序下一名的</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w:t>
      </w:r>
    </w:p>
    <w:p>
      <w:pPr>
        <w:keepNext w:val="0"/>
        <w:keepLines w:val="0"/>
        <w:pageBreakBefore w:val="0"/>
        <w:widowControl/>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4.3</w:t>
      </w:r>
      <w:r>
        <w:rPr>
          <w:rFonts w:hint="eastAsia" w:ascii="宋体" w:hAnsi="宋体" w:eastAsia="宋体" w:cs="宋体"/>
          <w:sz w:val="24"/>
          <w:highlight w:val="none"/>
        </w:rPr>
        <w:t>验收依据</w:t>
      </w:r>
      <w:bookmarkEnd w:id="109"/>
      <w:bookmarkEnd w:id="110"/>
      <w:bookmarkEnd w:id="111"/>
      <w:bookmarkStart w:id="112" w:name="_Toc167715242"/>
      <w:bookmarkStart w:id="113" w:name="_Toc167714045"/>
      <w:bookmarkStart w:id="114" w:name="_Toc167712847"/>
    </w:p>
    <w:bookmarkEnd w:id="112"/>
    <w:bookmarkEnd w:id="113"/>
    <w:bookmarkEnd w:id="114"/>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val="0"/>
          <w:bCs/>
          <w:sz w:val="24"/>
          <w:highlight w:val="none"/>
          <w:lang w:val="en-US" w:eastAsia="zh-CN"/>
        </w:rPr>
      </w:pPr>
      <w:bookmarkStart w:id="115" w:name="_Toc1389"/>
      <w:r>
        <w:rPr>
          <w:rFonts w:hint="eastAsia" w:ascii="宋体" w:hAnsi="宋体" w:eastAsia="宋体" w:cs="宋体"/>
          <w:b w:val="0"/>
          <w:bCs/>
          <w:sz w:val="24"/>
          <w:highlight w:val="none"/>
          <w:lang w:val="en-US" w:eastAsia="zh-CN"/>
        </w:rPr>
        <w:t xml:space="preserve">4.3.1合同文本及合同补充文件（条款）； </w:t>
      </w:r>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4.3.2产品的合法来源渠道证明文件、响应功能证明材料；</w:t>
      </w:r>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4.3.3公开招标文件；</w:t>
      </w:r>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4.3.4中标人的投标文件；</w:t>
      </w:r>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4.3.5货物清单；</w:t>
      </w:r>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4.3.6生产厂家的企业资质、货物的执行标准。</w:t>
      </w:r>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5.质量保证</w:t>
      </w:r>
      <w:bookmarkEnd w:id="115"/>
    </w:p>
    <w:p>
      <w:pPr>
        <w:pStyle w:val="4"/>
        <w:keepNext w:val="0"/>
        <w:keepLines w:val="0"/>
        <w:pageBreakBefore w:val="0"/>
        <w:widowControl/>
        <w:kinsoku/>
        <w:wordWrap/>
        <w:overflowPunct/>
        <w:topLinePunct w:val="0"/>
        <w:autoSpaceDE/>
        <w:autoSpaceDN/>
        <w:bidi w:val="0"/>
        <w:spacing w:line="480" w:lineRule="exact"/>
        <w:textAlignment w:val="auto"/>
        <w:rPr>
          <w:rFonts w:hint="eastAsia" w:ascii="宋体" w:hAnsi="宋体" w:eastAsia="宋体" w:cs="宋体"/>
          <w:b w:val="0"/>
          <w:bCs/>
          <w:sz w:val="24"/>
          <w:highlight w:val="none"/>
          <w:lang w:val="en-US" w:eastAsia="zh-CN"/>
        </w:rPr>
      </w:pPr>
      <w:bookmarkStart w:id="116" w:name="_Toc30956"/>
      <w:r>
        <w:rPr>
          <w:rFonts w:hint="eastAsia" w:ascii="宋体" w:hAnsi="宋体" w:eastAsia="宋体" w:cs="宋体"/>
          <w:b w:val="0"/>
          <w:bCs/>
          <w:sz w:val="24"/>
          <w:highlight w:val="none"/>
          <w:lang w:val="en-US" w:eastAsia="zh-CN"/>
        </w:rPr>
        <w:t>5.1设备整机质保二年，终身免费维修（只收取成本费）（参数中有具体要求的，按参数要求提供质保）。中标人承诺的质保时间超过招标文件要求的，按其承诺时间质保。</w:t>
      </w:r>
      <w:bookmarkEnd w:id="116"/>
    </w:p>
    <w:p>
      <w:pPr>
        <w:pStyle w:val="4"/>
        <w:keepNext w:val="0"/>
        <w:keepLines w:val="0"/>
        <w:pageBreakBefore w:val="0"/>
        <w:widowControl/>
        <w:kinsoku/>
        <w:wordWrap/>
        <w:overflowPunct/>
        <w:topLinePunct w:val="0"/>
        <w:autoSpaceDE/>
        <w:autoSpaceDN/>
        <w:bidi w:val="0"/>
        <w:spacing w:line="480" w:lineRule="exact"/>
        <w:textAlignment w:val="auto"/>
        <w:outlineLvl w:val="3"/>
        <w:rPr>
          <w:rFonts w:hint="eastAsia" w:ascii="宋体" w:hAnsi="宋体" w:eastAsia="宋体" w:cs="宋体"/>
          <w:b w:val="0"/>
          <w:bCs/>
          <w:sz w:val="24"/>
          <w:highlight w:val="none"/>
          <w:lang w:val="en-US" w:eastAsia="zh-CN"/>
        </w:rPr>
      </w:pPr>
      <w:bookmarkStart w:id="117" w:name="_Toc11290"/>
      <w:r>
        <w:rPr>
          <w:rFonts w:hint="eastAsia" w:ascii="宋体" w:hAnsi="宋体" w:eastAsia="宋体" w:cs="宋体"/>
          <w:b w:val="0"/>
          <w:bCs/>
          <w:sz w:val="24"/>
          <w:highlight w:val="none"/>
          <w:lang w:val="en-US" w:eastAsia="zh-CN"/>
        </w:rPr>
        <w:t>5.2中标人承诺的质保期起始时间为终验合格之日。</w:t>
      </w:r>
      <w:bookmarkEnd w:id="117"/>
    </w:p>
    <w:p>
      <w:pPr>
        <w:pStyle w:val="4"/>
        <w:keepNext w:val="0"/>
        <w:keepLines w:val="0"/>
        <w:pageBreakBefore w:val="0"/>
        <w:widowControl/>
        <w:kinsoku/>
        <w:wordWrap/>
        <w:overflowPunct/>
        <w:topLinePunct w:val="0"/>
        <w:autoSpaceDE/>
        <w:autoSpaceDN/>
        <w:bidi w:val="0"/>
        <w:spacing w:line="480" w:lineRule="exact"/>
        <w:textAlignment w:val="auto"/>
        <w:rPr>
          <w:rFonts w:hint="eastAsia" w:ascii="宋体" w:hAnsi="宋体" w:eastAsia="宋体" w:cs="宋体"/>
          <w:b w:val="0"/>
          <w:bCs/>
          <w:sz w:val="24"/>
          <w:highlight w:val="none"/>
          <w:lang w:val="en-US" w:eastAsia="zh-CN"/>
        </w:rPr>
      </w:pPr>
      <w:bookmarkStart w:id="118" w:name="_Toc17915"/>
      <w:r>
        <w:rPr>
          <w:rFonts w:hint="eastAsia" w:ascii="宋体" w:hAnsi="宋体" w:eastAsia="宋体" w:cs="宋体"/>
          <w:b w:val="0"/>
          <w:bCs/>
          <w:sz w:val="24"/>
          <w:highlight w:val="none"/>
          <w:lang w:val="en-US" w:eastAsia="zh-CN"/>
        </w:rPr>
        <w:t>5.3所有产品质量必须符合国家有关规范和相关政策。所有设备及辅材必须是未使用过的新产品，质量优良、渠道正当，配置合理。</w:t>
      </w:r>
      <w:bookmarkEnd w:id="118"/>
    </w:p>
    <w:p>
      <w:pPr>
        <w:pStyle w:val="4"/>
        <w:keepNext w:val="0"/>
        <w:keepLines w:val="0"/>
        <w:pageBreakBefore w:val="0"/>
        <w:widowControl/>
        <w:kinsoku/>
        <w:wordWrap/>
        <w:overflowPunct/>
        <w:topLinePunct w:val="0"/>
        <w:autoSpaceDE/>
        <w:autoSpaceDN/>
        <w:bidi w:val="0"/>
        <w:spacing w:line="480" w:lineRule="exact"/>
        <w:textAlignment w:val="auto"/>
        <w:rPr>
          <w:rFonts w:hint="eastAsia" w:ascii="宋体" w:hAnsi="宋体" w:eastAsia="宋体" w:cs="宋体"/>
          <w:b w:val="0"/>
          <w:bCs/>
          <w:sz w:val="24"/>
          <w:highlight w:val="none"/>
          <w:lang w:val="en-US" w:eastAsia="zh-CN"/>
        </w:rPr>
      </w:pPr>
      <w:bookmarkStart w:id="119" w:name="_Toc2249"/>
      <w:r>
        <w:rPr>
          <w:rFonts w:hint="eastAsia" w:ascii="宋体" w:hAnsi="宋体" w:eastAsia="宋体" w:cs="宋体"/>
          <w:b w:val="0"/>
          <w:bCs/>
          <w:sz w:val="24"/>
          <w:highlight w:val="none"/>
          <w:lang w:val="en-US" w:eastAsia="zh-CN"/>
        </w:rPr>
        <w:t>5.4质保期出现的质量问题由中标人负责解决并承担所有费用。质保期后如需更换零部件，中标人应以优惠价提供。</w:t>
      </w:r>
      <w:bookmarkEnd w:id="119"/>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bCs w:val="0"/>
          <w:sz w:val="24"/>
          <w:highlight w:val="none"/>
          <w:lang w:val="en-US" w:eastAsia="zh-CN"/>
        </w:rPr>
      </w:pPr>
      <w:bookmarkStart w:id="120" w:name="_Toc20226"/>
      <w:r>
        <w:rPr>
          <w:rFonts w:hint="eastAsia" w:ascii="宋体" w:hAnsi="宋体" w:eastAsia="宋体" w:cs="宋体"/>
          <w:b/>
          <w:bCs w:val="0"/>
          <w:sz w:val="24"/>
          <w:highlight w:val="none"/>
          <w:lang w:val="en-US" w:eastAsia="zh-CN"/>
        </w:rPr>
        <w:t>6.合同实施：</w:t>
      </w:r>
      <w:bookmarkEnd w:id="120"/>
    </w:p>
    <w:p>
      <w:pPr>
        <w:pStyle w:val="4"/>
        <w:keepNext w:val="0"/>
        <w:keepLines w:val="0"/>
        <w:pageBreakBefore w:val="0"/>
        <w:widowControl/>
        <w:kinsoku/>
        <w:wordWrap/>
        <w:overflowPunct/>
        <w:topLinePunct w:val="0"/>
        <w:autoSpaceDE/>
        <w:autoSpaceDN/>
        <w:bidi w:val="0"/>
        <w:spacing w:line="480" w:lineRule="exact"/>
        <w:textAlignment w:val="auto"/>
        <w:rPr>
          <w:rFonts w:hint="eastAsia" w:ascii="宋体" w:hAnsi="宋体" w:eastAsia="宋体" w:cs="宋体"/>
          <w:b w:val="0"/>
          <w:bCs/>
          <w:sz w:val="24"/>
          <w:highlight w:val="none"/>
          <w:lang w:val="en-US" w:eastAsia="zh-CN"/>
        </w:rPr>
      </w:pPr>
      <w:bookmarkStart w:id="121" w:name="_Toc20640"/>
      <w:r>
        <w:rPr>
          <w:rFonts w:hint="eastAsia" w:ascii="宋体" w:hAnsi="宋体" w:eastAsia="宋体" w:cs="宋体"/>
          <w:b w:val="0"/>
          <w:bCs/>
          <w:sz w:val="24"/>
          <w:highlight w:val="none"/>
          <w:lang w:val="en-US" w:eastAsia="zh-CN"/>
        </w:rPr>
        <w:t>6.1中标人应在合同签订后7个日历日内安排人员（项目组成人员简历表所列）与使用单位就送货、安装、调试、培训等工作进行安排、部署。</w:t>
      </w:r>
      <w:bookmarkEnd w:id="121"/>
    </w:p>
    <w:p>
      <w:pPr>
        <w:pStyle w:val="4"/>
        <w:keepNext w:val="0"/>
        <w:keepLines w:val="0"/>
        <w:pageBreakBefore w:val="0"/>
        <w:widowControl/>
        <w:kinsoku/>
        <w:wordWrap/>
        <w:overflowPunct/>
        <w:topLinePunct w:val="0"/>
        <w:autoSpaceDE/>
        <w:autoSpaceDN/>
        <w:bidi w:val="0"/>
        <w:spacing w:line="480" w:lineRule="exact"/>
        <w:textAlignment w:val="auto"/>
        <w:rPr>
          <w:rFonts w:hint="eastAsia" w:ascii="宋体" w:hAnsi="宋体" w:eastAsia="宋体" w:cs="宋体"/>
          <w:b w:val="0"/>
          <w:bCs/>
          <w:sz w:val="24"/>
          <w:highlight w:val="none"/>
          <w:lang w:val="en-US" w:eastAsia="zh-CN"/>
        </w:rPr>
      </w:pPr>
      <w:bookmarkStart w:id="122" w:name="_Toc3673"/>
      <w:r>
        <w:rPr>
          <w:rFonts w:hint="eastAsia" w:ascii="宋体" w:hAnsi="宋体" w:eastAsia="宋体" w:cs="宋体"/>
          <w:b w:val="0"/>
          <w:bCs/>
          <w:sz w:val="24"/>
          <w:highlight w:val="none"/>
          <w:lang w:val="en-US" w:eastAsia="zh-CN"/>
        </w:rPr>
        <w:t>6.2若未能在交货期内完成合同规定的义务，由此对采购人造成的延误和一切损失，由中标人承担和赔偿。</w:t>
      </w:r>
      <w:bookmarkEnd w:id="122"/>
    </w:p>
    <w:p>
      <w:pPr>
        <w:pStyle w:val="4"/>
        <w:keepNext w:val="0"/>
        <w:keepLines w:val="0"/>
        <w:pageBreakBefore w:val="0"/>
        <w:widowControl/>
        <w:kinsoku/>
        <w:wordWrap/>
        <w:overflowPunct/>
        <w:topLinePunct w:val="0"/>
        <w:autoSpaceDE/>
        <w:autoSpaceDN/>
        <w:bidi w:val="0"/>
        <w:spacing w:line="480" w:lineRule="exact"/>
        <w:textAlignment w:val="auto"/>
        <w:outlineLvl w:val="2"/>
        <w:rPr>
          <w:rFonts w:hint="eastAsia" w:ascii="宋体" w:hAnsi="宋体" w:eastAsia="宋体" w:cs="宋体"/>
          <w:b/>
          <w:bCs w:val="0"/>
          <w:sz w:val="24"/>
          <w:highlight w:val="none"/>
          <w:lang w:val="en-US" w:eastAsia="zh-CN"/>
        </w:rPr>
      </w:pPr>
      <w:bookmarkStart w:id="123" w:name="_Toc3871"/>
      <w:r>
        <w:rPr>
          <w:rFonts w:hint="eastAsia" w:ascii="宋体" w:hAnsi="宋体" w:eastAsia="宋体" w:cs="宋体"/>
          <w:b/>
          <w:bCs w:val="0"/>
          <w:sz w:val="24"/>
          <w:highlight w:val="none"/>
          <w:lang w:val="en-US" w:eastAsia="zh-CN"/>
        </w:rPr>
        <w:t>7.违约责任：</w:t>
      </w:r>
      <w:bookmarkEnd w:id="123"/>
    </w:p>
    <w:p>
      <w:pPr>
        <w:pStyle w:val="4"/>
        <w:keepNext w:val="0"/>
        <w:keepLines w:val="0"/>
        <w:pageBreakBefore w:val="0"/>
        <w:widowControl/>
        <w:kinsoku/>
        <w:wordWrap/>
        <w:overflowPunct/>
        <w:topLinePunct w:val="0"/>
        <w:autoSpaceDE/>
        <w:autoSpaceDN/>
        <w:bidi w:val="0"/>
        <w:spacing w:line="480" w:lineRule="exact"/>
        <w:textAlignment w:val="auto"/>
        <w:outlineLvl w:val="0"/>
        <w:rPr>
          <w:rFonts w:hint="eastAsia" w:ascii="宋体" w:hAnsi="宋体" w:eastAsia="宋体" w:cs="宋体"/>
          <w:b w:val="0"/>
          <w:bCs/>
          <w:sz w:val="24"/>
          <w:highlight w:val="none"/>
          <w:lang w:val="en-US" w:eastAsia="zh-CN"/>
        </w:rPr>
      </w:pPr>
      <w:bookmarkStart w:id="124" w:name="_Toc27995"/>
      <w:bookmarkStart w:id="125" w:name="_Toc6632"/>
      <w:r>
        <w:rPr>
          <w:rFonts w:hint="eastAsia" w:ascii="宋体" w:hAnsi="宋体" w:eastAsia="宋体" w:cs="宋体"/>
          <w:b w:val="0"/>
          <w:bCs/>
          <w:sz w:val="24"/>
          <w:highlight w:val="none"/>
          <w:lang w:val="en-US" w:eastAsia="zh-CN"/>
        </w:rPr>
        <w:t>7.1按《中华人民共和国民法典》中的相关条款执行。</w:t>
      </w:r>
      <w:bookmarkEnd w:id="124"/>
      <w:bookmarkEnd w:id="125"/>
    </w:p>
    <w:p>
      <w:pPr>
        <w:pStyle w:val="4"/>
        <w:keepNext w:val="0"/>
        <w:keepLines w:val="0"/>
        <w:pageBreakBefore w:val="0"/>
        <w:widowControl/>
        <w:kinsoku/>
        <w:wordWrap/>
        <w:overflowPunct/>
        <w:topLinePunct w:val="0"/>
        <w:autoSpaceDE/>
        <w:autoSpaceDN/>
        <w:bidi w:val="0"/>
        <w:spacing w:line="480" w:lineRule="exact"/>
        <w:textAlignment w:val="auto"/>
        <w:rPr>
          <w:rFonts w:hint="eastAsia" w:ascii="宋体" w:hAnsi="宋体" w:eastAsia="宋体" w:cs="宋体"/>
          <w:b w:val="0"/>
          <w:bCs/>
          <w:sz w:val="24"/>
          <w:highlight w:val="none"/>
          <w:lang w:val="en-US" w:eastAsia="zh-CN"/>
        </w:rPr>
      </w:pPr>
      <w:bookmarkStart w:id="126" w:name="_Toc24942"/>
      <w:r>
        <w:rPr>
          <w:rFonts w:hint="eastAsia" w:ascii="宋体" w:hAnsi="宋体" w:eastAsia="宋体" w:cs="宋体"/>
          <w:b w:val="0"/>
          <w:bCs/>
          <w:sz w:val="24"/>
          <w:highlight w:val="none"/>
          <w:lang w:val="en-US" w:eastAsia="zh-CN"/>
        </w:rPr>
        <w:t>7.2未按合同要求提供产品或设备质量不能满足技术要求，采购人有权终止合同，并对供方违约行为进行追究，同时按《中华人民共和国政府采购法》的有关规定进行处罚。</w:t>
      </w:r>
      <w:bookmarkEnd w:id="126"/>
    </w:p>
    <w:p>
      <w:pPr>
        <w:spacing w:line="400" w:lineRule="exact"/>
        <w:ind w:firstLine="480" w:firstLineChars="200"/>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b/>
          <w:sz w:val="24"/>
          <w:highlight w:val="none"/>
          <w:lang w:val="en-US" w:eastAsia="zh-CN"/>
        </w:rPr>
        <w:t>注：商务要求为实质性要求，不得负偏离，如有偏离按无效投标处理。</w:t>
      </w:r>
    </w:p>
    <w:p>
      <w:pPr>
        <w:spacing w:line="400" w:lineRule="exact"/>
        <w:ind w:firstLine="480" w:firstLineChars="200"/>
        <w:rPr>
          <w:rFonts w:hint="eastAsia" w:ascii="宋体" w:hAnsi="宋体" w:eastAsia="宋体" w:cs="宋体"/>
          <w:color w:val="000000" w:themeColor="text1"/>
          <w:sz w:val="24"/>
          <w:szCs w:val="24"/>
          <w:highlight w:val="yellow"/>
          <w14:textFill>
            <w14:solidFill>
              <w14:schemeClr w14:val="tx1"/>
            </w14:solidFill>
          </w14:textFill>
        </w:rPr>
      </w:pPr>
    </w:p>
    <w:bookmarkEnd w:id="95"/>
    <w:p>
      <w:pPr>
        <w:rPr>
          <w:rFonts w:hint="eastAsia" w:ascii="宋体" w:hAnsi="宋体" w:eastAsia="宋体" w:cs="宋体"/>
          <w:b/>
          <w:bCs/>
          <w:color w:val="auto"/>
          <w:highlight w:val="none"/>
        </w:rPr>
      </w:pPr>
      <w:bookmarkStart w:id="127" w:name="_Toc100219615"/>
      <w:bookmarkStart w:id="128" w:name="_Toc13472"/>
      <w:bookmarkStart w:id="129" w:name="_Toc20811"/>
      <w:r>
        <w:rPr>
          <w:rFonts w:hint="eastAsia" w:ascii="宋体" w:hAnsi="宋体" w:eastAsia="宋体" w:cs="宋体"/>
          <w:b/>
          <w:bCs/>
          <w:color w:val="auto"/>
          <w:highlight w:val="none"/>
        </w:rPr>
        <w:br w:type="page"/>
      </w:r>
    </w:p>
    <w:p>
      <w:pPr>
        <w:pStyle w:val="3"/>
        <w:ind w:firstLine="2640" w:firstLineChars="600"/>
        <w:jc w:val="both"/>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第四章  合同文本</w:t>
      </w:r>
      <w:bookmarkEnd w:id="127"/>
      <w:bookmarkEnd w:id="128"/>
      <w:bookmarkEnd w:id="129"/>
    </w:p>
    <w:p>
      <w:pPr>
        <w:keepNext w:val="0"/>
        <w:keepLines w:val="0"/>
        <w:pageBreakBefore w:val="0"/>
        <w:widowControl w:val="0"/>
        <w:kinsoku/>
        <w:wordWrap/>
        <w:overflowPunct/>
        <w:topLinePunct w:val="0"/>
        <w:bidi w:val="0"/>
        <w:spacing w:line="500" w:lineRule="atLeast"/>
        <w:ind w:firstLine="480" w:firstLineChars="200"/>
        <w:textAlignment w:val="auto"/>
        <w:rPr>
          <w:rFonts w:ascii="宋体" w:hAnsi="宋体"/>
          <w:color w:val="auto"/>
          <w:sz w:val="24"/>
          <w:highlight w:val="none"/>
        </w:rPr>
      </w:pPr>
      <w:bookmarkStart w:id="130" w:name="_Toc100219616"/>
      <w:r>
        <w:rPr>
          <w:rFonts w:ascii="宋体" w:hAnsi="宋体"/>
          <w:color w:val="auto"/>
          <w:sz w:val="24"/>
          <w:highlight w:val="none"/>
        </w:rPr>
        <w:t xml:space="preserve">合同编号： </w:t>
      </w:r>
    </w:p>
    <w:p>
      <w:pPr>
        <w:keepNext w:val="0"/>
        <w:keepLines w:val="0"/>
        <w:pageBreakBefore w:val="0"/>
        <w:widowControl w:val="0"/>
        <w:kinsoku/>
        <w:wordWrap/>
        <w:overflowPunct/>
        <w:topLinePunct w:val="0"/>
        <w:bidi w:val="0"/>
        <w:spacing w:line="500" w:lineRule="atLeast"/>
        <w:ind w:firstLine="480" w:firstLineChars="200"/>
        <w:textAlignment w:val="auto"/>
        <w:rPr>
          <w:rFonts w:ascii="宋体" w:hAnsi="宋体"/>
          <w:color w:val="auto"/>
          <w:sz w:val="24"/>
          <w:highlight w:val="none"/>
        </w:rPr>
      </w:pPr>
      <w:r>
        <w:rPr>
          <w:rFonts w:ascii="宋体" w:hAnsi="宋体"/>
          <w:color w:val="auto"/>
          <w:sz w:val="24"/>
          <w:highlight w:val="none"/>
        </w:rPr>
        <w:t xml:space="preserve">签订地点： </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color w:val="auto"/>
          <w:sz w:val="24"/>
          <w:highlight w:val="none"/>
        </w:rPr>
      </w:pPr>
      <w:r>
        <w:rPr>
          <w:rFonts w:ascii="宋体" w:hAnsi="宋体"/>
          <w:color w:val="auto"/>
          <w:sz w:val="24"/>
          <w:highlight w:val="none"/>
        </w:rPr>
        <w:t>签订时间：</w:t>
      </w:r>
    </w:p>
    <w:p>
      <w:pPr>
        <w:keepNext w:val="0"/>
        <w:keepLines w:val="0"/>
        <w:pageBreakBefore w:val="0"/>
        <w:widowControl w:val="0"/>
        <w:kinsoku/>
        <w:wordWrap/>
        <w:overflowPunct/>
        <w:topLinePunct w:val="0"/>
        <w:bidi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采购人（买</w:t>
      </w:r>
      <w:r>
        <w:rPr>
          <w:rFonts w:ascii="宋体" w:hAnsi="宋体"/>
          <w:color w:val="auto"/>
          <w:sz w:val="24"/>
          <w:highlight w:val="none"/>
        </w:rPr>
        <w:t>方</w:t>
      </w:r>
      <w:r>
        <w:rPr>
          <w:rFonts w:hint="eastAsia" w:ascii="宋体" w:hAnsi="宋体"/>
          <w:color w:val="auto"/>
          <w:sz w:val="24"/>
          <w:highlight w:val="none"/>
        </w:rPr>
        <w:t>）</w:t>
      </w:r>
      <w:r>
        <w:rPr>
          <w:rFonts w:ascii="宋体" w:hAnsi="宋体"/>
          <w:color w:val="auto"/>
          <w:sz w:val="24"/>
          <w:highlight w:val="none"/>
        </w:rPr>
        <w:t>：</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中标人</w:t>
      </w:r>
      <w:r>
        <w:rPr>
          <w:rFonts w:hint="eastAsia" w:ascii="宋体" w:hAnsi="宋体"/>
          <w:color w:val="auto"/>
          <w:sz w:val="24"/>
          <w:highlight w:val="none"/>
        </w:rPr>
        <w:t>（卖</w:t>
      </w:r>
      <w:r>
        <w:rPr>
          <w:rFonts w:ascii="宋体" w:hAnsi="宋体"/>
          <w:color w:val="auto"/>
          <w:sz w:val="24"/>
          <w:highlight w:val="none"/>
        </w:rPr>
        <w:t>方</w:t>
      </w:r>
      <w:r>
        <w:rPr>
          <w:rFonts w:hint="eastAsia" w:ascii="宋体" w:hAnsi="宋体"/>
          <w:color w:val="auto"/>
          <w:sz w:val="24"/>
          <w:highlight w:val="none"/>
        </w:rPr>
        <w:t>）</w:t>
      </w:r>
      <w:r>
        <w:rPr>
          <w:rFonts w:ascii="宋体" w:hAnsi="宋体"/>
          <w:color w:val="auto"/>
          <w:sz w:val="24"/>
          <w:highlight w:val="none"/>
        </w:rPr>
        <w:t>：</w:t>
      </w:r>
    </w:p>
    <w:p>
      <w:pPr>
        <w:keepNext w:val="0"/>
        <w:keepLines w:val="0"/>
        <w:pageBreakBefore w:val="0"/>
        <w:widowControl w:val="0"/>
        <w:numPr>
          <w:ilvl w:val="0"/>
          <w:numId w:val="10"/>
        </w:numPr>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供货合同格式</w:t>
      </w:r>
    </w:p>
    <w:p>
      <w:pPr>
        <w:keepNext w:val="0"/>
        <w:keepLines w:val="0"/>
        <w:pageBreakBefore w:val="0"/>
        <w:widowControl w:val="0"/>
        <w:kinsoku/>
        <w:wordWrap/>
        <w:overflowPunct/>
        <w:topLinePunct w:val="0"/>
        <w:bidi w:val="0"/>
        <w:spacing w:line="500" w:lineRule="atLeast"/>
        <w:textAlignment w:val="auto"/>
        <w:rPr>
          <w:rFonts w:hint="eastAsia" w:ascii="宋体" w:hAnsi="宋体"/>
          <w:color w:val="auto"/>
          <w:spacing w:val="-2"/>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西安市鄠邑区妇幼保健计划生育服务中心（区妇幼保健院）宫腔镜和电子阴道镜系统购置项目</w:t>
      </w: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SDZC2022-286-01</w:t>
      </w:r>
      <w:r>
        <w:rPr>
          <w:rFonts w:hint="eastAsia" w:ascii="宋体" w:hAnsi="宋体" w:cs="宋体"/>
          <w:color w:val="auto"/>
          <w:kern w:val="0"/>
          <w:sz w:val="24"/>
          <w:highlight w:val="none"/>
        </w:rPr>
        <w:t>)</w:t>
      </w:r>
      <w:r>
        <w:rPr>
          <w:rFonts w:hint="eastAsia" w:ascii="宋体" w:hAnsi="宋体"/>
          <w:color w:val="auto"/>
          <w:spacing w:val="-2"/>
          <w:kern w:val="0"/>
          <w:sz w:val="24"/>
          <w:highlight w:val="none"/>
        </w:rPr>
        <w:t>，在</w:t>
      </w:r>
      <w:r>
        <w:rPr>
          <w:rFonts w:hint="eastAsia" w:ascii="宋体" w:hAnsi="宋体"/>
          <w:color w:val="auto"/>
          <w:spacing w:val="-2"/>
          <w:kern w:val="0"/>
          <w:sz w:val="24"/>
          <w:highlight w:val="none"/>
          <w:lang w:val="en-US" w:eastAsia="zh-CN"/>
        </w:rPr>
        <w:t>西安市鄠邑区财政局</w:t>
      </w:r>
      <w:r>
        <w:rPr>
          <w:rFonts w:hint="eastAsia" w:ascii="宋体" w:hAnsi="宋体"/>
          <w:color w:val="auto"/>
          <w:spacing w:val="-2"/>
          <w:kern w:val="0"/>
          <w:sz w:val="24"/>
          <w:highlight w:val="none"/>
        </w:rPr>
        <w:t>的监督管理下，由陕西上德招标有限公司组织</w:t>
      </w:r>
      <w:r>
        <w:rPr>
          <w:rFonts w:hint="eastAsia" w:ascii="宋体" w:hAnsi="宋体"/>
          <w:color w:val="auto"/>
          <w:spacing w:val="-2"/>
          <w:kern w:val="0"/>
          <w:sz w:val="24"/>
          <w:highlight w:val="none"/>
          <w:lang w:val="en-US" w:eastAsia="zh-CN"/>
        </w:rPr>
        <w:t>公开招标</w:t>
      </w:r>
      <w:r>
        <w:rPr>
          <w:rFonts w:hint="eastAsia" w:ascii="宋体" w:hAnsi="宋体"/>
          <w:color w:val="auto"/>
          <w:spacing w:val="-2"/>
          <w:kern w:val="0"/>
          <w:sz w:val="24"/>
          <w:highlight w:val="none"/>
        </w:rPr>
        <w:t>。</w:t>
      </w:r>
      <w:r>
        <w:rPr>
          <w:rFonts w:hint="eastAsia" w:ascii="宋体" w:hAnsi="宋体"/>
          <w:color w:val="auto"/>
          <w:sz w:val="24"/>
          <w:highlight w:val="none"/>
          <w:lang w:eastAsia="zh-CN"/>
        </w:rPr>
        <w:t>西安市鄠邑区妇幼保健计划生育服务中心（区妇幼保健院）</w:t>
      </w:r>
      <w:r>
        <w:rPr>
          <w:rFonts w:hint="eastAsia" w:ascii="宋体" w:hAnsi="宋体"/>
          <w:color w:val="auto"/>
          <w:spacing w:val="-2"/>
          <w:kern w:val="0"/>
          <w:sz w:val="24"/>
          <w:highlight w:val="none"/>
        </w:rPr>
        <w:t>(以下简称“买方”)确定 (</w:t>
      </w:r>
      <w:r>
        <w:rPr>
          <w:rFonts w:hint="eastAsia" w:ascii="宋体" w:hAnsi="宋体"/>
          <w:color w:val="auto"/>
          <w:spacing w:val="-2"/>
          <w:kern w:val="0"/>
          <w:sz w:val="24"/>
          <w:highlight w:val="none"/>
          <w:lang w:eastAsia="zh-CN"/>
        </w:rPr>
        <w:t>中标人</w:t>
      </w:r>
      <w:r>
        <w:rPr>
          <w:rFonts w:hint="eastAsia" w:ascii="宋体" w:hAnsi="宋体"/>
          <w:color w:val="auto"/>
          <w:spacing w:val="-2"/>
          <w:kern w:val="0"/>
          <w:sz w:val="24"/>
          <w:highlight w:val="none"/>
        </w:rPr>
        <w:t>名称) （以下简称“卖方”）为</w:t>
      </w:r>
      <w:r>
        <w:rPr>
          <w:rFonts w:hint="eastAsia" w:ascii="宋体" w:hAnsi="宋体"/>
          <w:color w:val="auto"/>
          <w:spacing w:val="-2"/>
          <w:kern w:val="0"/>
          <w:sz w:val="24"/>
          <w:highlight w:val="none"/>
          <w:lang w:eastAsia="zh-CN"/>
        </w:rPr>
        <w:t>中标人</w:t>
      </w:r>
      <w:r>
        <w:rPr>
          <w:rFonts w:hint="eastAsia" w:ascii="宋体" w:hAnsi="宋体"/>
          <w:color w:val="auto"/>
          <w:spacing w:val="-2"/>
          <w:kern w:val="0"/>
          <w:sz w:val="24"/>
          <w:highlight w:val="none"/>
        </w:rPr>
        <w:t>。</w:t>
      </w:r>
    </w:p>
    <w:p>
      <w:pPr>
        <w:keepNext w:val="0"/>
        <w:keepLines w:val="0"/>
        <w:pageBreakBefore w:val="0"/>
        <w:widowControl w:val="0"/>
        <w:kinsoku/>
        <w:wordWrap/>
        <w:overflowPunct/>
        <w:topLinePunct w:val="0"/>
        <w:bidi w:val="0"/>
        <w:spacing w:line="500" w:lineRule="atLeast"/>
        <w:ind w:firstLine="472" w:firstLineChars="200"/>
        <w:textAlignment w:val="auto"/>
        <w:rPr>
          <w:rFonts w:hint="eastAsia" w:ascii="宋体" w:hAnsi="宋体"/>
          <w:color w:val="auto"/>
          <w:spacing w:val="-2"/>
          <w:kern w:val="0"/>
          <w:sz w:val="24"/>
          <w:highlight w:val="none"/>
        </w:rPr>
      </w:pPr>
      <w:r>
        <w:rPr>
          <w:rFonts w:hint="eastAsia" w:ascii="宋体" w:hAnsi="宋体"/>
          <w:color w:val="auto"/>
          <w:spacing w:val="-2"/>
          <w:kern w:val="0"/>
          <w:sz w:val="24"/>
          <w:highlight w:val="none"/>
        </w:rPr>
        <w:t>依据《</w:t>
      </w:r>
      <w:r>
        <w:rPr>
          <w:rFonts w:hint="eastAsia" w:ascii="宋体" w:hAnsi="宋体"/>
          <w:color w:val="auto"/>
          <w:spacing w:val="-2"/>
          <w:kern w:val="0"/>
          <w:sz w:val="24"/>
          <w:highlight w:val="none"/>
          <w:lang w:eastAsia="zh-CN"/>
        </w:rPr>
        <w:t>中华人民共和国民法典</w:t>
      </w:r>
      <w:r>
        <w:rPr>
          <w:rFonts w:hint="eastAsia" w:ascii="宋体" w:hAnsi="宋体"/>
          <w:color w:val="auto"/>
          <w:spacing w:val="-2"/>
          <w:kern w:val="0"/>
          <w:sz w:val="24"/>
          <w:highlight w:val="none"/>
        </w:rPr>
        <w:t>》和《中华人民共和国政府采购法》，买方通过</w:t>
      </w:r>
      <w:r>
        <w:rPr>
          <w:rFonts w:hint="eastAsia" w:ascii="宋体" w:hAnsi="宋体"/>
          <w:color w:val="auto"/>
          <w:spacing w:val="-2"/>
          <w:kern w:val="0"/>
          <w:sz w:val="24"/>
          <w:highlight w:val="none"/>
          <w:lang w:val="en-US" w:eastAsia="zh-CN"/>
        </w:rPr>
        <w:t>公开招标</w:t>
      </w:r>
      <w:r>
        <w:rPr>
          <w:rFonts w:hint="eastAsia" w:ascii="宋体" w:hAnsi="宋体"/>
          <w:color w:val="auto"/>
          <w:spacing w:val="-2"/>
          <w:kern w:val="0"/>
          <w:sz w:val="24"/>
          <w:highlight w:val="none"/>
        </w:rPr>
        <w:t>采购</w:t>
      </w:r>
      <w:r>
        <w:rPr>
          <w:rFonts w:hint="eastAsia" w:ascii="宋体" w:hAnsi="宋体"/>
          <w:color w:val="auto"/>
          <w:spacing w:val="-2"/>
          <w:kern w:val="0"/>
          <w:sz w:val="24"/>
          <w:highlight w:val="none"/>
          <w:u w:val="single"/>
        </w:rPr>
        <w:t xml:space="preserve">   （采购内容）     </w:t>
      </w:r>
      <w:r>
        <w:rPr>
          <w:rFonts w:hint="eastAsia" w:ascii="宋体" w:hAnsi="宋体"/>
          <w:color w:val="auto"/>
          <w:spacing w:val="-2"/>
          <w:kern w:val="0"/>
          <w:sz w:val="24"/>
          <w:highlight w:val="none"/>
        </w:rPr>
        <w:t>，并接受了卖方以价格</w:t>
      </w:r>
      <w:r>
        <w:rPr>
          <w:rFonts w:hint="eastAsia" w:ascii="宋体" w:hAnsi="宋体"/>
          <w:color w:val="auto"/>
          <w:spacing w:val="-2"/>
          <w:kern w:val="0"/>
          <w:sz w:val="24"/>
          <w:highlight w:val="none"/>
          <w:u w:val="single"/>
        </w:rPr>
        <w:t xml:space="preserve">    （成交金额大写)   </w:t>
      </w:r>
      <w:r>
        <w:rPr>
          <w:rFonts w:hint="eastAsia" w:ascii="宋体" w:hAnsi="宋体"/>
          <w:color w:val="auto"/>
          <w:spacing w:val="-2"/>
          <w:kern w:val="0"/>
          <w:sz w:val="24"/>
          <w:highlight w:val="none"/>
        </w:rPr>
        <w:t>(以下简称“合同价”)提供的货物和服务。</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本合同在此声明如下：</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本合同中的词语和术语的含义与合同条款中定义的相同。</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下述文件是本合同的一部分，并与本合同一起阅读和解释：</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2.1</w:t>
      </w:r>
      <w:r>
        <w:rPr>
          <w:rFonts w:hint="eastAsia" w:ascii="宋体" w:hAnsi="宋体"/>
          <w:color w:val="auto"/>
          <w:sz w:val="24"/>
          <w:highlight w:val="none"/>
        </w:rPr>
        <w:t>合同条款</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2.2</w:t>
      </w:r>
      <w:r>
        <w:rPr>
          <w:rFonts w:hint="eastAsia" w:ascii="宋体" w:hAnsi="宋体"/>
          <w:color w:val="auto"/>
          <w:sz w:val="24"/>
          <w:highlight w:val="none"/>
        </w:rPr>
        <w:t>合同条款附件</w:t>
      </w:r>
    </w:p>
    <w:p>
      <w:pPr>
        <w:keepNext w:val="0"/>
        <w:keepLines w:val="0"/>
        <w:pageBreakBefore w:val="0"/>
        <w:widowControl w:val="0"/>
        <w:kinsoku/>
        <w:wordWrap/>
        <w:overflowPunct/>
        <w:topLinePunct w:val="0"/>
        <w:bidi w:val="0"/>
        <w:spacing w:line="500" w:lineRule="atLeast"/>
        <w:ind w:firstLine="840" w:firstLineChars="350"/>
        <w:textAlignment w:val="auto"/>
        <w:rPr>
          <w:rFonts w:hint="eastAsia" w:ascii="宋体" w:hAnsi="宋体"/>
          <w:color w:val="auto"/>
          <w:sz w:val="24"/>
          <w:highlight w:val="none"/>
        </w:rPr>
      </w:pPr>
      <w:r>
        <w:rPr>
          <w:rFonts w:hint="eastAsia" w:ascii="宋体" w:hAnsi="宋体"/>
          <w:color w:val="auto"/>
          <w:sz w:val="24"/>
          <w:highlight w:val="none"/>
        </w:rPr>
        <w:t>附件1—货物清单</w:t>
      </w:r>
    </w:p>
    <w:p>
      <w:pPr>
        <w:keepNext w:val="0"/>
        <w:keepLines w:val="0"/>
        <w:pageBreakBefore w:val="0"/>
        <w:widowControl w:val="0"/>
        <w:kinsoku/>
        <w:wordWrap/>
        <w:overflowPunct/>
        <w:topLinePunct w:val="0"/>
        <w:bidi w:val="0"/>
        <w:spacing w:line="500" w:lineRule="atLeast"/>
        <w:ind w:firstLine="840" w:firstLineChars="350"/>
        <w:textAlignment w:val="auto"/>
        <w:rPr>
          <w:rFonts w:hint="eastAsia" w:ascii="宋体" w:hAnsi="宋体"/>
          <w:color w:val="auto"/>
          <w:sz w:val="24"/>
          <w:highlight w:val="none"/>
        </w:rPr>
      </w:pPr>
      <w:r>
        <w:rPr>
          <w:rFonts w:hint="eastAsia" w:ascii="宋体" w:hAnsi="宋体"/>
          <w:color w:val="auto"/>
          <w:sz w:val="24"/>
          <w:highlight w:val="none"/>
        </w:rPr>
        <w:t>附件2—质量保证承诺</w:t>
      </w:r>
    </w:p>
    <w:p>
      <w:pPr>
        <w:keepNext w:val="0"/>
        <w:keepLines w:val="0"/>
        <w:pageBreakBefore w:val="0"/>
        <w:widowControl w:val="0"/>
        <w:kinsoku/>
        <w:wordWrap/>
        <w:overflowPunct/>
        <w:topLinePunct w:val="0"/>
        <w:bidi w:val="0"/>
        <w:spacing w:line="500" w:lineRule="atLeast"/>
        <w:ind w:firstLine="840" w:firstLineChars="350"/>
        <w:textAlignment w:val="auto"/>
        <w:rPr>
          <w:rFonts w:hint="eastAsia" w:ascii="宋体" w:hAnsi="宋体"/>
          <w:color w:val="auto"/>
          <w:sz w:val="24"/>
          <w:highlight w:val="none"/>
        </w:rPr>
      </w:pPr>
      <w:r>
        <w:rPr>
          <w:rFonts w:hint="eastAsia" w:ascii="宋体" w:hAnsi="宋体"/>
          <w:color w:val="auto"/>
          <w:sz w:val="24"/>
          <w:highlight w:val="none"/>
        </w:rPr>
        <w:t>附件3—售后服务方案</w:t>
      </w:r>
    </w:p>
    <w:p>
      <w:pPr>
        <w:keepNext w:val="0"/>
        <w:keepLines w:val="0"/>
        <w:pageBreakBefore w:val="0"/>
        <w:widowControl w:val="0"/>
        <w:kinsoku/>
        <w:wordWrap/>
        <w:overflowPunct/>
        <w:topLinePunct w:val="0"/>
        <w:bidi w:val="0"/>
        <w:spacing w:line="500" w:lineRule="atLeast"/>
        <w:ind w:firstLine="840" w:firstLineChars="350"/>
        <w:textAlignment w:val="auto"/>
        <w:rPr>
          <w:rFonts w:hint="eastAsia" w:ascii="宋体" w:hAnsi="宋体"/>
          <w:color w:val="auto"/>
          <w:sz w:val="24"/>
          <w:highlight w:val="none"/>
        </w:rPr>
      </w:pPr>
      <w:r>
        <w:rPr>
          <w:rFonts w:hint="eastAsia" w:ascii="宋体" w:hAnsi="宋体"/>
          <w:color w:val="auto"/>
          <w:sz w:val="24"/>
          <w:highlight w:val="none"/>
        </w:rPr>
        <w:t>附件4—培训计划</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2.3</w:t>
      </w:r>
      <w:r>
        <w:rPr>
          <w:rFonts w:hint="eastAsia" w:ascii="宋体" w:hAnsi="宋体"/>
          <w:color w:val="auto"/>
          <w:sz w:val="24"/>
          <w:highlight w:val="none"/>
        </w:rPr>
        <w:t>成交通知书</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2.4</w:t>
      </w:r>
      <w:r>
        <w:rPr>
          <w:rFonts w:hint="eastAsia" w:ascii="宋体" w:hAnsi="宋体"/>
          <w:color w:val="auto"/>
          <w:sz w:val="24"/>
          <w:highlight w:val="none"/>
          <w:lang w:eastAsia="zh-CN"/>
        </w:rPr>
        <w:t>公开招标文件</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2.5</w:t>
      </w:r>
      <w:r>
        <w:rPr>
          <w:rFonts w:hint="eastAsia" w:ascii="宋体" w:hAnsi="宋体"/>
          <w:color w:val="auto"/>
          <w:sz w:val="24"/>
          <w:highlight w:val="none"/>
          <w:lang w:eastAsia="zh-CN"/>
        </w:rPr>
        <w:t>投标文件</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考虑到买方将按照本合同向卖方支付货款，卖方在此保证全部按照合同的规定向买方提供货物和服务，并修补缺陷。</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考虑到卖方提供的货物和服务并修补缺陷，买方在此保证按照合同规定的时间和方式向卖方支付合同价或其他按合同规定应支付的金额。</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付款方式：</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rPr>
        <w:t>货物安装调试使用合格验收后支付总金额的60%，一年后无质量问题支付总金额的30%，二年后无质量问题支付剩余10%。</w:t>
      </w:r>
      <w:r>
        <w:rPr>
          <w:rFonts w:hint="eastAsia" w:ascii="宋体" w:hAnsi="宋体"/>
          <w:color w:val="auto"/>
          <w:sz w:val="24"/>
          <w:highlight w:val="none"/>
          <w:lang w:val="en-US" w:eastAsia="zh-CN"/>
        </w:rPr>
        <w:t xml:space="preserve"> </w:t>
      </w:r>
    </w:p>
    <w:p>
      <w:pPr>
        <w:keepNext w:val="0"/>
        <w:keepLines w:val="0"/>
        <w:pageBreakBefore w:val="0"/>
        <w:widowControl w:val="0"/>
        <w:kinsoku/>
        <w:wordWrap/>
        <w:overflowPunct/>
        <w:topLinePunct w:val="0"/>
        <w:bidi w:val="0"/>
        <w:adjustRightInd w:val="0"/>
        <w:snapToGrid w:val="0"/>
        <w:spacing w:line="500" w:lineRule="atLeas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6.产品质保期</w:t>
      </w:r>
    </w:p>
    <w:p>
      <w:pPr>
        <w:keepNext w:val="0"/>
        <w:keepLines w:val="0"/>
        <w:pageBreakBefore w:val="0"/>
        <w:widowControl w:val="0"/>
        <w:kinsoku/>
        <w:wordWrap/>
        <w:overflowPunct/>
        <w:topLinePunct w:val="0"/>
        <w:bidi w:val="0"/>
        <w:adjustRightInd w:val="0"/>
        <w:snapToGrid w:val="0"/>
        <w:spacing w:line="500" w:lineRule="atLeas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6.1设备整机质保二年。</w:t>
      </w:r>
    </w:p>
    <w:p>
      <w:pPr>
        <w:keepNext w:val="0"/>
        <w:keepLines w:val="0"/>
        <w:pageBreakBefore w:val="0"/>
        <w:widowControl w:val="0"/>
        <w:kinsoku/>
        <w:wordWrap/>
        <w:overflowPunct/>
        <w:topLinePunct w:val="0"/>
        <w:bidi w:val="0"/>
        <w:adjustRightInd w:val="0"/>
        <w:snapToGrid w:val="0"/>
        <w:spacing w:line="500" w:lineRule="atLeas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6.2终身免费维修（只收取成本费）</w:t>
      </w:r>
    </w:p>
    <w:p>
      <w:pPr>
        <w:keepNext w:val="0"/>
        <w:keepLines w:val="0"/>
        <w:pageBreakBefore w:val="0"/>
        <w:widowControl w:val="0"/>
        <w:kinsoku/>
        <w:wordWrap/>
        <w:overflowPunct/>
        <w:topLinePunct w:val="0"/>
        <w:bidi w:val="0"/>
        <w:adjustRightInd w:val="0"/>
        <w:snapToGrid w:val="0"/>
        <w:spacing w:line="500" w:lineRule="atLeast"/>
        <w:ind w:firstLine="480" w:firstLineChars="200"/>
        <w:textAlignment w:val="auto"/>
        <w:rPr>
          <w:rFonts w:hint="eastAsia" w:ascii="宋体" w:hAnsi="宋体" w:eastAsiaTheme="minorEastAsia"/>
          <w:color w:val="auto"/>
          <w:sz w:val="24"/>
          <w:highlight w:val="none"/>
          <w:lang w:eastAsia="zh-CN"/>
        </w:rPr>
      </w:pPr>
      <w:r>
        <w:rPr>
          <w:rFonts w:hint="eastAsia" w:ascii="宋体" w:hAnsi="宋体"/>
          <w:color w:val="auto"/>
          <w:sz w:val="24"/>
          <w:highlight w:val="none"/>
          <w:lang w:val="en-US" w:eastAsia="zh-CN"/>
        </w:rPr>
        <w:t>7.</w:t>
      </w:r>
      <w:r>
        <w:rPr>
          <w:rFonts w:hint="eastAsia" w:ascii="宋体" w:hAnsi="宋体"/>
          <w:color w:val="auto"/>
          <w:sz w:val="24"/>
          <w:highlight w:val="none"/>
        </w:rPr>
        <w:t>交货</w:t>
      </w:r>
      <w:r>
        <w:rPr>
          <w:rFonts w:hint="eastAsia" w:ascii="宋体" w:hAnsi="宋体"/>
          <w:color w:val="auto"/>
          <w:sz w:val="24"/>
          <w:highlight w:val="none"/>
          <w:lang w:val="en-US" w:eastAsia="zh-CN"/>
        </w:rPr>
        <w:t>期</w:t>
      </w:r>
      <w:r>
        <w:rPr>
          <w:rFonts w:hint="eastAsia" w:ascii="宋体" w:hAnsi="宋体"/>
          <w:color w:val="auto"/>
          <w:sz w:val="24"/>
          <w:highlight w:val="none"/>
        </w:rPr>
        <w:t>：自合同签订之日起30天内，按需配送</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bidi w:val="0"/>
        <w:adjustRightInd w:val="0"/>
        <w:snapToGrid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 xml:space="preserve">  交货地点：</w:t>
      </w:r>
      <w:r>
        <w:rPr>
          <w:rFonts w:hint="eastAsia" w:ascii="宋体" w:hAnsi="宋体" w:cs="宋体"/>
          <w:color w:val="auto"/>
          <w:kern w:val="0"/>
          <w:sz w:val="24"/>
          <w:highlight w:val="none"/>
          <w:lang w:eastAsia="zh-CN"/>
        </w:rPr>
        <w:t>西安市鄠邑区妇幼保健计划生育服务中心（区妇幼保健院）。</w:t>
      </w:r>
    </w:p>
    <w:p>
      <w:pPr>
        <w:keepNext w:val="0"/>
        <w:keepLines w:val="0"/>
        <w:pageBreakBefore w:val="0"/>
        <w:widowControl w:val="0"/>
        <w:kinsoku/>
        <w:wordWrap/>
        <w:overflowPunct/>
        <w:topLinePunct w:val="0"/>
        <w:bidi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Cs w:val="24"/>
        </w:rPr>
        <w:t>本合同一式</w:t>
      </w:r>
      <w:r>
        <w:rPr>
          <w:rFonts w:hint="eastAsia" w:ascii="宋体" w:hAnsi="宋体"/>
          <w:color w:val="auto"/>
          <w:szCs w:val="24"/>
          <w:lang w:eastAsia="zh-CN"/>
        </w:rPr>
        <w:t>伍</w:t>
      </w:r>
      <w:r>
        <w:rPr>
          <w:rFonts w:hint="eastAsia" w:ascii="宋体" w:hAnsi="宋体"/>
          <w:color w:val="auto"/>
          <w:szCs w:val="24"/>
        </w:rPr>
        <w:t>份，其中，买方贰份，</w:t>
      </w:r>
      <w:r>
        <w:rPr>
          <w:rFonts w:hint="eastAsia" w:ascii="宋体" w:hAnsi="宋体"/>
          <w:szCs w:val="24"/>
        </w:rPr>
        <w:t>卖方贰份，</w:t>
      </w:r>
      <w:r>
        <w:rPr>
          <w:rFonts w:hint="eastAsia" w:ascii="宋体" w:hAnsi="宋体"/>
          <w:szCs w:val="24"/>
          <w:lang w:eastAsia="zh-CN"/>
        </w:rPr>
        <w:t>鄠邑区</w:t>
      </w:r>
      <w:r>
        <w:rPr>
          <w:rFonts w:hint="eastAsia" w:ascii="宋体" w:hAnsi="宋体"/>
          <w:szCs w:val="24"/>
        </w:rPr>
        <w:t>财政局备案壹份</w:t>
      </w:r>
      <w:r>
        <w:rPr>
          <w:rFonts w:hint="eastAsia" w:ascii="宋体" w:hAnsi="宋体"/>
          <w:color w:val="auto"/>
          <w:sz w:val="24"/>
          <w:highlight w:val="none"/>
        </w:rPr>
        <w:t>。</w:t>
      </w:r>
    </w:p>
    <w:p>
      <w:pPr>
        <w:keepNext w:val="0"/>
        <w:keepLines w:val="0"/>
        <w:pageBreakBefore w:val="0"/>
        <w:widowControl w:val="0"/>
        <w:kinsoku/>
        <w:wordWrap/>
        <w:overflowPunct/>
        <w:topLinePunct w:val="0"/>
        <w:bidi w:val="0"/>
        <w:adjustRightInd w:val="0"/>
        <w:snapToGrid w:val="0"/>
        <w:spacing w:line="500" w:lineRule="atLeast"/>
        <w:ind w:firstLine="480" w:firstLineChars="200"/>
        <w:textAlignment w:val="auto"/>
        <w:rPr>
          <w:rFonts w:hint="eastAsia"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本合同由买卖双方共同签字盖章，自最后一方签字盖章之日起生效。</w:t>
      </w:r>
    </w:p>
    <w:tbl>
      <w:tblPr>
        <w:tblStyle w:val="25"/>
        <w:tblpPr w:leftFromText="180" w:rightFromText="180" w:vertAnchor="text" w:horzAnchor="margin" w:tblpX="406" w:tblpY="58"/>
        <w:tblOverlap w:val="never"/>
        <w:tblW w:w="0" w:type="dxa"/>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noWrap w:val="0"/>
            <w:tcMar>
              <w:top w:w="113" w:type="dxa"/>
              <w:left w:w="113" w:type="dxa"/>
              <w:bottom w:w="113" w:type="dxa"/>
              <w:right w:w="113" w:type="dxa"/>
            </w:tcMar>
            <w:vAlign w:val="top"/>
          </w:tcPr>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买方名称： </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地    址： </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邮    编：</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电    话：</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传    真：</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代表签字或盖章：</w:t>
            </w:r>
          </w:p>
          <w:p>
            <w:pPr>
              <w:keepNext w:val="0"/>
              <w:keepLines w:val="0"/>
              <w:pageBreakBefore w:val="0"/>
              <w:widowControl w:val="0"/>
              <w:kinsoku/>
              <w:wordWrap/>
              <w:overflowPunct/>
              <w:topLinePunct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盖章：</w:t>
            </w:r>
          </w:p>
          <w:p>
            <w:pPr>
              <w:keepNext w:val="0"/>
              <w:keepLines w:val="0"/>
              <w:pageBreakBefore w:val="0"/>
              <w:widowControl w:val="0"/>
              <w:kinsoku/>
              <w:wordWrap/>
              <w:overflowPunct/>
              <w:topLinePunct w:val="0"/>
              <w:autoSpaceDE w:val="0"/>
              <w:autoSpaceDN w:val="0"/>
              <w:bidi w:val="0"/>
              <w:spacing w:line="500" w:lineRule="atLeast"/>
              <w:textAlignment w:val="auto"/>
              <w:rPr>
                <w:rFonts w:hint="eastAsia" w:ascii="宋体" w:hAnsi="宋体"/>
                <w:color w:val="auto"/>
                <w:sz w:val="24"/>
                <w:highlight w:val="none"/>
              </w:rPr>
            </w:pPr>
            <w:r>
              <w:rPr>
                <w:rFonts w:hint="eastAsia" w:ascii="宋体" w:hAnsi="宋体"/>
                <w:color w:val="auto"/>
                <w:sz w:val="24"/>
                <w:highlight w:val="none"/>
              </w:rPr>
              <w:t xml:space="preserve">  年  月  日    </w:t>
            </w:r>
          </w:p>
        </w:tc>
        <w:tc>
          <w:tcPr>
            <w:tcW w:w="3936" w:type="dxa"/>
            <w:noWrap w:val="0"/>
            <w:tcMar>
              <w:top w:w="113" w:type="dxa"/>
              <w:left w:w="113" w:type="dxa"/>
              <w:bottom w:w="113" w:type="dxa"/>
              <w:right w:w="113" w:type="dxa"/>
            </w:tcMar>
            <w:vAlign w:val="top"/>
          </w:tcPr>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卖方名称：</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地    址： </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邮    编： </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电    话： </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传    真：  </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开户银行：</w:t>
            </w:r>
          </w:p>
          <w:p>
            <w:pPr>
              <w:keepNext w:val="0"/>
              <w:keepLines w:val="0"/>
              <w:pageBreakBefore w:val="0"/>
              <w:widowControl w:val="0"/>
              <w:kinsoku/>
              <w:wordWrap/>
              <w:overflowPunct/>
              <w:topLinePunct w:val="0"/>
              <w:autoSpaceDE w:val="0"/>
              <w:autoSpaceDN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帐    号：</w:t>
            </w:r>
          </w:p>
          <w:p>
            <w:pPr>
              <w:keepNext w:val="0"/>
              <w:keepLines w:val="0"/>
              <w:pageBreakBefore w:val="0"/>
              <w:widowControl w:val="0"/>
              <w:kinsoku/>
              <w:wordWrap/>
              <w:overflowPunct/>
              <w:topLinePunct w:val="0"/>
              <w:bidi w:val="0"/>
              <w:spacing w:line="500" w:lineRule="atLeast"/>
              <w:ind w:left="240" w:leftChars="1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代表签字或盖章</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盖章：</w:t>
            </w:r>
          </w:p>
          <w:p>
            <w:pPr>
              <w:keepNext w:val="0"/>
              <w:keepLines w:val="0"/>
              <w:pageBreakBefore w:val="0"/>
              <w:widowControl w:val="0"/>
              <w:kinsoku/>
              <w:wordWrap/>
              <w:overflowPunct/>
              <w:topLinePunct w:val="0"/>
              <w:bidi w:val="0"/>
              <w:spacing w:line="500" w:lineRule="atLeast"/>
              <w:ind w:left="240" w:leftChars="100"/>
              <w:textAlignment w:val="auto"/>
              <w:rPr>
                <w:rFonts w:hint="eastAsia" w:ascii="宋体" w:hAnsi="宋体"/>
                <w:color w:val="auto"/>
                <w:sz w:val="24"/>
                <w:highlight w:val="none"/>
              </w:rPr>
            </w:pPr>
            <w:r>
              <w:rPr>
                <w:rFonts w:hint="eastAsia" w:ascii="宋体" w:hAnsi="宋体"/>
                <w:color w:val="auto"/>
                <w:sz w:val="24"/>
                <w:highlight w:val="none"/>
              </w:rPr>
              <w:t xml:space="preserve">             年  月  日</w:t>
            </w:r>
          </w:p>
        </w:tc>
      </w:tr>
    </w:tbl>
    <w:p>
      <w:pPr>
        <w:keepNext w:val="0"/>
        <w:keepLines w:val="0"/>
        <w:pageBreakBefore w:val="0"/>
        <w:widowControl w:val="0"/>
        <w:kinsoku/>
        <w:wordWrap/>
        <w:overflowPunct/>
        <w:topLinePunct w:val="0"/>
        <w:bidi w:val="0"/>
        <w:spacing w:line="500" w:lineRule="atLeast"/>
        <w:textAlignment w:val="auto"/>
        <w:rPr>
          <w:rFonts w:hint="eastAsia" w:ascii="宋体" w:hAnsi="宋体"/>
          <w:color w:val="auto"/>
          <w:sz w:val="24"/>
          <w:highlight w:val="none"/>
        </w:rPr>
      </w:pPr>
      <w:r>
        <w:rPr>
          <w:rFonts w:hint="eastAsia" w:ascii="宋体" w:hAnsi="宋体"/>
          <w:color w:val="auto"/>
          <w:sz w:val="24"/>
          <w:highlight w:val="none"/>
        </w:rPr>
        <w:t xml:space="preserve">             </w:t>
      </w:r>
    </w:p>
    <w:p>
      <w:pPr>
        <w:adjustRightInd w:val="0"/>
        <w:snapToGrid w:val="0"/>
        <w:spacing w:line="480" w:lineRule="exact"/>
        <w:rPr>
          <w:rFonts w:hint="eastAsia" w:ascii="宋体" w:hAnsi="宋体"/>
          <w:color w:val="auto"/>
          <w:kern w:val="0"/>
          <w:sz w:val="24"/>
          <w:highlight w:val="none"/>
        </w:rPr>
      </w:pPr>
    </w:p>
    <w:p>
      <w:pPr>
        <w:adjustRightInd w:val="0"/>
        <w:snapToGrid w:val="0"/>
        <w:spacing w:line="480" w:lineRule="exact"/>
        <w:rPr>
          <w:rFonts w:hint="eastAsia" w:ascii="宋体" w:hAnsi="宋体"/>
          <w:color w:val="auto"/>
          <w:kern w:val="0"/>
          <w:sz w:val="24"/>
          <w:highlight w:val="none"/>
        </w:rPr>
      </w:pPr>
      <w:r>
        <w:rPr>
          <w:rFonts w:hint="eastAsia" w:ascii="宋体" w:hAnsi="宋体"/>
          <w:color w:val="auto"/>
          <w:kern w:val="0"/>
          <w:sz w:val="24"/>
          <w:highlight w:val="none"/>
        </w:rPr>
        <w:t>二、合同条款</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定义</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本合同下列术语应解释为：</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“合同”系指买卖双方签署的、合同格式中载明的买卖双方所达成的协议，包括所有的附件、附录和</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所提到的构成合同的所有文件。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“合同价”系指根据本合同规定卖方在正确地完全履行合同义务后买方应支付给卖方的价款。</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1.3</w:t>
      </w:r>
      <w:r>
        <w:rPr>
          <w:rFonts w:hint="eastAsia" w:ascii="宋体" w:hAnsi="宋体"/>
          <w:color w:val="auto"/>
          <w:kern w:val="0"/>
          <w:sz w:val="24"/>
          <w:highlight w:val="none"/>
        </w:rPr>
        <w:t>“货物”系指卖方根据本合同规定须向买方提供的一切产品、部件或其它材料。</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1.4</w:t>
      </w:r>
      <w:r>
        <w:rPr>
          <w:rFonts w:hint="eastAsia" w:ascii="宋体" w:hAnsi="宋体"/>
          <w:color w:val="auto"/>
          <w:kern w:val="0"/>
          <w:sz w:val="24"/>
          <w:highlight w:val="none"/>
        </w:rPr>
        <w:t>“服务”系指根据本合同规定卖方承担与供货有关的辅助服务如运输、保险以及其它的伴随服务，例如调试、提供技术援助、培训和合同中规定卖方应承担的其它义务。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1.5</w:t>
      </w:r>
      <w:r>
        <w:rPr>
          <w:rFonts w:hint="eastAsia" w:ascii="宋体" w:hAnsi="宋体"/>
          <w:color w:val="auto"/>
          <w:kern w:val="0"/>
          <w:sz w:val="24"/>
          <w:highlight w:val="none"/>
        </w:rPr>
        <w:t>“项目现场”系指本合同项下货物安装、运行的场地。</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“合同条款”系指本合同条款。</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“买方”是指购买货物和服务的单位即</w:t>
      </w:r>
      <w:r>
        <w:rPr>
          <w:rFonts w:hint="eastAsia" w:ascii="宋体" w:hAnsi="宋体"/>
          <w:color w:val="auto"/>
          <w:spacing w:val="-2"/>
          <w:kern w:val="0"/>
          <w:sz w:val="24"/>
          <w:highlight w:val="none"/>
          <w:lang w:eastAsia="zh-CN"/>
        </w:rPr>
        <w:t>西安市鄠邑区妇幼保健计划生育服务中心（区妇幼保健院）</w:t>
      </w:r>
      <w:r>
        <w:rPr>
          <w:rFonts w:hint="eastAsia" w:ascii="宋体" w:hAnsi="宋体"/>
          <w:color w:val="auto"/>
          <w:kern w:val="0"/>
          <w:sz w:val="24"/>
          <w:highlight w:val="none"/>
        </w:rPr>
        <w:t>。</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“卖方”是指提供本合同内的货物和服务的公司或其它实体即</w:t>
      </w:r>
      <w:r>
        <w:rPr>
          <w:rFonts w:hint="eastAsia" w:ascii="宋体" w:hAnsi="宋体"/>
          <w:color w:val="auto"/>
          <w:kern w:val="0"/>
          <w:sz w:val="24"/>
          <w:highlight w:val="none"/>
          <w:lang w:eastAsia="zh-CN"/>
        </w:rPr>
        <w:t>中标人</w:t>
      </w:r>
      <w:r>
        <w:rPr>
          <w:rFonts w:hint="eastAsia" w:ascii="宋体" w:hAnsi="宋体"/>
          <w:color w:val="auto"/>
          <w:kern w:val="0"/>
          <w:sz w:val="24"/>
          <w:highlight w:val="none"/>
        </w:rPr>
        <w:t>。</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“天”指日历天数。</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适用性</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本合同条款适用于没有被本项目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规定条款、卖方的</w:t>
      </w:r>
      <w:r>
        <w:rPr>
          <w:rFonts w:hint="eastAsia" w:ascii="宋体" w:hAnsi="宋体"/>
          <w:color w:val="auto"/>
          <w:kern w:val="0"/>
          <w:sz w:val="24"/>
          <w:highlight w:val="none"/>
          <w:lang w:eastAsia="zh-CN"/>
        </w:rPr>
        <w:t>投标文件</w:t>
      </w:r>
      <w:r>
        <w:rPr>
          <w:rFonts w:hint="eastAsia" w:ascii="宋体" w:hAnsi="宋体"/>
          <w:color w:val="auto"/>
          <w:kern w:val="0"/>
          <w:sz w:val="24"/>
          <w:highlight w:val="none"/>
        </w:rPr>
        <w:t>承诺条款所取代的范围。</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使用合同文件和资料</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没有买方事先书面同意，除了履行本合同之外，卖方不应使用合同条款第3-1条所列举的任何文件和资料。</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除了合同本身以外，合同条款第3</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1条所列举的任何文件是买方的财产。如果买方有要求，卖方在完成合同后应将这些文件及全部复制件还给买方。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4</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专利权</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卖方应保证，买方在使用该产品或产品的任何一部分，免受第三方提出的侵犯（其专利权）、商标权、著作权或其它知识产权的起诉。</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技术规格</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本合同下交付的货物必须等同或优于本项目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w:t>
      </w:r>
      <w:r>
        <w:rPr>
          <w:rFonts w:hint="eastAsia" w:ascii="宋体" w:hAnsi="宋体"/>
          <w:color w:val="auto"/>
          <w:kern w:val="0"/>
          <w:sz w:val="24"/>
          <w:highlight w:val="none"/>
          <w:lang w:eastAsia="zh-CN"/>
        </w:rPr>
        <w:t>采购内容及技术</w:t>
      </w:r>
      <w:r>
        <w:rPr>
          <w:rFonts w:hint="eastAsia" w:ascii="宋体" w:hAnsi="宋体"/>
          <w:color w:val="auto"/>
          <w:kern w:val="0"/>
          <w:sz w:val="24"/>
          <w:highlight w:val="none"/>
        </w:rPr>
        <w:t>要求》所述的标准。若卖方在其</w:t>
      </w:r>
      <w:r>
        <w:rPr>
          <w:rFonts w:hint="eastAsia" w:ascii="宋体" w:hAnsi="宋体"/>
          <w:color w:val="auto"/>
          <w:kern w:val="0"/>
          <w:sz w:val="24"/>
          <w:highlight w:val="none"/>
          <w:lang w:eastAsia="zh-CN"/>
        </w:rPr>
        <w:t>投标文件</w:t>
      </w:r>
      <w:r>
        <w:rPr>
          <w:rFonts w:hint="eastAsia" w:ascii="宋体" w:hAnsi="宋体"/>
          <w:color w:val="auto"/>
          <w:kern w:val="0"/>
          <w:sz w:val="24"/>
          <w:highlight w:val="none"/>
        </w:rPr>
        <w:t>中承诺的技术标准优于本项目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w:t>
      </w:r>
      <w:r>
        <w:rPr>
          <w:rFonts w:hint="eastAsia" w:ascii="宋体" w:hAnsi="宋体"/>
          <w:color w:val="auto"/>
          <w:kern w:val="0"/>
          <w:sz w:val="24"/>
          <w:highlight w:val="none"/>
          <w:lang w:eastAsia="zh-CN"/>
        </w:rPr>
        <w:t>采购内容及技术</w:t>
      </w:r>
      <w:r>
        <w:rPr>
          <w:rFonts w:hint="eastAsia" w:ascii="宋体" w:hAnsi="宋体"/>
          <w:color w:val="auto"/>
          <w:kern w:val="0"/>
          <w:sz w:val="24"/>
          <w:highlight w:val="none"/>
        </w:rPr>
        <w:t>要求》所述标准的，按</w:t>
      </w:r>
      <w:r>
        <w:rPr>
          <w:rFonts w:hint="eastAsia" w:ascii="宋体" w:hAnsi="宋体"/>
          <w:color w:val="auto"/>
          <w:kern w:val="0"/>
          <w:sz w:val="24"/>
          <w:highlight w:val="none"/>
          <w:lang w:eastAsia="zh-CN"/>
        </w:rPr>
        <w:t>投标文件</w:t>
      </w:r>
      <w:r>
        <w:rPr>
          <w:rFonts w:hint="eastAsia" w:ascii="宋体" w:hAnsi="宋体"/>
          <w:color w:val="auto"/>
          <w:kern w:val="0"/>
          <w:sz w:val="24"/>
          <w:highlight w:val="none"/>
        </w:rPr>
        <w:t>的承诺执行。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检验和测试</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买方或其代表应有权检验和测试产品及其部件，以确认所供产品是否符合合同规格的要求，并且不承担额外的费用。买方要求进行的检验和测试，以及在何处进行这些检验和测试，以书面形式通知卖方。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检验和测试在买方指定的交货地点进行。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如果任何被检验或测试的产品或部件不能满足</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及合同的要求，买方可以拒绝接受该产品或部件，卖方应更换被拒绝的产品或部件，或者免费进行必要的修改以满足规格的要求。</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如果在产品使用寿命期内，根据检验结果，发现产品的质量或规格与合同要求不符，或被证实有缺陷，包含潜在的缺陷或使用不合适的材料，买方应向卖方提出索赔。</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包装及运输</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卖方负责货物到达交货地点前的所有包装、运输、装卸及保险事项，相关费用应包括在合同总价中。</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 xml:space="preserve">货物的运输方式由卖方自行选择，但包装必须满足货物运输和装卸的要求，保证买方收到的是无任何损伤的货物。否则，因此造成的损失由卖方自行承担。 </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8</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伴随服务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8</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卖方必须在合同生效后三十 (30)天内向买方提交所供货物的技术文件（中文技术文件），例如：产品说明、图纸、操作手册、使用说明、维护手册和／或服务指南等。</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8</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卖方应向买方提供下列所有服务，包括本项目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“商务</w:t>
      </w:r>
      <w:r>
        <w:rPr>
          <w:rFonts w:hint="eastAsia" w:ascii="宋体" w:hAnsi="宋体"/>
          <w:color w:val="auto"/>
          <w:kern w:val="0"/>
          <w:sz w:val="24"/>
          <w:highlight w:val="none"/>
          <w:lang w:eastAsia="zh-CN"/>
        </w:rPr>
        <w:t>要求</w:t>
      </w:r>
      <w:r>
        <w:rPr>
          <w:rFonts w:hint="eastAsia" w:ascii="宋体" w:hAnsi="宋体"/>
          <w:color w:val="auto"/>
          <w:kern w:val="0"/>
          <w:sz w:val="24"/>
          <w:highlight w:val="none"/>
        </w:rPr>
        <w:t>”与“</w:t>
      </w:r>
      <w:r>
        <w:rPr>
          <w:rFonts w:hint="eastAsia" w:ascii="宋体" w:hAnsi="宋体"/>
          <w:color w:val="auto"/>
          <w:kern w:val="0"/>
          <w:sz w:val="24"/>
          <w:highlight w:val="none"/>
          <w:lang w:eastAsia="zh-CN"/>
        </w:rPr>
        <w:t>采购内容及技术</w:t>
      </w:r>
      <w:r>
        <w:rPr>
          <w:rFonts w:hint="eastAsia" w:ascii="宋体" w:hAnsi="宋体"/>
          <w:color w:val="auto"/>
          <w:kern w:val="0"/>
          <w:sz w:val="24"/>
          <w:highlight w:val="none"/>
        </w:rPr>
        <w:t>要求”中规定的附加服务（如果有的话）：</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8.2.1</w:t>
      </w:r>
      <w:r>
        <w:rPr>
          <w:rFonts w:hint="eastAsia" w:ascii="宋体" w:hAnsi="宋体"/>
          <w:color w:val="auto"/>
          <w:kern w:val="0"/>
          <w:sz w:val="24"/>
          <w:highlight w:val="none"/>
        </w:rPr>
        <w:t>实施或监督所供货物的现场组装 和/或试运行；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8.2.2</w:t>
      </w:r>
      <w:r>
        <w:rPr>
          <w:rFonts w:hint="eastAsia" w:ascii="宋体" w:hAnsi="宋体"/>
          <w:color w:val="auto"/>
          <w:kern w:val="0"/>
          <w:sz w:val="24"/>
          <w:highlight w:val="none"/>
        </w:rPr>
        <w:t>提供货物组装 和/或 维修所需的工具；</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8.2.3</w:t>
      </w:r>
      <w:r>
        <w:rPr>
          <w:rFonts w:hint="eastAsia" w:ascii="宋体" w:hAnsi="宋体"/>
          <w:color w:val="auto"/>
          <w:kern w:val="0"/>
          <w:sz w:val="24"/>
          <w:highlight w:val="none"/>
        </w:rPr>
        <w:t>为所供货物的每一适当的单台设备提供详细的操作和维护手册；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8.2.4</w:t>
      </w:r>
      <w:r>
        <w:rPr>
          <w:rFonts w:hint="eastAsia" w:ascii="宋体" w:hAnsi="宋体"/>
          <w:color w:val="auto"/>
          <w:kern w:val="0"/>
          <w:sz w:val="24"/>
          <w:highlight w:val="none"/>
        </w:rPr>
        <w:t xml:space="preserve">在双方商定的一定期限内对所供货物实施运行或监督或维护或修理，但前提条件是该服务并不能免除卖方在合同保证期内所承担的义务；  </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8.2.5</w:t>
      </w:r>
      <w:r>
        <w:rPr>
          <w:rFonts w:hint="eastAsia" w:ascii="宋体" w:hAnsi="宋体"/>
          <w:color w:val="auto"/>
          <w:kern w:val="0"/>
          <w:sz w:val="24"/>
          <w:highlight w:val="none"/>
        </w:rPr>
        <w:t>在卖方或制造厂和/或在项目现场就所供货物的组装、试运行、运行、维护和/或修理、软硬件升级对买方人员进行培训。</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8.3</w:t>
      </w:r>
      <w:r>
        <w:rPr>
          <w:rFonts w:hint="eastAsia" w:ascii="宋体" w:hAnsi="宋体"/>
          <w:color w:val="auto"/>
          <w:kern w:val="0"/>
          <w:sz w:val="24"/>
          <w:highlight w:val="none"/>
        </w:rPr>
        <w:t>卖方应提供本项目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“商务</w:t>
      </w:r>
      <w:r>
        <w:rPr>
          <w:rFonts w:hint="eastAsia" w:ascii="宋体" w:hAnsi="宋体"/>
          <w:color w:val="auto"/>
          <w:kern w:val="0"/>
          <w:sz w:val="24"/>
          <w:highlight w:val="none"/>
          <w:lang w:eastAsia="zh-CN"/>
        </w:rPr>
        <w:t>要求</w:t>
      </w:r>
      <w:r>
        <w:rPr>
          <w:rFonts w:hint="eastAsia" w:ascii="宋体" w:hAnsi="宋体"/>
          <w:color w:val="auto"/>
          <w:kern w:val="0"/>
          <w:sz w:val="24"/>
          <w:highlight w:val="none"/>
        </w:rPr>
        <w:t>”和“</w:t>
      </w:r>
      <w:r>
        <w:rPr>
          <w:rFonts w:hint="eastAsia" w:ascii="宋体" w:hAnsi="宋体"/>
          <w:color w:val="auto"/>
          <w:kern w:val="0"/>
          <w:sz w:val="24"/>
          <w:highlight w:val="none"/>
          <w:lang w:eastAsia="zh-CN"/>
        </w:rPr>
        <w:t>采购内容及技术</w:t>
      </w:r>
      <w:r>
        <w:rPr>
          <w:rFonts w:hint="eastAsia" w:ascii="宋体" w:hAnsi="宋体"/>
          <w:color w:val="auto"/>
          <w:kern w:val="0"/>
          <w:sz w:val="24"/>
          <w:highlight w:val="none"/>
        </w:rPr>
        <w:t>要求”中规定的所有服务。为履行要求的伴随服务的报价或双方商定的费用应包括在合同价中。</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8.4</w:t>
      </w:r>
      <w:r>
        <w:rPr>
          <w:rFonts w:hint="eastAsia" w:ascii="宋体" w:hAnsi="宋体"/>
          <w:color w:val="auto"/>
          <w:kern w:val="0"/>
          <w:sz w:val="24"/>
          <w:highlight w:val="none"/>
        </w:rPr>
        <w:t>如果卖方或制造厂提供的伴随服务的费用未含在货物的合同价中，双方应事先就其达成协议，但其费用单价不应超过卖方向其他人提供类似服务所收取的现行单价。</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备品备件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9.1</w:t>
      </w:r>
      <w:r>
        <w:rPr>
          <w:rFonts w:hint="eastAsia" w:ascii="宋体" w:hAnsi="宋体"/>
          <w:color w:val="auto"/>
          <w:kern w:val="0"/>
          <w:sz w:val="24"/>
          <w:highlight w:val="none"/>
        </w:rPr>
        <w:t>卖方可能被要求提供下列与备品备件有关的材料、通知和资料：</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9.1.1</w:t>
      </w:r>
      <w:r>
        <w:rPr>
          <w:rFonts w:hint="eastAsia" w:ascii="宋体" w:hAnsi="宋体"/>
          <w:color w:val="auto"/>
          <w:kern w:val="0"/>
          <w:sz w:val="24"/>
          <w:highlight w:val="none"/>
        </w:rPr>
        <w:t>买方从卖方选购备品备件，但前提条件是该选择并不能免除卖方在合同保证期内所承担的义务；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9.1.2</w:t>
      </w:r>
      <w:r>
        <w:rPr>
          <w:rFonts w:hint="eastAsia" w:ascii="宋体" w:hAnsi="宋体"/>
          <w:color w:val="auto"/>
          <w:kern w:val="0"/>
          <w:sz w:val="24"/>
          <w:highlight w:val="none"/>
        </w:rPr>
        <w:t>在备品备件停止生产的情况下，卖方应事先将要停止生产的计划通知买方使买方有足够的时间采购所需的备品备件；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9.1.3</w:t>
      </w:r>
      <w:r>
        <w:rPr>
          <w:rFonts w:hint="eastAsia" w:ascii="宋体" w:hAnsi="宋体"/>
          <w:color w:val="auto"/>
          <w:kern w:val="0"/>
          <w:sz w:val="24"/>
          <w:highlight w:val="none"/>
        </w:rPr>
        <w:t>在备品备件停止生产后，如果买方要求，卖方应免费向买方提供备品备件的蓝图、图纸和规格。</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9.2</w:t>
      </w:r>
      <w:r>
        <w:rPr>
          <w:rFonts w:hint="eastAsia" w:ascii="宋体" w:hAnsi="宋体"/>
          <w:color w:val="auto"/>
          <w:kern w:val="0"/>
          <w:sz w:val="24"/>
          <w:highlight w:val="none"/>
        </w:rPr>
        <w:t>卖方应按照本项目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“商务</w:t>
      </w:r>
      <w:r>
        <w:rPr>
          <w:rFonts w:hint="eastAsia" w:ascii="宋体" w:hAnsi="宋体"/>
          <w:color w:val="auto"/>
          <w:kern w:val="0"/>
          <w:sz w:val="24"/>
          <w:highlight w:val="none"/>
          <w:lang w:eastAsia="zh-CN"/>
        </w:rPr>
        <w:t>要求</w:t>
      </w:r>
      <w:r>
        <w:rPr>
          <w:rFonts w:hint="eastAsia" w:ascii="宋体" w:hAnsi="宋体"/>
          <w:color w:val="auto"/>
          <w:kern w:val="0"/>
          <w:sz w:val="24"/>
          <w:highlight w:val="none"/>
        </w:rPr>
        <w:t>”和“</w:t>
      </w:r>
      <w:r>
        <w:rPr>
          <w:rFonts w:hint="eastAsia" w:ascii="宋体" w:hAnsi="宋体"/>
          <w:color w:val="auto"/>
          <w:kern w:val="0"/>
          <w:sz w:val="24"/>
          <w:highlight w:val="none"/>
          <w:lang w:eastAsia="zh-CN"/>
        </w:rPr>
        <w:t>采购内容及技术</w:t>
      </w:r>
      <w:r>
        <w:rPr>
          <w:rFonts w:hint="eastAsia" w:ascii="宋体" w:hAnsi="宋体"/>
          <w:color w:val="auto"/>
          <w:kern w:val="0"/>
          <w:sz w:val="24"/>
          <w:highlight w:val="none"/>
        </w:rPr>
        <w:t>要求”中的规定提供所需的备品备件。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质量保证</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10.1</w:t>
      </w:r>
      <w:r>
        <w:rPr>
          <w:rFonts w:hint="eastAsia" w:ascii="宋体" w:hAnsi="宋体"/>
          <w:color w:val="auto"/>
          <w:kern w:val="0"/>
          <w:sz w:val="24"/>
          <w:highlight w:val="none"/>
        </w:rPr>
        <w:t>质量保证期为终验合格之日起   个月。</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10.2</w:t>
      </w:r>
      <w:r>
        <w:rPr>
          <w:rFonts w:hint="eastAsia" w:ascii="宋体" w:hAnsi="宋体"/>
          <w:color w:val="auto"/>
          <w:kern w:val="0"/>
          <w:sz w:val="24"/>
          <w:highlight w:val="none"/>
        </w:rPr>
        <w:t>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10.3</w:t>
      </w:r>
      <w:r>
        <w:rPr>
          <w:rFonts w:hint="eastAsia" w:ascii="宋体" w:hAnsi="宋体"/>
          <w:color w:val="auto"/>
          <w:kern w:val="0"/>
          <w:sz w:val="24"/>
          <w:highlight w:val="none"/>
        </w:rPr>
        <w:t>根据检验结果或者在质量保证期内，如果货物的数量、质量或规格与合同不符，或证实货物是有缺陷的，包括潜在的缺陷，买方应尽快以书面形式向卖方提出所发现的缺陷。</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10.4</w:t>
      </w:r>
      <w:r>
        <w:rPr>
          <w:rFonts w:hint="eastAsia" w:ascii="宋体" w:hAnsi="宋体"/>
          <w:color w:val="auto"/>
          <w:kern w:val="0"/>
          <w:sz w:val="24"/>
          <w:highlight w:val="none"/>
        </w:rPr>
        <w:t>卖方收到通知后应在</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规定的时间内以合理的速度免费维修或更换有缺陷的货物或部件。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10.5</w:t>
      </w:r>
      <w:r>
        <w:rPr>
          <w:rFonts w:hint="eastAsia" w:ascii="宋体" w:hAnsi="宋体"/>
          <w:color w:val="auto"/>
          <w:kern w:val="0"/>
          <w:sz w:val="24"/>
          <w:highlight w:val="none"/>
        </w:rPr>
        <w:t>如果卖方收到通知后在</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规定的时间内没有及时修补缺陷，买方可提出索赔，并可采取必要的补救措施，但其风险和费用将由卖方承担，买方根据合同规定对卖方行使的其他权力不受影响。</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索赔</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11.1</w:t>
      </w:r>
      <w:r>
        <w:rPr>
          <w:rFonts w:hint="eastAsia" w:ascii="宋体" w:hAnsi="宋体"/>
          <w:color w:val="auto"/>
          <w:kern w:val="0"/>
          <w:sz w:val="24"/>
          <w:highlight w:val="none"/>
        </w:rPr>
        <w:t>如果卖方对偏差负有责任，而买方在安装、调试、验收和质量保证期内提出了索赔，卖方应按照买方同意的下列一种或几种方式结合起来解决索赔事宜：</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11.1.1</w:t>
      </w:r>
      <w:r>
        <w:rPr>
          <w:rFonts w:hint="eastAsia" w:ascii="宋体" w:hAnsi="宋体"/>
          <w:color w:val="auto"/>
          <w:kern w:val="0"/>
          <w:sz w:val="24"/>
          <w:highlight w:val="none"/>
        </w:rPr>
        <w:t>卖方同意退货并用合同规定的货币将货款退还给买方，并承担由此发生的一切损失和费用，包括利息、银行手续费、运费、保险费、检验费、仓储费、装卸费以及为看管和保护退回货物所需的其它必要费用。</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11.1.2</w:t>
      </w:r>
      <w:r>
        <w:rPr>
          <w:rFonts w:hint="eastAsia" w:ascii="宋体" w:hAnsi="宋体"/>
          <w:color w:val="auto"/>
          <w:kern w:val="0"/>
          <w:sz w:val="24"/>
          <w:highlight w:val="none"/>
        </w:rPr>
        <w:t>根据货物的偏差情况、损坏程度、以及买方所遭受损失的金额，经买卖双方商定降低货物的价格。</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11.1.3</w:t>
      </w:r>
      <w:r>
        <w:rPr>
          <w:rFonts w:hint="eastAsia" w:ascii="宋体" w:hAnsi="宋体"/>
          <w:color w:val="auto"/>
          <w:kern w:val="0"/>
          <w:sz w:val="24"/>
          <w:highlight w:val="none"/>
        </w:rPr>
        <w:t>用符合合同规定的规格、质量和性能要求的新零件、部件和/或设备来更换有缺陷的部分和/或修补缺陷部分，卖方应承担一切费用和风险并负担买方蒙受的全部直接损失费用。同时，卖方应按合同条款第10</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1条规定，相应延长所更换货物的质量保证期。</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11.2</w:t>
      </w:r>
      <w:r>
        <w:rPr>
          <w:rFonts w:hint="eastAsia" w:ascii="宋体" w:hAnsi="宋体"/>
          <w:color w:val="auto"/>
          <w:kern w:val="0"/>
          <w:sz w:val="24"/>
          <w:highlight w:val="none"/>
        </w:rPr>
        <w:t>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变更指令</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12.1</w:t>
      </w:r>
      <w:r>
        <w:rPr>
          <w:rFonts w:hint="eastAsia" w:ascii="宋体" w:hAnsi="宋体"/>
          <w:color w:val="auto"/>
          <w:kern w:val="0"/>
          <w:sz w:val="24"/>
          <w:highlight w:val="none"/>
        </w:rPr>
        <w:t>买方可以在任何时候书面向卖方发出指令，在本合同的一般范围内变更下述一项或几项：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12.1.1</w:t>
      </w:r>
      <w:r>
        <w:rPr>
          <w:rFonts w:hint="eastAsia" w:ascii="宋体" w:hAnsi="宋体"/>
          <w:color w:val="auto"/>
          <w:kern w:val="0"/>
          <w:sz w:val="24"/>
          <w:highlight w:val="none"/>
        </w:rPr>
        <w:t>本合同项下提供的货物是专为买方制造时，变更图纸、设计或规格；</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12.1.2</w:t>
      </w:r>
      <w:r>
        <w:rPr>
          <w:rFonts w:hint="eastAsia" w:ascii="宋体" w:hAnsi="宋体"/>
          <w:color w:val="auto"/>
          <w:kern w:val="0"/>
          <w:sz w:val="24"/>
          <w:highlight w:val="none"/>
        </w:rPr>
        <w:t>运输或包装的方法；</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12.1.3</w:t>
      </w:r>
      <w:r>
        <w:rPr>
          <w:rFonts w:hint="eastAsia" w:ascii="宋体" w:hAnsi="宋体"/>
          <w:color w:val="auto"/>
          <w:kern w:val="0"/>
          <w:sz w:val="24"/>
          <w:highlight w:val="none"/>
        </w:rPr>
        <w:t>交货地点；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12.1.4</w:t>
      </w:r>
      <w:r>
        <w:rPr>
          <w:rFonts w:hint="eastAsia" w:ascii="宋体" w:hAnsi="宋体"/>
          <w:color w:val="auto"/>
          <w:kern w:val="0"/>
          <w:sz w:val="24"/>
          <w:highlight w:val="none"/>
        </w:rPr>
        <w:t>卖方提供的服务。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12.2</w:t>
      </w:r>
      <w:r>
        <w:rPr>
          <w:rFonts w:hint="eastAsia" w:ascii="宋体" w:hAnsi="宋体"/>
          <w:color w:val="auto"/>
          <w:kern w:val="0"/>
          <w:sz w:val="24"/>
          <w:highlight w:val="none"/>
        </w:rPr>
        <w:t>如果上述变更使卖方履行合同义务的费用或时间增加或减少，将对合同价或</w:t>
      </w:r>
      <w:r>
        <w:rPr>
          <w:rFonts w:hint="eastAsia" w:ascii="宋体" w:hAnsi="宋体"/>
          <w:color w:val="auto"/>
          <w:kern w:val="0"/>
          <w:sz w:val="24"/>
          <w:highlight w:val="none"/>
          <w:lang w:eastAsia="zh-CN"/>
        </w:rPr>
        <w:t>交货期</w:t>
      </w:r>
      <w:r>
        <w:rPr>
          <w:rFonts w:hint="eastAsia" w:ascii="宋体" w:hAnsi="宋体"/>
          <w:color w:val="auto"/>
          <w:kern w:val="0"/>
          <w:sz w:val="24"/>
          <w:highlight w:val="none"/>
        </w:rPr>
        <w:t>或两者进行公平的调整，同时相应修改合同。卖方根据本条进行调整的要求必须在收到买方的变更指令后三十（30）天内提出。</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13.</w:t>
      </w:r>
      <w:r>
        <w:rPr>
          <w:rFonts w:hint="eastAsia" w:ascii="宋体" w:hAnsi="宋体"/>
          <w:color w:val="auto"/>
          <w:kern w:val="0"/>
          <w:sz w:val="24"/>
          <w:highlight w:val="none"/>
        </w:rPr>
        <w:t>合同修改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除了合同条款第12条的情况，不应对合同条款进行任何变更或修改，除非双方同意并签订书面的合同修改书。</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14.</w:t>
      </w:r>
      <w:r>
        <w:rPr>
          <w:rFonts w:hint="eastAsia" w:ascii="宋体" w:hAnsi="宋体"/>
          <w:color w:val="auto"/>
          <w:kern w:val="0"/>
          <w:sz w:val="24"/>
          <w:highlight w:val="none"/>
        </w:rPr>
        <w:t>转让</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未经买方事先书面同意，卖方不得部分转让或全部转让其应履行的合同义务。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15.</w:t>
      </w:r>
      <w:r>
        <w:rPr>
          <w:rFonts w:hint="eastAsia" w:ascii="宋体" w:hAnsi="宋体"/>
          <w:color w:val="auto"/>
          <w:kern w:val="0"/>
          <w:sz w:val="24"/>
          <w:highlight w:val="none"/>
        </w:rPr>
        <w:t>卖方履约延误</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15.1</w:t>
      </w:r>
      <w:r>
        <w:rPr>
          <w:rFonts w:hint="eastAsia" w:ascii="宋体" w:hAnsi="宋体"/>
          <w:color w:val="auto"/>
          <w:kern w:val="0"/>
          <w:sz w:val="24"/>
          <w:highlight w:val="none"/>
        </w:rPr>
        <w:t>卖方应按照本项目</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“商务</w:t>
      </w:r>
      <w:r>
        <w:rPr>
          <w:rFonts w:hint="eastAsia" w:ascii="宋体" w:hAnsi="宋体"/>
          <w:color w:val="auto"/>
          <w:kern w:val="0"/>
          <w:sz w:val="24"/>
          <w:highlight w:val="none"/>
          <w:lang w:eastAsia="zh-CN"/>
        </w:rPr>
        <w:t>要求</w:t>
      </w:r>
      <w:r>
        <w:rPr>
          <w:rFonts w:hint="eastAsia" w:ascii="宋体" w:hAnsi="宋体"/>
          <w:color w:val="auto"/>
          <w:kern w:val="0"/>
          <w:sz w:val="24"/>
          <w:highlight w:val="none"/>
        </w:rPr>
        <w:t>”中规定的</w:t>
      </w:r>
      <w:r>
        <w:rPr>
          <w:rFonts w:hint="eastAsia" w:ascii="宋体" w:hAnsi="宋体"/>
          <w:color w:val="auto"/>
          <w:kern w:val="0"/>
          <w:sz w:val="24"/>
          <w:highlight w:val="none"/>
          <w:lang w:eastAsia="zh-CN"/>
        </w:rPr>
        <w:t>交货期</w:t>
      </w:r>
      <w:r>
        <w:rPr>
          <w:rFonts w:hint="eastAsia" w:ascii="宋体" w:hAnsi="宋体"/>
          <w:color w:val="auto"/>
          <w:kern w:val="0"/>
          <w:sz w:val="24"/>
          <w:highlight w:val="none"/>
        </w:rPr>
        <w:t>交货和提供服务。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15.2</w:t>
      </w:r>
      <w:r>
        <w:rPr>
          <w:rFonts w:hint="eastAsia" w:ascii="宋体" w:hAnsi="宋体"/>
          <w:color w:val="auto"/>
          <w:kern w:val="0"/>
          <w:sz w:val="24"/>
          <w:highlight w:val="none"/>
        </w:rPr>
        <w:t>在履行合同过程中，如果卖方遇到妨碍按时交货和提供服务的情况时，应及时以书面形式将拖延的事实、可能拖延的时间和原因通知买方。买方在收到卖方通知后，应尽快对情况进行评价，并确定是否同意延长</w:t>
      </w:r>
      <w:r>
        <w:rPr>
          <w:rFonts w:hint="eastAsia" w:ascii="宋体" w:hAnsi="宋体"/>
          <w:color w:val="auto"/>
          <w:kern w:val="0"/>
          <w:sz w:val="24"/>
          <w:highlight w:val="none"/>
          <w:lang w:eastAsia="zh-CN"/>
        </w:rPr>
        <w:t>交货期</w:t>
      </w:r>
      <w:r>
        <w:rPr>
          <w:rFonts w:hint="eastAsia" w:ascii="宋体" w:hAnsi="宋体"/>
          <w:color w:val="auto"/>
          <w:kern w:val="0"/>
          <w:sz w:val="24"/>
          <w:highlight w:val="none"/>
        </w:rPr>
        <w:t>以及是否收取误期赔偿费。延期应通过修改合同的方式由双方认可。</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15.3</w:t>
      </w:r>
      <w:r>
        <w:rPr>
          <w:rFonts w:hint="eastAsia" w:ascii="宋体" w:hAnsi="宋体"/>
          <w:color w:val="auto"/>
          <w:kern w:val="0"/>
          <w:sz w:val="24"/>
          <w:highlight w:val="none"/>
        </w:rPr>
        <w:t>除合同条款第20条规定的情况外,除非拖延是根据合同条款第15-2条的规定取得同意而不收取误期赔偿费之外，卖方延误交货，将按合同条款第17条的规定被收取误期赔偿费。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w:t>
      </w:r>
      <w:r>
        <w:rPr>
          <w:rFonts w:hint="eastAsia" w:ascii="宋体" w:hAnsi="宋体"/>
          <w:color w:val="auto"/>
          <w:kern w:val="0"/>
          <w:sz w:val="24"/>
          <w:highlight w:val="none"/>
        </w:rPr>
        <w:t>验收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16.1</w:t>
      </w:r>
      <w:r>
        <w:rPr>
          <w:rFonts w:hint="eastAsia" w:ascii="宋体" w:hAnsi="宋体"/>
          <w:color w:val="auto"/>
          <w:kern w:val="0"/>
          <w:sz w:val="24"/>
          <w:highlight w:val="none"/>
        </w:rPr>
        <w:t>项目验收分初验和终验: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初验：货物到达交货地点后，由使用单位根据合同对货物（设备）的名称、品牌、规格、型号、产地、数量进行检查。</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 xml:space="preserve">终验：所有货物(设备)安装、调试完毕，正常使用10个日历日后，由采购人进行终验（最终验收），合格后签发《终验合格单》。     </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16.2</w:t>
      </w:r>
      <w:r>
        <w:rPr>
          <w:rFonts w:hint="eastAsia" w:ascii="宋体" w:hAnsi="宋体"/>
          <w:color w:val="auto"/>
          <w:kern w:val="0"/>
          <w:sz w:val="24"/>
          <w:highlight w:val="none"/>
        </w:rPr>
        <w:t>验收不合格的成交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w:t>
      </w:r>
      <w:r>
        <w:rPr>
          <w:rFonts w:hint="eastAsia" w:ascii="宋体" w:hAnsi="宋体"/>
          <w:color w:val="auto"/>
          <w:kern w:val="0"/>
          <w:sz w:val="24"/>
          <w:highlight w:val="none"/>
        </w:rPr>
        <w:t>验收依据</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16.3.1</w:t>
      </w:r>
      <w:r>
        <w:rPr>
          <w:rFonts w:hint="eastAsia" w:ascii="宋体" w:hAnsi="宋体"/>
          <w:color w:val="auto"/>
          <w:kern w:val="0"/>
          <w:sz w:val="24"/>
          <w:highlight w:val="none"/>
        </w:rPr>
        <w:t xml:space="preserve">合同文本及合同补充文件（条款）； </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16.3.2</w:t>
      </w:r>
      <w:r>
        <w:rPr>
          <w:rFonts w:hint="eastAsia" w:ascii="宋体" w:hAnsi="宋体"/>
          <w:color w:val="auto"/>
          <w:kern w:val="0"/>
          <w:sz w:val="24"/>
          <w:highlight w:val="none"/>
        </w:rPr>
        <w:t>产品的合法来源渠道证明文件、响应功能证明材料；</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16.3.3</w:t>
      </w:r>
      <w:r>
        <w:rPr>
          <w:rFonts w:hint="eastAsia" w:ascii="宋体" w:hAnsi="宋体"/>
          <w:color w:val="auto"/>
          <w:kern w:val="0"/>
          <w:sz w:val="24"/>
          <w:highlight w:val="none"/>
          <w:lang w:eastAsia="zh-CN"/>
        </w:rPr>
        <w:t>公开招标文件</w:t>
      </w:r>
      <w:r>
        <w:rPr>
          <w:rFonts w:hint="eastAsia" w:ascii="宋体" w:hAnsi="宋体"/>
          <w:color w:val="auto"/>
          <w:kern w:val="0"/>
          <w:sz w:val="24"/>
          <w:highlight w:val="none"/>
        </w:rPr>
        <w:t>；</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16.3.4</w:t>
      </w:r>
      <w:r>
        <w:rPr>
          <w:rFonts w:hint="eastAsia" w:ascii="宋体" w:hAnsi="宋体"/>
          <w:color w:val="auto"/>
          <w:kern w:val="0"/>
          <w:sz w:val="24"/>
          <w:highlight w:val="none"/>
          <w:lang w:eastAsia="zh-CN"/>
        </w:rPr>
        <w:t>中标人的投标文件</w:t>
      </w:r>
      <w:r>
        <w:rPr>
          <w:rFonts w:hint="eastAsia" w:ascii="宋体" w:hAnsi="宋体"/>
          <w:color w:val="auto"/>
          <w:kern w:val="0"/>
          <w:sz w:val="24"/>
          <w:highlight w:val="none"/>
        </w:rPr>
        <w:t>；</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16.3.5</w:t>
      </w:r>
      <w:r>
        <w:rPr>
          <w:rFonts w:hint="eastAsia" w:ascii="宋体" w:hAnsi="宋体"/>
          <w:color w:val="auto"/>
          <w:kern w:val="0"/>
          <w:sz w:val="24"/>
          <w:highlight w:val="none"/>
        </w:rPr>
        <w:t>货物清单；</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16.3.6</w:t>
      </w:r>
      <w:r>
        <w:rPr>
          <w:rFonts w:hint="eastAsia" w:ascii="宋体" w:hAnsi="宋体"/>
          <w:color w:val="auto"/>
          <w:kern w:val="0"/>
          <w:sz w:val="24"/>
          <w:highlight w:val="none"/>
        </w:rPr>
        <w:t>生产厂家的企业资质、货物的执行标准。</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17.</w:t>
      </w:r>
      <w:r>
        <w:rPr>
          <w:rFonts w:hint="eastAsia" w:ascii="宋体" w:hAnsi="宋体"/>
          <w:color w:val="auto"/>
          <w:kern w:val="0"/>
          <w:sz w:val="24"/>
          <w:highlight w:val="none"/>
        </w:rPr>
        <w:t>误期赔偿费</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除合同条款第19条规定的情况外，如果卖方没有按照合同规定的时间交货和提供服务，买方应在不影响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18.</w:t>
      </w:r>
      <w:r>
        <w:rPr>
          <w:rFonts w:hint="eastAsia" w:ascii="宋体" w:hAnsi="宋体"/>
          <w:color w:val="auto"/>
          <w:kern w:val="0"/>
          <w:sz w:val="24"/>
          <w:highlight w:val="none"/>
        </w:rPr>
        <w:t>违约终止合同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18.1</w:t>
      </w:r>
      <w:r>
        <w:rPr>
          <w:rFonts w:hint="eastAsia" w:ascii="宋体" w:hAnsi="宋体"/>
          <w:color w:val="auto"/>
          <w:kern w:val="0"/>
          <w:sz w:val="24"/>
          <w:highlight w:val="none"/>
        </w:rPr>
        <w:t>在买方对卖方违约而采取的任何补救措施不受影响的情况下，买方可向卖方发出书面违约通知书，提出终止部分或全部合同：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18.1.1</w:t>
      </w:r>
      <w:r>
        <w:rPr>
          <w:rFonts w:hint="eastAsia" w:ascii="宋体" w:hAnsi="宋体"/>
          <w:color w:val="auto"/>
          <w:kern w:val="0"/>
          <w:sz w:val="24"/>
          <w:highlight w:val="none"/>
        </w:rPr>
        <w:t>如果卖方未能在合同规定的期限内或买方根据合同条款第15.2条的规定同意延长的期限内提供部分或全部货物；或误期赔偿费达到最高限额。</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18.1.2</w:t>
      </w:r>
      <w:r>
        <w:rPr>
          <w:rFonts w:hint="eastAsia" w:ascii="宋体" w:hAnsi="宋体"/>
          <w:color w:val="auto"/>
          <w:kern w:val="0"/>
          <w:sz w:val="24"/>
          <w:highlight w:val="none"/>
        </w:rPr>
        <w:t>如果卖方未能履行合同规定的其它任何义务。</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18.1.3</w:t>
      </w:r>
      <w:r>
        <w:rPr>
          <w:rFonts w:hint="eastAsia" w:ascii="宋体" w:hAnsi="宋体"/>
          <w:color w:val="auto"/>
          <w:kern w:val="0"/>
          <w:sz w:val="24"/>
          <w:highlight w:val="none"/>
        </w:rPr>
        <w:t>如果买方认为卖方在本合同的竞争和实施过程中有腐败和欺诈行为。为此目的，定义下述条件：</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“腐败行为”是指提供、给予、接受或索取任何有价值的物品来影响买方在采购过程或合同实施过程中的行为。</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“欺诈行为”是指为了影响采购过程或合同实施过程而谎报或隐瞒事实，损害买方利益的行为。</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18.2</w:t>
      </w:r>
      <w:r>
        <w:rPr>
          <w:rFonts w:hint="eastAsia" w:ascii="宋体" w:hAnsi="宋体"/>
          <w:color w:val="auto"/>
          <w:kern w:val="0"/>
          <w:sz w:val="24"/>
          <w:highlight w:val="none"/>
        </w:rPr>
        <w:t>如果买方根据上述第18</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19.</w:t>
      </w:r>
      <w:r>
        <w:rPr>
          <w:rFonts w:hint="eastAsia" w:ascii="宋体" w:hAnsi="宋体"/>
          <w:color w:val="auto"/>
          <w:kern w:val="0"/>
          <w:sz w:val="24"/>
          <w:highlight w:val="none"/>
        </w:rPr>
        <w:t>不可抗力</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19.1</w:t>
      </w:r>
      <w:r>
        <w:rPr>
          <w:rFonts w:hint="eastAsia" w:ascii="宋体" w:hAnsi="宋体"/>
          <w:color w:val="auto"/>
          <w:kern w:val="0"/>
          <w:sz w:val="24"/>
          <w:highlight w:val="none"/>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19.2</w:t>
      </w:r>
      <w:r>
        <w:rPr>
          <w:rFonts w:hint="eastAsia" w:ascii="宋体" w:hAnsi="宋体"/>
          <w:color w:val="auto"/>
          <w:kern w:val="0"/>
          <w:sz w:val="24"/>
          <w:highlight w:val="none"/>
        </w:rPr>
        <w:t>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19.3</w:t>
      </w:r>
      <w:r>
        <w:rPr>
          <w:rFonts w:hint="eastAsia" w:ascii="宋体" w:hAnsi="宋体"/>
          <w:color w:val="auto"/>
          <w:kern w:val="0"/>
          <w:sz w:val="24"/>
          <w:highlight w:val="none"/>
        </w:rPr>
        <w:t>因合同一方迟延履行合同后发生不可抗力的，不能免除迟延履行方的相应责任。</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20.</w:t>
      </w:r>
      <w:r>
        <w:rPr>
          <w:rFonts w:hint="eastAsia" w:ascii="宋体" w:hAnsi="宋体"/>
          <w:color w:val="auto"/>
          <w:kern w:val="0"/>
          <w:sz w:val="24"/>
          <w:highlight w:val="none"/>
        </w:rPr>
        <w:t>因破产而终止合同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21.</w:t>
      </w:r>
      <w:r>
        <w:rPr>
          <w:rFonts w:hint="eastAsia" w:ascii="宋体" w:hAnsi="宋体"/>
          <w:color w:val="auto"/>
          <w:kern w:val="0"/>
          <w:sz w:val="24"/>
          <w:highlight w:val="none"/>
        </w:rPr>
        <w:t>因买方的便利而终止合同</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21.1</w:t>
      </w:r>
      <w:r>
        <w:rPr>
          <w:rFonts w:hint="eastAsia" w:ascii="宋体" w:hAnsi="宋体"/>
          <w:color w:val="auto"/>
          <w:kern w:val="0"/>
          <w:sz w:val="24"/>
          <w:highlight w:val="none"/>
        </w:rPr>
        <w:t>买方可在任何时候出于自身的便利向卖方发出书面通知全部或部分终止合同，终止通知应明确该终止合同是出于买方的便利，并明确合同终止的程度，以及终止的生效日期。</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21.2</w:t>
      </w:r>
      <w:r>
        <w:rPr>
          <w:rFonts w:hint="eastAsia" w:ascii="宋体" w:hAnsi="宋体"/>
          <w:color w:val="auto"/>
          <w:kern w:val="0"/>
          <w:sz w:val="24"/>
          <w:highlight w:val="none"/>
        </w:rPr>
        <w:t>对卖方收到终止通知后三十（30）天内已完成并准备装运的货物，买方应按原合同价格和条款予以接收，对于剩下的货物，买方可：</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21.2.1</w:t>
      </w:r>
      <w:r>
        <w:rPr>
          <w:rFonts w:hint="eastAsia" w:ascii="宋体" w:hAnsi="宋体"/>
          <w:color w:val="auto"/>
          <w:kern w:val="0"/>
          <w:sz w:val="24"/>
          <w:highlight w:val="none"/>
        </w:rPr>
        <w:t>仅对部分货物按照原来的合同价格和条款予以接受；</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21.2.2</w:t>
      </w:r>
      <w:r>
        <w:rPr>
          <w:rFonts w:hint="eastAsia" w:ascii="宋体" w:hAnsi="宋体"/>
          <w:color w:val="auto"/>
          <w:kern w:val="0"/>
          <w:sz w:val="24"/>
          <w:highlight w:val="none"/>
        </w:rPr>
        <w:t>取消对所剩货物的采购，并按双方商定的金额向卖方支付部分完成的货物和服务以及卖方以前已采购的材料和部件的费用。</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22.</w:t>
      </w:r>
      <w:r>
        <w:rPr>
          <w:rFonts w:hint="eastAsia" w:ascii="宋体" w:hAnsi="宋体"/>
          <w:color w:val="auto"/>
          <w:kern w:val="0"/>
          <w:sz w:val="24"/>
          <w:highlight w:val="none"/>
        </w:rPr>
        <w:t>争议的解决</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因执行本合同所发生的或与本合同有关的一切争议,双方应通过友好协商解决。如果协商开始后六十（60）天还不能解决，双方可依以下一种方式解决：</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22.1</w:t>
      </w:r>
      <w:r>
        <w:rPr>
          <w:rFonts w:hint="eastAsia" w:ascii="宋体" w:hAnsi="宋体"/>
          <w:color w:val="auto"/>
          <w:kern w:val="0"/>
          <w:sz w:val="24"/>
          <w:highlight w:val="none"/>
        </w:rPr>
        <w:t>双方达成仲裁协议，向约定的仲裁委员会申请仲裁。</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22.2</w:t>
      </w:r>
      <w:r>
        <w:rPr>
          <w:rFonts w:hint="eastAsia" w:ascii="宋体" w:hAnsi="宋体"/>
          <w:color w:val="auto"/>
          <w:kern w:val="0"/>
          <w:sz w:val="24"/>
          <w:highlight w:val="none"/>
        </w:rPr>
        <w:t>向有管辖权的人民法院起诉。</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23.</w:t>
      </w:r>
      <w:r>
        <w:rPr>
          <w:rFonts w:hint="eastAsia" w:ascii="宋体" w:hAnsi="宋体"/>
          <w:color w:val="auto"/>
          <w:kern w:val="0"/>
          <w:sz w:val="24"/>
          <w:highlight w:val="none"/>
        </w:rPr>
        <w:t>适用法律</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本合同应按照中华人民共和国的现行法律进行解释。</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24.</w:t>
      </w:r>
      <w:r>
        <w:rPr>
          <w:rFonts w:hint="eastAsia" w:ascii="宋体" w:hAnsi="宋体"/>
          <w:color w:val="auto"/>
          <w:kern w:val="0"/>
          <w:sz w:val="24"/>
          <w:highlight w:val="none"/>
        </w:rPr>
        <w:t>通知</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24.1</w:t>
      </w:r>
      <w:r>
        <w:rPr>
          <w:rFonts w:hint="eastAsia" w:ascii="宋体" w:hAnsi="宋体"/>
          <w:color w:val="auto"/>
          <w:kern w:val="0"/>
          <w:sz w:val="24"/>
          <w:highlight w:val="none"/>
        </w:rPr>
        <w:t>本合同一方给对方的通知应用书面形式送到合同专用条款中规定的对方的地址。传真要经书面确认。</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24.2</w:t>
      </w:r>
      <w:r>
        <w:rPr>
          <w:rFonts w:hint="eastAsia" w:ascii="宋体" w:hAnsi="宋体"/>
          <w:color w:val="auto"/>
          <w:kern w:val="0"/>
          <w:sz w:val="24"/>
          <w:highlight w:val="none"/>
        </w:rPr>
        <w:t>通知以送到日期或通知书的生效日期为生效日期，两者中以晚的一个日期为准。</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25.</w:t>
      </w:r>
      <w:r>
        <w:rPr>
          <w:rFonts w:hint="eastAsia" w:ascii="宋体" w:hAnsi="宋体"/>
          <w:color w:val="auto"/>
          <w:kern w:val="0"/>
          <w:sz w:val="24"/>
          <w:highlight w:val="none"/>
        </w:rPr>
        <w:t>税款</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25.1</w:t>
      </w:r>
      <w:r>
        <w:rPr>
          <w:rFonts w:hint="eastAsia" w:ascii="宋体" w:hAnsi="宋体"/>
          <w:color w:val="auto"/>
          <w:kern w:val="0"/>
          <w:sz w:val="24"/>
          <w:highlight w:val="none"/>
        </w:rPr>
        <w:t>按照中华人民共和国税法和有关部门的规定，买方需交纳的与本合同有关的一切税费均应由买方负担。</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25.2</w:t>
      </w:r>
      <w:r>
        <w:rPr>
          <w:rFonts w:hint="eastAsia" w:ascii="宋体" w:hAnsi="宋体"/>
          <w:color w:val="auto"/>
          <w:kern w:val="0"/>
          <w:sz w:val="24"/>
          <w:highlight w:val="none"/>
        </w:rPr>
        <w:t>按照中华人民共和国税法和有关部门的规定，卖方需交纳的与本合同有关的一切税费均应由卖方负担。</w:t>
      </w:r>
    </w:p>
    <w:p>
      <w:pPr>
        <w:adjustRightInd w:val="0"/>
        <w:snapToGrid w:val="0"/>
        <w:spacing w:line="48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26.</w:t>
      </w:r>
      <w:r>
        <w:rPr>
          <w:rFonts w:hint="eastAsia" w:ascii="宋体" w:hAnsi="宋体"/>
          <w:color w:val="auto"/>
          <w:kern w:val="0"/>
          <w:sz w:val="24"/>
          <w:highlight w:val="none"/>
        </w:rPr>
        <w:t>合同生效</w:t>
      </w:r>
    </w:p>
    <w:p>
      <w:pPr>
        <w:spacing w:line="500" w:lineRule="exact"/>
        <w:ind w:firstLine="480" w:firstLineChars="200"/>
        <w:rPr>
          <w:rFonts w:hint="eastAsia" w:ascii="宋体" w:hAnsi="宋体"/>
          <w:b/>
          <w:color w:val="auto"/>
          <w:sz w:val="24"/>
          <w:highlight w:val="none"/>
        </w:rPr>
      </w:pPr>
      <w:r>
        <w:rPr>
          <w:rFonts w:hint="eastAsia" w:ascii="宋体" w:hAnsi="宋体" w:eastAsia="宋体" w:cs="宋体"/>
          <w:color w:val="auto"/>
          <w:kern w:val="0"/>
          <w:sz w:val="24"/>
          <w:highlight w:val="none"/>
        </w:rPr>
        <w:t>本合同由买卖双方共同签字盖章，自最后一方签字盖章之日起生效</w:t>
      </w:r>
      <w:r>
        <w:rPr>
          <w:rFonts w:hint="eastAsia" w:ascii="宋体" w:hAnsi="宋体" w:eastAsia="宋体" w:cs="宋体"/>
          <w:color w:val="auto"/>
          <w:kern w:val="0"/>
          <w:sz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jc w:val="center"/>
        <w:outlineLvl w:val="9"/>
        <w:rPr>
          <w:rFonts w:hint="eastAsia" w:ascii="宋体" w:hAnsi="宋体" w:eastAsia="宋体" w:cs="宋体"/>
          <w:b/>
          <w:bCs/>
          <w:color w:val="auto"/>
          <w:highlight w:val="none"/>
        </w:rPr>
      </w:pPr>
      <w:bookmarkStart w:id="131" w:name="_Toc31160"/>
      <w:bookmarkStart w:id="132" w:name="_Toc23737"/>
      <w:r>
        <w:rPr>
          <w:rFonts w:hint="eastAsia" w:ascii="宋体" w:hAnsi="宋体" w:eastAsia="宋体" w:cs="宋体"/>
          <w:b/>
          <w:bCs/>
          <w:color w:val="auto"/>
          <w:highlight w:val="none"/>
        </w:rPr>
        <w:t>第五章  投标文件构成及格式</w:t>
      </w:r>
      <w:bookmarkEnd w:id="130"/>
      <w:bookmarkEnd w:id="131"/>
      <w:bookmarkEnd w:id="132"/>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jc w:val="both"/>
        <w:rPr>
          <w:rFonts w:hint="eastAsia" w:ascii="宋体" w:hAnsi="宋体" w:eastAsia="宋体" w:cs="宋体"/>
          <w:color w:val="auto"/>
          <w:sz w:val="32"/>
          <w:szCs w:val="32"/>
          <w:highlight w:val="none"/>
        </w:rPr>
      </w:pPr>
    </w:p>
    <w:p>
      <w:pPr>
        <w:pStyle w:val="3"/>
        <w:outlineLvl w:val="1"/>
        <w:rPr>
          <w:rFonts w:hint="eastAsia" w:ascii="宋体" w:hAnsi="宋体" w:eastAsia="宋体" w:cs="宋体"/>
          <w:b/>
          <w:bCs/>
          <w:color w:val="auto"/>
          <w:sz w:val="40"/>
          <w:szCs w:val="40"/>
          <w:highlight w:val="none"/>
          <w:lang w:eastAsia="zh-CN"/>
        </w:rPr>
      </w:pPr>
      <w:bookmarkStart w:id="133" w:name="_Toc29392"/>
      <w:bookmarkStart w:id="134" w:name="_Toc2407"/>
      <w:r>
        <w:rPr>
          <w:rFonts w:hint="eastAsia" w:ascii="宋体" w:hAnsi="宋体" w:eastAsia="宋体" w:cs="宋体"/>
          <w:b/>
          <w:bCs/>
          <w:color w:val="auto"/>
          <w:sz w:val="40"/>
          <w:szCs w:val="40"/>
          <w:highlight w:val="none"/>
          <w:lang w:eastAsia="zh-CN"/>
        </w:rPr>
        <w:t>西安市鄠邑区妇幼保健计划生育服务中心</w:t>
      </w:r>
    </w:p>
    <w:p>
      <w:pPr>
        <w:pStyle w:val="3"/>
        <w:outlineLvl w:val="1"/>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t>（区妇幼保健院）</w:t>
      </w:r>
    </w:p>
    <w:p>
      <w:pPr>
        <w:pStyle w:val="3"/>
        <w:outlineLvl w:val="1"/>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t>宫腔镜和电子阴道镜系统购置项目</w:t>
      </w:r>
    </w:p>
    <w:p>
      <w:pPr>
        <w:rPr>
          <w:rFonts w:hint="eastAsia"/>
          <w:sz w:val="32"/>
          <w:szCs w:val="32"/>
          <w:lang w:eastAsia="zh-CN"/>
        </w:rPr>
      </w:pPr>
    </w:p>
    <w:p>
      <w:pPr>
        <w:spacing w:line="560" w:lineRule="exact"/>
        <w:ind w:firstLine="960" w:firstLineChars="300"/>
        <w:jc w:val="left"/>
        <w:rPr>
          <w:rFonts w:hint="eastAsia" w:ascii="宋体" w:hAnsi="宋体" w:eastAsia="宋体" w:cs="宋体"/>
          <w:color w:val="auto"/>
          <w:sz w:val="32"/>
          <w:szCs w:val="32"/>
          <w:highlight w:val="none"/>
          <w:u w:val="none"/>
          <w:lang w:eastAsia="zh-CN"/>
        </w:rPr>
      </w:pPr>
      <w:r>
        <w:rPr>
          <w:rFonts w:hint="eastAsia" w:ascii="宋体" w:hAnsi="宋体" w:eastAsia="宋体" w:cs="宋体"/>
          <w:b/>
          <w:bCs/>
          <w:color w:val="auto"/>
          <w:sz w:val="32"/>
          <w:szCs w:val="32"/>
          <w:highlight w:val="none"/>
          <w:u w:val="none"/>
          <w:lang w:eastAsia="zh-CN"/>
        </w:rPr>
        <w:t>（第一标段：电子阴道镜系统购置项目）</w:t>
      </w:r>
    </w:p>
    <w:p>
      <w:pPr>
        <w:pStyle w:val="3"/>
        <w:jc w:val="both"/>
        <w:outlineLvl w:val="1"/>
        <w:rPr>
          <w:rFonts w:hint="eastAsia" w:ascii="宋体" w:hAnsi="宋体" w:eastAsia="宋体" w:cs="宋体"/>
          <w:color w:val="auto"/>
          <w:highlight w:val="none"/>
        </w:rPr>
      </w:pPr>
    </w:p>
    <w:p>
      <w:pPr>
        <w:pStyle w:val="3"/>
        <w:outlineLvl w:val="1"/>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投</w:t>
      </w:r>
      <w:r>
        <w:rPr>
          <w:rFonts w:hint="eastAsia" w:ascii="宋体" w:hAnsi="宋体" w:eastAsia="宋体" w:cs="宋体"/>
          <w:b/>
          <w:bCs/>
          <w:color w:val="auto"/>
          <w:sz w:val="56"/>
          <w:szCs w:val="56"/>
          <w:highlight w:val="none"/>
          <w:lang w:val="en-US" w:eastAsia="zh-CN"/>
        </w:rPr>
        <w:t xml:space="preserve"> </w:t>
      </w:r>
      <w:r>
        <w:rPr>
          <w:rFonts w:hint="eastAsia" w:ascii="宋体" w:hAnsi="宋体" w:eastAsia="宋体" w:cs="宋体"/>
          <w:b/>
          <w:bCs/>
          <w:color w:val="auto"/>
          <w:sz w:val="56"/>
          <w:szCs w:val="56"/>
          <w:highlight w:val="none"/>
        </w:rPr>
        <w:t>标</w:t>
      </w:r>
      <w:r>
        <w:rPr>
          <w:rFonts w:hint="eastAsia" w:ascii="宋体" w:hAnsi="宋体" w:eastAsia="宋体" w:cs="宋体"/>
          <w:b/>
          <w:bCs/>
          <w:color w:val="auto"/>
          <w:sz w:val="56"/>
          <w:szCs w:val="56"/>
          <w:highlight w:val="none"/>
          <w:lang w:val="en-US" w:eastAsia="zh-CN"/>
        </w:rPr>
        <w:t xml:space="preserve"> </w:t>
      </w:r>
      <w:r>
        <w:rPr>
          <w:rFonts w:hint="eastAsia" w:ascii="宋体" w:hAnsi="宋体" w:eastAsia="宋体" w:cs="宋体"/>
          <w:b/>
          <w:bCs/>
          <w:color w:val="auto"/>
          <w:sz w:val="56"/>
          <w:szCs w:val="56"/>
          <w:highlight w:val="none"/>
        </w:rPr>
        <w:t>文</w:t>
      </w:r>
      <w:r>
        <w:rPr>
          <w:rFonts w:hint="eastAsia" w:ascii="宋体" w:hAnsi="宋体" w:eastAsia="宋体" w:cs="宋体"/>
          <w:b/>
          <w:bCs/>
          <w:color w:val="auto"/>
          <w:sz w:val="56"/>
          <w:szCs w:val="56"/>
          <w:highlight w:val="none"/>
          <w:lang w:val="en-US" w:eastAsia="zh-CN"/>
        </w:rPr>
        <w:t xml:space="preserve"> </w:t>
      </w:r>
      <w:r>
        <w:rPr>
          <w:rFonts w:hint="eastAsia" w:ascii="宋体" w:hAnsi="宋体" w:eastAsia="宋体" w:cs="宋体"/>
          <w:b/>
          <w:bCs/>
          <w:color w:val="auto"/>
          <w:sz w:val="56"/>
          <w:szCs w:val="56"/>
          <w:highlight w:val="none"/>
        </w:rPr>
        <w:t>件</w:t>
      </w:r>
      <w:bookmarkEnd w:id="133"/>
      <w:bookmarkEnd w:id="134"/>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
        <w:jc w:val="center"/>
        <w:rPr>
          <w:rFonts w:hint="eastAsia" w:ascii="宋体" w:hAnsi="宋体" w:eastAsia="宋体" w:cs="宋体"/>
          <w:b/>
          <w:bCs/>
          <w:color w:val="auto"/>
          <w:sz w:val="32"/>
          <w:szCs w:val="32"/>
          <w:highlight w:val="none"/>
        </w:rPr>
      </w:pPr>
      <w:bookmarkStart w:id="135" w:name="_Toc10966"/>
      <w:r>
        <w:rPr>
          <w:rFonts w:hint="eastAsia" w:ascii="宋体" w:hAnsi="宋体" w:eastAsia="宋体" w:cs="宋体"/>
          <w:b/>
          <w:bCs/>
          <w:color w:val="auto"/>
          <w:highlight w:val="none"/>
        </w:rPr>
        <w:t>（项目编号：</w:t>
      </w:r>
      <w:r>
        <w:rPr>
          <w:rFonts w:hint="eastAsia" w:ascii="宋体" w:hAnsi="宋体" w:eastAsia="宋体" w:cs="宋体"/>
          <w:b/>
          <w:bCs/>
          <w:color w:val="auto"/>
          <w:sz w:val="32"/>
          <w:szCs w:val="32"/>
          <w:highlight w:val="none"/>
          <w:lang w:eastAsia="zh-CN"/>
        </w:rPr>
        <w:t>SDZC2022-286-01</w:t>
      </w:r>
      <w:r>
        <w:rPr>
          <w:rFonts w:hint="eastAsia" w:ascii="宋体" w:hAnsi="宋体" w:eastAsia="宋体" w:cs="宋体"/>
          <w:b/>
          <w:bCs/>
          <w:color w:val="auto"/>
          <w:highlight w:val="none"/>
        </w:rPr>
        <w:t>）</w:t>
      </w:r>
      <w:bookmarkEnd w:id="135"/>
    </w:p>
    <w:p>
      <w:pPr>
        <w:spacing w:line="560" w:lineRule="exact"/>
        <w:jc w:val="both"/>
        <w:rPr>
          <w:rFonts w:hint="eastAsia" w:ascii="宋体" w:hAnsi="宋体" w:eastAsia="宋体" w:cs="宋体"/>
          <w:color w:val="auto"/>
          <w:sz w:val="32"/>
          <w:szCs w:val="32"/>
          <w:highlight w:val="none"/>
        </w:rPr>
      </w:pPr>
    </w:p>
    <w:p>
      <w:pPr>
        <w:spacing w:line="560" w:lineRule="exact"/>
        <w:jc w:val="both"/>
        <w:rPr>
          <w:rFonts w:hint="eastAsia" w:ascii="宋体" w:hAnsi="宋体" w:eastAsia="宋体" w:cs="宋体"/>
          <w:color w:val="auto"/>
          <w:sz w:val="32"/>
          <w:szCs w:val="32"/>
          <w:highlight w:val="none"/>
        </w:rPr>
      </w:pPr>
    </w:p>
    <w:p>
      <w:pPr>
        <w:spacing w:line="560" w:lineRule="exact"/>
        <w:ind w:firstLine="640" w:firstLineChars="200"/>
        <w:jc w:val="both"/>
        <w:rPr>
          <w:rFonts w:hint="eastAsia" w:ascii="宋体" w:hAnsi="宋体" w:eastAsia="宋体" w:cs="宋体"/>
          <w:color w:val="auto"/>
          <w:sz w:val="32"/>
          <w:szCs w:val="32"/>
          <w:highlight w:val="none"/>
        </w:rPr>
      </w:pPr>
    </w:p>
    <w:p>
      <w:pPr>
        <w:spacing w:line="560" w:lineRule="exact"/>
        <w:ind w:firstLine="640"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投标人</w:t>
      </w:r>
      <w:r>
        <w:rPr>
          <w:rFonts w:hint="eastAsia" w:ascii="宋体" w:hAnsi="宋体" w:eastAsia="宋体" w:cs="宋体"/>
          <w:b/>
          <w:bCs/>
          <w:color w:val="auto"/>
          <w:sz w:val="32"/>
          <w:szCs w:val="32"/>
          <w:highlight w:val="none"/>
        </w:rPr>
        <w:t>：__________________</w:t>
      </w:r>
    </w:p>
    <w:p>
      <w:pPr>
        <w:spacing w:line="560" w:lineRule="exact"/>
        <w:ind w:firstLine="640"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标  段：__________________</w:t>
      </w:r>
    </w:p>
    <w:p>
      <w:pPr>
        <w:spacing w:line="560" w:lineRule="exact"/>
        <w:ind w:firstLine="640"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时  间：__________________</w:t>
      </w:r>
    </w:p>
    <w:p>
      <w:pPr>
        <w:spacing w:line="560" w:lineRule="exact"/>
        <w:ind w:firstLine="640" w:firstLineChars="2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    录</w:t>
      </w:r>
    </w:p>
    <w:p>
      <w:pPr>
        <w:spacing w:line="560" w:lineRule="exact"/>
        <w:ind w:firstLine="480" w:firstLineChars="200"/>
        <w:jc w:val="both"/>
        <w:rPr>
          <w:rFonts w:hint="eastAsia" w:ascii="宋体" w:hAnsi="宋体" w:eastAsia="宋体" w:cs="宋体"/>
          <w:color w:val="auto"/>
          <w:sz w:val="24"/>
          <w:szCs w:val="24"/>
          <w:highlight w:val="none"/>
        </w:rPr>
      </w:pPr>
    </w:p>
    <w:p>
      <w:pPr>
        <w:spacing w:line="48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投标函</w:t>
      </w:r>
    </w:p>
    <w:p>
      <w:pPr>
        <w:spacing w:line="48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开标一览表</w:t>
      </w:r>
    </w:p>
    <w:p>
      <w:pPr>
        <w:spacing w:line="48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资格证明文件</w:t>
      </w:r>
    </w:p>
    <w:p>
      <w:pPr>
        <w:spacing w:line="48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第四部分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概况</w:t>
      </w:r>
    </w:p>
    <w:p>
      <w:pPr>
        <w:spacing w:line="48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第五部分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参加政府采购活动承诺书</w:t>
      </w:r>
    </w:p>
    <w:p>
      <w:pPr>
        <w:spacing w:line="48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第六部分  投标方案</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rPr>
          <w:rFonts w:hint="eastAsia" w:ascii="宋体" w:hAnsi="宋体" w:eastAsia="宋体" w:cs="宋体"/>
          <w:color w:val="auto"/>
          <w:sz w:val="24"/>
          <w:szCs w:val="24"/>
          <w:highlight w:val="none"/>
        </w:rPr>
      </w:pPr>
      <w:bookmarkStart w:id="136" w:name="_Toc16719"/>
      <w:r>
        <w:rPr>
          <w:rFonts w:hint="eastAsia" w:ascii="宋体" w:hAnsi="宋体" w:eastAsia="宋体" w:cs="宋体"/>
          <w:color w:val="auto"/>
          <w:sz w:val="24"/>
          <w:szCs w:val="24"/>
          <w:highlight w:val="none"/>
        </w:rPr>
        <w:t>第一部分  投标函</w:t>
      </w:r>
      <w:bookmarkEnd w:id="136"/>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〈采购人〉〈政府采购代理机构〉：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我方收到贵中心发布的〈项目名称〉（项目编号：〈项目编号〉）招标文件，经详细研究，我方决定参加该项目第___标段的招标活动。为此，我方郑重声明以下诸点，并负法律责任。</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1．我方已详细阅读了招标文件，完全理解并同意招标文件的所有事项及内容。</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悉知并及时关注了贵中心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3．我方同意向贵中心提供与本次招标有关的全部证明材料，并保证所提交的证明材料真实、合法、有效。</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4．我方理解最低价不是成交的唯一条件，并尊重评标委员会的评审结果。</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5．我方投标文件在开启之日起___个日历日（应不少于90个日历日）内有效。</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若我方成交，我方承诺：（1）将投标文件有效期延长至合同执行完毕；（2）收到成交通知书后提交纸质投标文件一正两副，并按时交纳履约保证金；（3）遵照招标文件中的要求，完成本项目的合同责任和义务。</w:t>
      </w:r>
    </w:p>
    <w:p>
      <w:pPr>
        <w:spacing w:line="560" w:lineRule="exact"/>
        <w:ind w:firstLine="480" w:firstLineChars="200"/>
        <w:jc w:val="both"/>
        <w:outlineLvl w:val="2"/>
        <w:rPr>
          <w:rFonts w:hint="eastAsia" w:ascii="宋体" w:hAnsi="宋体" w:eastAsia="宋体" w:cs="宋体"/>
          <w:color w:val="auto"/>
          <w:sz w:val="24"/>
          <w:szCs w:val="24"/>
          <w:highlight w:val="none"/>
        </w:rPr>
      </w:pPr>
      <w:bookmarkStart w:id="137" w:name="_Toc31223"/>
      <w:r>
        <w:rPr>
          <w:rFonts w:hint="eastAsia" w:ascii="宋体" w:hAnsi="宋体" w:eastAsia="宋体" w:cs="宋体"/>
          <w:color w:val="auto"/>
          <w:sz w:val="24"/>
          <w:szCs w:val="24"/>
          <w:highlight w:val="none"/>
        </w:rPr>
        <w:t>7．所有关于此次招标活动的函电，请按下列方式联系：</w:t>
      </w:r>
      <w:bookmarkEnd w:id="137"/>
    </w:p>
    <w:p>
      <w:pPr>
        <w:keepNext w:val="0"/>
        <w:keepLines w:val="0"/>
        <w:pageBreakBefore w:val="0"/>
        <w:widowControl/>
        <w:kinsoku/>
        <w:wordWrap/>
        <w:overflowPunct/>
        <w:topLinePunct w:val="0"/>
        <w:autoSpaceDE/>
        <w:autoSpaceDN/>
        <w:bidi w:val="0"/>
        <w:adjustRightInd/>
        <w:snapToGrid/>
        <w:spacing w:line="560" w:lineRule="exact"/>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keepNext w:val="0"/>
        <w:keepLines w:val="0"/>
        <w:pageBreakBefore w:val="0"/>
        <w:widowControl/>
        <w:kinsoku/>
        <w:wordWrap/>
        <w:overflowPunct/>
        <w:topLinePunct w:val="0"/>
        <w:autoSpaceDE/>
        <w:autoSpaceDN/>
        <w:bidi w:val="0"/>
        <w:adjustRightInd/>
        <w:snapToGrid/>
        <w:spacing w:line="240" w:lineRule="auto"/>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法定代表人（主要负责人）或委托代理人：（签字或盖章）</w:t>
      </w:r>
    </w:p>
    <w:p>
      <w:pPr>
        <w:keepNext w:val="0"/>
        <w:keepLines w:val="0"/>
        <w:pageBreakBefore w:val="0"/>
        <w:widowControl/>
        <w:kinsoku/>
        <w:wordWrap/>
        <w:overflowPunct/>
        <w:topLinePunct w:val="0"/>
        <w:autoSpaceDE/>
        <w:autoSpaceDN/>
        <w:bidi w:val="0"/>
        <w:adjustRightInd/>
        <w:snapToGrid/>
        <w:spacing w:line="240" w:lineRule="auto"/>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keepNext w:val="0"/>
        <w:keepLines w:val="0"/>
        <w:pageBreakBefore w:val="0"/>
        <w:widowControl/>
        <w:kinsoku/>
        <w:wordWrap/>
        <w:overflowPunct/>
        <w:topLinePunct w:val="0"/>
        <w:autoSpaceDE/>
        <w:autoSpaceDN/>
        <w:bidi w:val="0"/>
        <w:adjustRightInd/>
        <w:snapToGrid/>
        <w:spacing w:line="240" w:lineRule="auto"/>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p>
      <w:pPr>
        <w:keepNext w:val="0"/>
        <w:keepLines w:val="0"/>
        <w:pageBreakBefore w:val="0"/>
        <w:widowControl/>
        <w:kinsoku/>
        <w:wordWrap/>
        <w:overflowPunct/>
        <w:topLinePunct w:val="0"/>
        <w:autoSpaceDE/>
        <w:autoSpaceDN/>
        <w:bidi w:val="0"/>
        <w:adjustRightInd/>
        <w:snapToGrid/>
        <w:spacing w:line="240" w:lineRule="auto"/>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p>
    <w:p>
      <w:pPr>
        <w:keepNext w:val="0"/>
        <w:keepLines w:val="0"/>
        <w:pageBreakBefore w:val="0"/>
        <w:widowControl/>
        <w:kinsoku/>
        <w:wordWrap/>
        <w:overflowPunct/>
        <w:topLinePunct w:val="0"/>
        <w:autoSpaceDE/>
        <w:autoSpaceDN/>
        <w:bidi w:val="0"/>
        <w:adjustRightInd/>
        <w:snapToGrid/>
        <w:spacing w:line="240" w:lineRule="auto"/>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p>
      <w:pPr>
        <w:keepNext w:val="0"/>
        <w:keepLines w:val="0"/>
        <w:pageBreakBefore w:val="0"/>
        <w:widowControl/>
        <w:kinsoku/>
        <w:wordWrap/>
        <w:overflowPunct/>
        <w:topLinePunct w:val="0"/>
        <w:autoSpaceDE/>
        <w:autoSpaceDN/>
        <w:bidi w:val="0"/>
        <w:adjustRightInd/>
        <w:snapToGrid/>
        <w:spacing w:line="240" w:lineRule="auto"/>
        <w:ind w:firstLine="264" w:firstLineChars="11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rPr>
          <w:rFonts w:hint="eastAsia" w:ascii="宋体" w:hAnsi="宋体" w:eastAsia="宋体" w:cs="宋体"/>
          <w:color w:val="auto"/>
          <w:sz w:val="24"/>
          <w:szCs w:val="24"/>
          <w:highlight w:val="none"/>
        </w:rPr>
      </w:pPr>
      <w:bookmarkStart w:id="138" w:name="_Toc29882"/>
      <w:r>
        <w:rPr>
          <w:rFonts w:hint="eastAsia" w:ascii="宋体" w:hAnsi="宋体" w:eastAsia="宋体" w:cs="宋体"/>
          <w:color w:val="auto"/>
          <w:sz w:val="24"/>
          <w:szCs w:val="24"/>
          <w:highlight w:val="none"/>
        </w:rPr>
        <w:t>第二部分  开标一览表</w:t>
      </w:r>
      <w:bookmarkEnd w:id="138"/>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2021"/>
        <w:gridCol w:w="2415"/>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26" w:type="pct"/>
            <w:vMerge w:val="restart"/>
            <w:tcBorders>
              <w:tl2br w:val="single" w:color="auto" w:sz="4" w:space="0"/>
            </w:tcBorders>
            <w:shd w:val="clear" w:color="auto" w:fill="F1F1F1"/>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报价内容</w:t>
            </w:r>
          </w:p>
          <w:p>
            <w:pPr>
              <w:spacing w:line="560" w:lineRule="exact"/>
              <w:rPr>
                <w:rFonts w:hint="eastAsia" w:ascii="宋体" w:hAnsi="宋体" w:eastAsia="宋体" w:cs="宋体"/>
                <w:sz w:val="24"/>
                <w:szCs w:val="24"/>
                <w:highlight w:val="none"/>
              </w:rPr>
            </w:pPr>
          </w:p>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2021" w:type="dxa"/>
            <w:shd w:val="clear" w:color="auto" w:fill="D0CECE"/>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A</w:t>
            </w:r>
          </w:p>
        </w:tc>
        <w:tc>
          <w:tcPr>
            <w:tcW w:w="2415" w:type="dxa"/>
            <w:shd w:val="clear" w:color="auto" w:fill="D0CECE"/>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B</w:t>
            </w:r>
          </w:p>
        </w:tc>
        <w:tc>
          <w:tcPr>
            <w:tcW w:w="2416" w:type="dxa"/>
            <w:shd w:val="clear" w:color="auto" w:fill="D0CECE"/>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26" w:type="pct"/>
            <w:vMerge w:val="continue"/>
            <w:tcBorders>
              <w:tl2br w:val="single" w:color="auto" w:sz="4" w:space="0"/>
            </w:tcBorders>
            <w:shd w:val="clear" w:color="auto" w:fill="F1F1F1"/>
            <w:noWrap w:val="0"/>
            <w:vAlign w:val="center"/>
          </w:tcPr>
          <w:p>
            <w:pPr>
              <w:spacing w:line="560" w:lineRule="exact"/>
              <w:jc w:val="center"/>
              <w:rPr>
                <w:rFonts w:hint="eastAsia" w:ascii="宋体" w:hAnsi="宋体" w:eastAsia="宋体" w:cs="宋体"/>
                <w:sz w:val="24"/>
                <w:szCs w:val="24"/>
                <w:highlight w:val="none"/>
              </w:rPr>
            </w:pPr>
          </w:p>
        </w:tc>
        <w:tc>
          <w:tcPr>
            <w:tcW w:w="1113" w:type="pct"/>
            <w:shd w:val="clear" w:color="auto" w:fill="ECECEC"/>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合计（元）</w:t>
            </w:r>
          </w:p>
        </w:tc>
        <w:tc>
          <w:tcPr>
            <w:tcW w:w="1330" w:type="pct"/>
            <w:shd w:val="clear" w:color="auto" w:fill="ECECEC"/>
            <w:noWrap w:val="0"/>
            <w:vAlign w:val="center"/>
          </w:tcPr>
          <w:p>
            <w:pPr>
              <w:spacing w:line="560" w:lineRule="exact"/>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交</w:t>
            </w:r>
            <w:r>
              <w:rPr>
                <w:rFonts w:hint="eastAsia" w:ascii="宋体" w:hAnsi="宋体" w:eastAsia="宋体" w:cs="宋体"/>
                <w:b w:val="0"/>
                <w:bCs w:val="0"/>
                <w:sz w:val="24"/>
                <w:szCs w:val="24"/>
                <w:highlight w:val="none"/>
                <w:lang w:val="en-US" w:eastAsia="zh-CN"/>
              </w:rPr>
              <w:t>货</w:t>
            </w:r>
            <w:r>
              <w:rPr>
                <w:rFonts w:hint="eastAsia" w:ascii="宋体" w:hAnsi="宋体" w:eastAsia="宋体" w:cs="宋体"/>
                <w:b w:val="0"/>
                <w:bCs w:val="0"/>
                <w:sz w:val="24"/>
                <w:szCs w:val="24"/>
                <w:highlight w:val="none"/>
              </w:rPr>
              <w:t>期</w:t>
            </w:r>
          </w:p>
          <w:p>
            <w:pPr>
              <w:spacing w:line="560" w:lineRule="exact"/>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color w:val="auto"/>
                <w:sz w:val="24"/>
                <w:szCs w:val="24"/>
                <w:highlight w:val="none"/>
                <w:lang w:eastAsia="zh-CN"/>
              </w:rPr>
              <w:t>（日历日）</w:t>
            </w:r>
          </w:p>
        </w:tc>
        <w:tc>
          <w:tcPr>
            <w:tcW w:w="1329" w:type="pct"/>
            <w:shd w:val="clear" w:color="auto" w:fill="ECECEC"/>
            <w:noWrap w:val="0"/>
            <w:vAlign w:val="center"/>
          </w:tcPr>
          <w:p>
            <w:pPr>
              <w:spacing w:line="560" w:lineRule="exact"/>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226" w:type="pct"/>
            <w:shd w:val="clear" w:color="auto" w:fill="F1F1F1"/>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13" w:type="pct"/>
            <w:noWrap w:val="0"/>
            <w:vAlign w:val="center"/>
          </w:tcPr>
          <w:p>
            <w:pPr>
              <w:spacing w:line="560" w:lineRule="exact"/>
              <w:jc w:val="center"/>
              <w:rPr>
                <w:rFonts w:hint="eastAsia" w:ascii="宋体" w:hAnsi="宋体" w:eastAsia="宋体" w:cs="宋体"/>
                <w:sz w:val="24"/>
                <w:szCs w:val="24"/>
                <w:highlight w:val="none"/>
              </w:rPr>
            </w:pPr>
          </w:p>
        </w:tc>
        <w:tc>
          <w:tcPr>
            <w:tcW w:w="1330" w:type="pct"/>
            <w:noWrap w:val="0"/>
            <w:vAlign w:val="center"/>
          </w:tcPr>
          <w:p>
            <w:pPr>
              <w:spacing w:line="560" w:lineRule="exact"/>
              <w:jc w:val="center"/>
              <w:rPr>
                <w:rFonts w:hint="eastAsia" w:ascii="宋体" w:hAnsi="宋体" w:eastAsia="宋体" w:cs="宋体"/>
                <w:sz w:val="24"/>
                <w:szCs w:val="24"/>
                <w:highlight w:val="none"/>
              </w:rPr>
            </w:pPr>
          </w:p>
        </w:tc>
        <w:tc>
          <w:tcPr>
            <w:tcW w:w="1329" w:type="pct"/>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26" w:type="pct"/>
            <w:shd w:val="clear" w:color="auto" w:fill="F1F1F1"/>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合计（大写）</w:t>
            </w:r>
          </w:p>
        </w:tc>
        <w:tc>
          <w:tcPr>
            <w:tcW w:w="3773" w:type="pct"/>
            <w:gridSpan w:val="3"/>
            <w:noWrap w:val="0"/>
            <w:vAlign w:val="center"/>
          </w:tcPr>
          <w:p>
            <w:pPr>
              <w:spacing w:line="560" w:lineRule="exact"/>
              <w:jc w:val="center"/>
              <w:rPr>
                <w:rFonts w:hint="eastAsia" w:ascii="宋体" w:hAnsi="宋体" w:eastAsia="宋体" w:cs="宋体"/>
                <w:sz w:val="24"/>
                <w:szCs w:val="24"/>
                <w:highlight w:val="none"/>
              </w:rPr>
            </w:pPr>
          </w:p>
        </w:tc>
      </w:tr>
    </w:tbl>
    <w:p>
      <w:pPr>
        <w:spacing w:line="560" w:lineRule="exact"/>
        <w:ind w:firstLine="2762" w:firstLineChars="115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注：出现下列情形的按无效投标处理</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1．A栏未按阿拉伯小写金额样式填写；B栏未填写交</w:t>
      </w:r>
      <w:r>
        <w:rPr>
          <w:rFonts w:hint="eastAsia" w:ascii="宋体" w:hAnsi="宋体" w:eastAsia="宋体" w:cs="宋体"/>
          <w:color w:val="auto"/>
          <w:sz w:val="24"/>
          <w:szCs w:val="24"/>
          <w:highlight w:val="none"/>
          <w:lang w:val="en-US" w:eastAsia="zh-CN"/>
        </w:rPr>
        <w:t>货</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C栏未填写质保期</w:t>
      </w:r>
      <w:r>
        <w:rPr>
          <w:rFonts w:hint="eastAsia" w:ascii="宋体" w:hAnsi="宋体" w:eastAsia="宋体" w:cs="宋体"/>
          <w:color w:val="auto"/>
          <w:sz w:val="24"/>
          <w:szCs w:val="24"/>
          <w:highlight w:val="none"/>
        </w:rPr>
        <w:t>。</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2．“合计（大写）”栏未按银行大写金额样式进行填写。样式参考：壹、贰、叁、肆、伍、陆、柒、捌、玖、拾、佰、仟、万、亿、元（圆）、角、分、零、整（正）。</w:t>
      </w:r>
    </w:p>
    <w:p>
      <w:pPr>
        <w:spacing w:line="560" w:lineRule="exact"/>
        <w:ind w:firstLine="480" w:firstLineChars="200"/>
        <w:jc w:val="both"/>
        <w:outlineLvl w:val="2"/>
        <w:rPr>
          <w:rFonts w:hint="eastAsia" w:ascii="宋体" w:hAnsi="宋体" w:eastAsia="宋体" w:cs="宋体"/>
          <w:color w:val="auto"/>
          <w:sz w:val="24"/>
          <w:szCs w:val="24"/>
          <w:highlight w:val="none"/>
        </w:rPr>
      </w:pPr>
      <w:bookmarkStart w:id="139" w:name="_Toc2925"/>
      <w:r>
        <w:rPr>
          <w:rFonts w:hint="eastAsia" w:ascii="宋体" w:hAnsi="宋体" w:eastAsia="宋体" w:cs="宋体"/>
          <w:color w:val="auto"/>
          <w:sz w:val="24"/>
          <w:szCs w:val="24"/>
          <w:highlight w:val="none"/>
        </w:rPr>
        <w:t>3．“合计（大写）”金额与A栏“合计”不一致的。</w:t>
      </w:r>
      <w:bookmarkEnd w:id="139"/>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95"/>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分项报价表（货物类适用）</w:t>
      </w:r>
    </w:p>
    <w:p>
      <w:pPr>
        <w:spacing w:line="56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w:t>
      </w:r>
    </w:p>
    <w:tbl>
      <w:tblPr>
        <w:tblStyle w:val="2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11"/>
        <w:gridCol w:w="939"/>
        <w:gridCol w:w="11"/>
        <w:gridCol w:w="1027"/>
        <w:gridCol w:w="11"/>
        <w:gridCol w:w="9"/>
        <w:gridCol w:w="9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F1F1F1" w:themeFill="background1" w:themeFillShade="F2"/>
            <w:noWrap/>
            <w:tcMar>
              <w:top w:w="20" w:type="dxa"/>
              <w:left w:w="20" w:type="dxa"/>
              <w:bottom w:w="0" w:type="dxa"/>
              <w:right w:w="20" w:type="dxa"/>
            </w:tcMar>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p>
        </w:tc>
        <w:tc>
          <w:tcPr>
            <w:tcW w:w="8252" w:type="dxa"/>
            <w:gridSpan w:val="11"/>
            <w:shd w:val="clear" w:color="auto" w:fill="F1F1F1" w:themeFill="background1" w:themeFillShade="F2"/>
            <w:noWrap/>
            <w:tcMar>
              <w:top w:w="20" w:type="dxa"/>
              <w:left w:w="20" w:type="dxa"/>
              <w:bottom w:w="0" w:type="dxa"/>
              <w:right w:w="20" w:type="dxa"/>
            </w:tcMar>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09" w:type="dxa"/>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563" w:type="dxa"/>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品牌及</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1338" w:type="dxa"/>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954" w:type="dxa"/>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是否小微企业产品</w:t>
            </w:r>
          </w:p>
        </w:tc>
        <w:tc>
          <w:tcPr>
            <w:tcW w:w="955" w:type="dxa"/>
            <w:gridSpan w:val="2"/>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44" w:type="dxa"/>
            <w:gridSpan w:val="2"/>
            <w:shd w:val="clear" w:color="auto" w:fill="auto"/>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989" w:type="dxa"/>
            <w:gridSpan w:val="3"/>
            <w:shd w:val="clear" w:color="auto" w:fill="auto"/>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563"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338"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89" w:type="dxa"/>
            <w:gridSpan w:val="3"/>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563"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338"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89" w:type="dxa"/>
            <w:gridSpan w:val="3"/>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563"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338"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89" w:type="dxa"/>
            <w:gridSpan w:val="3"/>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563"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338"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89" w:type="dxa"/>
            <w:gridSpan w:val="3"/>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563"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338"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89" w:type="dxa"/>
            <w:gridSpan w:val="3"/>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563"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338"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89" w:type="dxa"/>
            <w:gridSpan w:val="3"/>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F1F1F1" w:themeFill="background1" w:themeFillShade="F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252" w:type="dxa"/>
            <w:gridSpan w:val="11"/>
            <w:shd w:val="clear" w:color="auto" w:fill="F1F1F1" w:themeFill="background1" w:themeFillShade="F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费用名称</w:t>
            </w:r>
          </w:p>
        </w:tc>
        <w:tc>
          <w:tcPr>
            <w:tcW w:w="3866" w:type="dxa"/>
            <w:gridSpan w:val="4"/>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费用描述</w:t>
            </w: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978"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3866" w:type="dxa"/>
            <w:gridSpan w:val="4"/>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78" w:type="dxa"/>
            <w:gridSpan w:val="2"/>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3866" w:type="dxa"/>
            <w:gridSpan w:val="4"/>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78" w:type="dxa"/>
            <w:gridSpan w:val="2"/>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3866" w:type="dxa"/>
            <w:gridSpan w:val="4"/>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78" w:type="dxa"/>
            <w:gridSpan w:val="2"/>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409" w:type="dxa"/>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3866" w:type="dxa"/>
            <w:gridSpan w:val="4"/>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55"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1044" w:type="dxa"/>
            <w:gridSpan w:val="2"/>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p>
        </w:tc>
        <w:tc>
          <w:tcPr>
            <w:tcW w:w="978" w:type="dxa"/>
            <w:gridSpan w:val="2"/>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47" w:type="dxa"/>
            <w:gridSpan w:val="11"/>
            <w:noWrap/>
            <w:tcMar>
              <w:top w:w="20" w:type="dxa"/>
              <w:left w:w="20" w:type="dxa"/>
              <w:bottom w:w="0" w:type="dxa"/>
              <w:right w:w="20"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w:t>
            </w:r>
          </w:p>
        </w:tc>
        <w:tc>
          <w:tcPr>
            <w:tcW w:w="969" w:type="dxa"/>
            <w:vAlign w:val="center"/>
          </w:tcPr>
          <w:p>
            <w:pPr>
              <w:jc w:val="center"/>
              <w:rPr>
                <w:rFonts w:hint="eastAsia" w:ascii="宋体" w:hAnsi="宋体" w:eastAsia="宋体" w:cs="宋体"/>
                <w:color w:val="auto"/>
                <w:sz w:val="24"/>
                <w:szCs w:val="24"/>
                <w:highlight w:val="none"/>
              </w:rPr>
            </w:pPr>
          </w:p>
        </w:tc>
      </w:tr>
    </w:tbl>
    <w:p>
      <w:pPr>
        <w:spacing w:line="560" w:lineRule="exact"/>
        <w:ind w:firstLine="2762" w:firstLineChars="115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注：1．监狱企业、残疾人福利性单位视同小微企业。</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2．“是否小微企业产品”一栏若有漏报，将被视为“非小微企业产品”。</w:t>
      </w:r>
    </w:p>
    <w:p>
      <w:pPr>
        <w:spacing w:line="560" w:lineRule="exact"/>
        <w:ind w:firstLine="480" w:firstLineChars="200"/>
        <w:jc w:val="both"/>
        <w:outlineLvl w:val="2"/>
        <w:rPr>
          <w:rFonts w:hint="eastAsia" w:ascii="宋体" w:hAnsi="宋体" w:eastAsia="宋体" w:cs="宋体"/>
          <w:color w:val="auto"/>
          <w:sz w:val="24"/>
          <w:szCs w:val="24"/>
          <w:highlight w:val="none"/>
        </w:rPr>
      </w:pPr>
      <w:bookmarkStart w:id="140" w:name="_Toc4813"/>
      <w:r>
        <w:rPr>
          <w:rFonts w:hint="eastAsia" w:ascii="宋体" w:hAnsi="宋体" w:eastAsia="宋体" w:cs="宋体"/>
          <w:color w:val="auto"/>
          <w:sz w:val="24"/>
          <w:szCs w:val="24"/>
          <w:highlight w:val="none"/>
        </w:rPr>
        <w:t>3．表格空间不足时，可自行扩展。</w:t>
      </w:r>
      <w:r>
        <w:rPr>
          <w:rFonts w:hint="eastAsia" w:ascii="宋体" w:hAnsi="宋体" w:eastAsia="宋体" w:cs="宋体"/>
          <w:color w:val="auto"/>
          <w:sz w:val="24"/>
          <w:szCs w:val="24"/>
          <w:highlight w:val="none"/>
        </w:rPr>
        <w:br w:type="page"/>
      </w:r>
      <w:bookmarkEnd w:id="140"/>
    </w:p>
    <w:p>
      <w:pPr>
        <w:pStyle w:val="4"/>
        <w:rPr>
          <w:rFonts w:hint="eastAsia" w:ascii="宋体" w:hAnsi="宋体" w:eastAsia="宋体" w:cs="宋体"/>
          <w:color w:val="auto"/>
          <w:sz w:val="24"/>
          <w:szCs w:val="24"/>
          <w:highlight w:val="none"/>
        </w:rPr>
      </w:pPr>
      <w:bookmarkStart w:id="141" w:name="_Toc14582"/>
      <w:r>
        <w:rPr>
          <w:rFonts w:hint="eastAsia" w:ascii="宋体" w:hAnsi="宋体" w:eastAsia="宋体" w:cs="宋体"/>
          <w:color w:val="auto"/>
          <w:sz w:val="24"/>
          <w:szCs w:val="24"/>
          <w:highlight w:val="none"/>
        </w:rPr>
        <w:t>第三部分  资格证明文件</w:t>
      </w:r>
      <w:bookmarkEnd w:id="141"/>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按照招标文件第一章《投标邀请函》所列“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资格要求”提供各项资格证明文件，未按要求提供的，其投标文件将被视为无效文件。</w:t>
      </w:r>
    </w:p>
    <w:p>
      <w:pPr>
        <w:pStyle w:val="2"/>
        <w:outlineLvl w:val="2"/>
        <w:rPr>
          <w:rFonts w:hint="eastAsia" w:ascii="宋体" w:hAnsi="宋体" w:eastAsia="宋体" w:cs="宋体"/>
          <w:b/>
          <w:bCs/>
          <w:color w:val="auto"/>
          <w:sz w:val="24"/>
          <w:szCs w:val="24"/>
          <w:highlight w:val="none"/>
        </w:rPr>
      </w:pPr>
      <w:bookmarkStart w:id="142" w:name="_Toc30097"/>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、基本资格条件：</w:t>
      </w:r>
      <w:bookmarkEnd w:id="142"/>
    </w:p>
    <w:p>
      <w:pPr>
        <w:pStyle w:val="93"/>
        <w:spacing w:before="210" w:after="210"/>
        <w:ind w:firstLine="640"/>
        <w:outlineLvl w:val="3"/>
        <w:rPr>
          <w:rFonts w:hint="eastAsia" w:ascii="宋体" w:hAnsi="宋体" w:eastAsia="宋体" w:cs="宋体"/>
          <w:color w:val="auto"/>
          <w:sz w:val="24"/>
          <w:szCs w:val="24"/>
          <w:highlight w:val="none"/>
        </w:rPr>
      </w:pPr>
      <w:bookmarkStart w:id="143" w:name="_Toc18090"/>
      <w:r>
        <w:rPr>
          <w:rFonts w:hint="eastAsia" w:ascii="宋体" w:hAnsi="宋体" w:eastAsia="宋体" w:cs="宋体"/>
          <w:color w:val="auto"/>
          <w:sz w:val="24"/>
          <w:szCs w:val="24"/>
          <w:highlight w:val="none"/>
        </w:rPr>
        <w:t>（一）有效的登记注册证</w:t>
      </w:r>
      <w:bookmarkEnd w:id="143"/>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pStyle w:val="93"/>
        <w:spacing w:before="210" w:after="210"/>
        <w:ind w:firstLine="640"/>
        <w:outlineLvl w:val="3"/>
        <w:rPr>
          <w:rFonts w:hint="eastAsia" w:ascii="宋体" w:hAnsi="宋体" w:eastAsia="宋体" w:cs="宋体"/>
          <w:color w:val="auto"/>
          <w:sz w:val="24"/>
          <w:szCs w:val="24"/>
          <w:highlight w:val="none"/>
        </w:rPr>
      </w:pPr>
      <w:bookmarkStart w:id="144" w:name="_Toc16913"/>
      <w:r>
        <w:rPr>
          <w:rFonts w:hint="eastAsia" w:ascii="宋体" w:hAnsi="宋体" w:eastAsia="宋体" w:cs="宋体"/>
          <w:color w:val="auto"/>
          <w:sz w:val="24"/>
          <w:szCs w:val="24"/>
          <w:highlight w:val="none"/>
        </w:rPr>
        <w:t>（二）财务状况报告</w:t>
      </w:r>
      <w:bookmarkEnd w:id="144"/>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种形式任选一种，其中采用第二种形式的须按下方给定格式（详见《中国人民银行关于取消企业银行账户许可的通知》银发〔2019〕41号附件1）填写基本存款账户信息。</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基本存款账户信息</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账户号码：</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基本存款账户编号：向开户银行进行询问</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pStyle w:val="93"/>
        <w:spacing w:before="210" w:after="210"/>
        <w:ind w:firstLine="640"/>
        <w:outlineLvl w:val="3"/>
        <w:rPr>
          <w:rFonts w:hint="eastAsia" w:ascii="宋体" w:hAnsi="宋体" w:eastAsia="宋体" w:cs="宋体"/>
          <w:color w:val="auto"/>
          <w:sz w:val="24"/>
          <w:szCs w:val="24"/>
          <w:highlight w:val="none"/>
        </w:rPr>
      </w:pPr>
      <w:bookmarkStart w:id="145" w:name="_Toc14710"/>
      <w:r>
        <w:rPr>
          <w:rFonts w:hint="eastAsia" w:ascii="宋体" w:hAnsi="宋体" w:eastAsia="宋体" w:cs="宋体"/>
          <w:color w:val="auto"/>
          <w:sz w:val="24"/>
          <w:szCs w:val="24"/>
          <w:highlight w:val="none"/>
        </w:rPr>
        <w:t>（三）社会保障资金缴纳证明</w:t>
      </w:r>
      <w:bookmarkEnd w:id="145"/>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pStyle w:val="93"/>
        <w:numPr>
          <w:ilvl w:val="0"/>
          <w:numId w:val="11"/>
        </w:numPr>
        <w:spacing w:before="210" w:after="210"/>
        <w:ind w:firstLine="640"/>
        <w:outlineLvl w:val="3"/>
        <w:rPr>
          <w:rFonts w:hint="eastAsia" w:ascii="宋体" w:hAnsi="宋体" w:eastAsia="宋体" w:cs="宋体"/>
          <w:color w:val="auto"/>
          <w:sz w:val="24"/>
          <w:szCs w:val="24"/>
          <w:highlight w:val="none"/>
        </w:rPr>
      </w:pPr>
      <w:bookmarkStart w:id="146" w:name="_Toc13670"/>
      <w:r>
        <w:rPr>
          <w:rFonts w:hint="eastAsia" w:ascii="宋体" w:hAnsi="宋体" w:eastAsia="宋体" w:cs="宋体"/>
          <w:color w:val="auto"/>
          <w:sz w:val="24"/>
          <w:szCs w:val="24"/>
          <w:highlight w:val="none"/>
        </w:rPr>
        <w:t>税收缴纳证明</w:t>
      </w:r>
      <w:bookmarkEnd w:id="146"/>
    </w:p>
    <w:p>
      <w:pPr>
        <w:pStyle w:val="93"/>
        <w:keepNext/>
        <w:numPr>
          <w:ilvl w:val="0"/>
          <w:numId w:val="0"/>
        </w:numPr>
        <w:spacing w:before="210" w:beforeLines="50" w:after="210" w:afterLines="50" w:line="560" w:lineRule="exact"/>
        <w:jc w:val="both"/>
        <w:outlineLvl w:val="9"/>
        <w:rPr>
          <w:rFonts w:hint="eastAsia" w:ascii="宋体" w:hAnsi="宋体" w:eastAsia="宋体" w:cs="宋体"/>
          <w:color w:val="auto"/>
          <w:sz w:val="24"/>
          <w:szCs w:val="24"/>
          <w:highlight w:val="none"/>
        </w:rPr>
      </w:pPr>
    </w:p>
    <w:p>
      <w:pPr>
        <w:pStyle w:val="93"/>
        <w:keepNext/>
        <w:numPr>
          <w:ilvl w:val="0"/>
          <w:numId w:val="0"/>
        </w:numPr>
        <w:spacing w:before="210" w:beforeLines="50" w:after="210" w:afterLines="50" w:line="560" w:lineRule="exact"/>
        <w:jc w:val="both"/>
        <w:outlineLvl w:val="9"/>
        <w:rPr>
          <w:rFonts w:hint="eastAsia" w:ascii="宋体" w:hAnsi="宋体" w:eastAsia="宋体" w:cs="宋体"/>
          <w:color w:val="auto"/>
          <w:sz w:val="24"/>
          <w:szCs w:val="24"/>
          <w:highlight w:val="none"/>
        </w:rPr>
      </w:pPr>
    </w:p>
    <w:p>
      <w:pPr>
        <w:pStyle w:val="93"/>
        <w:keepNext/>
        <w:numPr>
          <w:ilvl w:val="0"/>
          <w:numId w:val="0"/>
        </w:numPr>
        <w:spacing w:before="210" w:beforeLines="50" w:after="210" w:afterLines="50" w:line="560" w:lineRule="exact"/>
        <w:jc w:val="both"/>
        <w:outlineLvl w:val="9"/>
        <w:rPr>
          <w:rFonts w:hint="eastAsia" w:ascii="宋体" w:hAnsi="宋体" w:eastAsia="宋体" w:cs="宋体"/>
          <w:color w:val="auto"/>
          <w:sz w:val="24"/>
          <w:szCs w:val="24"/>
          <w:highlight w:val="none"/>
        </w:rPr>
      </w:pPr>
    </w:p>
    <w:p>
      <w:pPr>
        <w:pStyle w:val="93"/>
        <w:numPr>
          <w:ilvl w:val="0"/>
          <w:numId w:val="11"/>
        </w:numPr>
        <w:spacing w:before="210" w:after="210"/>
        <w:ind w:left="0" w:leftChars="0" w:firstLine="480" w:firstLineChars="200"/>
        <w:outlineLvl w:val="3"/>
        <w:rPr>
          <w:rFonts w:hint="eastAsia" w:ascii="宋体" w:hAnsi="宋体" w:eastAsia="宋体" w:cs="宋体"/>
          <w:color w:val="auto"/>
          <w:sz w:val="24"/>
          <w:szCs w:val="24"/>
          <w:highlight w:val="none"/>
        </w:rPr>
      </w:pPr>
      <w:bookmarkStart w:id="147" w:name="_Toc32361"/>
      <w:r>
        <w:rPr>
          <w:rFonts w:hint="eastAsia" w:ascii="宋体" w:hAnsi="宋体" w:eastAsia="宋体" w:cs="宋体"/>
          <w:color w:val="auto"/>
          <w:sz w:val="24"/>
          <w:szCs w:val="24"/>
          <w:highlight w:val="none"/>
        </w:rPr>
        <w:t>履行合同的说明和承诺</w:t>
      </w:r>
      <w:bookmarkEnd w:id="147"/>
      <w:r>
        <w:rPr>
          <w:rFonts w:hint="eastAsia" w:ascii="宋体" w:hAnsi="宋体" w:eastAsia="宋体" w:cs="宋体"/>
          <w:color w:val="auto"/>
          <w:sz w:val="24"/>
          <w:szCs w:val="24"/>
          <w:highlight w:val="none"/>
        </w:rPr>
        <w:tab/>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提示：提供具有履行本合同所必需的设备和专业技术能力的说明及承诺；（提供书面说明及承诺，加盖投标人公章</w:t>
      </w:r>
      <w:r>
        <w:rPr>
          <w:rFonts w:hint="eastAsia" w:ascii="宋体" w:hAnsi="宋体" w:eastAsia="宋体" w:cs="宋体"/>
          <w:color w:val="auto"/>
          <w:sz w:val="24"/>
          <w:szCs w:val="24"/>
          <w:highlight w:val="none"/>
          <w:lang w:eastAsia="zh-CN"/>
        </w:rPr>
        <w:t>，内容格式自拟</w:t>
      </w:r>
      <w:r>
        <w:rPr>
          <w:rFonts w:hint="eastAsia" w:ascii="宋体" w:hAnsi="宋体" w:eastAsia="宋体" w:cs="宋体"/>
          <w:color w:val="auto"/>
          <w:sz w:val="24"/>
          <w:szCs w:val="24"/>
          <w:highlight w:val="none"/>
        </w:rPr>
        <w:t>）</w:t>
      </w:r>
    </w:p>
    <w:p>
      <w:pPr>
        <w:pStyle w:val="93"/>
        <w:keepNext/>
        <w:numPr>
          <w:ilvl w:val="0"/>
          <w:numId w:val="0"/>
        </w:numPr>
        <w:spacing w:before="210" w:beforeLines="50" w:after="210" w:afterLines="50" w:line="560" w:lineRule="exact"/>
        <w:jc w:val="both"/>
        <w:outlineLvl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rPr>
      </w:pPr>
    </w:p>
    <w:p>
      <w:pPr>
        <w:pStyle w:val="93"/>
        <w:spacing w:before="210" w:after="210"/>
        <w:ind w:firstLine="640"/>
        <w:outlineLvl w:val="3"/>
        <w:rPr>
          <w:rFonts w:hint="eastAsia" w:ascii="宋体" w:hAnsi="宋体" w:eastAsia="宋体" w:cs="宋体"/>
          <w:color w:val="auto"/>
          <w:sz w:val="24"/>
          <w:szCs w:val="24"/>
          <w:highlight w:val="none"/>
        </w:rPr>
      </w:pPr>
      <w:bookmarkStart w:id="148" w:name="_Toc856"/>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）无重大违法记录声明（按下方给定格式进行填写）</w:t>
      </w:r>
      <w:bookmarkEnd w:id="148"/>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在参加政府采购活动前三年内因违法经营被禁止在一定期限内参加政府采购活动，期限届满的，可以参加政府采购活动，但应提供期限届满的证明材料。</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〈政府采购代理机构〉：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我方作为〈项目名称〉（项目编号：〈项目编号〉）第___标段的</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，在此郑重声明：</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1．在参加本次政府采购活动前3年内的经营活动中___（填“没有”或“有”）重大违法记录。</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2．我方___（填“未被列入”或“被列入”）失信被执行人名单。</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3．我方___（填“未被列入”或“被列入”）</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4．我方___（填“未被列入”或“被列入”）政府采购严重违法失信行为记录名单。</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政府采购法》有关“提供虚假材料的规定”接受处罚。</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日</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
        <w:outlineLvl w:val="2"/>
        <w:rPr>
          <w:rFonts w:hint="eastAsia" w:ascii="宋体" w:hAnsi="宋体" w:eastAsia="宋体" w:cs="宋体"/>
          <w:b/>
          <w:bCs/>
          <w:color w:val="auto"/>
          <w:sz w:val="24"/>
          <w:szCs w:val="24"/>
          <w:highlight w:val="none"/>
        </w:rPr>
      </w:pPr>
      <w:bookmarkStart w:id="149" w:name="_Toc20821"/>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特定</w:t>
      </w:r>
      <w:r>
        <w:rPr>
          <w:rFonts w:hint="eastAsia" w:ascii="宋体" w:hAnsi="宋体" w:eastAsia="宋体" w:cs="宋体"/>
          <w:b/>
          <w:bCs/>
          <w:color w:val="auto"/>
          <w:sz w:val="24"/>
          <w:szCs w:val="24"/>
          <w:highlight w:val="none"/>
        </w:rPr>
        <w:t>资格条件：</w:t>
      </w:r>
      <w:bookmarkEnd w:id="149"/>
    </w:p>
    <w:p>
      <w:pPr>
        <w:pStyle w:val="2"/>
        <w:outlineLvl w:val="3"/>
        <w:rPr>
          <w:rFonts w:hint="eastAsia" w:ascii="宋体" w:hAnsi="宋体" w:eastAsia="宋体" w:cs="宋体"/>
          <w:b/>
          <w:bCs/>
          <w:color w:val="auto"/>
          <w:sz w:val="24"/>
          <w:szCs w:val="24"/>
          <w:highlight w:val="none"/>
          <w:lang w:val="en-US" w:eastAsia="zh-CN"/>
        </w:rPr>
      </w:pPr>
      <w:bookmarkStart w:id="150" w:name="_Toc25582"/>
      <w:bookmarkStart w:id="151" w:name="_Toc29319"/>
      <w:r>
        <w:rPr>
          <w:rFonts w:hint="eastAsia" w:ascii="宋体" w:hAnsi="宋体" w:eastAsia="宋体" w:cs="宋体"/>
          <w:b/>
          <w:bCs/>
          <w:color w:val="auto"/>
          <w:sz w:val="24"/>
          <w:szCs w:val="24"/>
          <w:highlight w:val="none"/>
          <w:lang w:val="en-US" w:eastAsia="zh-CN"/>
        </w:rPr>
        <w:t>（一）法定代表人授权委托书\身份证明（按下方给定格式进行填写）</w:t>
      </w:r>
      <w:bookmarkEnd w:id="150"/>
      <w:bookmarkEnd w:id="151"/>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（1）法定代表人包括：①企业法人的法定代表人；②个人独资企业的投资人；③分支机构的负责人；④合伙企业的执行事务合伙人（委派代表）；⑤个体工商户业主；⑥农民专业合作社的法定代表人。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（2）法定代表人授权委托书\身份证明（二选一）：法定代表人委托代理人参加投标时，提供法定代表人授权委托书；法定代表人亲自参加投标时，提供法定代表人身份证明。</w:t>
      </w:r>
    </w:p>
    <w:p>
      <w:pPr>
        <w:spacing w:line="560" w:lineRule="exact"/>
        <w:ind w:firstLine="480" w:firstLineChars="200"/>
        <w:jc w:val="both"/>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560" w:lineRule="exact"/>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法定代表人身份证明（格式）</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〉〈政府采购代理机构〉</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〈法定代表人姓名〉系〈</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全称〉的法定代表人，特此证明。</w:t>
      </w:r>
    </w:p>
    <w:tbl>
      <w:tblPr>
        <w:tblStyle w:val="25"/>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98" w:hRule="atLeast"/>
          <w:jc w:val="center"/>
        </w:trPr>
        <w:tc>
          <w:tcPr>
            <w:tcW w:w="9057" w:type="dxa"/>
            <w:vAlign w:val="center"/>
          </w:tcPr>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身份证正反面（扫描件）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或护照资料页（扫描件）</w:t>
            </w:r>
          </w:p>
        </w:tc>
      </w:tr>
    </w:tbl>
    <w:p>
      <w:pPr>
        <w:spacing w:line="560" w:lineRule="exact"/>
        <w:ind w:firstLine="2445" w:firstLineChars="10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2445" w:firstLineChars="10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r>
        <w:rPr>
          <w:rFonts w:hint="eastAsia" w:ascii="宋体" w:hAnsi="宋体" w:eastAsia="宋体" w:cs="宋体"/>
          <w:color w:val="auto"/>
          <w:sz w:val="24"/>
          <w:szCs w:val="24"/>
          <w:highlight w:val="none"/>
        </w:rPr>
        <w:br w:type="page"/>
      </w:r>
    </w:p>
    <w:p>
      <w:pPr>
        <w:spacing w:line="560" w:lineRule="exact"/>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法定代表人授权委托书</w:t>
      </w:r>
      <w:r>
        <w:rPr>
          <w:rFonts w:hint="eastAsia" w:ascii="宋体" w:hAnsi="宋体" w:eastAsia="宋体" w:cs="宋体"/>
          <w:b/>
          <w:bCs/>
          <w:color w:val="auto"/>
          <w:sz w:val="24"/>
          <w:szCs w:val="24"/>
          <w:highlight w:val="none"/>
        </w:rPr>
        <w:t>（格式）</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〉〈政府采购代理机构〉：</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委派〈代理人姓名〉代表我方参加贵中心组织的〈项目名称〉（项目编号：〈项目编号〉）第___标段政府采购活动，以我方名义签署、澄清、确认、递交、撤回、修改投标文件，签订合同和全权处理一切与之有关的事宜，其法律后果由我方承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本授权有效期与投标文件有效期一致。代理人无转委托权。</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代理人姓名：_________________________</w:t>
      </w:r>
      <w:r>
        <w:rPr>
          <w:rFonts w:hint="eastAsia" w:ascii="宋体" w:hAnsi="宋体" w:eastAsia="宋体" w:cs="宋体"/>
          <w:color w:val="auto"/>
          <w:sz w:val="24"/>
          <w:szCs w:val="24"/>
          <w:highlight w:val="none"/>
        </w:rPr>
        <w:tab/>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身份证（护照）号码：_________________</w:t>
      </w:r>
      <w:r>
        <w:rPr>
          <w:rFonts w:hint="eastAsia" w:ascii="宋体" w:hAnsi="宋体" w:eastAsia="宋体" w:cs="宋体"/>
          <w:color w:val="auto"/>
          <w:sz w:val="24"/>
          <w:szCs w:val="24"/>
          <w:highlight w:val="none"/>
        </w:rPr>
        <w:tab/>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通讯地址：____________________________</w:t>
      </w: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p>
      <w:pPr>
        <w:spacing w:line="560" w:lineRule="exact"/>
        <w:ind w:firstLine="480" w:firstLineChars="200"/>
        <w:rPr>
          <w:rFonts w:hint="eastAsia" w:ascii="宋体" w:hAnsi="宋体" w:eastAsia="宋体" w:cs="宋体"/>
          <w:color w:val="auto"/>
          <w:sz w:val="24"/>
          <w:szCs w:val="24"/>
          <w:highlight w:val="none"/>
        </w:rPr>
      </w:pP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4717" w:type="dxa"/>
            <w:vMerge w:val="restart"/>
            <w:tcBorders>
              <w:top w:val="single" w:color="auto" w:sz="12" w:space="0"/>
              <w:left w:val="single" w:color="auto" w:sz="12" w:space="0"/>
              <w:right w:val="single" w:color="auto" w:sz="12" w:space="0"/>
            </w:tcBorders>
            <w:vAlign w:val="center"/>
          </w:tcPr>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身份证正反面（扫描件）</w:t>
            </w:r>
          </w:p>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或护照资料页（扫描件）</w:t>
            </w:r>
          </w:p>
        </w:tc>
        <w:tc>
          <w:tcPr>
            <w:tcW w:w="236" w:type="dxa"/>
            <w:tcBorders>
              <w:top w:val="nil"/>
              <w:left w:val="single" w:color="auto" w:sz="12" w:space="0"/>
              <w:bottom w:val="nil"/>
              <w:right w:val="single" w:color="auto" w:sz="12" w:space="0"/>
            </w:tcBorders>
            <w:vAlign w:val="center"/>
          </w:tcPr>
          <w:p>
            <w:pPr>
              <w:spacing w:line="560" w:lineRule="exact"/>
              <w:ind w:firstLine="480" w:firstLineChars="200"/>
              <w:jc w:val="center"/>
              <w:rPr>
                <w:rFonts w:hint="eastAsia" w:ascii="宋体" w:hAnsi="宋体" w:eastAsia="宋体" w:cs="宋体"/>
                <w:color w:val="auto"/>
                <w:sz w:val="24"/>
                <w:szCs w:val="24"/>
                <w:highlight w:val="none"/>
              </w:rPr>
            </w:pPr>
          </w:p>
        </w:tc>
        <w:tc>
          <w:tcPr>
            <w:tcW w:w="4686" w:type="dxa"/>
            <w:vMerge w:val="restart"/>
            <w:tcBorders>
              <w:top w:val="single" w:color="auto" w:sz="12" w:space="0"/>
              <w:left w:val="single" w:color="auto" w:sz="12" w:space="0"/>
              <w:right w:val="single" w:color="auto" w:sz="12" w:space="0"/>
            </w:tcBorders>
            <w:vAlign w:val="center"/>
          </w:tcPr>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身份证正反面（扫描件）</w:t>
            </w:r>
          </w:p>
          <w:p>
            <w:pPr>
              <w:spacing w:line="5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717" w:type="dxa"/>
            <w:vMerge w:val="continue"/>
            <w:tcBorders>
              <w:left w:val="single" w:color="auto" w:sz="12" w:space="0"/>
              <w:bottom w:val="single" w:color="auto" w:sz="12" w:space="0"/>
              <w:right w:val="single" w:color="auto" w:sz="12" w:space="0"/>
            </w:tcBorders>
            <w:vAlign w:val="center"/>
          </w:tcPr>
          <w:p>
            <w:pPr>
              <w:spacing w:line="560" w:lineRule="exact"/>
              <w:ind w:firstLine="480" w:firstLineChars="200"/>
              <w:jc w:val="center"/>
              <w:rPr>
                <w:rFonts w:hint="eastAsia" w:ascii="宋体" w:hAnsi="宋体" w:eastAsia="宋体" w:cs="宋体"/>
                <w:color w:val="auto"/>
                <w:sz w:val="24"/>
                <w:szCs w:val="24"/>
                <w:highlight w:val="none"/>
              </w:rPr>
            </w:pPr>
          </w:p>
        </w:tc>
        <w:tc>
          <w:tcPr>
            <w:tcW w:w="236" w:type="dxa"/>
            <w:tcBorders>
              <w:top w:val="nil"/>
              <w:left w:val="single" w:color="auto" w:sz="12" w:space="0"/>
              <w:bottom w:val="nil"/>
              <w:right w:val="single" w:color="auto" w:sz="12" w:space="0"/>
            </w:tcBorders>
            <w:vAlign w:val="center"/>
          </w:tcPr>
          <w:p>
            <w:pPr>
              <w:spacing w:line="560" w:lineRule="exact"/>
              <w:ind w:firstLine="480" w:firstLineChars="200"/>
              <w:jc w:val="center"/>
              <w:rPr>
                <w:rFonts w:hint="eastAsia" w:ascii="宋体" w:hAnsi="宋体" w:eastAsia="宋体" w:cs="宋体"/>
                <w:color w:val="auto"/>
                <w:sz w:val="24"/>
                <w:szCs w:val="24"/>
                <w:highlight w:val="none"/>
              </w:rPr>
            </w:pPr>
          </w:p>
        </w:tc>
        <w:tc>
          <w:tcPr>
            <w:tcW w:w="4686" w:type="dxa"/>
            <w:vMerge w:val="continue"/>
            <w:tcBorders>
              <w:left w:val="single" w:color="auto" w:sz="12" w:space="0"/>
              <w:bottom w:val="single" w:color="auto" w:sz="12" w:space="0"/>
              <w:right w:val="single" w:color="auto" w:sz="12" w:space="0"/>
            </w:tcBorders>
            <w:vAlign w:val="center"/>
          </w:tcPr>
          <w:p>
            <w:pPr>
              <w:spacing w:line="560" w:lineRule="exact"/>
              <w:ind w:firstLine="480" w:firstLineChars="200"/>
              <w:jc w:val="center"/>
              <w:rPr>
                <w:rFonts w:hint="eastAsia" w:ascii="宋体" w:hAnsi="宋体" w:eastAsia="宋体" w:cs="宋体"/>
                <w:color w:val="auto"/>
                <w:sz w:val="24"/>
                <w:szCs w:val="24"/>
                <w:highlight w:val="none"/>
              </w:rPr>
            </w:pPr>
          </w:p>
        </w:tc>
      </w:tr>
    </w:tbl>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1680" w:firstLineChars="7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w:t>
      </w:r>
      <w:r>
        <w:rPr>
          <w:rFonts w:hint="eastAsia" w:ascii="宋体" w:hAnsi="宋体" w:eastAsia="宋体" w:cs="宋体"/>
          <w:color w:val="auto"/>
          <w:sz w:val="24"/>
          <w:szCs w:val="24"/>
          <w:highlight w:val="none"/>
        </w:rPr>
        <w:t>定代表人：（签字或盖章）</w:t>
      </w:r>
    </w:p>
    <w:p>
      <w:pPr>
        <w:spacing w:line="560" w:lineRule="exact"/>
        <w:ind w:firstLine="1680" w:firstLineChars="7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1680" w:firstLineChars="7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授权日期：      年  月  日</w:t>
      </w:r>
    </w:p>
    <w:p>
      <w:pPr>
        <w:spacing w:line="560" w:lineRule="exact"/>
        <w:jc w:val="both"/>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93"/>
        <w:spacing w:before="210" w:after="210"/>
        <w:ind w:firstLine="640"/>
        <w:outlineLvl w:val="3"/>
        <w:rPr>
          <w:rFonts w:hint="eastAsia" w:ascii="宋体" w:hAnsi="宋体" w:eastAsia="宋体" w:cs="宋体"/>
          <w:color w:val="auto"/>
          <w:sz w:val="24"/>
          <w:szCs w:val="24"/>
          <w:highlight w:val="none"/>
          <w:lang w:eastAsia="zh-CN"/>
        </w:rPr>
      </w:pPr>
      <w:bookmarkStart w:id="152" w:name="_Toc6896"/>
      <w:r>
        <w:rPr>
          <w:rFonts w:hint="eastAsia" w:ascii="宋体" w:hAnsi="宋体" w:eastAsia="宋体" w:cs="宋体"/>
          <w:color w:val="auto"/>
          <w:sz w:val="24"/>
          <w:szCs w:val="24"/>
          <w:highlight w:val="none"/>
          <w:lang w:eastAsia="zh-CN"/>
        </w:rPr>
        <w:t>（二）</w:t>
      </w:r>
      <w:r>
        <w:rPr>
          <w:rFonts w:ascii="宋体" w:hAnsi="宋体" w:eastAsia="宋体" w:cs="宋体"/>
          <w:color w:val="auto"/>
          <w:sz w:val="24"/>
          <w:szCs w:val="24"/>
        </w:rPr>
        <w:t>投标人须提供医疗器械经营许可证或备案凭证、所投产品生产厂家的医疗器械生产许可证、所投产品医疗器械产品注册证（或备案凭证）</w:t>
      </w:r>
      <w:r>
        <w:rPr>
          <w:rFonts w:hint="eastAsia" w:ascii="宋体" w:hAnsi="宋体" w:eastAsia="宋体" w:cs="宋体"/>
          <w:color w:val="auto"/>
          <w:sz w:val="24"/>
          <w:szCs w:val="24"/>
          <w:lang w:val="en-US" w:eastAsia="zh-CN"/>
        </w:rPr>
        <w:t>;</w:t>
      </w:r>
    </w:p>
    <w:p>
      <w:pPr>
        <w:pStyle w:val="93"/>
        <w:spacing w:before="210" w:after="210"/>
        <w:ind w:firstLine="640"/>
        <w:outlineLvl w:val="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投标邀请函中要求的其他资格证明文件</w:t>
      </w:r>
      <w:bookmarkEnd w:id="152"/>
    </w:p>
    <w:p>
      <w:pPr>
        <w:pStyle w:val="93"/>
        <w:spacing w:before="210" w:after="210"/>
        <w:ind w:firstLine="640"/>
        <w:rPr>
          <w:rFonts w:hint="eastAsia" w:ascii="宋体" w:hAnsi="宋体" w:eastAsia="宋体" w:cs="宋体"/>
          <w:color w:val="auto"/>
          <w:sz w:val="24"/>
          <w:szCs w:val="24"/>
          <w:highlight w:val="none"/>
          <w:lang w:eastAsia="zh-CN"/>
        </w:rPr>
      </w:pPr>
      <w:bookmarkStart w:id="153" w:name="_Toc1431"/>
      <w:r>
        <w:rPr>
          <w:rFonts w:hint="eastAsia" w:ascii="宋体" w:hAnsi="宋体" w:eastAsia="宋体" w:cs="宋体"/>
          <w:color w:val="auto"/>
          <w:sz w:val="24"/>
          <w:szCs w:val="24"/>
          <w:highlight w:val="none"/>
        </w:rPr>
        <w:t>提示：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可通过【信用中国】（www.creditchina.gov.cn）、【中国政府采购网】（www.ccgp.gov.cn）</w:t>
      </w:r>
      <w:r>
        <w:rPr>
          <w:rFonts w:hint="eastAsia" w:ascii="宋体" w:hAnsi="宋体" w:eastAsia="宋体" w:cs="宋体"/>
          <w:color w:val="auto"/>
          <w:sz w:val="24"/>
          <w:szCs w:val="24"/>
          <w:highlight w:val="none"/>
          <w:lang w:eastAsia="zh-CN"/>
        </w:rPr>
        <w:t>、“国家企业信用信息公示系统”</w:t>
      </w:r>
      <w:r>
        <w:rPr>
          <w:rFonts w:hint="eastAsia" w:ascii="宋体" w:hAnsi="宋体" w:eastAsia="宋体" w:cs="宋体"/>
          <w:color w:val="auto"/>
          <w:sz w:val="24"/>
          <w:szCs w:val="24"/>
          <w:highlight w:val="none"/>
        </w:rPr>
        <w:t>网站对自身信用记录</w:t>
      </w:r>
      <w:r>
        <w:rPr>
          <w:rFonts w:hint="eastAsia" w:ascii="宋体" w:hAnsi="宋体" w:eastAsia="宋体" w:cs="宋体"/>
          <w:color w:val="auto"/>
          <w:sz w:val="24"/>
          <w:szCs w:val="24"/>
          <w:highlight w:val="none"/>
          <w:lang w:eastAsia="zh-CN"/>
        </w:rPr>
        <w:t>及控股、管理关系</w:t>
      </w:r>
      <w:r>
        <w:rPr>
          <w:rFonts w:hint="eastAsia" w:ascii="宋体" w:hAnsi="宋体" w:eastAsia="宋体" w:cs="宋体"/>
          <w:color w:val="auto"/>
          <w:sz w:val="24"/>
          <w:szCs w:val="24"/>
          <w:highlight w:val="none"/>
        </w:rPr>
        <w:t>进行自查</w:t>
      </w:r>
      <w:r>
        <w:rPr>
          <w:rFonts w:hint="eastAsia" w:ascii="宋体" w:hAnsi="宋体" w:eastAsia="宋体" w:cs="宋体"/>
          <w:color w:val="auto"/>
          <w:sz w:val="24"/>
          <w:szCs w:val="24"/>
          <w:highlight w:val="none"/>
          <w:lang w:eastAsia="zh-CN"/>
        </w:rPr>
        <w:t>。</w:t>
      </w:r>
      <w:bookmarkEnd w:id="153"/>
    </w:p>
    <w:p>
      <w:pPr>
        <w:pStyle w:val="93"/>
        <w:spacing w:before="210" w:after="210"/>
        <w:ind w:firstLine="640"/>
        <w:outlineLvl w:val="9"/>
        <w:rPr>
          <w:rFonts w:hint="eastAsia" w:ascii="宋体" w:hAnsi="宋体" w:eastAsia="宋体" w:cs="宋体"/>
          <w:color w:val="auto"/>
          <w:sz w:val="24"/>
          <w:szCs w:val="24"/>
          <w:highlight w:val="none"/>
        </w:rPr>
      </w:pPr>
    </w:p>
    <w:p>
      <w:pPr>
        <w:pStyle w:val="93"/>
        <w:spacing w:before="210" w:after="210"/>
        <w:ind w:firstLine="640"/>
        <w:outlineLvl w:val="9"/>
        <w:rPr>
          <w:rFonts w:hint="eastAsia" w:ascii="宋体" w:hAnsi="宋体" w:eastAsia="宋体" w:cs="宋体"/>
          <w:color w:val="auto"/>
          <w:sz w:val="24"/>
          <w:szCs w:val="24"/>
          <w:highlight w:val="none"/>
        </w:rPr>
      </w:pPr>
    </w:p>
    <w:p>
      <w:pPr>
        <w:pStyle w:val="93"/>
        <w:spacing w:before="210" w:after="210"/>
        <w:ind w:firstLine="640"/>
        <w:outlineLvl w:val="9"/>
        <w:rPr>
          <w:rFonts w:hint="eastAsia" w:ascii="宋体" w:hAnsi="宋体" w:eastAsia="宋体" w:cs="宋体"/>
          <w:color w:val="auto"/>
          <w:sz w:val="24"/>
          <w:szCs w:val="24"/>
          <w:highlight w:val="none"/>
        </w:rPr>
      </w:pPr>
    </w:p>
    <w:p>
      <w:pPr>
        <w:pStyle w:val="93"/>
        <w:spacing w:before="210" w:after="210"/>
        <w:ind w:firstLine="640"/>
        <w:outlineLvl w:val="9"/>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rPr>
          <w:rFonts w:hint="eastAsia" w:ascii="宋体" w:hAnsi="宋体" w:eastAsia="宋体" w:cs="宋体"/>
          <w:color w:val="auto"/>
          <w:sz w:val="24"/>
          <w:szCs w:val="24"/>
          <w:highlight w:val="none"/>
        </w:rPr>
      </w:pPr>
      <w:bookmarkStart w:id="154" w:name="_Toc2219"/>
      <w:r>
        <w:rPr>
          <w:rFonts w:hint="eastAsia" w:ascii="宋体" w:hAnsi="宋体" w:eastAsia="宋体" w:cs="宋体"/>
          <w:color w:val="auto"/>
          <w:sz w:val="24"/>
          <w:szCs w:val="24"/>
          <w:highlight w:val="none"/>
        </w:rPr>
        <w:t xml:space="preserve">第四部分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概况</w:t>
      </w:r>
      <w:bookmarkEnd w:id="154"/>
    </w:p>
    <w:p>
      <w:pPr>
        <w:pStyle w:val="93"/>
        <w:spacing w:before="210" w:after="210"/>
        <w:ind w:firstLine="640"/>
        <w:outlineLvl w:val="2"/>
        <w:rPr>
          <w:rFonts w:hint="eastAsia" w:ascii="宋体" w:hAnsi="宋体" w:eastAsia="宋体" w:cs="宋体"/>
          <w:color w:val="auto"/>
          <w:sz w:val="24"/>
          <w:szCs w:val="24"/>
          <w:highlight w:val="none"/>
        </w:rPr>
      </w:pPr>
      <w:bookmarkStart w:id="155" w:name="_Toc10755"/>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基本信息</w:t>
      </w:r>
      <w:bookmarkEnd w:id="155"/>
    </w:p>
    <w:tbl>
      <w:tblPr>
        <w:tblStyle w:val="85"/>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全称</w:t>
            </w:r>
          </w:p>
        </w:tc>
        <w:tc>
          <w:tcPr>
            <w:tcW w:w="6756" w:type="dxa"/>
            <w:gridSpan w:val="5"/>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注册地址</w:t>
            </w: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w:t>
            </w: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统一社会信用代码</w:t>
            </w: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法定代表人</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（主要负责人）</w:t>
            </w: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所属行业</w:t>
            </w: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基本存款账户</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开户银行</w:t>
            </w: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基本存款</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账户账号</w:t>
            </w: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上年度</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营业收入*</w:t>
            </w: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资产总额</w:t>
            </w: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经营范围</w:t>
            </w:r>
          </w:p>
        </w:tc>
        <w:tc>
          <w:tcPr>
            <w:tcW w:w="6756" w:type="dxa"/>
            <w:gridSpan w:val="5"/>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资质证书名称</w:t>
            </w:r>
          </w:p>
        </w:tc>
        <w:tc>
          <w:tcPr>
            <w:tcW w:w="2416" w:type="dxa"/>
            <w:gridSpan w:val="2"/>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证书号</w:t>
            </w:r>
          </w:p>
        </w:tc>
        <w:tc>
          <w:tcPr>
            <w:tcW w:w="1411"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等级</w:t>
            </w:r>
          </w:p>
        </w:tc>
        <w:tc>
          <w:tcPr>
            <w:tcW w:w="2929" w:type="dxa"/>
            <w:gridSpan w:val="2"/>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rPr>
            </w:pP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p>
        </w:tc>
        <w:tc>
          <w:tcPr>
            <w:tcW w:w="2416" w:type="dxa"/>
            <w:gridSpan w:val="2"/>
          </w:tcPr>
          <w:p>
            <w:pPr>
              <w:ind w:firstLine="0"/>
              <w:jc w:val="both"/>
              <w:rPr>
                <w:rFonts w:hint="eastAsia" w:ascii="宋体" w:hAnsi="宋体" w:eastAsia="宋体" w:cs="宋体"/>
                <w:color w:val="auto"/>
                <w:kern w:val="2"/>
                <w:sz w:val="24"/>
                <w:szCs w:val="24"/>
                <w:highlight w:val="none"/>
              </w:rPr>
            </w:pPr>
          </w:p>
        </w:tc>
        <w:tc>
          <w:tcPr>
            <w:tcW w:w="1411" w:type="dxa"/>
          </w:tcPr>
          <w:p>
            <w:pPr>
              <w:ind w:firstLine="0"/>
              <w:jc w:val="both"/>
              <w:rPr>
                <w:rFonts w:hint="eastAsia" w:ascii="宋体" w:hAnsi="宋体" w:eastAsia="宋体" w:cs="宋体"/>
                <w:color w:val="auto"/>
                <w:kern w:val="2"/>
                <w:sz w:val="24"/>
                <w:szCs w:val="24"/>
                <w:highlight w:val="none"/>
              </w:rPr>
            </w:pPr>
          </w:p>
        </w:tc>
        <w:tc>
          <w:tcPr>
            <w:tcW w:w="2929" w:type="dxa"/>
            <w:gridSpan w:val="2"/>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从业人员总数</w:t>
            </w:r>
          </w:p>
        </w:tc>
        <w:tc>
          <w:tcPr>
            <w:tcW w:w="992" w:type="dxa"/>
            <w:vMerge w:val="restart"/>
          </w:tcPr>
          <w:p>
            <w:pPr>
              <w:ind w:firstLine="0"/>
              <w:jc w:val="both"/>
              <w:rPr>
                <w:rFonts w:hint="eastAsia" w:ascii="宋体" w:hAnsi="宋体" w:eastAsia="宋体" w:cs="宋体"/>
                <w:color w:val="auto"/>
                <w:kern w:val="2"/>
                <w:sz w:val="24"/>
                <w:szCs w:val="24"/>
                <w:highlight w:val="none"/>
              </w:rPr>
            </w:pPr>
          </w:p>
        </w:tc>
        <w:tc>
          <w:tcPr>
            <w:tcW w:w="1424"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管理人员</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1411" w:type="dxa"/>
          </w:tcPr>
          <w:p>
            <w:pPr>
              <w:ind w:firstLine="0"/>
              <w:jc w:val="both"/>
              <w:rPr>
                <w:rFonts w:hint="eastAsia" w:ascii="宋体" w:hAnsi="宋体" w:eastAsia="宋体" w:cs="宋体"/>
                <w:color w:val="auto"/>
                <w:kern w:val="2"/>
                <w:sz w:val="24"/>
                <w:szCs w:val="24"/>
                <w:highlight w:val="none"/>
              </w:rPr>
            </w:pPr>
          </w:p>
        </w:tc>
        <w:tc>
          <w:tcPr>
            <w:tcW w:w="1464"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专业技术</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人员数量</w:t>
            </w:r>
          </w:p>
        </w:tc>
        <w:tc>
          <w:tcPr>
            <w:tcW w:w="1465" w:type="dxa"/>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hint="eastAsia" w:ascii="宋体" w:hAnsi="宋体" w:eastAsia="宋体" w:cs="宋体"/>
                <w:color w:val="auto"/>
                <w:kern w:val="2"/>
                <w:sz w:val="24"/>
                <w:szCs w:val="24"/>
                <w:highlight w:val="none"/>
              </w:rPr>
            </w:pPr>
          </w:p>
        </w:tc>
        <w:tc>
          <w:tcPr>
            <w:tcW w:w="992" w:type="dxa"/>
            <w:vMerge w:val="continue"/>
          </w:tcPr>
          <w:p>
            <w:pPr>
              <w:ind w:firstLine="0"/>
              <w:jc w:val="both"/>
              <w:rPr>
                <w:rFonts w:hint="eastAsia" w:ascii="宋体" w:hAnsi="宋体" w:eastAsia="宋体" w:cs="宋体"/>
                <w:color w:val="auto"/>
                <w:kern w:val="2"/>
                <w:sz w:val="24"/>
                <w:szCs w:val="24"/>
                <w:highlight w:val="none"/>
              </w:rPr>
            </w:pPr>
          </w:p>
        </w:tc>
        <w:tc>
          <w:tcPr>
            <w:tcW w:w="1424"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残疾人</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1411" w:type="dxa"/>
          </w:tcPr>
          <w:p>
            <w:pPr>
              <w:ind w:firstLine="0"/>
              <w:jc w:val="both"/>
              <w:rPr>
                <w:rFonts w:hint="eastAsia" w:ascii="宋体" w:hAnsi="宋体" w:eastAsia="宋体" w:cs="宋体"/>
                <w:color w:val="auto"/>
                <w:kern w:val="2"/>
                <w:sz w:val="24"/>
                <w:szCs w:val="24"/>
                <w:highlight w:val="none"/>
              </w:rPr>
            </w:pPr>
          </w:p>
        </w:tc>
        <w:tc>
          <w:tcPr>
            <w:tcW w:w="1464" w:type="dxa"/>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少数民族</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1465" w:type="dxa"/>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存在直接控股、管理关系的相关</w:t>
            </w:r>
            <w:r>
              <w:rPr>
                <w:rFonts w:hint="eastAsia" w:ascii="宋体" w:hAnsi="宋体" w:eastAsia="宋体" w:cs="宋体"/>
                <w:color w:val="auto"/>
                <w:kern w:val="2"/>
                <w:sz w:val="24"/>
                <w:szCs w:val="24"/>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关系</w:t>
            </w:r>
          </w:p>
        </w:tc>
        <w:tc>
          <w:tcPr>
            <w:tcW w:w="6756" w:type="dxa"/>
            <w:gridSpan w:val="5"/>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p>
        </w:tc>
        <w:tc>
          <w:tcPr>
            <w:tcW w:w="6756" w:type="dxa"/>
            <w:gridSpan w:val="5"/>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p>
        </w:tc>
        <w:tc>
          <w:tcPr>
            <w:tcW w:w="6756" w:type="dxa"/>
            <w:gridSpan w:val="5"/>
          </w:tcPr>
          <w:p>
            <w:pPr>
              <w:ind w:firstLine="0"/>
              <w:jc w:val="both"/>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说明</w:t>
            </w:r>
          </w:p>
        </w:tc>
        <w:tc>
          <w:tcPr>
            <w:tcW w:w="6756" w:type="dxa"/>
            <w:gridSpan w:val="5"/>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1.成立时间至提交投标文件截止时间不足一年的可不填写“上年度营业收入”；</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2.招标文件接受联合体的，联合体各方均应提供；</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3.表格空间不足时，请自行扩展。</w:t>
            </w:r>
          </w:p>
        </w:tc>
      </w:tr>
    </w:tbl>
    <w:p>
      <w:pPr>
        <w:pStyle w:val="93"/>
        <w:spacing w:before="210" w:after="210"/>
        <w:ind w:firstLine="640"/>
        <w:outlineLvl w:val="2"/>
        <w:rPr>
          <w:rFonts w:hint="eastAsia" w:ascii="宋体" w:hAnsi="宋体" w:eastAsia="宋体" w:cs="宋体"/>
          <w:color w:val="auto"/>
          <w:sz w:val="24"/>
          <w:szCs w:val="24"/>
          <w:highlight w:val="none"/>
        </w:rPr>
      </w:pPr>
      <w:bookmarkStart w:id="156" w:name="_Toc11055"/>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性质</w:t>
      </w:r>
      <w:bookmarkEnd w:id="156"/>
    </w:p>
    <w:p>
      <w:pPr>
        <w:pStyle w:val="92"/>
        <w:outlineLvl w:val="3"/>
        <w:rPr>
          <w:rFonts w:hint="eastAsia" w:ascii="宋体" w:hAnsi="宋体" w:eastAsia="宋体" w:cs="宋体"/>
          <w:color w:val="auto"/>
          <w:sz w:val="24"/>
          <w:szCs w:val="24"/>
          <w:highlight w:val="none"/>
        </w:rPr>
      </w:pPr>
      <w:bookmarkStart w:id="157" w:name="_Toc2373"/>
      <w:r>
        <w:rPr>
          <w:rFonts w:hint="eastAsia" w:ascii="宋体" w:hAnsi="宋体" w:eastAsia="宋体" w:cs="宋体"/>
          <w:color w:val="auto"/>
          <w:sz w:val="24"/>
          <w:szCs w:val="24"/>
          <w:highlight w:val="none"/>
        </w:rPr>
        <w:t>1．中小企业声明函</w:t>
      </w:r>
      <w:bookmarkEnd w:id="157"/>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说明：当且仅当</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240" w:lineRule="auto"/>
        <w:jc w:val="center"/>
        <w:outlineLvl w:val="4"/>
        <w:rPr>
          <w:rFonts w:ascii="宋体" w:hAnsi="宋体" w:cs="仿宋"/>
          <w:b/>
          <w:bCs/>
          <w:color w:val="auto"/>
          <w:kern w:val="0"/>
          <w:sz w:val="28"/>
          <w:szCs w:val="28"/>
          <w:highlight w:val="none"/>
        </w:rPr>
      </w:pPr>
      <w:r>
        <w:rPr>
          <w:rFonts w:ascii="宋体" w:hAnsi="宋体" w:cs="仿宋"/>
          <w:b/>
          <w:bCs/>
          <w:color w:val="auto"/>
          <w:kern w:val="0"/>
          <w:sz w:val="28"/>
          <w:szCs w:val="28"/>
          <w:highlight w:val="none"/>
        </w:rPr>
        <w:t>中小企业声明函（货物）</w:t>
      </w:r>
    </w:p>
    <w:p>
      <w:pPr>
        <w:adjustRightInd w:val="0"/>
        <w:snapToGrid w:val="0"/>
        <w:spacing w:line="240" w:lineRule="auto"/>
        <w:ind w:left="420" w:hanging="480" w:hangingChars="200"/>
        <w:jc w:val="left"/>
        <w:rPr>
          <w:rFonts w:ascii="Calibri" w:hAnsi="Calibri"/>
          <w:color w:val="auto"/>
          <w:szCs w:val="22"/>
          <w:highlight w:val="none"/>
        </w:rPr>
      </w:pPr>
    </w:p>
    <w:p>
      <w:pPr>
        <w:adjustRightInd w:val="0"/>
        <w:snapToGrid w:val="0"/>
        <w:spacing w:line="360" w:lineRule="auto"/>
        <w:ind w:firstLine="484" w:firstLineChars="202"/>
        <w:jc w:val="left"/>
        <w:rPr>
          <w:rFonts w:hint="eastAsia" w:ascii="宋体" w:hAnsi="宋体" w:eastAsia="宋体"/>
          <w:color w:val="auto"/>
          <w:sz w:val="24"/>
          <w:szCs w:val="22"/>
          <w:highlight w:val="none"/>
          <w:lang w:eastAsia="zh-CN"/>
        </w:rPr>
      </w:pPr>
      <w:r>
        <w:rPr>
          <w:rFonts w:ascii="宋体" w:hAnsi="宋体"/>
          <w:color w:val="auto"/>
          <w:sz w:val="24"/>
          <w:szCs w:val="22"/>
          <w:highlight w:val="none"/>
        </w:rPr>
        <w:t>本公司郑重声明，根据《政府采购促进中小企业发展管理办法》（财库﹝2020﹞46 号）的规定，本公司参加</w:t>
      </w:r>
      <w:r>
        <w:rPr>
          <w:rFonts w:ascii="宋体" w:hAnsi="宋体"/>
          <w:i/>
          <w:color w:val="auto"/>
          <w:sz w:val="24"/>
          <w:szCs w:val="22"/>
          <w:highlight w:val="none"/>
          <w:u w:val="single"/>
        </w:rPr>
        <w:t>（单位名称）</w:t>
      </w:r>
      <w:r>
        <w:rPr>
          <w:rFonts w:ascii="宋体" w:hAnsi="宋体"/>
          <w:color w:val="auto"/>
          <w:sz w:val="24"/>
          <w:szCs w:val="22"/>
          <w:highlight w:val="none"/>
        </w:rPr>
        <w:t>的</w:t>
      </w:r>
      <w:r>
        <w:rPr>
          <w:rFonts w:ascii="宋体" w:hAnsi="宋体"/>
          <w:i/>
          <w:color w:val="auto"/>
          <w:sz w:val="24"/>
          <w:szCs w:val="22"/>
          <w:highlight w:val="none"/>
          <w:u w:val="single"/>
        </w:rPr>
        <w:t>（项目名称）</w:t>
      </w:r>
      <w:r>
        <w:rPr>
          <w:rFonts w:hint="eastAsia" w:ascii="宋体" w:hAnsi="宋体"/>
          <w:i/>
          <w:color w:val="auto"/>
          <w:sz w:val="24"/>
          <w:szCs w:val="22"/>
          <w:highlight w:val="none"/>
          <w:u w:val="none"/>
        </w:rPr>
        <w:t>第___标段采购活动</w:t>
      </w:r>
      <w:r>
        <w:rPr>
          <w:rFonts w:ascii="宋体" w:hAnsi="宋体"/>
          <w:color w:val="auto"/>
          <w:sz w:val="24"/>
          <w:szCs w:val="22"/>
          <w:highlight w:val="none"/>
          <w:u w:val="none"/>
        </w:rPr>
        <w:t>，</w:t>
      </w:r>
      <w:r>
        <w:rPr>
          <w:rFonts w:ascii="宋体" w:hAnsi="宋体"/>
          <w:color w:val="auto"/>
          <w:sz w:val="24"/>
          <w:szCs w:val="22"/>
          <w:highlight w:val="none"/>
        </w:rPr>
        <w:t>提供的货物全部由符合政策要求的中小企业制造。相关企业的具体情况如下：</w:t>
      </w:r>
    </w:p>
    <w:p>
      <w:pPr>
        <w:adjustRightInd w:val="0"/>
        <w:snapToGrid w:val="0"/>
        <w:spacing w:line="360" w:lineRule="auto"/>
        <w:ind w:firstLine="484" w:firstLineChars="202"/>
        <w:jc w:val="left"/>
        <w:rPr>
          <w:rFonts w:hint="eastAsia" w:ascii="宋体" w:hAnsi="宋体" w:eastAsia="宋体"/>
          <w:color w:val="auto"/>
          <w:sz w:val="24"/>
          <w:szCs w:val="22"/>
          <w:highlight w:val="none"/>
          <w:lang w:eastAsia="zh-CN"/>
        </w:rPr>
      </w:pPr>
      <w:r>
        <w:rPr>
          <w:rFonts w:ascii="宋体" w:hAnsi="宋体"/>
          <w:color w:val="auto"/>
          <w:sz w:val="24"/>
          <w:szCs w:val="22"/>
          <w:highlight w:val="none"/>
        </w:rPr>
        <w:t xml:space="preserve">    1.</w:t>
      </w:r>
      <w:r>
        <w:rPr>
          <w:rFonts w:ascii="宋体" w:hAnsi="宋体"/>
          <w:color w:val="auto"/>
          <w:sz w:val="24"/>
          <w:szCs w:val="22"/>
          <w:highlight w:val="none"/>
          <w:u w:val="single"/>
        </w:rPr>
        <w:t xml:space="preserve"> </w:t>
      </w:r>
      <w:r>
        <w:rPr>
          <w:rFonts w:ascii="宋体" w:hAnsi="宋体"/>
          <w:i/>
          <w:color w:val="auto"/>
          <w:sz w:val="24"/>
          <w:szCs w:val="22"/>
          <w:highlight w:val="none"/>
          <w:u w:val="single"/>
        </w:rPr>
        <w:t>（标的名称）</w:t>
      </w:r>
      <w:r>
        <w:rPr>
          <w:rFonts w:hint="eastAsia" w:ascii="宋体" w:hAnsi="宋体"/>
          <w:i/>
          <w:color w:val="auto"/>
          <w:sz w:val="24"/>
          <w:szCs w:val="22"/>
          <w:highlight w:val="none"/>
          <w:u w:val="single"/>
        </w:rPr>
        <w:t xml:space="preserve"> </w:t>
      </w:r>
      <w:r>
        <w:rPr>
          <w:rFonts w:ascii="宋体" w:hAnsi="宋体"/>
          <w:color w:val="auto"/>
          <w:sz w:val="24"/>
          <w:szCs w:val="22"/>
          <w:highlight w:val="none"/>
        </w:rPr>
        <w:t>，属于</w:t>
      </w:r>
      <w:r>
        <w:rPr>
          <w:rFonts w:ascii="宋体" w:hAnsi="宋体"/>
          <w:i/>
          <w:color w:val="auto"/>
          <w:sz w:val="24"/>
          <w:szCs w:val="22"/>
          <w:highlight w:val="none"/>
          <w:u w:val="single"/>
        </w:rPr>
        <w:t xml:space="preserve">        </w:t>
      </w:r>
      <w:r>
        <w:rPr>
          <w:rFonts w:ascii="宋体" w:hAnsi="宋体"/>
          <w:color w:val="auto"/>
          <w:sz w:val="24"/>
          <w:szCs w:val="22"/>
          <w:highlight w:val="none"/>
        </w:rPr>
        <w:t>行业；制造商为</w:t>
      </w:r>
      <w:r>
        <w:rPr>
          <w:rFonts w:ascii="宋体" w:hAnsi="宋体"/>
          <w:i/>
          <w:color w:val="auto"/>
          <w:sz w:val="24"/>
          <w:szCs w:val="22"/>
          <w:highlight w:val="none"/>
          <w:u w:val="single"/>
        </w:rPr>
        <w:t>（企业名称）</w:t>
      </w:r>
      <w:r>
        <w:rPr>
          <w:rFonts w:ascii="宋体" w:hAnsi="宋体"/>
          <w:color w:val="auto"/>
          <w:sz w:val="24"/>
          <w:szCs w:val="22"/>
          <w:highlight w:val="none"/>
        </w:rPr>
        <w:t>，从业人员</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rPr>
        <w:t>人，营业收入为</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rPr>
        <w:t>万元，资产总额为</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rPr>
        <w:t>万元</w:t>
      </w:r>
      <w:r>
        <w:rPr>
          <w:rFonts w:hint="eastAsia" w:ascii="宋体" w:hAnsi="宋体"/>
          <w:color w:val="auto"/>
          <w:sz w:val="24"/>
          <w:szCs w:val="22"/>
          <w:highlight w:val="none"/>
          <w:vertAlign w:val="superscript"/>
        </w:rPr>
        <w:t>1</w:t>
      </w:r>
      <w:r>
        <w:rPr>
          <w:rFonts w:ascii="宋体" w:hAnsi="宋体"/>
          <w:color w:val="auto"/>
          <w:sz w:val="24"/>
          <w:szCs w:val="22"/>
          <w:highlight w:val="none"/>
        </w:rPr>
        <w:t>，属于</w:t>
      </w:r>
      <w:r>
        <w:rPr>
          <w:rFonts w:ascii="宋体" w:hAnsi="宋体"/>
          <w:i/>
          <w:color w:val="auto"/>
          <w:sz w:val="24"/>
          <w:szCs w:val="22"/>
          <w:highlight w:val="none"/>
          <w:u w:val="single"/>
        </w:rPr>
        <w:t>（中型企业、小型企业、微型企业</w:t>
      </w:r>
      <w:r>
        <w:rPr>
          <w:rFonts w:ascii="宋体" w:hAnsi="宋体"/>
          <w:i/>
          <w:color w:val="auto"/>
          <w:sz w:val="24"/>
          <w:szCs w:val="22"/>
          <w:highlight w:val="none"/>
        </w:rPr>
        <w:t>）</w:t>
      </w:r>
      <w:r>
        <w:rPr>
          <w:rFonts w:ascii="宋体" w:hAnsi="宋体"/>
          <w:color w:val="auto"/>
          <w:sz w:val="24"/>
          <w:szCs w:val="22"/>
          <w:highlight w:val="none"/>
        </w:rPr>
        <w:t>；</w:t>
      </w:r>
    </w:p>
    <w:p>
      <w:pPr>
        <w:adjustRightInd w:val="0"/>
        <w:snapToGrid w:val="0"/>
        <w:spacing w:line="360" w:lineRule="auto"/>
        <w:ind w:firstLine="484" w:firstLineChars="202"/>
        <w:jc w:val="left"/>
        <w:rPr>
          <w:rFonts w:hint="eastAsia" w:ascii="宋体" w:hAnsi="宋体" w:eastAsia="宋体"/>
          <w:color w:val="auto"/>
          <w:sz w:val="24"/>
          <w:szCs w:val="22"/>
          <w:highlight w:val="none"/>
          <w:lang w:eastAsia="zh-CN"/>
        </w:rPr>
      </w:pPr>
      <w:r>
        <w:rPr>
          <w:rFonts w:ascii="宋体" w:hAnsi="宋体"/>
          <w:color w:val="auto"/>
          <w:sz w:val="24"/>
          <w:szCs w:val="22"/>
          <w:highlight w:val="none"/>
        </w:rPr>
        <w:t xml:space="preserve">    2.</w:t>
      </w:r>
      <w:r>
        <w:rPr>
          <w:rFonts w:ascii="宋体" w:hAnsi="宋体"/>
          <w:color w:val="auto"/>
          <w:sz w:val="24"/>
          <w:szCs w:val="22"/>
          <w:highlight w:val="none"/>
          <w:u w:val="single"/>
        </w:rPr>
        <w:t xml:space="preserve"> </w:t>
      </w:r>
      <w:r>
        <w:rPr>
          <w:rFonts w:ascii="宋体" w:hAnsi="宋体"/>
          <w:i/>
          <w:color w:val="auto"/>
          <w:sz w:val="24"/>
          <w:szCs w:val="22"/>
          <w:highlight w:val="none"/>
          <w:u w:val="single"/>
        </w:rPr>
        <w:t>（标的名称）</w:t>
      </w:r>
      <w:r>
        <w:rPr>
          <w:rFonts w:hint="eastAsia" w:ascii="宋体" w:hAnsi="宋体"/>
          <w:i/>
          <w:color w:val="auto"/>
          <w:sz w:val="24"/>
          <w:szCs w:val="22"/>
          <w:highlight w:val="none"/>
          <w:u w:val="single"/>
        </w:rPr>
        <w:t xml:space="preserve"> </w:t>
      </w:r>
      <w:r>
        <w:rPr>
          <w:rFonts w:ascii="宋体" w:hAnsi="宋体"/>
          <w:color w:val="auto"/>
          <w:sz w:val="24"/>
          <w:szCs w:val="22"/>
          <w:highlight w:val="none"/>
        </w:rPr>
        <w:t>，属于</w:t>
      </w:r>
      <w:r>
        <w:rPr>
          <w:rFonts w:hint="eastAsia" w:ascii="宋体" w:hAnsi="宋体"/>
          <w:i/>
          <w:color w:val="auto"/>
          <w:sz w:val="24"/>
          <w:szCs w:val="22"/>
          <w:highlight w:val="none"/>
          <w:u w:val="single"/>
        </w:rPr>
        <w:t xml:space="preserve"> </w:t>
      </w:r>
      <w:r>
        <w:rPr>
          <w:rFonts w:ascii="宋体" w:hAnsi="宋体"/>
          <w:i/>
          <w:color w:val="auto"/>
          <w:sz w:val="24"/>
          <w:szCs w:val="22"/>
          <w:highlight w:val="none"/>
          <w:u w:val="single"/>
        </w:rPr>
        <w:t xml:space="preserve">       </w:t>
      </w:r>
      <w:r>
        <w:rPr>
          <w:rFonts w:ascii="宋体" w:hAnsi="宋体"/>
          <w:color w:val="auto"/>
          <w:sz w:val="24"/>
          <w:szCs w:val="22"/>
          <w:highlight w:val="none"/>
        </w:rPr>
        <w:t>行业；制造商为</w:t>
      </w:r>
      <w:r>
        <w:rPr>
          <w:rFonts w:ascii="宋体" w:hAnsi="宋体"/>
          <w:i/>
          <w:color w:val="auto"/>
          <w:sz w:val="24"/>
          <w:szCs w:val="22"/>
          <w:highlight w:val="none"/>
          <w:u w:val="single"/>
        </w:rPr>
        <w:t>（企业名称）</w:t>
      </w:r>
      <w:r>
        <w:rPr>
          <w:rFonts w:ascii="宋体" w:hAnsi="宋体"/>
          <w:color w:val="auto"/>
          <w:sz w:val="24"/>
          <w:szCs w:val="22"/>
          <w:highlight w:val="none"/>
        </w:rPr>
        <w:t>，从业人员</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rPr>
        <w:t>人，营业收入为</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rPr>
        <w:t>万元，资产总额为</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ascii="宋体" w:hAnsi="宋体"/>
          <w:color w:val="auto"/>
          <w:sz w:val="24"/>
          <w:szCs w:val="22"/>
          <w:highlight w:val="none"/>
        </w:rPr>
        <w:t>万元，属于</w:t>
      </w:r>
      <w:r>
        <w:rPr>
          <w:rFonts w:ascii="宋体" w:hAnsi="宋体"/>
          <w:i/>
          <w:color w:val="auto"/>
          <w:sz w:val="24"/>
          <w:szCs w:val="22"/>
          <w:highlight w:val="none"/>
          <w:u w:val="single"/>
        </w:rPr>
        <w:t>（中型企业、小型企业、微型企业</w:t>
      </w:r>
      <w:r>
        <w:rPr>
          <w:rFonts w:ascii="宋体" w:hAnsi="宋体"/>
          <w:i/>
          <w:color w:val="auto"/>
          <w:sz w:val="24"/>
          <w:szCs w:val="22"/>
          <w:highlight w:val="none"/>
        </w:rPr>
        <w:t>）</w:t>
      </w:r>
      <w:r>
        <w:rPr>
          <w:rFonts w:ascii="宋体" w:hAnsi="宋体"/>
          <w:color w:val="auto"/>
          <w:sz w:val="24"/>
          <w:szCs w:val="22"/>
          <w:highlight w:val="none"/>
        </w:rPr>
        <w:t>；</w:t>
      </w:r>
    </w:p>
    <w:p>
      <w:pPr>
        <w:adjustRightInd w:val="0"/>
        <w:snapToGrid w:val="0"/>
        <w:spacing w:line="360" w:lineRule="auto"/>
        <w:ind w:firstLine="484" w:firstLineChars="202"/>
        <w:jc w:val="left"/>
        <w:rPr>
          <w:rFonts w:hint="eastAsia" w:ascii="宋体" w:hAnsi="宋体" w:eastAsia="宋体"/>
          <w:color w:val="auto"/>
          <w:sz w:val="24"/>
          <w:szCs w:val="22"/>
          <w:highlight w:val="none"/>
          <w:lang w:eastAsia="zh-CN"/>
        </w:rPr>
      </w:pPr>
      <w:r>
        <w:rPr>
          <w:rFonts w:ascii="宋体" w:hAnsi="宋体"/>
          <w:color w:val="auto"/>
          <w:sz w:val="24"/>
          <w:szCs w:val="22"/>
          <w:highlight w:val="none"/>
        </w:rPr>
        <w:t xml:space="preserve">    ……</w:t>
      </w:r>
    </w:p>
    <w:p>
      <w:pPr>
        <w:adjustRightInd w:val="0"/>
        <w:snapToGrid w:val="0"/>
        <w:spacing w:line="360" w:lineRule="auto"/>
        <w:ind w:firstLine="484" w:firstLineChars="202"/>
        <w:jc w:val="left"/>
        <w:rPr>
          <w:rFonts w:hint="eastAsia" w:ascii="宋体" w:hAnsi="宋体" w:eastAsia="宋体"/>
          <w:color w:val="auto"/>
          <w:sz w:val="24"/>
          <w:szCs w:val="22"/>
          <w:highlight w:val="none"/>
          <w:lang w:eastAsia="zh-CN"/>
        </w:rPr>
      </w:pPr>
      <w:r>
        <w:rPr>
          <w:rFonts w:hint="eastAsia" w:ascii="宋体" w:hAnsi="宋体"/>
          <w:color w:val="auto"/>
          <w:sz w:val="24"/>
          <w:szCs w:val="22"/>
          <w:highlight w:val="none"/>
        </w:rPr>
        <w:t xml:space="preserve">    </w:t>
      </w:r>
      <w:r>
        <w:rPr>
          <w:rFonts w:ascii="宋体" w:hAnsi="宋体"/>
          <w:color w:val="auto"/>
          <w:sz w:val="24"/>
          <w:szCs w:val="22"/>
          <w:highlight w:val="none"/>
        </w:rPr>
        <w:t>以上企业，不属于大企业的分支机构，不存在控股股东为大企业的情形，也不存在与大企业的负责人为同一人的情形。</w:t>
      </w:r>
    </w:p>
    <w:p>
      <w:pPr>
        <w:adjustRightInd w:val="0"/>
        <w:snapToGrid w:val="0"/>
        <w:spacing w:line="360" w:lineRule="auto"/>
        <w:ind w:firstLine="484" w:firstLineChars="202"/>
        <w:jc w:val="left"/>
        <w:rPr>
          <w:rFonts w:hint="eastAsia" w:ascii="宋体" w:hAnsi="宋体" w:eastAsia="宋体"/>
          <w:color w:val="auto"/>
          <w:sz w:val="24"/>
          <w:szCs w:val="22"/>
          <w:highlight w:val="none"/>
          <w:lang w:eastAsia="zh-CN"/>
        </w:rPr>
      </w:pPr>
      <w:r>
        <w:rPr>
          <w:rFonts w:ascii="宋体" w:hAnsi="宋体"/>
          <w:color w:val="auto"/>
          <w:sz w:val="24"/>
          <w:szCs w:val="22"/>
          <w:highlight w:val="none"/>
        </w:rPr>
        <w:t xml:space="preserve">    本企业对上述声明内容的真实性负责。如有虚假，将依法承担相应责任。</w:t>
      </w:r>
    </w:p>
    <w:p>
      <w:pPr>
        <w:adjustRightInd w:val="0"/>
        <w:snapToGrid w:val="0"/>
        <w:spacing w:line="360" w:lineRule="auto"/>
        <w:ind w:firstLine="484" w:firstLineChars="202"/>
        <w:jc w:val="left"/>
        <w:rPr>
          <w:rFonts w:ascii="宋体" w:hAnsi="宋体"/>
          <w:color w:val="auto"/>
          <w:sz w:val="24"/>
          <w:szCs w:val="22"/>
          <w:highlight w:val="none"/>
        </w:rPr>
      </w:pPr>
      <w:r>
        <w:rPr>
          <w:rFonts w:ascii="宋体" w:hAnsi="宋体"/>
          <w:color w:val="auto"/>
          <w:sz w:val="24"/>
          <w:szCs w:val="22"/>
          <w:highlight w:val="none"/>
        </w:rPr>
        <w:t xml:space="preserve"> </w:t>
      </w:r>
    </w:p>
    <w:p>
      <w:pPr>
        <w:spacing w:line="360" w:lineRule="auto"/>
        <w:ind w:left="5280" w:leftChars="2200"/>
        <w:rPr>
          <w:rFonts w:hint="eastAsia" w:ascii="宋体" w:hAnsi="宋体" w:eastAsia="宋体"/>
          <w:color w:val="auto"/>
          <w:sz w:val="24"/>
          <w:szCs w:val="22"/>
          <w:highlight w:val="none"/>
          <w:lang w:eastAsia="zh-CN"/>
        </w:rPr>
      </w:pPr>
      <w:r>
        <w:rPr>
          <w:rFonts w:ascii="宋体" w:hAnsi="宋体"/>
          <w:color w:val="auto"/>
          <w:sz w:val="24"/>
          <w:szCs w:val="22"/>
          <w:highlight w:val="none"/>
        </w:rPr>
        <w:t>企业名称（盖章）：</w:t>
      </w:r>
    </w:p>
    <w:p>
      <w:pPr>
        <w:spacing w:line="360" w:lineRule="auto"/>
        <w:ind w:left="5280" w:leftChars="2200"/>
        <w:rPr>
          <w:rFonts w:ascii="宋体" w:hAnsi="宋体"/>
          <w:color w:val="auto"/>
          <w:sz w:val="24"/>
          <w:szCs w:val="22"/>
          <w:highlight w:val="none"/>
        </w:rPr>
      </w:pPr>
      <w:r>
        <w:rPr>
          <w:rFonts w:ascii="宋体" w:hAnsi="宋体"/>
          <w:color w:val="auto"/>
          <w:sz w:val="24"/>
          <w:szCs w:val="22"/>
          <w:highlight w:val="none"/>
        </w:rPr>
        <w:t>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val="en-US" w:eastAsia="zh-CN"/>
        </w:rPr>
        <w:t>1.</w:t>
      </w:r>
      <w:r>
        <w:rPr>
          <w:rFonts w:hint="eastAsia" w:ascii="宋体" w:hAnsi="宋体"/>
          <w:color w:val="auto"/>
          <w:sz w:val="24"/>
          <w:highlight w:val="none"/>
        </w:rPr>
        <w:t>从业人员、营业收入、资产总额填报上一年度数据，无上一年度数据的新成立企业可不填报。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52" w:firstLineChars="100"/>
        <w:textAlignment w:val="auto"/>
        <w:rPr>
          <w:rFonts w:hint="eastAsia" w:ascii="宋体" w:hAnsi="宋体"/>
          <w:color w:val="auto"/>
          <w:sz w:val="24"/>
          <w:highlight w:val="none"/>
        </w:rPr>
      </w:pPr>
      <w:r>
        <w:rPr>
          <w:rFonts w:hint="eastAsia" w:ascii="宋体" w:hAnsi="宋体" w:eastAsia="宋体" w:cs="宋体"/>
          <w:color w:val="auto"/>
          <w:spacing w:val="6"/>
          <w:sz w:val="24"/>
          <w:szCs w:val="24"/>
          <w:highlight w:val="none"/>
          <w:lang w:val="en-US" w:eastAsia="zh-CN"/>
        </w:rPr>
        <w:t>3.本项目</w:t>
      </w:r>
      <w:r>
        <w:rPr>
          <w:rFonts w:hint="eastAsia" w:ascii="宋体" w:hAnsi="宋体" w:eastAsia="宋体" w:cs="宋体"/>
          <w:color w:val="auto"/>
          <w:spacing w:val="6"/>
          <w:sz w:val="24"/>
          <w:szCs w:val="24"/>
          <w:highlight w:val="none"/>
        </w:rPr>
        <w:t>采购标的对应的中小企业划分标准所属行业为</w:t>
      </w:r>
      <w:r>
        <w:rPr>
          <w:rFonts w:hint="eastAsia" w:ascii="宋体" w:hAnsi="宋体" w:eastAsia="宋体" w:cs="宋体"/>
          <w:color w:val="auto"/>
          <w:spacing w:val="6"/>
          <w:sz w:val="24"/>
          <w:szCs w:val="24"/>
          <w:highlight w:val="none"/>
          <w:u w:val="single"/>
          <w:lang w:val="en-US" w:eastAsia="zh-CN"/>
        </w:rPr>
        <w:t>工业</w:t>
      </w:r>
      <w:r>
        <w:rPr>
          <w:rFonts w:hint="eastAsia" w:ascii="宋体" w:hAnsi="宋体" w:eastAsia="宋体" w:cs="宋体"/>
          <w:color w:val="auto"/>
          <w:spacing w:val="6"/>
          <w:sz w:val="24"/>
          <w:szCs w:val="24"/>
          <w:highlight w:val="none"/>
          <w:u w:val="none"/>
          <w:lang w:val="en-US" w:eastAsia="zh-CN"/>
        </w:rPr>
        <w:t>。（所属行业类别投标人不得更改，否则，造成不利影响投标人自行承担）</w:t>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2．残疾人福利性单位声明函</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说明：当且仅当</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为残疾人福利性单位的，应按下文给定格式填写声明函。未提供或未按给定格式提供声明函的，将不能享受招标文件规定的价格优惠政策，但不影响投标文件的有效性。</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在填报前请认真阅读《财政部、民政部、中国残疾人联合会关于促进残疾人就业政府采购政策的通知》（财库〔2017〕141号）相关规定。</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5"/>
        <w:outlineLvl w:val="4"/>
        <w:rPr>
          <w:rFonts w:hint="eastAsia" w:ascii="宋体" w:hAnsi="宋体" w:eastAsia="宋体" w:cs="宋体"/>
          <w:color w:val="auto"/>
          <w:sz w:val="24"/>
          <w:szCs w:val="24"/>
          <w:highlight w:val="none"/>
        </w:rPr>
      </w:pPr>
      <w:bookmarkStart w:id="158" w:name="_Toc22185"/>
      <w:r>
        <w:rPr>
          <w:rFonts w:hint="eastAsia" w:ascii="宋体" w:hAnsi="宋体" w:eastAsia="宋体" w:cs="宋体"/>
          <w:color w:val="auto"/>
          <w:sz w:val="24"/>
          <w:szCs w:val="24"/>
          <w:highlight w:val="none"/>
        </w:rPr>
        <w:t>残疾人福利性单位声明函（格式）</w:t>
      </w:r>
      <w:bookmarkEnd w:id="158"/>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或者提供其他残疾人福利性单位制造的货物（不包括使用非残疾人福利性单位注册商标的货物）。</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2445" w:firstLineChars="10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2445" w:firstLineChars="10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3．监狱企业证明函</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说明：当且仅当</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监狱企业证明函</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rPr>
          <w:rFonts w:hint="eastAsia" w:ascii="宋体" w:hAnsi="宋体" w:eastAsia="宋体" w:cs="宋体"/>
          <w:color w:val="auto"/>
          <w:sz w:val="24"/>
          <w:szCs w:val="24"/>
          <w:highlight w:val="none"/>
        </w:rPr>
      </w:pPr>
      <w:bookmarkStart w:id="159" w:name="_Toc21046"/>
      <w:r>
        <w:rPr>
          <w:rFonts w:hint="eastAsia" w:ascii="宋体" w:hAnsi="宋体" w:eastAsia="宋体" w:cs="宋体"/>
          <w:color w:val="auto"/>
          <w:sz w:val="24"/>
          <w:szCs w:val="24"/>
          <w:highlight w:val="none"/>
        </w:rPr>
        <w:t xml:space="preserve">第五部分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参加政府采购活动承诺书</w:t>
      </w:r>
      <w:bookmarkEnd w:id="159"/>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未签署下列承诺书的，将被视为无效投标，其责任由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pPr>
        <w:pStyle w:val="5"/>
        <w:rPr>
          <w:rFonts w:hint="eastAsia" w:ascii="宋体" w:hAnsi="宋体" w:eastAsia="宋体" w:cs="宋体"/>
          <w:color w:val="auto"/>
          <w:sz w:val="24"/>
          <w:szCs w:val="24"/>
          <w:highlight w:val="none"/>
        </w:rPr>
      </w:pPr>
      <w:bookmarkStart w:id="160" w:name="_Toc9294"/>
      <w:r>
        <w:rPr>
          <w:rFonts w:hint="eastAsia" w:ascii="宋体" w:hAnsi="宋体" w:eastAsia="宋体" w:cs="宋体"/>
          <w:color w:val="auto"/>
          <w:sz w:val="24"/>
          <w:szCs w:val="24"/>
          <w:highlight w:val="none"/>
        </w:rPr>
        <w:t>（一）质量安全责任承诺书</w:t>
      </w:r>
      <w:bookmarkEnd w:id="160"/>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为保证本采购项目顺利进行，作为</w:t>
      </w:r>
      <w:r>
        <w:rPr>
          <w:rFonts w:hint="eastAsia" w:ascii="宋体" w:hAnsi="宋体" w:eastAsia="宋体" w:cs="宋体"/>
          <w:color w:val="auto"/>
          <w:sz w:val="24"/>
          <w:szCs w:val="24"/>
          <w:highlight w:val="none"/>
          <w:lang w:eastAsia="zh-CN"/>
        </w:rPr>
        <w:t xml:space="preserve">投标人 </w:t>
      </w:r>
      <w:r>
        <w:rPr>
          <w:rFonts w:hint="eastAsia" w:ascii="宋体" w:hAnsi="宋体" w:eastAsia="宋体" w:cs="宋体"/>
          <w:color w:val="auto"/>
          <w:sz w:val="24"/>
          <w:szCs w:val="24"/>
          <w:highlight w:val="none"/>
        </w:rPr>
        <w:t>，现郑重承诺：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1．我方所投产品的生产（包括设计、制造、安装、改造、维修等）、投入使用的材料等均完全符合国家现行质量、安全、环保标准和要求。</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3．对于因产品生产质量以及储存、运输、安装调试、服务、施工等过程中产生的任何安全事故，我方承担全部责任。</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2656" w:firstLineChars="110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2656" w:firstLineChars="110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spacing w:line="560" w:lineRule="exact"/>
        <w:ind w:firstLine="480" w:firstLineChars="200"/>
        <w:jc w:val="both"/>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61" w:name="_Toc20474"/>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（二）参加政府采购活动行为自律承诺书</w:t>
      </w:r>
      <w:bookmarkEnd w:id="161"/>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作为参加本次政府采购项目的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，我方郑重承诺在参与政府采购活动中遵纪守法、公平竞争、诚实守信，如有违反愿承担一切责任及后果：</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1．不与采购人、采购代理机构、政府采购评审专家恶意串通，不向其行贿或提供其他不正当利益；</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2．不与其他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恶意串通，采取“围标、串标、陪标”等商业欺诈手段谋取中标、成交；</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4．不采取不正当手段诋毁、排挤其他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5．不以不正当理由拒不与采购人签订政府采购合同，或逾期签订政府采购合同，或不按照采购文件确定的事项签订政府采购合同；</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6．不以不正当理由拒绝履行合同义务，不会擅自变更、中止或者终止政府采购合同或将政府采购合同转包；</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7．不在提供商品、服务或工程施工过程中提供假冒伪劣产品，损害采购人的合法权益或公共利益；</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8．不采取捏造事实、提供虚假材料或者以非法手段取得证明材料进行质疑和投诉；</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9．不发生其他有悖于政府采购公开、公平、公正和诚信原则的行为。</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10．尊重和接受政府采购监督管理部门的监督和采购人、采购代理机构的政府采购工作要求，愿意承担因违约行为给采购人造成的损失。</w:t>
      </w:r>
    </w:p>
    <w:p>
      <w:pPr>
        <w:spacing w:line="560" w:lineRule="exact"/>
        <w:ind w:firstLine="2656" w:firstLineChars="110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2656" w:firstLineChars="110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rPr>
          <w:rFonts w:hint="eastAsia" w:ascii="宋体" w:hAnsi="宋体" w:eastAsia="宋体" w:cs="宋体"/>
          <w:color w:val="auto"/>
          <w:sz w:val="24"/>
          <w:szCs w:val="24"/>
          <w:highlight w:val="none"/>
        </w:rPr>
      </w:pPr>
      <w:bookmarkStart w:id="162" w:name="_Toc22151"/>
      <w:r>
        <w:rPr>
          <w:rFonts w:hint="eastAsia" w:ascii="宋体" w:hAnsi="宋体" w:eastAsia="宋体" w:cs="宋体"/>
          <w:color w:val="auto"/>
          <w:sz w:val="24"/>
          <w:szCs w:val="24"/>
          <w:highlight w:val="none"/>
        </w:rPr>
        <w:t>第六部分  投标方案</w:t>
      </w:r>
      <w:bookmarkEnd w:id="162"/>
    </w:p>
    <w:p>
      <w:pPr>
        <w:rPr>
          <w:rFonts w:hint="eastAsia" w:ascii="宋体" w:hAnsi="宋体" w:eastAsia="宋体" w:cs="宋体"/>
          <w:color w:val="auto"/>
          <w:sz w:val="24"/>
          <w:szCs w:val="24"/>
          <w:highlight w:val="none"/>
        </w:rPr>
      </w:pPr>
    </w:p>
    <w:p>
      <w:pPr>
        <w:pStyle w:val="93"/>
        <w:spacing w:before="210" w:after="210"/>
        <w:ind w:firstLine="640"/>
        <w:outlineLvl w:val="2"/>
        <w:rPr>
          <w:rFonts w:hint="eastAsia" w:ascii="宋体" w:hAnsi="宋体" w:eastAsia="宋体" w:cs="宋体"/>
          <w:color w:val="auto"/>
          <w:sz w:val="24"/>
          <w:szCs w:val="24"/>
          <w:highlight w:val="none"/>
        </w:rPr>
      </w:pPr>
      <w:bookmarkStart w:id="163" w:name="_Toc6111"/>
      <w:r>
        <w:rPr>
          <w:rFonts w:hint="eastAsia" w:ascii="宋体" w:hAnsi="宋体" w:eastAsia="宋体" w:cs="宋体"/>
          <w:color w:val="auto"/>
          <w:sz w:val="24"/>
          <w:szCs w:val="24"/>
          <w:highlight w:val="none"/>
        </w:rPr>
        <w:t>（一）技术要求响应索引表</w:t>
      </w:r>
      <w:bookmarkEnd w:id="163"/>
    </w:p>
    <w:tbl>
      <w:tblPr>
        <w:tblStyle w:val="25"/>
        <w:tblW w:w="908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41"/>
        <w:gridCol w:w="2826"/>
        <w:gridCol w:w="2940"/>
        <w:gridCol w:w="1287"/>
        <w:gridCol w:w="12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826" w:type="dxa"/>
            <w:tcBorders>
              <w:top w:val="single" w:color="auto" w:sz="12" w:space="0"/>
              <w:bottom w:val="single" w:color="auto" w:sz="2" w:space="0"/>
            </w:tcBorders>
            <w:shd w:val="clear" w:color="auto" w:fill="F1F1F1" w:themeFill="background1" w:themeFillShade="F2"/>
            <w:vAlign w:val="center"/>
          </w:tcPr>
          <w:p>
            <w:pPr>
              <w:spacing w:line="360" w:lineRule="exact"/>
              <w:ind w:left="240" w:leftChars="100"/>
              <w:jc w:val="center"/>
              <w:rPr>
                <w:rFonts w:hint="eastAsia" w:ascii="宋体" w:hAnsi="宋体" w:eastAsia="宋体" w:cs="宋体"/>
                <w:b/>
                <w:szCs w:val="24"/>
                <w:highlight w:val="none"/>
              </w:rPr>
            </w:pPr>
            <w:r>
              <w:rPr>
                <w:rFonts w:hint="eastAsia" w:ascii="宋体" w:hAnsi="宋体" w:eastAsia="宋体" w:cs="宋体"/>
                <w:b/>
                <w:szCs w:val="24"/>
                <w:highlight w:val="none"/>
              </w:rPr>
              <w:t>招标文件</w:t>
            </w:r>
          </w:p>
          <w:p>
            <w:pPr>
              <w:spacing w:line="360" w:lineRule="exact"/>
              <w:ind w:left="240" w:leftChars="100"/>
              <w:jc w:val="center"/>
              <w:rPr>
                <w:rFonts w:hint="eastAsia" w:ascii="宋体" w:hAnsi="宋体" w:eastAsia="宋体" w:cs="宋体"/>
                <w:b/>
                <w:bCs/>
                <w:color w:val="auto"/>
                <w:sz w:val="24"/>
                <w:szCs w:val="24"/>
                <w:highlight w:val="none"/>
              </w:rPr>
            </w:pPr>
            <w:r>
              <w:rPr>
                <w:rFonts w:hint="eastAsia" w:ascii="宋体" w:hAnsi="宋体" w:eastAsia="宋体" w:cs="宋体"/>
                <w:b/>
                <w:bCs/>
                <w:sz w:val="24"/>
                <w:highlight w:val="none"/>
                <w:lang w:eastAsia="zh-CN"/>
              </w:rPr>
              <w:t>招标内容及要求</w:t>
            </w:r>
          </w:p>
        </w:tc>
        <w:tc>
          <w:tcPr>
            <w:tcW w:w="2940" w:type="dxa"/>
            <w:tcBorders>
              <w:top w:val="single" w:color="auto" w:sz="12" w:space="0"/>
              <w:bottom w:val="single" w:color="auto" w:sz="2" w:space="0"/>
            </w:tcBorders>
            <w:shd w:val="clear" w:color="auto" w:fill="F1F1F1" w:themeFill="background1" w:themeFillShade="F2"/>
            <w:vAlign w:val="center"/>
          </w:tcPr>
          <w:p>
            <w:pPr>
              <w:spacing w:line="360" w:lineRule="exact"/>
              <w:jc w:val="center"/>
              <w:rPr>
                <w:rFonts w:hint="eastAsia" w:ascii="宋体" w:hAnsi="宋体" w:eastAsia="宋体" w:cs="宋体"/>
                <w:b/>
                <w:szCs w:val="24"/>
                <w:highlight w:val="none"/>
              </w:rPr>
            </w:pPr>
            <w:r>
              <w:rPr>
                <w:rFonts w:hint="eastAsia" w:ascii="宋体" w:hAnsi="宋体" w:eastAsia="宋体" w:cs="宋体"/>
                <w:b/>
                <w:szCs w:val="24"/>
                <w:highlight w:val="none"/>
              </w:rPr>
              <w:t>投标文件</w:t>
            </w:r>
          </w:p>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szCs w:val="24"/>
                <w:highlight w:val="none"/>
              </w:rPr>
              <w:t>技术响应</w:t>
            </w:r>
          </w:p>
        </w:tc>
        <w:tc>
          <w:tcPr>
            <w:tcW w:w="1287" w:type="dxa"/>
            <w:tcBorders>
              <w:top w:val="single" w:color="auto" w:sz="12" w:space="0"/>
              <w:bottom w:val="single" w:color="auto" w:sz="2" w:space="0"/>
            </w:tcBorders>
            <w:shd w:val="clear" w:color="auto" w:fill="F1F1F1" w:themeFill="background1" w:themeFillShade="F2"/>
            <w:vAlign w:val="center"/>
          </w:tcPr>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szCs w:val="24"/>
                <w:highlight w:val="none"/>
                <w:lang w:eastAsia="zh-CN"/>
              </w:rPr>
              <w:t>响应情况</w:t>
            </w:r>
          </w:p>
        </w:tc>
        <w:tc>
          <w:tcPr>
            <w:tcW w:w="1287" w:type="dxa"/>
            <w:tcBorders>
              <w:top w:val="single" w:color="auto" w:sz="12" w:space="0"/>
              <w:bottom w:val="single" w:color="auto" w:sz="2" w:space="0"/>
            </w:tcBorders>
            <w:shd w:val="clear" w:color="auto" w:fill="F1F1F1" w:themeFill="background1" w:themeFillShade="F2"/>
            <w:vAlign w:val="center"/>
          </w:tcPr>
          <w:p>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szCs w:val="24"/>
                <w:highlight w:val="none"/>
                <w:lang w:eastAsia="zh-CN"/>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2826"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2940"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1287"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1287" w:type="dxa"/>
            <w:tcBorders>
              <w:top w:val="single" w:color="auto" w:sz="2"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vAlign w:val="center"/>
          </w:tcPr>
          <w:p>
            <w:pPr>
              <w:jc w:val="center"/>
              <w:rPr>
                <w:rFonts w:hint="eastAsia" w:ascii="宋体" w:hAnsi="宋体" w:eastAsia="宋体" w:cs="宋体"/>
                <w:color w:val="auto"/>
                <w:sz w:val="24"/>
                <w:szCs w:val="24"/>
                <w:highlight w:val="none"/>
              </w:rPr>
            </w:pPr>
          </w:p>
        </w:tc>
        <w:tc>
          <w:tcPr>
            <w:tcW w:w="2826" w:type="dxa"/>
            <w:vAlign w:val="center"/>
          </w:tcPr>
          <w:p>
            <w:pPr>
              <w:jc w:val="center"/>
              <w:rPr>
                <w:rFonts w:hint="eastAsia" w:ascii="宋体" w:hAnsi="宋体" w:eastAsia="宋体" w:cs="宋体"/>
                <w:color w:val="auto"/>
                <w:sz w:val="24"/>
                <w:szCs w:val="24"/>
                <w:highlight w:val="none"/>
              </w:rPr>
            </w:pPr>
          </w:p>
        </w:tc>
        <w:tc>
          <w:tcPr>
            <w:tcW w:w="2940"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vAlign w:val="center"/>
          </w:tcPr>
          <w:p>
            <w:pPr>
              <w:jc w:val="center"/>
              <w:rPr>
                <w:rFonts w:hint="eastAsia" w:ascii="宋体" w:hAnsi="宋体" w:eastAsia="宋体" w:cs="宋体"/>
                <w:color w:val="auto"/>
                <w:sz w:val="24"/>
                <w:szCs w:val="24"/>
                <w:highlight w:val="none"/>
              </w:rPr>
            </w:pPr>
          </w:p>
        </w:tc>
        <w:tc>
          <w:tcPr>
            <w:tcW w:w="2826" w:type="dxa"/>
            <w:vAlign w:val="center"/>
          </w:tcPr>
          <w:p>
            <w:pPr>
              <w:jc w:val="center"/>
              <w:rPr>
                <w:rFonts w:hint="eastAsia" w:ascii="宋体" w:hAnsi="宋体" w:eastAsia="宋体" w:cs="宋体"/>
                <w:color w:val="auto"/>
                <w:sz w:val="24"/>
                <w:szCs w:val="24"/>
                <w:highlight w:val="none"/>
              </w:rPr>
            </w:pPr>
          </w:p>
        </w:tc>
        <w:tc>
          <w:tcPr>
            <w:tcW w:w="2940"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vAlign w:val="center"/>
          </w:tcPr>
          <w:p>
            <w:pPr>
              <w:jc w:val="center"/>
              <w:rPr>
                <w:rFonts w:hint="eastAsia" w:ascii="宋体" w:hAnsi="宋体" w:eastAsia="宋体" w:cs="宋体"/>
                <w:color w:val="auto"/>
                <w:sz w:val="24"/>
                <w:szCs w:val="24"/>
                <w:highlight w:val="none"/>
              </w:rPr>
            </w:pPr>
          </w:p>
        </w:tc>
        <w:tc>
          <w:tcPr>
            <w:tcW w:w="2826" w:type="dxa"/>
            <w:vAlign w:val="center"/>
          </w:tcPr>
          <w:p>
            <w:pPr>
              <w:jc w:val="center"/>
              <w:rPr>
                <w:rFonts w:hint="eastAsia" w:ascii="宋体" w:hAnsi="宋体" w:eastAsia="宋体" w:cs="宋体"/>
                <w:color w:val="auto"/>
                <w:sz w:val="24"/>
                <w:szCs w:val="24"/>
                <w:highlight w:val="none"/>
              </w:rPr>
            </w:pPr>
          </w:p>
        </w:tc>
        <w:tc>
          <w:tcPr>
            <w:tcW w:w="2940"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vAlign w:val="center"/>
          </w:tcPr>
          <w:p>
            <w:pPr>
              <w:jc w:val="center"/>
              <w:rPr>
                <w:rFonts w:hint="eastAsia" w:ascii="宋体" w:hAnsi="宋体" w:eastAsia="宋体" w:cs="宋体"/>
                <w:color w:val="auto"/>
                <w:sz w:val="24"/>
                <w:szCs w:val="24"/>
                <w:highlight w:val="none"/>
              </w:rPr>
            </w:pPr>
          </w:p>
        </w:tc>
        <w:tc>
          <w:tcPr>
            <w:tcW w:w="2826" w:type="dxa"/>
            <w:vAlign w:val="center"/>
          </w:tcPr>
          <w:p>
            <w:pPr>
              <w:jc w:val="center"/>
              <w:rPr>
                <w:rFonts w:hint="eastAsia" w:ascii="宋体" w:hAnsi="宋体" w:eastAsia="宋体" w:cs="宋体"/>
                <w:color w:val="auto"/>
                <w:sz w:val="24"/>
                <w:szCs w:val="24"/>
                <w:highlight w:val="none"/>
              </w:rPr>
            </w:pPr>
          </w:p>
        </w:tc>
        <w:tc>
          <w:tcPr>
            <w:tcW w:w="2940"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vAlign w:val="center"/>
          </w:tcPr>
          <w:p>
            <w:pPr>
              <w:jc w:val="center"/>
              <w:rPr>
                <w:rFonts w:hint="eastAsia" w:ascii="宋体" w:hAnsi="宋体" w:eastAsia="宋体" w:cs="宋体"/>
                <w:color w:val="auto"/>
                <w:sz w:val="24"/>
                <w:szCs w:val="24"/>
                <w:highlight w:val="none"/>
              </w:rPr>
            </w:pPr>
          </w:p>
        </w:tc>
        <w:tc>
          <w:tcPr>
            <w:tcW w:w="2826" w:type="dxa"/>
            <w:vAlign w:val="center"/>
          </w:tcPr>
          <w:p>
            <w:pPr>
              <w:jc w:val="center"/>
              <w:rPr>
                <w:rFonts w:hint="eastAsia" w:ascii="宋体" w:hAnsi="宋体" w:eastAsia="宋体" w:cs="宋体"/>
                <w:color w:val="auto"/>
                <w:sz w:val="24"/>
                <w:szCs w:val="24"/>
                <w:highlight w:val="none"/>
              </w:rPr>
            </w:pPr>
          </w:p>
        </w:tc>
        <w:tc>
          <w:tcPr>
            <w:tcW w:w="2940"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c>
          <w:tcPr>
            <w:tcW w:w="1287"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741"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8340" w:type="dxa"/>
            <w:gridSpan w:val="4"/>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第三章招标内容及要求</w:t>
            </w:r>
            <w:r>
              <w:rPr>
                <w:rFonts w:hint="eastAsia" w:ascii="宋体" w:hAnsi="宋体" w:eastAsia="宋体" w:cs="宋体"/>
                <w:color w:val="auto"/>
                <w:sz w:val="24"/>
                <w:szCs w:val="24"/>
                <w:highlight w:val="none"/>
                <w:u w:val="none"/>
                <w:lang w:eastAsia="zh-CN"/>
              </w:rPr>
              <w:t>中的</w:t>
            </w:r>
            <w:r>
              <w:rPr>
                <w:rFonts w:hint="eastAsia" w:ascii="宋体" w:hAnsi="宋体" w:eastAsia="宋体" w:cs="宋体"/>
                <w:b/>
                <w:bCs/>
                <w:color w:val="auto"/>
                <w:sz w:val="24"/>
                <w:szCs w:val="24"/>
                <w:highlight w:val="none"/>
                <w:u w:val="none"/>
                <w:lang w:eastAsia="zh-CN"/>
              </w:rPr>
              <w:t>一、</w:t>
            </w:r>
            <w:r>
              <w:rPr>
                <w:rFonts w:hint="eastAsia" w:ascii="宋体" w:hAnsi="宋体" w:eastAsia="宋体" w:cs="宋体"/>
                <w:b w:val="0"/>
                <w:bCs w:val="0"/>
                <w:color w:val="000000" w:themeColor="text1"/>
                <w:sz w:val="24"/>
                <w:szCs w:val="24"/>
                <w:lang w:val="en-US" w:eastAsia="zh-CN"/>
                <w14:textFill>
                  <w14:solidFill>
                    <w14:schemeClr w14:val="tx1"/>
                  </w14:solidFill>
                </w14:textFill>
              </w:rPr>
              <w:t>技术参数</w:t>
            </w:r>
            <w:r>
              <w:rPr>
                <w:rFonts w:hint="eastAsia" w:ascii="宋体" w:hAnsi="宋体" w:eastAsia="宋体" w:cs="宋体"/>
                <w:color w:val="auto"/>
                <w:sz w:val="24"/>
                <w:szCs w:val="24"/>
                <w:highlight w:val="none"/>
                <w:lang w:eastAsia="zh-CN"/>
              </w:rPr>
              <w:t>》逐条做出</w:t>
            </w:r>
            <w:bookmarkStart w:id="167" w:name="_GoBack"/>
            <w:bookmarkEnd w:id="167"/>
            <w:r>
              <w:rPr>
                <w:rFonts w:hint="eastAsia" w:ascii="宋体" w:hAnsi="宋体" w:eastAsia="宋体" w:cs="宋体"/>
                <w:color w:val="auto"/>
                <w:sz w:val="24"/>
                <w:szCs w:val="24"/>
                <w:highlight w:val="none"/>
              </w:rPr>
              <w:t>响应。</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2．响应说明按实际响应情况填写“优于”、“响应”、“不响应”。</w:t>
            </w:r>
          </w:p>
        </w:tc>
      </w:tr>
    </w:tbl>
    <w:p>
      <w:pPr>
        <w:spacing w:line="560" w:lineRule="exact"/>
        <w:ind w:firstLine="2762" w:firstLineChars="115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rPr>
          <w:rFonts w:hint="eastAsia" w:ascii="宋体" w:hAnsi="宋体" w:eastAsia="宋体" w:cs="宋体"/>
          <w:color w:val="auto"/>
          <w:sz w:val="24"/>
          <w:szCs w:val="24"/>
          <w:highlight w:val="yellow"/>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93"/>
        <w:spacing w:before="210" w:after="210"/>
        <w:ind w:firstLine="640"/>
        <w:outlineLvl w:val="2"/>
        <w:rPr>
          <w:rFonts w:hint="eastAsia" w:ascii="宋体" w:hAnsi="宋体" w:eastAsia="宋体" w:cs="宋体"/>
          <w:sz w:val="24"/>
          <w:szCs w:val="24"/>
          <w:highlight w:val="none"/>
        </w:rPr>
      </w:pPr>
      <w:bookmarkStart w:id="164" w:name="_Toc16334"/>
      <w:bookmarkStart w:id="165" w:name="_Toc846"/>
      <w:r>
        <w:rPr>
          <w:rFonts w:hint="eastAsia" w:ascii="宋体" w:hAnsi="宋体" w:eastAsia="宋体" w:cs="宋体"/>
          <w:sz w:val="24"/>
          <w:szCs w:val="24"/>
          <w:highlight w:val="none"/>
        </w:rPr>
        <w:t>（二）商务要求响应索引表</w:t>
      </w:r>
      <w:bookmarkEnd w:id="164"/>
    </w:p>
    <w:tbl>
      <w:tblPr>
        <w:tblStyle w:val="2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3"/>
        <w:gridCol w:w="3215"/>
        <w:gridCol w:w="3345"/>
        <w:gridCol w:w="14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12" w:space="0"/>
              <w:bottom w:val="single" w:color="auto" w:sz="2" w:space="0"/>
            </w:tcBorders>
            <w:shd w:val="clear" w:color="auto" w:fill="F1F1F1"/>
            <w:noWrap w:val="0"/>
            <w:vAlign w:val="center"/>
          </w:tcPr>
          <w:p>
            <w:pPr>
              <w:spacing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381" w:type="dxa"/>
            <w:tcBorders>
              <w:top w:val="single" w:color="auto" w:sz="12" w:space="0"/>
              <w:bottom w:val="single" w:color="auto" w:sz="2" w:space="0"/>
            </w:tcBorders>
            <w:shd w:val="clear" w:color="auto" w:fill="F1F1F1"/>
            <w:noWrap w:val="0"/>
            <w:vAlign w:val="center"/>
          </w:tcPr>
          <w:p>
            <w:pPr>
              <w:spacing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招标文件条款明细</w:t>
            </w:r>
          </w:p>
        </w:tc>
        <w:tc>
          <w:tcPr>
            <w:tcW w:w="3519" w:type="dxa"/>
            <w:tcBorders>
              <w:top w:val="single" w:color="auto" w:sz="12" w:space="0"/>
              <w:bottom w:val="single" w:color="auto" w:sz="2" w:space="0"/>
            </w:tcBorders>
            <w:shd w:val="clear" w:color="auto" w:fill="F1F1F1"/>
            <w:noWrap w:val="0"/>
            <w:vAlign w:val="center"/>
          </w:tcPr>
          <w:p>
            <w:pPr>
              <w:spacing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响应索引</w:t>
            </w:r>
          </w:p>
        </w:tc>
        <w:tc>
          <w:tcPr>
            <w:tcW w:w="1526" w:type="dxa"/>
            <w:tcBorders>
              <w:top w:val="single" w:color="auto" w:sz="12" w:space="0"/>
              <w:bottom w:val="single" w:color="auto" w:sz="2" w:space="0"/>
            </w:tcBorders>
            <w:shd w:val="clear" w:color="auto" w:fill="F1F1F1"/>
            <w:noWrap w:val="0"/>
            <w:vAlign w:val="center"/>
          </w:tcPr>
          <w:p>
            <w:pPr>
              <w:spacing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2" w:space="0"/>
            </w:tcBorders>
            <w:noWrap w:val="0"/>
            <w:vAlign w:val="center"/>
          </w:tcPr>
          <w:p>
            <w:pPr>
              <w:spacing w:line="560" w:lineRule="exact"/>
              <w:jc w:val="center"/>
              <w:rPr>
                <w:rFonts w:hint="eastAsia" w:ascii="宋体" w:hAnsi="宋体" w:eastAsia="宋体" w:cs="宋体"/>
                <w:sz w:val="24"/>
                <w:szCs w:val="24"/>
                <w:highlight w:val="none"/>
              </w:rPr>
            </w:pPr>
          </w:p>
        </w:tc>
        <w:tc>
          <w:tcPr>
            <w:tcW w:w="3381" w:type="dxa"/>
            <w:tcBorders>
              <w:top w:val="single" w:color="auto" w:sz="2" w:space="0"/>
            </w:tcBorders>
            <w:noWrap w:val="0"/>
            <w:vAlign w:val="center"/>
          </w:tcPr>
          <w:p>
            <w:pPr>
              <w:spacing w:line="560" w:lineRule="exact"/>
              <w:jc w:val="center"/>
              <w:rPr>
                <w:rFonts w:hint="eastAsia" w:ascii="宋体" w:hAnsi="宋体" w:eastAsia="宋体" w:cs="宋体"/>
                <w:sz w:val="24"/>
                <w:szCs w:val="24"/>
                <w:highlight w:val="none"/>
              </w:rPr>
            </w:pPr>
          </w:p>
        </w:tc>
        <w:tc>
          <w:tcPr>
            <w:tcW w:w="3519" w:type="dxa"/>
            <w:tcBorders>
              <w:top w:val="single" w:color="auto" w:sz="2" w:space="0"/>
            </w:tcBorders>
            <w:noWrap w:val="0"/>
            <w:vAlign w:val="center"/>
          </w:tcPr>
          <w:p>
            <w:pPr>
              <w:spacing w:line="560" w:lineRule="exact"/>
              <w:jc w:val="center"/>
              <w:rPr>
                <w:rFonts w:hint="eastAsia" w:ascii="宋体" w:hAnsi="宋体" w:eastAsia="宋体" w:cs="宋体"/>
                <w:sz w:val="24"/>
                <w:szCs w:val="24"/>
                <w:highlight w:val="none"/>
              </w:rPr>
            </w:pPr>
          </w:p>
        </w:tc>
        <w:tc>
          <w:tcPr>
            <w:tcW w:w="1526" w:type="dxa"/>
            <w:tcBorders>
              <w:top w:val="single" w:color="auto" w:sz="2" w:space="0"/>
            </w:tcBorders>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noWrap w:val="0"/>
            <w:vAlign w:val="center"/>
          </w:tcPr>
          <w:p>
            <w:pPr>
              <w:spacing w:line="560" w:lineRule="exact"/>
              <w:jc w:val="center"/>
              <w:rPr>
                <w:rFonts w:hint="eastAsia" w:ascii="宋体" w:hAnsi="宋体" w:eastAsia="宋体" w:cs="宋体"/>
                <w:sz w:val="24"/>
                <w:szCs w:val="24"/>
                <w:highlight w:val="none"/>
              </w:rPr>
            </w:pPr>
          </w:p>
        </w:tc>
        <w:tc>
          <w:tcPr>
            <w:tcW w:w="3381" w:type="dxa"/>
            <w:noWrap w:val="0"/>
            <w:vAlign w:val="center"/>
          </w:tcPr>
          <w:p>
            <w:pPr>
              <w:spacing w:line="560" w:lineRule="exact"/>
              <w:jc w:val="center"/>
              <w:rPr>
                <w:rFonts w:hint="eastAsia" w:ascii="宋体" w:hAnsi="宋体" w:eastAsia="宋体" w:cs="宋体"/>
                <w:sz w:val="24"/>
                <w:szCs w:val="24"/>
                <w:highlight w:val="none"/>
              </w:rPr>
            </w:pPr>
          </w:p>
        </w:tc>
        <w:tc>
          <w:tcPr>
            <w:tcW w:w="3519" w:type="dxa"/>
            <w:noWrap w:val="0"/>
            <w:vAlign w:val="center"/>
          </w:tcPr>
          <w:p>
            <w:pPr>
              <w:spacing w:line="560" w:lineRule="exact"/>
              <w:jc w:val="center"/>
              <w:rPr>
                <w:rFonts w:hint="eastAsia" w:ascii="宋体" w:hAnsi="宋体" w:eastAsia="宋体" w:cs="宋体"/>
                <w:sz w:val="24"/>
                <w:szCs w:val="24"/>
                <w:highlight w:val="none"/>
              </w:rPr>
            </w:pPr>
          </w:p>
        </w:tc>
        <w:tc>
          <w:tcPr>
            <w:tcW w:w="1526" w:type="dxa"/>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noWrap w:val="0"/>
            <w:vAlign w:val="center"/>
          </w:tcPr>
          <w:p>
            <w:pPr>
              <w:spacing w:line="560" w:lineRule="exact"/>
              <w:jc w:val="center"/>
              <w:rPr>
                <w:rFonts w:hint="eastAsia" w:ascii="宋体" w:hAnsi="宋体" w:eastAsia="宋体" w:cs="宋体"/>
                <w:sz w:val="24"/>
                <w:szCs w:val="24"/>
                <w:highlight w:val="none"/>
              </w:rPr>
            </w:pPr>
          </w:p>
        </w:tc>
        <w:tc>
          <w:tcPr>
            <w:tcW w:w="3381" w:type="dxa"/>
            <w:noWrap w:val="0"/>
            <w:vAlign w:val="center"/>
          </w:tcPr>
          <w:p>
            <w:pPr>
              <w:spacing w:line="560" w:lineRule="exact"/>
              <w:jc w:val="center"/>
              <w:rPr>
                <w:rFonts w:hint="eastAsia" w:ascii="宋体" w:hAnsi="宋体" w:eastAsia="宋体" w:cs="宋体"/>
                <w:sz w:val="24"/>
                <w:szCs w:val="24"/>
                <w:highlight w:val="none"/>
              </w:rPr>
            </w:pPr>
          </w:p>
        </w:tc>
        <w:tc>
          <w:tcPr>
            <w:tcW w:w="3519" w:type="dxa"/>
            <w:noWrap w:val="0"/>
            <w:vAlign w:val="center"/>
          </w:tcPr>
          <w:p>
            <w:pPr>
              <w:spacing w:line="560" w:lineRule="exact"/>
              <w:jc w:val="center"/>
              <w:rPr>
                <w:rFonts w:hint="eastAsia" w:ascii="宋体" w:hAnsi="宋体" w:eastAsia="宋体" w:cs="宋体"/>
                <w:sz w:val="24"/>
                <w:szCs w:val="24"/>
                <w:highlight w:val="none"/>
              </w:rPr>
            </w:pPr>
          </w:p>
        </w:tc>
        <w:tc>
          <w:tcPr>
            <w:tcW w:w="1526" w:type="dxa"/>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noWrap w:val="0"/>
            <w:vAlign w:val="center"/>
          </w:tcPr>
          <w:p>
            <w:pPr>
              <w:spacing w:line="560" w:lineRule="exact"/>
              <w:jc w:val="center"/>
              <w:rPr>
                <w:rFonts w:hint="eastAsia" w:ascii="宋体" w:hAnsi="宋体" w:eastAsia="宋体" w:cs="宋体"/>
                <w:sz w:val="24"/>
                <w:szCs w:val="24"/>
                <w:highlight w:val="none"/>
              </w:rPr>
            </w:pPr>
          </w:p>
        </w:tc>
        <w:tc>
          <w:tcPr>
            <w:tcW w:w="3381" w:type="dxa"/>
            <w:noWrap w:val="0"/>
            <w:vAlign w:val="center"/>
          </w:tcPr>
          <w:p>
            <w:pPr>
              <w:spacing w:line="560" w:lineRule="exact"/>
              <w:jc w:val="center"/>
              <w:rPr>
                <w:rFonts w:hint="eastAsia" w:ascii="宋体" w:hAnsi="宋体" w:eastAsia="宋体" w:cs="宋体"/>
                <w:sz w:val="24"/>
                <w:szCs w:val="24"/>
                <w:highlight w:val="none"/>
              </w:rPr>
            </w:pPr>
          </w:p>
        </w:tc>
        <w:tc>
          <w:tcPr>
            <w:tcW w:w="3519" w:type="dxa"/>
            <w:noWrap w:val="0"/>
            <w:vAlign w:val="center"/>
          </w:tcPr>
          <w:p>
            <w:pPr>
              <w:spacing w:line="560" w:lineRule="exact"/>
              <w:jc w:val="center"/>
              <w:rPr>
                <w:rFonts w:hint="eastAsia" w:ascii="宋体" w:hAnsi="宋体" w:eastAsia="宋体" w:cs="宋体"/>
                <w:sz w:val="24"/>
                <w:szCs w:val="24"/>
                <w:highlight w:val="none"/>
              </w:rPr>
            </w:pPr>
          </w:p>
        </w:tc>
        <w:tc>
          <w:tcPr>
            <w:tcW w:w="1526" w:type="dxa"/>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noWrap w:val="0"/>
            <w:vAlign w:val="center"/>
          </w:tcPr>
          <w:p>
            <w:pPr>
              <w:spacing w:line="560" w:lineRule="exact"/>
              <w:jc w:val="center"/>
              <w:rPr>
                <w:rFonts w:hint="eastAsia" w:ascii="宋体" w:hAnsi="宋体" w:eastAsia="宋体" w:cs="宋体"/>
                <w:sz w:val="24"/>
                <w:szCs w:val="24"/>
                <w:highlight w:val="none"/>
              </w:rPr>
            </w:pPr>
          </w:p>
        </w:tc>
        <w:tc>
          <w:tcPr>
            <w:tcW w:w="3381" w:type="dxa"/>
            <w:noWrap w:val="0"/>
            <w:vAlign w:val="center"/>
          </w:tcPr>
          <w:p>
            <w:pPr>
              <w:spacing w:line="560" w:lineRule="exact"/>
              <w:jc w:val="center"/>
              <w:rPr>
                <w:rFonts w:hint="eastAsia" w:ascii="宋体" w:hAnsi="宋体" w:eastAsia="宋体" w:cs="宋体"/>
                <w:sz w:val="24"/>
                <w:szCs w:val="24"/>
                <w:highlight w:val="none"/>
              </w:rPr>
            </w:pPr>
          </w:p>
        </w:tc>
        <w:tc>
          <w:tcPr>
            <w:tcW w:w="3519" w:type="dxa"/>
            <w:noWrap w:val="0"/>
            <w:vAlign w:val="center"/>
          </w:tcPr>
          <w:p>
            <w:pPr>
              <w:spacing w:line="560" w:lineRule="exact"/>
              <w:jc w:val="center"/>
              <w:rPr>
                <w:rFonts w:hint="eastAsia" w:ascii="宋体" w:hAnsi="宋体" w:eastAsia="宋体" w:cs="宋体"/>
                <w:sz w:val="24"/>
                <w:szCs w:val="24"/>
                <w:highlight w:val="none"/>
              </w:rPr>
            </w:pPr>
          </w:p>
        </w:tc>
        <w:tc>
          <w:tcPr>
            <w:tcW w:w="1526" w:type="dxa"/>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noWrap w:val="0"/>
            <w:vAlign w:val="center"/>
          </w:tcPr>
          <w:p>
            <w:pPr>
              <w:spacing w:line="560" w:lineRule="exact"/>
              <w:jc w:val="center"/>
              <w:rPr>
                <w:rFonts w:hint="eastAsia" w:ascii="宋体" w:hAnsi="宋体" w:eastAsia="宋体" w:cs="宋体"/>
                <w:sz w:val="24"/>
                <w:szCs w:val="24"/>
                <w:highlight w:val="none"/>
              </w:rPr>
            </w:pPr>
          </w:p>
        </w:tc>
        <w:tc>
          <w:tcPr>
            <w:tcW w:w="3381" w:type="dxa"/>
            <w:noWrap w:val="0"/>
            <w:vAlign w:val="center"/>
          </w:tcPr>
          <w:p>
            <w:pPr>
              <w:spacing w:line="560" w:lineRule="exact"/>
              <w:jc w:val="center"/>
              <w:rPr>
                <w:rFonts w:hint="eastAsia" w:ascii="宋体" w:hAnsi="宋体" w:eastAsia="宋体" w:cs="宋体"/>
                <w:sz w:val="24"/>
                <w:szCs w:val="24"/>
                <w:highlight w:val="none"/>
              </w:rPr>
            </w:pPr>
          </w:p>
        </w:tc>
        <w:tc>
          <w:tcPr>
            <w:tcW w:w="3519" w:type="dxa"/>
            <w:noWrap w:val="0"/>
            <w:vAlign w:val="center"/>
          </w:tcPr>
          <w:p>
            <w:pPr>
              <w:spacing w:line="560" w:lineRule="exact"/>
              <w:jc w:val="center"/>
              <w:rPr>
                <w:rFonts w:hint="eastAsia" w:ascii="宋体" w:hAnsi="宋体" w:eastAsia="宋体" w:cs="宋体"/>
                <w:sz w:val="24"/>
                <w:szCs w:val="24"/>
                <w:highlight w:val="none"/>
              </w:rPr>
            </w:pPr>
          </w:p>
        </w:tc>
        <w:tc>
          <w:tcPr>
            <w:tcW w:w="1526" w:type="dxa"/>
            <w:noWrap w:val="0"/>
            <w:vAlign w:val="center"/>
          </w:tcPr>
          <w:p>
            <w:pPr>
              <w:spacing w:line="560" w:lineRule="exact"/>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8426" w:type="dxa"/>
            <w:gridSpan w:val="3"/>
            <w:noWrap w:val="0"/>
            <w:vAlign w:val="center"/>
          </w:tcPr>
          <w:p>
            <w:pPr>
              <w:spacing w:line="5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对</w:t>
            </w:r>
            <w:r>
              <w:rPr>
                <w:rFonts w:hint="eastAsia" w:ascii="宋体" w:hAnsi="宋体" w:eastAsia="宋体" w:cs="宋体"/>
                <w:sz w:val="24"/>
                <w:szCs w:val="24"/>
                <w:highlight w:val="none"/>
                <w:lang w:eastAsia="zh-CN"/>
              </w:rPr>
              <w:t>《第三章招标内容及要求中的</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、商务要求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响应。</w:t>
            </w:r>
          </w:p>
          <w:p>
            <w:pPr>
              <w:spacing w:line="5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2．响应说明按实际响 应情况填写“优于”、“响应”、“不响应”。</w:t>
            </w:r>
          </w:p>
          <w:p>
            <w:pPr>
              <w:spacing w:line="5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3．“响应索引”单元格中注明引用位置，如“见商务响应方案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.1.1”。</w:t>
            </w:r>
          </w:p>
        </w:tc>
      </w:tr>
    </w:tbl>
    <w:p>
      <w:pPr>
        <w:spacing w:line="560" w:lineRule="exact"/>
        <w:ind w:firstLine="2762" w:firstLineChars="1151"/>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全称并加盖公章）</w:t>
      </w:r>
    </w:p>
    <w:p>
      <w:pPr>
        <w:spacing w:line="560" w:lineRule="exact"/>
        <w:ind w:firstLine="480" w:firstLineChars="200"/>
        <w:jc w:val="both"/>
        <w:rPr>
          <w:rFonts w:hint="eastAsia" w:ascii="宋体" w:hAnsi="宋体" w:eastAsia="宋体" w:cs="宋体"/>
          <w:sz w:val="24"/>
          <w:szCs w:val="24"/>
          <w:highlight w:val="none"/>
        </w:rPr>
      </w:pPr>
    </w:p>
    <w:p>
      <w:pPr>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附：商务响应方案</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93"/>
        <w:spacing w:before="210" w:after="210"/>
        <w:ind w:firstLine="64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）合同条款响应</w:t>
      </w:r>
      <w:bookmarkEnd w:id="165"/>
    </w:p>
    <w:tbl>
      <w:tblPr>
        <w:tblStyle w:val="2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7"/>
        <w:gridCol w:w="2532"/>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49"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251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投标文件合同条款响应</w:t>
            </w:r>
          </w:p>
        </w:tc>
        <w:tc>
          <w:tcPr>
            <w:tcW w:w="1282"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1549"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2518"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2533" w:type="dxa"/>
            <w:tcBorders>
              <w:top w:val="single" w:color="auto" w:sz="2" w:space="0"/>
            </w:tcBorders>
            <w:vAlign w:val="center"/>
          </w:tcPr>
          <w:p>
            <w:pPr>
              <w:jc w:val="center"/>
              <w:rPr>
                <w:rFonts w:hint="eastAsia" w:ascii="宋体" w:hAnsi="宋体" w:eastAsia="宋体" w:cs="宋体"/>
                <w:color w:val="auto"/>
                <w:sz w:val="24"/>
                <w:szCs w:val="24"/>
                <w:highlight w:val="none"/>
              </w:rPr>
            </w:pPr>
          </w:p>
        </w:tc>
        <w:tc>
          <w:tcPr>
            <w:tcW w:w="1282" w:type="dxa"/>
            <w:tcBorders>
              <w:top w:val="single" w:color="auto" w:sz="2"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p>
        </w:tc>
        <w:tc>
          <w:tcPr>
            <w:tcW w:w="1549" w:type="dxa"/>
            <w:vAlign w:val="center"/>
          </w:tcPr>
          <w:p>
            <w:pPr>
              <w:jc w:val="center"/>
              <w:rPr>
                <w:rFonts w:hint="eastAsia" w:ascii="宋体" w:hAnsi="宋体" w:eastAsia="宋体" w:cs="宋体"/>
                <w:color w:val="auto"/>
                <w:sz w:val="24"/>
                <w:szCs w:val="24"/>
                <w:highlight w:val="none"/>
              </w:rPr>
            </w:pPr>
          </w:p>
        </w:tc>
        <w:tc>
          <w:tcPr>
            <w:tcW w:w="2518" w:type="dxa"/>
            <w:vAlign w:val="center"/>
          </w:tcPr>
          <w:p>
            <w:pPr>
              <w:jc w:val="center"/>
              <w:rPr>
                <w:rFonts w:hint="eastAsia" w:ascii="宋体" w:hAnsi="宋体" w:eastAsia="宋体" w:cs="宋体"/>
                <w:color w:val="auto"/>
                <w:sz w:val="24"/>
                <w:szCs w:val="24"/>
                <w:highlight w:val="none"/>
              </w:rPr>
            </w:pPr>
          </w:p>
        </w:tc>
        <w:tc>
          <w:tcPr>
            <w:tcW w:w="2533" w:type="dxa"/>
            <w:vAlign w:val="center"/>
          </w:tcPr>
          <w:p>
            <w:pPr>
              <w:jc w:val="center"/>
              <w:rPr>
                <w:rFonts w:hint="eastAsia" w:ascii="宋体" w:hAnsi="宋体" w:eastAsia="宋体" w:cs="宋体"/>
                <w:color w:val="auto"/>
                <w:sz w:val="24"/>
                <w:szCs w:val="24"/>
                <w:highlight w:val="none"/>
              </w:rPr>
            </w:pPr>
          </w:p>
        </w:tc>
        <w:tc>
          <w:tcPr>
            <w:tcW w:w="1282"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p>
        </w:tc>
        <w:tc>
          <w:tcPr>
            <w:tcW w:w="1549" w:type="dxa"/>
            <w:vAlign w:val="center"/>
          </w:tcPr>
          <w:p>
            <w:pPr>
              <w:jc w:val="center"/>
              <w:rPr>
                <w:rFonts w:hint="eastAsia" w:ascii="宋体" w:hAnsi="宋体" w:eastAsia="宋体" w:cs="宋体"/>
                <w:color w:val="auto"/>
                <w:sz w:val="24"/>
                <w:szCs w:val="24"/>
                <w:highlight w:val="none"/>
              </w:rPr>
            </w:pPr>
          </w:p>
        </w:tc>
        <w:tc>
          <w:tcPr>
            <w:tcW w:w="2518" w:type="dxa"/>
            <w:vAlign w:val="center"/>
          </w:tcPr>
          <w:p>
            <w:pPr>
              <w:jc w:val="center"/>
              <w:rPr>
                <w:rFonts w:hint="eastAsia" w:ascii="宋体" w:hAnsi="宋体" w:eastAsia="宋体" w:cs="宋体"/>
                <w:color w:val="auto"/>
                <w:sz w:val="24"/>
                <w:szCs w:val="24"/>
                <w:highlight w:val="none"/>
              </w:rPr>
            </w:pPr>
          </w:p>
        </w:tc>
        <w:tc>
          <w:tcPr>
            <w:tcW w:w="2533" w:type="dxa"/>
            <w:vAlign w:val="center"/>
          </w:tcPr>
          <w:p>
            <w:pPr>
              <w:jc w:val="center"/>
              <w:rPr>
                <w:rFonts w:hint="eastAsia" w:ascii="宋体" w:hAnsi="宋体" w:eastAsia="宋体" w:cs="宋体"/>
                <w:color w:val="auto"/>
                <w:sz w:val="24"/>
                <w:szCs w:val="24"/>
                <w:highlight w:val="none"/>
              </w:rPr>
            </w:pPr>
          </w:p>
        </w:tc>
        <w:tc>
          <w:tcPr>
            <w:tcW w:w="1282"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p>
        </w:tc>
        <w:tc>
          <w:tcPr>
            <w:tcW w:w="1549" w:type="dxa"/>
            <w:vAlign w:val="center"/>
          </w:tcPr>
          <w:p>
            <w:pPr>
              <w:jc w:val="center"/>
              <w:rPr>
                <w:rFonts w:hint="eastAsia" w:ascii="宋体" w:hAnsi="宋体" w:eastAsia="宋体" w:cs="宋体"/>
                <w:color w:val="auto"/>
                <w:sz w:val="24"/>
                <w:szCs w:val="24"/>
                <w:highlight w:val="none"/>
              </w:rPr>
            </w:pPr>
          </w:p>
        </w:tc>
        <w:tc>
          <w:tcPr>
            <w:tcW w:w="2518" w:type="dxa"/>
            <w:vAlign w:val="center"/>
          </w:tcPr>
          <w:p>
            <w:pPr>
              <w:jc w:val="center"/>
              <w:rPr>
                <w:rFonts w:hint="eastAsia" w:ascii="宋体" w:hAnsi="宋体" w:eastAsia="宋体" w:cs="宋体"/>
                <w:color w:val="auto"/>
                <w:sz w:val="24"/>
                <w:szCs w:val="24"/>
                <w:highlight w:val="none"/>
              </w:rPr>
            </w:pPr>
          </w:p>
        </w:tc>
        <w:tc>
          <w:tcPr>
            <w:tcW w:w="2533" w:type="dxa"/>
            <w:vAlign w:val="center"/>
          </w:tcPr>
          <w:p>
            <w:pPr>
              <w:jc w:val="center"/>
              <w:rPr>
                <w:rFonts w:hint="eastAsia" w:ascii="宋体" w:hAnsi="宋体" w:eastAsia="宋体" w:cs="宋体"/>
                <w:color w:val="auto"/>
                <w:sz w:val="24"/>
                <w:szCs w:val="24"/>
                <w:highlight w:val="none"/>
              </w:rPr>
            </w:pPr>
          </w:p>
        </w:tc>
        <w:tc>
          <w:tcPr>
            <w:tcW w:w="1282"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p>
        </w:tc>
        <w:tc>
          <w:tcPr>
            <w:tcW w:w="1549" w:type="dxa"/>
            <w:vAlign w:val="center"/>
          </w:tcPr>
          <w:p>
            <w:pPr>
              <w:jc w:val="center"/>
              <w:rPr>
                <w:rFonts w:hint="eastAsia" w:ascii="宋体" w:hAnsi="宋体" w:eastAsia="宋体" w:cs="宋体"/>
                <w:color w:val="auto"/>
                <w:sz w:val="24"/>
                <w:szCs w:val="24"/>
                <w:highlight w:val="none"/>
              </w:rPr>
            </w:pPr>
          </w:p>
        </w:tc>
        <w:tc>
          <w:tcPr>
            <w:tcW w:w="2518" w:type="dxa"/>
            <w:vAlign w:val="center"/>
          </w:tcPr>
          <w:p>
            <w:pPr>
              <w:jc w:val="center"/>
              <w:rPr>
                <w:rFonts w:hint="eastAsia" w:ascii="宋体" w:hAnsi="宋体" w:eastAsia="宋体" w:cs="宋体"/>
                <w:color w:val="auto"/>
                <w:sz w:val="24"/>
                <w:szCs w:val="24"/>
                <w:highlight w:val="none"/>
              </w:rPr>
            </w:pPr>
          </w:p>
        </w:tc>
        <w:tc>
          <w:tcPr>
            <w:tcW w:w="2533" w:type="dxa"/>
            <w:vAlign w:val="center"/>
          </w:tcPr>
          <w:p>
            <w:pPr>
              <w:jc w:val="center"/>
              <w:rPr>
                <w:rFonts w:hint="eastAsia" w:ascii="宋体" w:hAnsi="宋体" w:eastAsia="宋体" w:cs="宋体"/>
                <w:color w:val="auto"/>
                <w:sz w:val="24"/>
                <w:szCs w:val="24"/>
                <w:highlight w:val="none"/>
              </w:rPr>
            </w:pPr>
          </w:p>
        </w:tc>
        <w:tc>
          <w:tcPr>
            <w:tcW w:w="1282"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p>
        </w:tc>
        <w:tc>
          <w:tcPr>
            <w:tcW w:w="1549" w:type="dxa"/>
            <w:vAlign w:val="center"/>
          </w:tcPr>
          <w:p>
            <w:pPr>
              <w:jc w:val="center"/>
              <w:rPr>
                <w:rFonts w:hint="eastAsia" w:ascii="宋体" w:hAnsi="宋体" w:eastAsia="宋体" w:cs="宋体"/>
                <w:color w:val="auto"/>
                <w:sz w:val="24"/>
                <w:szCs w:val="24"/>
                <w:highlight w:val="none"/>
              </w:rPr>
            </w:pPr>
          </w:p>
        </w:tc>
        <w:tc>
          <w:tcPr>
            <w:tcW w:w="2518" w:type="dxa"/>
            <w:vAlign w:val="center"/>
          </w:tcPr>
          <w:p>
            <w:pPr>
              <w:jc w:val="center"/>
              <w:rPr>
                <w:rFonts w:hint="eastAsia" w:ascii="宋体" w:hAnsi="宋体" w:eastAsia="宋体" w:cs="宋体"/>
                <w:color w:val="auto"/>
                <w:sz w:val="24"/>
                <w:szCs w:val="24"/>
                <w:highlight w:val="none"/>
              </w:rPr>
            </w:pPr>
          </w:p>
        </w:tc>
        <w:tc>
          <w:tcPr>
            <w:tcW w:w="2533" w:type="dxa"/>
            <w:vAlign w:val="center"/>
          </w:tcPr>
          <w:p>
            <w:pPr>
              <w:jc w:val="center"/>
              <w:rPr>
                <w:rFonts w:hint="eastAsia" w:ascii="宋体" w:hAnsi="宋体" w:eastAsia="宋体" w:cs="宋体"/>
                <w:color w:val="auto"/>
                <w:sz w:val="24"/>
                <w:szCs w:val="24"/>
                <w:highlight w:val="none"/>
              </w:rPr>
            </w:pPr>
          </w:p>
        </w:tc>
        <w:tc>
          <w:tcPr>
            <w:tcW w:w="1282"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p>
        </w:tc>
        <w:tc>
          <w:tcPr>
            <w:tcW w:w="1549" w:type="dxa"/>
            <w:vAlign w:val="center"/>
          </w:tcPr>
          <w:p>
            <w:pPr>
              <w:jc w:val="center"/>
              <w:rPr>
                <w:rFonts w:hint="eastAsia" w:ascii="宋体" w:hAnsi="宋体" w:eastAsia="宋体" w:cs="宋体"/>
                <w:color w:val="auto"/>
                <w:sz w:val="24"/>
                <w:szCs w:val="24"/>
                <w:highlight w:val="none"/>
              </w:rPr>
            </w:pPr>
          </w:p>
        </w:tc>
        <w:tc>
          <w:tcPr>
            <w:tcW w:w="2518" w:type="dxa"/>
            <w:vAlign w:val="center"/>
          </w:tcPr>
          <w:p>
            <w:pPr>
              <w:jc w:val="center"/>
              <w:rPr>
                <w:rFonts w:hint="eastAsia" w:ascii="宋体" w:hAnsi="宋体" w:eastAsia="宋体" w:cs="宋体"/>
                <w:color w:val="auto"/>
                <w:sz w:val="24"/>
                <w:szCs w:val="24"/>
                <w:highlight w:val="none"/>
              </w:rPr>
            </w:pPr>
          </w:p>
        </w:tc>
        <w:tc>
          <w:tcPr>
            <w:tcW w:w="2533" w:type="dxa"/>
            <w:vAlign w:val="center"/>
          </w:tcPr>
          <w:p>
            <w:pPr>
              <w:jc w:val="center"/>
              <w:rPr>
                <w:rFonts w:hint="eastAsia" w:ascii="宋体" w:hAnsi="宋体" w:eastAsia="宋体" w:cs="宋体"/>
                <w:color w:val="auto"/>
                <w:sz w:val="24"/>
                <w:szCs w:val="24"/>
                <w:highlight w:val="none"/>
              </w:rPr>
            </w:pPr>
          </w:p>
        </w:tc>
        <w:tc>
          <w:tcPr>
            <w:tcW w:w="1282"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882" w:type="dxa"/>
            <w:gridSpan w:val="4"/>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1．“完全接受”的条款无需在本表中列出，按表下方所做“声明”执行；对于需要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填报的内容，以及“不能接受”或“有条件接受”的条款，则应写明该条款名称及条款明细、以及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所能接受的条件。</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2．根据《政府采购货物和服务招标投标管理办法》（财政部87号令）第六十三条，若投标文件含有采购人不能接受的附加条件的，投标无效。</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3．因表格空间因有限，不足以容纳响应内容时，允许在表后进行响应，但须在表中注明引用位置，如“见本表下方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.1.1”。</w:t>
            </w:r>
          </w:p>
        </w:tc>
      </w:tr>
    </w:tbl>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声明：除上表所列的合同条款外，招标文件中的其他合同条款我方均完全接受。</w:t>
      </w: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r>
        <w:rPr>
          <w:rFonts w:hint="eastAsia" w:ascii="宋体" w:hAnsi="宋体" w:eastAsia="宋体" w:cs="宋体"/>
          <w:color w:val="auto"/>
          <w:sz w:val="24"/>
          <w:szCs w:val="24"/>
          <w:highlight w:val="none"/>
        </w:rPr>
        <w:br w:type="page"/>
      </w:r>
    </w:p>
    <w:p>
      <w:pPr>
        <w:pStyle w:val="93"/>
        <w:spacing w:before="210" w:after="210"/>
        <w:ind w:firstLine="640"/>
        <w:outlineLvl w:val="2"/>
        <w:rPr>
          <w:rFonts w:hint="eastAsia" w:ascii="宋体" w:hAnsi="宋体" w:eastAsia="宋体" w:cs="宋体"/>
          <w:color w:val="auto"/>
          <w:sz w:val="24"/>
          <w:szCs w:val="24"/>
          <w:highlight w:val="none"/>
        </w:rPr>
      </w:pPr>
      <w:bookmarkStart w:id="166" w:name="_Toc1877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）其他需要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提供的材料</w:t>
      </w:r>
      <w:bookmarkEnd w:id="166"/>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1．项目实施人员情况表</w:t>
      </w:r>
    </w:p>
    <w:tbl>
      <w:tblPr>
        <w:tblStyle w:val="2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941"/>
        <w:gridCol w:w="1221"/>
        <w:gridCol w:w="23"/>
        <w:gridCol w:w="1319"/>
        <w:gridCol w:w="17"/>
        <w:gridCol w:w="6"/>
        <w:gridCol w:w="1529"/>
        <w:gridCol w:w="1683"/>
        <w:gridCol w:w="40"/>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900"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21"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p>
        </w:tc>
        <w:tc>
          <w:tcPr>
            <w:tcW w:w="1342"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552" w:type="dxa"/>
            <w:gridSpan w:val="3"/>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在本行业从业工作年限</w:t>
            </w:r>
          </w:p>
        </w:tc>
        <w:tc>
          <w:tcPr>
            <w:tcW w:w="1683" w:type="dxa"/>
            <w:tcBorders>
              <w:right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业绩和经历</w:t>
            </w:r>
          </w:p>
        </w:tc>
        <w:tc>
          <w:tcPr>
            <w:tcW w:w="1062" w:type="dxa"/>
            <w:gridSpan w:val="2"/>
            <w:tcBorders>
              <w:left w:val="single" w:color="auto" w:sz="2" w:space="0"/>
              <w:right w:val="single" w:color="auto" w:sz="1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21" w:type="dxa"/>
            <w:vAlign w:val="center"/>
          </w:tcPr>
          <w:p>
            <w:pPr>
              <w:jc w:val="both"/>
              <w:rPr>
                <w:rFonts w:hint="eastAsia" w:ascii="宋体" w:hAnsi="宋体" w:eastAsia="宋体" w:cs="宋体"/>
                <w:color w:val="auto"/>
                <w:sz w:val="24"/>
                <w:szCs w:val="24"/>
                <w:highlight w:val="none"/>
              </w:rPr>
            </w:pPr>
          </w:p>
        </w:tc>
        <w:tc>
          <w:tcPr>
            <w:tcW w:w="1342" w:type="dxa"/>
            <w:gridSpan w:val="2"/>
            <w:vAlign w:val="center"/>
          </w:tcPr>
          <w:p>
            <w:pPr>
              <w:jc w:val="both"/>
              <w:rPr>
                <w:rFonts w:hint="eastAsia" w:ascii="宋体" w:hAnsi="宋体" w:eastAsia="宋体" w:cs="宋体"/>
                <w:color w:val="auto"/>
                <w:sz w:val="24"/>
                <w:szCs w:val="24"/>
                <w:highlight w:val="none"/>
              </w:rPr>
            </w:pPr>
          </w:p>
        </w:tc>
        <w:tc>
          <w:tcPr>
            <w:tcW w:w="1552" w:type="dxa"/>
            <w:gridSpan w:val="3"/>
            <w:vAlign w:val="center"/>
          </w:tcPr>
          <w:p>
            <w:pPr>
              <w:jc w:val="both"/>
              <w:rPr>
                <w:rFonts w:hint="eastAsia" w:ascii="宋体" w:hAnsi="宋体" w:eastAsia="宋体" w:cs="宋体"/>
                <w:color w:val="auto"/>
                <w:sz w:val="24"/>
                <w:szCs w:val="24"/>
                <w:highlight w:val="none"/>
              </w:rPr>
            </w:pPr>
          </w:p>
        </w:tc>
        <w:tc>
          <w:tcPr>
            <w:tcW w:w="1683" w:type="dxa"/>
            <w:tcBorders>
              <w:right w:val="single" w:color="auto" w:sz="2" w:space="0"/>
            </w:tcBorders>
            <w:vAlign w:val="center"/>
          </w:tcPr>
          <w:p>
            <w:pPr>
              <w:jc w:val="both"/>
              <w:rPr>
                <w:rFonts w:hint="eastAsia" w:ascii="宋体" w:hAnsi="宋体" w:eastAsia="宋体" w:cs="宋体"/>
                <w:color w:val="auto"/>
                <w:sz w:val="24"/>
                <w:szCs w:val="24"/>
                <w:highlight w:val="none"/>
              </w:rPr>
            </w:pPr>
          </w:p>
        </w:tc>
        <w:tc>
          <w:tcPr>
            <w:tcW w:w="1062" w:type="dxa"/>
            <w:gridSpan w:val="2"/>
            <w:tcBorders>
              <w:left w:val="single" w:color="auto" w:sz="2" w:space="0"/>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21" w:type="dxa"/>
            <w:vAlign w:val="center"/>
          </w:tcPr>
          <w:p>
            <w:pPr>
              <w:jc w:val="both"/>
              <w:rPr>
                <w:rFonts w:hint="eastAsia" w:ascii="宋体" w:hAnsi="宋体" w:eastAsia="宋体" w:cs="宋体"/>
                <w:color w:val="auto"/>
                <w:sz w:val="24"/>
                <w:szCs w:val="24"/>
                <w:highlight w:val="none"/>
              </w:rPr>
            </w:pPr>
          </w:p>
        </w:tc>
        <w:tc>
          <w:tcPr>
            <w:tcW w:w="1342" w:type="dxa"/>
            <w:gridSpan w:val="2"/>
            <w:vAlign w:val="center"/>
          </w:tcPr>
          <w:p>
            <w:pPr>
              <w:jc w:val="both"/>
              <w:rPr>
                <w:rFonts w:hint="eastAsia" w:ascii="宋体" w:hAnsi="宋体" w:eastAsia="宋体" w:cs="宋体"/>
                <w:color w:val="auto"/>
                <w:sz w:val="24"/>
                <w:szCs w:val="24"/>
                <w:highlight w:val="none"/>
              </w:rPr>
            </w:pPr>
          </w:p>
        </w:tc>
        <w:tc>
          <w:tcPr>
            <w:tcW w:w="1552" w:type="dxa"/>
            <w:gridSpan w:val="3"/>
            <w:vAlign w:val="center"/>
          </w:tcPr>
          <w:p>
            <w:pPr>
              <w:jc w:val="both"/>
              <w:rPr>
                <w:rFonts w:hint="eastAsia" w:ascii="宋体" w:hAnsi="宋体" w:eastAsia="宋体" w:cs="宋体"/>
                <w:color w:val="auto"/>
                <w:sz w:val="24"/>
                <w:szCs w:val="24"/>
                <w:highlight w:val="none"/>
              </w:rPr>
            </w:pPr>
          </w:p>
        </w:tc>
        <w:tc>
          <w:tcPr>
            <w:tcW w:w="1683" w:type="dxa"/>
            <w:tcBorders>
              <w:right w:val="single" w:color="auto" w:sz="2" w:space="0"/>
            </w:tcBorders>
            <w:vAlign w:val="center"/>
          </w:tcPr>
          <w:p>
            <w:pPr>
              <w:jc w:val="both"/>
              <w:rPr>
                <w:rFonts w:hint="eastAsia" w:ascii="宋体" w:hAnsi="宋体" w:eastAsia="宋体" w:cs="宋体"/>
                <w:color w:val="auto"/>
                <w:sz w:val="24"/>
                <w:szCs w:val="24"/>
                <w:highlight w:val="none"/>
              </w:rPr>
            </w:pPr>
          </w:p>
        </w:tc>
        <w:tc>
          <w:tcPr>
            <w:tcW w:w="1062" w:type="dxa"/>
            <w:gridSpan w:val="2"/>
            <w:tcBorders>
              <w:left w:val="single" w:color="auto" w:sz="2" w:space="0"/>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00"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21"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p>
        </w:tc>
        <w:tc>
          <w:tcPr>
            <w:tcW w:w="1359" w:type="dxa"/>
            <w:gridSpan w:val="3"/>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535"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在本行业从业工作年限</w:t>
            </w:r>
          </w:p>
        </w:tc>
        <w:tc>
          <w:tcPr>
            <w:tcW w:w="1723"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业绩和经历</w:t>
            </w: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21" w:type="dxa"/>
            <w:vAlign w:val="center"/>
          </w:tcPr>
          <w:p>
            <w:pPr>
              <w:jc w:val="both"/>
              <w:rPr>
                <w:rFonts w:hint="eastAsia" w:ascii="宋体" w:hAnsi="宋体" w:eastAsia="宋体" w:cs="宋体"/>
                <w:color w:val="auto"/>
                <w:sz w:val="24"/>
                <w:szCs w:val="24"/>
                <w:highlight w:val="none"/>
              </w:rPr>
            </w:pPr>
          </w:p>
        </w:tc>
        <w:tc>
          <w:tcPr>
            <w:tcW w:w="1359" w:type="dxa"/>
            <w:gridSpan w:val="3"/>
            <w:vAlign w:val="center"/>
          </w:tcPr>
          <w:p>
            <w:pPr>
              <w:jc w:val="both"/>
              <w:rPr>
                <w:rFonts w:hint="eastAsia" w:ascii="宋体" w:hAnsi="宋体" w:eastAsia="宋体" w:cs="宋体"/>
                <w:color w:val="auto"/>
                <w:sz w:val="24"/>
                <w:szCs w:val="24"/>
                <w:highlight w:val="none"/>
              </w:rPr>
            </w:pPr>
          </w:p>
        </w:tc>
        <w:tc>
          <w:tcPr>
            <w:tcW w:w="1535" w:type="dxa"/>
            <w:gridSpan w:val="2"/>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21" w:type="dxa"/>
            <w:vAlign w:val="center"/>
          </w:tcPr>
          <w:p>
            <w:pPr>
              <w:jc w:val="both"/>
              <w:rPr>
                <w:rFonts w:hint="eastAsia" w:ascii="宋体" w:hAnsi="宋体" w:eastAsia="宋体" w:cs="宋体"/>
                <w:color w:val="auto"/>
                <w:sz w:val="24"/>
                <w:szCs w:val="24"/>
                <w:highlight w:val="none"/>
              </w:rPr>
            </w:pPr>
          </w:p>
        </w:tc>
        <w:tc>
          <w:tcPr>
            <w:tcW w:w="1359" w:type="dxa"/>
            <w:gridSpan w:val="3"/>
            <w:vAlign w:val="center"/>
          </w:tcPr>
          <w:p>
            <w:pPr>
              <w:jc w:val="both"/>
              <w:rPr>
                <w:rFonts w:hint="eastAsia" w:ascii="宋体" w:hAnsi="宋体" w:eastAsia="宋体" w:cs="宋体"/>
                <w:color w:val="auto"/>
                <w:sz w:val="24"/>
                <w:szCs w:val="24"/>
                <w:highlight w:val="none"/>
              </w:rPr>
            </w:pPr>
          </w:p>
        </w:tc>
        <w:tc>
          <w:tcPr>
            <w:tcW w:w="1535" w:type="dxa"/>
            <w:gridSpan w:val="2"/>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21" w:type="dxa"/>
            <w:vAlign w:val="center"/>
          </w:tcPr>
          <w:p>
            <w:pPr>
              <w:jc w:val="both"/>
              <w:rPr>
                <w:rFonts w:hint="eastAsia" w:ascii="宋体" w:hAnsi="宋体" w:eastAsia="宋体" w:cs="宋体"/>
                <w:color w:val="auto"/>
                <w:sz w:val="24"/>
                <w:szCs w:val="24"/>
                <w:highlight w:val="none"/>
              </w:rPr>
            </w:pPr>
          </w:p>
        </w:tc>
        <w:tc>
          <w:tcPr>
            <w:tcW w:w="1359" w:type="dxa"/>
            <w:gridSpan w:val="3"/>
            <w:vAlign w:val="center"/>
          </w:tcPr>
          <w:p>
            <w:pPr>
              <w:jc w:val="both"/>
              <w:rPr>
                <w:rFonts w:hint="eastAsia" w:ascii="宋体" w:hAnsi="宋体" w:eastAsia="宋体" w:cs="宋体"/>
                <w:color w:val="auto"/>
                <w:sz w:val="24"/>
                <w:szCs w:val="24"/>
                <w:highlight w:val="none"/>
              </w:rPr>
            </w:pPr>
          </w:p>
        </w:tc>
        <w:tc>
          <w:tcPr>
            <w:tcW w:w="1535" w:type="dxa"/>
            <w:gridSpan w:val="2"/>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00"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技术人员/服务人员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44" w:type="dxa"/>
            <w:gridSpan w:val="2"/>
            <w:tcBorders>
              <w:right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342" w:type="dxa"/>
            <w:gridSpan w:val="3"/>
            <w:tcBorders>
              <w:left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529"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从事类似项目工作年限</w:t>
            </w:r>
          </w:p>
        </w:tc>
        <w:tc>
          <w:tcPr>
            <w:tcW w:w="1723"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业绩和经历</w:t>
            </w: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44" w:type="dxa"/>
            <w:gridSpan w:val="2"/>
            <w:tcBorders>
              <w:right w:val="single" w:color="auto" w:sz="2" w:space="0"/>
            </w:tcBorders>
            <w:vAlign w:val="center"/>
          </w:tcPr>
          <w:p>
            <w:pPr>
              <w:jc w:val="both"/>
              <w:rPr>
                <w:rFonts w:hint="eastAsia" w:ascii="宋体" w:hAnsi="宋体" w:eastAsia="宋体" w:cs="宋体"/>
                <w:color w:val="auto"/>
                <w:sz w:val="24"/>
                <w:szCs w:val="24"/>
                <w:highlight w:val="none"/>
              </w:rPr>
            </w:pPr>
          </w:p>
        </w:tc>
        <w:tc>
          <w:tcPr>
            <w:tcW w:w="1342" w:type="dxa"/>
            <w:gridSpan w:val="3"/>
            <w:tcBorders>
              <w:left w:val="single" w:color="auto" w:sz="2" w:space="0"/>
            </w:tcBorders>
            <w:vAlign w:val="center"/>
          </w:tcPr>
          <w:p>
            <w:pPr>
              <w:jc w:val="both"/>
              <w:rPr>
                <w:rFonts w:hint="eastAsia" w:ascii="宋体" w:hAnsi="宋体" w:eastAsia="宋体" w:cs="宋体"/>
                <w:color w:val="auto"/>
                <w:sz w:val="24"/>
                <w:szCs w:val="24"/>
                <w:highlight w:val="none"/>
              </w:rPr>
            </w:pPr>
          </w:p>
        </w:tc>
        <w:tc>
          <w:tcPr>
            <w:tcW w:w="1529" w:type="dxa"/>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44" w:type="dxa"/>
            <w:gridSpan w:val="2"/>
            <w:tcBorders>
              <w:right w:val="single" w:color="auto" w:sz="2" w:space="0"/>
            </w:tcBorders>
            <w:vAlign w:val="center"/>
          </w:tcPr>
          <w:p>
            <w:pPr>
              <w:jc w:val="both"/>
              <w:rPr>
                <w:rFonts w:hint="eastAsia" w:ascii="宋体" w:hAnsi="宋体" w:eastAsia="宋体" w:cs="宋体"/>
                <w:color w:val="auto"/>
                <w:sz w:val="24"/>
                <w:szCs w:val="24"/>
                <w:highlight w:val="none"/>
              </w:rPr>
            </w:pPr>
          </w:p>
        </w:tc>
        <w:tc>
          <w:tcPr>
            <w:tcW w:w="1342" w:type="dxa"/>
            <w:gridSpan w:val="3"/>
            <w:tcBorders>
              <w:left w:val="single" w:color="auto" w:sz="2" w:space="0"/>
            </w:tcBorders>
            <w:vAlign w:val="center"/>
          </w:tcPr>
          <w:p>
            <w:pPr>
              <w:jc w:val="both"/>
              <w:rPr>
                <w:rFonts w:hint="eastAsia" w:ascii="宋体" w:hAnsi="宋体" w:eastAsia="宋体" w:cs="宋体"/>
                <w:color w:val="auto"/>
                <w:sz w:val="24"/>
                <w:szCs w:val="24"/>
                <w:highlight w:val="none"/>
              </w:rPr>
            </w:pPr>
          </w:p>
        </w:tc>
        <w:tc>
          <w:tcPr>
            <w:tcW w:w="1529" w:type="dxa"/>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00"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44" w:type="dxa"/>
            <w:gridSpan w:val="2"/>
            <w:tcBorders>
              <w:right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342" w:type="dxa"/>
            <w:gridSpan w:val="3"/>
            <w:tcBorders>
              <w:left w:val="single" w:color="auto" w:sz="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529" w:type="dxa"/>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从事类似项目工作年限</w:t>
            </w:r>
          </w:p>
        </w:tc>
        <w:tc>
          <w:tcPr>
            <w:tcW w:w="1723" w:type="dxa"/>
            <w:gridSpan w:val="2"/>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业绩和经历</w:t>
            </w: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44" w:type="dxa"/>
            <w:gridSpan w:val="2"/>
            <w:tcBorders>
              <w:right w:val="single" w:color="auto" w:sz="2" w:space="0"/>
            </w:tcBorders>
            <w:vAlign w:val="center"/>
          </w:tcPr>
          <w:p>
            <w:pPr>
              <w:jc w:val="both"/>
              <w:rPr>
                <w:rFonts w:hint="eastAsia" w:ascii="宋体" w:hAnsi="宋体" w:eastAsia="宋体" w:cs="宋体"/>
                <w:color w:val="auto"/>
                <w:sz w:val="24"/>
                <w:szCs w:val="24"/>
                <w:highlight w:val="none"/>
              </w:rPr>
            </w:pPr>
          </w:p>
        </w:tc>
        <w:tc>
          <w:tcPr>
            <w:tcW w:w="1342" w:type="dxa"/>
            <w:gridSpan w:val="3"/>
            <w:tcBorders>
              <w:left w:val="single" w:color="auto" w:sz="2" w:space="0"/>
            </w:tcBorders>
            <w:vAlign w:val="center"/>
          </w:tcPr>
          <w:p>
            <w:pPr>
              <w:jc w:val="both"/>
              <w:rPr>
                <w:rFonts w:hint="eastAsia" w:ascii="宋体" w:hAnsi="宋体" w:eastAsia="宋体" w:cs="宋体"/>
                <w:color w:val="auto"/>
                <w:sz w:val="24"/>
                <w:szCs w:val="24"/>
                <w:highlight w:val="none"/>
              </w:rPr>
            </w:pPr>
          </w:p>
        </w:tc>
        <w:tc>
          <w:tcPr>
            <w:tcW w:w="1529" w:type="dxa"/>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99" w:type="dxa"/>
            <w:tcBorders>
              <w:top w:val="single" w:color="auto" w:sz="6" w:space="0"/>
              <w:left w:val="single" w:color="auto" w:sz="12" w:space="0"/>
              <w:bottom w:val="single" w:color="auto" w:sz="6" w:space="0"/>
              <w:right w:val="single" w:color="auto" w:sz="6" w:space="0"/>
            </w:tcBorders>
            <w:vAlign w:val="center"/>
          </w:tcPr>
          <w:p>
            <w:pPr>
              <w:jc w:val="both"/>
              <w:rPr>
                <w:rFonts w:hint="eastAsia" w:ascii="宋体" w:hAnsi="宋体" w:eastAsia="宋体" w:cs="宋体"/>
                <w:color w:val="auto"/>
                <w:sz w:val="24"/>
                <w:szCs w:val="24"/>
                <w:highlight w:val="none"/>
              </w:rPr>
            </w:pPr>
          </w:p>
        </w:tc>
        <w:tc>
          <w:tcPr>
            <w:tcW w:w="941" w:type="dxa"/>
            <w:tcBorders>
              <w:left w:val="single" w:color="auto" w:sz="6" w:space="0"/>
            </w:tcBorders>
            <w:vAlign w:val="center"/>
          </w:tcPr>
          <w:p>
            <w:pPr>
              <w:jc w:val="both"/>
              <w:rPr>
                <w:rFonts w:hint="eastAsia" w:ascii="宋体" w:hAnsi="宋体" w:eastAsia="宋体" w:cs="宋体"/>
                <w:color w:val="auto"/>
                <w:sz w:val="24"/>
                <w:szCs w:val="24"/>
                <w:highlight w:val="none"/>
              </w:rPr>
            </w:pPr>
          </w:p>
        </w:tc>
        <w:tc>
          <w:tcPr>
            <w:tcW w:w="1244" w:type="dxa"/>
            <w:gridSpan w:val="2"/>
            <w:tcBorders>
              <w:right w:val="single" w:color="auto" w:sz="2" w:space="0"/>
            </w:tcBorders>
            <w:vAlign w:val="center"/>
          </w:tcPr>
          <w:p>
            <w:pPr>
              <w:jc w:val="both"/>
              <w:rPr>
                <w:rFonts w:hint="eastAsia" w:ascii="宋体" w:hAnsi="宋体" w:eastAsia="宋体" w:cs="宋体"/>
                <w:color w:val="auto"/>
                <w:sz w:val="24"/>
                <w:szCs w:val="24"/>
                <w:highlight w:val="none"/>
              </w:rPr>
            </w:pPr>
          </w:p>
        </w:tc>
        <w:tc>
          <w:tcPr>
            <w:tcW w:w="1342" w:type="dxa"/>
            <w:gridSpan w:val="3"/>
            <w:tcBorders>
              <w:left w:val="single" w:color="auto" w:sz="2" w:space="0"/>
            </w:tcBorders>
            <w:vAlign w:val="center"/>
          </w:tcPr>
          <w:p>
            <w:pPr>
              <w:jc w:val="both"/>
              <w:rPr>
                <w:rFonts w:hint="eastAsia" w:ascii="宋体" w:hAnsi="宋体" w:eastAsia="宋体" w:cs="宋体"/>
                <w:color w:val="auto"/>
                <w:sz w:val="24"/>
                <w:szCs w:val="24"/>
                <w:highlight w:val="none"/>
              </w:rPr>
            </w:pPr>
          </w:p>
        </w:tc>
        <w:tc>
          <w:tcPr>
            <w:tcW w:w="1529" w:type="dxa"/>
            <w:vAlign w:val="center"/>
          </w:tcPr>
          <w:p>
            <w:pPr>
              <w:jc w:val="both"/>
              <w:rPr>
                <w:rFonts w:hint="eastAsia" w:ascii="宋体" w:hAnsi="宋体" w:eastAsia="宋体" w:cs="宋体"/>
                <w:color w:val="auto"/>
                <w:sz w:val="24"/>
                <w:szCs w:val="24"/>
                <w:highlight w:val="none"/>
              </w:rPr>
            </w:pPr>
          </w:p>
        </w:tc>
        <w:tc>
          <w:tcPr>
            <w:tcW w:w="1723" w:type="dxa"/>
            <w:gridSpan w:val="2"/>
            <w:vAlign w:val="center"/>
          </w:tcPr>
          <w:p>
            <w:pPr>
              <w:jc w:val="both"/>
              <w:rPr>
                <w:rFonts w:hint="eastAsia" w:ascii="宋体" w:hAnsi="宋体" w:eastAsia="宋体" w:cs="宋体"/>
                <w:color w:val="auto"/>
                <w:sz w:val="24"/>
                <w:szCs w:val="24"/>
                <w:highlight w:val="none"/>
              </w:rPr>
            </w:pPr>
          </w:p>
        </w:tc>
        <w:tc>
          <w:tcPr>
            <w:tcW w:w="1022" w:type="dxa"/>
            <w:tcBorders>
              <w:right w:val="single" w:color="auto" w:sz="12" w:space="0"/>
            </w:tcBorders>
            <w:vAlign w:val="center"/>
          </w:tcPr>
          <w:p>
            <w:p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99" w:type="dxa"/>
            <w:tcBorders>
              <w:top w:val="single" w:color="auto" w:sz="6" w:space="0"/>
              <w:left w:val="single" w:color="auto" w:sz="12" w:space="0"/>
              <w:bottom w:val="single" w:color="auto" w:sz="12" w:space="0"/>
              <w:right w:val="single" w:color="auto" w:sz="6"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801" w:type="dxa"/>
            <w:gridSpan w:val="10"/>
            <w:tcBorders>
              <w:left w:val="single" w:color="auto" w:sz="6" w:space="0"/>
              <w:bottom w:val="single" w:color="auto" w:sz="12" w:space="0"/>
              <w:right w:val="single" w:color="auto" w:sz="12" w:space="0"/>
            </w:tcBorders>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1．表格行数不足时请自行扩展。</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2．表中所列“项目负责人、管理人员、技术人员/服务人员、辅助人员”仅为示例，</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可根据招标文件要求自行安排人员类别。</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3．招标文件对人员“资格\学历\职称”提出要求的，应在本表下方附相应的“资格证\学历证\职称证”等证明文件。</w:t>
            </w:r>
          </w:p>
        </w:tc>
      </w:tr>
    </w:tbl>
    <w:p>
      <w:pPr>
        <w:spacing w:line="560" w:lineRule="exact"/>
        <w:ind w:firstLine="2762" w:firstLineChars="115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2．拟投入项目的专业设备情况表</w:t>
      </w:r>
    </w:p>
    <w:tbl>
      <w:tblPr>
        <w:tblStyle w:val="8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52"/>
        <w:gridCol w:w="1361"/>
        <w:gridCol w:w="1474"/>
        <w:gridCol w:w="851"/>
        <w:gridCol w:w="1559"/>
        <w:gridCol w:w="1418"/>
        <w:gridCol w:w="16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361"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设备名称</w:t>
            </w:r>
          </w:p>
        </w:tc>
        <w:tc>
          <w:tcPr>
            <w:tcW w:w="1474"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计量单位</w:t>
            </w:r>
          </w:p>
        </w:tc>
        <w:tc>
          <w:tcPr>
            <w:tcW w:w="851"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1559"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生产企业</w:t>
            </w:r>
          </w:p>
        </w:tc>
        <w:tc>
          <w:tcPr>
            <w:tcW w:w="1418"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使用年限</w:t>
            </w:r>
          </w:p>
        </w:tc>
        <w:tc>
          <w:tcPr>
            <w:tcW w:w="1653" w:type="dxa"/>
            <w:tcBorders>
              <w:top w:val="single" w:color="auto" w:sz="12" w:space="0"/>
              <w:bottom w:val="single" w:color="auto" w:sz="2" w:space="0"/>
            </w:tcBorders>
            <w:shd w:val="clear" w:color="auto" w:fill="F1F1F1" w:themeFill="background1" w:themeFillShade="F2"/>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自购/外协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tcBorders>
              <w:top w:val="single" w:color="auto" w:sz="2" w:space="0"/>
            </w:tcBorders>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36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74"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851"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559"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418" w:type="dxa"/>
            <w:shd w:val="clear" w:color="auto" w:fill="auto"/>
            <w:vAlign w:val="center"/>
          </w:tcPr>
          <w:p>
            <w:pPr>
              <w:ind w:firstLine="0"/>
              <w:jc w:val="both"/>
              <w:rPr>
                <w:rFonts w:hint="eastAsia" w:ascii="宋体" w:hAnsi="宋体" w:eastAsia="宋体" w:cs="宋体"/>
                <w:color w:val="auto"/>
                <w:kern w:val="2"/>
                <w:sz w:val="24"/>
                <w:szCs w:val="24"/>
                <w:highlight w:val="none"/>
              </w:rPr>
            </w:pPr>
          </w:p>
        </w:tc>
        <w:tc>
          <w:tcPr>
            <w:tcW w:w="1653" w:type="dxa"/>
            <w:shd w:val="clear" w:color="auto" w:fill="auto"/>
            <w:vAlign w:val="center"/>
          </w:tcPr>
          <w:p>
            <w:pPr>
              <w:ind w:firstLine="0"/>
              <w:jc w:val="both"/>
              <w:rPr>
                <w:rFonts w:hint="eastAsia" w:ascii="宋体" w:hAnsi="宋体" w:eastAsia="宋体" w:cs="宋体"/>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c>
          <w:tcPr>
            <w:tcW w:w="8316" w:type="dxa"/>
            <w:gridSpan w:val="6"/>
            <w:shd w:val="clear" w:color="auto" w:fill="auto"/>
            <w:vAlign w:val="center"/>
          </w:tcPr>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1．表格行数不足时请自行扩展。</w:t>
            </w:r>
          </w:p>
          <w:p>
            <w:pPr>
              <w:ind w:firstLine="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2．设备可以填写单台设备，也可以填写成套设备。</w:t>
            </w:r>
          </w:p>
        </w:tc>
      </w:tr>
    </w:tbl>
    <w:p>
      <w:pPr>
        <w:spacing w:line="560" w:lineRule="exact"/>
        <w:ind w:firstLine="2762" w:firstLineChars="115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3．业绩</w:t>
      </w: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p>
    <w:p>
      <w:pPr>
        <w:spacing w:line="56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4.其他（根据招标文件要求自行补充）</w:t>
      </w:r>
    </w:p>
    <w:sectPr>
      <w:headerReference r:id="rId9" w:type="first"/>
      <w:footerReference r:id="rId12" w:type="first"/>
      <w:headerReference r:id="rId8" w:type="default"/>
      <w:footerReference r:id="rId10" w:type="default"/>
      <w:footerReference r:id="rId11" w:type="even"/>
      <w:pgSz w:w="11906" w:h="16838"/>
      <w:pgMar w:top="1440" w:right="1406" w:bottom="1440" w:left="1633" w:header="851" w:footer="992" w:gutter="0"/>
      <w:pgBorders>
        <w:top w:val="none" w:sz="0" w:space="0"/>
        <w:left w:val="none" w:sz="0" w:space="0"/>
        <w:bottom w:val="none" w:sz="0" w:space="0"/>
        <w:right w:val="none" w:sz="0" w:space="0"/>
      </w:pgBorders>
      <w:pgNumType w:fmt="decimal" w:start="2"/>
      <w:cols w:space="425" w:num="1"/>
      <w:titlePg/>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left"/>
      <w:rPr>
        <w:rFonts w:hint="eastAsia" w:ascii="仿宋" w:hAnsi="仿宋" w:eastAsia="仿宋"/>
        <w:b/>
        <w:szCs w:val="21"/>
      </w:rPr>
    </w:pPr>
    <w:r>
      <w:rPr>
        <w:rFonts w:hint="eastAsia" w:ascii="仿宋" w:hAnsi="仿宋" w:eastAsia="仿宋"/>
        <w:b/>
        <w:szCs w:val="21"/>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126365</wp:posOffset>
              </wp:positionV>
              <wp:extent cx="5588000" cy="34925"/>
              <wp:effectExtent l="0" t="4445" r="12700" b="17780"/>
              <wp:wrapNone/>
              <wp:docPr id="7" name="直接箭头连接符 7"/>
              <wp:cNvGraphicFramePr/>
              <a:graphic xmlns:a="http://schemas.openxmlformats.org/drawingml/2006/main">
                <a:graphicData uri="http://schemas.microsoft.com/office/word/2010/wordprocessingShape">
                  <wps:wsp>
                    <wps:cNvCnPr/>
                    <wps:spPr>
                      <a:xfrm>
                        <a:off x="0" y="0"/>
                        <a:ext cx="5588000" cy="3492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05pt;margin-top:9.95pt;height:2.75pt;width:440pt;z-index:251661312;mso-width-relative:page;mso-height-relative:page;" filled="f" stroked="t" coordsize="21600,21600" o:gfxdata="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hHe19QAAAAGAQAADwAAAAAAAAABACAAAAAiAAAAZHJzL2Rvd25yZXYu&#10;eG1sUEsBAhQAFAAAAAgAh07iQBT160b/AQAA8AMAAA4AAAAAAAAAAQAgAAAAIwEAAGRycy9lMm9E&#10;b2MueG1sUEsFBgAAAAAGAAYAWQEAAJQFAAAAAA==&#10;">
              <v:fill on="f" focussize="0,0"/>
              <v:stroke weight="0.25pt" color="#000000" joinstyle="round"/>
              <v:imagedata o:title=""/>
              <o:lock v:ext="edit" aspectratio="f"/>
            </v:shape>
          </w:pict>
        </mc:Fallback>
      </mc:AlternateContent>
    </w:r>
  </w:p>
  <w:p>
    <w:pPr>
      <w:spacing w:line="280" w:lineRule="exact"/>
      <w:jc w:val="center"/>
    </w:pPr>
    <w:r>
      <w:rPr>
        <w:rFonts w:hint="eastAsia" w:ascii="宋体" w:hAnsi="宋体"/>
        <w:b/>
        <w:sz w:val="18"/>
        <w:szCs w:val="18"/>
      </w:rPr>
      <w:t>陕西上德招标有限公司（</w:t>
    </w:r>
    <w:r>
      <w:rPr>
        <w:rFonts w:ascii="宋体" w:hAnsi="宋体"/>
        <w:b/>
        <w:sz w:val="18"/>
        <w:szCs w:val="18"/>
      </w:rPr>
      <w:fldChar w:fldCharType="begin"/>
    </w:r>
    <w:r>
      <w:rPr>
        <w:rFonts w:ascii="宋体" w:hAnsi="宋体"/>
        <w:b/>
        <w:sz w:val="18"/>
        <w:szCs w:val="18"/>
      </w:rPr>
      <w:instrText xml:space="preserve"> HYPERLINK "http://www.sxsdzb.com/" </w:instrText>
    </w:r>
    <w:r>
      <w:rPr>
        <w:rFonts w:ascii="宋体" w:hAnsi="宋体"/>
        <w:b/>
        <w:sz w:val="18"/>
        <w:szCs w:val="18"/>
      </w:rPr>
      <w:fldChar w:fldCharType="separate"/>
    </w:r>
    <w:r>
      <w:rPr>
        <w:rStyle w:val="32"/>
        <w:rFonts w:ascii="宋体" w:hAnsi="宋体"/>
        <w:sz w:val="18"/>
        <w:szCs w:val="18"/>
      </w:rPr>
      <w:t>http://www.sxsdzb.com/</w:t>
    </w:r>
    <w:r>
      <w:rPr>
        <w:rFonts w:ascii="宋体" w:hAnsi="宋体"/>
        <w:b/>
        <w:sz w:val="18"/>
        <w:szCs w:val="18"/>
      </w:rPr>
      <w:fldChar w:fldCharType="end"/>
    </w:r>
    <w:r>
      <w:rPr>
        <w:rFonts w:hint="eastAsia" w:ascii="宋体" w:hAnsi="宋体"/>
        <w:b/>
        <w:sz w:val="18"/>
        <w:szCs w:val="18"/>
      </w:rPr>
      <w:t>）    西安市经开区凤城八路正尚国际金融广场A座7层703第</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PAGE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53</w:t>
    </w:r>
    <w:r>
      <w:rPr>
        <w:rFonts w:ascii="宋体" w:hAnsi="宋体"/>
        <w:b/>
        <w:sz w:val="18"/>
        <w:szCs w:val="18"/>
      </w:rPr>
      <w:fldChar w:fldCharType="end"/>
    </w:r>
    <w:r>
      <w:rPr>
        <w:rFonts w:hint="eastAsia" w:ascii="宋体" w:hAnsi="宋体"/>
        <w:b/>
        <w:sz w:val="18"/>
        <w:szCs w:val="18"/>
      </w:rPr>
      <w:t>页 共</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NUMPAGES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70</w:t>
    </w:r>
    <w:r>
      <w:rPr>
        <w:rFonts w:ascii="宋体" w:hAnsi="宋体"/>
        <w:b/>
        <w:sz w:val="18"/>
        <w:szCs w:val="18"/>
      </w:rPr>
      <w:fldChar w:fldCharType="end"/>
    </w:r>
    <w:r>
      <w:rPr>
        <w:rFonts w:hint="eastAsia" w:ascii="宋体" w:hAnsi="宋体"/>
        <w:b/>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left"/>
      <w:rPr>
        <w:rFonts w:hint="eastAsia" w:ascii="仿宋" w:hAnsi="仿宋" w:eastAsia="仿宋"/>
        <w:b/>
        <w:szCs w:val="21"/>
      </w:rPr>
    </w:pPr>
    <w:r>
      <w:rPr>
        <w:rFonts w:hint="eastAsia" w:ascii="仿宋" w:hAnsi="仿宋" w:eastAsia="仿宋"/>
        <w:b/>
        <w:szCs w:val="21"/>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126365</wp:posOffset>
              </wp:positionV>
              <wp:extent cx="5588000" cy="34925"/>
              <wp:effectExtent l="0" t="4445" r="12700" b="17780"/>
              <wp:wrapNone/>
              <wp:docPr id="6" name="直接箭头连接符 6"/>
              <wp:cNvGraphicFramePr/>
              <a:graphic xmlns:a="http://schemas.openxmlformats.org/drawingml/2006/main">
                <a:graphicData uri="http://schemas.microsoft.com/office/word/2010/wordprocessingShape">
                  <wps:wsp>
                    <wps:cNvCnPr/>
                    <wps:spPr>
                      <a:xfrm>
                        <a:off x="0" y="0"/>
                        <a:ext cx="5588000" cy="3492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05pt;margin-top:9.95pt;height:2.75pt;width:440pt;z-index:251662336;mso-width-relative:page;mso-height-relative:page;" filled="f" stroked="t" coordsize="21600,21600" o:gfxdata="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hHe19QAAAAGAQAADwAAAAAAAAABACAAAAAiAAAAZHJzL2Rvd25yZXYu&#10;eG1sUEsBAhQAFAAAAAgAh07iQFOFMQn/AQAA8AMAAA4AAAAAAAAAAQAgAAAAIwEAAGRycy9lMm9E&#10;b2MueG1sUEsFBgAAAAAGAAYAWQEAAJQFAAAAAA==&#10;">
              <v:fill on="f" focussize="0,0"/>
              <v:stroke weight="0.25pt" color="#000000" joinstyle="round"/>
              <v:imagedata o:title=""/>
              <o:lock v:ext="edit" aspectratio="f"/>
            </v:shape>
          </w:pict>
        </mc:Fallback>
      </mc:AlternateContent>
    </w:r>
  </w:p>
  <w:p>
    <w:pPr>
      <w:spacing w:line="280" w:lineRule="exact"/>
      <w:jc w:val="center"/>
      <w:rPr>
        <w:rFonts w:hint="eastAsia" w:ascii="宋体" w:hAnsi="宋体"/>
        <w:b/>
        <w:sz w:val="18"/>
        <w:szCs w:val="18"/>
      </w:rPr>
    </w:pPr>
    <w:r>
      <w:rPr>
        <w:rFonts w:hint="eastAsia" w:ascii="宋体" w:hAnsi="宋体"/>
        <w:b/>
        <w:sz w:val="18"/>
        <w:szCs w:val="18"/>
      </w:rPr>
      <w:t>陕西上德招标有限公司（</w:t>
    </w:r>
    <w:r>
      <w:rPr>
        <w:rFonts w:ascii="宋体" w:hAnsi="宋体"/>
        <w:b/>
        <w:sz w:val="18"/>
        <w:szCs w:val="18"/>
      </w:rPr>
      <w:fldChar w:fldCharType="begin"/>
    </w:r>
    <w:r>
      <w:rPr>
        <w:rFonts w:ascii="宋体" w:hAnsi="宋体"/>
        <w:b/>
        <w:sz w:val="18"/>
        <w:szCs w:val="18"/>
      </w:rPr>
      <w:instrText xml:space="preserve"> HYPERLINK "http://www.sxsdzb.com/" </w:instrText>
    </w:r>
    <w:r>
      <w:rPr>
        <w:rFonts w:ascii="宋体" w:hAnsi="宋体"/>
        <w:b/>
        <w:sz w:val="18"/>
        <w:szCs w:val="18"/>
      </w:rPr>
      <w:fldChar w:fldCharType="separate"/>
    </w:r>
    <w:r>
      <w:rPr>
        <w:rStyle w:val="32"/>
        <w:rFonts w:ascii="宋体" w:hAnsi="宋体"/>
        <w:sz w:val="18"/>
        <w:szCs w:val="18"/>
      </w:rPr>
      <w:t>http://www.sxsdzb.com/</w:t>
    </w:r>
    <w:r>
      <w:rPr>
        <w:rFonts w:ascii="宋体" w:hAnsi="宋体"/>
        <w:b/>
        <w:sz w:val="18"/>
        <w:szCs w:val="18"/>
      </w:rPr>
      <w:fldChar w:fldCharType="end"/>
    </w:r>
    <w:r>
      <w:rPr>
        <w:rFonts w:hint="eastAsia" w:ascii="宋体" w:hAnsi="宋体"/>
        <w:b/>
        <w:sz w:val="18"/>
        <w:szCs w:val="18"/>
      </w:rPr>
      <w:t>）    西安市经开区凤城八路正尚国际金融广场A座7层703第</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PAGE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53</w:t>
    </w:r>
    <w:r>
      <w:rPr>
        <w:rFonts w:ascii="宋体" w:hAnsi="宋体"/>
        <w:b/>
        <w:sz w:val="18"/>
        <w:szCs w:val="18"/>
      </w:rPr>
      <w:fldChar w:fldCharType="end"/>
    </w:r>
    <w:r>
      <w:rPr>
        <w:rFonts w:hint="eastAsia" w:ascii="宋体" w:hAnsi="宋体"/>
        <w:b/>
        <w:sz w:val="18"/>
        <w:szCs w:val="18"/>
      </w:rPr>
      <w:t>页 共</w:t>
    </w: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NUMPAGES  \* Arabic  \* MERGEFORMAT</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b/>
        <w:sz w:val="18"/>
        <w:szCs w:val="18"/>
      </w:rPr>
      <w:t>70</w:t>
    </w:r>
    <w:r>
      <w:rPr>
        <w:rFonts w:ascii="宋体" w:hAnsi="宋体"/>
        <w:b/>
        <w:sz w:val="18"/>
        <w:szCs w:val="18"/>
      </w:rPr>
      <w:fldChar w:fldCharType="end"/>
    </w:r>
    <w:r>
      <w:rPr>
        <w:rFonts w:hint="eastAsia" w:ascii="宋体" w:hAnsi="宋体"/>
        <w:b/>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hint="default" w:ascii="宋体" w:hAnsi="宋体" w:eastAsia="宋体"/>
        <w:b/>
        <w:sz w:val="18"/>
        <w:szCs w:val="18"/>
        <w:u w:val="single"/>
        <w:lang w:val="en-US" w:eastAsia="zh-CN"/>
      </w:rPr>
    </w:pPr>
    <w:r>
      <w:rPr>
        <w:rFonts w:hint="eastAsia" w:ascii="宋体" w:hAnsi="宋体"/>
        <w:b/>
        <w:sz w:val="18"/>
        <w:szCs w:val="18"/>
        <w:u w:val="single"/>
        <w:lang w:eastAsia="zh-CN"/>
      </w:rPr>
      <w:t>西安市鄠邑区妇幼保健计划生育服务中心（区妇幼保健院）宫腔镜和电子阴道镜系统购置项目</w:t>
    </w:r>
    <w:r>
      <w:rPr>
        <w:rFonts w:hint="eastAsia" w:ascii="宋体" w:hAnsi="宋体"/>
        <w:b/>
        <w:sz w:val="18"/>
        <w:szCs w:val="18"/>
        <w:u w:val="single"/>
      </w:rPr>
      <w:t xml:space="preserve">       </w:t>
    </w:r>
    <w:r>
      <w:rPr>
        <w:rFonts w:hint="eastAsia" w:ascii="宋体" w:hAnsi="宋体"/>
        <w:b/>
        <w:sz w:val="18"/>
        <w:szCs w:val="18"/>
        <w:u w:val="single"/>
        <w:lang w:val="en-US" w:eastAsia="zh-CN"/>
      </w:rPr>
      <w:t xml:space="preserve">                  </w:t>
    </w:r>
    <w:r>
      <w:rPr>
        <w:rFonts w:hint="eastAsia" w:ascii="宋体" w:hAnsi="宋体"/>
        <w:b/>
        <w:sz w:val="18"/>
        <w:szCs w:val="18"/>
        <w:u w:val="single"/>
      </w:rPr>
      <w:t xml:space="preserve">    项目编号: </w:t>
    </w:r>
    <w:r>
      <w:rPr>
        <w:rFonts w:hint="eastAsia" w:ascii="宋体" w:hAnsi="宋体"/>
        <w:b/>
        <w:sz w:val="18"/>
        <w:szCs w:val="18"/>
        <w:u w:val="single"/>
        <w:lang w:eastAsia="zh-CN"/>
      </w:rPr>
      <w:t>SDZC2022-286-01</w:t>
    </w:r>
  </w:p>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hint="default" w:ascii="宋体" w:hAnsi="宋体" w:eastAsia="宋体"/>
        <w:b/>
        <w:spacing w:val="-6"/>
        <w:sz w:val="18"/>
        <w:szCs w:val="18"/>
        <w:u w:val="single"/>
        <w:lang w:val="en-US" w:eastAsia="zh-CN"/>
      </w:rPr>
    </w:pPr>
    <w:r>
      <w:rPr>
        <w:rFonts w:hint="eastAsia" w:ascii="宋体" w:hAnsi="宋体"/>
        <w:b/>
        <w:spacing w:val="-6"/>
        <w:sz w:val="18"/>
        <w:szCs w:val="18"/>
        <w:u w:val="single"/>
        <w:lang w:eastAsia="zh-CN"/>
      </w:rPr>
      <w:t>西安市鄠邑区妇幼保健计划生育服务中心（区妇幼保健院）宫腔镜和电子阴道镜系统购置项目</w:t>
    </w:r>
    <w:r>
      <w:rPr>
        <w:rFonts w:hint="eastAsia" w:ascii="宋体" w:hAnsi="宋体"/>
        <w:b/>
        <w:spacing w:val="-6"/>
        <w:sz w:val="18"/>
        <w:szCs w:val="18"/>
        <w:u w:val="single"/>
      </w:rPr>
      <w:t xml:space="preserve">项目编号: </w:t>
    </w:r>
    <w:r>
      <w:rPr>
        <w:rFonts w:hint="eastAsia" w:ascii="宋体" w:hAnsi="宋体"/>
        <w:b/>
        <w:spacing w:val="-6"/>
        <w:sz w:val="18"/>
        <w:szCs w:val="18"/>
        <w:u w:val="single"/>
        <w:lang w:eastAsia="zh-CN"/>
      </w:rPr>
      <w:t>SDZC2022-286-01</w:t>
    </w:r>
  </w:p>
  <w:p>
    <w:pPr>
      <w:pStyle w:val="2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hint="default" w:ascii="宋体" w:hAnsi="宋体" w:eastAsia="宋体"/>
        <w:b/>
        <w:spacing w:val="-6"/>
        <w:sz w:val="18"/>
        <w:szCs w:val="18"/>
        <w:u w:val="single"/>
        <w:lang w:val="en-US" w:eastAsia="zh-CN"/>
      </w:rPr>
    </w:pPr>
    <w:r>
      <w:rPr>
        <w:rFonts w:hint="eastAsia" w:ascii="宋体" w:hAnsi="宋体" w:eastAsiaTheme="minorEastAsia"/>
        <w:b/>
        <w:spacing w:val="-6"/>
        <w:sz w:val="18"/>
        <w:szCs w:val="18"/>
        <w:u w:val="single"/>
        <w:lang w:eastAsia="zh-CN"/>
      </w:rPr>
      <w:t>西安市鄠邑区妇幼保健计划生育服务中心（区妇幼保健院）宫腔镜和电子阴道镜系统购置项目</w:t>
    </w:r>
    <w:r>
      <w:rPr>
        <w:rFonts w:hint="eastAsia" w:ascii="宋体" w:hAnsi="宋体" w:eastAsiaTheme="minorEastAsia"/>
        <w:b/>
        <w:spacing w:val="-6"/>
        <w:sz w:val="18"/>
        <w:szCs w:val="18"/>
        <w:u w:val="single"/>
      </w:rPr>
      <w:t xml:space="preserve">项目编号: </w:t>
    </w:r>
    <w:r>
      <w:rPr>
        <w:rFonts w:hint="eastAsia" w:ascii="宋体" w:hAnsi="宋体" w:eastAsiaTheme="minorEastAsia"/>
        <w:b/>
        <w:spacing w:val="-6"/>
        <w:sz w:val="18"/>
        <w:szCs w:val="18"/>
        <w:u w:val="single"/>
        <w:lang w:eastAsia="zh-CN"/>
      </w:rPr>
      <w:t>SDZC2022-286-01</w:t>
    </w:r>
  </w:p>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D267F"/>
    <w:multiLevelType w:val="singleLevel"/>
    <w:tmpl w:val="958D267F"/>
    <w:lvl w:ilvl="0" w:tentative="0">
      <w:start w:val="4"/>
      <w:numFmt w:val="chineseCounting"/>
      <w:suff w:val="nothing"/>
      <w:lvlText w:val="（%1）"/>
      <w:lvlJc w:val="left"/>
      <w:rPr>
        <w:rFonts w:hint="eastAsia"/>
      </w:rPr>
    </w:lvl>
  </w:abstractNum>
  <w:abstractNum w:abstractNumId="1">
    <w:nsid w:val="AC4F17C0"/>
    <w:multiLevelType w:val="singleLevel"/>
    <w:tmpl w:val="AC4F17C0"/>
    <w:lvl w:ilvl="0" w:tentative="0">
      <w:start w:val="3"/>
      <w:numFmt w:val="chineseCounting"/>
      <w:suff w:val="space"/>
      <w:lvlText w:val="第%1章"/>
      <w:lvlJc w:val="left"/>
      <w:rPr>
        <w:rFonts w:hint="eastAsia"/>
      </w:rPr>
    </w:lvl>
  </w:abstractNum>
  <w:abstractNum w:abstractNumId="2">
    <w:nsid w:val="14F40E13"/>
    <w:multiLevelType w:val="multilevel"/>
    <w:tmpl w:val="14F40E13"/>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23EAE8E9"/>
    <w:multiLevelType w:val="singleLevel"/>
    <w:tmpl w:val="23EAE8E9"/>
    <w:lvl w:ilvl="0" w:tentative="0">
      <w:start w:val="1"/>
      <w:numFmt w:val="chineseCounting"/>
      <w:suff w:val="nothing"/>
      <w:lvlText w:val="%1、"/>
      <w:lvlJc w:val="left"/>
      <w:rPr>
        <w:rFonts w:hint="eastAsia"/>
      </w:rPr>
    </w:lvl>
  </w:abstractNum>
  <w:abstractNum w:abstractNumId="4">
    <w:nsid w:val="24F6DA4E"/>
    <w:multiLevelType w:val="singleLevel"/>
    <w:tmpl w:val="24F6DA4E"/>
    <w:lvl w:ilvl="0" w:tentative="0">
      <w:start w:val="1"/>
      <w:numFmt w:val="decimal"/>
      <w:lvlText w:val="%1."/>
      <w:lvlJc w:val="left"/>
      <w:pPr>
        <w:ind w:left="425" w:hanging="425"/>
      </w:pPr>
      <w:rPr>
        <w:rFonts w:hint="default"/>
      </w:rPr>
    </w:lvl>
  </w:abstractNum>
  <w:abstractNum w:abstractNumId="5">
    <w:nsid w:val="410C73F1"/>
    <w:multiLevelType w:val="multilevel"/>
    <w:tmpl w:val="410C73F1"/>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55A6183C"/>
    <w:multiLevelType w:val="singleLevel"/>
    <w:tmpl w:val="55A6183C"/>
    <w:lvl w:ilvl="0" w:tentative="0">
      <w:start w:val="1"/>
      <w:numFmt w:val="chineseCounting"/>
      <w:suff w:val="nothing"/>
      <w:lvlText w:val="%1、"/>
      <w:lvlJc w:val="left"/>
    </w:lvl>
  </w:abstractNum>
  <w:abstractNum w:abstractNumId="7">
    <w:nsid w:val="5C3CC36B"/>
    <w:multiLevelType w:val="singleLevel"/>
    <w:tmpl w:val="5C3CC36B"/>
    <w:lvl w:ilvl="0" w:tentative="0">
      <w:start w:val="3"/>
      <w:numFmt w:val="chineseCounting"/>
      <w:suff w:val="nothing"/>
      <w:lvlText w:val="（%1）"/>
      <w:lvlJc w:val="left"/>
      <w:rPr>
        <w:rFonts w:hint="eastAsia"/>
      </w:rPr>
    </w:lvl>
  </w:abstractNum>
  <w:abstractNum w:abstractNumId="8">
    <w:nsid w:val="6604CFB2"/>
    <w:multiLevelType w:val="multilevel"/>
    <w:tmpl w:val="6604CFB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0">
    <w:nsid w:val="7A914DF8"/>
    <w:multiLevelType w:val="singleLevel"/>
    <w:tmpl w:val="7A914DF8"/>
    <w:lvl w:ilvl="0" w:tentative="0">
      <w:start w:val="2"/>
      <w:numFmt w:val="decimal"/>
      <w:lvlText w:val="%1."/>
      <w:lvlJc w:val="left"/>
      <w:pPr>
        <w:tabs>
          <w:tab w:val="left" w:pos="312"/>
        </w:tabs>
      </w:pPr>
    </w:lvl>
  </w:abstractNum>
  <w:num w:numId="1">
    <w:abstractNumId w:val="9"/>
  </w:num>
  <w:num w:numId="2">
    <w:abstractNumId w:val="10"/>
  </w:num>
  <w:num w:numId="3">
    <w:abstractNumId w:val="7"/>
  </w:num>
  <w:num w:numId="4">
    <w:abstractNumId w:val="4"/>
  </w:num>
  <w:num w:numId="5">
    <w:abstractNumId w:val="1"/>
  </w:num>
  <w:num w:numId="6">
    <w:abstractNumId w:val="3"/>
  </w:num>
  <w:num w:numId="7">
    <w:abstractNumId w:val="8"/>
  </w:num>
  <w:num w:numId="8">
    <w:abstractNumId w:val="5"/>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ODNlYjZjZWMzNDM3YjRkMjE4MzBmODAzNWZiY2U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64E6FAC"/>
    <w:rsid w:val="06C02D91"/>
    <w:rsid w:val="082779D0"/>
    <w:rsid w:val="08CC281C"/>
    <w:rsid w:val="0B3D67C1"/>
    <w:rsid w:val="0BBF3AF2"/>
    <w:rsid w:val="0C18767D"/>
    <w:rsid w:val="0C38016B"/>
    <w:rsid w:val="0C4D41B4"/>
    <w:rsid w:val="0C886EAB"/>
    <w:rsid w:val="0DF93BB4"/>
    <w:rsid w:val="0E3E3FD7"/>
    <w:rsid w:val="0E7A273F"/>
    <w:rsid w:val="0EB07F45"/>
    <w:rsid w:val="10051A3A"/>
    <w:rsid w:val="1018023C"/>
    <w:rsid w:val="10F25D7A"/>
    <w:rsid w:val="121877CE"/>
    <w:rsid w:val="150F1F18"/>
    <w:rsid w:val="15D66ED9"/>
    <w:rsid w:val="175E3CFF"/>
    <w:rsid w:val="18235FF2"/>
    <w:rsid w:val="19230DE2"/>
    <w:rsid w:val="19DF45AE"/>
    <w:rsid w:val="1A147DA1"/>
    <w:rsid w:val="1BA333BA"/>
    <w:rsid w:val="1C305AEA"/>
    <w:rsid w:val="1D56777E"/>
    <w:rsid w:val="1DA34EBE"/>
    <w:rsid w:val="21DA565B"/>
    <w:rsid w:val="23DD54D0"/>
    <w:rsid w:val="2407582A"/>
    <w:rsid w:val="24827E18"/>
    <w:rsid w:val="25824FE5"/>
    <w:rsid w:val="261F47B0"/>
    <w:rsid w:val="26BD744C"/>
    <w:rsid w:val="26BE1CB8"/>
    <w:rsid w:val="26E17BDE"/>
    <w:rsid w:val="281A500B"/>
    <w:rsid w:val="288C387C"/>
    <w:rsid w:val="289C18BC"/>
    <w:rsid w:val="29203D1F"/>
    <w:rsid w:val="2A93551D"/>
    <w:rsid w:val="2AC52913"/>
    <w:rsid w:val="2C7D0FBC"/>
    <w:rsid w:val="2DB9081B"/>
    <w:rsid w:val="2F060E7D"/>
    <w:rsid w:val="2F517D03"/>
    <w:rsid w:val="2F5C7FF7"/>
    <w:rsid w:val="31124E12"/>
    <w:rsid w:val="31541D0B"/>
    <w:rsid w:val="33247CD6"/>
    <w:rsid w:val="33841D5E"/>
    <w:rsid w:val="33D62126"/>
    <w:rsid w:val="355C665B"/>
    <w:rsid w:val="35942299"/>
    <w:rsid w:val="364E2F3D"/>
    <w:rsid w:val="38231018"/>
    <w:rsid w:val="3875032D"/>
    <w:rsid w:val="39DA12C6"/>
    <w:rsid w:val="39DD0A1D"/>
    <w:rsid w:val="3A5F3290"/>
    <w:rsid w:val="3E95498C"/>
    <w:rsid w:val="3F9E3891"/>
    <w:rsid w:val="40443AC7"/>
    <w:rsid w:val="44A36BED"/>
    <w:rsid w:val="47E15034"/>
    <w:rsid w:val="4856407A"/>
    <w:rsid w:val="48847FFB"/>
    <w:rsid w:val="48D91E83"/>
    <w:rsid w:val="49112EE1"/>
    <w:rsid w:val="496F0613"/>
    <w:rsid w:val="4A0621B7"/>
    <w:rsid w:val="4A2C52C8"/>
    <w:rsid w:val="4B5D5C92"/>
    <w:rsid w:val="4BBE277F"/>
    <w:rsid w:val="4C2F4672"/>
    <w:rsid w:val="4C957214"/>
    <w:rsid w:val="4D9E5CA8"/>
    <w:rsid w:val="4E823E01"/>
    <w:rsid w:val="4F8F3E16"/>
    <w:rsid w:val="50B12FCF"/>
    <w:rsid w:val="515A0737"/>
    <w:rsid w:val="53B4545D"/>
    <w:rsid w:val="548B737D"/>
    <w:rsid w:val="561072C2"/>
    <w:rsid w:val="565D28F6"/>
    <w:rsid w:val="586456A3"/>
    <w:rsid w:val="5BC85B04"/>
    <w:rsid w:val="5CAB1AF3"/>
    <w:rsid w:val="5DEA21A7"/>
    <w:rsid w:val="5E9B7945"/>
    <w:rsid w:val="5EC56770"/>
    <w:rsid w:val="61944EFC"/>
    <w:rsid w:val="61C54B0A"/>
    <w:rsid w:val="637D0D3C"/>
    <w:rsid w:val="6413753B"/>
    <w:rsid w:val="646D18AF"/>
    <w:rsid w:val="65717652"/>
    <w:rsid w:val="66625E23"/>
    <w:rsid w:val="66806C64"/>
    <w:rsid w:val="689F73A2"/>
    <w:rsid w:val="69965CFB"/>
    <w:rsid w:val="6B8359E9"/>
    <w:rsid w:val="6C0B2879"/>
    <w:rsid w:val="6D7D4E4F"/>
    <w:rsid w:val="6E5D42B4"/>
    <w:rsid w:val="6EFF5CCE"/>
    <w:rsid w:val="707327C8"/>
    <w:rsid w:val="70FF6BF9"/>
    <w:rsid w:val="734E5C82"/>
    <w:rsid w:val="736A0201"/>
    <w:rsid w:val="741144D9"/>
    <w:rsid w:val="741D5387"/>
    <w:rsid w:val="756E5221"/>
    <w:rsid w:val="76DF18DF"/>
    <w:rsid w:val="7A897F87"/>
    <w:rsid w:val="7CF60FEF"/>
    <w:rsid w:val="7E21356B"/>
    <w:rsid w:val="7E4121CA"/>
    <w:rsid w:val="7E92713B"/>
    <w:rsid w:val="7EB7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57"/>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58"/>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59"/>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60"/>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1"/>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2"/>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63"/>
    <w:semiHidden/>
    <w:unhideWhenUsed/>
    <w:qFormat/>
    <w:uiPriority w:val="9"/>
    <w:pPr>
      <w:numPr>
        <w:ilvl w:val="6"/>
        <w:numId w:val="1"/>
      </w:numPr>
      <w:spacing w:before="240" w:after="60"/>
      <w:outlineLvl w:val="6"/>
    </w:pPr>
  </w:style>
  <w:style w:type="paragraph" w:styleId="10">
    <w:name w:val="heading 8"/>
    <w:basedOn w:val="1"/>
    <w:next w:val="1"/>
    <w:link w:val="64"/>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65"/>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12">
    <w:name w:val="caption"/>
    <w:basedOn w:val="1"/>
    <w:next w:val="1"/>
    <w:semiHidden/>
    <w:unhideWhenUsed/>
    <w:qFormat/>
    <w:uiPriority w:val="35"/>
    <w:rPr>
      <w:rFonts w:eastAsia="黑体" w:asciiTheme="majorHAnsi" w:hAnsiTheme="majorHAnsi" w:cstheme="majorBidi"/>
      <w:sz w:val="20"/>
      <w:szCs w:val="20"/>
    </w:rPr>
  </w:style>
  <w:style w:type="paragraph" w:styleId="13">
    <w:name w:val="Document Map"/>
    <w:basedOn w:val="1"/>
    <w:link w:val="89"/>
    <w:semiHidden/>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81"/>
    <w:unhideWhenUsed/>
    <w:qFormat/>
    <w:uiPriority w:val="99"/>
    <w:pPr>
      <w:spacing w:line="400" w:lineRule="exact"/>
    </w:pPr>
    <w:rPr>
      <w:rFonts w:ascii="Calibri Light" w:hAnsi="Calibri Light" w:eastAsia="华文仿宋" w:cs="Calibri Light"/>
      <w:kern w:val="2"/>
      <w:sz w:val="28"/>
      <w:szCs w:val="28"/>
    </w:rPr>
  </w:style>
  <w:style w:type="paragraph" w:styleId="15">
    <w:name w:val="Body Text"/>
    <w:basedOn w:val="1"/>
    <w:next w:val="1"/>
    <w:unhideWhenUsed/>
    <w:qFormat/>
    <w:uiPriority w:val="99"/>
    <w:pPr>
      <w:spacing w:after="120"/>
    </w:pPr>
    <w:rPr>
      <w:rFonts w:eastAsia="Times New Roman"/>
    </w:rPr>
  </w:style>
  <w:style w:type="paragraph" w:styleId="16">
    <w:name w:val="Plain Text"/>
    <w:basedOn w:val="1"/>
    <w:qFormat/>
    <w:uiPriority w:val="0"/>
    <w:rPr>
      <w:rFonts w:ascii="宋体" w:hAnsi="Courier New"/>
      <w:szCs w:val="20"/>
    </w:rPr>
  </w:style>
  <w:style w:type="paragraph" w:styleId="17">
    <w:name w:val="Date"/>
    <w:basedOn w:val="1"/>
    <w:next w:val="1"/>
    <w:link w:val="54"/>
    <w:semiHidden/>
    <w:unhideWhenUsed/>
    <w:qFormat/>
    <w:uiPriority w:val="99"/>
    <w:pPr>
      <w:ind w:left="100" w:leftChars="2500"/>
    </w:pPr>
  </w:style>
  <w:style w:type="paragraph" w:styleId="18">
    <w:name w:val="Balloon Text"/>
    <w:basedOn w:val="1"/>
    <w:link w:val="80"/>
    <w:semiHidden/>
    <w:unhideWhenUsed/>
    <w:qFormat/>
    <w:uiPriority w:val="99"/>
    <w:rPr>
      <w:sz w:val="18"/>
      <w:szCs w:val="18"/>
    </w:rPr>
  </w:style>
  <w:style w:type="paragraph" w:styleId="19">
    <w:name w:val="footer"/>
    <w:basedOn w:val="1"/>
    <w:link w:val="56"/>
    <w:unhideWhenUsed/>
    <w:qFormat/>
    <w:uiPriority w:val="99"/>
    <w:pPr>
      <w:tabs>
        <w:tab w:val="center" w:pos="4153"/>
        <w:tab w:val="right" w:pos="8306"/>
      </w:tabs>
      <w:snapToGrid w:val="0"/>
      <w:spacing w:line="240" w:lineRule="atLeast"/>
    </w:pPr>
    <w:rPr>
      <w:sz w:val="18"/>
      <w:szCs w:val="18"/>
    </w:rPr>
  </w:style>
  <w:style w:type="paragraph" w:styleId="20">
    <w:name w:val="header"/>
    <w:basedOn w:val="1"/>
    <w:link w:val="55"/>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1">
    <w:name w:val="Subtitle"/>
    <w:basedOn w:val="1"/>
    <w:next w:val="1"/>
    <w:link w:val="67"/>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Normal (Web)"/>
    <w:basedOn w:val="1"/>
    <w:qFormat/>
    <w:uiPriority w:val="99"/>
    <w:rPr>
      <w:szCs w:val="24"/>
    </w:rPr>
  </w:style>
  <w:style w:type="paragraph" w:styleId="23">
    <w:name w:val="Title"/>
    <w:basedOn w:val="1"/>
    <w:next w:val="1"/>
    <w:link w:val="6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4"/>
    <w:next w:val="14"/>
    <w:link w:val="88"/>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qFormat/>
    <w:uiPriority w:val="0"/>
    <w:rPr>
      <w:rFonts w:ascii="Times New Roman" w:hAnsi="Times New Roman" w:eastAsia="宋体" w:cs="Times New Roman"/>
    </w:rPr>
  </w:style>
  <w:style w:type="character" w:styleId="30">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1">
    <w:name w:val="Emphasis"/>
    <w:basedOn w:val="27"/>
    <w:qFormat/>
    <w:uiPriority w:val="20"/>
    <w:rPr>
      <w:rFonts w:asciiTheme="minorHAnsi" w:hAnsiTheme="minorHAnsi"/>
      <w:b/>
      <w:i/>
      <w:iCs/>
    </w:rPr>
  </w:style>
  <w:style w:type="character" w:styleId="32">
    <w:name w:val="Hyperlink"/>
    <w:basedOn w:val="27"/>
    <w:unhideWhenUsed/>
    <w:qFormat/>
    <w:uiPriority w:val="99"/>
    <w:rPr>
      <w:color w:val="0563C1" w:themeColor="hyperlink"/>
      <w:u w:val="single"/>
      <w14:textFill>
        <w14:solidFill>
          <w14:schemeClr w14:val="hlink"/>
        </w14:solidFill>
      </w14:textFill>
    </w:rPr>
  </w:style>
  <w:style w:type="character" w:styleId="33">
    <w:name w:val="annotation reference"/>
    <w:basedOn w:val="27"/>
    <w:semiHidden/>
    <w:unhideWhenUsed/>
    <w:qFormat/>
    <w:uiPriority w:val="99"/>
    <w:rPr>
      <w:sz w:val="21"/>
      <w:szCs w:val="21"/>
    </w:rPr>
  </w:style>
  <w:style w:type="paragraph" w:customStyle="1" w:styleId="34">
    <w:name w:val="※封面大标题"/>
    <w:basedOn w:val="1"/>
    <w:next w:val="1"/>
    <w:qFormat/>
    <w:uiPriority w:val="0"/>
    <w:pPr>
      <w:jc w:val="center"/>
    </w:pPr>
    <w:rPr>
      <w:rFonts w:ascii="华文中宋" w:hAnsi="华文中宋" w:eastAsia="华文中宋"/>
      <w:sz w:val="96"/>
      <w:szCs w:val="96"/>
    </w:rPr>
  </w:style>
  <w:style w:type="paragraph" w:customStyle="1" w:styleId="35">
    <w:name w:val="※封面题颌"/>
    <w:basedOn w:val="1"/>
    <w:next w:val="1"/>
    <w:qFormat/>
    <w:uiPriority w:val="0"/>
    <w:pPr>
      <w:jc w:val="center"/>
    </w:pPr>
    <w:rPr>
      <w:rFonts w:ascii="Calibri Light" w:hAnsi="Calibri Light" w:eastAsia="华文仿宋"/>
      <w:sz w:val="36"/>
      <w:szCs w:val="36"/>
    </w:rPr>
  </w:style>
  <w:style w:type="paragraph" w:customStyle="1" w:styleId="36">
    <w:name w:val="※封面题眉"/>
    <w:basedOn w:val="1"/>
    <w:next w:val="34"/>
    <w:qFormat/>
    <w:uiPriority w:val="0"/>
    <w:pPr>
      <w:jc w:val="center"/>
    </w:pPr>
    <w:rPr>
      <w:rFonts w:ascii="华文仿宋" w:hAnsi="华文仿宋" w:eastAsia="华文仿宋"/>
      <w:sz w:val="52"/>
      <w:szCs w:val="28"/>
    </w:rPr>
  </w:style>
  <w:style w:type="paragraph" w:customStyle="1" w:styleId="37">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8">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9">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0">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1">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2">
    <w:name w:val="※小标题 一"/>
    <w:basedOn w:val="41"/>
    <w:next w:val="41"/>
    <w:qFormat/>
    <w:uiPriority w:val="0"/>
    <w:pPr>
      <w:spacing w:before="120" w:line="240" w:lineRule="auto"/>
      <w:outlineLvl w:val="2"/>
    </w:pPr>
    <w:rPr>
      <w:b/>
      <w:color w:val="203864" w:themeColor="accent5" w:themeShade="80"/>
      <w:sz w:val="32"/>
    </w:rPr>
  </w:style>
  <w:style w:type="paragraph" w:customStyle="1" w:styleId="43">
    <w:name w:val="※小标题（1）"/>
    <w:basedOn w:val="1"/>
    <w:next w:val="41"/>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4">
    <w:name w:val="※小标题（一）"/>
    <w:basedOn w:val="1"/>
    <w:next w:val="41"/>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5">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6">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7">
    <w:name w:val="※页眉"/>
    <w:basedOn w:val="41"/>
    <w:qFormat/>
    <w:uiPriority w:val="0"/>
    <w:pPr>
      <w:pBdr>
        <w:bottom w:val="single" w:color="auto" w:sz="4" w:space="1"/>
      </w:pBdr>
      <w:spacing w:line="240" w:lineRule="atLeast"/>
      <w:jc w:val="right"/>
    </w:pPr>
    <w:rPr>
      <w:rFonts w:ascii="宋体" w:hAnsi="宋体" w:eastAsia="宋体"/>
      <w:sz w:val="18"/>
    </w:rPr>
  </w:style>
  <w:style w:type="paragraph" w:customStyle="1" w:styleId="48">
    <w:name w:val="※章节标题（第X章）"/>
    <w:basedOn w:val="1"/>
    <w:qFormat/>
    <w:uiPriority w:val="0"/>
    <w:pPr>
      <w:jc w:val="center"/>
      <w:outlineLvl w:val="0"/>
    </w:pPr>
    <w:rPr>
      <w:rFonts w:ascii="Calibri Light" w:hAnsi="Calibri Light" w:eastAsia="黑体"/>
      <w:sz w:val="36"/>
      <w:szCs w:val="28"/>
    </w:rPr>
  </w:style>
  <w:style w:type="paragraph" w:customStyle="1" w:styleId="49">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0">
    <w:name w:val="※章节标题（第Z部分分项）"/>
    <w:basedOn w:val="49"/>
    <w:qFormat/>
    <w:uiPriority w:val="0"/>
    <w:pPr>
      <w:outlineLvl w:val="2"/>
    </w:pPr>
  </w:style>
  <w:style w:type="paragraph" w:customStyle="1" w:styleId="51">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2">
    <w:name w:val="※正文（缩进2）"/>
    <w:basedOn w:val="41"/>
    <w:qFormat/>
    <w:uiPriority w:val="0"/>
    <w:pPr>
      <w:ind w:firstLine="200" w:firstLineChars="200"/>
    </w:pPr>
  </w:style>
  <w:style w:type="paragraph" w:customStyle="1" w:styleId="53">
    <w:name w:val="※正文（缩进4）"/>
    <w:basedOn w:val="41"/>
    <w:qFormat/>
    <w:uiPriority w:val="0"/>
    <w:pPr>
      <w:ind w:firstLine="400" w:firstLineChars="400"/>
    </w:pPr>
  </w:style>
  <w:style w:type="character" w:customStyle="1" w:styleId="54">
    <w:name w:val="日期 字符"/>
    <w:basedOn w:val="27"/>
    <w:link w:val="17"/>
    <w:semiHidden/>
    <w:qFormat/>
    <w:uiPriority w:val="99"/>
    <w:rPr>
      <w:rFonts w:ascii="华文仿宋" w:hAnsi="华文仿宋" w:eastAsia="华文仿宋"/>
      <w:sz w:val="28"/>
      <w:szCs w:val="28"/>
    </w:rPr>
  </w:style>
  <w:style w:type="character" w:customStyle="1" w:styleId="55">
    <w:name w:val="页眉 字符"/>
    <w:basedOn w:val="27"/>
    <w:link w:val="20"/>
    <w:qFormat/>
    <w:uiPriority w:val="0"/>
    <w:rPr>
      <w:rFonts w:ascii="华文仿宋" w:hAnsi="华文仿宋" w:eastAsia="华文仿宋"/>
      <w:sz w:val="18"/>
      <w:szCs w:val="18"/>
    </w:rPr>
  </w:style>
  <w:style w:type="character" w:customStyle="1" w:styleId="56">
    <w:name w:val="页脚 字符"/>
    <w:basedOn w:val="27"/>
    <w:link w:val="19"/>
    <w:qFormat/>
    <w:uiPriority w:val="99"/>
    <w:rPr>
      <w:rFonts w:ascii="华文仿宋" w:hAnsi="华文仿宋" w:eastAsia="华文仿宋"/>
      <w:sz w:val="18"/>
      <w:szCs w:val="18"/>
    </w:rPr>
  </w:style>
  <w:style w:type="character" w:customStyle="1" w:styleId="57">
    <w:name w:val="标题 1 字符"/>
    <w:basedOn w:val="27"/>
    <w:link w:val="3"/>
    <w:qFormat/>
    <w:uiPriority w:val="9"/>
    <w:rPr>
      <w:rFonts w:ascii="方正小标宋_GBK" w:hAnsi="仿宋" w:eastAsia="方正小标宋_GBK"/>
      <w:sz w:val="44"/>
      <w:szCs w:val="44"/>
    </w:rPr>
  </w:style>
  <w:style w:type="character" w:customStyle="1" w:styleId="58">
    <w:name w:val="标题 2 字符"/>
    <w:basedOn w:val="27"/>
    <w:link w:val="4"/>
    <w:qFormat/>
    <w:uiPriority w:val="9"/>
    <w:rPr>
      <w:rFonts w:ascii="楷体" w:hAnsi="楷体" w:eastAsia="黑体"/>
      <w:sz w:val="32"/>
      <w:szCs w:val="32"/>
    </w:rPr>
  </w:style>
  <w:style w:type="character" w:customStyle="1" w:styleId="59">
    <w:name w:val="标题 3 字符"/>
    <w:basedOn w:val="27"/>
    <w:link w:val="5"/>
    <w:qFormat/>
    <w:uiPriority w:val="9"/>
    <w:rPr>
      <w:rFonts w:ascii="方正小标宋_GBK" w:hAnsi="仿宋" w:eastAsia="方正小标宋_GBK"/>
      <w:sz w:val="36"/>
      <w:szCs w:val="36"/>
    </w:rPr>
  </w:style>
  <w:style w:type="character" w:customStyle="1" w:styleId="60">
    <w:name w:val="标题 4 字符"/>
    <w:basedOn w:val="27"/>
    <w:link w:val="6"/>
    <w:semiHidden/>
    <w:qFormat/>
    <w:uiPriority w:val="9"/>
    <w:rPr>
      <w:rFonts w:cstheme="majorBidi"/>
      <w:b/>
      <w:bCs/>
      <w:sz w:val="28"/>
      <w:szCs w:val="28"/>
    </w:rPr>
  </w:style>
  <w:style w:type="character" w:customStyle="1" w:styleId="61">
    <w:name w:val="标题 5 字符"/>
    <w:basedOn w:val="27"/>
    <w:link w:val="7"/>
    <w:semiHidden/>
    <w:qFormat/>
    <w:uiPriority w:val="9"/>
    <w:rPr>
      <w:b/>
      <w:bCs/>
      <w:i/>
      <w:iCs/>
      <w:sz w:val="26"/>
      <w:szCs w:val="26"/>
    </w:rPr>
  </w:style>
  <w:style w:type="character" w:customStyle="1" w:styleId="62">
    <w:name w:val="标题 6 字符"/>
    <w:basedOn w:val="27"/>
    <w:link w:val="8"/>
    <w:semiHidden/>
    <w:qFormat/>
    <w:uiPriority w:val="9"/>
    <w:rPr>
      <w:rFonts w:cstheme="majorBidi"/>
      <w:b/>
      <w:bCs/>
    </w:rPr>
  </w:style>
  <w:style w:type="character" w:customStyle="1" w:styleId="63">
    <w:name w:val="标题 7 字符"/>
    <w:basedOn w:val="27"/>
    <w:link w:val="9"/>
    <w:semiHidden/>
    <w:qFormat/>
    <w:uiPriority w:val="9"/>
    <w:rPr>
      <w:sz w:val="24"/>
      <w:szCs w:val="24"/>
    </w:rPr>
  </w:style>
  <w:style w:type="character" w:customStyle="1" w:styleId="64">
    <w:name w:val="标题 8 字符"/>
    <w:basedOn w:val="27"/>
    <w:link w:val="10"/>
    <w:semiHidden/>
    <w:qFormat/>
    <w:uiPriority w:val="9"/>
    <w:rPr>
      <w:rFonts w:cstheme="majorBidi"/>
      <w:i/>
      <w:iCs/>
      <w:sz w:val="24"/>
      <w:szCs w:val="24"/>
    </w:rPr>
  </w:style>
  <w:style w:type="character" w:customStyle="1" w:styleId="65">
    <w:name w:val="标题 9 字符"/>
    <w:basedOn w:val="27"/>
    <w:link w:val="11"/>
    <w:semiHidden/>
    <w:qFormat/>
    <w:uiPriority w:val="9"/>
    <w:rPr>
      <w:rFonts w:asciiTheme="majorHAnsi" w:hAnsiTheme="majorHAnsi" w:eastAsiaTheme="majorEastAsia" w:cstheme="majorBidi"/>
    </w:rPr>
  </w:style>
  <w:style w:type="character" w:customStyle="1" w:styleId="66">
    <w:name w:val="标题 字符"/>
    <w:basedOn w:val="27"/>
    <w:link w:val="23"/>
    <w:qFormat/>
    <w:uiPriority w:val="10"/>
    <w:rPr>
      <w:rFonts w:asciiTheme="majorHAnsi" w:hAnsiTheme="majorHAnsi" w:eastAsiaTheme="majorEastAsia" w:cstheme="majorBidi"/>
      <w:b/>
      <w:bCs/>
      <w:kern w:val="28"/>
      <w:sz w:val="32"/>
      <w:szCs w:val="32"/>
    </w:rPr>
  </w:style>
  <w:style w:type="character" w:customStyle="1" w:styleId="67">
    <w:name w:val="副标题 字符"/>
    <w:basedOn w:val="27"/>
    <w:link w:val="21"/>
    <w:qFormat/>
    <w:uiPriority w:val="11"/>
    <w:rPr>
      <w:rFonts w:ascii="Calibri" w:hAnsi="Calibri" w:eastAsia="黑体" w:cstheme="majorBidi"/>
      <w:sz w:val="32"/>
      <w:szCs w:val="24"/>
    </w:rPr>
  </w:style>
  <w:style w:type="paragraph" w:styleId="68">
    <w:name w:val="No Spacing"/>
    <w:basedOn w:val="1"/>
    <w:qFormat/>
    <w:uiPriority w:val="1"/>
    <w:rPr>
      <w:szCs w:val="32"/>
    </w:rPr>
  </w:style>
  <w:style w:type="paragraph" w:styleId="69">
    <w:name w:val="List Paragraph"/>
    <w:basedOn w:val="1"/>
    <w:qFormat/>
    <w:uiPriority w:val="0"/>
    <w:pPr>
      <w:ind w:left="720"/>
      <w:contextualSpacing/>
    </w:pPr>
  </w:style>
  <w:style w:type="paragraph" w:styleId="70">
    <w:name w:val="Quote"/>
    <w:basedOn w:val="1"/>
    <w:next w:val="1"/>
    <w:link w:val="71"/>
    <w:qFormat/>
    <w:uiPriority w:val="29"/>
    <w:rPr>
      <w:i/>
    </w:rPr>
  </w:style>
  <w:style w:type="character" w:customStyle="1" w:styleId="71">
    <w:name w:val="引用 字符"/>
    <w:basedOn w:val="27"/>
    <w:link w:val="70"/>
    <w:qFormat/>
    <w:uiPriority w:val="29"/>
    <w:rPr>
      <w:i/>
      <w:sz w:val="24"/>
      <w:szCs w:val="24"/>
    </w:rPr>
  </w:style>
  <w:style w:type="paragraph" w:styleId="72">
    <w:name w:val="Intense Quote"/>
    <w:basedOn w:val="1"/>
    <w:next w:val="1"/>
    <w:link w:val="73"/>
    <w:qFormat/>
    <w:uiPriority w:val="30"/>
    <w:pPr>
      <w:ind w:left="720" w:right="720"/>
    </w:pPr>
    <w:rPr>
      <w:b/>
      <w:i/>
      <w:szCs w:val="22"/>
    </w:rPr>
  </w:style>
  <w:style w:type="character" w:customStyle="1" w:styleId="73">
    <w:name w:val="明显引用 字符"/>
    <w:basedOn w:val="27"/>
    <w:link w:val="72"/>
    <w:qFormat/>
    <w:uiPriority w:val="30"/>
    <w:rPr>
      <w:b/>
      <w:i/>
      <w:sz w:val="24"/>
    </w:rPr>
  </w:style>
  <w:style w:type="character" w:customStyle="1" w:styleId="74">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5">
    <w:name w:val="Intense Emphasis"/>
    <w:basedOn w:val="27"/>
    <w:qFormat/>
    <w:uiPriority w:val="21"/>
    <w:rPr>
      <w:b/>
      <w:i/>
      <w:sz w:val="24"/>
      <w:szCs w:val="24"/>
      <w:u w:val="single"/>
    </w:rPr>
  </w:style>
  <w:style w:type="character" w:customStyle="1" w:styleId="76">
    <w:name w:val="Subtle Reference"/>
    <w:basedOn w:val="27"/>
    <w:qFormat/>
    <w:uiPriority w:val="31"/>
    <w:rPr>
      <w:sz w:val="24"/>
      <w:szCs w:val="24"/>
      <w:u w:val="single"/>
    </w:rPr>
  </w:style>
  <w:style w:type="character" w:customStyle="1" w:styleId="77">
    <w:name w:val="Intense Reference"/>
    <w:basedOn w:val="27"/>
    <w:qFormat/>
    <w:uiPriority w:val="32"/>
    <w:rPr>
      <w:b/>
      <w:sz w:val="24"/>
      <w:u w:val="single"/>
    </w:rPr>
  </w:style>
  <w:style w:type="character" w:customStyle="1" w:styleId="78">
    <w:name w:val="Book Title"/>
    <w:basedOn w:val="27"/>
    <w:qFormat/>
    <w:uiPriority w:val="33"/>
    <w:rPr>
      <w:rFonts w:asciiTheme="majorHAnsi" w:hAnsiTheme="majorHAnsi" w:eastAsiaTheme="majorEastAsia"/>
      <w:b/>
      <w:i/>
      <w:sz w:val="24"/>
      <w:szCs w:val="24"/>
    </w:rPr>
  </w:style>
  <w:style w:type="paragraph" w:customStyle="1" w:styleId="79">
    <w:name w:val="TOC Heading"/>
    <w:basedOn w:val="3"/>
    <w:next w:val="1"/>
    <w:semiHidden/>
    <w:unhideWhenUsed/>
    <w:qFormat/>
    <w:uiPriority w:val="39"/>
    <w:pPr>
      <w:outlineLvl w:val="9"/>
    </w:pPr>
  </w:style>
  <w:style w:type="character" w:customStyle="1" w:styleId="80">
    <w:name w:val="批注框文本 字符"/>
    <w:basedOn w:val="27"/>
    <w:link w:val="18"/>
    <w:semiHidden/>
    <w:qFormat/>
    <w:uiPriority w:val="99"/>
    <w:rPr>
      <w:sz w:val="18"/>
      <w:szCs w:val="18"/>
    </w:rPr>
  </w:style>
  <w:style w:type="character" w:customStyle="1" w:styleId="81">
    <w:name w:val="批注文字 字符"/>
    <w:basedOn w:val="27"/>
    <w:link w:val="14"/>
    <w:qFormat/>
    <w:uiPriority w:val="99"/>
    <w:rPr>
      <w:rFonts w:ascii="Calibri Light" w:hAnsi="Calibri Light" w:eastAsia="华文仿宋" w:cs="Calibri Light"/>
      <w:kern w:val="2"/>
      <w:sz w:val="28"/>
      <w:szCs w:val="28"/>
    </w:rPr>
  </w:style>
  <w:style w:type="paragraph" w:customStyle="1" w:styleId="82">
    <w:name w:val="@正文"/>
    <w:basedOn w:val="41"/>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3">
    <w:name w:val="@一级小标题"/>
    <w:basedOn w:val="1"/>
    <w:next w:val="82"/>
    <w:qFormat/>
    <w:uiPriority w:val="0"/>
    <w:pPr>
      <w:keepNext/>
      <w:spacing w:before="120" w:after="60"/>
      <w:outlineLvl w:val="2"/>
    </w:pPr>
    <w:rPr>
      <w:rFonts w:ascii="Calibri" w:hAnsi="Calibri" w:eastAsia="黑体"/>
      <w:kern w:val="28"/>
      <w:sz w:val="28"/>
    </w:rPr>
  </w:style>
  <w:style w:type="paragraph" w:customStyle="1" w:styleId="84">
    <w:name w:val="@标题"/>
    <w:basedOn w:val="1"/>
    <w:next w:val="82"/>
    <w:qFormat/>
    <w:uiPriority w:val="0"/>
    <w:pPr>
      <w:keepNext/>
      <w:spacing w:before="50" w:beforeLines="50" w:after="50" w:afterLines="50"/>
      <w:jc w:val="center"/>
      <w:outlineLvl w:val="1"/>
    </w:pPr>
    <w:rPr>
      <w:rFonts w:ascii="Calibri" w:hAnsi="Calibri" w:eastAsia="黑体"/>
      <w:kern w:val="32"/>
      <w:sz w:val="32"/>
    </w:rPr>
  </w:style>
  <w:style w:type="table" w:customStyle="1" w:styleId="85">
    <w:name w:val="网格型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6">
    <w:name w:val="页眉 Char1"/>
    <w:basedOn w:val="27"/>
    <w:semiHidden/>
    <w:qFormat/>
    <w:uiPriority w:val="99"/>
    <w:rPr>
      <w:rFonts w:cs="Calibri Light"/>
      <w:sz w:val="18"/>
      <w:szCs w:val="18"/>
    </w:rPr>
  </w:style>
  <w:style w:type="character" w:customStyle="1" w:styleId="87">
    <w:name w:val="页脚 Char1"/>
    <w:basedOn w:val="27"/>
    <w:semiHidden/>
    <w:qFormat/>
    <w:uiPriority w:val="99"/>
    <w:rPr>
      <w:rFonts w:cs="Calibri Light"/>
      <w:sz w:val="18"/>
      <w:szCs w:val="18"/>
    </w:rPr>
  </w:style>
  <w:style w:type="character" w:customStyle="1" w:styleId="88">
    <w:name w:val="批注主题 字符"/>
    <w:basedOn w:val="81"/>
    <w:link w:val="24"/>
    <w:semiHidden/>
    <w:qFormat/>
    <w:uiPriority w:val="99"/>
    <w:rPr>
      <w:rFonts w:ascii="Calibri Light" w:hAnsi="Calibri Light" w:eastAsia="华文仿宋" w:cs="Calibri Light"/>
      <w:b/>
      <w:bCs/>
      <w:kern w:val="2"/>
      <w:sz w:val="28"/>
      <w:szCs w:val="28"/>
    </w:rPr>
  </w:style>
  <w:style w:type="character" w:customStyle="1" w:styleId="89">
    <w:name w:val="文档结构图 字符"/>
    <w:basedOn w:val="27"/>
    <w:link w:val="13"/>
    <w:semiHidden/>
    <w:qFormat/>
    <w:uiPriority w:val="99"/>
    <w:rPr>
      <w:rFonts w:ascii="宋体" w:hAnsi="Calibri Light" w:eastAsia="宋体" w:cs="Calibri Light"/>
      <w:kern w:val="2"/>
      <w:sz w:val="18"/>
      <w:szCs w:val="18"/>
    </w:rPr>
  </w:style>
  <w:style w:type="character" w:styleId="90">
    <w:name w:val="Placeholder Text"/>
    <w:basedOn w:val="27"/>
    <w:semiHidden/>
    <w:qFormat/>
    <w:uiPriority w:val="99"/>
    <w:rPr>
      <w:color w:val="808080"/>
    </w:rPr>
  </w:style>
  <w:style w:type="character" w:customStyle="1" w:styleId="91">
    <w:name w:val="Unresolved Mention"/>
    <w:basedOn w:val="27"/>
    <w:semiHidden/>
    <w:unhideWhenUsed/>
    <w:qFormat/>
    <w:uiPriority w:val="99"/>
    <w:rPr>
      <w:color w:val="605E5C"/>
      <w:shd w:val="clear" w:color="auto" w:fill="E1DFDD"/>
    </w:rPr>
  </w:style>
  <w:style w:type="paragraph" w:customStyle="1" w:styleId="92">
    <w:name w:val="样式1"/>
    <w:basedOn w:val="5"/>
    <w:link w:val="94"/>
    <w:qFormat/>
    <w:uiPriority w:val="0"/>
    <w:pPr>
      <w:jc w:val="left"/>
    </w:pPr>
    <w:rPr>
      <w:rFonts w:eastAsia="楷体"/>
      <w:sz w:val="32"/>
    </w:rPr>
  </w:style>
  <w:style w:type="paragraph" w:customStyle="1" w:styleId="93">
    <w:name w:val="样式2"/>
    <w:basedOn w:val="84"/>
    <w:link w:val="96"/>
    <w:qFormat/>
    <w:uiPriority w:val="0"/>
    <w:pPr>
      <w:spacing w:line="560" w:lineRule="exact"/>
      <w:ind w:firstLine="643" w:firstLineChars="200"/>
      <w:jc w:val="both"/>
    </w:pPr>
    <w:rPr>
      <w:rFonts w:ascii="仿宋_GB2312" w:hAnsi="仿宋" w:eastAsia="仿宋_GB2312"/>
      <w:b/>
      <w:bCs/>
      <w:szCs w:val="32"/>
    </w:rPr>
  </w:style>
  <w:style w:type="character" w:customStyle="1" w:styleId="94">
    <w:name w:val="样式1 字符"/>
    <w:basedOn w:val="58"/>
    <w:link w:val="92"/>
    <w:qFormat/>
    <w:uiPriority w:val="0"/>
    <w:rPr>
      <w:rFonts w:ascii="方正小标宋_GBK" w:hAnsi="仿宋" w:eastAsia="楷体"/>
      <w:sz w:val="32"/>
      <w:szCs w:val="36"/>
    </w:rPr>
  </w:style>
  <w:style w:type="paragraph" w:customStyle="1" w:styleId="95">
    <w:name w:val="样式3"/>
    <w:basedOn w:val="1"/>
    <w:link w:val="97"/>
    <w:qFormat/>
    <w:uiPriority w:val="0"/>
    <w:pPr>
      <w:spacing w:line="560" w:lineRule="exact"/>
      <w:jc w:val="center"/>
    </w:pPr>
    <w:rPr>
      <w:rFonts w:ascii="方正小标宋_GBK" w:hAnsi="仿宋" w:eastAsia="方正小标宋_GBK"/>
      <w:sz w:val="36"/>
      <w:szCs w:val="36"/>
    </w:rPr>
  </w:style>
  <w:style w:type="character" w:customStyle="1" w:styleId="96">
    <w:name w:val="样式2 字符"/>
    <w:basedOn w:val="27"/>
    <w:link w:val="93"/>
    <w:qFormat/>
    <w:uiPriority w:val="0"/>
    <w:rPr>
      <w:rFonts w:ascii="仿宋_GB2312" w:hAnsi="仿宋" w:eastAsia="仿宋_GB2312"/>
      <w:b/>
      <w:bCs/>
      <w:kern w:val="32"/>
      <w:sz w:val="32"/>
      <w:szCs w:val="32"/>
    </w:rPr>
  </w:style>
  <w:style w:type="character" w:customStyle="1" w:styleId="97">
    <w:name w:val="样式3 字符"/>
    <w:basedOn w:val="27"/>
    <w:link w:val="95"/>
    <w:qFormat/>
    <w:uiPriority w:val="0"/>
    <w:rPr>
      <w:rFonts w:ascii="方正小标宋_GBK" w:hAnsi="仿宋" w:eastAsia="方正小标宋_GBK"/>
      <w:sz w:val="36"/>
      <w:szCs w:val="36"/>
    </w:rPr>
  </w:style>
  <w:style w:type="paragraph" w:customStyle="1" w:styleId="9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9">
    <w:name w:val="p15"/>
    <w:basedOn w:val="1"/>
    <w:qFormat/>
    <w:uiPriority w:val="99"/>
    <w:pPr>
      <w:widowControl/>
    </w:pPr>
    <w:rPr>
      <w:kern w:val="0"/>
      <w:sz w:val="21"/>
      <w:szCs w:val="21"/>
    </w:rPr>
  </w:style>
  <w:style w:type="paragraph" w:customStyle="1" w:styleId="100">
    <w:name w:val="正文 New"/>
    <w:qFormat/>
    <w:uiPriority w:val="99"/>
    <w:pPr>
      <w:widowControl w:val="0"/>
      <w:jc w:val="both"/>
    </w:pPr>
    <w:rPr>
      <w:rFonts w:ascii="Times New Roman" w:hAnsi="Times New Roman" w:eastAsia="宋体" w:cs="Times New Roman"/>
      <w:lang w:val="en-US" w:eastAsia="zh-CN" w:bidi="ar-SA"/>
    </w:rPr>
  </w:style>
  <w:style w:type="paragraph" w:customStyle="1" w:styleId="101">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WPSOffice手动目录 1"/>
    <w:qFormat/>
    <w:uiPriority w:val="0"/>
    <w:pPr>
      <w:ind w:leftChars="0"/>
    </w:pPr>
    <w:rPr>
      <w:rFonts w:ascii="Times New Roman" w:hAnsi="Times New Roman" w:eastAsia="宋体" w:cs="Times New Roman"/>
      <w:sz w:val="20"/>
      <w:szCs w:val="20"/>
    </w:rPr>
  </w:style>
  <w:style w:type="paragraph" w:customStyle="1" w:styleId="103">
    <w:name w:val="WPSOffice手动目录 2"/>
    <w:qFormat/>
    <w:uiPriority w:val="0"/>
    <w:pPr>
      <w:ind w:leftChars="200"/>
    </w:pPr>
    <w:rPr>
      <w:rFonts w:ascii="Times New Roman" w:hAnsi="Times New Roman" w:eastAsia="宋体" w:cs="Times New Roman"/>
      <w:sz w:val="20"/>
      <w:szCs w:val="20"/>
    </w:rPr>
  </w:style>
  <w:style w:type="paragraph" w:customStyle="1" w:styleId="104">
    <w:name w:val="WPSOffice手动目录 3"/>
    <w:qFormat/>
    <w:uiPriority w:val="0"/>
    <w:pPr>
      <w:ind w:leftChars="400"/>
    </w:pPr>
    <w:rPr>
      <w:rFonts w:ascii="Times New Roman" w:hAnsi="Times New Roman" w:eastAsia="宋体" w:cs="Times New Roman"/>
      <w:sz w:val="20"/>
      <w:szCs w:val="20"/>
    </w:rPr>
  </w:style>
  <w:style w:type="paragraph" w:customStyle="1" w:styleId="105">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82</Pages>
  <Words>35612</Words>
  <Characters>38294</Characters>
  <Lines>1035</Lines>
  <Paragraphs>716</Paragraphs>
  <TotalTime>1</TotalTime>
  <ScaleCrop>false</ScaleCrop>
  <LinksUpToDate>false</LinksUpToDate>
  <CharactersWithSpaces>39038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宝@老头</cp:lastModifiedBy>
  <cp:lastPrinted>2022-04-09T07:59:00Z</cp:lastPrinted>
  <dcterms:modified xsi:type="dcterms:W3CDTF">2022-10-24T03:32:37Z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05EDD0F39F94416EB476F789BA83EF5C</vt:lpwstr>
  </property>
</Properties>
</file>