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cs="宋体"/>
          <w:b/>
          <w:sz w:val="36"/>
          <w:highlight w:val="none"/>
        </w:rPr>
      </w:pPr>
      <w:r>
        <w:rPr>
          <w:rFonts w:hint="eastAsia" w:hAnsi="宋体" w:cs="宋体"/>
          <w:b/>
          <w:bCs/>
          <w:sz w:val="32"/>
          <w:szCs w:val="32"/>
          <w:highlight w:val="none"/>
        </w:rPr>
        <w:t>项目编号：SXZCZB2022-ZCCS-1133</w:t>
      </w:r>
    </w:p>
    <w:p>
      <w:pPr>
        <w:rPr>
          <w:rFonts w:hAnsi="宋体" w:cs="宋体"/>
          <w:b/>
          <w:sz w:val="36"/>
          <w:highlight w:val="none"/>
        </w:rPr>
      </w:pPr>
      <w:r>
        <w:rPr>
          <w:rFonts w:hint="eastAsia" w:hAnsi="宋体" w:cs="宋体"/>
          <w:b/>
          <w:sz w:val="36"/>
          <w:highlight w:val="none"/>
        </w:rPr>
        <w:t xml:space="preserve"> </w:t>
      </w:r>
    </w:p>
    <w:p>
      <w:pPr>
        <w:rPr>
          <w:rFonts w:hAnsi="宋体" w:cs="宋体"/>
          <w:b/>
          <w:sz w:val="36"/>
          <w:highlight w:val="none"/>
        </w:rPr>
      </w:pPr>
    </w:p>
    <w:p>
      <w:pPr>
        <w:rPr>
          <w:rFonts w:hAnsi="宋体" w:cs="宋体"/>
          <w:b/>
          <w:sz w:val="40"/>
          <w:szCs w:val="21"/>
          <w:highlight w:val="none"/>
        </w:rPr>
      </w:pPr>
    </w:p>
    <w:p>
      <w:pPr>
        <w:jc w:val="center"/>
        <w:rPr>
          <w:rFonts w:hAnsi="宋体" w:cs="宋体"/>
          <w:b/>
          <w:sz w:val="56"/>
          <w:szCs w:val="56"/>
          <w:highlight w:val="none"/>
        </w:rPr>
      </w:pPr>
    </w:p>
    <w:p>
      <w:pPr>
        <w:jc w:val="center"/>
        <w:rPr>
          <w:rFonts w:hAnsi="宋体" w:cs="宋体"/>
          <w:b/>
          <w:bCs/>
          <w:sz w:val="72"/>
          <w:szCs w:val="72"/>
          <w:highlight w:val="none"/>
        </w:rPr>
      </w:pPr>
      <w:r>
        <w:rPr>
          <w:rFonts w:hint="eastAsia" w:hAnsi="宋体" w:cs="宋体"/>
          <w:b/>
          <w:sz w:val="56"/>
          <w:szCs w:val="56"/>
          <w:highlight w:val="none"/>
        </w:rPr>
        <w:t>网络安全系统升级项目</w:t>
      </w:r>
    </w:p>
    <w:p>
      <w:pPr>
        <w:jc w:val="center"/>
        <w:rPr>
          <w:rFonts w:hAnsi="宋体" w:cs="宋体"/>
          <w:b/>
          <w:sz w:val="36"/>
          <w:szCs w:val="36"/>
          <w:highlight w:val="none"/>
        </w:rPr>
      </w:pPr>
    </w:p>
    <w:p>
      <w:pPr>
        <w:jc w:val="center"/>
        <w:rPr>
          <w:rFonts w:hAnsi="宋体" w:cs="宋体"/>
          <w:b/>
          <w:sz w:val="36"/>
          <w:szCs w:val="36"/>
          <w:highlight w:val="none"/>
        </w:rPr>
      </w:pPr>
    </w:p>
    <w:p>
      <w:pPr>
        <w:spacing w:line="780" w:lineRule="auto"/>
        <w:jc w:val="center"/>
        <w:rPr>
          <w:rFonts w:hAnsi="宋体" w:cs="宋体"/>
          <w:b/>
          <w:sz w:val="72"/>
          <w:szCs w:val="72"/>
          <w:highlight w:val="none"/>
        </w:rPr>
      </w:pPr>
    </w:p>
    <w:p>
      <w:pPr>
        <w:spacing w:line="780" w:lineRule="auto"/>
        <w:jc w:val="center"/>
        <w:rPr>
          <w:rFonts w:hAnsi="宋体" w:cs="宋体"/>
          <w:b/>
          <w:sz w:val="72"/>
          <w:szCs w:val="72"/>
          <w:highlight w:val="none"/>
        </w:rPr>
      </w:pPr>
      <w:r>
        <w:rPr>
          <w:rFonts w:hint="eastAsia" w:hAnsi="宋体" w:cs="宋体"/>
          <w:b/>
          <w:sz w:val="72"/>
          <w:szCs w:val="72"/>
          <w:highlight w:val="none"/>
        </w:rPr>
        <w:t>竞争性磋商文件</w:t>
      </w:r>
    </w:p>
    <w:p>
      <w:pPr>
        <w:rPr>
          <w:rFonts w:hAnsi="宋体" w:cs="宋体"/>
          <w:highlight w:val="none"/>
        </w:rPr>
      </w:pPr>
      <w:bookmarkStart w:id="0" w:name="_Toc363463325"/>
    </w:p>
    <w:p>
      <w:pPr>
        <w:rPr>
          <w:rFonts w:hAnsi="宋体" w:cs="宋体"/>
          <w:highlight w:val="none"/>
        </w:rPr>
      </w:pPr>
    </w:p>
    <w:p>
      <w:pPr>
        <w:rPr>
          <w:rFonts w:hAnsi="宋体" w:cs="宋体"/>
          <w:highlight w:val="none"/>
        </w:rPr>
      </w:pPr>
    </w:p>
    <w:bookmarkEnd w:id="0"/>
    <w:p>
      <w:pPr>
        <w:rPr>
          <w:rFonts w:hAnsi="宋体" w:cs="宋体"/>
          <w:sz w:val="18"/>
          <w:szCs w:val="18"/>
          <w:highlight w:val="none"/>
        </w:rPr>
      </w:pPr>
    </w:p>
    <w:p>
      <w:pPr>
        <w:jc w:val="center"/>
        <w:rPr>
          <w:rFonts w:hAnsi="宋体" w:cs="宋体"/>
          <w:b/>
          <w:bCs/>
          <w:sz w:val="32"/>
          <w:szCs w:val="32"/>
          <w:highlight w:val="none"/>
        </w:rPr>
      </w:pPr>
    </w:p>
    <w:p>
      <w:pPr>
        <w:jc w:val="center"/>
        <w:rPr>
          <w:rFonts w:hAnsi="宋体" w:cs="宋体"/>
          <w:b/>
          <w:bCs/>
          <w:sz w:val="32"/>
          <w:szCs w:val="32"/>
          <w:highlight w:val="none"/>
        </w:rPr>
      </w:pPr>
    </w:p>
    <w:p>
      <w:pPr>
        <w:jc w:val="center"/>
        <w:rPr>
          <w:rFonts w:hAnsi="宋体" w:cs="宋体"/>
          <w:b/>
          <w:bCs/>
          <w:sz w:val="32"/>
          <w:szCs w:val="32"/>
          <w:highlight w:val="none"/>
        </w:rPr>
      </w:pPr>
    </w:p>
    <w:p>
      <w:pPr>
        <w:jc w:val="center"/>
        <w:rPr>
          <w:rFonts w:hAnsi="宋体" w:cs="宋体"/>
          <w:b/>
          <w:bCs/>
          <w:sz w:val="32"/>
          <w:szCs w:val="32"/>
          <w:highlight w:val="none"/>
        </w:rPr>
      </w:pPr>
      <w:r>
        <w:rPr>
          <w:rFonts w:hint="eastAsia" w:hAnsi="宋体" w:cs="宋体"/>
          <w:b/>
          <w:bCs/>
          <w:sz w:val="32"/>
          <w:szCs w:val="32"/>
          <w:highlight w:val="none"/>
        </w:rPr>
        <w:t>陕西至诚招标咨询有限公司</w:t>
      </w:r>
    </w:p>
    <w:p>
      <w:pPr>
        <w:pStyle w:val="11"/>
        <w:jc w:val="center"/>
        <w:rPr>
          <w:rFonts w:ascii="宋体" w:hAnsi="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sz w:val="32"/>
          <w:szCs w:val="32"/>
          <w:highlight w:val="none"/>
        </w:rPr>
        <w:t>二〇二二年十一月</w:t>
      </w:r>
    </w:p>
    <w:p>
      <w:pPr>
        <w:rPr>
          <w:rFonts w:hAnsi="宋体" w:cs="宋体"/>
          <w:highlight w:val="none"/>
        </w:rPr>
      </w:pPr>
    </w:p>
    <w:p>
      <w:pPr>
        <w:jc w:val="center"/>
        <w:rPr>
          <w:rFonts w:hAnsi="宋体" w:cs="宋体"/>
          <w:b/>
          <w:sz w:val="44"/>
          <w:szCs w:val="44"/>
          <w:highlight w:val="none"/>
        </w:rPr>
      </w:pPr>
      <w:r>
        <w:rPr>
          <w:rFonts w:hint="eastAsia" w:hAnsi="宋体" w:cs="宋体"/>
          <w:b/>
          <w:sz w:val="44"/>
          <w:szCs w:val="44"/>
          <w:highlight w:val="none"/>
        </w:rPr>
        <w:t>目 录</w:t>
      </w:r>
    </w:p>
    <w:p>
      <w:pPr>
        <w:pStyle w:val="15"/>
        <w:tabs>
          <w:tab w:val="right" w:leader="dot" w:pos="8787"/>
        </w:tabs>
        <w:spacing w:line="480" w:lineRule="auto"/>
        <w:rPr>
          <w:sz w:val="28"/>
          <w:szCs w:val="21"/>
          <w:highlight w:val="none"/>
        </w:rPr>
      </w:pPr>
      <w:bookmarkStart w:id="1" w:name="_Toc389582033"/>
      <w:bookmarkStart w:id="2" w:name="_Toc16218"/>
      <w:bookmarkStart w:id="3" w:name="_Toc20858"/>
      <w:bookmarkStart w:id="4" w:name="_Toc21518"/>
      <w:bookmarkStart w:id="5" w:name="_Toc20652"/>
      <w:bookmarkStart w:id="6" w:name="_Toc5293"/>
      <w:bookmarkStart w:id="7" w:name="_Toc19886"/>
      <w:bookmarkStart w:id="8" w:name="_Toc27420"/>
      <w:bookmarkStart w:id="9" w:name="_Toc363474016"/>
      <w:bookmarkStart w:id="10" w:name="_Toc403077638"/>
      <w:bookmarkStart w:id="11" w:name="_Toc363473971"/>
      <w:r>
        <w:rPr>
          <w:rFonts w:hint="eastAsia" w:hAnsi="宋体" w:cs="宋体"/>
          <w:bCs/>
          <w:sz w:val="40"/>
          <w:szCs w:val="40"/>
          <w:highlight w:val="none"/>
        </w:rPr>
        <w:fldChar w:fldCharType="begin"/>
      </w:r>
      <w:r>
        <w:rPr>
          <w:rFonts w:hint="eastAsia" w:hAnsi="宋体" w:cs="宋体"/>
          <w:bCs/>
          <w:sz w:val="40"/>
          <w:szCs w:val="40"/>
          <w:highlight w:val="none"/>
        </w:rPr>
        <w:instrText xml:space="preserve">TOC \o "1-4" \h \u </w:instrText>
      </w:r>
      <w:r>
        <w:rPr>
          <w:rFonts w:hint="eastAsia" w:hAnsi="宋体" w:cs="宋体"/>
          <w:bCs/>
          <w:sz w:val="40"/>
          <w:szCs w:val="40"/>
          <w:highlight w:val="none"/>
        </w:rPr>
        <w:fldChar w:fldCharType="separate"/>
      </w:r>
      <w:r>
        <w:rPr>
          <w:highlight w:val="none"/>
        </w:rPr>
        <w:fldChar w:fldCharType="begin"/>
      </w:r>
      <w:r>
        <w:rPr>
          <w:highlight w:val="none"/>
        </w:rPr>
        <w:instrText xml:space="preserve"> HYPERLINK \l "_Toc25782" </w:instrText>
      </w:r>
      <w:r>
        <w:rPr>
          <w:highlight w:val="none"/>
        </w:rPr>
        <w:fldChar w:fldCharType="separate"/>
      </w:r>
      <w:r>
        <w:rPr>
          <w:rFonts w:hint="eastAsia" w:hAnsi="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_Toc25782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pPr>
        <w:pStyle w:val="15"/>
        <w:tabs>
          <w:tab w:val="right" w:leader="dot" w:pos="8787"/>
        </w:tabs>
        <w:spacing w:line="480" w:lineRule="auto"/>
        <w:rPr>
          <w:sz w:val="28"/>
          <w:szCs w:val="21"/>
          <w:highlight w:val="none"/>
        </w:rPr>
      </w:pPr>
      <w:r>
        <w:rPr>
          <w:highlight w:val="none"/>
        </w:rPr>
        <w:fldChar w:fldCharType="begin"/>
      </w:r>
      <w:r>
        <w:rPr>
          <w:highlight w:val="none"/>
        </w:rPr>
        <w:instrText xml:space="preserve"> HYPERLINK \l "_Toc14793" </w:instrText>
      </w:r>
      <w:r>
        <w:rPr>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rFonts w:hint="eastAsia"/>
          <w:sz w:val="28"/>
          <w:szCs w:val="21"/>
          <w:highlight w:val="none"/>
        </w:rPr>
        <w:t>6</w:t>
      </w:r>
      <w:r>
        <w:rPr>
          <w:rFonts w:hint="eastAsia"/>
          <w:sz w:val="28"/>
          <w:szCs w:val="21"/>
          <w:highlight w:val="none"/>
        </w:rPr>
        <w:fldChar w:fldCharType="end"/>
      </w:r>
    </w:p>
    <w:p>
      <w:pPr>
        <w:pStyle w:val="17"/>
        <w:tabs>
          <w:tab w:val="right" w:leader="dot" w:pos="8787"/>
        </w:tabs>
        <w:spacing w:line="480" w:lineRule="auto"/>
        <w:ind w:left="480"/>
        <w:rPr>
          <w:sz w:val="28"/>
          <w:szCs w:val="21"/>
          <w:highlight w:val="none"/>
        </w:rPr>
      </w:pPr>
      <w:r>
        <w:rPr>
          <w:highlight w:val="none"/>
        </w:rPr>
        <w:fldChar w:fldCharType="begin"/>
      </w:r>
      <w:r>
        <w:rPr>
          <w:highlight w:val="none"/>
        </w:rPr>
        <w:instrText xml:space="preserve"> HYPERLINK \l "_Toc18299" </w:instrText>
      </w:r>
      <w:r>
        <w:rPr>
          <w:highlight w:val="none"/>
        </w:rPr>
        <w:fldChar w:fldCharType="separate"/>
      </w:r>
      <w:r>
        <w:rPr>
          <w:rFonts w:hint="eastAsia" w:hAnsi="宋体" w:cs="宋体"/>
          <w:bCs/>
          <w:sz w:val="28"/>
          <w:szCs w:val="36"/>
          <w:highlight w:val="none"/>
        </w:rPr>
        <w:t>供应商须知前附表</w:t>
      </w:r>
      <w:r>
        <w:rPr>
          <w:sz w:val="28"/>
          <w:szCs w:val="21"/>
          <w:highlight w:val="none"/>
        </w:rPr>
        <w:tab/>
      </w:r>
      <w:r>
        <w:rPr>
          <w:sz w:val="28"/>
          <w:szCs w:val="21"/>
          <w:highlight w:val="none"/>
        </w:rPr>
        <w:fldChar w:fldCharType="begin"/>
      </w:r>
      <w:r>
        <w:rPr>
          <w:sz w:val="28"/>
          <w:szCs w:val="21"/>
          <w:highlight w:val="none"/>
        </w:rPr>
        <w:instrText xml:space="preserve"> PAGEREF _Toc18299 </w:instrText>
      </w:r>
      <w:r>
        <w:rPr>
          <w:sz w:val="28"/>
          <w:szCs w:val="21"/>
          <w:highlight w:val="none"/>
        </w:rPr>
        <w:fldChar w:fldCharType="separate"/>
      </w:r>
      <w:r>
        <w:rPr>
          <w:sz w:val="28"/>
          <w:szCs w:val="21"/>
          <w:highlight w:val="none"/>
        </w:rPr>
        <w:t>6</w:t>
      </w:r>
      <w:r>
        <w:rPr>
          <w:sz w:val="28"/>
          <w:szCs w:val="21"/>
          <w:highlight w:val="none"/>
        </w:rPr>
        <w:fldChar w:fldCharType="end"/>
      </w:r>
      <w:r>
        <w:rPr>
          <w:sz w:val="28"/>
          <w:szCs w:val="21"/>
          <w:highlight w:val="none"/>
        </w:rPr>
        <w:fldChar w:fldCharType="end"/>
      </w:r>
    </w:p>
    <w:p>
      <w:pPr>
        <w:pStyle w:val="15"/>
        <w:tabs>
          <w:tab w:val="right" w:leader="dot" w:pos="8787"/>
        </w:tabs>
        <w:spacing w:line="480" w:lineRule="auto"/>
        <w:rPr>
          <w:sz w:val="28"/>
          <w:szCs w:val="21"/>
          <w:highlight w:val="none"/>
        </w:rPr>
      </w:pPr>
      <w:r>
        <w:rPr>
          <w:highlight w:val="none"/>
        </w:rPr>
        <w:fldChar w:fldCharType="begin"/>
      </w:r>
      <w:r>
        <w:rPr>
          <w:highlight w:val="none"/>
        </w:rPr>
        <w:instrText xml:space="preserve"> HYPERLINK \l "_Toc9687" </w:instrText>
      </w:r>
      <w:r>
        <w:rPr>
          <w:highlight w:val="none"/>
        </w:rPr>
        <w:fldChar w:fldCharType="separate"/>
      </w:r>
      <w:r>
        <w:rPr>
          <w:rFonts w:hint="eastAsia" w:hAnsi="宋体" w:cs="宋体"/>
          <w:bCs/>
          <w:sz w:val="28"/>
          <w:szCs w:val="40"/>
          <w:highlight w:val="none"/>
        </w:rPr>
        <w:t>第三章  评审方法</w:t>
      </w:r>
      <w:r>
        <w:rPr>
          <w:sz w:val="28"/>
          <w:szCs w:val="21"/>
          <w:highlight w:val="none"/>
        </w:rPr>
        <w:tab/>
      </w:r>
      <w:r>
        <w:rPr>
          <w:sz w:val="28"/>
          <w:szCs w:val="21"/>
          <w:highlight w:val="none"/>
        </w:rPr>
        <w:fldChar w:fldCharType="begin"/>
      </w:r>
      <w:r>
        <w:rPr>
          <w:sz w:val="28"/>
          <w:szCs w:val="21"/>
          <w:highlight w:val="none"/>
        </w:rPr>
        <w:instrText xml:space="preserve"> PAGEREF _Toc9687 </w:instrText>
      </w:r>
      <w:r>
        <w:rPr>
          <w:sz w:val="28"/>
          <w:szCs w:val="21"/>
          <w:highlight w:val="none"/>
        </w:rPr>
        <w:fldChar w:fldCharType="separate"/>
      </w:r>
      <w:r>
        <w:rPr>
          <w:sz w:val="28"/>
          <w:szCs w:val="21"/>
          <w:highlight w:val="none"/>
        </w:rPr>
        <w:t>24</w:t>
      </w:r>
      <w:r>
        <w:rPr>
          <w:sz w:val="28"/>
          <w:szCs w:val="21"/>
          <w:highlight w:val="none"/>
        </w:rPr>
        <w:fldChar w:fldCharType="end"/>
      </w:r>
      <w:r>
        <w:rPr>
          <w:sz w:val="28"/>
          <w:szCs w:val="21"/>
          <w:highlight w:val="none"/>
        </w:rPr>
        <w:fldChar w:fldCharType="end"/>
      </w:r>
    </w:p>
    <w:p>
      <w:pPr>
        <w:pStyle w:val="15"/>
        <w:tabs>
          <w:tab w:val="right" w:leader="dot" w:pos="8787"/>
        </w:tabs>
        <w:spacing w:line="480" w:lineRule="auto"/>
        <w:rPr>
          <w:sz w:val="28"/>
          <w:szCs w:val="21"/>
          <w:highlight w:val="none"/>
        </w:rPr>
      </w:pPr>
      <w:r>
        <w:rPr>
          <w:highlight w:val="none"/>
        </w:rPr>
        <w:fldChar w:fldCharType="begin"/>
      </w:r>
      <w:r>
        <w:rPr>
          <w:highlight w:val="none"/>
        </w:rPr>
        <w:instrText xml:space="preserve"> HYPERLINK \l "_Toc8788" </w:instrText>
      </w:r>
      <w:r>
        <w:rPr>
          <w:highlight w:val="none"/>
        </w:rPr>
        <w:fldChar w:fldCharType="separate"/>
      </w:r>
      <w:r>
        <w:rPr>
          <w:rFonts w:hint="eastAsia" w:hAnsi="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_Toc8788 </w:instrText>
      </w:r>
      <w:r>
        <w:rPr>
          <w:sz w:val="28"/>
          <w:szCs w:val="21"/>
          <w:highlight w:val="none"/>
        </w:rPr>
        <w:fldChar w:fldCharType="separate"/>
      </w:r>
      <w:r>
        <w:rPr>
          <w:sz w:val="28"/>
          <w:szCs w:val="21"/>
          <w:highlight w:val="none"/>
        </w:rPr>
        <w:t>32</w:t>
      </w:r>
      <w:r>
        <w:rPr>
          <w:sz w:val="28"/>
          <w:szCs w:val="21"/>
          <w:highlight w:val="none"/>
        </w:rPr>
        <w:fldChar w:fldCharType="end"/>
      </w:r>
      <w:r>
        <w:rPr>
          <w:sz w:val="28"/>
          <w:szCs w:val="21"/>
          <w:highlight w:val="none"/>
        </w:rPr>
        <w:fldChar w:fldCharType="end"/>
      </w:r>
    </w:p>
    <w:p>
      <w:pPr>
        <w:pStyle w:val="15"/>
        <w:tabs>
          <w:tab w:val="right" w:leader="dot" w:pos="8787"/>
        </w:tabs>
        <w:spacing w:line="480" w:lineRule="auto"/>
        <w:rPr>
          <w:sz w:val="28"/>
          <w:szCs w:val="21"/>
          <w:highlight w:val="none"/>
        </w:rPr>
      </w:pPr>
      <w:r>
        <w:rPr>
          <w:highlight w:val="none"/>
        </w:rPr>
        <w:fldChar w:fldCharType="begin"/>
      </w:r>
      <w:r>
        <w:rPr>
          <w:highlight w:val="none"/>
        </w:rPr>
        <w:instrText xml:space="preserve"> HYPERLINK \l "_Toc1119" </w:instrText>
      </w:r>
      <w:r>
        <w:rPr>
          <w:highlight w:val="none"/>
        </w:rPr>
        <w:fldChar w:fldCharType="separate"/>
      </w:r>
      <w:r>
        <w:rPr>
          <w:rFonts w:hint="eastAsia" w:hAnsi="宋体" w:cs="宋体"/>
          <w:bCs/>
          <w:sz w:val="28"/>
          <w:szCs w:val="40"/>
          <w:highlight w:val="none"/>
        </w:rPr>
        <w:t>第五章  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_Toc1119 </w:instrText>
      </w:r>
      <w:r>
        <w:rPr>
          <w:sz w:val="28"/>
          <w:szCs w:val="21"/>
          <w:highlight w:val="none"/>
        </w:rPr>
        <w:fldChar w:fldCharType="separate"/>
      </w:r>
      <w:r>
        <w:rPr>
          <w:sz w:val="28"/>
          <w:szCs w:val="21"/>
          <w:highlight w:val="none"/>
        </w:rPr>
        <w:t>39</w:t>
      </w:r>
      <w:r>
        <w:rPr>
          <w:sz w:val="28"/>
          <w:szCs w:val="21"/>
          <w:highlight w:val="none"/>
        </w:rPr>
        <w:fldChar w:fldCharType="end"/>
      </w:r>
      <w:r>
        <w:rPr>
          <w:sz w:val="28"/>
          <w:szCs w:val="21"/>
          <w:highlight w:val="none"/>
        </w:rPr>
        <w:fldChar w:fldCharType="end"/>
      </w:r>
    </w:p>
    <w:p>
      <w:pPr>
        <w:pStyle w:val="15"/>
        <w:tabs>
          <w:tab w:val="right" w:leader="dot" w:pos="8787"/>
        </w:tabs>
        <w:spacing w:line="480" w:lineRule="auto"/>
        <w:rPr>
          <w:sz w:val="28"/>
          <w:szCs w:val="21"/>
          <w:highlight w:val="none"/>
        </w:rPr>
      </w:pPr>
      <w:r>
        <w:rPr>
          <w:highlight w:val="none"/>
        </w:rPr>
        <w:fldChar w:fldCharType="begin"/>
      </w:r>
      <w:r>
        <w:rPr>
          <w:highlight w:val="none"/>
        </w:rPr>
        <w:instrText xml:space="preserve"> HYPERLINK \l "_Toc6373" </w:instrText>
      </w:r>
      <w:r>
        <w:rPr>
          <w:highlight w:val="none"/>
        </w:rPr>
        <w:fldChar w:fldCharType="separate"/>
      </w:r>
      <w:r>
        <w:rPr>
          <w:rFonts w:hint="eastAsia" w:hAnsi="宋体" w:cs="宋体"/>
          <w:sz w:val="28"/>
          <w:szCs w:val="22"/>
          <w:highlight w:val="none"/>
        </w:rPr>
        <w:t>第六章  竞争性磋商响应文件格式</w:t>
      </w:r>
      <w:r>
        <w:rPr>
          <w:sz w:val="28"/>
          <w:szCs w:val="21"/>
          <w:highlight w:val="none"/>
        </w:rPr>
        <w:tab/>
      </w:r>
      <w:r>
        <w:rPr>
          <w:rFonts w:hint="eastAsia"/>
          <w:sz w:val="28"/>
          <w:szCs w:val="21"/>
          <w:highlight w:val="none"/>
        </w:rPr>
        <w:t>5</w:t>
      </w:r>
      <w:r>
        <w:rPr>
          <w:rFonts w:hint="eastAsia"/>
          <w:sz w:val="28"/>
          <w:szCs w:val="21"/>
          <w:highlight w:val="none"/>
        </w:rPr>
        <w:fldChar w:fldCharType="end"/>
      </w:r>
      <w:r>
        <w:rPr>
          <w:rFonts w:hint="eastAsia" w:hAnsi="宋体" w:cs="宋体"/>
          <w:bCs/>
          <w:sz w:val="28"/>
          <w:szCs w:val="40"/>
          <w:highlight w:val="none"/>
        </w:rPr>
        <w:t>6</w:t>
      </w:r>
    </w:p>
    <w:p>
      <w:pPr>
        <w:pStyle w:val="15"/>
        <w:tabs>
          <w:tab w:val="right" w:leader="dot" w:pos="8302"/>
        </w:tabs>
        <w:spacing w:line="480" w:lineRule="auto"/>
        <w:rPr>
          <w:rFonts w:hAnsi="宋体" w:cs="宋体"/>
          <w:bCs/>
          <w:sz w:val="36"/>
          <w:szCs w:val="36"/>
          <w:highlight w:val="none"/>
        </w:rPr>
      </w:pPr>
      <w:r>
        <w:rPr>
          <w:rFonts w:hint="eastAsia" w:hAnsi="宋体" w:cs="宋体"/>
          <w:bCs/>
          <w:sz w:val="28"/>
          <w:szCs w:val="40"/>
          <w:highlight w:val="none"/>
        </w:rPr>
        <w:fldChar w:fldCharType="end"/>
      </w:r>
    </w:p>
    <w:p>
      <w:pPr>
        <w:pStyle w:val="3"/>
        <w:spacing w:before="312" w:beforeLines="100"/>
        <w:jc w:val="center"/>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pPr>
        <w:pStyle w:val="3"/>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2705"/>
      <w:bookmarkStart w:id="13" w:name="_Toc423973071"/>
      <w:bookmarkStart w:id="14" w:name="_Toc25782"/>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bookmarkEnd w:id="14"/>
    </w:p>
    <w:p>
      <w:pPr>
        <w:pStyle w:val="7"/>
        <w:widowControl/>
        <w:wordWrap w:val="0"/>
        <w:spacing w:beforeAutospacing="0" w:afterAutospacing="0" w:line="360" w:lineRule="auto"/>
        <w:rPr>
          <w:rFonts w:hint="default" w:asciiTheme="minorEastAsia" w:hAnsiTheme="minorEastAsia" w:eastAsiaTheme="minorEastAsia" w:cstheme="minorEastAsia"/>
          <w:b w:val="0"/>
          <w:bCs w:val="0"/>
          <w:sz w:val="21"/>
          <w:szCs w:val="21"/>
          <w:highlight w:val="none"/>
        </w:rPr>
      </w:pPr>
      <w:bookmarkStart w:id="15" w:name="_Toc389582035"/>
      <w:bookmarkStart w:id="16" w:name="_Toc2929"/>
      <w:bookmarkStart w:id="17" w:name="_Toc3334"/>
      <w:bookmarkStart w:id="18" w:name="_Toc423973072"/>
      <w:bookmarkStart w:id="19" w:name="_Toc29249"/>
      <w:bookmarkStart w:id="20" w:name="_Toc14793"/>
      <w:r>
        <w:rPr>
          <w:rStyle w:val="25"/>
          <w:rFonts w:asciiTheme="minorEastAsia" w:hAnsiTheme="minorEastAsia" w:eastAsiaTheme="minorEastAsia" w:cstheme="minorEastAsia"/>
          <w:b/>
          <w:bCs/>
          <w:sz w:val="21"/>
          <w:szCs w:val="21"/>
          <w:highlight w:val="none"/>
          <w:shd w:val="clear" w:color="auto" w:fill="FFFFFF"/>
        </w:rPr>
        <w:t>项目概况</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网络安全系统升级项目采购项目的潜在供应商应在陕西省西安市经济技术开发区未央路171-1号银池道拉斯财富中心21楼获取采购文件，并于 2022年11月28日 14时30分 （北京时间）前提交响应文件。</w:t>
      </w:r>
    </w:p>
    <w:p>
      <w:pPr>
        <w:pStyle w:val="6"/>
        <w:widowControl/>
        <w:wordWrap w:val="0"/>
        <w:spacing w:beforeAutospacing="0" w:afterAutospacing="0" w:line="360" w:lineRule="auto"/>
        <w:rPr>
          <w:rFonts w:hint="default" w:asciiTheme="minorEastAsia" w:hAnsiTheme="minorEastAsia" w:eastAsiaTheme="minorEastAsia" w:cstheme="minorEastAsia"/>
          <w:b w:val="0"/>
          <w:bCs w:val="0"/>
          <w:sz w:val="21"/>
          <w:szCs w:val="21"/>
          <w:highlight w:val="none"/>
        </w:rPr>
      </w:pPr>
      <w:r>
        <w:rPr>
          <w:rStyle w:val="25"/>
          <w:rFonts w:asciiTheme="minorEastAsia" w:hAnsiTheme="minorEastAsia" w:eastAsiaTheme="minorEastAsia" w:cstheme="minorEastAsia"/>
          <w:b/>
          <w:bCs/>
          <w:sz w:val="21"/>
          <w:szCs w:val="21"/>
          <w:highlight w:val="none"/>
          <w:shd w:val="clear" w:color="auto" w:fill="FFFFFF"/>
        </w:rPr>
        <w:t>一、项目基本情况</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项目编号：SXZCZB2022-ZCCS-1133</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项目名称：网络安全系统升级项目</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采购方式：竞争性磋商</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预算金额：812,000.00元</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采购需求：</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合同包1(网络安全系统升级项目):</w:t>
      </w:r>
    </w:p>
    <w:p>
      <w:pPr>
        <w:pStyle w:val="18"/>
        <w:wordWrap w:val="0"/>
        <w:spacing w:before="0" w:beforeAutospacing="0" w:after="0" w:afterAutospacing="0" w:line="360" w:lineRule="auto"/>
        <w:ind w:firstLine="63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合同包预算金额：812,000.00元</w:t>
      </w:r>
    </w:p>
    <w:p>
      <w:pPr>
        <w:pStyle w:val="18"/>
        <w:wordWrap w:val="0"/>
        <w:spacing w:before="0" w:beforeAutospacing="0" w:after="0" w:afterAutospacing="0" w:line="360" w:lineRule="auto"/>
        <w:ind w:firstLine="63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合同包最高限价：812,000.00元</w:t>
      </w:r>
    </w:p>
    <w:tbl>
      <w:tblPr>
        <w:tblStyle w:val="22"/>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46"/>
        <w:gridCol w:w="1805"/>
        <w:gridCol w:w="1477"/>
        <w:gridCol w:w="899"/>
        <w:gridCol w:w="1425"/>
        <w:gridCol w:w="1441"/>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5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品目号</w:t>
            </w:r>
          </w:p>
        </w:tc>
        <w:tc>
          <w:tcPr>
            <w:tcW w:w="9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品目名称</w:t>
            </w:r>
          </w:p>
        </w:tc>
        <w:tc>
          <w:tcPr>
            <w:tcW w:w="7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采购标的</w:t>
            </w:r>
          </w:p>
        </w:tc>
        <w:tc>
          <w:tcPr>
            <w:tcW w:w="4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数量（单位）</w:t>
            </w:r>
          </w:p>
        </w:tc>
        <w:tc>
          <w:tcPr>
            <w:tcW w:w="7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技术规格、参数及要求</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品目预算(元)</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1-1</w:t>
            </w:r>
          </w:p>
        </w:tc>
        <w:tc>
          <w:tcPr>
            <w:tcW w:w="9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安全运维服务</w:t>
            </w:r>
          </w:p>
        </w:tc>
        <w:tc>
          <w:tcPr>
            <w:tcW w:w="7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信息安全</w:t>
            </w:r>
          </w:p>
        </w:tc>
        <w:tc>
          <w:tcPr>
            <w:tcW w:w="4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1(项)</w:t>
            </w:r>
          </w:p>
        </w:tc>
        <w:tc>
          <w:tcPr>
            <w:tcW w:w="7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详见采购文件</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uto"/>
              <w:jc w:val="righ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812,000.00</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uto"/>
              <w:jc w:val="righ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812,000.00</w:t>
            </w:r>
          </w:p>
        </w:tc>
      </w:tr>
    </w:tbl>
    <w:p>
      <w:pPr>
        <w:pStyle w:val="18"/>
        <w:wordWrap w:val="0"/>
        <w:spacing w:before="0" w:beforeAutospacing="0" w:after="0" w:afterAutospacing="0" w:line="360" w:lineRule="auto"/>
        <w:ind w:firstLine="63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本合同包不接受联合体投标</w:t>
      </w:r>
    </w:p>
    <w:p>
      <w:pPr>
        <w:pStyle w:val="18"/>
        <w:wordWrap w:val="0"/>
        <w:spacing w:before="0" w:beforeAutospacing="0" w:after="0" w:afterAutospacing="0" w:line="360" w:lineRule="auto"/>
        <w:ind w:firstLine="63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合同履行期限：无</w:t>
      </w:r>
    </w:p>
    <w:p>
      <w:pPr>
        <w:pStyle w:val="6"/>
        <w:widowControl/>
        <w:wordWrap w:val="0"/>
        <w:spacing w:beforeAutospacing="0" w:afterAutospacing="0" w:line="360" w:lineRule="auto"/>
        <w:rPr>
          <w:rFonts w:hint="default" w:asciiTheme="minorEastAsia" w:hAnsiTheme="minorEastAsia" w:eastAsiaTheme="minorEastAsia" w:cstheme="minorEastAsia"/>
          <w:b w:val="0"/>
          <w:bCs w:val="0"/>
          <w:sz w:val="21"/>
          <w:szCs w:val="21"/>
          <w:highlight w:val="none"/>
        </w:rPr>
      </w:pPr>
      <w:r>
        <w:rPr>
          <w:rStyle w:val="25"/>
          <w:rFonts w:asciiTheme="minorEastAsia" w:hAnsiTheme="minorEastAsia" w:eastAsiaTheme="minorEastAsia" w:cstheme="minorEastAsia"/>
          <w:b/>
          <w:bCs/>
          <w:sz w:val="21"/>
          <w:szCs w:val="21"/>
          <w:highlight w:val="none"/>
          <w:shd w:val="clear" w:color="auto" w:fill="FFFFFF"/>
        </w:rPr>
        <w:t>二、申请人的资格要求：</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1.满足《中华人民共和国政府采购法》第二十二条规定;</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2.落实政府采购政策需满足的资格要求：</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合同包1(网络安全系统升级项目)落实政府采购政策需满足的资格要求如下:</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（1）《政府采购促进中小企业发展管理办法》的通知--财库[2020]46号；《财政部关于进一步加大政府采购支持中小企业力度的通知》（财库〔2022〕19号）；</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（2）财政部司法部关于政府采购支持监狱企业发展有关问题的通知--财库〔2014〕68号；</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（3）《国务院办公厅关于建立政府强制采购节能产品制度的通知》--国办发〔2007〕51号；</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（4）《财政部发展改革委生态环境部市场监督总局关于调整优化节能产品、环境标志产品政府采购执行机制的通知》--（财库[2019]9号）；</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（5）《关于印发环境标志产品政府采购品目清单的通知》--（财库〔2019〕18号）；</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（6）《关于印发节能产品政府采购品目清单的通知》--（财库〔2019〕19号）；</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（7）《市场监督总局关于发布参与实施政府采购节能产品、环境标志产品认证机构名录的公告》—2019年第16号；</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（8）《财政部民政部中国残疾人联合会关于促进残疾人就业政府采购政策的通知》--（财库〔2017〕141号）；</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（9）《关于运用政府采购政策支持乡村产业振兴的通知》（财库〔2021〕19号）；</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（10）陕西省财政厅关于印发《陕西省中小企业政府采购信用融资办法》（陕财办采〔2018〕23号）；</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（11）《陕西省财政厅关于加快推进我省中小企业政府采购信用融资工作的通知》（陕财办采〔2020〕15号）；</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（12）《关于进一步加强政府绿色采购有关问题的通知》（陕财办采〔2021〕29号）；</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（13）其他需要落实的政府采购政策。</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3.本项目的特定资格要求：</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合同包1(网络安全系统升级项目)特定资格要求如下:</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3.1 提供合格有效的法人或者其他组织的营业执照等证明文件，自然人的身份证明。</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3.2 提供法定代表人授权书（附法定代表人、被授权人身份证复印件）及被授权人身份证原件（法定代表人直接参加磋商，须提供法定代表人身份证明及身份证原件）；</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3.3 财务状况报告：提供2020年度或2021年度的财务审计报告（至少包括资产负债表和利润表，成立时间至提交磋商响应文件截止时间不足一年的可提供成立后任意时段的资产负债表），或磋商响应文件递交截止日期前6个月内其基本开户银行出具的资信证明； </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3.4 税收缴纳证明：提供磋商截止日前一年内已缴纳的至少一个月的纳税证明或完税证明（任意税种），依法免税的单位应提供相关证明材料； </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3.5 社会保障资金缴纳证明：提供磋商截止日前一年内已缴存的至少一个月的社会保障资金缴存单据或社保机构开具的社会保险参保缴费情况证明，依法不需要缴纳社会保障资金的单位应提供相关证明材料； </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3.6 提供具有履行本合同所必需的设备和专业技术能力的说明及承诺书； </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3.供应商应通过“信用中国”网站(www.creditchina.gov.cn)、中国政府采购网(www.ccgp.gov.cn) 查询相关主体信用记录； </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3.8 参加政府采购活动前3年内，在经营活动中没有重大违法记录的书面声明；</w:t>
      </w:r>
    </w:p>
    <w:p>
      <w:pPr>
        <w:pStyle w:val="6"/>
        <w:widowControl/>
        <w:wordWrap w:val="0"/>
        <w:spacing w:beforeAutospacing="0" w:afterAutospacing="0" w:line="360" w:lineRule="auto"/>
        <w:rPr>
          <w:rFonts w:hint="default" w:asciiTheme="minorEastAsia" w:hAnsiTheme="minorEastAsia" w:eastAsiaTheme="minorEastAsia" w:cstheme="minorEastAsia"/>
          <w:b w:val="0"/>
          <w:bCs w:val="0"/>
          <w:sz w:val="21"/>
          <w:szCs w:val="21"/>
          <w:highlight w:val="none"/>
        </w:rPr>
      </w:pPr>
      <w:r>
        <w:rPr>
          <w:rStyle w:val="25"/>
          <w:rFonts w:asciiTheme="minorEastAsia" w:hAnsiTheme="minorEastAsia" w:eastAsiaTheme="minorEastAsia" w:cstheme="minorEastAsia"/>
          <w:b/>
          <w:bCs/>
          <w:sz w:val="21"/>
          <w:szCs w:val="21"/>
          <w:highlight w:val="none"/>
          <w:shd w:val="clear" w:color="auto" w:fill="FFFFFF"/>
        </w:rPr>
        <w:t>三、获取招标文件</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时间： 2022年11月18日 至 2022年11月24日 ，每天上午 09:00:00 至 12:00:00 ，下午 14:00:00 至 17:00:00 （北京时间）</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途径：陕西省西安市经济技术开发区未央路171-1号银池道拉斯财富中心21楼</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方式：现场获取</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售价： 0元</w:t>
      </w:r>
    </w:p>
    <w:p>
      <w:pPr>
        <w:pStyle w:val="6"/>
        <w:widowControl/>
        <w:wordWrap w:val="0"/>
        <w:spacing w:beforeAutospacing="0" w:afterAutospacing="0" w:line="360" w:lineRule="auto"/>
        <w:rPr>
          <w:rFonts w:hint="default" w:asciiTheme="minorEastAsia" w:hAnsiTheme="minorEastAsia" w:eastAsiaTheme="minorEastAsia" w:cstheme="minorEastAsia"/>
          <w:b w:val="0"/>
          <w:bCs w:val="0"/>
          <w:sz w:val="21"/>
          <w:szCs w:val="21"/>
          <w:highlight w:val="none"/>
        </w:rPr>
      </w:pPr>
      <w:r>
        <w:rPr>
          <w:rStyle w:val="25"/>
          <w:rFonts w:asciiTheme="minorEastAsia" w:hAnsiTheme="minorEastAsia" w:eastAsiaTheme="minorEastAsia" w:cstheme="minorEastAsia"/>
          <w:b/>
          <w:bCs/>
          <w:sz w:val="21"/>
          <w:szCs w:val="21"/>
          <w:highlight w:val="none"/>
          <w:shd w:val="clear" w:color="auto" w:fill="FFFFFF"/>
        </w:rPr>
        <w:t>四、提交投标文件截止时间、开标时间和地点</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时间： 2022年11月28日 14时30分00秒 （北京时间）</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提交投标文件地点：陕西省西安市经济技术开发区未央路171-1号银池道拉斯财富中心21楼开标室</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开标地点：陕西省西安市经济技术开发区未央路171-1号银池道拉斯财富中心21楼开标室</w:t>
      </w:r>
    </w:p>
    <w:p>
      <w:pPr>
        <w:pStyle w:val="6"/>
        <w:widowControl/>
        <w:wordWrap w:val="0"/>
        <w:spacing w:beforeAutospacing="0" w:afterAutospacing="0" w:line="360" w:lineRule="auto"/>
        <w:rPr>
          <w:rFonts w:hint="default" w:asciiTheme="minorEastAsia" w:hAnsiTheme="minorEastAsia" w:eastAsiaTheme="minorEastAsia" w:cstheme="minorEastAsia"/>
          <w:b w:val="0"/>
          <w:bCs w:val="0"/>
          <w:sz w:val="21"/>
          <w:szCs w:val="21"/>
          <w:highlight w:val="none"/>
        </w:rPr>
      </w:pPr>
      <w:r>
        <w:rPr>
          <w:rStyle w:val="25"/>
          <w:rFonts w:asciiTheme="minorEastAsia" w:hAnsiTheme="minorEastAsia" w:eastAsiaTheme="minorEastAsia" w:cstheme="minorEastAsia"/>
          <w:b/>
          <w:bCs/>
          <w:sz w:val="21"/>
          <w:szCs w:val="21"/>
          <w:highlight w:val="none"/>
          <w:shd w:val="clear" w:color="auto" w:fill="FFFFFF"/>
        </w:rPr>
        <w:t>五、公告期限</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自本公告发布之日起3个工作日。</w:t>
      </w:r>
    </w:p>
    <w:p>
      <w:pPr>
        <w:pStyle w:val="6"/>
        <w:widowControl/>
        <w:wordWrap w:val="0"/>
        <w:spacing w:beforeAutospacing="0" w:afterAutospacing="0" w:line="360" w:lineRule="auto"/>
        <w:rPr>
          <w:rFonts w:hint="default" w:asciiTheme="minorEastAsia" w:hAnsiTheme="minorEastAsia" w:eastAsiaTheme="minorEastAsia" w:cstheme="minorEastAsia"/>
          <w:b w:val="0"/>
          <w:bCs w:val="0"/>
          <w:sz w:val="21"/>
          <w:szCs w:val="21"/>
          <w:highlight w:val="none"/>
        </w:rPr>
      </w:pPr>
      <w:r>
        <w:rPr>
          <w:rStyle w:val="25"/>
          <w:rFonts w:asciiTheme="minorEastAsia" w:hAnsiTheme="minorEastAsia" w:eastAsiaTheme="minorEastAsia" w:cstheme="minorEastAsia"/>
          <w:b/>
          <w:bCs/>
          <w:sz w:val="21"/>
          <w:szCs w:val="21"/>
          <w:highlight w:val="none"/>
          <w:shd w:val="clear" w:color="auto" w:fill="FFFFFF"/>
        </w:rPr>
        <w:t>六、其他补充事宜</w:t>
      </w:r>
    </w:p>
    <w:p>
      <w:pPr>
        <w:pStyle w:val="18"/>
        <w:wordWrap w:val="0"/>
        <w:spacing w:before="0" w:beforeAutospacing="0" w:after="0" w:afterAutospacing="0" w:line="360" w:lineRule="auto"/>
        <w:ind w:firstLine="482"/>
        <w:jc w:val="both"/>
        <w:rPr>
          <w:rFonts w:asciiTheme="minorEastAsia" w:hAnsiTheme="minorEastAsia" w:eastAsiaTheme="minorEastAsia" w:cstheme="minorEastAsia"/>
          <w:sz w:val="21"/>
          <w:szCs w:val="21"/>
          <w:highlight w:val="none"/>
        </w:rPr>
      </w:pPr>
      <w:r>
        <w:rPr>
          <w:rStyle w:val="25"/>
          <w:rFonts w:hint="eastAsia" w:asciiTheme="minorEastAsia" w:hAnsiTheme="minorEastAsia" w:eastAsiaTheme="minorEastAsia" w:cstheme="minorEastAsia"/>
          <w:sz w:val="21"/>
          <w:szCs w:val="21"/>
          <w:highlight w:val="none"/>
          <w:shd w:val="clear" w:color="auto" w:fill="FFFFFF"/>
        </w:rPr>
        <w:t>1、领取竞争性磋商文件请携带单位介绍信原件,经办人身份证原件及加盖供应商公章的复印件。</w:t>
      </w:r>
    </w:p>
    <w:p>
      <w:pPr>
        <w:pStyle w:val="18"/>
        <w:wordWrap w:val="0"/>
        <w:spacing w:before="0" w:beforeAutospacing="0" w:after="0" w:afterAutospacing="0" w:line="360" w:lineRule="auto"/>
        <w:ind w:firstLine="482"/>
        <w:jc w:val="both"/>
        <w:rPr>
          <w:rFonts w:asciiTheme="minorEastAsia" w:hAnsiTheme="minorEastAsia" w:eastAsiaTheme="minorEastAsia" w:cstheme="minorEastAsia"/>
          <w:sz w:val="21"/>
          <w:szCs w:val="21"/>
          <w:highlight w:val="none"/>
        </w:rPr>
      </w:pPr>
      <w:r>
        <w:rPr>
          <w:rStyle w:val="25"/>
          <w:rFonts w:hint="eastAsia" w:asciiTheme="minorEastAsia" w:hAnsiTheme="minorEastAsia" w:eastAsiaTheme="minorEastAsia" w:cstheme="minorEastAsia"/>
          <w:sz w:val="21"/>
          <w:szCs w:val="21"/>
          <w:highlight w:val="none"/>
          <w:shd w:val="clear" w:color="auto" w:fill="FFFFFF"/>
        </w:rPr>
        <w:t>2、请各供应商领取磋商文件后，按照陕西省财政厅《关于政府采购供应商注册登记有关事项的通知》中的要求，供应商应通过陕西省政府采购网（http://www.ccgp-shaanxi.gov.cn/）注册登记，加入陕西省政府采购供应商库。</w:t>
      </w:r>
    </w:p>
    <w:p>
      <w:pPr>
        <w:pStyle w:val="6"/>
        <w:widowControl/>
        <w:wordWrap w:val="0"/>
        <w:spacing w:beforeAutospacing="0" w:afterAutospacing="0" w:line="360" w:lineRule="auto"/>
        <w:rPr>
          <w:rFonts w:hint="default" w:asciiTheme="minorEastAsia" w:hAnsiTheme="minorEastAsia" w:eastAsiaTheme="minorEastAsia" w:cstheme="minorEastAsia"/>
          <w:b w:val="0"/>
          <w:bCs w:val="0"/>
          <w:sz w:val="21"/>
          <w:szCs w:val="21"/>
          <w:highlight w:val="none"/>
        </w:rPr>
      </w:pPr>
      <w:r>
        <w:rPr>
          <w:rStyle w:val="25"/>
          <w:rFonts w:asciiTheme="minorEastAsia" w:hAnsiTheme="minorEastAsia" w:eastAsiaTheme="minorEastAsia" w:cstheme="minorEastAsia"/>
          <w:b/>
          <w:bCs/>
          <w:sz w:val="21"/>
          <w:szCs w:val="21"/>
          <w:highlight w:val="none"/>
          <w:shd w:val="clear" w:color="auto" w:fill="FFFFFF"/>
        </w:rPr>
        <w:t>七、对本次招标提出询问，请按以下方式联系。</w:t>
      </w:r>
    </w:p>
    <w:p>
      <w:pPr>
        <w:pStyle w:val="7"/>
        <w:widowControl/>
        <w:wordWrap w:val="0"/>
        <w:spacing w:beforeAutospacing="0" w:afterAutospacing="0" w:line="360" w:lineRule="auto"/>
        <w:rPr>
          <w:rFonts w:hint="default" w:asciiTheme="minorEastAsia" w:hAnsiTheme="minorEastAsia" w:eastAsiaTheme="minorEastAsia" w:cstheme="minorEastAsia"/>
          <w:b w:val="0"/>
          <w:bCs w:val="0"/>
          <w:sz w:val="21"/>
          <w:szCs w:val="21"/>
          <w:highlight w:val="none"/>
        </w:rPr>
      </w:pPr>
      <w:r>
        <w:rPr>
          <w:rFonts w:asciiTheme="minorEastAsia" w:hAnsiTheme="minorEastAsia" w:eastAsiaTheme="minorEastAsia" w:cstheme="minorEastAsia"/>
          <w:b w:val="0"/>
          <w:bCs w:val="0"/>
          <w:sz w:val="21"/>
          <w:szCs w:val="21"/>
          <w:highlight w:val="none"/>
          <w:shd w:val="clear" w:color="auto" w:fill="FFFFFF"/>
        </w:rPr>
        <w:t>1.采购人信息</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名称：西安市鄠邑区人民医院</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地址：鄠邑区渼陂西路5号</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联系方式：029-84812533</w:t>
      </w:r>
    </w:p>
    <w:p>
      <w:pPr>
        <w:pStyle w:val="7"/>
        <w:widowControl/>
        <w:wordWrap w:val="0"/>
        <w:spacing w:beforeAutospacing="0" w:afterAutospacing="0" w:line="360" w:lineRule="auto"/>
        <w:rPr>
          <w:rFonts w:hint="default" w:asciiTheme="minorEastAsia" w:hAnsiTheme="minorEastAsia" w:eastAsiaTheme="minorEastAsia" w:cstheme="minorEastAsia"/>
          <w:b w:val="0"/>
          <w:bCs w:val="0"/>
          <w:sz w:val="21"/>
          <w:szCs w:val="21"/>
          <w:highlight w:val="none"/>
        </w:rPr>
      </w:pPr>
      <w:r>
        <w:rPr>
          <w:rFonts w:asciiTheme="minorEastAsia" w:hAnsiTheme="minorEastAsia" w:eastAsiaTheme="minorEastAsia" w:cstheme="minorEastAsia"/>
          <w:b w:val="0"/>
          <w:bCs w:val="0"/>
          <w:sz w:val="21"/>
          <w:szCs w:val="21"/>
          <w:highlight w:val="none"/>
          <w:shd w:val="clear" w:color="auto" w:fill="FFFFFF"/>
        </w:rPr>
        <w:t>2.采购代理机构信息</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名称：陕西至诚招标咨询有限公司</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地址：陕西省西安市经济技术开发区未央路171-1号银池道拉斯财富中心21楼</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联系方式：029-88219779</w:t>
      </w:r>
    </w:p>
    <w:p>
      <w:pPr>
        <w:pStyle w:val="7"/>
        <w:widowControl/>
        <w:wordWrap w:val="0"/>
        <w:spacing w:beforeAutospacing="0" w:afterAutospacing="0" w:line="360" w:lineRule="auto"/>
        <w:rPr>
          <w:rFonts w:hint="default" w:asciiTheme="minorEastAsia" w:hAnsiTheme="minorEastAsia" w:eastAsiaTheme="minorEastAsia" w:cstheme="minorEastAsia"/>
          <w:b w:val="0"/>
          <w:bCs w:val="0"/>
          <w:sz w:val="21"/>
          <w:szCs w:val="21"/>
          <w:highlight w:val="none"/>
        </w:rPr>
      </w:pPr>
      <w:r>
        <w:rPr>
          <w:rFonts w:asciiTheme="minorEastAsia" w:hAnsiTheme="minorEastAsia" w:eastAsiaTheme="minorEastAsia" w:cstheme="minorEastAsia"/>
          <w:b w:val="0"/>
          <w:bCs w:val="0"/>
          <w:sz w:val="21"/>
          <w:szCs w:val="21"/>
          <w:highlight w:val="none"/>
          <w:shd w:val="clear" w:color="auto" w:fill="FFFFFF"/>
        </w:rPr>
        <w:t>3.项目联系方式</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项目联系人：高东联</w:t>
      </w:r>
    </w:p>
    <w:p>
      <w:pPr>
        <w:pStyle w:val="18"/>
        <w:wordWrap w:val="0"/>
        <w:spacing w:before="0" w:beforeAutospacing="0" w:after="0" w:afterAutospacing="0" w:line="360" w:lineRule="auto"/>
        <w:ind w:firstLine="480"/>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电话：029-88219779</w:t>
      </w:r>
    </w:p>
    <w:p>
      <w:pPr>
        <w:pStyle w:val="18"/>
        <w:wordWrap w:val="0"/>
        <w:spacing w:before="0" w:beforeAutospacing="0" w:after="0" w:afterAutospacing="0" w:line="360" w:lineRule="auto"/>
        <w:ind w:firstLine="480"/>
        <w:jc w:val="righ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陕西至诚招标咨询有限公司</w:t>
      </w:r>
    </w:p>
    <w:p>
      <w:pPr>
        <w:jc w:val="right"/>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2022年11月17日</w:t>
      </w:r>
    </w:p>
    <w:p>
      <w:pPr>
        <w:rPr>
          <w:rFonts w:hAnsi="宋体" w:cs="宋体"/>
          <w:b/>
          <w:bCs/>
          <w:kern w:val="2"/>
          <w:sz w:val="36"/>
          <w:szCs w:val="36"/>
          <w:highlight w:val="none"/>
        </w:rPr>
      </w:pPr>
      <w:r>
        <w:rPr>
          <w:rFonts w:hint="eastAsia" w:hAnsi="宋体" w:cs="宋体"/>
          <w:b/>
          <w:bCs/>
          <w:kern w:val="2"/>
          <w:sz w:val="36"/>
          <w:szCs w:val="36"/>
          <w:highlight w:val="none"/>
        </w:rPr>
        <w:br w:type="page"/>
      </w:r>
    </w:p>
    <w:p>
      <w:pPr>
        <w:spacing w:line="348" w:lineRule="auto"/>
        <w:ind w:right="119"/>
        <w:jc w:val="center"/>
        <w:outlineLvl w:val="0"/>
        <w:rPr>
          <w:rFonts w:hAnsi="宋体" w:cs="宋体"/>
          <w:bCs/>
          <w:sz w:val="36"/>
          <w:szCs w:val="36"/>
          <w:highlight w:val="none"/>
        </w:rPr>
      </w:pPr>
      <w:r>
        <w:rPr>
          <w:rFonts w:hint="eastAsia" w:hAnsi="宋体" w:cs="宋体"/>
          <w:b/>
          <w:bCs/>
          <w:kern w:val="2"/>
          <w:sz w:val="36"/>
          <w:szCs w:val="36"/>
          <w:highlight w:val="none"/>
        </w:rPr>
        <w:t xml:space="preserve">第二章  </w:t>
      </w:r>
      <w:bookmarkEnd w:id="15"/>
      <w:bookmarkEnd w:id="16"/>
      <w:bookmarkStart w:id="21" w:name="OLE_LINK3"/>
      <w:r>
        <w:rPr>
          <w:rFonts w:hint="eastAsia" w:hAnsi="宋体" w:cs="宋体"/>
          <w:b/>
          <w:bCs/>
          <w:kern w:val="2"/>
          <w:sz w:val="36"/>
          <w:szCs w:val="36"/>
          <w:highlight w:val="none"/>
        </w:rPr>
        <w:t>供应商须知</w:t>
      </w:r>
      <w:bookmarkEnd w:id="17"/>
      <w:bookmarkEnd w:id="18"/>
      <w:bookmarkEnd w:id="19"/>
      <w:bookmarkEnd w:id="20"/>
      <w:bookmarkEnd w:id="21"/>
    </w:p>
    <w:p>
      <w:pPr>
        <w:spacing w:line="440" w:lineRule="exact"/>
        <w:ind w:firstLine="3534" w:firstLineChars="1100"/>
        <w:outlineLvl w:val="1"/>
        <w:rPr>
          <w:rFonts w:hAnsi="宋体" w:cs="宋体"/>
          <w:b/>
          <w:bCs/>
          <w:sz w:val="32"/>
          <w:szCs w:val="32"/>
          <w:highlight w:val="none"/>
        </w:rPr>
      </w:pPr>
      <w:bookmarkStart w:id="22" w:name="_Toc8846"/>
      <w:bookmarkStart w:id="23" w:name="_Toc16830"/>
      <w:bookmarkStart w:id="24" w:name="_Toc18299"/>
      <w:r>
        <w:rPr>
          <w:rFonts w:hint="eastAsia" w:hAnsi="宋体" w:cs="宋体"/>
          <w:b/>
          <w:bCs/>
          <w:sz w:val="32"/>
          <w:szCs w:val="32"/>
          <w:highlight w:val="none"/>
        </w:rPr>
        <w:t>供应商须知前附表</w:t>
      </w:r>
      <w:bookmarkEnd w:id="22"/>
      <w:bookmarkEnd w:id="23"/>
      <w:bookmarkEnd w:id="24"/>
    </w:p>
    <w:p>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2"/>
        <w:tblW w:w="88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pPr>
              <w:spacing w:before="156" w:beforeLines="50" w:line="360" w:lineRule="auto"/>
              <w:jc w:val="center"/>
              <w:rPr>
                <w:rFonts w:hAnsi="宋体" w:cs="宋体"/>
                <w:b/>
                <w:szCs w:val="24"/>
                <w:highlight w:val="none"/>
              </w:rPr>
            </w:pPr>
            <w:r>
              <w:rPr>
                <w:rFonts w:hint="eastAsia" w:hAnsi="宋体" w:cs="宋体"/>
                <w:b/>
                <w:szCs w:val="24"/>
                <w:highlight w:val="none"/>
              </w:rPr>
              <w:t>序号</w:t>
            </w:r>
          </w:p>
        </w:tc>
        <w:tc>
          <w:tcPr>
            <w:tcW w:w="951" w:type="dxa"/>
            <w:vAlign w:val="center"/>
          </w:tcPr>
          <w:p>
            <w:pPr>
              <w:spacing w:before="156" w:beforeLines="50" w:line="360" w:lineRule="auto"/>
              <w:jc w:val="center"/>
              <w:rPr>
                <w:rFonts w:hAnsi="宋体" w:cs="宋体"/>
                <w:b/>
                <w:szCs w:val="24"/>
                <w:highlight w:val="none"/>
              </w:rPr>
            </w:pPr>
            <w:r>
              <w:rPr>
                <w:rFonts w:hint="eastAsia" w:hAnsi="宋体" w:cs="宋体"/>
                <w:b/>
                <w:szCs w:val="24"/>
                <w:highlight w:val="none"/>
              </w:rPr>
              <w:t>条款号</w:t>
            </w:r>
          </w:p>
        </w:tc>
        <w:tc>
          <w:tcPr>
            <w:tcW w:w="7354" w:type="dxa"/>
          </w:tcPr>
          <w:p>
            <w:pPr>
              <w:spacing w:before="156" w:beforeLines="50" w:line="360" w:lineRule="auto"/>
              <w:jc w:val="center"/>
              <w:rPr>
                <w:rFonts w:hAnsi="宋体" w:cs="宋体"/>
                <w:b/>
                <w:szCs w:val="24"/>
                <w:highlight w:val="none"/>
              </w:rPr>
            </w:pPr>
            <w:r>
              <w:rPr>
                <w:rFonts w:hint="eastAsia" w:hAnsi="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2.3</w:t>
            </w:r>
          </w:p>
        </w:tc>
        <w:tc>
          <w:tcPr>
            <w:tcW w:w="7354" w:type="dxa"/>
          </w:tcPr>
          <w:p>
            <w:pPr>
              <w:spacing w:line="360" w:lineRule="auto"/>
              <w:rPr>
                <w:rFonts w:hAnsi="宋体" w:cs="宋体"/>
                <w:szCs w:val="24"/>
                <w:highlight w:val="none"/>
              </w:rPr>
            </w:pPr>
            <w:r>
              <w:rPr>
                <w:rFonts w:hint="eastAsia" w:hAnsi="宋体" w:cs="宋体"/>
                <w:szCs w:val="24"/>
                <w:highlight w:val="none"/>
              </w:rPr>
              <w:t>采购代理机构：陕西至诚招标咨询有限公司</w:t>
            </w:r>
          </w:p>
          <w:p>
            <w:pPr>
              <w:spacing w:line="360" w:lineRule="auto"/>
              <w:rPr>
                <w:rFonts w:hAnsi="宋体" w:cs="宋体"/>
                <w:szCs w:val="24"/>
                <w:highlight w:val="none"/>
              </w:rPr>
            </w:pPr>
            <w:r>
              <w:rPr>
                <w:rFonts w:hint="eastAsia" w:hAnsi="宋体" w:cs="宋体"/>
                <w:szCs w:val="24"/>
                <w:highlight w:val="none"/>
              </w:rPr>
              <w:t>地        址：陕西省西安市经济技术开发区未央路171-1号银池道拉斯财富中心21楼</w:t>
            </w:r>
          </w:p>
          <w:p>
            <w:pPr>
              <w:spacing w:line="360" w:lineRule="auto"/>
              <w:rPr>
                <w:rFonts w:hAnsi="宋体" w:cs="宋体"/>
                <w:szCs w:val="24"/>
                <w:highlight w:val="none"/>
              </w:rPr>
            </w:pPr>
            <w:r>
              <w:rPr>
                <w:rFonts w:hint="eastAsia" w:hAnsi="宋体" w:cs="宋体"/>
                <w:szCs w:val="24"/>
                <w:highlight w:val="none"/>
              </w:rPr>
              <w:t>邮        编：710000</w:t>
            </w:r>
          </w:p>
          <w:p>
            <w:pPr>
              <w:spacing w:line="360" w:lineRule="auto"/>
              <w:rPr>
                <w:rFonts w:hAnsi="宋体" w:cs="宋体"/>
                <w:szCs w:val="24"/>
                <w:highlight w:val="none"/>
              </w:rPr>
            </w:pPr>
            <w:r>
              <w:rPr>
                <w:rFonts w:hint="eastAsia" w:hAnsi="宋体" w:cs="宋体"/>
                <w:szCs w:val="24"/>
                <w:highlight w:val="none"/>
              </w:rPr>
              <w:t>电        话：029-88219779</w:t>
            </w:r>
          </w:p>
          <w:p>
            <w:pPr>
              <w:spacing w:line="360" w:lineRule="auto"/>
              <w:rPr>
                <w:rFonts w:hAnsi="宋体" w:cs="宋体"/>
                <w:szCs w:val="24"/>
                <w:highlight w:val="none"/>
              </w:rPr>
            </w:pPr>
            <w:r>
              <w:rPr>
                <w:rFonts w:hint="eastAsia" w:hAnsi="宋体" w:cs="宋体"/>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3.6</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9.2</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4</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9.3</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5</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11.1</w:t>
            </w:r>
          </w:p>
        </w:tc>
        <w:tc>
          <w:tcPr>
            <w:tcW w:w="7354" w:type="dxa"/>
          </w:tcPr>
          <w:p>
            <w:pPr>
              <w:spacing w:line="360" w:lineRule="auto"/>
              <w:ind w:firstLine="480"/>
              <w:rPr>
                <w:rFonts w:hAnsi="宋体" w:cs="宋体"/>
                <w:szCs w:val="24"/>
                <w:highlight w:val="none"/>
              </w:rPr>
            </w:pPr>
            <w:r>
              <w:rPr>
                <w:rFonts w:hint="eastAsia" w:hAnsi="宋体" w:cs="宋体"/>
                <w:szCs w:val="24"/>
                <w:highlight w:val="none"/>
              </w:rPr>
              <w:t>磋商报价：磋商报价是供应商为完成本项目要求的全部货物、服务内容最终价格的体现，包括但不限于产品费、软件服务费、仓储保管费、售后服务培训费、运输费、税金、招标代理服务费等其他与本项目实施有关的一切费用。</w:t>
            </w:r>
          </w:p>
          <w:p>
            <w:pPr>
              <w:spacing w:line="360" w:lineRule="auto"/>
              <w:ind w:firstLine="48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12.1</w:t>
            </w:r>
          </w:p>
        </w:tc>
        <w:tc>
          <w:tcPr>
            <w:tcW w:w="7354" w:type="dxa"/>
          </w:tcPr>
          <w:p>
            <w:pPr>
              <w:spacing w:line="360" w:lineRule="auto"/>
              <w:ind w:firstLine="480"/>
              <w:rPr>
                <w:rFonts w:hAnsi="宋体" w:cs="宋体"/>
                <w:szCs w:val="24"/>
                <w:highlight w:val="none"/>
              </w:rPr>
            </w:pPr>
            <w:r>
              <w:rPr>
                <w:rFonts w:hint="eastAsia" w:hAnsi="宋体" w:cs="宋体"/>
                <w:szCs w:val="24"/>
                <w:highlight w:val="none"/>
              </w:rPr>
              <w:t>特定资格证明文件：</w:t>
            </w:r>
          </w:p>
          <w:p>
            <w:pPr>
              <w:spacing w:line="360" w:lineRule="auto"/>
              <w:ind w:firstLine="480"/>
              <w:rPr>
                <w:rFonts w:hAnsi="宋体" w:cs="宋体"/>
                <w:szCs w:val="24"/>
                <w:highlight w:val="none"/>
              </w:rPr>
            </w:pPr>
            <w:r>
              <w:rPr>
                <w:rFonts w:hint="eastAsia" w:hAnsi="宋体" w:cs="宋体"/>
                <w:szCs w:val="24"/>
                <w:highlight w:val="none"/>
              </w:rPr>
              <w:t>1. 提供合格有效的法人或者其他组织的营业执照等证明文件，自然人的身份证明。</w:t>
            </w:r>
          </w:p>
          <w:p>
            <w:pPr>
              <w:spacing w:line="360" w:lineRule="auto"/>
              <w:ind w:firstLine="480"/>
              <w:rPr>
                <w:rFonts w:hAnsi="宋体" w:cs="宋体"/>
                <w:szCs w:val="24"/>
                <w:highlight w:val="none"/>
              </w:rPr>
            </w:pPr>
            <w:r>
              <w:rPr>
                <w:rFonts w:hint="eastAsia" w:hAnsi="宋体" w:cs="宋体"/>
                <w:szCs w:val="24"/>
                <w:highlight w:val="none"/>
              </w:rPr>
              <w:t>2. 提供法定代表人授权书（附法定代表人、被授权人身份证复印件）及被授权人身份证原件（法定代表人直接参加磋商，须提供法定代表人身份证明及身份证原件）；</w:t>
            </w:r>
          </w:p>
          <w:p>
            <w:pPr>
              <w:spacing w:line="360" w:lineRule="auto"/>
              <w:ind w:firstLine="480"/>
              <w:rPr>
                <w:rFonts w:hAnsi="宋体" w:cs="宋体"/>
                <w:szCs w:val="24"/>
                <w:highlight w:val="none"/>
              </w:rPr>
            </w:pPr>
            <w:r>
              <w:rPr>
                <w:rFonts w:hint="eastAsia" w:hAnsi="宋体" w:cs="宋体"/>
                <w:szCs w:val="24"/>
                <w:highlight w:val="none"/>
              </w:rPr>
              <w:t>3. 财务状况报告：提供2020年度或2021年度的财务审计报告（至少包括资产负债表和利润表，成立时间至提交磋商响应文件截止时间不足一年的可提供成立后任意时段的资产负债表），或磋商响应文件递交截止日期前6个月内其基本开户银行出具的资信证明； </w:t>
            </w:r>
          </w:p>
          <w:p>
            <w:pPr>
              <w:spacing w:line="360" w:lineRule="auto"/>
              <w:ind w:firstLine="480"/>
              <w:rPr>
                <w:rFonts w:hAnsi="宋体" w:cs="宋体"/>
                <w:szCs w:val="24"/>
                <w:highlight w:val="none"/>
              </w:rPr>
            </w:pPr>
            <w:r>
              <w:rPr>
                <w:rFonts w:hint="eastAsia" w:hAnsi="宋体" w:cs="宋体"/>
                <w:szCs w:val="24"/>
                <w:highlight w:val="none"/>
              </w:rPr>
              <w:t>4.税收缴纳证明：提供磋商截止日前一年内已缴纳的至少一个月的纳税证明或完税证明（任意税种），依法免税的单位应提供相关证明材料； </w:t>
            </w:r>
          </w:p>
          <w:p>
            <w:pPr>
              <w:spacing w:line="360" w:lineRule="auto"/>
              <w:ind w:firstLine="480"/>
              <w:rPr>
                <w:rFonts w:hAnsi="宋体" w:cs="宋体"/>
                <w:szCs w:val="24"/>
                <w:highlight w:val="none"/>
              </w:rPr>
            </w:pPr>
            <w:r>
              <w:rPr>
                <w:rFonts w:hint="eastAsia" w:hAnsi="宋体" w:cs="宋体"/>
                <w:szCs w:val="24"/>
                <w:highlight w:val="none"/>
              </w:rPr>
              <w:t>5. 社会保障资金缴纳证明：提供磋商截止日前一年内已缴存的至少一个月的社会保障资金缴存单据或社保机构开具的社会保险参保缴费情况证明，依法不需要缴纳社会保障资金的单位应提供相关证明材料； </w:t>
            </w:r>
          </w:p>
          <w:p>
            <w:pPr>
              <w:spacing w:line="360" w:lineRule="auto"/>
              <w:ind w:firstLine="480"/>
              <w:rPr>
                <w:rFonts w:hAnsi="宋体" w:cs="宋体"/>
                <w:szCs w:val="24"/>
                <w:highlight w:val="none"/>
              </w:rPr>
            </w:pPr>
            <w:r>
              <w:rPr>
                <w:rFonts w:hint="eastAsia" w:hAnsi="宋体" w:cs="宋体"/>
                <w:szCs w:val="24"/>
                <w:highlight w:val="none"/>
              </w:rPr>
              <w:t>6. 提供具有履行本合同所必需的设备和专业技术能力的说明及承诺书； </w:t>
            </w:r>
          </w:p>
          <w:p>
            <w:pPr>
              <w:spacing w:line="360" w:lineRule="auto"/>
              <w:ind w:firstLine="480"/>
              <w:rPr>
                <w:rFonts w:hAnsi="宋体" w:cs="宋体"/>
                <w:szCs w:val="24"/>
                <w:highlight w:val="none"/>
              </w:rPr>
            </w:pPr>
            <w:r>
              <w:rPr>
                <w:rFonts w:hint="eastAsia" w:hAnsi="宋体" w:cs="宋体"/>
                <w:szCs w:val="24"/>
                <w:highlight w:val="none"/>
              </w:rPr>
              <w:t>7.供应商应通过“信用中国”网站(www.creditchina.gov.cn)、中国政府采购网(www.ccgp.gov.cn) 查询相关主体信用记录； </w:t>
            </w:r>
          </w:p>
          <w:p>
            <w:pPr>
              <w:spacing w:line="360" w:lineRule="auto"/>
              <w:ind w:firstLine="480"/>
              <w:rPr>
                <w:rFonts w:hAnsi="宋体" w:cs="宋体"/>
                <w:szCs w:val="24"/>
                <w:highlight w:val="none"/>
              </w:rPr>
            </w:pPr>
            <w:r>
              <w:rPr>
                <w:rFonts w:hint="eastAsia" w:hAnsi="宋体" w:cs="宋体"/>
                <w:szCs w:val="24"/>
                <w:highlight w:val="none"/>
              </w:rPr>
              <w:t>8. 参加政府采购活动前3年内，在经营活动中没有重大违法记录的书面声明；</w:t>
            </w:r>
          </w:p>
          <w:p>
            <w:pPr>
              <w:spacing w:line="360" w:lineRule="auto"/>
              <w:ind w:firstLine="482" w:firstLineChars="200"/>
              <w:rPr>
                <w:rFonts w:hAnsi="宋体" w:cs="宋体"/>
                <w:szCs w:val="24"/>
                <w:highlight w:val="none"/>
              </w:rPr>
            </w:pPr>
            <w:r>
              <w:rPr>
                <w:rFonts w:hint="eastAsia" w:hAnsi="宋体" w:cs="宋体"/>
                <w:b/>
                <w:bCs/>
                <w:szCs w:val="24"/>
                <w:highlight w:val="none"/>
              </w:rPr>
              <w:t>以上（1-8）为必备资质，缺一项或某项达不到要求，按无效磋商处理。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7</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14.4</w:t>
            </w:r>
          </w:p>
        </w:tc>
        <w:tc>
          <w:tcPr>
            <w:tcW w:w="7354" w:type="dxa"/>
          </w:tcPr>
          <w:p>
            <w:pPr>
              <w:spacing w:line="360" w:lineRule="auto"/>
              <w:jc w:val="left"/>
              <w:rPr>
                <w:rFonts w:hAnsi="宋体" w:cs="宋体"/>
                <w:szCs w:val="24"/>
                <w:highlight w:val="none"/>
              </w:rPr>
            </w:pPr>
            <w:r>
              <w:rPr>
                <w:rFonts w:hint="eastAsia" w:hAnsi="宋体" w:cs="宋体"/>
                <w:b/>
                <w:bCs/>
                <w:szCs w:val="24"/>
                <w:highlight w:val="none"/>
              </w:rPr>
              <w:t>磋商保证金：本项目不收取保证金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8</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15.1</w:t>
            </w:r>
          </w:p>
        </w:tc>
        <w:tc>
          <w:tcPr>
            <w:tcW w:w="7354" w:type="dxa"/>
            <w:vAlign w:val="center"/>
          </w:tcPr>
          <w:p>
            <w:pPr>
              <w:spacing w:line="360" w:lineRule="auto"/>
              <w:rPr>
                <w:rFonts w:hAnsi="宋体" w:cs="宋体"/>
                <w:highlight w:val="none"/>
              </w:rPr>
            </w:pPr>
            <w:r>
              <w:rPr>
                <w:rFonts w:hint="eastAsia" w:hAnsi="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9</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16.1</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正本的份数：壹份；副本的份数：贰份；报价一览表：壹份；电子版（U盘）：壹份（需在盘面上标注供应商全称、项目名称、编号）。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10</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17.2</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11</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18.1</w:t>
            </w:r>
          </w:p>
        </w:tc>
        <w:tc>
          <w:tcPr>
            <w:tcW w:w="7354" w:type="dxa"/>
          </w:tcPr>
          <w:p>
            <w:pPr>
              <w:spacing w:line="360" w:lineRule="auto"/>
              <w:rPr>
                <w:rFonts w:hAnsi="宋体" w:cs="宋体"/>
                <w:szCs w:val="24"/>
                <w:highlight w:val="none"/>
              </w:rPr>
            </w:pPr>
            <w:r>
              <w:rPr>
                <w:rFonts w:hint="eastAsia" w:hAnsi="宋体" w:cs="宋体"/>
                <w:szCs w:val="24"/>
                <w:highlight w:val="none"/>
              </w:rPr>
              <w:t>磋商响应文件递交截止时间：详见招标公告</w:t>
            </w:r>
          </w:p>
          <w:p>
            <w:pPr>
              <w:spacing w:line="360" w:lineRule="auto"/>
              <w:jc w:val="left"/>
              <w:rPr>
                <w:rFonts w:hAnsi="宋体" w:cs="宋体"/>
                <w:szCs w:val="24"/>
                <w:highlight w:val="none"/>
              </w:rPr>
            </w:pPr>
            <w:r>
              <w:rPr>
                <w:rFonts w:hint="eastAsia" w:hAnsi="宋体" w:cs="宋体"/>
                <w:szCs w:val="24"/>
                <w:highlight w:val="none"/>
              </w:rPr>
              <w:t>磋商响应文件递交地址：</w:t>
            </w:r>
            <w:r>
              <w:rPr>
                <w:rFonts w:hint="eastAsia" w:hAnsi="宋体" w:cs="宋体"/>
                <w:highlight w:val="none"/>
              </w:rPr>
              <w:t>陕西省西安市经济技术开发区未央路171-1号银池道拉斯财富中心21楼</w:t>
            </w:r>
          </w:p>
          <w:p>
            <w:pPr>
              <w:spacing w:line="360" w:lineRule="auto"/>
              <w:rPr>
                <w:rFonts w:hAnsi="宋体" w:cs="宋体"/>
                <w:szCs w:val="24"/>
                <w:highlight w:val="none"/>
              </w:rPr>
            </w:pPr>
            <w:r>
              <w:rPr>
                <w:rFonts w:hint="eastAsia" w:hAnsi="宋体" w:cs="宋体"/>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12</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21.1</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磋商时间：详见招标公告</w:t>
            </w:r>
          </w:p>
          <w:p>
            <w:pPr>
              <w:spacing w:line="360" w:lineRule="auto"/>
              <w:rPr>
                <w:rFonts w:hAnsi="宋体" w:cs="宋体"/>
                <w:szCs w:val="24"/>
                <w:highlight w:val="none"/>
              </w:rPr>
            </w:pPr>
            <w:r>
              <w:rPr>
                <w:rFonts w:hint="eastAsia" w:hAnsi="宋体" w:cs="宋体"/>
                <w:szCs w:val="24"/>
                <w:highlight w:val="none"/>
              </w:rPr>
              <w:t>磋商地点：陕西省西安市经济技术开发区未央路171-1号银池道拉斯财富中心21楼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62"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13</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24.1</w:t>
            </w:r>
          </w:p>
        </w:tc>
        <w:tc>
          <w:tcPr>
            <w:tcW w:w="7354" w:type="dxa"/>
            <w:vAlign w:val="center"/>
          </w:tcPr>
          <w:p>
            <w:pPr>
              <w:spacing w:after="156" w:afterLines="50" w:line="360" w:lineRule="auto"/>
              <w:jc w:val="left"/>
              <w:rPr>
                <w:rFonts w:hAnsi="宋体" w:cs="宋体"/>
                <w:szCs w:val="24"/>
                <w:highlight w:val="none"/>
              </w:rPr>
            </w:pPr>
            <w:r>
              <w:rPr>
                <w:rFonts w:hint="eastAsia" w:hAnsi="宋体" w:cs="宋体"/>
                <w:b/>
                <w:bCs/>
                <w:szCs w:val="24"/>
                <w:highlight w:val="none"/>
              </w:rPr>
              <w:t>评审方法：综合评分法（详见第三章）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14</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29</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代理服务费：</w:t>
            </w:r>
          </w:p>
          <w:p>
            <w:pPr>
              <w:spacing w:line="560" w:lineRule="exact"/>
              <w:ind w:firstLine="480" w:firstLineChars="200"/>
              <w:rPr>
                <w:rFonts w:hAnsi="宋体" w:cs="宋体"/>
                <w:szCs w:val="24"/>
                <w:highlight w:val="none"/>
              </w:rPr>
            </w:pPr>
            <w:r>
              <w:rPr>
                <w:rFonts w:hint="eastAsia" w:hAnsi="宋体" w:cs="宋体"/>
                <w:szCs w:val="24"/>
                <w:highlight w:val="none"/>
              </w:rPr>
              <w:t>29.1按</w:t>
            </w:r>
            <w:bookmarkStart w:id="25" w:name="OLE_LINK9"/>
            <w:bookmarkStart w:id="26" w:name="OLE_LINK10"/>
            <w:r>
              <w:rPr>
                <w:rFonts w:hint="eastAsia" w:hAnsi="宋体" w:cs="宋体"/>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5"/>
            <w:bookmarkEnd w:id="26"/>
          </w:p>
          <w:p>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15</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踏勘</w:t>
            </w:r>
          </w:p>
          <w:p>
            <w:pPr>
              <w:spacing w:line="360" w:lineRule="auto"/>
              <w:jc w:val="center"/>
              <w:rPr>
                <w:rFonts w:hAnsi="宋体" w:cs="宋体"/>
                <w:szCs w:val="24"/>
                <w:highlight w:val="none"/>
              </w:rPr>
            </w:pPr>
            <w:r>
              <w:rPr>
                <w:rFonts w:hint="eastAsia" w:hAnsi="宋体" w:cs="宋体"/>
                <w:szCs w:val="24"/>
                <w:highlight w:val="none"/>
              </w:rPr>
              <w:t>现场</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1）招标代理机构不组织统一踏勘，各投标人自行踏勘，相关费用及安全由投标人自行承担，踏勘时遵守相关规定，不得扰民。</w:t>
            </w:r>
          </w:p>
          <w:p>
            <w:pPr>
              <w:spacing w:line="360" w:lineRule="auto"/>
              <w:rPr>
                <w:rFonts w:hAnsi="宋体" w:cs="宋体"/>
                <w:szCs w:val="24"/>
                <w:highlight w:val="none"/>
              </w:rPr>
            </w:pPr>
            <w:r>
              <w:rPr>
                <w:rFonts w:hint="eastAsia" w:hAnsi="宋体" w:cs="宋体"/>
                <w:szCs w:val="24"/>
                <w:highlight w:val="none"/>
              </w:rPr>
              <w:t>2）踏勘内容包含：完成本次招标所需要的现场情况及周围环境等资料。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16</w:t>
            </w:r>
          </w:p>
        </w:tc>
        <w:tc>
          <w:tcPr>
            <w:tcW w:w="951" w:type="dxa"/>
            <w:vAlign w:val="center"/>
          </w:tcPr>
          <w:p>
            <w:pPr>
              <w:jc w:val="center"/>
              <w:rPr>
                <w:rFonts w:hAnsi="宋体" w:cs="宋体"/>
                <w:b/>
                <w:bCs/>
                <w:szCs w:val="24"/>
                <w:highlight w:val="none"/>
              </w:rPr>
            </w:pPr>
            <w:r>
              <w:rPr>
                <w:rFonts w:hint="eastAsia" w:hAnsi="宋体" w:cs="宋体"/>
                <w:b/>
                <w:bCs/>
                <w:szCs w:val="24"/>
                <w:highlight w:val="none"/>
              </w:rPr>
              <w:t>银行</w:t>
            </w:r>
          </w:p>
          <w:p>
            <w:pPr>
              <w:jc w:val="center"/>
              <w:rPr>
                <w:rFonts w:hAnsi="宋体" w:cs="宋体"/>
                <w:b/>
                <w:bCs/>
                <w:szCs w:val="24"/>
                <w:highlight w:val="none"/>
              </w:rPr>
            </w:pPr>
            <w:r>
              <w:rPr>
                <w:rFonts w:hint="eastAsia" w:hAnsi="宋体" w:cs="宋体"/>
                <w:b/>
                <w:bCs/>
                <w:szCs w:val="24"/>
                <w:highlight w:val="none"/>
              </w:rPr>
              <w:t>账户</w:t>
            </w:r>
          </w:p>
          <w:p>
            <w:pPr>
              <w:jc w:val="center"/>
              <w:rPr>
                <w:rFonts w:hAnsi="宋体" w:cs="宋体"/>
                <w:szCs w:val="24"/>
                <w:highlight w:val="none"/>
              </w:rPr>
            </w:pPr>
            <w:r>
              <w:rPr>
                <w:rFonts w:hint="eastAsia" w:hAnsi="宋体" w:cs="宋体"/>
                <w:b/>
                <w:bCs/>
                <w:szCs w:val="24"/>
                <w:highlight w:val="none"/>
              </w:rPr>
              <w:t>信息</w:t>
            </w:r>
          </w:p>
        </w:tc>
        <w:tc>
          <w:tcPr>
            <w:tcW w:w="7354" w:type="dxa"/>
            <w:vAlign w:val="center"/>
          </w:tcPr>
          <w:p>
            <w:pPr>
              <w:spacing w:line="520" w:lineRule="exact"/>
              <w:rPr>
                <w:rFonts w:hAnsi="宋体" w:cs="宋体"/>
                <w:b/>
                <w:bCs/>
                <w:szCs w:val="24"/>
                <w:highlight w:val="none"/>
              </w:rPr>
            </w:pPr>
            <w:r>
              <w:rPr>
                <w:rFonts w:hint="eastAsia" w:hAnsi="宋体" w:cs="宋体"/>
                <w:b/>
                <w:bCs/>
                <w:szCs w:val="24"/>
                <w:highlight w:val="none"/>
              </w:rPr>
              <w:t>1、代理服务费账户：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①采购代理机构开户名称: 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②开户行名称：中国建设银行股份有限公司西安高新技术产业开发区支行</w:t>
            </w:r>
          </w:p>
          <w:p>
            <w:pPr>
              <w:pStyle w:val="11"/>
              <w:ind w:firstLine="482" w:firstLineChars="200"/>
              <w:rPr>
                <w:rFonts w:ascii="宋体" w:hAnsi="宋体" w:cs="宋体"/>
                <w:szCs w:val="24"/>
                <w:highlight w:val="none"/>
              </w:rPr>
            </w:pPr>
            <w:r>
              <w:rPr>
                <w:rFonts w:hint="eastAsia" w:ascii="宋体" w:hAnsi="宋体" w:cs="宋体"/>
                <w:b/>
                <w:bCs/>
                <w:sz w:val="24"/>
                <w:szCs w:val="24"/>
                <w:highlight w:val="none"/>
              </w:rPr>
              <w:t>③账号：61050192090000002152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17</w:t>
            </w:r>
          </w:p>
        </w:tc>
        <w:tc>
          <w:tcPr>
            <w:tcW w:w="951" w:type="dxa"/>
            <w:vAlign w:val="center"/>
          </w:tcPr>
          <w:p>
            <w:pPr>
              <w:jc w:val="center"/>
              <w:rPr>
                <w:b/>
                <w:bCs/>
                <w:highlight w:val="none"/>
              </w:rPr>
            </w:pPr>
            <w:r>
              <w:rPr>
                <w:rFonts w:hint="eastAsia"/>
                <w:b/>
                <w:bCs/>
                <w:highlight w:val="none"/>
              </w:rPr>
              <w:t>项目</w:t>
            </w:r>
          </w:p>
          <w:p>
            <w:pPr>
              <w:jc w:val="center"/>
              <w:rPr>
                <w:rFonts w:hAnsi="宋体" w:cs="宋体"/>
                <w:b/>
                <w:bCs/>
                <w:szCs w:val="24"/>
                <w:highlight w:val="none"/>
              </w:rPr>
            </w:pPr>
            <w:r>
              <w:rPr>
                <w:rFonts w:hint="eastAsia"/>
                <w:b/>
                <w:bCs/>
                <w:highlight w:val="none"/>
              </w:rPr>
              <w:t>性质</w:t>
            </w:r>
          </w:p>
        </w:tc>
        <w:tc>
          <w:tcPr>
            <w:tcW w:w="7354" w:type="dxa"/>
            <w:vAlign w:val="center"/>
          </w:tcPr>
          <w:p>
            <w:pPr>
              <w:pStyle w:val="11"/>
              <w:rPr>
                <w:rFonts w:ascii="宋体" w:hAnsi="宋体" w:cs="宋体"/>
                <w:b/>
                <w:bCs/>
                <w:kern w:val="0"/>
                <w:sz w:val="24"/>
                <w:szCs w:val="24"/>
                <w:highlight w:val="none"/>
              </w:rPr>
            </w:pPr>
            <w:r>
              <w:rPr>
                <w:rFonts w:hint="eastAsia" w:ascii="宋体" w:hAnsi="宋体" w:cs="宋体"/>
                <w:b/>
                <w:bCs/>
                <w:kern w:val="0"/>
                <w:sz w:val="24"/>
                <w:szCs w:val="24"/>
                <w:highlight w:val="none"/>
              </w:rPr>
              <w:t>本项目非专门面向中小企业采购</w:t>
            </w:r>
          </w:p>
          <w:p>
            <w:pPr>
              <w:rPr>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Ansi="宋体" w:cs="宋体"/>
                <w:b/>
                <w:bCs/>
                <w:szCs w:val="24"/>
                <w:highlight w:val="none"/>
              </w:rPr>
            </w:pPr>
            <w:r>
              <w:rPr>
                <w:rFonts w:hint="eastAsia" w:hAnsi="宋体" w:cs="宋体"/>
                <w:b/>
                <w:bCs/>
                <w:szCs w:val="24"/>
                <w:highlight w:val="none"/>
              </w:rPr>
              <w:t>17</w:t>
            </w:r>
          </w:p>
        </w:tc>
        <w:tc>
          <w:tcPr>
            <w:tcW w:w="951" w:type="dxa"/>
            <w:vAlign w:val="center"/>
          </w:tcPr>
          <w:p>
            <w:pPr>
              <w:widowControl/>
              <w:spacing w:line="360" w:lineRule="auto"/>
              <w:jc w:val="center"/>
              <w:rPr>
                <w:rFonts w:hAnsi="宋体" w:cs="宋体"/>
                <w:b/>
                <w:bCs/>
                <w:szCs w:val="24"/>
                <w:highlight w:val="none"/>
              </w:rPr>
            </w:pPr>
            <w:r>
              <w:rPr>
                <w:rFonts w:hint="eastAsia" w:hAnsi="宋体" w:cs="宋体"/>
                <w:b/>
                <w:bCs/>
                <w:szCs w:val="24"/>
                <w:highlight w:val="none"/>
              </w:rPr>
              <w:t>备注</w:t>
            </w:r>
          </w:p>
        </w:tc>
        <w:tc>
          <w:tcPr>
            <w:tcW w:w="7354" w:type="dxa"/>
            <w:vAlign w:val="center"/>
          </w:tcPr>
          <w:p>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pPr>
              <w:spacing w:line="500" w:lineRule="exact"/>
              <w:ind w:firstLine="482" w:firstLineChars="200"/>
              <w:rPr>
                <w:rFonts w:hAnsi="宋体" w:cs="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rFonts w:hint="eastAsia" w:hAnsi="宋体" w:cs="宋体"/>
                <w:b/>
                <w:bCs/>
                <w:szCs w:val="24"/>
                <w:highlight w:val="none"/>
              </w:rPr>
              <w:fldChar w:fldCharType="begin"/>
            </w:r>
            <w:r>
              <w:rPr>
                <w:rFonts w:hint="eastAsia" w:hAnsi="宋体" w:cs="宋体"/>
                <w:b/>
                <w:bCs/>
                <w:szCs w:val="24"/>
                <w:highlight w:val="none"/>
              </w:rPr>
              <w:instrText xml:space="preserve"> HYPERLINK "http://www.ccgp-shaanxi.gov.cn/information/informationDetail.do?informationguid=8a85be3567ed23460167ed36804d0009" </w:instrText>
            </w:r>
            <w:r>
              <w:rPr>
                <w:rFonts w:hint="eastAsia" w:hAnsi="宋体" w:cs="宋体"/>
                <w:b/>
                <w:bCs/>
                <w:szCs w:val="24"/>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bookmarkEnd w:id="9"/>
      <w:bookmarkEnd w:id="10"/>
      <w:bookmarkEnd w:id="11"/>
    </w:tbl>
    <w:p>
      <w:pPr>
        <w:spacing w:before="156" w:beforeLines="50" w:after="156" w:afterLines="50"/>
        <w:jc w:val="center"/>
        <w:outlineLvl w:val="2"/>
        <w:rPr>
          <w:rFonts w:hAnsi="宋体" w:cs="宋体"/>
          <w:sz w:val="32"/>
          <w:szCs w:val="32"/>
          <w:highlight w:val="none"/>
        </w:rPr>
      </w:pPr>
      <w:bookmarkStart w:id="27" w:name="_Toc403077639"/>
      <w:bookmarkStart w:id="28" w:name="_Toc363474017"/>
      <w:bookmarkStart w:id="29" w:name="_Toc363473972"/>
      <w:r>
        <w:rPr>
          <w:rFonts w:hint="eastAsia" w:hAnsi="宋体" w:cs="宋体"/>
          <w:b/>
          <w:sz w:val="32"/>
          <w:szCs w:val="32"/>
          <w:highlight w:val="none"/>
        </w:rPr>
        <w:br w:type="page"/>
      </w:r>
      <w:bookmarkStart w:id="30" w:name="_Toc3623"/>
      <w:bookmarkStart w:id="31" w:name="_Toc27537"/>
      <w:r>
        <w:rPr>
          <w:rFonts w:hint="eastAsia" w:hAnsi="宋体" w:cs="宋体"/>
          <w:b/>
          <w:sz w:val="32"/>
          <w:szCs w:val="32"/>
          <w:highlight w:val="none"/>
        </w:rPr>
        <w:t>一.总  则</w:t>
      </w:r>
      <w:bookmarkEnd w:id="27"/>
      <w:bookmarkEnd w:id="28"/>
      <w:bookmarkEnd w:id="29"/>
      <w:bookmarkEnd w:id="30"/>
      <w:bookmarkEnd w:id="31"/>
    </w:p>
    <w:p>
      <w:pPr>
        <w:spacing w:line="360" w:lineRule="auto"/>
        <w:rPr>
          <w:rFonts w:hAnsi="宋体" w:cs="宋体"/>
          <w:b/>
          <w:szCs w:val="24"/>
          <w:highlight w:val="none"/>
        </w:rPr>
      </w:pPr>
      <w:r>
        <w:rPr>
          <w:rFonts w:hint="eastAsia" w:hAnsi="宋体" w:cs="宋体"/>
          <w:b/>
          <w:szCs w:val="24"/>
          <w:highlight w:val="none"/>
        </w:rPr>
        <w:t>1.资金来源</w:t>
      </w:r>
    </w:p>
    <w:p>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1.1本次竞争性磋商所签合同使用财政资金支付，资金已落实到位。</w:t>
      </w:r>
    </w:p>
    <w:p>
      <w:pPr>
        <w:numPr>
          <w:ilvl w:val="0"/>
          <w:numId w:val="1"/>
        </w:numPr>
        <w:spacing w:line="500" w:lineRule="exact"/>
        <w:rPr>
          <w:rFonts w:hAnsi="宋体" w:cs="宋体"/>
          <w:b/>
          <w:szCs w:val="24"/>
          <w:highlight w:val="none"/>
        </w:rPr>
      </w:pPr>
      <w:bookmarkStart w:id="32" w:name="_Toc403077640"/>
      <w:bookmarkStart w:id="33" w:name="_Toc363474018"/>
      <w:bookmarkStart w:id="34" w:name="_Toc363473973"/>
      <w:r>
        <w:rPr>
          <w:rFonts w:hint="eastAsia" w:hAnsi="宋体" w:cs="宋体"/>
          <w:b/>
          <w:szCs w:val="24"/>
          <w:highlight w:val="none"/>
        </w:rPr>
        <w:t>名词解释</w:t>
      </w:r>
    </w:p>
    <w:p>
      <w:pPr>
        <w:tabs>
          <w:tab w:val="left" w:pos="7665"/>
        </w:tabs>
        <w:spacing w:line="360" w:lineRule="auto"/>
        <w:ind w:firstLine="480" w:firstLineChars="200"/>
        <w:rPr>
          <w:rFonts w:hAnsi="宋体" w:cs="宋体"/>
          <w:szCs w:val="22"/>
          <w:highlight w:val="none"/>
        </w:rPr>
      </w:pPr>
      <w:r>
        <w:rPr>
          <w:rFonts w:hint="eastAsia" w:hAnsi="宋体" w:cs="宋体"/>
          <w:szCs w:val="22"/>
          <w:highlight w:val="none"/>
        </w:rPr>
        <w:t>2.1采购人：西安市鄠邑区人民医院</w:t>
      </w:r>
    </w:p>
    <w:p>
      <w:pPr>
        <w:tabs>
          <w:tab w:val="left" w:pos="7665"/>
        </w:tabs>
        <w:spacing w:line="360" w:lineRule="auto"/>
        <w:ind w:firstLine="480" w:firstLineChars="200"/>
        <w:rPr>
          <w:rFonts w:hAnsi="宋体" w:cs="宋体"/>
          <w:szCs w:val="22"/>
          <w:highlight w:val="none"/>
        </w:rPr>
      </w:pPr>
      <w:r>
        <w:rPr>
          <w:rFonts w:hint="eastAsia" w:hAnsi="宋体" w:cs="宋体"/>
          <w:szCs w:val="22"/>
          <w:highlight w:val="none"/>
        </w:rPr>
        <w:t>2.2监督机构：同级人民政府财政部门</w:t>
      </w:r>
    </w:p>
    <w:p>
      <w:pPr>
        <w:tabs>
          <w:tab w:val="left" w:pos="7665"/>
        </w:tabs>
        <w:spacing w:line="360" w:lineRule="auto"/>
        <w:ind w:firstLine="480" w:firstLineChars="200"/>
        <w:rPr>
          <w:rFonts w:hAnsi="宋体" w:cs="宋体"/>
          <w:highlight w:val="none"/>
        </w:rPr>
      </w:pPr>
      <w:r>
        <w:rPr>
          <w:rFonts w:hint="eastAsia" w:hAnsi="宋体" w:cs="宋体"/>
          <w:szCs w:val="22"/>
          <w:highlight w:val="none"/>
        </w:rPr>
        <w:t>2.3采购代理机构：陕西至诚招标咨询有限公司</w:t>
      </w:r>
    </w:p>
    <w:p>
      <w:pPr>
        <w:tabs>
          <w:tab w:val="left" w:pos="7665"/>
        </w:tabs>
        <w:spacing w:line="360" w:lineRule="auto"/>
        <w:ind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Ansi="宋体" w:cs="宋体"/>
          <w:highlight w:val="none"/>
        </w:rPr>
      </w:pPr>
      <w:r>
        <w:rPr>
          <w:rFonts w:hint="eastAsia" w:hAnsi="宋体" w:cs="宋体"/>
          <w:highlight w:val="none"/>
        </w:rPr>
        <w:t>2.5产品是指本竞争性磋商文件中第四章所述所有产品。</w:t>
      </w:r>
    </w:p>
    <w:p>
      <w:pPr>
        <w:adjustRightInd w:val="0"/>
        <w:snapToGrid w:val="0"/>
        <w:spacing w:line="360" w:lineRule="auto"/>
        <w:ind w:firstLine="480" w:firstLineChars="200"/>
        <w:rPr>
          <w:rFonts w:hAnsi="宋体" w:cs="宋体"/>
          <w:highlight w:val="none"/>
        </w:rPr>
      </w:pPr>
      <w:r>
        <w:rPr>
          <w:rFonts w:hint="eastAsia" w:hAnsi="宋体" w:cs="宋体"/>
          <w:highlight w:val="none"/>
        </w:rPr>
        <w:t>2.6服务是指供应商为满足竞争性磋商文件要求而提供的服务。</w:t>
      </w:r>
    </w:p>
    <w:p>
      <w:pPr>
        <w:adjustRightInd w:val="0"/>
        <w:snapToGrid w:val="0"/>
        <w:spacing w:line="360" w:lineRule="auto"/>
        <w:ind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Ansi="宋体" w:cs="宋体"/>
          <w:highlight w:val="none"/>
        </w:rPr>
      </w:pPr>
      <w:r>
        <w:rPr>
          <w:rFonts w:hint="eastAsia" w:hAnsi="宋体" w:cs="宋体"/>
          <w:highlight w:val="none"/>
        </w:rPr>
        <w:t>2.11残疾人福利性单位是指符合《三部门</w:t>
      </w:r>
      <w:bookmarkStart w:id="182" w:name="_GoBack"/>
      <w:bookmarkEnd w:id="182"/>
      <w:r>
        <w:rPr>
          <w:rFonts w:hint="eastAsia" w:hAnsi="宋体" w:cs="宋体"/>
          <w:highlight w:val="none"/>
        </w:rPr>
        <w:t>联合发布关于促进残疾人就业政府采购政策的通知》财库〔2017〕141号规定的对残疾人福利性单位划分标准的单位。</w:t>
      </w:r>
    </w:p>
    <w:p>
      <w:pPr>
        <w:spacing w:line="500" w:lineRule="exact"/>
        <w:rPr>
          <w:rFonts w:hAnsi="宋体" w:cs="宋体"/>
          <w:b/>
          <w:szCs w:val="24"/>
          <w:highlight w:val="none"/>
        </w:rPr>
      </w:pPr>
      <w:r>
        <w:rPr>
          <w:rFonts w:hint="eastAsia" w:hAnsi="宋体" w:cs="宋体"/>
          <w:b/>
          <w:szCs w:val="24"/>
          <w:highlight w:val="none"/>
        </w:rPr>
        <w:t>3.合格的供应商</w:t>
      </w:r>
    </w:p>
    <w:p>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3.1《政府采购法》第二十二条第一款规定的供应商基本资格条件:</w:t>
      </w:r>
    </w:p>
    <w:p>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pPr>
        <w:spacing w:line="500" w:lineRule="exact"/>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pPr>
        <w:spacing w:line="500" w:lineRule="exact"/>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Ansi="宋体" w:cs="宋体"/>
          <w:szCs w:val="24"/>
          <w:highlight w:val="none"/>
        </w:rPr>
      </w:pPr>
      <w:r>
        <w:rPr>
          <w:rFonts w:hint="eastAsia" w:hAnsi="宋体" w:cs="宋体"/>
          <w:szCs w:val="24"/>
          <w:highlight w:val="none"/>
        </w:rPr>
        <w:t>3.4供应商必须在陕西至诚招标咨询有限公司购买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pPr>
        <w:spacing w:line="500" w:lineRule="exact"/>
        <w:ind w:firstLine="480" w:firstLineChars="200"/>
        <w:rPr>
          <w:rFonts w:hAnsi="宋体" w:cs="宋体"/>
          <w:szCs w:val="24"/>
          <w:highlight w:val="none"/>
        </w:rPr>
      </w:pPr>
      <w:r>
        <w:rPr>
          <w:rFonts w:hint="eastAsia" w:hAnsi="宋体" w:cs="宋体"/>
          <w:szCs w:val="24"/>
          <w:highlight w:val="none"/>
        </w:rPr>
        <w:t>3.5本项目不接受联合体磋商。</w:t>
      </w:r>
    </w:p>
    <w:p>
      <w:pPr>
        <w:spacing w:line="500" w:lineRule="exact"/>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pPr>
        <w:tabs>
          <w:tab w:val="left" w:pos="747"/>
        </w:tabs>
        <w:snapToGrid w:val="0"/>
        <w:spacing w:line="500" w:lineRule="exact"/>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pPr>
        <w:tabs>
          <w:tab w:val="left" w:pos="747"/>
        </w:tabs>
        <w:snapToGrid w:val="0"/>
        <w:spacing w:line="500" w:lineRule="exact"/>
        <w:ind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pPr>
        <w:spacing w:line="360" w:lineRule="auto"/>
        <w:rPr>
          <w:rFonts w:hAnsi="宋体" w:cs="宋体"/>
          <w:b/>
          <w:szCs w:val="24"/>
          <w:highlight w:val="none"/>
        </w:rPr>
      </w:pPr>
      <w:r>
        <w:rPr>
          <w:rFonts w:hint="eastAsia" w:hAnsi="宋体" w:cs="宋体"/>
          <w:b/>
          <w:szCs w:val="24"/>
          <w:highlight w:val="none"/>
        </w:rPr>
        <w:t>5.竞争性磋商响应文件内容的真实性</w:t>
      </w:r>
    </w:p>
    <w:p>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312" w:beforeLines="100" w:after="156" w:afterLines="50" w:line="360" w:lineRule="auto"/>
        <w:jc w:val="center"/>
        <w:outlineLvl w:val="2"/>
        <w:rPr>
          <w:rFonts w:hAnsi="宋体" w:cs="宋体"/>
          <w:b/>
          <w:sz w:val="32"/>
          <w:szCs w:val="32"/>
          <w:highlight w:val="none"/>
        </w:rPr>
      </w:pPr>
      <w:bookmarkStart w:id="35" w:name="_Toc27903"/>
      <w:bookmarkStart w:id="36" w:name="_Toc31742"/>
      <w:r>
        <w:rPr>
          <w:rFonts w:hint="eastAsia" w:hAnsi="宋体" w:cs="宋体"/>
          <w:b/>
          <w:sz w:val="32"/>
          <w:szCs w:val="32"/>
          <w:highlight w:val="none"/>
        </w:rPr>
        <w:t>二.竞争性磋商文件</w:t>
      </w:r>
      <w:bookmarkEnd w:id="32"/>
      <w:bookmarkEnd w:id="33"/>
      <w:bookmarkEnd w:id="34"/>
      <w:bookmarkEnd w:id="35"/>
      <w:bookmarkEnd w:id="36"/>
    </w:p>
    <w:p>
      <w:pPr>
        <w:spacing w:line="360" w:lineRule="auto"/>
        <w:rPr>
          <w:rFonts w:hAnsi="宋体" w:cs="宋体"/>
          <w:b/>
          <w:szCs w:val="24"/>
          <w:highlight w:val="none"/>
        </w:rPr>
      </w:pPr>
      <w:r>
        <w:rPr>
          <w:rFonts w:hint="eastAsia" w:hAnsi="宋体" w:cs="宋体"/>
          <w:b/>
          <w:szCs w:val="24"/>
          <w:highlight w:val="none"/>
        </w:rPr>
        <w:t>6.竞争性磋商文件构成</w:t>
      </w:r>
    </w:p>
    <w:p>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Ansi="宋体" w:cs="宋体"/>
          <w:szCs w:val="24"/>
          <w:highlight w:val="none"/>
        </w:rPr>
      </w:pPr>
      <w:r>
        <w:rPr>
          <w:rFonts w:hint="eastAsia" w:hAnsi="宋体" w:cs="宋体"/>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Ansi="宋体" w:cs="宋体"/>
          <w:b/>
          <w:szCs w:val="24"/>
          <w:highlight w:val="none"/>
        </w:rPr>
      </w:pPr>
      <w:r>
        <w:rPr>
          <w:rFonts w:hint="eastAsia" w:hAnsi="宋体" w:cs="宋体"/>
          <w:b/>
          <w:szCs w:val="24"/>
          <w:highlight w:val="none"/>
        </w:rPr>
        <w:t>7.竞争性磋商文件的修改和澄清</w:t>
      </w:r>
    </w:p>
    <w:p>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pPr>
        <w:keepNext/>
        <w:keepLines/>
        <w:spacing w:before="312" w:beforeLines="100" w:after="156" w:afterLines="50" w:line="360" w:lineRule="auto"/>
        <w:jc w:val="center"/>
        <w:outlineLvl w:val="2"/>
        <w:rPr>
          <w:rFonts w:hAnsi="宋体" w:cs="宋体"/>
          <w:b/>
          <w:sz w:val="32"/>
          <w:szCs w:val="32"/>
          <w:highlight w:val="none"/>
        </w:rPr>
      </w:pPr>
      <w:bookmarkStart w:id="37" w:name="_Toc363474019"/>
      <w:bookmarkStart w:id="38" w:name="_Toc363473974"/>
      <w:bookmarkStart w:id="39" w:name="_Toc26653"/>
      <w:bookmarkStart w:id="40" w:name="_Toc403077641"/>
      <w:bookmarkStart w:id="41" w:name="_Toc28227"/>
      <w:r>
        <w:rPr>
          <w:rFonts w:hint="eastAsia" w:hAnsi="宋体" w:cs="宋体"/>
          <w:b/>
          <w:sz w:val="32"/>
          <w:szCs w:val="32"/>
          <w:highlight w:val="none"/>
        </w:rPr>
        <w:t>三.磋商响应文件的编制</w:t>
      </w:r>
      <w:bookmarkEnd w:id="37"/>
      <w:bookmarkEnd w:id="38"/>
      <w:bookmarkEnd w:id="39"/>
      <w:bookmarkEnd w:id="40"/>
      <w:bookmarkEnd w:id="41"/>
    </w:p>
    <w:p>
      <w:pPr>
        <w:spacing w:line="360" w:lineRule="auto"/>
        <w:rPr>
          <w:rFonts w:hAnsi="宋体" w:cs="宋体"/>
          <w:b/>
          <w:szCs w:val="24"/>
          <w:highlight w:val="none"/>
        </w:rPr>
      </w:pPr>
      <w:r>
        <w:rPr>
          <w:rFonts w:hint="eastAsia" w:hAnsi="宋体" w:cs="宋体"/>
          <w:b/>
          <w:szCs w:val="24"/>
          <w:highlight w:val="none"/>
        </w:rPr>
        <w:t>8. 磋商语言和磋商货币</w:t>
      </w:r>
    </w:p>
    <w:p>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pPr>
        <w:spacing w:line="360" w:lineRule="auto"/>
        <w:rPr>
          <w:rFonts w:hAnsi="宋体" w:cs="宋体"/>
          <w:b/>
          <w:szCs w:val="24"/>
          <w:highlight w:val="none"/>
        </w:rPr>
      </w:pPr>
      <w:r>
        <w:rPr>
          <w:rFonts w:hint="eastAsia" w:hAnsi="宋体" w:cs="宋体"/>
          <w:b/>
          <w:szCs w:val="24"/>
          <w:highlight w:val="none"/>
        </w:rPr>
        <w:t>9.竞争性磋商响应文件的构成</w:t>
      </w:r>
    </w:p>
    <w:p>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pPr>
        <w:spacing w:line="500" w:lineRule="exact"/>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（4）按照本须知第14条要求提交的磋商保证金。</w:t>
      </w:r>
    </w:p>
    <w:p>
      <w:pPr>
        <w:spacing w:line="360" w:lineRule="auto"/>
        <w:ind w:firstLine="480" w:firstLineChars="200"/>
        <w:rPr>
          <w:rFonts w:hAnsi="宋体" w:cs="宋体"/>
          <w:szCs w:val="24"/>
          <w:highlight w:val="none"/>
        </w:rPr>
      </w:pPr>
      <w:r>
        <w:rPr>
          <w:rFonts w:hint="eastAsia" w:hAnsi="宋体" w:cs="宋体"/>
          <w:szCs w:val="24"/>
          <w:highlight w:val="none"/>
        </w:rPr>
        <w:t>（5）竞争性磋商文件中要求的其他证明文件。</w:t>
      </w:r>
    </w:p>
    <w:p>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Ansi="宋体" w:cs="宋体"/>
          <w:b/>
          <w:szCs w:val="24"/>
          <w:highlight w:val="none"/>
        </w:rPr>
      </w:pPr>
      <w:r>
        <w:rPr>
          <w:rFonts w:hint="eastAsia" w:hAnsi="宋体" w:cs="宋体"/>
          <w:b/>
          <w:szCs w:val="24"/>
          <w:highlight w:val="none"/>
        </w:rPr>
        <w:t>11.磋商报价</w:t>
      </w:r>
    </w:p>
    <w:p>
      <w:pPr>
        <w:spacing w:line="360" w:lineRule="auto"/>
        <w:ind w:firstLine="480"/>
        <w:rPr>
          <w:rFonts w:hAnsi="宋体" w:cs="宋体"/>
          <w:szCs w:val="24"/>
          <w:highlight w:val="none"/>
        </w:rPr>
      </w:pPr>
      <w:r>
        <w:rPr>
          <w:rFonts w:hint="eastAsia" w:hAnsi="宋体" w:cs="宋体"/>
          <w:szCs w:val="24"/>
          <w:highlight w:val="none"/>
        </w:rPr>
        <w:t>11.1磋商报价：磋商报价是供应商为完成本项目要求的全部服务内容最终价格的体现，包括但不限于产品费、软件服务费、仓储保管费、售后服务培训费、运输费、税金、招标代理服务费等其他与本项目实施有关的一切费用。</w:t>
      </w:r>
    </w:p>
    <w:p>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Ansi="宋体" w:cs="宋体"/>
          <w:b/>
          <w:szCs w:val="24"/>
          <w:highlight w:val="none"/>
        </w:rPr>
      </w:pPr>
      <w:r>
        <w:rPr>
          <w:rFonts w:hint="eastAsia" w:hAnsi="宋体" w:cs="宋体"/>
          <w:b/>
          <w:szCs w:val="24"/>
          <w:highlight w:val="none"/>
        </w:rPr>
        <w:t>12.证明供应商合格的资格证明文件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Ansi="宋体" w:cs="宋体"/>
          <w:b/>
          <w:szCs w:val="24"/>
          <w:highlight w:val="none"/>
        </w:rPr>
      </w:pPr>
      <w:r>
        <w:rPr>
          <w:rFonts w:hint="eastAsia" w:hAnsi="宋体" w:cs="宋体"/>
          <w:b/>
          <w:szCs w:val="24"/>
          <w:highlight w:val="none"/>
        </w:rPr>
        <w:t>13.证明服务符合竞争性磋商文件规定的文件</w:t>
      </w:r>
    </w:p>
    <w:p>
      <w:pPr>
        <w:spacing w:line="360" w:lineRule="auto"/>
        <w:ind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Ansi="宋体" w:cs="宋体"/>
          <w:szCs w:val="24"/>
          <w:highlight w:val="none"/>
        </w:rPr>
      </w:pPr>
      <w:r>
        <w:rPr>
          <w:rFonts w:hint="eastAsia" w:hAnsi="宋体" w:cs="宋体"/>
          <w:szCs w:val="24"/>
          <w:highlight w:val="none"/>
        </w:rPr>
        <w:t>13.2 供应商须提供全部服务内容的详细说明。</w:t>
      </w:r>
    </w:p>
    <w:p>
      <w:pPr>
        <w:spacing w:line="360" w:lineRule="auto"/>
        <w:rPr>
          <w:rFonts w:hAnsi="宋体" w:cs="宋体"/>
          <w:b/>
          <w:szCs w:val="24"/>
          <w:highlight w:val="none"/>
        </w:rPr>
      </w:pPr>
      <w:r>
        <w:rPr>
          <w:rFonts w:hint="eastAsia" w:hAnsi="宋体" w:cs="宋体"/>
          <w:b/>
          <w:szCs w:val="24"/>
          <w:highlight w:val="none"/>
        </w:rPr>
        <w:t>14.磋商保证金(本项目不收取磋商保证金）</w:t>
      </w:r>
    </w:p>
    <w:p>
      <w:pPr>
        <w:spacing w:line="360" w:lineRule="auto"/>
        <w:ind w:firstLine="480" w:firstLineChars="200"/>
        <w:rPr>
          <w:rFonts w:hAnsi="宋体" w:cs="宋体"/>
          <w:szCs w:val="24"/>
          <w:highlight w:val="none"/>
        </w:rPr>
      </w:pPr>
      <w:r>
        <w:rPr>
          <w:rFonts w:hint="eastAsia" w:hAnsi="宋体" w:cs="宋体"/>
          <w:szCs w:val="24"/>
          <w:highlight w:val="none"/>
        </w:rPr>
        <w:t>14.1供应商在磋商时应向陕西至诚招标咨询有限公司提交“供应商须知前附表”规定数额的磋商保证金,并作为其磋商的一部分。</w:t>
      </w:r>
    </w:p>
    <w:p>
      <w:pPr>
        <w:spacing w:line="360" w:lineRule="auto"/>
        <w:ind w:firstLine="480" w:firstLineChars="200"/>
        <w:rPr>
          <w:rFonts w:hAnsi="宋体" w:cs="宋体"/>
          <w:szCs w:val="24"/>
          <w:highlight w:val="none"/>
        </w:rPr>
      </w:pPr>
      <w:r>
        <w:rPr>
          <w:rFonts w:hint="eastAsia" w:hAnsi="宋体" w:cs="宋体"/>
          <w:szCs w:val="24"/>
          <w:highlight w:val="none"/>
        </w:rPr>
        <w:t>14.2磋商保证金是为了保护采购单位（包括陕西至诚招标咨询有限公司及采购人）免遭因供应商的行为而蒙受损失。采购单位在因供应商的行为受到损害时可根据本须知的规定没收供应商的磋商保证金。</w:t>
      </w:r>
    </w:p>
    <w:p>
      <w:pPr>
        <w:spacing w:line="360" w:lineRule="auto"/>
        <w:ind w:firstLine="480" w:firstLineChars="200"/>
        <w:rPr>
          <w:rFonts w:hAnsi="宋体" w:cs="宋体"/>
          <w:szCs w:val="24"/>
          <w:highlight w:val="none"/>
        </w:rPr>
      </w:pPr>
      <w:r>
        <w:rPr>
          <w:rFonts w:hint="eastAsia" w:hAnsi="宋体" w:cs="宋体"/>
          <w:szCs w:val="24"/>
          <w:highlight w:val="none"/>
        </w:rPr>
        <w:t>14.3磋商保证金可采取“供应商须知前附表”规定的任何一种形式。</w:t>
      </w:r>
    </w:p>
    <w:p>
      <w:pPr>
        <w:spacing w:line="360" w:lineRule="auto"/>
        <w:ind w:firstLine="480" w:firstLineChars="200"/>
        <w:rPr>
          <w:rFonts w:hAnsi="宋体" w:cs="宋体"/>
          <w:szCs w:val="24"/>
          <w:highlight w:val="none"/>
        </w:rPr>
      </w:pPr>
      <w:r>
        <w:rPr>
          <w:rFonts w:hint="eastAsia" w:hAnsi="宋体" w:cs="宋体"/>
          <w:szCs w:val="24"/>
          <w:highlight w:val="none"/>
        </w:rPr>
        <w:t>14.4磋商保证金必须按照竞争性磋商文件“供应商须知前附表”中规定的缴纳金额及方式办理。</w:t>
      </w:r>
    </w:p>
    <w:p>
      <w:pPr>
        <w:spacing w:line="360" w:lineRule="auto"/>
        <w:ind w:firstLine="480" w:firstLineChars="200"/>
        <w:rPr>
          <w:rFonts w:hAnsi="宋体" w:cs="宋体"/>
          <w:szCs w:val="24"/>
          <w:highlight w:val="none"/>
        </w:rPr>
      </w:pPr>
      <w:r>
        <w:rPr>
          <w:rFonts w:hint="eastAsia" w:hAnsi="宋体" w:cs="宋体"/>
          <w:szCs w:val="24"/>
          <w:highlight w:val="none"/>
        </w:rPr>
        <w:t>14.5磋商后经审查，未提交磋商保证金、未按竞争性磋商文件规定时间提交磋商保证金</w:t>
      </w:r>
      <w:r>
        <w:rPr>
          <w:rFonts w:hint="eastAsia" w:hAnsi="宋体" w:cs="宋体"/>
          <w:highlight w:val="none"/>
        </w:rPr>
        <w:t>或担保机构出具的保函正本未在采购代理机构备案的</w:t>
      </w:r>
      <w:r>
        <w:rPr>
          <w:rFonts w:hint="eastAsia" w:hAnsi="宋体" w:cs="宋体"/>
          <w:szCs w:val="24"/>
          <w:highlight w:val="none"/>
        </w:rPr>
        <w:t>、磋商保证金金额不足或磋商保证金转账凭证复印件/担保机构出具的保函正本复印件未附在磋商响应文件内的磋商将按无效磋商处理。</w:t>
      </w:r>
    </w:p>
    <w:p>
      <w:pPr>
        <w:spacing w:line="360" w:lineRule="auto"/>
        <w:rPr>
          <w:rFonts w:hAnsi="宋体" w:cs="宋体"/>
          <w:szCs w:val="24"/>
          <w:highlight w:val="none"/>
        </w:rPr>
      </w:pPr>
      <w:r>
        <w:rPr>
          <w:rFonts w:hint="eastAsia" w:hAnsi="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szCs w:val="24"/>
          <w:highlight w:val="none"/>
        </w:rPr>
        <w:t>（退还时，须向采购代理机构提供采购合同原件、开户许可证及转账凭证复印件壹份）</w:t>
      </w:r>
      <w:r>
        <w:rPr>
          <w:rFonts w:hint="eastAsia" w:hAnsi="宋体" w:cs="宋体"/>
          <w:szCs w:val="24"/>
          <w:highlight w:val="none"/>
        </w:rPr>
        <w:t>。</w:t>
      </w:r>
    </w:p>
    <w:p>
      <w:pPr>
        <w:spacing w:line="360" w:lineRule="auto"/>
        <w:ind w:firstLine="480" w:firstLineChars="200"/>
        <w:rPr>
          <w:rFonts w:hAnsi="宋体" w:cs="宋体"/>
          <w:szCs w:val="24"/>
          <w:highlight w:val="none"/>
        </w:rPr>
      </w:pPr>
      <w:r>
        <w:rPr>
          <w:rFonts w:hint="eastAsia" w:hAnsi="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Ansi="宋体" w:cs="宋体"/>
          <w:szCs w:val="24"/>
          <w:highlight w:val="none"/>
        </w:rPr>
      </w:pPr>
      <w:r>
        <w:rPr>
          <w:rFonts w:hint="eastAsia" w:hAnsi="宋体" w:cs="宋体"/>
          <w:b/>
          <w:bCs/>
          <w:szCs w:val="24"/>
          <w:highlight w:val="none"/>
        </w:rPr>
        <w:t>14.8 下列任何情况发生时，视为供应商违约，其磋商保证金将被没收：</w:t>
      </w:r>
    </w:p>
    <w:p>
      <w:pPr>
        <w:spacing w:line="360" w:lineRule="auto"/>
        <w:ind w:firstLine="480" w:firstLineChars="200"/>
        <w:rPr>
          <w:rFonts w:hAnsi="宋体" w:cs="宋体"/>
          <w:szCs w:val="24"/>
          <w:highlight w:val="none"/>
        </w:rPr>
      </w:pPr>
      <w:r>
        <w:rPr>
          <w:rFonts w:hint="eastAsia" w:hAnsi="宋体" w:cs="宋体"/>
          <w:szCs w:val="24"/>
          <w:highlight w:val="none"/>
        </w:rPr>
        <w:t>1) 供应商在磋商有效期内撤回其磋商响应文件；</w:t>
      </w:r>
    </w:p>
    <w:p>
      <w:pPr>
        <w:spacing w:line="360" w:lineRule="auto"/>
        <w:ind w:firstLine="480" w:firstLineChars="200"/>
        <w:rPr>
          <w:rFonts w:hAnsi="宋体" w:cs="宋体"/>
          <w:szCs w:val="24"/>
          <w:highlight w:val="none"/>
        </w:rPr>
      </w:pPr>
      <w:r>
        <w:rPr>
          <w:rFonts w:hint="eastAsia" w:hAnsi="宋体" w:cs="宋体"/>
          <w:szCs w:val="24"/>
          <w:highlight w:val="none"/>
        </w:rPr>
        <w:t>2）供应商在响应文件中提供伪造、套改、虚假资料参加磋商的。</w:t>
      </w:r>
    </w:p>
    <w:p>
      <w:pPr>
        <w:spacing w:line="360" w:lineRule="auto"/>
        <w:ind w:firstLine="480" w:firstLineChars="200"/>
        <w:rPr>
          <w:rFonts w:hAnsi="宋体" w:cs="宋体"/>
          <w:szCs w:val="24"/>
          <w:highlight w:val="none"/>
        </w:rPr>
      </w:pPr>
      <w:r>
        <w:rPr>
          <w:rFonts w:hint="eastAsia" w:hAnsi="宋体" w:cs="宋体"/>
          <w:szCs w:val="24"/>
          <w:highlight w:val="none"/>
        </w:rPr>
        <w:t>3) 供应商成交后放弃成交或未能按规定签订合同；或未能按规定交纳成交代理服务费。</w:t>
      </w:r>
    </w:p>
    <w:p>
      <w:pPr>
        <w:spacing w:line="360" w:lineRule="auto"/>
        <w:ind w:firstLine="480" w:firstLineChars="200"/>
        <w:rPr>
          <w:rFonts w:hAnsi="宋体" w:cs="宋体"/>
          <w:szCs w:val="24"/>
          <w:highlight w:val="none"/>
        </w:rPr>
      </w:pPr>
      <w:r>
        <w:rPr>
          <w:rFonts w:hint="eastAsia" w:hAnsi="宋体" w:cs="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Ansi="宋体" w:cs="宋体"/>
          <w:szCs w:val="24"/>
          <w:highlight w:val="none"/>
        </w:rPr>
      </w:pPr>
      <w:r>
        <w:rPr>
          <w:rFonts w:hint="eastAsia" w:hAnsi="宋体" w:cs="宋体"/>
          <w:szCs w:val="24"/>
          <w:highlight w:val="none"/>
        </w:rPr>
        <w:t>5）供应商事先未通告无故不参加磋商活动的。</w:t>
      </w:r>
    </w:p>
    <w:p>
      <w:pPr>
        <w:spacing w:line="360" w:lineRule="auto"/>
        <w:ind w:firstLine="480" w:firstLineChars="200"/>
        <w:rPr>
          <w:rFonts w:hAnsi="宋体" w:cs="宋体"/>
          <w:szCs w:val="24"/>
          <w:highlight w:val="none"/>
        </w:rPr>
      </w:pPr>
      <w:r>
        <w:rPr>
          <w:rFonts w:hint="eastAsia" w:hAnsi="宋体" w:cs="宋体"/>
          <w:szCs w:val="24"/>
          <w:highlight w:val="none"/>
        </w:rPr>
        <w:t>6）供应商不按法定程序进行质疑和投诉，捏造事实，查无实据，造成恶劣影响，导致采购活动无法正常进行的。</w:t>
      </w:r>
    </w:p>
    <w:p>
      <w:pPr>
        <w:spacing w:line="360" w:lineRule="auto"/>
        <w:ind w:firstLine="480" w:firstLineChars="200"/>
        <w:rPr>
          <w:rFonts w:hAnsi="宋体" w:cs="宋体"/>
          <w:szCs w:val="24"/>
          <w:highlight w:val="none"/>
        </w:rPr>
      </w:pPr>
      <w:r>
        <w:rPr>
          <w:rFonts w:hint="eastAsia" w:hAnsi="宋体" w:cs="宋体"/>
          <w:szCs w:val="24"/>
          <w:highlight w:val="none"/>
        </w:rPr>
        <w:t>14.9采购信用担保及信用融资政策</w:t>
      </w:r>
    </w:p>
    <w:p>
      <w:pPr>
        <w:spacing w:line="360" w:lineRule="auto"/>
        <w:ind w:firstLine="480" w:firstLineChars="200"/>
        <w:rPr>
          <w:rFonts w:hAnsi="宋体" w:cs="宋体"/>
          <w:szCs w:val="24"/>
          <w:highlight w:val="none"/>
        </w:rPr>
      </w:pPr>
      <w:r>
        <w:rPr>
          <w:rFonts w:hint="eastAsia" w:hAnsi="宋体" w:cs="宋体"/>
          <w:szCs w:val="24"/>
          <w:highlight w:val="none"/>
        </w:rPr>
        <w:t>陕西省信用担保及信用融资政策</w:t>
      </w:r>
    </w:p>
    <w:p>
      <w:pPr>
        <w:spacing w:line="360" w:lineRule="auto"/>
        <w:ind w:firstLine="480" w:firstLineChars="200"/>
        <w:rPr>
          <w:rFonts w:hAnsi="宋体" w:cs="宋体"/>
          <w:szCs w:val="24"/>
          <w:highlight w:val="none"/>
        </w:rPr>
      </w:pPr>
      <w:r>
        <w:rPr>
          <w:rFonts w:hint="eastAsia" w:hAnsi="宋体" w:cs="宋体"/>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spacing w:line="360" w:lineRule="auto"/>
        <w:rPr>
          <w:rFonts w:hAnsi="宋体" w:cs="宋体"/>
          <w:b/>
          <w:szCs w:val="24"/>
          <w:highlight w:val="none"/>
        </w:rPr>
      </w:pPr>
      <w:r>
        <w:rPr>
          <w:rFonts w:hint="eastAsia" w:hAnsi="宋体" w:cs="宋体"/>
          <w:b/>
          <w:szCs w:val="24"/>
          <w:highlight w:val="none"/>
        </w:rPr>
        <w:t>15.磋商有效期</w:t>
      </w:r>
    </w:p>
    <w:p>
      <w:pPr>
        <w:spacing w:line="360" w:lineRule="auto"/>
        <w:ind w:firstLine="480" w:firstLineChars="200"/>
        <w:rPr>
          <w:rFonts w:hAnsi="宋体" w:cs="宋体"/>
          <w:szCs w:val="24"/>
          <w:highlight w:val="none"/>
        </w:rPr>
      </w:pPr>
      <w:bookmarkStart w:id="42"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42"/>
    </w:p>
    <w:p>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Ansi="宋体" w:cs="宋体"/>
          <w:b/>
          <w:szCs w:val="24"/>
          <w:highlight w:val="none"/>
        </w:rPr>
      </w:pPr>
      <w:r>
        <w:rPr>
          <w:rFonts w:hint="eastAsia" w:hAnsi="宋体" w:cs="宋体"/>
          <w:b/>
          <w:szCs w:val="24"/>
          <w:highlight w:val="none"/>
        </w:rPr>
        <w:t>16.竞争性磋商响应文件的式样和签署</w:t>
      </w:r>
    </w:p>
    <w:p>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电子版（U盘）</w:t>
      </w:r>
      <w:r>
        <w:rPr>
          <w:rFonts w:hint="eastAsia" w:hAnsi="宋体" w:cs="宋体"/>
          <w:szCs w:val="24"/>
          <w:highlight w:val="none"/>
        </w:rPr>
        <w:t>并在盘面标注供应商全称、项目名称、项目编号，并与竞争性磋商响应文件同时递交。</w:t>
      </w:r>
    </w:p>
    <w:p>
      <w:pPr>
        <w:spacing w:line="500" w:lineRule="exact"/>
        <w:ind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16.4供应商名称应填写全称。磋商响应文件正本及所有副本必须逐页加盖供应商公章（鲜章），否则按无效处理。</w:t>
      </w:r>
    </w:p>
    <w:p>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pPr>
        <w:keepNext/>
        <w:keepLines/>
        <w:spacing w:before="312" w:beforeLines="100" w:after="156" w:afterLines="50" w:line="360" w:lineRule="auto"/>
        <w:jc w:val="center"/>
        <w:outlineLvl w:val="2"/>
        <w:rPr>
          <w:rFonts w:hAnsi="宋体" w:cs="宋体"/>
          <w:b/>
          <w:sz w:val="32"/>
          <w:szCs w:val="32"/>
          <w:highlight w:val="none"/>
        </w:rPr>
      </w:pPr>
      <w:bookmarkStart w:id="43" w:name="_Toc20799"/>
      <w:bookmarkStart w:id="44" w:name="_Toc18686"/>
      <w:r>
        <w:rPr>
          <w:rFonts w:hint="eastAsia" w:hAnsi="宋体" w:cs="宋体"/>
          <w:b/>
          <w:sz w:val="32"/>
          <w:szCs w:val="32"/>
          <w:highlight w:val="none"/>
        </w:rPr>
        <w:t>四.竞争性磋商响应文件的递交</w:t>
      </w:r>
      <w:bookmarkEnd w:id="43"/>
      <w:bookmarkEnd w:id="44"/>
    </w:p>
    <w:p>
      <w:pPr>
        <w:spacing w:line="360" w:lineRule="auto"/>
        <w:rPr>
          <w:rFonts w:hAnsi="宋体" w:cs="宋体"/>
          <w:b/>
          <w:szCs w:val="24"/>
          <w:highlight w:val="none"/>
        </w:rPr>
      </w:pPr>
      <w:r>
        <w:rPr>
          <w:rFonts w:hint="eastAsia" w:hAnsi="宋体" w:cs="宋体"/>
          <w:b/>
          <w:szCs w:val="24"/>
          <w:highlight w:val="none"/>
        </w:rPr>
        <w:t>17.竞争性磋商响应文件的密封和标记</w:t>
      </w:r>
    </w:p>
    <w:p>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cs="宋体"/>
          <w:szCs w:val="24"/>
          <w:highlight w:val="none"/>
        </w:rPr>
      </w:pPr>
      <w:r>
        <w:rPr>
          <w:rFonts w:hint="eastAsia" w:hAnsi="宋体" w:cs="宋体"/>
          <w:highlight w:val="none"/>
        </w:rPr>
        <w:t>17.2供应商应将竞争性磋商响应文件正本、</w:t>
      </w:r>
      <w:r>
        <w:rPr>
          <w:rFonts w:hint="eastAsia" w:hAnsi="宋体" w:cs="宋体"/>
          <w:szCs w:val="24"/>
          <w:highlight w:val="none"/>
        </w:rPr>
        <w:t>所有的副本、</w:t>
      </w:r>
      <w:r>
        <w:rPr>
          <w:rFonts w:hint="eastAsia" w:hAnsi="宋体" w:cs="宋体"/>
          <w:highlight w:val="none"/>
        </w:rPr>
        <w:t>电子版本、报价一览表单独密封装在封袋中（封袋不得有破损），且在封袋正面标明</w:t>
      </w:r>
      <w:r>
        <w:rPr>
          <w:rFonts w:hint="eastAsia" w:hAnsi="宋体" w:cs="宋体"/>
          <w:szCs w:val="24"/>
          <w:highlight w:val="none"/>
        </w:rPr>
        <w:t>“正本”“副本”</w:t>
      </w:r>
      <w:r>
        <w:rPr>
          <w:rFonts w:hint="eastAsia" w:hAnsi="宋体" w:cs="宋体"/>
          <w:highlight w:val="none"/>
        </w:rPr>
        <w:t>“电子版本”“报价一览表”字样。封袋应加贴封条，并在封线处加盖供应商公章，封袋正面要粘贴供应商全称、项目名称、编号等标识。</w:t>
      </w:r>
    </w:p>
    <w:p>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pPr>
        <w:spacing w:line="360" w:lineRule="auto"/>
        <w:ind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pPr>
        <w:spacing w:line="360" w:lineRule="auto"/>
        <w:rPr>
          <w:rFonts w:hAnsi="宋体" w:cs="宋体"/>
          <w:b/>
          <w:szCs w:val="24"/>
          <w:highlight w:val="none"/>
        </w:rPr>
      </w:pPr>
      <w:r>
        <w:rPr>
          <w:rFonts w:hint="eastAsia" w:hAnsi="宋体" w:cs="宋体"/>
          <w:b/>
          <w:szCs w:val="24"/>
          <w:highlight w:val="none"/>
        </w:rPr>
        <w:t>18．竞争性磋商响应文件的递交</w:t>
      </w:r>
    </w:p>
    <w:p>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pPr>
        <w:spacing w:line="360" w:lineRule="auto"/>
        <w:rPr>
          <w:rFonts w:hAnsi="宋体" w:cs="宋体"/>
          <w:b/>
          <w:szCs w:val="24"/>
          <w:highlight w:val="none"/>
        </w:rPr>
      </w:pPr>
      <w:r>
        <w:rPr>
          <w:rFonts w:hint="eastAsia" w:hAnsi="宋体" w:cs="宋体"/>
          <w:b/>
          <w:szCs w:val="24"/>
          <w:highlight w:val="none"/>
        </w:rPr>
        <w:t>19．递交的竞争性磋商响应文件</w:t>
      </w:r>
    </w:p>
    <w:p>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pPr>
        <w:spacing w:line="360" w:lineRule="auto"/>
        <w:rPr>
          <w:rFonts w:hAnsi="宋体" w:cs="宋体"/>
          <w:b/>
          <w:szCs w:val="24"/>
          <w:highlight w:val="none"/>
        </w:rPr>
      </w:pPr>
      <w:r>
        <w:rPr>
          <w:rFonts w:hint="eastAsia" w:hAnsi="宋体" w:cs="宋体"/>
          <w:b/>
          <w:szCs w:val="24"/>
          <w:highlight w:val="none"/>
        </w:rPr>
        <w:t>20．磋商的修改与撤回</w:t>
      </w:r>
    </w:p>
    <w:p>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pPr>
        <w:keepNext/>
        <w:keepLines/>
        <w:spacing w:before="312" w:beforeLines="100" w:after="156" w:afterLines="50" w:line="360" w:lineRule="auto"/>
        <w:jc w:val="center"/>
        <w:outlineLvl w:val="2"/>
        <w:rPr>
          <w:rFonts w:hAnsi="宋体" w:cs="宋体"/>
          <w:b/>
          <w:sz w:val="32"/>
          <w:szCs w:val="32"/>
          <w:highlight w:val="none"/>
        </w:rPr>
      </w:pPr>
      <w:bookmarkStart w:id="45" w:name="_Toc363474021"/>
      <w:bookmarkStart w:id="46" w:name="_Toc15436"/>
      <w:bookmarkStart w:id="47" w:name="_Toc363473976"/>
      <w:bookmarkStart w:id="48" w:name="_Toc13669"/>
      <w:bookmarkStart w:id="49" w:name="_Toc403077643"/>
      <w:r>
        <w:rPr>
          <w:rFonts w:hint="eastAsia" w:hAnsi="宋体" w:cs="宋体"/>
          <w:b/>
          <w:sz w:val="32"/>
          <w:szCs w:val="32"/>
          <w:highlight w:val="none"/>
        </w:rPr>
        <w:t>五.磋商与评标</w:t>
      </w:r>
      <w:bookmarkEnd w:id="45"/>
      <w:bookmarkEnd w:id="46"/>
      <w:bookmarkEnd w:id="47"/>
      <w:bookmarkEnd w:id="48"/>
      <w:bookmarkEnd w:id="49"/>
    </w:p>
    <w:p>
      <w:pPr>
        <w:spacing w:line="360" w:lineRule="auto"/>
        <w:rPr>
          <w:rFonts w:hAnsi="宋体" w:cs="宋体"/>
          <w:b/>
          <w:szCs w:val="24"/>
          <w:highlight w:val="none"/>
        </w:rPr>
      </w:pPr>
      <w:r>
        <w:rPr>
          <w:rFonts w:hint="eastAsia" w:hAnsi="宋体" w:cs="宋体"/>
          <w:b/>
          <w:szCs w:val="24"/>
          <w:highlight w:val="none"/>
        </w:rPr>
        <w:t>21.磋商大会</w:t>
      </w:r>
    </w:p>
    <w:p>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pPr>
        <w:spacing w:line="360" w:lineRule="auto"/>
        <w:rPr>
          <w:rFonts w:hAnsi="宋体" w:cs="宋体"/>
          <w:b/>
          <w:szCs w:val="24"/>
          <w:highlight w:val="none"/>
        </w:rPr>
      </w:pPr>
      <w:r>
        <w:rPr>
          <w:rFonts w:hint="eastAsia" w:hAnsi="宋体" w:cs="宋体"/>
          <w:b/>
          <w:szCs w:val="24"/>
          <w:highlight w:val="none"/>
        </w:rPr>
        <w:t>22．评审程序</w:t>
      </w:r>
    </w:p>
    <w:p>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cs="宋体"/>
          <w:b/>
          <w:szCs w:val="24"/>
          <w:highlight w:val="none"/>
        </w:rPr>
      </w:pPr>
      <w:r>
        <w:rPr>
          <w:rFonts w:hint="eastAsia" w:hAnsi="宋体" w:cs="宋体"/>
          <w:b/>
          <w:szCs w:val="24"/>
          <w:highlight w:val="none"/>
        </w:rPr>
        <w:t>23．评审组织及评审原则</w:t>
      </w:r>
    </w:p>
    <w:p>
      <w:pPr>
        <w:spacing w:line="500" w:lineRule="exact"/>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Ansi="宋体" w:cs="宋体"/>
          <w:szCs w:val="24"/>
          <w:highlight w:val="none"/>
        </w:rPr>
      </w:pPr>
      <w:r>
        <w:rPr>
          <w:rFonts w:hint="eastAsia" w:hAnsi="宋体" w:cs="宋体"/>
          <w:b/>
          <w:bCs/>
          <w:szCs w:val="24"/>
          <w:highlight w:val="none"/>
        </w:rPr>
        <w:t>23.6.2计算错误将按以下方法更正：</w:t>
      </w:r>
    </w:p>
    <w:p>
      <w:pPr>
        <w:spacing w:line="500" w:lineRule="exact"/>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pPr>
        <w:spacing w:line="500" w:lineRule="exact"/>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pPr>
        <w:spacing w:line="500" w:lineRule="exact"/>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pPr>
        <w:spacing w:line="500" w:lineRule="exact"/>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3）供应商未提交有效的磋商保证金或金额不足的、磋商保证金形式不符合竞争性磋商文件要求的；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4）资格证明文件不全的或无效的，或不符合国家规定的；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5）竞争性磋商响应文件无供应商公章、无法定代表人签字或签字人无法定代表人有效委托书的；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6）</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7）供应商在同一份竞争性磋商响应文件中，有两个或多个报价的；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8）存在有重大缺漏项和重大偏离的；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Ansi="宋体" w:cs="宋体"/>
          <w:b/>
          <w:bCs/>
          <w:szCs w:val="24"/>
          <w:highlight w:val="none"/>
        </w:rPr>
      </w:pPr>
      <w:r>
        <w:rPr>
          <w:rFonts w:hint="eastAsia" w:hAnsi="宋体" w:cs="宋体"/>
          <w:b/>
          <w:bCs/>
          <w:szCs w:val="24"/>
          <w:highlight w:val="none"/>
        </w:rPr>
        <w:t>10）磋商总报价低于成本或者高于竞争性磋商文件公布的采购预算的。</w:t>
      </w:r>
    </w:p>
    <w:p>
      <w:pPr>
        <w:pStyle w:val="18"/>
        <w:spacing w:before="0" w:beforeAutospacing="0" w:after="0" w:afterAutospacing="0" w:line="500" w:lineRule="exact"/>
        <w:ind w:firstLine="482" w:firstLineChars="200"/>
        <w:jc w:val="both"/>
        <w:rPr>
          <w:rFonts w:cs="宋体"/>
          <w:b/>
          <w:bCs/>
          <w:highlight w:val="none"/>
        </w:rPr>
      </w:pPr>
      <w:r>
        <w:rPr>
          <w:rFonts w:hint="eastAsia" w:cs="宋体"/>
          <w:b/>
          <w:bCs/>
          <w:highlight w:val="none"/>
        </w:rPr>
        <w:t>11）竞争性磋商响应文件含有采购人不能接受的附加条件的；</w:t>
      </w:r>
    </w:p>
    <w:p>
      <w:pPr>
        <w:spacing w:line="500" w:lineRule="exact"/>
        <w:ind w:firstLine="482" w:firstLineChars="200"/>
        <w:rPr>
          <w:rFonts w:hAnsi="宋体" w:cs="宋体"/>
          <w:b/>
          <w:bCs/>
          <w:szCs w:val="24"/>
          <w:highlight w:val="none"/>
        </w:rPr>
      </w:pPr>
      <w:r>
        <w:rPr>
          <w:rFonts w:hint="eastAsia" w:hAnsi="宋体" w:cs="宋体"/>
          <w:b/>
          <w:bCs/>
          <w:szCs w:val="24"/>
          <w:highlight w:val="none"/>
        </w:rPr>
        <w:t>12）竞争性磋商响应文件不符合法律法规要求的；</w:t>
      </w:r>
    </w:p>
    <w:p>
      <w:pPr>
        <w:pStyle w:val="18"/>
        <w:spacing w:before="0" w:beforeAutospacing="0" w:after="0" w:afterAutospacing="0" w:line="500" w:lineRule="exact"/>
        <w:ind w:firstLine="482" w:firstLineChars="200"/>
        <w:jc w:val="both"/>
        <w:rPr>
          <w:rFonts w:cs="宋体"/>
          <w:highlight w:val="none"/>
        </w:rPr>
      </w:pPr>
      <w:r>
        <w:rPr>
          <w:rFonts w:hint="eastAsia" w:cs="宋体"/>
          <w:b/>
          <w:bCs/>
          <w:highlight w:val="none"/>
        </w:rPr>
        <w:t>13）供应商被列入失信被执行人、重大税收违法失信主体、政府采购严重违法失信行为记录名单及其他不符合《中华人民共和国政府采购法》第二十二条规定条件。</w:t>
      </w:r>
    </w:p>
    <w:p>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pPr>
        <w:spacing w:line="360" w:lineRule="auto"/>
        <w:rPr>
          <w:rFonts w:hAnsi="宋体" w:cs="宋体"/>
          <w:b/>
          <w:szCs w:val="24"/>
          <w:highlight w:val="none"/>
        </w:rPr>
      </w:pPr>
      <w:r>
        <w:rPr>
          <w:rFonts w:hint="eastAsia" w:hAnsi="宋体" w:cs="宋体"/>
          <w:b/>
          <w:szCs w:val="24"/>
          <w:highlight w:val="none"/>
        </w:rPr>
        <w:t>24．评审过程的保密</w:t>
      </w:r>
    </w:p>
    <w:p>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pPr>
        <w:jc w:val="left"/>
        <w:rPr>
          <w:rFonts w:hAnsi="宋体" w:cs="宋体"/>
          <w:b/>
          <w:szCs w:val="24"/>
          <w:highlight w:val="none"/>
        </w:rPr>
      </w:pPr>
      <w:r>
        <w:rPr>
          <w:rFonts w:hint="eastAsia" w:hAnsi="宋体" w:cs="宋体"/>
          <w:b/>
          <w:szCs w:val="24"/>
          <w:highlight w:val="none"/>
        </w:rPr>
        <w:t>25．评审方法</w:t>
      </w:r>
    </w:p>
    <w:p>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312" w:beforeLines="100" w:after="156" w:afterLines="50" w:line="360" w:lineRule="auto"/>
        <w:jc w:val="center"/>
        <w:outlineLvl w:val="2"/>
        <w:rPr>
          <w:rFonts w:hAnsi="宋体" w:cs="宋体"/>
          <w:b/>
          <w:sz w:val="32"/>
          <w:szCs w:val="32"/>
          <w:highlight w:val="none"/>
        </w:rPr>
      </w:pPr>
      <w:bookmarkStart w:id="50" w:name="_Toc15100"/>
      <w:bookmarkStart w:id="51" w:name="_Toc29146"/>
      <w:r>
        <w:rPr>
          <w:rFonts w:hint="eastAsia" w:hAnsi="宋体" w:cs="宋体"/>
          <w:b/>
          <w:sz w:val="32"/>
          <w:szCs w:val="32"/>
          <w:highlight w:val="none"/>
        </w:rPr>
        <w:t>六.成交、通知与签约</w:t>
      </w:r>
      <w:bookmarkEnd w:id="50"/>
      <w:bookmarkEnd w:id="51"/>
    </w:p>
    <w:p>
      <w:pPr>
        <w:spacing w:line="360" w:lineRule="auto"/>
        <w:rPr>
          <w:rFonts w:hAnsi="宋体" w:cs="宋体"/>
          <w:b/>
          <w:szCs w:val="24"/>
          <w:highlight w:val="none"/>
        </w:rPr>
      </w:pPr>
      <w:r>
        <w:rPr>
          <w:rFonts w:hint="eastAsia" w:hAnsi="宋体" w:cs="宋体"/>
          <w:b/>
          <w:szCs w:val="24"/>
          <w:highlight w:val="none"/>
        </w:rPr>
        <w:t>26．成交程序</w:t>
      </w:r>
    </w:p>
    <w:p>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pPr>
        <w:spacing w:line="500" w:lineRule="exact"/>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pPr>
        <w:spacing w:line="360" w:lineRule="auto"/>
        <w:rPr>
          <w:rFonts w:hAnsi="宋体" w:cs="宋体"/>
          <w:b/>
          <w:szCs w:val="24"/>
          <w:highlight w:val="none"/>
        </w:rPr>
      </w:pPr>
      <w:r>
        <w:rPr>
          <w:rFonts w:hint="eastAsia" w:hAnsi="宋体" w:cs="宋体"/>
          <w:b/>
          <w:szCs w:val="24"/>
          <w:highlight w:val="none"/>
        </w:rPr>
        <w:t>27．成交通知</w:t>
      </w:r>
    </w:p>
    <w:p>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Ansi="宋体" w:cs="宋体"/>
          <w:b/>
          <w:szCs w:val="24"/>
          <w:highlight w:val="none"/>
        </w:rPr>
      </w:pPr>
      <w:r>
        <w:rPr>
          <w:rFonts w:hint="eastAsia" w:hAnsi="宋体" w:cs="宋体"/>
          <w:b/>
          <w:szCs w:val="24"/>
          <w:highlight w:val="none"/>
        </w:rPr>
        <w:t>28. 采购合同的签订</w:t>
      </w:r>
    </w:p>
    <w:p>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pPr>
        <w:spacing w:line="360" w:lineRule="auto"/>
        <w:ind w:firstLine="480" w:firstLineChars="200"/>
        <w:rPr>
          <w:rFonts w:hAnsi="宋体" w:cs="宋体"/>
          <w:szCs w:val="24"/>
          <w:highlight w:val="none"/>
        </w:rPr>
      </w:pPr>
      <w:r>
        <w:rPr>
          <w:rFonts w:hint="eastAsia" w:hAnsi="宋体" w:cs="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pPr>
        <w:pStyle w:val="11"/>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pPr>
        <w:numPr>
          <w:ilvl w:val="0"/>
          <w:numId w:val="2"/>
        </w:numPr>
        <w:spacing w:line="600" w:lineRule="exact"/>
        <w:rPr>
          <w:rFonts w:hAnsi="宋体" w:cs="宋体"/>
          <w:b/>
          <w:bCs/>
          <w:szCs w:val="24"/>
          <w:highlight w:val="none"/>
        </w:rPr>
      </w:pPr>
      <w:r>
        <w:rPr>
          <w:rFonts w:hint="eastAsia" w:hAnsi="宋体" w:cs="宋体"/>
          <w:b/>
          <w:bCs/>
          <w:szCs w:val="24"/>
          <w:highlight w:val="none"/>
        </w:rPr>
        <w:t>质疑</w:t>
      </w:r>
    </w:p>
    <w:p>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5"/>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pPr>
        <w:spacing w:line="500" w:lineRule="exact"/>
        <w:ind w:right="12" w:firstLine="480" w:firstLineChars="200"/>
        <w:rPr>
          <w:rStyle w:val="25"/>
          <w:rFonts w:hAnsi="宋体" w:cs="宋体"/>
          <w:b w:val="0"/>
          <w:szCs w:val="24"/>
          <w:highlight w:val="none"/>
          <w:shd w:val="clear" w:color="auto" w:fill="FFFFFF"/>
        </w:rPr>
      </w:pPr>
      <w:r>
        <w:rPr>
          <w:rFonts w:hint="eastAsia" w:hAnsi="宋体" w:cs="宋体"/>
          <w:szCs w:val="24"/>
          <w:highlight w:val="none"/>
        </w:rPr>
        <w:t>30.5.6提出质疑的日期。</w:t>
      </w:r>
    </w:p>
    <w:p>
      <w:pPr>
        <w:widowControl/>
        <w:spacing w:line="360" w:lineRule="auto"/>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pPr>
        <w:widowControl/>
        <w:spacing w:line="360" w:lineRule="auto"/>
        <w:ind w:firstLine="480" w:firstLineChars="200"/>
        <w:rPr>
          <w:rFonts w:hAnsi="宋体" w:cs="宋体"/>
          <w:highlight w:val="none"/>
        </w:rPr>
      </w:pPr>
      <w:r>
        <w:rPr>
          <w:rFonts w:hint="eastAsia" w:hAnsi="宋体" w:cs="宋体"/>
          <w:highlight w:val="none"/>
        </w:rPr>
        <w:t>30.6.1质疑供应商不是参与本次政府采购项目的供应商；</w:t>
      </w:r>
    </w:p>
    <w:p>
      <w:pPr>
        <w:widowControl/>
        <w:spacing w:line="360" w:lineRule="auto"/>
        <w:ind w:firstLine="480" w:firstLineChars="200"/>
        <w:rPr>
          <w:rFonts w:hAnsi="宋体" w:cs="宋体"/>
          <w:highlight w:val="none"/>
        </w:rPr>
      </w:pPr>
      <w:r>
        <w:rPr>
          <w:rFonts w:hint="eastAsia" w:hAnsi="宋体" w:cs="宋体"/>
          <w:highlight w:val="none"/>
        </w:rPr>
        <w:t>30.6.2质疑供应商与质疑事项不存在利害关系的；</w:t>
      </w:r>
    </w:p>
    <w:p>
      <w:pPr>
        <w:widowControl/>
        <w:spacing w:line="360" w:lineRule="auto"/>
        <w:ind w:firstLine="480" w:firstLineChars="200"/>
        <w:rPr>
          <w:rFonts w:hAnsi="宋体" w:cs="宋体"/>
          <w:highlight w:val="none"/>
        </w:rPr>
      </w:pPr>
      <w:r>
        <w:rPr>
          <w:rFonts w:hint="eastAsia" w:hAnsi="宋体" w:cs="宋体"/>
          <w:highlight w:val="none"/>
        </w:rPr>
        <w:t>30.6.3未在法定期限内提出质疑的；</w:t>
      </w:r>
    </w:p>
    <w:p>
      <w:pPr>
        <w:widowControl/>
        <w:spacing w:line="360" w:lineRule="auto"/>
        <w:ind w:firstLine="480" w:firstLineChars="200"/>
        <w:rPr>
          <w:rFonts w:hAnsi="宋体" w:cs="宋体"/>
          <w:highlight w:val="none"/>
        </w:rPr>
      </w:pPr>
      <w:r>
        <w:rPr>
          <w:rFonts w:hint="eastAsia" w:hAnsi="宋体" w:cs="宋体"/>
          <w:highlight w:val="none"/>
        </w:rPr>
        <w:t>30.6.4质疑未以书面形式提出，或质疑函主要内容构成不完整的；</w:t>
      </w:r>
    </w:p>
    <w:p>
      <w:pPr>
        <w:widowControl/>
        <w:spacing w:line="360" w:lineRule="auto"/>
        <w:ind w:firstLine="480" w:firstLineChars="200"/>
        <w:rPr>
          <w:rFonts w:hAnsi="宋体" w:cs="宋体"/>
          <w:highlight w:val="none"/>
        </w:rPr>
      </w:pPr>
      <w:r>
        <w:rPr>
          <w:rFonts w:hint="eastAsia" w:hAnsi="宋体" w:cs="宋体"/>
          <w:highlight w:val="none"/>
        </w:rPr>
        <w:t>30.6.5应当提交授权书而未提交的；</w:t>
      </w:r>
    </w:p>
    <w:p>
      <w:pPr>
        <w:widowControl/>
        <w:spacing w:line="360" w:lineRule="auto"/>
        <w:ind w:firstLine="480" w:firstLineChars="200"/>
        <w:rPr>
          <w:rFonts w:hAnsi="宋体" w:cs="宋体"/>
          <w:highlight w:val="none"/>
        </w:rPr>
      </w:pPr>
      <w:r>
        <w:rPr>
          <w:rFonts w:hint="eastAsia" w:hAnsi="宋体" w:cs="宋体"/>
          <w:highlight w:val="none"/>
        </w:rPr>
        <w:t>30.6.6以非法手段取得证据、材料的；</w:t>
      </w:r>
    </w:p>
    <w:p>
      <w:pPr>
        <w:widowControl/>
        <w:spacing w:line="360" w:lineRule="auto"/>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pPr>
        <w:widowControl/>
        <w:spacing w:line="360" w:lineRule="auto"/>
        <w:ind w:firstLine="480" w:firstLineChars="200"/>
        <w:rPr>
          <w:rFonts w:hAnsi="宋体" w:cs="宋体"/>
          <w:highlight w:val="none"/>
        </w:rPr>
      </w:pPr>
      <w:r>
        <w:rPr>
          <w:rFonts w:hint="eastAsia" w:hAnsi="宋体" w:cs="宋体"/>
          <w:highlight w:val="none"/>
        </w:rPr>
        <w:t>30.6.8不符合法律、法规、规章和政府采购监管机构规定的其他条件的。</w:t>
      </w:r>
    </w:p>
    <w:p>
      <w:pPr>
        <w:widowControl/>
        <w:spacing w:line="360" w:lineRule="auto"/>
        <w:ind w:firstLine="480" w:firstLineChars="200"/>
        <w:rPr>
          <w:rFonts w:hAnsi="宋体" w:cs="宋体"/>
          <w:highlight w:val="none"/>
        </w:rPr>
      </w:pPr>
      <w:r>
        <w:rPr>
          <w:rFonts w:hint="eastAsia" w:hAnsi="宋体" w:cs="宋体"/>
          <w:highlight w:val="none"/>
        </w:rPr>
        <w:t>30.7质疑答复</w:t>
      </w:r>
    </w:p>
    <w:p>
      <w:pPr>
        <w:widowControl/>
        <w:spacing w:line="360" w:lineRule="auto"/>
        <w:ind w:firstLine="480" w:firstLineChars="200"/>
        <w:rPr>
          <w:rFonts w:hAnsi="宋体" w:cs="宋体"/>
          <w:highlight w:val="none"/>
        </w:rPr>
      </w:pPr>
      <w:r>
        <w:rPr>
          <w:rFonts w:hint="eastAsia" w:hAnsi="宋体" w:cs="宋体"/>
          <w:highlight w:val="none"/>
        </w:rPr>
        <w:t>30.7.1采购人或采购代理机构在收到质疑函后7个工作日内作出答复，并以书面形式通知质疑供应商和其他有关供应商。</w:t>
      </w:r>
    </w:p>
    <w:p>
      <w:pPr>
        <w:spacing w:line="360" w:lineRule="auto"/>
        <w:rPr>
          <w:rFonts w:hAnsi="宋体" w:cs="宋体"/>
          <w:b/>
          <w:szCs w:val="24"/>
          <w:highlight w:val="none"/>
        </w:rPr>
      </w:pPr>
      <w:r>
        <w:rPr>
          <w:rFonts w:hint="eastAsia" w:hAnsi="宋体" w:cs="宋体"/>
          <w:b/>
          <w:szCs w:val="24"/>
          <w:highlight w:val="none"/>
        </w:rPr>
        <w:t>31.其他</w:t>
      </w:r>
    </w:p>
    <w:p>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Ansi="宋体" w:cs="宋体"/>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52" w:name="_Toc363474023"/>
    </w:p>
    <w:p>
      <w:pPr>
        <w:pStyle w:val="3"/>
        <w:numPr>
          <w:ilvl w:val="0"/>
          <w:numId w:val="3"/>
        </w:numPr>
        <w:jc w:val="center"/>
        <w:rPr>
          <w:rFonts w:ascii="宋体" w:eastAsia="宋体" w:cs="宋体"/>
          <w:highlight w:val="none"/>
        </w:rPr>
      </w:pPr>
      <w:bookmarkStart w:id="53" w:name="_Toc403077645"/>
      <w:bookmarkStart w:id="54" w:name="_Toc423973074"/>
      <w:bookmarkStart w:id="55" w:name="_Toc25783"/>
      <w:r>
        <w:rPr>
          <w:rFonts w:hint="eastAsia" w:ascii="宋体" w:eastAsia="宋体" w:cs="宋体"/>
          <w:bCs/>
          <w:sz w:val="36"/>
          <w:szCs w:val="36"/>
          <w:highlight w:val="none"/>
        </w:rPr>
        <w:br w:type="page"/>
      </w:r>
      <w:bookmarkStart w:id="56" w:name="_Toc22973"/>
      <w:r>
        <w:rPr>
          <w:rFonts w:hint="eastAsia" w:ascii="宋体" w:eastAsia="宋体" w:cs="宋体"/>
          <w:bCs/>
          <w:sz w:val="36"/>
          <w:szCs w:val="36"/>
          <w:highlight w:val="none"/>
        </w:rPr>
        <w:t xml:space="preserve">  </w:t>
      </w:r>
      <w:bookmarkStart w:id="57" w:name="_Toc9687"/>
      <w:r>
        <w:rPr>
          <w:rFonts w:hint="eastAsia" w:ascii="宋体" w:eastAsia="宋体" w:cs="宋体"/>
          <w:bCs/>
          <w:sz w:val="36"/>
          <w:szCs w:val="36"/>
          <w:highlight w:val="none"/>
        </w:rPr>
        <w:t>评审方法</w:t>
      </w:r>
      <w:bookmarkEnd w:id="56"/>
      <w:bookmarkEnd w:id="57"/>
    </w:p>
    <w:p>
      <w:pPr>
        <w:spacing w:line="360" w:lineRule="auto"/>
        <w:outlineLvl w:val="1"/>
        <w:rPr>
          <w:rFonts w:hAnsi="宋体" w:cs="宋体"/>
          <w:b/>
          <w:szCs w:val="24"/>
          <w:highlight w:val="none"/>
        </w:rPr>
      </w:pPr>
      <w:bookmarkStart w:id="58" w:name="_Toc26649"/>
      <w:bookmarkStart w:id="59" w:name="_Toc32051"/>
      <w:bookmarkStart w:id="60" w:name="_Toc28665"/>
      <w:r>
        <w:rPr>
          <w:rFonts w:hint="eastAsia" w:hAnsi="宋体" w:cs="宋体"/>
          <w:b/>
          <w:szCs w:val="24"/>
          <w:highlight w:val="none"/>
        </w:rPr>
        <w:t>一、评审方法</w:t>
      </w:r>
      <w:bookmarkEnd w:id="58"/>
      <w:bookmarkEnd w:id="59"/>
      <w:bookmarkEnd w:id="60"/>
    </w:p>
    <w:p>
      <w:pPr>
        <w:spacing w:line="500" w:lineRule="exact"/>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outlineLvl w:val="1"/>
        <w:rPr>
          <w:rFonts w:hAnsi="宋体" w:cs="宋体"/>
          <w:b/>
          <w:spacing w:val="4"/>
          <w:szCs w:val="24"/>
          <w:highlight w:val="none"/>
        </w:rPr>
      </w:pPr>
      <w:bookmarkStart w:id="61" w:name="_Toc27615"/>
      <w:bookmarkStart w:id="62" w:name="_Toc20625"/>
      <w:bookmarkStart w:id="63" w:name="_Toc2374"/>
      <w:r>
        <w:rPr>
          <w:rFonts w:hint="eastAsia" w:hAnsi="宋体" w:cs="宋体"/>
          <w:b/>
          <w:spacing w:val="4"/>
          <w:szCs w:val="24"/>
          <w:highlight w:val="none"/>
        </w:rPr>
        <w:t>二、评审程序</w:t>
      </w:r>
      <w:bookmarkEnd w:id="61"/>
      <w:bookmarkEnd w:id="62"/>
      <w:bookmarkEnd w:id="63"/>
    </w:p>
    <w:p>
      <w:pPr>
        <w:tabs>
          <w:tab w:val="left" w:pos="0"/>
        </w:tabs>
        <w:adjustRightInd w:val="0"/>
        <w:snapToGrid w:val="0"/>
        <w:spacing w:line="500" w:lineRule="exact"/>
        <w:ind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4"/>
        </w:numPr>
        <w:spacing w:line="500" w:lineRule="exact"/>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pPr>
        <w:spacing w:after="156" w:afterLines="50" w:line="500" w:lineRule="exact"/>
        <w:ind w:firstLine="482" w:firstLineChars="200"/>
        <w:rPr>
          <w:rFonts w:hAnsi="宋体" w:cs="宋体"/>
          <w:b/>
          <w:highlight w:val="none"/>
        </w:rPr>
      </w:pPr>
      <w:r>
        <w:rPr>
          <w:rFonts w:hint="eastAsia" w:hAnsi="宋体" w:cs="宋体"/>
          <w:b/>
          <w:highlight w:val="none"/>
        </w:rPr>
        <w:t>2、磋商响应文件的澄清</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pPr>
        <w:spacing w:line="500" w:lineRule="exact"/>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11"/>
        <w:spacing w:line="500" w:lineRule="exact"/>
        <w:ind w:firstLine="482" w:firstLineChars="200"/>
        <w:rPr>
          <w:rFonts w:ascii="宋体" w:hAnsi="宋体" w:cs="宋体"/>
          <w:kern w:val="0"/>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rPr>
          <w:rFonts w:hAnsi="宋体" w:cs="宋体"/>
          <w:highlight w:val="none"/>
        </w:rPr>
      </w:pPr>
    </w:p>
    <w:p>
      <w:pPr>
        <w:spacing w:line="500" w:lineRule="exact"/>
        <w:jc w:val="left"/>
        <w:outlineLvl w:val="1"/>
        <w:rPr>
          <w:rFonts w:hAnsi="宋体" w:cs="宋体"/>
          <w:b/>
          <w:szCs w:val="24"/>
          <w:highlight w:val="none"/>
        </w:rPr>
      </w:pPr>
      <w:bookmarkStart w:id="64" w:name="_Toc4428"/>
      <w:bookmarkStart w:id="65" w:name="_Toc19221"/>
      <w:bookmarkStart w:id="66" w:name="_Toc24776"/>
      <w:r>
        <w:rPr>
          <w:rFonts w:hint="eastAsia" w:hAnsi="宋体" w:cs="宋体"/>
          <w:b/>
          <w:szCs w:val="24"/>
          <w:highlight w:val="none"/>
        </w:rPr>
        <w:t>三、政策性扣减</w:t>
      </w:r>
      <w:bookmarkEnd w:id="64"/>
      <w:bookmarkEnd w:id="65"/>
      <w:bookmarkEnd w:id="66"/>
    </w:p>
    <w:p>
      <w:pPr>
        <w:spacing w:line="500" w:lineRule="exact"/>
        <w:ind w:firstLine="482" w:firstLineChars="200"/>
        <w:jc w:val="left"/>
        <w:rPr>
          <w:rFonts w:hAnsi="宋体" w:cs="宋体"/>
          <w:b/>
          <w:bCs/>
          <w:szCs w:val="24"/>
          <w:highlight w:val="none"/>
        </w:rPr>
      </w:pPr>
      <w:r>
        <w:rPr>
          <w:rFonts w:hint="eastAsia" w:hAnsi="宋体" w:cs="宋体"/>
          <w:b/>
          <w:bCs/>
          <w:szCs w:val="24"/>
          <w:highlight w:val="none"/>
        </w:rPr>
        <w:t>1政策性扣减范围</w:t>
      </w:r>
    </w:p>
    <w:p>
      <w:pPr>
        <w:spacing w:line="500" w:lineRule="exact"/>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1.2依照《政府采购促进中小企业发展管理办法》（财库〔2020〕46号）的规定，小型、微型企业应当同时符合以下条件：</w:t>
      </w:r>
    </w:p>
    <w:p>
      <w:pPr>
        <w:spacing w:line="500" w:lineRule="exact"/>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Ansi="宋体" w:cs="宋体"/>
          <w:b/>
          <w:bCs/>
          <w:szCs w:val="24"/>
          <w:highlight w:val="none"/>
        </w:rPr>
      </w:pPr>
      <w:r>
        <w:rPr>
          <w:rFonts w:hint="eastAsia" w:hAnsi="宋体" w:cs="宋体"/>
          <w:b/>
          <w:bCs/>
          <w:szCs w:val="24"/>
          <w:highlight w:val="none"/>
        </w:rPr>
        <w:t>2、政策性扣减方式：</w:t>
      </w:r>
    </w:p>
    <w:p>
      <w:pPr>
        <w:spacing w:line="500" w:lineRule="exact"/>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pPr>
        <w:spacing w:line="500" w:lineRule="exact"/>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2.1.1在磋商最终报价的基础上，小型企业或达到小型企业划分标准的监狱企业（或残疾人福利性单位），按“磋商最终报价×10%”进行扣减；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2.1.2在磋商最终报价的基础上，注册资金在十五万元以上的微型企业或注册资金在十五万元以上达到微型企业划分标准的监狱企业（或残疾人福利性单位），按“磋商最终报价×10%”进行扣减；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Ansi="宋体" w:cs="宋体"/>
          <w:szCs w:val="24"/>
          <w:highlight w:val="none"/>
        </w:rPr>
      </w:pPr>
      <w:r>
        <w:rPr>
          <w:rFonts w:hint="eastAsia" w:hAnsi="宋体" w:cs="宋体"/>
          <w:szCs w:val="24"/>
          <w:highlight w:val="none"/>
        </w:rPr>
        <w:t>2.2.1在磋商最终报价的基础上，与小型企业或达到小型企业划分标准的监狱企业（或残疾人福利性单位）联合的，按“磋商最终报价×4%”进行扣减；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2.2.2在磋商最终报价的基础上，与微型企业或达到微型企业划分标准的监狱企业（或残疾人福利性单位）联合的，按“磋商最终报价×4%”进行扣减。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2.2.3在磋商最终报价的基础上，同时与小型、微型企业或达到小型、微型企业划分标准的监狱企业（或残疾人福利性单位）组成两家以上的联合体的，仅按照“磋商最终报价×4%”进行扣减。不累计扣减。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Ansi="宋体" w:cs="宋体"/>
          <w:szCs w:val="24"/>
          <w:highlight w:val="none"/>
        </w:rPr>
      </w:pPr>
      <w:r>
        <w:rPr>
          <w:rFonts w:hint="eastAsia" w:hAnsi="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pPr>
        <w:pStyle w:val="11"/>
        <w:rPr>
          <w:rFonts w:ascii="宋体" w:hAnsi="宋体" w:cs="宋体"/>
          <w:highlight w:val="none"/>
        </w:rPr>
      </w:pPr>
    </w:p>
    <w:p>
      <w:pPr>
        <w:spacing w:line="360" w:lineRule="auto"/>
        <w:ind w:firstLine="498" w:firstLineChars="200"/>
        <w:jc w:val="center"/>
        <w:outlineLvl w:val="1"/>
        <w:rPr>
          <w:rFonts w:hAnsi="宋体" w:cs="宋体"/>
          <w:b/>
          <w:szCs w:val="24"/>
          <w:highlight w:val="none"/>
        </w:rPr>
      </w:pPr>
      <w:r>
        <w:rPr>
          <w:rFonts w:hint="eastAsia" w:hAnsi="宋体" w:cs="宋体"/>
          <w:b/>
          <w:spacing w:val="4"/>
          <w:szCs w:val="24"/>
          <w:highlight w:val="none"/>
        </w:rPr>
        <w:br w:type="page"/>
      </w:r>
      <w:bookmarkStart w:id="67" w:name="_Toc13330"/>
      <w:bookmarkStart w:id="68" w:name="_Toc28532"/>
      <w:bookmarkStart w:id="69" w:name="_Toc4223"/>
      <w:r>
        <w:rPr>
          <w:rFonts w:hint="eastAsia" w:hAnsi="宋体" w:cs="宋体"/>
          <w:b/>
          <w:spacing w:val="4"/>
          <w:szCs w:val="24"/>
          <w:highlight w:val="none"/>
        </w:rPr>
        <w:t>四、</w:t>
      </w:r>
      <w:r>
        <w:rPr>
          <w:rFonts w:hint="eastAsia" w:hAnsi="宋体" w:cs="宋体"/>
          <w:b/>
          <w:szCs w:val="24"/>
          <w:highlight w:val="none"/>
        </w:rPr>
        <w:t>评审要素和分值分解表</w:t>
      </w:r>
      <w:bookmarkEnd w:id="67"/>
      <w:bookmarkEnd w:id="68"/>
      <w:bookmarkEnd w:id="69"/>
    </w:p>
    <w:p>
      <w:pPr>
        <w:spacing w:line="360" w:lineRule="auto"/>
        <w:ind w:firstLine="480" w:firstLineChars="200"/>
        <w:jc w:val="left"/>
        <w:rPr>
          <w:rFonts w:hAnsi="宋体" w:cs="宋体"/>
          <w:szCs w:val="24"/>
          <w:highlight w:val="none"/>
        </w:rPr>
      </w:pPr>
      <w:r>
        <w:rPr>
          <w:rFonts w:hint="eastAsia" w:hAnsi="宋体" w:cs="宋体"/>
          <w:szCs w:val="24"/>
          <w:highlight w:val="none"/>
        </w:rPr>
        <w:t>评价和比较以磋商响应文件为依据进行评审并按照百分制进行赋分。</w:t>
      </w:r>
    </w:p>
    <w:p>
      <w:pPr>
        <w:spacing w:line="360" w:lineRule="auto"/>
        <w:ind w:firstLine="480" w:firstLineChars="200"/>
        <w:rPr>
          <w:rFonts w:hAnsi="宋体" w:cs="宋体"/>
          <w:szCs w:val="24"/>
          <w:highlight w:val="none"/>
        </w:rPr>
      </w:pPr>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056"/>
        <w:gridCol w:w="5911"/>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6" w:type="dxa"/>
            <w:vAlign w:val="center"/>
          </w:tcPr>
          <w:p>
            <w:pPr>
              <w:spacing w:line="360" w:lineRule="auto"/>
              <w:jc w:val="center"/>
              <w:rPr>
                <w:rFonts w:hAnsi="宋体" w:cs="宋体"/>
                <w:b/>
                <w:bCs/>
                <w:szCs w:val="24"/>
                <w:highlight w:val="none"/>
              </w:rPr>
            </w:pPr>
            <w:r>
              <w:rPr>
                <w:rFonts w:hint="eastAsia" w:hAnsi="宋体" w:cs="宋体"/>
                <w:b/>
                <w:bCs/>
                <w:szCs w:val="24"/>
                <w:highlight w:val="none"/>
              </w:rPr>
              <w:t>类别</w:t>
            </w:r>
          </w:p>
        </w:tc>
        <w:tc>
          <w:tcPr>
            <w:tcW w:w="1056" w:type="dxa"/>
            <w:vAlign w:val="center"/>
          </w:tcPr>
          <w:p>
            <w:pPr>
              <w:spacing w:line="360" w:lineRule="auto"/>
              <w:jc w:val="center"/>
              <w:rPr>
                <w:rFonts w:hAnsi="宋体" w:cs="宋体"/>
                <w:b/>
                <w:bCs/>
                <w:szCs w:val="24"/>
                <w:highlight w:val="none"/>
              </w:rPr>
            </w:pPr>
            <w:r>
              <w:rPr>
                <w:rFonts w:hint="eastAsia" w:hAnsi="宋体" w:cs="宋体"/>
                <w:b/>
                <w:bCs/>
                <w:szCs w:val="24"/>
                <w:highlight w:val="none"/>
              </w:rPr>
              <w:t>总分</w:t>
            </w:r>
          </w:p>
        </w:tc>
        <w:tc>
          <w:tcPr>
            <w:tcW w:w="5911" w:type="dxa"/>
            <w:vAlign w:val="center"/>
          </w:tcPr>
          <w:p>
            <w:pPr>
              <w:spacing w:line="360" w:lineRule="auto"/>
              <w:jc w:val="center"/>
              <w:rPr>
                <w:rFonts w:hAnsi="宋体" w:cs="宋体"/>
                <w:b/>
                <w:bCs/>
                <w:szCs w:val="24"/>
                <w:highlight w:val="none"/>
              </w:rPr>
            </w:pPr>
            <w:r>
              <w:rPr>
                <w:rFonts w:hint="eastAsia" w:hAnsi="宋体" w:cs="宋体"/>
                <w:b/>
                <w:bCs/>
                <w:szCs w:val="24"/>
                <w:highlight w:val="none"/>
              </w:rPr>
              <w:t>评标因素</w:t>
            </w:r>
          </w:p>
        </w:tc>
        <w:tc>
          <w:tcPr>
            <w:tcW w:w="887" w:type="dxa"/>
            <w:vAlign w:val="center"/>
          </w:tcPr>
          <w:p>
            <w:pPr>
              <w:spacing w:line="360" w:lineRule="auto"/>
              <w:jc w:val="center"/>
              <w:rPr>
                <w:rFonts w:hAnsi="宋体" w:cs="宋体"/>
                <w:b/>
                <w:bCs/>
                <w:szCs w:val="24"/>
                <w:highlight w:val="none"/>
              </w:rPr>
            </w:pPr>
            <w:r>
              <w:rPr>
                <w:rFonts w:hint="eastAsia" w:hAnsi="宋体" w:cs="宋体"/>
                <w:b/>
                <w:bCs/>
                <w:szCs w:val="24"/>
                <w:highlight w:val="none"/>
              </w:rPr>
              <w:t>最高</w:t>
            </w:r>
          </w:p>
          <w:p>
            <w:pPr>
              <w:spacing w:line="360" w:lineRule="auto"/>
              <w:jc w:val="center"/>
              <w:rPr>
                <w:rFonts w:hAnsi="宋体" w:cs="宋体"/>
                <w:b/>
                <w:bCs/>
                <w:szCs w:val="24"/>
                <w:highlight w:val="none"/>
              </w:rPr>
            </w:pPr>
            <w:r>
              <w:rPr>
                <w:rFonts w:hint="eastAsia" w:hAnsi="宋体" w:cs="宋体"/>
                <w:b/>
                <w:bCs/>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26" w:type="dxa"/>
            <w:vAlign w:val="center"/>
          </w:tcPr>
          <w:p>
            <w:pPr>
              <w:spacing w:line="360" w:lineRule="auto"/>
              <w:jc w:val="center"/>
              <w:rPr>
                <w:rFonts w:hAnsi="宋体" w:cs="宋体"/>
                <w:b/>
                <w:szCs w:val="24"/>
                <w:highlight w:val="none"/>
              </w:rPr>
            </w:pPr>
            <w:r>
              <w:rPr>
                <w:rFonts w:hint="eastAsia" w:hAnsi="宋体" w:cs="宋体"/>
                <w:b/>
                <w:szCs w:val="24"/>
                <w:highlight w:val="none"/>
              </w:rPr>
              <w:t>磋商</w:t>
            </w:r>
          </w:p>
          <w:p>
            <w:pPr>
              <w:spacing w:line="360" w:lineRule="auto"/>
              <w:jc w:val="center"/>
              <w:rPr>
                <w:rFonts w:hAnsi="宋体" w:cs="宋体"/>
                <w:b/>
                <w:szCs w:val="24"/>
                <w:highlight w:val="none"/>
              </w:rPr>
            </w:pPr>
            <w:r>
              <w:rPr>
                <w:rFonts w:hint="eastAsia" w:hAnsi="宋体" w:cs="宋体"/>
                <w:b/>
                <w:szCs w:val="24"/>
                <w:highlight w:val="none"/>
              </w:rPr>
              <w:t>报价</w:t>
            </w:r>
          </w:p>
        </w:tc>
        <w:tc>
          <w:tcPr>
            <w:tcW w:w="1056" w:type="dxa"/>
            <w:vAlign w:val="center"/>
          </w:tcPr>
          <w:p>
            <w:pPr>
              <w:snapToGrid w:val="0"/>
              <w:spacing w:line="360" w:lineRule="auto"/>
              <w:jc w:val="center"/>
              <w:rPr>
                <w:rFonts w:hAnsi="宋体" w:cs="宋体"/>
                <w:b/>
                <w:szCs w:val="24"/>
                <w:highlight w:val="none"/>
              </w:rPr>
            </w:pPr>
            <w:r>
              <w:rPr>
                <w:rFonts w:hint="eastAsia" w:hAnsi="宋体" w:cs="宋体"/>
                <w:b/>
                <w:szCs w:val="24"/>
                <w:highlight w:val="none"/>
              </w:rPr>
              <w:t>10分</w:t>
            </w:r>
          </w:p>
        </w:tc>
        <w:tc>
          <w:tcPr>
            <w:tcW w:w="5911" w:type="dxa"/>
            <w:vAlign w:val="center"/>
          </w:tcPr>
          <w:p>
            <w:pPr>
              <w:snapToGrid w:val="0"/>
              <w:spacing w:line="360" w:lineRule="auto"/>
              <w:rPr>
                <w:rFonts w:hAnsi="宋体" w:cs="宋体"/>
                <w:szCs w:val="24"/>
                <w:highlight w:val="none"/>
              </w:rPr>
            </w:pPr>
            <w:r>
              <w:rPr>
                <w:rFonts w:hint="eastAsia" w:hAnsi="宋体" w:cs="宋体"/>
                <w:szCs w:val="24"/>
                <w:highlight w:val="none"/>
              </w:rPr>
              <w:t xml:space="preserve">价格分采用低价优先法计算，即满足招标文件要求且价格最低报价的为评标基准价，其价格分为满分。其他投标单位的价格分按照以下公式计算：投标报价得分= (评标基准价／投标报价)×价格权值×100 </w:t>
            </w:r>
          </w:p>
          <w:p>
            <w:pPr>
              <w:snapToGrid w:val="0"/>
              <w:spacing w:line="360" w:lineRule="auto"/>
              <w:rPr>
                <w:rFonts w:hAnsi="宋体" w:cs="宋体"/>
                <w:szCs w:val="24"/>
                <w:highlight w:val="none"/>
              </w:rPr>
            </w:pPr>
            <w:r>
              <w:rPr>
                <w:rFonts w:hint="eastAsia" w:hAnsi="宋体" w:cs="宋体"/>
                <w:szCs w:val="24"/>
                <w:highlight w:val="none"/>
              </w:rPr>
              <w:t>（根据《财政部关于进一步加大政府采购支持中小企业力度的通知》（财库〔2022〕19号）的相关规定，对小型和微型企业、监狱企业的价格给予10%的扣除，用扣除后的价格参与评审。）</w:t>
            </w:r>
          </w:p>
        </w:tc>
        <w:tc>
          <w:tcPr>
            <w:tcW w:w="887" w:type="dxa"/>
            <w:vAlign w:val="center"/>
          </w:tcPr>
          <w:p>
            <w:pPr>
              <w:snapToGrid w:val="0"/>
              <w:spacing w:line="360" w:lineRule="auto"/>
              <w:jc w:val="center"/>
              <w:rPr>
                <w:rFonts w:hAnsi="宋体" w:cs="宋体"/>
                <w:b/>
                <w:bCs/>
                <w:szCs w:val="24"/>
                <w:highlight w:val="none"/>
              </w:rPr>
            </w:pPr>
            <w:r>
              <w:rPr>
                <w:rFonts w:hint="eastAsia" w:hAnsi="宋体" w:cs="宋体"/>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26" w:type="dxa"/>
            <w:vMerge w:val="restart"/>
            <w:vAlign w:val="center"/>
          </w:tcPr>
          <w:p>
            <w:pPr>
              <w:spacing w:line="360" w:lineRule="auto"/>
              <w:jc w:val="center"/>
              <w:rPr>
                <w:rFonts w:hAnsi="宋体" w:cs="宋体"/>
                <w:b/>
                <w:szCs w:val="24"/>
                <w:highlight w:val="none"/>
              </w:rPr>
            </w:pPr>
            <w:r>
              <w:rPr>
                <w:rFonts w:hint="eastAsia" w:hAnsi="宋体" w:cs="宋体"/>
                <w:b/>
                <w:szCs w:val="24"/>
                <w:highlight w:val="none"/>
              </w:rPr>
              <w:t>技术</w:t>
            </w:r>
          </w:p>
          <w:p>
            <w:pPr>
              <w:spacing w:line="360" w:lineRule="auto"/>
              <w:jc w:val="center"/>
              <w:rPr>
                <w:rFonts w:hAnsi="宋体" w:cs="宋体"/>
                <w:b/>
                <w:szCs w:val="24"/>
                <w:highlight w:val="none"/>
              </w:rPr>
            </w:pPr>
            <w:r>
              <w:rPr>
                <w:rFonts w:hint="eastAsia" w:hAnsi="宋体" w:cs="宋体"/>
                <w:b/>
                <w:szCs w:val="24"/>
                <w:highlight w:val="none"/>
              </w:rPr>
              <w:t>方案</w:t>
            </w:r>
          </w:p>
        </w:tc>
        <w:tc>
          <w:tcPr>
            <w:tcW w:w="1056" w:type="dxa"/>
            <w:vMerge w:val="restart"/>
            <w:vAlign w:val="center"/>
          </w:tcPr>
          <w:p>
            <w:pPr>
              <w:snapToGrid w:val="0"/>
              <w:spacing w:line="360" w:lineRule="auto"/>
              <w:jc w:val="center"/>
              <w:rPr>
                <w:rFonts w:hAnsi="宋体" w:cs="宋体"/>
                <w:b/>
                <w:bCs/>
                <w:szCs w:val="24"/>
                <w:highlight w:val="none"/>
              </w:rPr>
            </w:pPr>
            <w:r>
              <w:rPr>
                <w:rFonts w:hint="eastAsia" w:hAnsi="宋体" w:cs="宋体"/>
                <w:b/>
                <w:bCs/>
                <w:szCs w:val="24"/>
                <w:highlight w:val="none"/>
              </w:rPr>
              <w:t>40分</w:t>
            </w:r>
          </w:p>
        </w:tc>
        <w:tc>
          <w:tcPr>
            <w:tcW w:w="5911" w:type="dxa"/>
            <w:vAlign w:val="center"/>
          </w:tcPr>
          <w:p>
            <w:pPr>
              <w:pStyle w:val="33"/>
              <w:numPr>
                <w:ilvl w:val="0"/>
                <w:numId w:val="0"/>
              </w:numPr>
              <w:spacing w:line="360" w:lineRule="auto"/>
              <w:ind w:leftChars="0"/>
              <w:jc w:val="left"/>
              <w:rPr>
                <w:rFonts w:hAnsi="宋体" w:cs="宋体"/>
                <w:szCs w:val="24"/>
                <w:highlight w:val="none"/>
              </w:rPr>
            </w:pPr>
            <w:r>
              <w:rPr>
                <w:rFonts w:hint="eastAsia" w:hAnsi="宋体" w:cs="宋体"/>
                <w:szCs w:val="24"/>
                <w:highlight w:val="none"/>
                <w:lang w:val="en-US" w:eastAsia="zh-CN"/>
              </w:rPr>
              <w:t>1、</w:t>
            </w:r>
            <w:r>
              <w:rPr>
                <w:rFonts w:hint="eastAsia" w:hAnsi="宋体" w:cs="宋体"/>
                <w:szCs w:val="24"/>
                <w:highlight w:val="none"/>
              </w:rPr>
              <w:t>提供的技术服务方案及保证措施符合实际需求，对整体项目理解透彻，提供完整的服务方案，对医院现有的网络架构、安全现状作出分析；</w:t>
            </w:r>
          </w:p>
          <w:p>
            <w:pPr>
              <w:spacing w:line="360" w:lineRule="auto"/>
              <w:jc w:val="left"/>
              <w:rPr>
                <w:rFonts w:hAnsi="宋体" w:cs="宋体"/>
                <w:szCs w:val="24"/>
                <w:highlight w:val="none"/>
              </w:rPr>
            </w:pPr>
            <w:r>
              <w:rPr>
                <w:rFonts w:hint="eastAsia" w:hAnsi="宋体" w:cs="宋体"/>
                <w:szCs w:val="24"/>
                <w:highlight w:val="none"/>
              </w:rPr>
              <w:t>对整体项目理解透彻，方案科学完善、合理详细，目标明确、针对性强，符合用户实际得【10-15分】。</w:t>
            </w:r>
          </w:p>
          <w:p>
            <w:pPr>
              <w:spacing w:line="360" w:lineRule="auto"/>
              <w:jc w:val="left"/>
              <w:rPr>
                <w:rFonts w:hAnsi="宋体" w:cs="宋体"/>
                <w:szCs w:val="24"/>
                <w:highlight w:val="none"/>
              </w:rPr>
            </w:pPr>
            <w:r>
              <w:rPr>
                <w:rFonts w:hint="eastAsia" w:hAnsi="宋体" w:cs="宋体"/>
                <w:szCs w:val="24"/>
                <w:highlight w:val="none"/>
              </w:rPr>
              <w:t>对整体项目基本理解，有明确的方案，且基本合理，但条理性不强，方案可操作性不足得【5-10分】。</w:t>
            </w:r>
          </w:p>
          <w:p>
            <w:pPr>
              <w:spacing w:line="360" w:lineRule="auto"/>
              <w:jc w:val="left"/>
              <w:rPr>
                <w:rFonts w:hAnsi="宋体" w:cs="宋体"/>
                <w:szCs w:val="24"/>
                <w:highlight w:val="none"/>
              </w:rPr>
            </w:pPr>
            <w:r>
              <w:rPr>
                <w:rFonts w:hint="eastAsia" w:hAnsi="宋体" w:cs="宋体"/>
                <w:szCs w:val="24"/>
                <w:highlight w:val="none"/>
              </w:rPr>
              <w:t>对整体项目不理解，方案不合理、语焉不详得【0-5分】。</w:t>
            </w:r>
          </w:p>
          <w:p>
            <w:pPr>
              <w:spacing w:line="360" w:lineRule="auto"/>
              <w:jc w:val="left"/>
              <w:rPr>
                <w:rFonts w:hAnsi="宋体" w:cs="宋体"/>
                <w:szCs w:val="24"/>
                <w:highlight w:val="none"/>
              </w:rPr>
            </w:pPr>
            <w:r>
              <w:rPr>
                <w:rFonts w:hint="eastAsia" w:hAnsi="宋体" w:cs="宋体"/>
                <w:szCs w:val="24"/>
                <w:highlight w:val="none"/>
              </w:rPr>
              <w:t>未提供不得分。</w:t>
            </w:r>
          </w:p>
        </w:tc>
        <w:tc>
          <w:tcPr>
            <w:tcW w:w="887" w:type="dxa"/>
            <w:vAlign w:val="center"/>
          </w:tcPr>
          <w:p>
            <w:pPr>
              <w:snapToGrid w:val="0"/>
              <w:spacing w:line="360" w:lineRule="auto"/>
              <w:jc w:val="center"/>
              <w:rPr>
                <w:rFonts w:hAnsi="宋体" w:cs="宋体"/>
                <w:szCs w:val="24"/>
                <w:highlight w:val="none"/>
              </w:rPr>
            </w:pPr>
            <w:r>
              <w:rPr>
                <w:rFonts w:hint="eastAsia" w:hAnsi="宋体" w:cs="宋体"/>
                <w:szCs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26" w:type="dxa"/>
            <w:vMerge w:val="continue"/>
            <w:vAlign w:val="center"/>
          </w:tcPr>
          <w:p>
            <w:pPr>
              <w:spacing w:line="360" w:lineRule="auto"/>
              <w:jc w:val="center"/>
              <w:rPr>
                <w:rFonts w:hAnsi="宋体" w:cs="宋体"/>
                <w:b/>
                <w:szCs w:val="24"/>
                <w:highlight w:val="none"/>
              </w:rPr>
            </w:pPr>
          </w:p>
        </w:tc>
        <w:tc>
          <w:tcPr>
            <w:tcW w:w="1056" w:type="dxa"/>
            <w:vMerge w:val="continue"/>
            <w:vAlign w:val="center"/>
          </w:tcPr>
          <w:p>
            <w:pPr>
              <w:snapToGrid w:val="0"/>
              <w:spacing w:line="360" w:lineRule="auto"/>
              <w:jc w:val="center"/>
              <w:rPr>
                <w:rFonts w:hAnsi="宋体" w:cs="宋体"/>
                <w:b/>
                <w:bCs/>
                <w:szCs w:val="24"/>
                <w:highlight w:val="none"/>
              </w:rPr>
            </w:pPr>
          </w:p>
        </w:tc>
        <w:tc>
          <w:tcPr>
            <w:tcW w:w="5911" w:type="dxa"/>
            <w:vAlign w:val="center"/>
          </w:tcPr>
          <w:p>
            <w:pPr>
              <w:pStyle w:val="33"/>
              <w:numPr>
                <w:ilvl w:val="0"/>
                <w:numId w:val="0"/>
              </w:numPr>
              <w:spacing w:line="360" w:lineRule="auto"/>
              <w:ind w:leftChars="0"/>
              <w:jc w:val="left"/>
              <w:rPr>
                <w:rFonts w:hAnsi="宋体" w:cs="宋体"/>
                <w:szCs w:val="24"/>
                <w:highlight w:val="none"/>
              </w:rPr>
            </w:pPr>
            <w:r>
              <w:rPr>
                <w:rFonts w:hint="eastAsia" w:hAnsi="宋体" w:cs="宋体"/>
                <w:szCs w:val="24"/>
                <w:highlight w:val="none"/>
                <w:lang w:val="en-US" w:eastAsia="zh-CN"/>
              </w:rPr>
              <w:t>2、</w:t>
            </w:r>
            <w:r>
              <w:rPr>
                <w:rFonts w:hint="eastAsia" w:hAnsi="宋体" w:cs="宋体"/>
                <w:szCs w:val="24"/>
                <w:highlight w:val="none"/>
              </w:rPr>
              <w:t>项目施工及管理技术方案合理可行，对服务产品的供货、安装调试组织措施完善，并针对本项目特点做出合理计划及调配，由专业的技术人员提供安装服务，并帮助操作人员将服务产品调试到最佳使用状态，能保证产品的顺利使用。根据其响应程度计0-10分。</w:t>
            </w:r>
          </w:p>
        </w:tc>
        <w:tc>
          <w:tcPr>
            <w:tcW w:w="887" w:type="dxa"/>
            <w:vAlign w:val="center"/>
          </w:tcPr>
          <w:p>
            <w:pPr>
              <w:snapToGrid w:val="0"/>
              <w:spacing w:line="360" w:lineRule="auto"/>
              <w:jc w:val="center"/>
              <w:rPr>
                <w:rFonts w:hAnsi="宋体" w:cs="宋体"/>
                <w:szCs w:val="24"/>
                <w:highlight w:val="none"/>
              </w:rPr>
            </w:pPr>
            <w:r>
              <w:rPr>
                <w:rFonts w:hint="eastAsia" w:hAnsi="宋体" w:cs="宋体"/>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26" w:type="dxa"/>
            <w:vMerge w:val="continue"/>
            <w:vAlign w:val="center"/>
          </w:tcPr>
          <w:p>
            <w:pPr>
              <w:spacing w:line="360" w:lineRule="auto"/>
              <w:jc w:val="center"/>
              <w:rPr>
                <w:rFonts w:hAnsi="宋体" w:cs="宋体"/>
                <w:b/>
                <w:szCs w:val="24"/>
                <w:highlight w:val="none"/>
              </w:rPr>
            </w:pPr>
          </w:p>
        </w:tc>
        <w:tc>
          <w:tcPr>
            <w:tcW w:w="1056" w:type="dxa"/>
            <w:vMerge w:val="continue"/>
            <w:vAlign w:val="center"/>
          </w:tcPr>
          <w:p>
            <w:pPr>
              <w:snapToGrid w:val="0"/>
              <w:spacing w:line="360" w:lineRule="auto"/>
              <w:jc w:val="center"/>
              <w:rPr>
                <w:rFonts w:hAnsi="宋体" w:cs="宋体"/>
                <w:b/>
                <w:bCs/>
                <w:szCs w:val="24"/>
                <w:highlight w:val="none"/>
              </w:rPr>
            </w:pPr>
          </w:p>
        </w:tc>
        <w:tc>
          <w:tcPr>
            <w:tcW w:w="5911" w:type="dxa"/>
            <w:vAlign w:val="center"/>
          </w:tcPr>
          <w:p>
            <w:pPr>
              <w:pStyle w:val="33"/>
              <w:numPr>
                <w:ilvl w:val="0"/>
                <w:numId w:val="0"/>
              </w:numPr>
              <w:spacing w:line="360" w:lineRule="auto"/>
              <w:jc w:val="left"/>
              <w:rPr>
                <w:rFonts w:hint="eastAsia" w:hAnsi="宋体" w:cs="宋体"/>
                <w:szCs w:val="24"/>
                <w:highlight w:val="none"/>
              </w:rPr>
            </w:pPr>
            <w:r>
              <w:rPr>
                <w:rFonts w:hint="eastAsia" w:hAnsi="宋体" w:cs="宋体"/>
                <w:szCs w:val="24"/>
                <w:highlight w:val="none"/>
                <w:lang w:val="en-US" w:eastAsia="zh-CN"/>
              </w:rPr>
              <w:t>3、</w:t>
            </w:r>
            <w:r>
              <w:rPr>
                <w:rFonts w:hint="eastAsia" w:hAnsi="宋体" w:cs="宋体"/>
                <w:szCs w:val="24"/>
                <w:highlight w:val="none"/>
              </w:rPr>
              <w:t>投标供应商具有详细的质保期及售后服务承诺，磋商小组委根据各供应商售后服务说明，本地售后服务能力，售后保修、维护、售后培训方案，服务响应时间，修复时间等材料的响应程度赋分经横向比对酌情给分。按其响应程度计0～5分</w:t>
            </w:r>
          </w:p>
          <w:p>
            <w:pPr>
              <w:pStyle w:val="33"/>
              <w:numPr>
                <w:ilvl w:val="0"/>
                <w:numId w:val="0"/>
              </w:numPr>
              <w:spacing w:line="360" w:lineRule="auto"/>
              <w:jc w:val="left"/>
              <w:rPr>
                <w:rFonts w:hAnsi="宋体" w:cs="宋体"/>
                <w:szCs w:val="24"/>
                <w:highlight w:val="none"/>
              </w:rPr>
            </w:pPr>
            <w:r>
              <w:rPr>
                <w:rFonts w:hint="eastAsia" w:hAnsi="宋体" w:cs="宋体"/>
                <w:szCs w:val="24"/>
                <w:highlight w:val="none"/>
                <w:lang w:val="en-US" w:eastAsia="zh-CN"/>
              </w:rPr>
              <w:t>4、</w:t>
            </w:r>
            <w:r>
              <w:rPr>
                <w:rFonts w:hint="eastAsia" w:hAnsi="宋体" w:cs="宋体"/>
                <w:szCs w:val="24"/>
                <w:highlight w:val="none"/>
              </w:rPr>
              <w:t>投标人培训操作人员，并有完整的培训方案，列出详细的培训内容、培训方式等说明。按其响应程度计0～5分。</w:t>
            </w:r>
          </w:p>
        </w:tc>
        <w:tc>
          <w:tcPr>
            <w:tcW w:w="887" w:type="dxa"/>
            <w:vAlign w:val="center"/>
          </w:tcPr>
          <w:p>
            <w:pPr>
              <w:snapToGrid w:val="0"/>
              <w:spacing w:line="360" w:lineRule="auto"/>
              <w:jc w:val="center"/>
              <w:rPr>
                <w:rFonts w:hAnsi="宋体" w:cs="宋体"/>
                <w:szCs w:val="24"/>
                <w:highlight w:val="none"/>
              </w:rPr>
            </w:pPr>
            <w:r>
              <w:rPr>
                <w:rFonts w:hint="eastAsia" w:hAnsi="宋体" w:cs="宋体"/>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26" w:type="dxa"/>
            <w:vMerge w:val="continue"/>
            <w:vAlign w:val="center"/>
          </w:tcPr>
          <w:p>
            <w:pPr>
              <w:spacing w:line="360" w:lineRule="auto"/>
              <w:jc w:val="center"/>
              <w:rPr>
                <w:rFonts w:hAnsi="宋体" w:cs="宋体"/>
                <w:b/>
                <w:szCs w:val="24"/>
                <w:highlight w:val="none"/>
              </w:rPr>
            </w:pPr>
          </w:p>
        </w:tc>
        <w:tc>
          <w:tcPr>
            <w:tcW w:w="1056" w:type="dxa"/>
            <w:vMerge w:val="continue"/>
            <w:vAlign w:val="center"/>
          </w:tcPr>
          <w:p>
            <w:pPr>
              <w:snapToGrid w:val="0"/>
              <w:spacing w:line="360" w:lineRule="auto"/>
              <w:jc w:val="center"/>
              <w:rPr>
                <w:rFonts w:hAnsi="宋体" w:cs="宋体"/>
                <w:b/>
                <w:bCs/>
                <w:szCs w:val="24"/>
                <w:highlight w:val="none"/>
              </w:rPr>
            </w:pPr>
          </w:p>
        </w:tc>
        <w:tc>
          <w:tcPr>
            <w:tcW w:w="5911" w:type="dxa"/>
            <w:vAlign w:val="center"/>
          </w:tcPr>
          <w:p>
            <w:pPr>
              <w:pStyle w:val="33"/>
              <w:numPr>
                <w:ilvl w:val="0"/>
                <w:numId w:val="0"/>
              </w:numPr>
              <w:spacing w:line="360" w:lineRule="auto"/>
              <w:ind w:leftChars="0"/>
              <w:jc w:val="left"/>
              <w:rPr>
                <w:rFonts w:hAnsi="宋体" w:cs="宋体"/>
                <w:szCs w:val="24"/>
                <w:highlight w:val="none"/>
              </w:rPr>
            </w:pPr>
            <w:r>
              <w:rPr>
                <w:rFonts w:hint="eastAsia" w:hAnsi="宋体" w:cs="宋体"/>
                <w:szCs w:val="24"/>
                <w:highlight w:val="none"/>
                <w:lang w:val="en-US" w:eastAsia="zh-CN"/>
              </w:rPr>
              <w:t>5、</w:t>
            </w:r>
            <w:r>
              <w:rPr>
                <w:rFonts w:hint="eastAsia" w:hAnsi="宋体" w:cs="宋体"/>
                <w:szCs w:val="24"/>
                <w:highlight w:val="none"/>
              </w:rPr>
              <w:t>需提供服务期间医院的应急响应服务，需提供应急响应保障方案和人员，按照提供的应急响应保障方案、应急响应时效、应急响应方法、恢复时间等情况进行横向对比酌情给分。按其响应程度计0～5分</w:t>
            </w:r>
          </w:p>
        </w:tc>
        <w:tc>
          <w:tcPr>
            <w:tcW w:w="887" w:type="dxa"/>
            <w:vAlign w:val="center"/>
          </w:tcPr>
          <w:p>
            <w:pPr>
              <w:snapToGrid w:val="0"/>
              <w:spacing w:line="360" w:lineRule="auto"/>
              <w:jc w:val="center"/>
              <w:rPr>
                <w:rFonts w:hAnsi="宋体" w:cs="宋体"/>
                <w:szCs w:val="24"/>
                <w:highlight w:val="none"/>
              </w:rPr>
            </w:pPr>
            <w:r>
              <w:rPr>
                <w:rFonts w:hint="eastAsia" w:hAnsi="宋体" w:cs="宋体"/>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26" w:type="dxa"/>
            <w:vAlign w:val="center"/>
          </w:tcPr>
          <w:p>
            <w:pPr>
              <w:spacing w:line="360" w:lineRule="auto"/>
              <w:jc w:val="center"/>
              <w:rPr>
                <w:rFonts w:hAnsi="宋体" w:cs="宋体"/>
                <w:b/>
                <w:szCs w:val="24"/>
                <w:highlight w:val="none"/>
              </w:rPr>
            </w:pPr>
            <w:r>
              <w:rPr>
                <w:rFonts w:hint="eastAsia" w:hAnsi="宋体" w:cs="宋体"/>
                <w:b/>
                <w:szCs w:val="24"/>
                <w:highlight w:val="none"/>
              </w:rPr>
              <w:t>技术</w:t>
            </w:r>
          </w:p>
          <w:p>
            <w:pPr>
              <w:spacing w:line="360" w:lineRule="auto"/>
              <w:jc w:val="center"/>
              <w:rPr>
                <w:rFonts w:hAnsi="宋体" w:cs="宋体"/>
                <w:b/>
                <w:szCs w:val="24"/>
                <w:highlight w:val="none"/>
              </w:rPr>
            </w:pPr>
            <w:r>
              <w:rPr>
                <w:rFonts w:hint="eastAsia" w:hAnsi="宋体" w:cs="宋体"/>
                <w:b/>
                <w:szCs w:val="24"/>
                <w:highlight w:val="none"/>
              </w:rPr>
              <w:t>指标</w:t>
            </w:r>
          </w:p>
        </w:tc>
        <w:tc>
          <w:tcPr>
            <w:tcW w:w="1056" w:type="dxa"/>
            <w:vAlign w:val="center"/>
          </w:tcPr>
          <w:p>
            <w:pPr>
              <w:snapToGrid w:val="0"/>
              <w:spacing w:line="360" w:lineRule="auto"/>
              <w:jc w:val="center"/>
              <w:rPr>
                <w:rFonts w:hAnsi="宋体" w:cs="宋体"/>
                <w:b/>
                <w:bCs/>
                <w:szCs w:val="24"/>
                <w:highlight w:val="none"/>
              </w:rPr>
            </w:pPr>
            <w:r>
              <w:rPr>
                <w:rFonts w:hint="eastAsia" w:hAnsi="宋体" w:cs="宋体"/>
                <w:b/>
                <w:bCs/>
                <w:szCs w:val="24"/>
                <w:highlight w:val="none"/>
              </w:rPr>
              <w:t>20分</w:t>
            </w:r>
          </w:p>
        </w:tc>
        <w:tc>
          <w:tcPr>
            <w:tcW w:w="5911" w:type="dxa"/>
            <w:vAlign w:val="center"/>
          </w:tcPr>
          <w:p>
            <w:pPr>
              <w:spacing w:line="360" w:lineRule="auto"/>
              <w:jc w:val="left"/>
              <w:rPr>
                <w:rFonts w:hAnsi="宋体" w:cs="宋体"/>
                <w:szCs w:val="24"/>
                <w:highlight w:val="none"/>
              </w:rPr>
            </w:pPr>
            <w:r>
              <w:rPr>
                <w:rFonts w:hint="eastAsia" w:hAnsi="宋体" w:cs="宋体"/>
                <w:szCs w:val="24"/>
                <w:highlight w:val="none"/>
              </w:rPr>
              <w:t>保证所提供的服务和产品技术参数与功能选型能够满足技术需求，提供相应证明材料，★项每项不满足扣2分，，非★项每项不满足扣1分，扣完为止。（佐证材料包含但不限于检测报告、网页截图、产品彩页等）</w:t>
            </w:r>
          </w:p>
        </w:tc>
        <w:tc>
          <w:tcPr>
            <w:tcW w:w="887" w:type="dxa"/>
            <w:vAlign w:val="center"/>
          </w:tcPr>
          <w:p>
            <w:pPr>
              <w:snapToGrid w:val="0"/>
              <w:spacing w:line="360" w:lineRule="auto"/>
              <w:jc w:val="center"/>
              <w:rPr>
                <w:rFonts w:hAnsi="宋体" w:cs="宋体"/>
                <w:szCs w:val="24"/>
                <w:highlight w:val="none"/>
              </w:rPr>
            </w:pPr>
            <w:r>
              <w:rPr>
                <w:rFonts w:hint="eastAsia" w:hAnsi="宋体" w:cs="宋体"/>
                <w:szCs w:val="24"/>
                <w:highlight w:val="none"/>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jc w:val="center"/>
        </w:trPr>
        <w:tc>
          <w:tcPr>
            <w:tcW w:w="1326" w:type="dxa"/>
            <w:vMerge w:val="restart"/>
            <w:vAlign w:val="center"/>
          </w:tcPr>
          <w:p>
            <w:pPr>
              <w:spacing w:line="360" w:lineRule="auto"/>
              <w:jc w:val="center"/>
              <w:rPr>
                <w:rFonts w:hAnsi="宋体" w:cs="宋体"/>
                <w:b/>
                <w:bCs/>
                <w:szCs w:val="24"/>
                <w:highlight w:val="none"/>
              </w:rPr>
            </w:pPr>
            <w:r>
              <w:rPr>
                <w:rFonts w:hint="eastAsia" w:hAnsi="宋体" w:cs="宋体"/>
                <w:b/>
                <w:bCs/>
                <w:szCs w:val="24"/>
                <w:highlight w:val="none"/>
              </w:rPr>
              <w:t>质量</w:t>
            </w:r>
          </w:p>
          <w:p>
            <w:pPr>
              <w:spacing w:line="360" w:lineRule="auto"/>
              <w:jc w:val="center"/>
              <w:rPr>
                <w:rFonts w:hAnsi="宋体" w:cs="宋体"/>
                <w:b/>
                <w:szCs w:val="24"/>
                <w:highlight w:val="none"/>
              </w:rPr>
            </w:pPr>
            <w:r>
              <w:rPr>
                <w:rFonts w:hint="eastAsia" w:hAnsi="宋体" w:cs="宋体"/>
                <w:b/>
                <w:bCs/>
                <w:szCs w:val="24"/>
                <w:highlight w:val="none"/>
              </w:rPr>
              <w:t>保证</w:t>
            </w:r>
          </w:p>
        </w:tc>
        <w:tc>
          <w:tcPr>
            <w:tcW w:w="1056" w:type="dxa"/>
            <w:vAlign w:val="center"/>
          </w:tcPr>
          <w:p>
            <w:pPr>
              <w:snapToGrid w:val="0"/>
              <w:spacing w:line="360" w:lineRule="auto"/>
              <w:jc w:val="center"/>
              <w:rPr>
                <w:rFonts w:hAnsi="宋体" w:cs="宋体"/>
                <w:b/>
                <w:bCs/>
                <w:szCs w:val="24"/>
                <w:highlight w:val="none"/>
              </w:rPr>
            </w:pPr>
            <w:r>
              <w:rPr>
                <w:rFonts w:hint="eastAsia" w:hAnsi="宋体" w:cs="宋体"/>
                <w:b/>
                <w:bCs/>
                <w:szCs w:val="24"/>
                <w:highlight w:val="none"/>
                <w:lang w:val="en-US" w:eastAsia="zh-CN"/>
              </w:rPr>
              <w:t>6</w:t>
            </w:r>
            <w:r>
              <w:rPr>
                <w:rFonts w:hint="eastAsia" w:hAnsi="宋体" w:cs="宋体"/>
                <w:b/>
                <w:bCs/>
                <w:szCs w:val="24"/>
                <w:highlight w:val="none"/>
              </w:rPr>
              <w:t>分</w:t>
            </w:r>
          </w:p>
        </w:tc>
        <w:tc>
          <w:tcPr>
            <w:tcW w:w="5911" w:type="dxa"/>
            <w:vAlign w:val="center"/>
          </w:tcPr>
          <w:p>
            <w:pPr>
              <w:spacing w:line="360" w:lineRule="auto"/>
              <w:jc w:val="left"/>
              <w:rPr>
                <w:rFonts w:hAnsi="宋体" w:cs="宋体"/>
                <w:szCs w:val="24"/>
                <w:highlight w:val="none"/>
              </w:rPr>
            </w:pPr>
            <w:r>
              <w:rPr>
                <w:rFonts w:hint="eastAsia" w:hAnsi="宋体" w:cs="宋体"/>
                <w:szCs w:val="24"/>
                <w:highlight w:val="none"/>
              </w:rPr>
              <w:t>产品质量可靠，提供产品来源渠道合法的证明文件，包含但不限于原厂授权，产品白皮书、检测报告、销售许可证等证明材料。</w:t>
            </w:r>
          </w:p>
          <w:p>
            <w:pPr>
              <w:spacing w:line="360" w:lineRule="auto"/>
              <w:jc w:val="left"/>
              <w:rPr>
                <w:rFonts w:hAnsi="宋体" w:cs="宋体"/>
                <w:szCs w:val="24"/>
                <w:highlight w:val="none"/>
              </w:rPr>
            </w:pPr>
            <w:r>
              <w:rPr>
                <w:rFonts w:hint="eastAsia" w:hAnsi="宋体" w:cs="宋体"/>
                <w:szCs w:val="24"/>
                <w:highlight w:val="none"/>
              </w:rPr>
              <w:t>产品货源渠道清晰，产品授权齐全。技术资料齐全，备品、配件供应有保障，零配件供应充足、及时依据响应程度计【</w:t>
            </w:r>
            <w:r>
              <w:rPr>
                <w:rFonts w:hint="eastAsia" w:hAnsi="宋体" w:cs="宋体"/>
                <w:szCs w:val="24"/>
                <w:highlight w:val="none"/>
                <w:lang w:val="en-US" w:eastAsia="zh-CN"/>
              </w:rPr>
              <w:t>0</w:t>
            </w:r>
            <w:r>
              <w:rPr>
                <w:rFonts w:hint="eastAsia" w:hAnsi="宋体" w:cs="宋体"/>
                <w:szCs w:val="24"/>
                <w:highlight w:val="none"/>
              </w:rPr>
              <w:t>-</w:t>
            </w:r>
            <w:r>
              <w:rPr>
                <w:rFonts w:hint="eastAsia" w:hAnsi="宋体" w:cs="宋体"/>
                <w:szCs w:val="24"/>
                <w:highlight w:val="none"/>
                <w:lang w:val="en-US" w:eastAsia="zh-CN"/>
              </w:rPr>
              <w:t>6</w:t>
            </w:r>
            <w:r>
              <w:rPr>
                <w:rFonts w:hint="eastAsia" w:hAnsi="宋体" w:cs="宋体"/>
                <w:szCs w:val="24"/>
                <w:highlight w:val="none"/>
              </w:rPr>
              <w:t>分】，未提供不得分。</w:t>
            </w:r>
          </w:p>
        </w:tc>
        <w:tc>
          <w:tcPr>
            <w:tcW w:w="887" w:type="dxa"/>
            <w:vAlign w:val="center"/>
          </w:tcPr>
          <w:p>
            <w:pPr>
              <w:snapToGrid w:val="0"/>
              <w:spacing w:line="360" w:lineRule="auto"/>
              <w:jc w:val="center"/>
              <w:rPr>
                <w:rFonts w:hAnsi="宋体" w:cs="宋体"/>
                <w:szCs w:val="24"/>
                <w:highlight w:val="none"/>
              </w:rPr>
            </w:pPr>
            <w:r>
              <w:rPr>
                <w:rFonts w:hint="eastAsia" w:hAnsi="宋体" w:cs="宋体"/>
                <w:szCs w:val="24"/>
                <w:highlight w:val="none"/>
                <w:lang w:val="en-US" w:eastAsia="zh-CN"/>
              </w:rPr>
              <w:t>6</w:t>
            </w:r>
            <w:r>
              <w:rPr>
                <w:rFonts w:hint="eastAsia" w:hAnsi="宋体" w:cs="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6" w:type="dxa"/>
            <w:vMerge w:val="continue"/>
            <w:vAlign w:val="center"/>
          </w:tcPr>
          <w:p>
            <w:pPr>
              <w:spacing w:line="360" w:lineRule="auto"/>
              <w:jc w:val="center"/>
              <w:rPr>
                <w:rFonts w:hAnsi="宋体" w:cs="宋体"/>
                <w:b/>
                <w:bCs/>
                <w:szCs w:val="24"/>
                <w:highlight w:val="none"/>
              </w:rPr>
            </w:pPr>
          </w:p>
        </w:tc>
        <w:tc>
          <w:tcPr>
            <w:tcW w:w="1056" w:type="dxa"/>
            <w:vAlign w:val="center"/>
          </w:tcPr>
          <w:p>
            <w:pPr>
              <w:snapToGrid w:val="0"/>
              <w:spacing w:line="360" w:lineRule="auto"/>
              <w:jc w:val="center"/>
              <w:rPr>
                <w:rFonts w:hAnsi="宋体" w:cs="宋体"/>
                <w:b/>
                <w:bCs/>
                <w:szCs w:val="24"/>
                <w:highlight w:val="none"/>
              </w:rPr>
            </w:pPr>
            <w:r>
              <w:rPr>
                <w:rFonts w:hint="eastAsia" w:hAnsi="宋体" w:cs="宋体"/>
                <w:b/>
                <w:bCs/>
                <w:szCs w:val="24"/>
                <w:highlight w:val="none"/>
                <w:lang w:val="en-US" w:eastAsia="zh-CN"/>
              </w:rPr>
              <w:t>5</w:t>
            </w:r>
            <w:r>
              <w:rPr>
                <w:rFonts w:hint="eastAsia" w:hAnsi="宋体" w:cs="宋体"/>
                <w:b/>
                <w:bCs/>
                <w:szCs w:val="24"/>
                <w:highlight w:val="none"/>
              </w:rPr>
              <w:t>分</w:t>
            </w:r>
          </w:p>
        </w:tc>
        <w:tc>
          <w:tcPr>
            <w:tcW w:w="5911" w:type="dxa"/>
            <w:vAlign w:val="center"/>
          </w:tcPr>
          <w:p>
            <w:pPr>
              <w:spacing w:line="360" w:lineRule="auto"/>
              <w:jc w:val="left"/>
              <w:rPr>
                <w:rFonts w:hAnsi="宋体" w:cs="宋体"/>
                <w:szCs w:val="24"/>
                <w:highlight w:val="none"/>
              </w:rPr>
            </w:pPr>
            <w:r>
              <w:rPr>
                <w:rFonts w:hint="eastAsia" w:hAnsi="宋体" w:cs="宋体"/>
                <w:szCs w:val="24"/>
                <w:highlight w:val="none"/>
              </w:rPr>
              <w:t>服务提供商具有强有力的本地安全服务能力和团队，提供安全服务方案和能力证明资料，按其响应程度计分。【0-</w:t>
            </w:r>
            <w:r>
              <w:rPr>
                <w:rFonts w:hint="eastAsia" w:hAnsi="宋体" w:cs="宋体"/>
                <w:szCs w:val="24"/>
                <w:highlight w:val="none"/>
                <w:lang w:val="en-US" w:eastAsia="zh-CN"/>
              </w:rPr>
              <w:t>5</w:t>
            </w:r>
            <w:r>
              <w:rPr>
                <w:rFonts w:hint="eastAsia" w:hAnsi="宋体" w:cs="宋体"/>
                <w:szCs w:val="24"/>
                <w:highlight w:val="none"/>
              </w:rPr>
              <w:t>分】</w:t>
            </w:r>
          </w:p>
        </w:tc>
        <w:tc>
          <w:tcPr>
            <w:tcW w:w="887" w:type="dxa"/>
            <w:vAlign w:val="center"/>
          </w:tcPr>
          <w:p>
            <w:pPr>
              <w:snapToGrid w:val="0"/>
              <w:spacing w:line="360" w:lineRule="auto"/>
              <w:jc w:val="center"/>
              <w:rPr>
                <w:rFonts w:hAnsi="宋体" w:cs="宋体"/>
                <w:szCs w:val="24"/>
                <w:highlight w:val="none"/>
              </w:rPr>
            </w:pPr>
            <w:r>
              <w:rPr>
                <w:rFonts w:hint="eastAsia" w:hAnsi="宋体" w:cs="宋体"/>
                <w:szCs w:val="24"/>
                <w:highlight w:val="none"/>
                <w:lang w:val="en-US" w:eastAsia="zh-CN"/>
              </w:rPr>
              <w:t>5</w:t>
            </w:r>
            <w:r>
              <w:rPr>
                <w:rFonts w:hint="eastAsia" w:hAnsi="宋体" w:cs="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326" w:type="dxa"/>
            <w:vMerge w:val="continue"/>
            <w:vAlign w:val="center"/>
          </w:tcPr>
          <w:p>
            <w:pPr>
              <w:spacing w:line="360" w:lineRule="auto"/>
              <w:jc w:val="center"/>
              <w:rPr>
                <w:rFonts w:hAnsi="宋体" w:cs="宋体"/>
                <w:b/>
                <w:bCs/>
                <w:szCs w:val="24"/>
                <w:highlight w:val="none"/>
              </w:rPr>
            </w:pPr>
          </w:p>
        </w:tc>
        <w:tc>
          <w:tcPr>
            <w:tcW w:w="1056" w:type="dxa"/>
            <w:vAlign w:val="center"/>
          </w:tcPr>
          <w:p>
            <w:pPr>
              <w:snapToGrid w:val="0"/>
              <w:spacing w:line="360" w:lineRule="auto"/>
              <w:jc w:val="center"/>
              <w:rPr>
                <w:rFonts w:hAnsi="宋体" w:cs="宋体"/>
                <w:b/>
                <w:bCs/>
                <w:szCs w:val="24"/>
                <w:highlight w:val="none"/>
              </w:rPr>
            </w:pPr>
            <w:r>
              <w:rPr>
                <w:rFonts w:hint="eastAsia" w:hAnsi="宋体" w:cs="宋体"/>
                <w:b/>
                <w:bCs/>
                <w:szCs w:val="24"/>
                <w:highlight w:val="none"/>
                <w:lang w:val="en-US" w:eastAsia="zh-CN"/>
              </w:rPr>
              <w:t>4</w:t>
            </w:r>
            <w:r>
              <w:rPr>
                <w:rFonts w:hint="eastAsia" w:hAnsi="宋体" w:cs="宋体"/>
                <w:b/>
                <w:bCs/>
                <w:szCs w:val="24"/>
                <w:highlight w:val="none"/>
              </w:rPr>
              <w:t>分</w:t>
            </w:r>
          </w:p>
        </w:tc>
        <w:tc>
          <w:tcPr>
            <w:tcW w:w="5911" w:type="dxa"/>
            <w:vAlign w:val="center"/>
          </w:tcPr>
          <w:p>
            <w:pPr>
              <w:spacing w:line="360" w:lineRule="auto"/>
              <w:jc w:val="left"/>
              <w:rPr>
                <w:rFonts w:hint="eastAsia" w:hAnsi="宋体" w:cs="宋体"/>
                <w:szCs w:val="24"/>
                <w:highlight w:val="none"/>
              </w:rPr>
            </w:pPr>
            <w:r>
              <w:rPr>
                <w:rFonts w:hint="eastAsia" w:hAnsi="宋体" w:cs="宋体"/>
                <w:szCs w:val="24"/>
                <w:highlight w:val="none"/>
                <w:lang w:val="en-US" w:eastAsia="zh-CN"/>
              </w:rPr>
              <w:t>1、</w:t>
            </w:r>
            <w:r>
              <w:rPr>
                <w:rFonts w:hint="eastAsia" w:hAnsi="宋体" w:cs="宋体"/>
                <w:szCs w:val="24"/>
                <w:highlight w:val="none"/>
              </w:rPr>
              <w:t>质保期增加1年加1分。最多加2分。</w:t>
            </w:r>
          </w:p>
          <w:p>
            <w:pPr>
              <w:spacing w:line="360" w:lineRule="auto"/>
              <w:jc w:val="left"/>
              <w:rPr>
                <w:rFonts w:hint="eastAsia" w:hAnsi="宋体" w:eastAsia="宋体" w:cs="宋体"/>
                <w:szCs w:val="24"/>
                <w:highlight w:val="none"/>
                <w:lang w:eastAsia="zh-CN"/>
              </w:rPr>
            </w:pPr>
            <w:r>
              <w:rPr>
                <w:rFonts w:hint="eastAsia" w:hAnsi="宋体" w:cs="宋体"/>
                <w:szCs w:val="24"/>
                <w:highlight w:val="none"/>
                <w:lang w:val="en-US" w:eastAsia="zh-CN"/>
              </w:rPr>
              <w:t>2、</w:t>
            </w:r>
            <w:r>
              <w:rPr>
                <w:rFonts w:hint="eastAsia" w:hAnsi="宋体" w:cs="宋体"/>
                <w:szCs w:val="24"/>
                <w:highlight w:val="none"/>
              </w:rPr>
              <w:t>提供原厂售后服务承诺函的得2分，不提供不得分</w:t>
            </w:r>
            <w:r>
              <w:rPr>
                <w:rFonts w:hint="eastAsia" w:hAnsi="宋体" w:cs="宋体"/>
                <w:szCs w:val="24"/>
                <w:highlight w:val="none"/>
                <w:lang w:eastAsia="zh-CN"/>
              </w:rPr>
              <w:t>。</w:t>
            </w:r>
          </w:p>
        </w:tc>
        <w:tc>
          <w:tcPr>
            <w:tcW w:w="887" w:type="dxa"/>
            <w:vAlign w:val="center"/>
          </w:tcPr>
          <w:p>
            <w:pPr>
              <w:snapToGrid w:val="0"/>
              <w:spacing w:line="360" w:lineRule="auto"/>
              <w:jc w:val="center"/>
              <w:rPr>
                <w:rFonts w:hAnsi="宋体" w:cs="宋体"/>
                <w:szCs w:val="24"/>
                <w:highlight w:val="none"/>
              </w:rPr>
            </w:pPr>
            <w:r>
              <w:rPr>
                <w:rFonts w:hint="eastAsia" w:hAnsi="宋体" w:cs="宋体"/>
                <w:szCs w:val="24"/>
                <w:highlight w:val="none"/>
                <w:lang w:val="en-US" w:eastAsia="zh-CN"/>
              </w:rPr>
              <w:t>4</w:t>
            </w:r>
            <w:r>
              <w:rPr>
                <w:rFonts w:hint="eastAsia" w:hAnsi="宋体" w:cs="宋体"/>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6" w:type="dxa"/>
            <w:vAlign w:val="center"/>
          </w:tcPr>
          <w:p>
            <w:pPr>
              <w:spacing w:line="360" w:lineRule="auto"/>
              <w:jc w:val="center"/>
              <w:rPr>
                <w:rFonts w:hAnsi="宋体" w:cs="宋体"/>
                <w:b/>
                <w:szCs w:val="24"/>
                <w:highlight w:val="none"/>
              </w:rPr>
            </w:pPr>
            <w:r>
              <w:rPr>
                <w:rFonts w:hint="eastAsia" w:hAnsi="宋体" w:cs="宋体"/>
                <w:b/>
                <w:szCs w:val="24"/>
                <w:highlight w:val="none"/>
              </w:rPr>
              <w:t>团队能力</w:t>
            </w:r>
          </w:p>
        </w:tc>
        <w:tc>
          <w:tcPr>
            <w:tcW w:w="1056" w:type="dxa"/>
            <w:vAlign w:val="center"/>
          </w:tcPr>
          <w:p>
            <w:pPr>
              <w:snapToGrid w:val="0"/>
              <w:spacing w:line="360" w:lineRule="auto"/>
              <w:jc w:val="center"/>
              <w:rPr>
                <w:rFonts w:hAnsi="宋体" w:cs="宋体"/>
                <w:b/>
                <w:bCs/>
                <w:szCs w:val="24"/>
                <w:highlight w:val="none"/>
              </w:rPr>
            </w:pPr>
            <w:r>
              <w:rPr>
                <w:rFonts w:hint="eastAsia" w:hAnsi="宋体" w:cs="宋体"/>
                <w:b/>
                <w:bCs/>
                <w:szCs w:val="24"/>
                <w:highlight w:val="none"/>
              </w:rPr>
              <w:t>15分</w:t>
            </w:r>
          </w:p>
        </w:tc>
        <w:tc>
          <w:tcPr>
            <w:tcW w:w="5911" w:type="dxa"/>
            <w:vAlign w:val="center"/>
          </w:tcPr>
          <w:p>
            <w:pPr>
              <w:snapToGrid w:val="0"/>
              <w:spacing w:line="360" w:lineRule="auto"/>
              <w:rPr>
                <w:highlight w:val="none"/>
              </w:rPr>
            </w:pPr>
            <w:r>
              <w:rPr>
                <w:rFonts w:hint="eastAsia"/>
                <w:highlight w:val="none"/>
              </w:rPr>
              <w:t>1、需为本项目配备专业的安全项目经理，项目经理需具有具备丰富的安全从业经验，提供以下证书：CISI证书、CISP、CISP-ICSSE、PMP证书（或软考高级项目经理）、CSA颁发的零信任证书、CCSK资质认证、CISAW 安全运维专业级证书。提供一项加0.5分，最多加3分。2、省内本地技术服务团队不少于5人加1分，不少于10人加2分。</w:t>
            </w:r>
          </w:p>
          <w:p>
            <w:pPr>
              <w:snapToGrid w:val="0"/>
              <w:spacing w:line="360" w:lineRule="auto"/>
              <w:rPr>
                <w:highlight w:val="none"/>
              </w:rPr>
            </w:pPr>
            <w:r>
              <w:rPr>
                <w:rFonts w:hint="eastAsia"/>
                <w:highlight w:val="none"/>
              </w:rPr>
              <w:t>3、服务人员具备PMP证书或CISP证书得加1分，最多加3分，服务人员同时具备PMP证书及CISP证书得加2分，最多加6分。</w:t>
            </w:r>
          </w:p>
          <w:p>
            <w:pPr>
              <w:snapToGrid w:val="0"/>
              <w:spacing w:line="360" w:lineRule="auto"/>
              <w:rPr>
                <w:highlight w:val="none"/>
              </w:rPr>
            </w:pPr>
            <w:r>
              <w:rPr>
                <w:rFonts w:hint="eastAsia"/>
                <w:highlight w:val="none"/>
              </w:rPr>
              <w:t>4、</w:t>
            </w:r>
            <w:r>
              <w:rPr>
                <w:rFonts w:hint="eastAsia" w:hAnsi="宋体" w:cs="宋体"/>
                <w:szCs w:val="24"/>
                <w:highlight w:val="none"/>
              </w:rPr>
              <w:t>为保障项目实施质量，需提供原厂实施服务和应急保障服务，主要安全产品制造商应提供本地安全应急保障人员至少1名，提供高级网络信息安全工程师(NSACE)证书、CISP、CISP-PTE、CISAW证书-应急服务专业级等专业证书认证证明，每提供1项证书加1分，最多加4分。</w:t>
            </w:r>
          </w:p>
        </w:tc>
        <w:tc>
          <w:tcPr>
            <w:tcW w:w="887" w:type="dxa"/>
            <w:vAlign w:val="center"/>
          </w:tcPr>
          <w:p>
            <w:pPr>
              <w:snapToGrid w:val="0"/>
              <w:spacing w:line="360" w:lineRule="auto"/>
              <w:jc w:val="center"/>
              <w:rPr>
                <w:rFonts w:hAnsi="宋体" w:cs="宋体"/>
                <w:szCs w:val="24"/>
                <w:highlight w:val="none"/>
              </w:rPr>
            </w:pPr>
            <w:r>
              <w:rPr>
                <w:rFonts w:hint="eastAsia" w:hAnsi="宋体" w:cs="宋体"/>
                <w:szCs w:val="24"/>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26" w:type="dxa"/>
            <w:vAlign w:val="center"/>
          </w:tcPr>
          <w:p>
            <w:pPr>
              <w:spacing w:line="360" w:lineRule="auto"/>
              <w:jc w:val="center"/>
              <w:rPr>
                <w:rFonts w:hAnsi="宋体" w:cs="宋体"/>
                <w:b/>
                <w:szCs w:val="24"/>
                <w:highlight w:val="none"/>
              </w:rPr>
            </w:pPr>
            <w:r>
              <w:rPr>
                <w:rFonts w:hint="eastAsia" w:hAnsi="宋体" w:cs="宋体"/>
                <w:b/>
                <w:szCs w:val="24"/>
                <w:highlight w:val="none"/>
              </w:rPr>
              <w:t>备注</w:t>
            </w:r>
          </w:p>
        </w:tc>
        <w:tc>
          <w:tcPr>
            <w:tcW w:w="7854" w:type="dxa"/>
            <w:gridSpan w:val="3"/>
          </w:tcPr>
          <w:p>
            <w:pPr>
              <w:spacing w:line="360" w:lineRule="auto"/>
              <w:rPr>
                <w:rFonts w:hAnsi="宋体" w:cs="宋体"/>
                <w:szCs w:val="24"/>
                <w:highlight w:val="none"/>
              </w:rPr>
            </w:pPr>
            <w:r>
              <w:rPr>
                <w:rFonts w:hint="eastAsia" w:hAnsi="宋体" w:cs="宋体"/>
                <w:szCs w:val="24"/>
                <w:highlight w:val="none"/>
              </w:rPr>
              <w:t>1.若出现综合得分并列时，比较最后报价得分，此分项得分高者排序在先；评审得分且最后报价相同的，按照技术指标优劣进行排序，如果还相同，则由全体评委成员无记名投票，以得票高者排序在先。</w:t>
            </w:r>
          </w:p>
          <w:p>
            <w:pPr>
              <w:spacing w:line="360" w:lineRule="auto"/>
              <w:rPr>
                <w:rFonts w:hAnsi="宋体" w:cs="宋体"/>
                <w:szCs w:val="24"/>
                <w:highlight w:val="none"/>
              </w:rPr>
            </w:pPr>
            <w:r>
              <w:rPr>
                <w:rFonts w:hint="eastAsia" w:hAnsi="宋体" w:cs="宋体"/>
                <w:szCs w:val="24"/>
                <w:highlight w:val="none"/>
              </w:rPr>
              <w:t>2.评委打分超过得分界限或未按本方法赋分时，该评委的打分按作废处理。</w:t>
            </w:r>
          </w:p>
          <w:p>
            <w:pPr>
              <w:spacing w:line="360" w:lineRule="auto"/>
              <w:rPr>
                <w:rFonts w:hAnsi="宋体" w:cs="宋体"/>
                <w:szCs w:val="24"/>
                <w:highlight w:val="none"/>
              </w:rPr>
            </w:pPr>
            <w:r>
              <w:rPr>
                <w:rFonts w:hint="eastAsia" w:hAnsi="宋体" w:cs="宋体"/>
                <w:szCs w:val="24"/>
                <w:highlight w:val="none"/>
              </w:rPr>
              <w:t>3.评委会二分之一以上人员认为有串标、弄虚作假嫌疑或严重脱离市场价的磋商，该供应商不得作为中标候选人。</w:t>
            </w:r>
          </w:p>
          <w:p>
            <w:pPr>
              <w:spacing w:line="360" w:lineRule="auto"/>
              <w:rPr>
                <w:rFonts w:hAnsi="宋体" w:cs="宋体"/>
                <w:szCs w:val="24"/>
                <w:highlight w:val="none"/>
              </w:rPr>
            </w:pPr>
            <w:r>
              <w:rPr>
                <w:rFonts w:hint="eastAsia" w:hAnsi="宋体" w:cs="宋体"/>
                <w:szCs w:val="24"/>
                <w:highlight w:val="none"/>
              </w:rPr>
              <w:t>4.由于磋商文件有矛盾，造成对供应商不利的评标结果，由供应商自负。</w:t>
            </w:r>
          </w:p>
          <w:p>
            <w:pPr>
              <w:spacing w:line="360" w:lineRule="auto"/>
              <w:rPr>
                <w:rFonts w:hAnsi="宋体" w:cs="宋体"/>
                <w:szCs w:val="24"/>
                <w:highlight w:val="none"/>
              </w:rPr>
            </w:pPr>
            <w:r>
              <w:rPr>
                <w:rFonts w:hint="eastAsia" w:hAnsi="宋体" w:cs="宋体"/>
                <w:szCs w:val="24"/>
                <w:highlight w:val="none"/>
              </w:rPr>
              <w:t>5.评审过程中，若出现特殊情况时，将暂停评标，有关情况的处理待磋商小组确认后，再行评定。</w:t>
            </w:r>
          </w:p>
          <w:p>
            <w:pPr>
              <w:snapToGrid w:val="0"/>
              <w:spacing w:line="360" w:lineRule="auto"/>
              <w:rPr>
                <w:rFonts w:hAnsi="宋体" w:cs="宋体"/>
                <w:b/>
                <w:szCs w:val="24"/>
                <w:highlight w:val="none"/>
              </w:rPr>
            </w:pPr>
            <w:r>
              <w:rPr>
                <w:rFonts w:hint="eastAsia" w:hAnsi="宋体" w:cs="宋体"/>
                <w:szCs w:val="24"/>
                <w:highlight w:val="none"/>
              </w:rPr>
              <w:t>6.各种计算采用插入法，数字均保留两位小数，第三位“四舍五入”。</w:t>
            </w:r>
          </w:p>
        </w:tc>
      </w:tr>
    </w:tbl>
    <w:p>
      <w:pPr>
        <w:spacing w:line="360" w:lineRule="auto"/>
        <w:rPr>
          <w:rFonts w:hAnsi="宋体" w:cs="宋体"/>
          <w:szCs w:val="24"/>
          <w:highlight w:val="none"/>
        </w:rPr>
      </w:pPr>
    </w:p>
    <w:p>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pPr>
        <w:rPr>
          <w:rFonts w:hAnsi="宋体" w:cs="宋体"/>
          <w:highlight w:val="none"/>
        </w:rPr>
      </w:pPr>
    </w:p>
    <w:p>
      <w:pPr>
        <w:pStyle w:val="16"/>
        <w:spacing w:line="360" w:lineRule="auto"/>
        <w:ind w:left="0" w:leftChars="0" w:firstLine="0" w:firstLineChars="0"/>
        <w:rPr>
          <w:rFonts w:cs="宋体"/>
          <w:b/>
          <w:sz w:val="24"/>
          <w:szCs w:val="24"/>
          <w:highlight w:val="none"/>
        </w:rPr>
      </w:pPr>
      <w:r>
        <w:rPr>
          <w:rFonts w:hint="eastAsia" w:cs="宋体"/>
          <w:b/>
          <w:sz w:val="24"/>
          <w:szCs w:val="24"/>
          <w:highlight w:val="none"/>
        </w:rPr>
        <w:br w:type="page"/>
      </w:r>
    </w:p>
    <w:p>
      <w:pPr>
        <w:pStyle w:val="3"/>
        <w:jc w:val="center"/>
        <w:rPr>
          <w:rFonts w:ascii="宋体" w:eastAsia="宋体" w:cs="宋体"/>
          <w:bCs/>
          <w:sz w:val="36"/>
          <w:szCs w:val="36"/>
          <w:highlight w:val="none"/>
        </w:rPr>
      </w:pPr>
      <w:bookmarkStart w:id="70" w:name="_Toc10029"/>
      <w:bookmarkStart w:id="71" w:name="_Toc8788"/>
      <w:r>
        <w:rPr>
          <w:rFonts w:hint="eastAsia" w:ascii="宋体" w:eastAsia="宋体" w:cs="宋体"/>
          <w:bCs/>
          <w:sz w:val="36"/>
          <w:szCs w:val="36"/>
          <w:highlight w:val="none"/>
        </w:rPr>
        <w:t>第四章  合同条款及格式</w:t>
      </w:r>
      <w:bookmarkEnd w:id="53"/>
      <w:bookmarkEnd w:id="54"/>
      <w:bookmarkEnd w:id="55"/>
      <w:bookmarkEnd w:id="70"/>
      <w:bookmarkEnd w:id="71"/>
    </w:p>
    <w:p>
      <w:pPr>
        <w:tabs>
          <w:tab w:val="left" w:pos="210"/>
          <w:tab w:val="left" w:pos="525"/>
        </w:tabs>
        <w:spacing w:line="360" w:lineRule="auto"/>
        <w:jc w:val="center"/>
        <w:outlineLvl w:val="1"/>
        <w:rPr>
          <w:rFonts w:hAnsi="宋体" w:cs="宋体"/>
          <w:sz w:val="32"/>
          <w:szCs w:val="32"/>
          <w:highlight w:val="none"/>
        </w:rPr>
      </w:pPr>
      <w:bookmarkStart w:id="72" w:name="_Toc32476"/>
      <w:bookmarkStart w:id="73" w:name="_Toc3424"/>
      <w:bookmarkStart w:id="74" w:name="_Toc23705"/>
      <w:r>
        <w:rPr>
          <w:rFonts w:hint="eastAsia" w:hAnsi="宋体" w:cs="宋体"/>
          <w:b/>
          <w:bCs/>
          <w:sz w:val="32"/>
          <w:szCs w:val="32"/>
          <w:highlight w:val="none"/>
        </w:rPr>
        <w:t>合同前附表</w:t>
      </w:r>
      <w:bookmarkEnd w:id="72"/>
      <w:bookmarkEnd w:id="73"/>
      <w:bookmarkEnd w:id="74"/>
    </w:p>
    <w:p>
      <w:pPr>
        <w:rPr>
          <w:rFonts w:hAnsi="宋体" w:cs="宋体"/>
          <w:highlight w:val="none"/>
        </w:rPr>
      </w:pPr>
    </w:p>
    <w:p>
      <w:pPr>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2"/>
        <w:tblW w:w="935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条款号</w:t>
            </w:r>
          </w:p>
        </w:tc>
        <w:tc>
          <w:tcPr>
            <w:tcW w:w="8181" w:type="dxa"/>
            <w:vAlign w:val="center"/>
          </w:tcPr>
          <w:p>
            <w:pPr>
              <w:spacing w:line="360" w:lineRule="auto"/>
              <w:jc w:val="center"/>
              <w:rPr>
                <w:rFonts w:hAnsi="宋体" w:cs="宋体"/>
                <w:szCs w:val="24"/>
                <w:highlight w:val="none"/>
              </w:rPr>
            </w:pPr>
            <w:r>
              <w:rPr>
                <w:rFonts w:hint="eastAsia" w:hAnsi="宋体" w:cs="宋体"/>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8181" w:type="dxa"/>
            <w:vAlign w:val="center"/>
          </w:tcPr>
          <w:p>
            <w:pPr>
              <w:spacing w:line="360" w:lineRule="auto"/>
              <w:rPr>
                <w:rFonts w:hAnsi="宋体" w:cs="宋体"/>
                <w:szCs w:val="24"/>
                <w:highlight w:val="none"/>
              </w:rPr>
            </w:pPr>
            <w:r>
              <w:rPr>
                <w:rFonts w:hint="eastAsia" w:hAnsi="宋体" w:cs="宋体"/>
                <w:szCs w:val="24"/>
                <w:highlight w:val="none"/>
              </w:rPr>
              <w:t>采购人名称：西安市鄠邑</w:t>
            </w:r>
            <w:r>
              <w:rPr>
                <w:rFonts w:hint="eastAsia" w:hAnsi="宋体" w:cs="宋体"/>
                <w:szCs w:val="24"/>
                <w:highlight w:val="none"/>
                <w:lang w:val="en-US" w:eastAsia="zh-CN"/>
              </w:rPr>
              <w:t xml:space="preserve"> </w:t>
            </w:r>
            <w:r>
              <w:rPr>
                <w:rFonts w:hint="eastAsia" w:hAnsi="宋体" w:cs="宋体"/>
                <w:szCs w:val="24"/>
                <w:highlight w:val="none"/>
              </w:rPr>
              <w:t>区人民医院</w:t>
            </w:r>
          </w:p>
          <w:p>
            <w:pPr>
              <w:spacing w:line="360" w:lineRule="auto"/>
              <w:rPr>
                <w:rFonts w:hAnsi="宋体" w:cs="宋体"/>
                <w:szCs w:val="24"/>
                <w:highlight w:val="none"/>
              </w:rPr>
            </w:pPr>
            <w:r>
              <w:rPr>
                <w:rFonts w:hint="eastAsia" w:hAnsi="宋体" w:cs="宋体"/>
                <w:szCs w:val="24"/>
                <w:highlight w:val="none"/>
              </w:rPr>
              <w:t>地      址：鄠邑区渼陂西路5号</w:t>
            </w:r>
          </w:p>
          <w:p>
            <w:pPr>
              <w:spacing w:line="360" w:lineRule="auto"/>
              <w:rPr>
                <w:rFonts w:hAnsi="宋体" w:cs="宋体"/>
                <w:szCs w:val="24"/>
                <w:highlight w:val="none"/>
              </w:rPr>
            </w:pPr>
            <w:r>
              <w:rPr>
                <w:rFonts w:hint="eastAsia" w:hAnsi="宋体" w:cs="宋体"/>
                <w:szCs w:val="24"/>
                <w:highlight w:val="none"/>
              </w:rPr>
              <w:t>项目名称：网络安全系统升级项目</w:t>
            </w:r>
          </w:p>
          <w:p>
            <w:pPr>
              <w:tabs>
                <w:tab w:val="left" w:pos="1440"/>
                <w:tab w:val="left" w:pos="1680"/>
              </w:tabs>
              <w:spacing w:line="360" w:lineRule="auto"/>
              <w:jc w:val="left"/>
              <w:rPr>
                <w:rFonts w:hAnsi="宋体" w:cs="宋体"/>
                <w:szCs w:val="24"/>
                <w:highlight w:val="none"/>
              </w:rPr>
            </w:pPr>
            <w:r>
              <w:rPr>
                <w:rFonts w:hint="eastAsia" w:hAnsi="宋体" w:cs="宋体"/>
                <w:szCs w:val="24"/>
                <w:highlight w:val="none"/>
              </w:rPr>
              <w:t>资金来源：财政资金，资金已落实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8181" w:type="dxa"/>
            <w:vAlign w:val="center"/>
          </w:tcPr>
          <w:p>
            <w:pPr>
              <w:spacing w:line="360" w:lineRule="auto"/>
              <w:rPr>
                <w:rFonts w:hAnsi="宋体" w:cs="宋体"/>
                <w:szCs w:val="24"/>
                <w:highlight w:val="none"/>
              </w:rPr>
            </w:pPr>
            <w:r>
              <w:rPr>
                <w:rFonts w:hint="eastAsia" w:hAnsi="宋体" w:cs="宋体"/>
                <w:szCs w:val="24"/>
                <w:highlight w:val="none"/>
              </w:rPr>
              <w:t>项目实施地点：采购人指定地点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6"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8181" w:type="dxa"/>
            <w:vAlign w:val="center"/>
          </w:tcPr>
          <w:p>
            <w:pPr>
              <w:spacing w:line="360" w:lineRule="auto"/>
              <w:rPr>
                <w:rFonts w:hAnsi="宋体" w:cs="宋体"/>
                <w:szCs w:val="24"/>
                <w:highlight w:val="none"/>
              </w:rPr>
            </w:pPr>
            <w:r>
              <w:rPr>
                <w:rFonts w:hint="eastAsia" w:hAnsi="宋体" w:cs="宋体"/>
                <w:szCs w:val="24"/>
                <w:highlight w:val="none"/>
              </w:rPr>
              <w:t>网络升级改造完成时间：自合同签订时间之日起30日历日，整体服务期限：3年。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6"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4</w:t>
            </w:r>
          </w:p>
        </w:tc>
        <w:tc>
          <w:tcPr>
            <w:tcW w:w="8181" w:type="dxa"/>
            <w:vAlign w:val="center"/>
          </w:tcPr>
          <w:p>
            <w:pPr>
              <w:spacing w:line="360" w:lineRule="auto"/>
              <w:rPr>
                <w:rFonts w:hAnsi="宋体" w:cs="宋体"/>
                <w:szCs w:val="24"/>
                <w:highlight w:val="none"/>
              </w:rPr>
            </w:pPr>
            <w:r>
              <w:rPr>
                <w:rFonts w:hint="eastAsia" w:hAnsi="宋体" w:cs="宋体"/>
                <w:szCs w:val="24"/>
                <w:highlight w:val="none"/>
              </w:rPr>
              <w:t>质保期：软硬件质保不低于三年，软件三年内免费升级。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9"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5</w:t>
            </w:r>
          </w:p>
        </w:tc>
        <w:tc>
          <w:tcPr>
            <w:tcW w:w="8181" w:type="dxa"/>
            <w:vAlign w:val="center"/>
          </w:tcPr>
          <w:p>
            <w:pPr>
              <w:spacing w:line="360" w:lineRule="auto"/>
              <w:rPr>
                <w:rFonts w:hAnsi="宋体" w:cs="宋体"/>
                <w:b/>
                <w:sz w:val="21"/>
                <w:szCs w:val="21"/>
                <w:highlight w:val="none"/>
              </w:rPr>
            </w:pPr>
            <w:r>
              <w:rPr>
                <w:rFonts w:hint="eastAsia" w:hAnsi="宋体" w:cs="宋体"/>
                <w:b/>
                <w:sz w:val="21"/>
                <w:szCs w:val="21"/>
                <w:highlight w:val="none"/>
              </w:rPr>
              <w:t>付款：</w:t>
            </w:r>
          </w:p>
          <w:p>
            <w:pPr>
              <w:spacing w:line="360" w:lineRule="auto"/>
              <w:ind w:firstLine="480" w:firstLineChars="200"/>
              <w:rPr>
                <w:rFonts w:hAnsi="宋体" w:cs="宋体"/>
                <w:szCs w:val="24"/>
                <w:highlight w:val="none"/>
              </w:rPr>
            </w:pPr>
            <w:r>
              <w:rPr>
                <w:rFonts w:hint="eastAsia" w:hAnsi="宋体" w:cs="宋体"/>
                <w:szCs w:val="24"/>
                <w:highlight w:val="none"/>
              </w:rPr>
              <w:t>1.合同总价即成交价，不受市场价变化或实际工作量变化的影响。供应商应在磋商报价表中标明完成本次磋商所要求的全部服务的所有费用，磋商报价是供应商为完成本项目要求的全部货物、服务内容最终价格的体现，包括但不限于产品费、软件服务费、仓储保管费、售后服务培训费、运输费、税金、招标代理服务费等其他与本项目实施有关的一切费用。</w:t>
            </w:r>
          </w:p>
          <w:p>
            <w:pPr>
              <w:spacing w:line="360" w:lineRule="auto"/>
              <w:ind w:firstLine="480" w:firstLineChars="200"/>
              <w:rPr>
                <w:rFonts w:hAnsi="宋体" w:cs="宋体"/>
                <w:szCs w:val="24"/>
                <w:highlight w:val="none"/>
              </w:rPr>
            </w:pPr>
            <w:r>
              <w:rPr>
                <w:rFonts w:hint="eastAsia" w:hAnsi="宋体" w:cs="宋体"/>
                <w:szCs w:val="24"/>
                <w:highlight w:val="none"/>
              </w:rPr>
              <w:t>2.付款方式和程序：</w:t>
            </w:r>
          </w:p>
          <w:p>
            <w:pPr>
              <w:spacing w:line="360" w:lineRule="auto"/>
              <w:ind w:firstLine="480" w:firstLineChars="200"/>
              <w:rPr>
                <w:rFonts w:hAnsi="宋体" w:cs="宋体"/>
                <w:szCs w:val="24"/>
                <w:highlight w:val="none"/>
              </w:rPr>
            </w:pPr>
            <w:r>
              <w:rPr>
                <w:rFonts w:hint="eastAsia" w:hAnsi="宋体" w:cs="宋体"/>
                <w:szCs w:val="24"/>
                <w:highlight w:val="none"/>
              </w:rPr>
              <w:t>2.1由采购人负责结算，在付款前，供应商必须开具全额发票给采购人（附详细清单）。</w:t>
            </w:r>
          </w:p>
          <w:p>
            <w:pPr>
              <w:spacing w:line="360" w:lineRule="auto"/>
              <w:ind w:firstLine="480" w:firstLineChars="200"/>
              <w:rPr>
                <w:rFonts w:hAnsi="宋体" w:eastAsia="仿宋" w:cs="宋体"/>
                <w:szCs w:val="24"/>
                <w:highlight w:val="none"/>
              </w:rPr>
            </w:pPr>
            <w:r>
              <w:rPr>
                <w:rFonts w:hint="eastAsia" w:hAnsi="宋体" w:cs="宋体"/>
                <w:szCs w:val="24"/>
                <w:highlight w:val="none"/>
              </w:rPr>
              <w:t>2.2付款方式(</w:t>
            </w:r>
            <w:r>
              <w:rPr>
                <w:rFonts w:hint="eastAsia" w:hAnsi="宋体" w:cs="宋体"/>
                <w:szCs w:val="24"/>
                <w:highlight w:val="none"/>
                <w:lang w:eastAsia="zh-CN"/>
              </w:rPr>
              <w:t>最终</w:t>
            </w:r>
            <w:r>
              <w:rPr>
                <w:rFonts w:hint="eastAsia" w:hAnsi="宋体" w:cs="宋体"/>
                <w:szCs w:val="24"/>
                <w:highlight w:val="none"/>
              </w:rPr>
              <w:t>以签订合同为准）：合同签订后预付合同金额的40%，等保测评完成后支付合同金额的30%，服务一年后支付完毕(具体以合同签订为准）。</w:t>
            </w:r>
          </w:p>
          <w:p>
            <w:pPr>
              <w:spacing w:line="360" w:lineRule="auto"/>
              <w:ind w:firstLine="482" w:firstLineChars="200"/>
              <w:rPr>
                <w:rFonts w:hAnsi="宋体" w:cs="宋体"/>
                <w:szCs w:val="24"/>
                <w:highlight w:val="none"/>
              </w:rPr>
            </w:pPr>
            <w:r>
              <w:rPr>
                <w:rFonts w:hint="eastAsia" w:hAnsi="宋体" w:cs="宋体"/>
                <w:b/>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服务支持：</w:t>
            </w:r>
          </w:p>
          <w:p>
            <w:pPr>
              <w:spacing w:line="360" w:lineRule="auto"/>
              <w:ind w:firstLine="480" w:firstLineChars="200"/>
              <w:jc w:val="left"/>
              <w:rPr>
                <w:rFonts w:hAnsi="宋体" w:cs="宋体"/>
                <w:szCs w:val="24"/>
                <w:highlight w:val="none"/>
              </w:rPr>
            </w:pPr>
            <w:r>
              <w:rPr>
                <w:rFonts w:hint="eastAsia" w:hAnsi="宋体" w:cs="宋体"/>
                <w:bCs/>
                <w:szCs w:val="21"/>
                <w:highlight w:val="none"/>
              </w:rPr>
              <w:t>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7</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知识产权、专利权：</w:t>
            </w:r>
          </w:p>
          <w:p>
            <w:pPr>
              <w:tabs>
                <w:tab w:val="left" w:pos="498"/>
              </w:tabs>
              <w:spacing w:line="360" w:lineRule="auto"/>
              <w:ind w:firstLine="480" w:firstLineChars="200"/>
              <w:rPr>
                <w:rFonts w:hAnsi="宋体" w:cs="宋体"/>
                <w:szCs w:val="24"/>
                <w:highlight w:val="none"/>
              </w:rPr>
            </w:pPr>
            <w:r>
              <w:rPr>
                <w:rFonts w:hint="eastAsia" w:hAnsi="宋体" w:cs="宋体"/>
                <w:szCs w:val="24"/>
                <w:highlight w:val="none"/>
              </w:rPr>
              <w:t>供应商应对所提供的设备、软件、文稿及图像、影像材料，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8</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违约责任：</w:t>
            </w:r>
          </w:p>
          <w:p>
            <w:pPr>
              <w:tabs>
                <w:tab w:val="left" w:pos="152"/>
              </w:tabs>
              <w:spacing w:line="360" w:lineRule="auto"/>
              <w:ind w:firstLine="480" w:firstLineChars="200"/>
              <w:rPr>
                <w:rFonts w:hAnsi="宋体" w:cs="宋体"/>
                <w:szCs w:val="24"/>
                <w:highlight w:val="none"/>
              </w:rPr>
            </w:pPr>
            <w:r>
              <w:rPr>
                <w:rFonts w:hint="eastAsia" w:hAnsi="宋体" w:cs="宋体"/>
                <w:szCs w:val="24"/>
                <w:highlight w:val="none"/>
              </w:rPr>
              <w:t>1、按《中华人民共和国民法典》中的相关条款执行。</w:t>
            </w:r>
          </w:p>
          <w:p>
            <w:pPr>
              <w:snapToGrid w:val="0"/>
              <w:spacing w:line="360" w:lineRule="auto"/>
              <w:ind w:firstLine="480" w:firstLineChars="200"/>
              <w:rPr>
                <w:rFonts w:hAnsi="宋体" w:cs="宋体"/>
                <w:szCs w:val="24"/>
                <w:highlight w:val="none"/>
              </w:rPr>
            </w:pPr>
            <w:r>
              <w:rPr>
                <w:rFonts w:hint="eastAsia" w:hAnsi="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9</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政府采购合同：</w:t>
            </w:r>
          </w:p>
          <w:p>
            <w:pPr>
              <w:spacing w:line="360" w:lineRule="auto"/>
              <w:ind w:firstLine="480" w:firstLineChars="200"/>
              <w:rPr>
                <w:rFonts w:hAnsi="宋体" w:cs="宋体"/>
                <w:szCs w:val="24"/>
                <w:highlight w:val="none"/>
              </w:rPr>
            </w:pPr>
            <w:r>
              <w:rPr>
                <w:rFonts w:hint="eastAsia" w:hAnsi="宋体" w:cs="宋体"/>
                <w:szCs w:val="24"/>
                <w:highlight w:val="none"/>
              </w:rPr>
              <w:t>政府采购合同适用中华人民共和国民法典。采购人和供应商之间的权利和义务，应当按照平等、自愿的原则以合同方式约定。</w:t>
            </w:r>
          </w:p>
          <w:p>
            <w:pPr>
              <w:spacing w:line="360" w:lineRule="auto"/>
              <w:ind w:firstLine="480" w:firstLineChars="200"/>
              <w:rPr>
                <w:rFonts w:hAnsi="宋体" w:cs="宋体"/>
                <w:szCs w:val="24"/>
                <w:highlight w:val="none"/>
              </w:rPr>
            </w:pPr>
            <w:r>
              <w:rPr>
                <w:rFonts w:hint="eastAsia" w:hAnsi="宋体" w:cs="宋体"/>
                <w:szCs w:val="24"/>
                <w:highlight w:val="none"/>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Ansi="宋体" w:cs="宋体"/>
                <w:szCs w:val="24"/>
                <w:highlight w:val="none"/>
              </w:rPr>
            </w:pPr>
            <w:r>
              <w:rPr>
                <w:rFonts w:hint="eastAsia" w:hAnsi="宋体" w:cs="宋体"/>
                <w:szCs w:val="24"/>
                <w:highlight w:val="none"/>
              </w:rPr>
              <w:t xml:space="preserve">    采购人与中标、成交供应商应当在中标、成交通知书发出之日起三十日内，按照采购文件确定的事项签订政府采购合同。</w:t>
            </w:r>
          </w:p>
          <w:p>
            <w:pPr>
              <w:spacing w:line="360" w:lineRule="auto"/>
              <w:ind w:firstLine="480" w:firstLineChars="200"/>
              <w:rPr>
                <w:rFonts w:hAnsi="宋体" w:cs="宋体"/>
                <w:szCs w:val="24"/>
                <w:highlight w:val="none"/>
              </w:rPr>
            </w:pPr>
            <w:r>
              <w:rPr>
                <w:rFonts w:hint="eastAsia" w:hAnsi="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3"/>
              <w:spacing w:line="360" w:lineRule="auto"/>
              <w:ind w:firstLine="480" w:firstLineChars="200"/>
              <w:rPr>
                <w:rFonts w:hAnsi="宋体" w:cs="宋体"/>
                <w:sz w:val="24"/>
                <w:szCs w:val="24"/>
                <w:highlight w:val="none"/>
              </w:rPr>
            </w:pPr>
            <w:r>
              <w:rPr>
                <w:rFonts w:hint="eastAsia" w:hAnsi="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pPr>
              <w:pStyle w:val="13"/>
              <w:spacing w:line="360" w:lineRule="auto"/>
              <w:ind w:firstLine="480" w:firstLineChars="200"/>
              <w:rPr>
                <w:rFonts w:hAnsi="宋体" w:cs="宋体"/>
                <w:sz w:val="24"/>
                <w:szCs w:val="24"/>
                <w:highlight w:val="none"/>
              </w:rPr>
            </w:pPr>
            <w:r>
              <w:rPr>
                <w:rFonts w:hint="eastAsia" w:hAnsi="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13"/>
              <w:spacing w:line="360" w:lineRule="auto"/>
              <w:ind w:firstLine="480" w:firstLineChars="200"/>
              <w:rPr>
                <w:rFonts w:hAnsi="宋体" w:cs="宋体"/>
                <w:sz w:val="24"/>
                <w:szCs w:val="24"/>
                <w:highlight w:val="none"/>
              </w:rPr>
            </w:pPr>
            <w:r>
              <w:rPr>
                <w:rFonts w:hint="eastAsia" w:hAnsi="宋体" w:cs="宋体"/>
                <w:sz w:val="24"/>
                <w:szCs w:val="24"/>
                <w:highlight w:val="none"/>
              </w:rPr>
              <w:t xml:space="preserve">    政府采购合同的双方当事人不得擅自变更、中止或者终止合同。</w:t>
            </w:r>
          </w:p>
          <w:p>
            <w:pPr>
              <w:pStyle w:val="13"/>
              <w:spacing w:line="360" w:lineRule="auto"/>
              <w:ind w:firstLine="480" w:firstLineChars="200"/>
              <w:rPr>
                <w:rFonts w:hAnsi="宋体" w:cs="宋体"/>
                <w:kern w:val="0"/>
                <w:sz w:val="24"/>
                <w:szCs w:val="24"/>
                <w:highlight w:val="none"/>
              </w:rPr>
            </w:pPr>
            <w:r>
              <w:rPr>
                <w:rFonts w:hint="eastAsia" w:hAnsi="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Ansi="宋体" w:cs="宋体"/>
          <w:sz w:val="32"/>
          <w:highlight w:val="none"/>
        </w:rPr>
      </w:pPr>
      <w:bookmarkStart w:id="75" w:name="_Toc8333"/>
      <w:bookmarkStart w:id="76" w:name="_Toc19246"/>
      <w:bookmarkStart w:id="77" w:name="_Toc19199"/>
      <w:bookmarkStart w:id="78" w:name="_Toc423973075"/>
      <w:bookmarkStart w:id="79" w:name="_Toc31520"/>
      <w:bookmarkStart w:id="80" w:name="_Toc29888"/>
      <w:bookmarkStart w:id="81" w:name="_Toc4679"/>
      <w:bookmarkStart w:id="82" w:name="_Toc389582037"/>
      <w:bookmarkStart w:id="83" w:name="_Toc26595"/>
      <w:r>
        <w:rPr>
          <w:rFonts w:hint="eastAsia" w:hAnsi="宋体" w:cs="宋体"/>
          <w:b/>
          <w:bCs/>
          <w:sz w:val="48"/>
          <w:szCs w:val="48"/>
          <w:highlight w:val="none"/>
        </w:rPr>
        <w:br w:type="page"/>
      </w:r>
    </w:p>
    <w:tbl>
      <w:tblPr>
        <w:tblStyle w:val="22"/>
        <w:tblpPr w:leftFromText="180" w:rightFromText="180" w:vertAnchor="text" w:horzAnchor="page" w:tblpX="7952" w:tblpY="79"/>
        <w:tblW w:w="2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pPr>
              <w:jc w:val="center"/>
              <w:rPr>
                <w:rFonts w:hAnsi="宋体" w:cs="宋体"/>
                <w:b/>
                <w:sz w:val="30"/>
                <w:szCs w:val="30"/>
                <w:highlight w:val="none"/>
              </w:rPr>
            </w:pPr>
            <w:r>
              <w:rPr>
                <w:rFonts w:hint="eastAsia" w:hAnsi="宋体" w:cs="宋体"/>
                <w:b/>
                <w:sz w:val="30"/>
                <w:szCs w:val="30"/>
                <w:highlight w:val="none"/>
              </w:rPr>
              <w:t>竞争性磋商采购</w:t>
            </w:r>
          </w:p>
        </w:tc>
      </w:tr>
    </w:tbl>
    <w:p>
      <w:pPr>
        <w:outlineLvl w:val="1"/>
        <w:rPr>
          <w:rFonts w:hAnsi="宋体" w:cs="宋体"/>
          <w:b/>
          <w:sz w:val="32"/>
          <w:szCs w:val="32"/>
          <w:highlight w:val="none"/>
        </w:rPr>
      </w:pPr>
      <w:bookmarkStart w:id="84" w:name="_Toc1362"/>
      <w:bookmarkStart w:id="85" w:name="_Toc5216"/>
      <w:bookmarkStart w:id="86" w:name="_Toc7874"/>
      <w:r>
        <w:rPr>
          <w:rFonts w:hint="eastAsia" w:hAnsi="宋体" w:cs="宋体"/>
          <w:b/>
          <w:sz w:val="32"/>
          <w:szCs w:val="32"/>
          <w:highlight w:val="none"/>
        </w:rPr>
        <w:t>政府采购项目</w:t>
      </w:r>
      <w:r>
        <w:rPr>
          <w:rFonts w:hint="eastAsia" w:hAnsi="宋体" w:cs="宋体"/>
          <w:b/>
          <w:bCs/>
          <w:sz w:val="28"/>
          <w:szCs w:val="28"/>
          <w:highlight w:val="none"/>
        </w:rPr>
        <w:t>（</w:t>
      </w:r>
      <w:r>
        <w:rPr>
          <w:rFonts w:hint="eastAsia" w:hAnsi="宋体" w:cs="宋体"/>
          <w:b/>
          <w:sz w:val="32"/>
          <w:szCs w:val="32"/>
          <w:highlight w:val="none"/>
        </w:rPr>
        <w:t>仅供参考）</w:t>
      </w:r>
      <w:bookmarkEnd w:id="84"/>
      <w:bookmarkEnd w:id="85"/>
      <w:bookmarkEnd w:id="86"/>
      <w:r>
        <w:rPr>
          <w:rFonts w:hint="eastAsia" w:hAnsi="宋体" w:cs="宋体"/>
          <w:b/>
          <w:sz w:val="32"/>
          <w:szCs w:val="32"/>
          <w:highlight w:val="none"/>
        </w:rPr>
        <w:t xml:space="preserve">                  </w:t>
      </w:r>
    </w:p>
    <w:p>
      <w:pPr>
        <w:rPr>
          <w:rFonts w:hAnsi="宋体" w:cs="宋体"/>
          <w:b/>
          <w:sz w:val="32"/>
          <w:szCs w:val="32"/>
          <w:highlight w:val="none"/>
        </w:rPr>
      </w:pPr>
      <w:r>
        <w:rPr>
          <w:rFonts w:hint="eastAsia" w:hAnsi="宋体" w:cs="宋体"/>
          <w:b/>
          <w:sz w:val="32"/>
          <w:szCs w:val="32"/>
          <w:highlight w:val="none"/>
        </w:rPr>
        <w:t xml:space="preserve">          </w:t>
      </w:r>
    </w:p>
    <w:p>
      <w:pPr>
        <w:jc w:val="center"/>
        <w:rPr>
          <w:rFonts w:hAnsi="宋体" w:cs="宋体"/>
          <w:sz w:val="52"/>
          <w:szCs w:val="52"/>
          <w:highlight w:val="none"/>
        </w:rPr>
      </w:pPr>
    </w:p>
    <w:p>
      <w:pPr>
        <w:jc w:val="center"/>
        <w:rPr>
          <w:rFonts w:hAnsi="宋体" w:cs="宋体"/>
          <w:sz w:val="52"/>
          <w:szCs w:val="52"/>
          <w:highlight w:val="none"/>
        </w:rPr>
      </w:pPr>
    </w:p>
    <w:p>
      <w:pPr>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pPr>
        <w:jc w:val="center"/>
        <w:rPr>
          <w:rFonts w:hAnsi="宋体" w:cs="宋体"/>
          <w:b/>
          <w:sz w:val="72"/>
          <w:szCs w:val="72"/>
          <w:highlight w:val="none"/>
        </w:rPr>
      </w:pPr>
      <w:r>
        <w:rPr>
          <w:rFonts w:hint="eastAsia" w:hAnsi="宋体" w:cs="宋体"/>
          <w:b/>
          <w:sz w:val="72"/>
          <w:szCs w:val="72"/>
          <w:highlight w:val="none"/>
        </w:rPr>
        <w:t>服 务 合 同</w:t>
      </w:r>
    </w:p>
    <w:p>
      <w:pPr>
        <w:jc w:val="center"/>
        <w:rPr>
          <w:rFonts w:hAnsi="宋体" w:cs="宋体"/>
          <w:sz w:val="30"/>
          <w:szCs w:val="30"/>
          <w:highlight w:val="none"/>
        </w:rPr>
      </w:pPr>
      <w:r>
        <w:rPr>
          <w:rFonts w:hint="eastAsia" w:hAnsi="宋体" w:cs="宋体"/>
          <w:sz w:val="30"/>
          <w:szCs w:val="30"/>
          <w:highlight w:val="none"/>
        </w:rPr>
        <w:t xml:space="preserve">（项目编号：      </w:t>
      </w:r>
      <w:r>
        <w:rPr>
          <w:rFonts w:hint="eastAsia" w:hAnsi="宋体" w:cs="宋体"/>
          <w:sz w:val="28"/>
          <w:szCs w:val="28"/>
          <w:highlight w:val="none"/>
        </w:rPr>
        <w:t>）</w:t>
      </w: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ind w:firstLine="2080" w:firstLineChars="650"/>
        <w:rPr>
          <w:rFonts w:hAnsi="宋体" w:cs="宋体"/>
          <w:sz w:val="32"/>
          <w:szCs w:val="32"/>
          <w:highlight w:val="none"/>
        </w:rPr>
      </w:pPr>
      <w:r>
        <w:rPr>
          <w:rFonts w:hint="eastAsia" w:hAnsi="宋体" w:cs="宋体"/>
          <w:sz w:val="32"/>
          <w:szCs w:val="32"/>
          <w:highlight w:val="none"/>
        </w:rPr>
        <w:t xml:space="preserve">甲  方： </w:t>
      </w:r>
    </w:p>
    <w:p>
      <w:pPr>
        <w:tabs>
          <w:tab w:val="left" w:pos="480"/>
        </w:tabs>
        <w:ind w:firstLine="640" w:firstLineChars="200"/>
        <w:rPr>
          <w:rFonts w:hAnsi="宋体" w:cs="宋体"/>
          <w:sz w:val="32"/>
          <w:szCs w:val="32"/>
          <w:highlight w:val="none"/>
        </w:rPr>
      </w:pPr>
      <w:r>
        <w:rPr>
          <w:rFonts w:hint="eastAsia" w:hAnsi="宋体" w:cs="宋体"/>
          <w:sz w:val="32"/>
          <w:szCs w:val="32"/>
          <w:highlight w:val="none"/>
        </w:rPr>
        <w:t xml:space="preserve">         乙  方：</w:t>
      </w:r>
    </w:p>
    <w:p>
      <w:pPr>
        <w:jc w:val="center"/>
        <w:rPr>
          <w:rFonts w:hAnsi="宋体" w:cs="宋体"/>
          <w:sz w:val="30"/>
          <w:szCs w:val="30"/>
          <w:highlight w:val="none"/>
        </w:rPr>
      </w:pPr>
    </w:p>
    <w:p>
      <w:pPr>
        <w:jc w:val="center"/>
        <w:rPr>
          <w:rFonts w:hAnsi="宋体" w:cs="宋体"/>
          <w:sz w:val="32"/>
          <w:szCs w:val="32"/>
          <w:highlight w:val="none"/>
        </w:rPr>
      </w:pPr>
      <w:r>
        <w:rPr>
          <w:rFonts w:hint="eastAsia" w:hAnsi="宋体" w:cs="宋体"/>
          <w:sz w:val="32"/>
          <w:szCs w:val="32"/>
          <w:highlight w:val="none"/>
        </w:rPr>
        <w:t xml:space="preserve">  年  月</w:t>
      </w:r>
    </w:p>
    <w:p>
      <w:pPr>
        <w:jc w:val="center"/>
        <w:rPr>
          <w:rFonts w:hAnsi="宋体" w:cs="宋体"/>
          <w:sz w:val="32"/>
          <w:szCs w:val="32"/>
          <w:highlight w:val="none"/>
        </w:rPr>
      </w:pPr>
    </w:p>
    <w:p>
      <w:pPr>
        <w:spacing w:line="590" w:lineRule="exact"/>
        <w:rPr>
          <w:rFonts w:hAnsi="宋体" w:cs="宋体"/>
          <w:b/>
          <w:sz w:val="36"/>
          <w:szCs w:val="36"/>
          <w:highlight w:val="none"/>
        </w:rPr>
      </w:pPr>
    </w:p>
    <w:p>
      <w:pPr>
        <w:jc w:val="center"/>
        <w:outlineLvl w:val="2"/>
        <w:rPr>
          <w:rFonts w:ascii="黑体"/>
          <w:b/>
          <w:sz w:val="36"/>
          <w:szCs w:val="36"/>
          <w:highlight w:val="none"/>
        </w:rPr>
      </w:pPr>
      <w:r>
        <w:rPr>
          <w:rFonts w:hint="eastAsia" w:hAnsi="宋体" w:cs="宋体"/>
          <w:b/>
          <w:szCs w:val="21"/>
          <w:highlight w:val="none"/>
        </w:rPr>
        <w:br w:type="page"/>
      </w:r>
      <w:bookmarkStart w:id="87" w:name="_Toc28398"/>
      <w:r>
        <w:rPr>
          <w:rFonts w:hint="eastAsia" w:ascii="黑体" w:eastAsia="黑体"/>
          <w:b/>
          <w:sz w:val="36"/>
          <w:szCs w:val="36"/>
          <w:highlight w:val="none"/>
        </w:rPr>
        <w:t>协 议 书</w:t>
      </w:r>
      <w:bookmarkEnd w:id="87"/>
    </w:p>
    <w:p>
      <w:pPr>
        <w:spacing w:line="360" w:lineRule="auto"/>
        <w:rPr>
          <w:rFonts w:hAnsi="宋体" w:cs="宋体"/>
          <w:szCs w:val="21"/>
          <w:highlight w:val="none"/>
          <w:u w:val="single"/>
        </w:rPr>
      </w:pPr>
      <w:r>
        <w:rPr>
          <w:rFonts w:hint="eastAsia" w:hAnsi="宋体" w:cs="宋体"/>
          <w:szCs w:val="21"/>
          <w:highlight w:val="none"/>
        </w:rPr>
        <w:t>甲方：</w:t>
      </w:r>
      <w:r>
        <w:rPr>
          <w:rFonts w:hint="eastAsia" w:hAnsi="宋体" w:cs="宋体"/>
          <w:szCs w:val="21"/>
          <w:highlight w:val="none"/>
          <w:u w:val="single"/>
        </w:rPr>
        <w:t xml:space="preserve">             </w:t>
      </w:r>
    </w:p>
    <w:p>
      <w:pPr>
        <w:spacing w:line="360" w:lineRule="auto"/>
        <w:rPr>
          <w:rFonts w:hAnsi="宋体" w:cs="宋体"/>
          <w:szCs w:val="21"/>
          <w:highlight w:val="none"/>
          <w:u w:val="single"/>
        </w:rPr>
      </w:pPr>
      <w:r>
        <w:rPr>
          <w:rFonts w:hint="eastAsia" w:hAnsi="宋体" w:cs="宋体"/>
          <w:szCs w:val="21"/>
          <w:highlight w:val="none"/>
        </w:rPr>
        <w:t>乙方：</w:t>
      </w:r>
      <w:r>
        <w:rPr>
          <w:rFonts w:hint="eastAsia" w:hAnsi="宋体" w:cs="宋体"/>
          <w:szCs w:val="21"/>
          <w:highlight w:val="none"/>
          <w:u w:val="single"/>
        </w:rPr>
        <w:t xml:space="preserve">             </w:t>
      </w:r>
    </w:p>
    <w:p>
      <w:pPr>
        <w:spacing w:line="360" w:lineRule="auto"/>
        <w:ind w:firstLine="480" w:firstLineChars="200"/>
        <w:rPr>
          <w:rFonts w:hAnsi="宋体" w:cs="宋体"/>
          <w:szCs w:val="21"/>
          <w:highlight w:val="none"/>
        </w:rPr>
      </w:pPr>
      <w:r>
        <w:rPr>
          <w:rFonts w:hint="eastAsia" w:hAnsi="宋体" w:cs="宋体"/>
          <w:szCs w:val="21"/>
          <w:highlight w:val="none"/>
        </w:rPr>
        <w:t>根据《中华人民共和国中华人民共和国民法典》、《中华人民共和国政府采购法》与项目行业有关的法律法规，以及本项目（网络安全系统升级项目）相关采购要求的规定，合同双方就乙方向采购方提供网络安全系统升级项目协商达成一致，确立本合同。</w:t>
      </w:r>
    </w:p>
    <w:p>
      <w:pPr>
        <w:tabs>
          <w:tab w:val="left" w:pos="480"/>
        </w:tabs>
        <w:spacing w:line="360" w:lineRule="auto"/>
        <w:outlineLvl w:val="1"/>
        <w:rPr>
          <w:rFonts w:hAnsi="宋体" w:cs="宋体"/>
          <w:b/>
          <w:szCs w:val="21"/>
          <w:highlight w:val="none"/>
        </w:rPr>
      </w:pPr>
      <w:bookmarkStart w:id="88" w:name="_Toc8841"/>
      <w:bookmarkStart w:id="89" w:name="_Toc30883"/>
      <w:r>
        <w:rPr>
          <w:rFonts w:hint="eastAsia" w:hAnsi="宋体" w:cs="宋体"/>
          <w:b/>
          <w:szCs w:val="21"/>
          <w:highlight w:val="none"/>
        </w:rPr>
        <w:t>一、合同标的物内容、数量及单价</w:t>
      </w:r>
      <w:r>
        <w:rPr>
          <w:rFonts w:hint="eastAsia" w:hAnsi="宋体" w:cs="宋体"/>
          <w:szCs w:val="21"/>
          <w:highlight w:val="none"/>
        </w:rPr>
        <w:t>（以竞争性磋商响应文件正本和澄清表〈函〉为准）</w:t>
      </w:r>
      <w:bookmarkEnd w:id="88"/>
      <w:bookmarkEnd w:id="89"/>
    </w:p>
    <w:tbl>
      <w:tblPr>
        <w:tblStyle w:val="22"/>
        <w:tblW w:w="8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r>
    </w:tbl>
    <w:p>
      <w:pPr>
        <w:tabs>
          <w:tab w:val="left" w:pos="480"/>
        </w:tabs>
        <w:spacing w:line="360" w:lineRule="auto"/>
        <w:outlineLvl w:val="1"/>
        <w:rPr>
          <w:rFonts w:hAnsi="宋体" w:cs="宋体"/>
          <w:b/>
          <w:szCs w:val="21"/>
          <w:highlight w:val="none"/>
        </w:rPr>
      </w:pPr>
      <w:bookmarkStart w:id="90" w:name="_Toc4137"/>
      <w:bookmarkStart w:id="91" w:name="_Toc3926"/>
      <w:r>
        <w:rPr>
          <w:rFonts w:hint="eastAsia" w:hAnsi="宋体" w:cs="宋体"/>
          <w:b/>
          <w:szCs w:val="21"/>
          <w:highlight w:val="none"/>
        </w:rPr>
        <w:t>二、合同价款</w:t>
      </w:r>
      <w:bookmarkEnd w:id="90"/>
      <w:bookmarkEnd w:id="91"/>
    </w:p>
    <w:p>
      <w:pPr>
        <w:tabs>
          <w:tab w:val="left" w:pos="480"/>
        </w:tabs>
        <w:spacing w:line="360" w:lineRule="auto"/>
        <w:ind w:firstLine="480" w:firstLineChars="200"/>
        <w:rPr>
          <w:rFonts w:hAnsi="宋体" w:cs="宋体"/>
          <w:szCs w:val="21"/>
          <w:highlight w:val="none"/>
          <w:u w:val="single"/>
        </w:rPr>
      </w:pPr>
      <w:r>
        <w:rPr>
          <w:rFonts w:hint="eastAsia" w:hAnsi="宋体" w:cs="宋体"/>
          <w:szCs w:val="21"/>
          <w:highlight w:val="none"/>
        </w:rPr>
        <w:t>（一）本合同为总价合同，各项活动服务的合同总价为其磋商最终报价。</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（二）合同价包括：</w:t>
      </w:r>
      <w:r>
        <w:rPr>
          <w:rFonts w:hint="eastAsia"/>
          <w:highlight w:val="none"/>
        </w:rPr>
        <w:t>包括但不限于人工费、设备使用费、办公费、服务费、交通费、招标代理服务费、税金等其他一切相关费用。</w:t>
      </w:r>
    </w:p>
    <w:p>
      <w:pPr>
        <w:tabs>
          <w:tab w:val="left" w:pos="480"/>
        </w:tabs>
        <w:spacing w:line="360" w:lineRule="auto"/>
        <w:outlineLvl w:val="1"/>
        <w:rPr>
          <w:rFonts w:hAnsi="宋体" w:cs="宋体"/>
          <w:b/>
          <w:szCs w:val="21"/>
          <w:highlight w:val="none"/>
        </w:rPr>
      </w:pPr>
      <w:bookmarkStart w:id="92" w:name="_Toc28664"/>
      <w:bookmarkStart w:id="93" w:name="_Toc23247"/>
      <w:r>
        <w:rPr>
          <w:rFonts w:hint="eastAsia" w:hAnsi="宋体" w:cs="宋体"/>
          <w:b/>
          <w:szCs w:val="21"/>
          <w:highlight w:val="none"/>
        </w:rPr>
        <w:t>三、款项结算</w:t>
      </w:r>
      <w:bookmarkEnd w:id="92"/>
      <w:bookmarkEnd w:id="93"/>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详见合同前附表。</w:t>
      </w:r>
    </w:p>
    <w:p>
      <w:pPr>
        <w:tabs>
          <w:tab w:val="left" w:pos="480"/>
        </w:tabs>
        <w:spacing w:line="360" w:lineRule="auto"/>
        <w:outlineLvl w:val="1"/>
        <w:rPr>
          <w:rFonts w:hAnsi="宋体" w:cs="宋体"/>
          <w:szCs w:val="21"/>
          <w:highlight w:val="none"/>
        </w:rPr>
      </w:pPr>
      <w:bookmarkStart w:id="94" w:name="_Toc21714"/>
      <w:bookmarkStart w:id="95" w:name="_Toc24406"/>
      <w:r>
        <w:rPr>
          <w:rFonts w:hint="eastAsia" w:hAnsi="宋体" w:cs="宋体"/>
          <w:b/>
          <w:szCs w:val="21"/>
          <w:highlight w:val="none"/>
        </w:rPr>
        <w:t>四、服务条件：</w:t>
      </w:r>
      <w:bookmarkEnd w:id="94"/>
      <w:bookmarkEnd w:id="95"/>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（一）服务地点：甲方指定地点。</w:t>
      </w:r>
    </w:p>
    <w:p>
      <w:pPr>
        <w:tabs>
          <w:tab w:val="left" w:pos="480"/>
        </w:tabs>
        <w:spacing w:line="360" w:lineRule="auto"/>
        <w:ind w:firstLine="480" w:firstLineChars="200"/>
        <w:rPr>
          <w:rFonts w:hAnsi="宋体" w:cs="宋体"/>
          <w:szCs w:val="21"/>
          <w:highlight w:val="none"/>
          <w:u w:val="single"/>
        </w:rPr>
      </w:pPr>
      <w:r>
        <w:rPr>
          <w:rFonts w:hint="eastAsia" w:hAnsi="宋体" w:cs="宋体"/>
          <w:szCs w:val="21"/>
          <w:highlight w:val="none"/>
        </w:rPr>
        <w:t>（二）服务期：</w:t>
      </w:r>
      <w:r>
        <w:rPr>
          <w:rFonts w:hint="eastAsia" w:hAnsi="宋体" w:cs="宋体"/>
          <w:szCs w:val="21"/>
          <w:highlight w:val="none"/>
          <w:u w:val="single"/>
        </w:rPr>
        <w:t xml:space="preserve">              </w:t>
      </w:r>
    </w:p>
    <w:p>
      <w:pPr>
        <w:tabs>
          <w:tab w:val="left" w:pos="480"/>
        </w:tabs>
        <w:spacing w:line="360" w:lineRule="auto"/>
        <w:outlineLvl w:val="1"/>
        <w:rPr>
          <w:rFonts w:hAnsi="宋体" w:cs="宋体"/>
          <w:b/>
          <w:szCs w:val="21"/>
          <w:highlight w:val="none"/>
        </w:rPr>
      </w:pPr>
      <w:bookmarkStart w:id="96" w:name="_Toc7966"/>
      <w:bookmarkStart w:id="97" w:name="_Toc27382"/>
      <w:r>
        <w:rPr>
          <w:rFonts w:hint="eastAsia" w:hAnsi="宋体" w:cs="宋体"/>
          <w:b/>
          <w:szCs w:val="21"/>
          <w:highlight w:val="none"/>
        </w:rPr>
        <w:t>五、质量保证</w:t>
      </w:r>
      <w:bookmarkEnd w:id="96"/>
      <w:bookmarkEnd w:id="97"/>
    </w:p>
    <w:p>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1.乙方所提供货物和服务保证技术指标符合要求、质量性能可靠、必须符合国家相关法律法规的要求。</w:t>
      </w:r>
    </w:p>
    <w:p>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2、成交单位应当保证其具有完成本项目所要求的货物和服务所必须具备的专业设备和服务能力。</w:t>
      </w:r>
    </w:p>
    <w:p>
      <w:pPr>
        <w:tabs>
          <w:tab w:val="left" w:pos="480"/>
        </w:tabs>
        <w:spacing w:line="360" w:lineRule="auto"/>
        <w:outlineLvl w:val="1"/>
        <w:rPr>
          <w:rFonts w:hAnsi="宋体" w:cs="宋体"/>
          <w:b/>
          <w:szCs w:val="21"/>
          <w:highlight w:val="none"/>
        </w:rPr>
      </w:pPr>
      <w:bookmarkStart w:id="98" w:name="_Toc21314"/>
      <w:bookmarkStart w:id="99" w:name="_Toc12558"/>
      <w:r>
        <w:rPr>
          <w:rFonts w:hint="eastAsia" w:hAnsi="宋体" w:cs="宋体"/>
          <w:b/>
          <w:szCs w:val="21"/>
          <w:highlight w:val="none"/>
        </w:rPr>
        <w:t>六、技术与服务</w:t>
      </w:r>
      <w:bookmarkEnd w:id="98"/>
      <w:bookmarkEnd w:id="99"/>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（一）技术资料：</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技术资料：</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成交供应商应随同服务提供相应的中文技术文件。</w:t>
      </w:r>
    </w:p>
    <w:p>
      <w:pPr>
        <w:tabs>
          <w:tab w:val="left" w:pos="480"/>
        </w:tabs>
        <w:spacing w:line="360" w:lineRule="auto"/>
        <w:ind w:firstLine="480" w:firstLineChars="200"/>
        <w:rPr>
          <w:highlight w:val="none"/>
        </w:rPr>
      </w:pPr>
      <w:r>
        <w:rPr>
          <w:rFonts w:hint="eastAsia" w:hAnsi="宋体" w:cs="宋体"/>
          <w:szCs w:val="21"/>
          <w:highlight w:val="none"/>
        </w:rPr>
        <w:t>（二）服务承诺：以竞争性磋商响应文件、澄清表（函）、合同和随货物的相关文件为准。</w:t>
      </w:r>
    </w:p>
    <w:p>
      <w:pPr>
        <w:tabs>
          <w:tab w:val="left" w:pos="480"/>
        </w:tabs>
        <w:spacing w:line="360" w:lineRule="auto"/>
        <w:outlineLvl w:val="1"/>
        <w:rPr>
          <w:rFonts w:hAnsi="宋体" w:cs="宋体"/>
          <w:b/>
          <w:szCs w:val="21"/>
          <w:highlight w:val="none"/>
        </w:rPr>
      </w:pPr>
      <w:bookmarkStart w:id="100" w:name="_Toc22161"/>
      <w:bookmarkStart w:id="101" w:name="_Toc12975"/>
      <w:r>
        <w:rPr>
          <w:rFonts w:hint="eastAsia" w:hAnsi="宋体" w:cs="宋体"/>
          <w:b/>
          <w:szCs w:val="21"/>
          <w:highlight w:val="none"/>
        </w:rPr>
        <w:t>七、验收</w:t>
      </w:r>
      <w:bookmarkEnd w:id="100"/>
      <w:bookmarkEnd w:id="101"/>
    </w:p>
    <w:p>
      <w:pPr>
        <w:spacing w:line="360" w:lineRule="auto"/>
        <w:ind w:firstLine="480" w:firstLineChars="200"/>
        <w:rPr>
          <w:highlight w:val="none"/>
        </w:rPr>
      </w:pPr>
      <w:r>
        <w:rPr>
          <w:rFonts w:hint="eastAsia"/>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pPr>
        <w:spacing w:line="360" w:lineRule="auto"/>
        <w:ind w:firstLine="480" w:firstLineChars="200"/>
        <w:rPr>
          <w:highlight w:val="none"/>
        </w:rPr>
      </w:pPr>
      <w:r>
        <w:rPr>
          <w:rFonts w:hint="eastAsia"/>
          <w:highlight w:val="none"/>
        </w:rPr>
        <w:t>2、若发现乙方有弄虚作假的，及在项目实施阶段故意或随意夸大服务，本合同解除，乙方赔偿甲方相应的损失。</w:t>
      </w:r>
    </w:p>
    <w:p>
      <w:pPr>
        <w:spacing w:line="360" w:lineRule="auto"/>
        <w:ind w:firstLine="480" w:firstLineChars="200"/>
        <w:rPr>
          <w:highlight w:val="none"/>
        </w:rPr>
      </w:pPr>
      <w:r>
        <w:rPr>
          <w:rFonts w:hint="eastAsia"/>
          <w:highlight w:val="none"/>
        </w:rPr>
        <w:t>3、验收标准：按磋商文件、磋商响应文件及磋商记录表等技术指标进行逐项验收。各项指标均应符合验收标准及要求。</w:t>
      </w:r>
    </w:p>
    <w:p>
      <w:pPr>
        <w:tabs>
          <w:tab w:val="left" w:pos="480"/>
        </w:tabs>
        <w:spacing w:line="360" w:lineRule="auto"/>
        <w:outlineLvl w:val="1"/>
        <w:rPr>
          <w:rFonts w:hAnsi="宋体" w:cs="宋体"/>
          <w:b/>
          <w:szCs w:val="21"/>
          <w:highlight w:val="none"/>
        </w:rPr>
      </w:pPr>
      <w:bookmarkStart w:id="102" w:name="_Toc9858"/>
      <w:bookmarkStart w:id="103" w:name="_Toc20026"/>
      <w:r>
        <w:rPr>
          <w:rFonts w:hint="eastAsia" w:hAnsi="宋体" w:cs="宋体"/>
          <w:b/>
          <w:szCs w:val="21"/>
          <w:highlight w:val="none"/>
        </w:rPr>
        <w:t>八、违约责任</w:t>
      </w:r>
      <w:bookmarkEnd w:id="102"/>
      <w:bookmarkEnd w:id="103"/>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1、按《中华人民共和国民法典》中的相关条款执行。</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p>
      <w:pPr>
        <w:tabs>
          <w:tab w:val="left" w:pos="480"/>
        </w:tabs>
        <w:spacing w:line="360" w:lineRule="auto"/>
        <w:outlineLvl w:val="1"/>
        <w:rPr>
          <w:rFonts w:hAnsi="宋体" w:cs="宋体"/>
          <w:b/>
          <w:szCs w:val="21"/>
          <w:highlight w:val="none"/>
        </w:rPr>
      </w:pPr>
      <w:bookmarkStart w:id="104" w:name="_Toc13662"/>
      <w:bookmarkStart w:id="105" w:name="_Toc15856"/>
      <w:r>
        <w:rPr>
          <w:rFonts w:hint="eastAsia" w:hAnsi="宋体" w:cs="宋体"/>
          <w:b/>
          <w:szCs w:val="21"/>
          <w:highlight w:val="none"/>
        </w:rPr>
        <w:t>九、合同争议解决的方式</w:t>
      </w:r>
      <w:bookmarkEnd w:id="104"/>
      <w:bookmarkEnd w:id="105"/>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本合同在履行过程中发生的争议，由甲、乙双方当事人协商解决，协商不成的按下列第</w:t>
      </w:r>
      <w:r>
        <w:rPr>
          <w:rFonts w:hint="eastAsia" w:hAnsi="宋体" w:cs="宋体"/>
          <w:szCs w:val="21"/>
          <w:highlight w:val="none"/>
          <w:u w:val="single"/>
        </w:rPr>
        <w:t xml:space="preserve">    </w:t>
      </w:r>
      <w:r>
        <w:rPr>
          <w:rFonts w:hint="eastAsia" w:hAnsi="宋体" w:cs="宋体"/>
          <w:szCs w:val="21"/>
          <w:highlight w:val="none"/>
        </w:rPr>
        <w:t>种方式解决：</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（一）提交</w:t>
      </w:r>
      <w:r>
        <w:rPr>
          <w:rFonts w:hint="eastAsia" w:hAnsi="宋体" w:cs="宋体"/>
          <w:szCs w:val="21"/>
          <w:highlight w:val="none"/>
          <w:u w:val="single"/>
        </w:rPr>
        <w:t xml:space="preserve">        </w:t>
      </w:r>
      <w:r>
        <w:rPr>
          <w:rFonts w:hint="eastAsia" w:hAnsi="宋体" w:cs="宋体"/>
          <w:szCs w:val="21"/>
          <w:highlight w:val="none"/>
        </w:rPr>
        <w:t>仲裁委员会仲裁；</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（二）依法向 </w:t>
      </w:r>
      <w:r>
        <w:rPr>
          <w:rFonts w:hint="eastAsia" w:hAnsi="宋体" w:cs="宋体"/>
          <w:szCs w:val="21"/>
          <w:highlight w:val="none"/>
          <w:u w:val="single"/>
        </w:rPr>
        <w:t xml:space="preserve">       </w:t>
      </w:r>
      <w:r>
        <w:rPr>
          <w:rFonts w:hint="eastAsia" w:hAnsi="宋体" w:cs="宋体"/>
          <w:szCs w:val="21"/>
          <w:highlight w:val="none"/>
        </w:rPr>
        <w:t>所在地人民法院起诉。</w:t>
      </w:r>
    </w:p>
    <w:p>
      <w:pPr>
        <w:tabs>
          <w:tab w:val="left" w:pos="480"/>
        </w:tabs>
        <w:spacing w:line="360" w:lineRule="auto"/>
        <w:outlineLvl w:val="1"/>
        <w:rPr>
          <w:rFonts w:hAnsi="宋体" w:cs="宋体"/>
          <w:b/>
          <w:szCs w:val="21"/>
          <w:highlight w:val="none"/>
        </w:rPr>
      </w:pPr>
      <w:bookmarkStart w:id="106" w:name="_Toc18389"/>
      <w:bookmarkStart w:id="107" w:name="_Toc7342"/>
      <w:r>
        <w:rPr>
          <w:rFonts w:hint="eastAsia" w:hAnsi="宋体" w:cs="宋体"/>
          <w:b/>
          <w:szCs w:val="21"/>
          <w:highlight w:val="none"/>
        </w:rPr>
        <w:t>十、合同生效</w:t>
      </w:r>
      <w:bookmarkEnd w:id="106"/>
      <w:bookmarkEnd w:id="107"/>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本合同一式</w:t>
      </w:r>
      <w:r>
        <w:rPr>
          <w:rFonts w:hint="eastAsia" w:hAnsi="宋体" w:cs="宋体"/>
          <w:szCs w:val="21"/>
          <w:highlight w:val="none"/>
          <w:u w:val="single"/>
        </w:rPr>
        <w:t xml:space="preserve">   </w:t>
      </w:r>
      <w:r>
        <w:rPr>
          <w:rFonts w:hint="eastAsia" w:hAnsi="宋体" w:cs="宋体"/>
          <w:szCs w:val="21"/>
          <w:highlight w:val="none"/>
        </w:rPr>
        <w:t>份，甲方执</w:t>
      </w:r>
      <w:r>
        <w:rPr>
          <w:rFonts w:hint="eastAsia" w:hAnsi="宋体" w:cs="宋体"/>
          <w:szCs w:val="21"/>
          <w:highlight w:val="none"/>
          <w:u w:val="single"/>
        </w:rPr>
        <w:t xml:space="preserve">   </w:t>
      </w:r>
      <w:r>
        <w:rPr>
          <w:rFonts w:hint="eastAsia" w:hAnsi="宋体" w:cs="宋体"/>
          <w:szCs w:val="21"/>
          <w:highlight w:val="none"/>
        </w:rPr>
        <w:t>份，乙方执</w:t>
      </w:r>
      <w:r>
        <w:rPr>
          <w:rFonts w:hint="eastAsia" w:hAnsi="宋体" w:cs="宋体"/>
          <w:szCs w:val="21"/>
          <w:highlight w:val="none"/>
          <w:u w:val="single"/>
        </w:rPr>
        <w:t xml:space="preserve">    </w:t>
      </w:r>
      <w:r>
        <w:rPr>
          <w:rFonts w:hint="eastAsia" w:hAnsi="宋体" w:cs="宋体"/>
          <w:szCs w:val="21"/>
          <w:highlight w:val="none"/>
        </w:rPr>
        <w:t>份，本合同甲、乙、确认各方签字盖章后生效，合同执行完毕后，自动失效（合同的服务承诺则长期有效）。</w:t>
      </w:r>
    </w:p>
    <w:p>
      <w:pPr>
        <w:tabs>
          <w:tab w:val="left" w:pos="480"/>
        </w:tabs>
        <w:spacing w:line="360" w:lineRule="auto"/>
        <w:outlineLvl w:val="1"/>
        <w:rPr>
          <w:rFonts w:hAnsi="宋体" w:cs="宋体"/>
          <w:b/>
          <w:szCs w:val="21"/>
          <w:highlight w:val="none"/>
        </w:rPr>
      </w:pPr>
      <w:bookmarkStart w:id="108" w:name="_Toc823"/>
      <w:bookmarkStart w:id="109" w:name="_Toc18381"/>
      <w:r>
        <w:rPr>
          <w:rFonts w:hint="eastAsia" w:hAnsi="宋体" w:cs="宋体"/>
          <w:b/>
          <w:szCs w:val="21"/>
          <w:highlight w:val="none"/>
        </w:rPr>
        <w:t>十一、其他事项</w:t>
      </w:r>
      <w:bookmarkEnd w:id="108"/>
      <w:bookmarkEnd w:id="109"/>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（一）竞争性磋商文件、竞争性磋商响应文件、澄清表（函）、成交通知书、合同附件均成为合同不可分割的部分。</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（二）合同未尽事宜，由甲、乙双方协商，作为合同补充，与原合同具有同等法律效力。</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（三）合同一经签订，不得擅自变更、中止或终止合同。但若与甲方的上级管理机关的政策性行为或其他规定发生冲突，甲方有权与乙方协商调整协议内容或终止协议执行。</w:t>
      </w:r>
    </w:p>
    <w:p>
      <w:pPr>
        <w:spacing w:line="360" w:lineRule="auto"/>
        <w:ind w:firstLine="420"/>
        <w:rPr>
          <w:szCs w:val="24"/>
          <w:highlight w:val="none"/>
        </w:rPr>
      </w:pPr>
      <w:r>
        <w:rPr>
          <w:rFonts w:hint="eastAsia" w:hAnsi="宋体"/>
          <w:szCs w:val="24"/>
          <w:highlight w:val="none"/>
        </w:rPr>
        <w:t>（四）执行本合同过程中发生争议，由当事人双方协商解决。协商不成，可向采购方所在地人民法院提起诉讼。</w:t>
      </w:r>
    </w:p>
    <w:p>
      <w:pPr>
        <w:spacing w:line="360" w:lineRule="auto"/>
        <w:ind w:firstLine="420"/>
        <w:rPr>
          <w:szCs w:val="24"/>
          <w:highlight w:val="none"/>
        </w:rPr>
      </w:pPr>
      <w:r>
        <w:rPr>
          <w:rFonts w:hint="eastAsia" w:hAnsi="宋体"/>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w:t>
      </w:r>
      <w:r>
        <w:rPr>
          <w:rFonts w:hint="eastAsia" w:hAnsi="宋体"/>
          <w:szCs w:val="24"/>
          <w:highlight w:val="none"/>
        </w:rPr>
        <w:t>六</w:t>
      </w:r>
      <w:r>
        <w:rPr>
          <w:rFonts w:hint="eastAsia" w:hAnsi="宋体" w:cs="宋体"/>
          <w:szCs w:val="21"/>
          <w:highlight w:val="none"/>
        </w:rPr>
        <w:t>）本合同按照中华人民共和国的现行法律进行解释。</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甲  方：（盖章）                          乙  方：（盖章）</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单位名称：                                单位名称：</w:t>
      </w:r>
    </w:p>
    <w:p>
      <w:pPr>
        <w:tabs>
          <w:tab w:val="left" w:pos="480"/>
        </w:tabs>
        <w:spacing w:line="360" w:lineRule="auto"/>
        <w:ind w:left="6720" w:leftChars="200" w:hanging="6240" w:hangingChars="2600"/>
        <w:rPr>
          <w:rFonts w:hAnsi="宋体" w:cs="宋体"/>
          <w:szCs w:val="21"/>
          <w:highlight w:val="none"/>
        </w:rPr>
      </w:pPr>
      <w:r>
        <w:rPr>
          <w:rFonts w:hint="eastAsia" w:hAnsi="宋体" w:cs="宋体"/>
          <w:szCs w:val="21"/>
          <w:highlight w:val="none"/>
        </w:rPr>
        <w:t>地  址：                                  地  址：</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法定代表人                                法定代表人</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或委托代理人：                            或委托代理人：</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                                          开户银行：</w:t>
      </w:r>
    </w:p>
    <w:p>
      <w:pPr>
        <w:tabs>
          <w:tab w:val="left" w:pos="480"/>
        </w:tabs>
        <w:spacing w:line="360" w:lineRule="auto"/>
        <w:ind w:firstLine="5520" w:firstLineChars="2300"/>
        <w:rPr>
          <w:rFonts w:hAnsi="宋体" w:cs="宋体"/>
          <w:szCs w:val="21"/>
          <w:highlight w:val="none"/>
        </w:rPr>
      </w:pPr>
      <w:r>
        <w:rPr>
          <w:rFonts w:hint="eastAsia" w:hAnsi="宋体" w:cs="宋体"/>
          <w:szCs w:val="21"/>
          <w:highlight w:val="none"/>
        </w:rPr>
        <w:t xml:space="preserve">账  号：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联系电话：                                联系电话：</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签订日期：     年    月      日           签订日期：     年    月   日</w:t>
      </w:r>
    </w:p>
    <w:p>
      <w:pPr>
        <w:rPr>
          <w:highlight w:val="none"/>
        </w:rPr>
      </w:pPr>
    </w:p>
    <w:p>
      <w:pPr>
        <w:pStyle w:val="3"/>
        <w:jc w:val="center"/>
        <w:rPr>
          <w:rFonts w:ascii="宋体" w:eastAsia="宋体" w:cs="宋体"/>
          <w:bCs/>
          <w:sz w:val="36"/>
          <w:szCs w:val="36"/>
          <w:highlight w:val="none"/>
        </w:rPr>
      </w:pPr>
      <w:r>
        <w:rPr>
          <w:rFonts w:hint="eastAsia" w:ascii="宋体" w:eastAsia="宋体" w:cs="宋体"/>
          <w:b w:val="0"/>
          <w:szCs w:val="21"/>
          <w:highlight w:val="none"/>
        </w:rPr>
        <w:br w:type="page"/>
      </w:r>
      <w:bookmarkStart w:id="110" w:name="_Toc1119"/>
      <w:bookmarkStart w:id="111" w:name="_Toc4254"/>
      <w:r>
        <w:rPr>
          <w:rFonts w:hint="eastAsia" w:ascii="宋体" w:eastAsia="宋体" w:cs="宋体"/>
          <w:bCs/>
          <w:sz w:val="36"/>
          <w:szCs w:val="36"/>
          <w:highlight w:val="none"/>
        </w:rPr>
        <w:t xml:space="preserve">第五章 </w:t>
      </w:r>
      <w:bookmarkEnd w:id="75"/>
      <w:bookmarkEnd w:id="76"/>
      <w:bookmarkEnd w:id="77"/>
      <w:bookmarkEnd w:id="78"/>
      <w:bookmarkEnd w:id="79"/>
      <w:bookmarkEnd w:id="80"/>
      <w:bookmarkEnd w:id="81"/>
      <w:bookmarkEnd w:id="82"/>
      <w:bookmarkEnd w:id="83"/>
      <w:r>
        <w:rPr>
          <w:rFonts w:hint="eastAsia" w:ascii="宋体" w:eastAsia="宋体" w:cs="宋体"/>
          <w:bCs/>
          <w:sz w:val="36"/>
          <w:szCs w:val="36"/>
          <w:highlight w:val="none"/>
        </w:rPr>
        <w:t xml:space="preserve"> 磋商内容及技术要求</w:t>
      </w:r>
      <w:bookmarkEnd w:id="110"/>
      <w:bookmarkEnd w:id="111"/>
    </w:p>
    <w:p>
      <w:pPr>
        <w:jc w:val="center"/>
        <w:rPr>
          <w:rFonts w:hAnsi="宋体" w:cs="宋体"/>
          <w:b/>
          <w:bCs/>
          <w:sz w:val="28"/>
          <w:szCs w:val="28"/>
          <w:highlight w:val="none"/>
        </w:rPr>
      </w:pPr>
      <w:bookmarkStart w:id="112" w:name="_Toc23856"/>
      <w:bookmarkStart w:id="113" w:name="_Toc11450"/>
      <w:bookmarkStart w:id="114" w:name="_Toc4053"/>
      <w:bookmarkStart w:id="115" w:name="_Toc389582038"/>
      <w:bookmarkStart w:id="116" w:name="_Toc1025"/>
      <w:bookmarkStart w:id="117" w:name="_Toc20481"/>
      <w:bookmarkStart w:id="118" w:name="_Toc18831"/>
      <w:bookmarkStart w:id="119" w:name="_Toc2711"/>
    </w:p>
    <w:bookmarkEnd w:id="52"/>
    <w:bookmarkEnd w:id="112"/>
    <w:bookmarkEnd w:id="113"/>
    <w:bookmarkEnd w:id="114"/>
    <w:bookmarkEnd w:id="115"/>
    <w:bookmarkEnd w:id="116"/>
    <w:bookmarkEnd w:id="117"/>
    <w:bookmarkEnd w:id="118"/>
    <w:bookmarkEnd w:id="119"/>
    <w:p>
      <w:pPr>
        <w:pBdr>
          <w:bottom w:val="single" w:color="auto" w:sz="4" w:space="1"/>
        </w:pBdr>
        <w:spacing w:before="312" w:beforeLines="100"/>
        <w:ind w:left="420" w:hanging="420"/>
        <w:rPr>
          <w:rFonts w:ascii="仿宋" w:hAnsi="仿宋" w:eastAsia="仿宋"/>
          <w:b/>
          <w:sz w:val="28"/>
          <w:szCs w:val="28"/>
          <w:highlight w:val="none"/>
        </w:rPr>
      </w:pPr>
      <w:bookmarkStart w:id="120" w:name="_Toc363474025"/>
      <w:bookmarkStart w:id="121" w:name="_Toc423973079"/>
      <w:bookmarkStart w:id="122" w:name="_Toc403077646"/>
      <w:bookmarkStart w:id="123" w:name="_Toc5084"/>
      <w:bookmarkStart w:id="124" w:name="_Toc6373"/>
      <w:r>
        <w:rPr>
          <w:rFonts w:ascii="仿宋" w:hAnsi="仿宋" w:eastAsia="仿宋"/>
          <w:b/>
          <w:sz w:val="28"/>
          <w:szCs w:val="28"/>
          <w:highlight w:val="none"/>
        </w:rPr>
        <w:t>一、项目</w:t>
      </w:r>
      <w:r>
        <w:rPr>
          <w:rFonts w:hint="eastAsia" w:ascii="仿宋" w:hAnsi="仿宋" w:eastAsia="仿宋"/>
          <w:b/>
          <w:sz w:val="28"/>
          <w:szCs w:val="28"/>
          <w:highlight w:val="none"/>
        </w:rPr>
        <w:t>概况</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根据区卫健局《关于印发西安市鄠邑区医院安防系统建设实施方案》(鄠卫发(2022)16 号)区医保局信息化工作领导小组办公室《关于做好全区医保信息系统网络安全管理工作的通知》(鄠医保发〔2022)5号)《关于加强涉疫工作部署文件及涉疫信息安全管理工作的通知》(陕肺炎办函(2022〕13 号)文件要求，近年来，区网信办、西安市公安局鄠邑分局网络安全保卫大队多次对我院网络安全隐患进行了通报,为满足信息安全建设及上级部门保密工作要求，尽快消除我院安全隐患，保证医院信息化网络安全平稳运行，经院务会议研究决定，对我院网络安全进行升级，升级后通过等级保护三级测评，并完成备案”。</w:t>
      </w:r>
    </w:p>
    <w:p>
      <w:pPr>
        <w:pBdr>
          <w:bottom w:val="single" w:color="auto" w:sz="4" w:space="1"/>
        </w:pBdr>
        <w:spacing w:before="312" w:beforeLines="100"/>
        <w:ind w:left="420" w:hanging="420"/>
        <w:rPr>
          <w:rFonts w:ascii="仿宋" w:hAnsi="仿宋" w:eastAsia="仿宋"/>
          <w:b/>
          <w:sz w:val="28"/>
          <w:szCs w:val="28"/>
          <w:highlight w:val="none"/>
        </w:rPr>
      </w:pPr>
      <w:r>
        <w:rPr>
          <w:rFonts w:hint="eastAsia" w:ascii="仿宋" w:hAnsi="仿宋" w:eastAsia="仿宋"/>
          <w:b/>
          <w:sz w:val="28"/>
          <w:szCs w:val="28"/>
          <w:highlight w:val="none"/>
        </w:rPr>
        <w:t>二、服务内容（包括工作区域、工作内容等）</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鄠邑区人民医院的网络安全系统建设升级项目内容包括:出口防火墙、上网行为管理、日志收集与分析系统、堡垒机、第三方测评服务、管理交换机、核心防火墙、专线接入防火墙、网络准入控制、数据库审计系统、漏洞扫描等进行全面补充升级，对医院门诊楼进行网络改造，并对工程师进行系统性网络安全培训，提供 CISP 安全培训级考试等。</w:t>
      </w:r>
    </w:p>
    <w:p>
      <w:pPr>
        <w:rPr>
          <w:rFonts w:ascii="仿宋" w:hAnsi="仿宋" w:eastAsia="仿宋"/>
          <w:b/>
          <w:sz w:val="28"/>
          <w:szCs w:val="28"/>
          <w:highlight w:val="none"/>
        </w:rPr>
      </w:pPr>
      <w:r>
        <w:rPr>
          <w:rFonts w:hint="eastAsia" w:ascii="仿宋" w:hAnsi="仿宋" w:eastAsia="仿宋"/>
          <w:b/>
          <w:sz w:val="28"/>
          <w:szCs w:val="28"/>
          <w:highlight w:val="none"/>
        </w:rPr>
        <w:br w:type="page"/>
      </w:r>
    </w:p>
    <w:p>
      <w:pPr>
        <w:pBdr>
          <w:bottom w:val="single" w:color="auto" w:sz="4" w:space="1"/>
        </w:pBdr>
        <w:spacing w:before="312" w:beforeLines="100"/>
        <w:ind w:left="420" w:hanging="420"/>
        <w:rPr>
          <w:rFonts w:ascii="仿宋" w:hAnsi="仿宋" w:eastAsia="仿宋"/>
          <w:b/>
          <w:sz w:val="28"/>
          <w:szCs w:val="28"/>
          <w:highlight w:val="none"/>
        </w:rPr>
      </w:pPr>
      <w:r>
        <w:rPr>
          <w:rFonts w:hint="eastAsia" w:ascii="仿宋" w:hAnsi="仿宋" w:eastAsia="仿宋"/>
          <w:b/>
          <w:sz w:val="28"/>
          <w:szCs w:val="28"/>
          <w:highlight w:val="none"/>
        </w:rPr>
        <w:t>三、技术要求（如有，一般适合于技术服务项目）</w:t>
      </w:r>
    </w:p>
    <w:p>
      <w:pPr>
        <w:pStyle w:val="8"/>
        <w:numPr>
          <w:ilvl w:val="0"/>
          <w:numId w:val="5"/>
        </w:numPr>
        <w:spacing w:line="360" w:lineRule="auto"/>
        <w:ind w:firstLine="482"/>
        <w:rPr>
          <w:rFonts w:ascii="仿宋" w:hAnsi="仿宋" w:eastAsia="仿宋" w:cs="宋体"/>
          <w:b/>
          <w:bCs/>
          <w:sz w:val="24"/>
          <w:highlight w:val="none"/>
          <w:lang w:bidi="zh-CN"/>
        </w:rPr>
      </w:pPr>
      <w:r>
        <w:rPr>
          <w:rFonts w:hint="eastAsia" w:ascii="仿宋" w:hAnsi="仿宋" w:eastAsia="仿宋" w:cs="宋体"/>
          <w:b/>
          <w:bCs/>
          <w:sz w:val="24"/>
          <w:highlight w:val="none"/>
        </w:rPr>
        <w:t>服务目标：</w:t>
      </w:r>
    </w:p>
    <w:p>
      <w:pPr>
        <w:pStyle w:val="8"/>
        <w:spacing w:line="360" w:lineRule="auto"/>
        <w:ind w:firstLine="480"/>
        <w:rPr>
          <w:rFonts w:ascii="仿宋" w:hAnsi="仿宋" w:eastAsia="仿宋" w:cs="宋体"/>
          <w:sz w:val="24"/>
          <w:highlight w:val="none"/>
          <w:lang w:bidi="zh-CN"/>
        </w:rPr>
      </w:pPr>
      <w:r>
        <w:rPr>
          <w:rFonts w:hint="eastAsia" w:ascii="仿宋" w:hAnsi="仿宋" w:eastAsia="仿宋" w:cs="宋体"/>
          <w:sz w:val="24"/>
          <w:highlight w:val="none"/>
          <w:lang w:bidi="zh-CN"/>
        </w:rPr>
        <w:t>通过购买设备及运维保障服务，完成网络优化、安全加固和安全防护保障，在解决现有问题的基础上至少达到如下目标：</w:t>
      </w:r>
    </w:p>
    <w:p>
      <w:pPr>
        <w:pStyle w:val="8"/>
        <w:spacing w:line="360" w:lineRule="auto"/>
        <w:ind w:firstLineChars="175"/>
        <w:rPr>
          <w:rFonts w:ascii="仿宋" w:hAnsi="仿宋" w:eastAsia="仿宋" w:cs="宋体"/>
          <w:sz w:val="24"/>
          <w:highlight w:val="none"/>
          <w:lang w:bidi="zh-CN"/>
        </w:rPr>
      </w:pPr>
      <w:r>
        <w:rPr>
          <w:rFonts w:hint="eastAsia" w:ascii="仿宋" w:hAnsi="仿宋" w:eastAsia="仿宋" w:cs="宋体"/>
          <w:sz w:val="24"/>
          <w:highlight w:val="none"/>
          <w:lang w:bidi="zh-CN"/>
        </w:rPr>
        <w:t>1.在服务实施后能够通过等级保护整体服务，必须通过等级保护 2.0 第三级防护要求；</w:t>
      </w:r>
    </w:p>
    <w:p>
      <w:pPr>
        <w:pStyle w:val="8"/>
        <w:spacing w:line="360" w:lineRule="auto"/>
        <w:ind w:firstLineChars="0"/>
        <w:rPr>
          <w:rFonts w:ascii="仿宋" w:hAnsi="仿宋" w:eastAsia="仿宋" w:cs="宋体"/>
          <w:sz w:val="24"/>
          <w:highlight w:val="none"/>
          <w:lang w:bidi="zh-CN"/>
        </w:rPr>
      </w:pPr>
      <w:r>
        <w:rPr>
          <w:rFonts w:ascii="仿宋" w:hAnsi="仿宋" w:eastAsia="仿宋" w:cs="宋体"/>
          <w:sz w:val="24"/>
          <w:highlight w:val="none"/>
          <w:lang w:bidi="zh-CN"/>
        </w:rPr>
        <w:t>2.</w:t>
      </w:r>
      <w:r>
        <w:rPr>
          <w:rFonts w:hint="eastAsia" w:ascii="仿宋" w:hAnsi="仿宋" w:eastAsia="仿宋" w:cs="宋体"/>
          <w:sz w:val="24"/>
          <w:highlight w:val="none"/>
          <w:lang w:bidi="zh-CN"/>
        </w:rPr>
        <w:t>完成现有网络的优化服务，包含网络整体优化和加固、符合等级保护的安全域划分、网络改造等；</w:t>
      </w:r>
    </w:p>
    <w:p>
      <w:pPr>
        <w:pStyle w:val="8"/>
        <w:spacing w:line="360" w:lineRule="auto"/>
        <w:ind w:firstLineChars="0"/>
        <w:rPr>
          <w:rFonts w:ascii="仿宋" w:hAnsi="仿宋" w:eastAsia="仿宋" w:cs="宋体"/>
          <w:sz w:val="24"/>
          <w:highlight w:val="none"/>
          <w:lang w:bidi="zh-CN"/>
        </w:rPr>
      </w:pPr>
      <w:r>
        <w:rPr>
          <w:rFonts w:hint="eastAsia" w:ascii="仿宋" w:hAnsi="仿宋" w:eastAsia="仿宋" w:cs="宋体"/>
          <w:sz w:val="24"/>
          <w:highlight w:val="none"/>
          <w:lang w:bidi="zh-CN"/>
        </w:rPr>
        <w:t>3.服务期三年内，对所提供的所有安全产品进行定期安全巡检，确保产品稳定运行及网络安全运行。</w:t>
      </w:r>
    </w:p>
    <w:p>
      <w:pPr>
        <w:pStyle w:val="8"/>
        <w:numPr>
          <w:ilvl w:val="0"/>
          <w:numId w:val="5"/>
        </w:numPr>
        <w:spacing w:line="360" w:lineRule="auto"/>
        <w:ind w:firstLine="482"/>
        <w:rPr>
          <w:rFonts w:ascii="仿宋" w:hAnsi="仿宋" w:eastAsia="仿宋" w:cs="宋体"/>
          <w:b/>
          <w:bCs/>
          <w:sz w:val="24"/>
          <w:highlight w:val="none"/>
          <w:lang w:bidi="zh-CN"/>
        </w:rPr>
      </w:pPr>
      <w:r>
        <w:rPr>
          <w:rFonts w:ascii="仿宋" w:hAnsi="仿宋" w:eastAsia="仿宋" w:cs="宋体"/>
          <w:b/>
          <w:bCs/>
          <w:sz w:val="24"/>
          <w:highlight w:val="none"/>
          <w:lang w:bidi="zh-CN"/>
        </w:rPr>
        <w:t>服务内容</w:t>
      </w:r>
      <w:r>
        <w:rPr>
          <w:rFonts w:hint="eastAsia" w:ascii="仿宋" w:hAnsi="仿宋" w:eastAsia="仿宋" w:cs="宋体"/>
          <w:b/>
          <w:bCs/>
          <w:sz w:val="24"/>
          <w:highlight w:val="none"/>
          <w:lang w:bidi="zh-CN"/>
        </w:rPr>
        <w:t>及配套设备</w:t>
      </w:r>
    </w:p>
    <w:p>
      <w:pPr>
        <w:pStyle w:val="8"/>
        <w:spacing w:line="360" w:lineRule="auto"/>
        <w:ind w:firstLineChars="0"/>
        <w:rPr>
          <w:rFonts w:ascii="仿宋" w:hAnsi="仿宋" w:eastAsia="仿宋" w:cs="宋体"/>
          <w:sz w:val="24"/>
          <w:highlight w:val="none"/>
          <w:lang w:bidi="zh-CN"/>
        </w:rPr>
      </w:pPr>
      <w:r>
        <w:rPr>
          <w:rFonts w:hint="eastAsia" w:ascii="仿宋" w:hAnsi="仿宋" w:eastAsia="仿宋" w:cs="宋体"/>
          <w:b/>
          <w:bCs/>
          <w:sz w:val="24"/>
          <w:highlight w:val="none"/>
          <w:lang w:bidi="zh-CN"/>
        </w:rPr>
        <w:t>2.1</w:t>
      </w:r>
      <w:r>
        <w:rPr>
          <w:rFonts w:ascii="仿宋" w:hAnsi="仿宋" w:eastAsia="仿宋" w:cs="宋体"/>
          <w:b/>
          <w:bCs/>
          <w:sz w:val="24"/>
          <w:highlight w:val="none"/>
          <w:lang w:bidi="zh-CN"/>
        </w:rPr>
        <w:t>服务内容</w:t>
      </w:r>
      <w:r>
        <w:rPr>
          <w:rFonts w:hint="eastAsia" w:ascii="仿宋" w:hAnsi="仿宋" w:eastAsia="仿宋" w:cs="宋体"/>
          <w:b/>
          <w:bCs/>
          <w:sz w:val="24"/>
          <w:highlight w:val="none"/>
          <w:lang w:bidi="zh-CN"/>
        </w:rPr>
        <w:t>及配套设备：</w:t>
      </w:r>
      <w:r>
        <w:rPr>
          <w:rFonts w:ascii="仿宋" w:hAnsi="仿宋" w:eastAsia="仿宋" w:cs="宋体"/>
          <w:sz w:val="24"/>
          <w:highlight w:val="none"/>
          <w:lang w:bidi="zh-CN"/>
        </w:rPr>
        <w:t>对网络安全</w:t>
      </w:r>
      <w:r>
        <w:rPr>
          <w:rFonts w:hint="eastAsia" w:ascii="仿宋" w:hAnsi="仿宋" w:eastAsia="仿宋" w:cs="宋体"/>
          <w:sz w:val="24"/>
          <w:highlight w:val="none"/>
          <w:lang w:bidi="zh-CN"/>
        </w:rPr>
        <w:t>进行</w:t>
      </w:r>
      <w:r>
        <w:rPr>
          <w:rFonts w:ascii="仿宋" w:hAnsi="仿宋" w:eastAsia="仿宋" w:cs="宋体"/>
          <w:sz w:val="24"/>
          <w:highlight w:val="none"/>
          <w:lang w:bidi="zh-CN"/>
        </w:rPr>
        <w:t>整体升级再建，以</w:t>
      </w:r>
      <w:r>
        <w:rPr>
          <w:rFonts w:hint="eastAsia" w:ascii="仿宋" w:hAnsi="仿宋" w:eastAsia="仿宋" w:cs="宋体"/>
          <w:sz w:val="24"/>
          <w:highlight w:val="none"/>
          <w:lang w:bidi="zh-CN"/>
        </w:rPr>
        <w:t>实现网络安全合规要求</w:t>
      </w:r>
      <w:r>
        <w:rPr>
          <w:rFonts w:ascii="仿宋" w:hAnsi="仿宋" w:eastAsia="仿宋" w:cs="宋体"/>
          <w:sz w:val="24"/>
          <w:highlight w:val="none"/>
          <w:lang w:bidi="zh-CN"/>
        </w:rPr>
        <w:t>，建设</w:t>
      </w:r>
      <w:r>
        <w:rPr>
          <w:rFonts w:hint="eastAsia" w:ascii="仿宋" w:hAnsi="仿宋" w:eastAsia="仿宋" w:cs="宋体"/>
          <w:sz w:val="24"/>
          <w:highlight w:val="none"/>
          <w:lang w:bidi="zh-CN"/>
        </w:rPr>
        <w:t>网络</w:t>
      </w:r>
      <w:r>
        <w:rPr>
          <w:rFonts w:ascii="仿宋" w:hAnsi="仿宋" w:eastAsia="仿宋" w:cs="宋体"/>
          <w:sz w:val="24"/>
          <w:highlight w:val="none"/>
          <w:lang w:bidi="zh-CN"/>
        </w:rPr>
        <w:t>安全技术</w:t>
      </w:r>
      <w:r>
        <w:rPr>
          <w:rFonts w:hint="eastAsia" w:ascii="仿宋" w:hAnsi="仿宋" w:eastAsia="仿宋" w:cs="宋体"/>
          <w:sz w:val="24"/>
          <w:highlight w:val="none"/>
          <w:lang w:bidi="zh-CN"/>
        </w:rPr>
        <w:t>保障</w:t>
      </w:r>
      <w:r>
        <w:rPr>
          <w:rFonts w:ascii="仿宋" w:hAnsi="仿宋" w:eastAsia="仿宋" w:cs="宋体"/>
          <w:sz w:val="24"/>
          <w:highlight w:val="none"/>
          <w:lang w:bidi="zh-CN"/>
        </w:rPr>
        <w:t>体系为目标，打造科学实用的安全防护能力、安全风险监测能力，落实</w:t>
      </w:r>
      <w:r>
        <w:rPr>
          <w:rFonts w:hint="eastAsia" w:ascii="仿宋" w:hAnsi="仿宋" w:eastAsia="仿宋" w:cs="宋体"/>
          <w:sz w:val="24"/>
          <w:highlight w:val="none"/>
          <w:lang w:bidi="zh-CN"/>
        </w:rPr>
        <w:t>医疗行业相关</w:t>
      </w:r>
      <w:r>
        <w:rPr>
          <w:rFonts w:ascii="仿宋" w:hAnsi="仿宋" w:eastAsia="仿宋" w:cs="宋体"/>
          <w:sz w:val="24"/>
          <w:highlight w:val="none"/>
          <w:lang w:bidi="zh-CN"/>
        </w:rPr>
        <w:t>法律法规</w:t>
      </w:r>
      <w:r>
        <w:rPr>
          <w:rFonts w:hint="eastAsia" w:ascii="仿宋" w:hAnsi="仿宋" w:eastAsia="仿宋" w:cs="宋体"/>
          <w:sz w:val="24"/>
          <w:highlight w:val="none"/>
          <w:lang w:bidi="zh-CN"/>
        </w:rPr>
        <w:t>以及上级文件要求</w:t>
      </w:r>
      <w:r>
        <w:rPr>
          <w:rFonts w:ascii="仿宋" w:hAnsi="仿宋" w:eastAsia="仿宋" w:cs="宋体"/>
          <w:sz w:val="24"/>
          <w:highlight w:val="none"/>
          <w:lang w:bidi="zh-CN"/>
        </w:rPr>
        <w:t>，同时满足</w:t>
      </w:r>
      <w:r>
        <w:rPr>
          <w:rFonts w:hint="eastAsia" w:ascii="仿宋" w:hAnsi="仿宋" w:eastAsia="仿宋" w:cs="宋体"/>
          <w:sz w:val="24"/>
          <w:highlight w:val="none"/>
          <w:lang w:bidi="zh-CN"/>
        </w:rPr>
        <w:t>医院</w:t>
      </w:r>
      <w:r>
        <w:rPr>
          <w:rFonts w:ascii="仿宋" w:hAnsi="仿宋" w:eastAsia="仿宋" w:cs="宋体"/>
          <w:sz w:val="24"/>
          <w:highlight w:val="none"/>
          <w:lang w:bidi="zh-CN"/>
        </w:rPr>
        <w:t>的安全防护需要</w:t>
      </w:r>
      <w:r>
        <w:rPr>
          <w:rFonts w:hint="eastAsia" w:ascii="仿宋" w:hAnsi="仿宋" w:eastAsia="仿宋" w:cs="宋体"/>
          <w:sz w:val="24"/>
          <w:highlight w:val="none"/>
          <w:lang w:bidi="zh-CN"/>
        </w:rPr>
        <w:t>，</w:t>
      </w:r>
      <w:r>
        <w:rPr>
          <w:rFonts w:ascii="仿宋" w:hAnsi="仿宋" w:eastAsia="仿宋" w:cs="宋体"/>
          <w:sz w:val="24"/>
          <w:highlight w:val="none"/>
          <w:lang w:bidi="zh-CN"/>
        </w:rPr>
        <w:t>供应商在</w:t>
      </w:r>
      <w:r>
        <w:rPr>
          <w:rFonts w:hint="eastAsia" w:ascii="仿宋" w:hAnsi="仿宋" w:eastAsia="仿宋" w:cs="宋体"/>
          <w:sz w:val="24"/>
          <w:highlight w:val="none"/>
          <w:lang w:bidi="zh-CN"/>
        </w:rPr>
        <w:t>实际</w:t>
      </w:r>
      <w:r>
        <w:rPr>
          <w:rFonts w:ascii="仿宋" w:hAnsi="仿宋" w:eastAsia="仿宋" w:cs="宋体"/>
          <w:sz w:val="24"/>
          <w:highlight w:val="none"/>
          <w:lang w:bidi="zh-CN"/>
        </w:rPr>
        <w:t>提供服务时应至少考虑业务扩展和变化，平台系统新的业务上线需求，</w:t>
      </w:r>
      <w:r>
        <w:rPr>
          <w:rFonts w:hint="eastAsia" w:ascii="仿宋" w:hAnsi="仿宋" w:eastAsia="仿宋" w:cs="宋体"/>
          <w:sz w:val="24"/>
          <w:highlight w:val="none"/>
          <w:lang w:bidi="zh-CN"/>
        </w:rPr>
        <w:t>可</w:t>
      </w:r>
      <w:r>
        <w:rPr>
          <w:rFonts w:ascii="仿宋" w:hAnsi="仿宋" w:eastAsia="仿宋" w:cs="宋体"/>
          <w:sz w:val="24"/>
          <w:highlight w:val="none"/>
          <w:lang w:bidi="zh-CN"/>
        </w:rPr>
        <w:t>提供必要的设备接口、性能及服务内容的冗余量，能够适应未来业务发展的需求，同时，不能提出服务费用的追加</w:t>
      </w:r>
      <w:r>
        <w:rPr>
          <w:rFonts w:hint="eastAsia" w:ascii="仿宋" w:hAnsi="仿宋" w:eastAsia="仿宋" w:cs="宋体"/>
          <w:sz w:val="24"/>
          <w:highlight w:val="none"/>
          <w:lang w:bidi="zh-CN"/>
        </w:rPr>
        <w:t>。</w:t>
      </w:r>
      <w:r>
        <w:rPr>
          <w:rFonts w:ascii="仿宋" w:hAnsi="仿宋" w:eastAsia="仿宋" w:cs="宋体"/>
          <w:sz w:val="24"/>
          <w:highlight w:val="none"/>
          <w:lang w:bidi="zh-CN"/>
        </w:rPr>
        <w:t>供应商应针对</w:t>
      </w:r>
      <w:r>
        <w:rPr>
          <w:rFonts w:hint="eastAsia" w:ascii="仿宋" w:hAnsi="仿宋" w:eastAsia="仿宋" w:cs="宋体"/>
          <w:sz w:val="24"/>
          <w:highlight w:val="none"/>
          <w:lang w:bidi="zh-CN"/>
        </w:rPr>
        <w:t>医院网络</w:t>
      </w:r>
      <w:r>
        <w:rPr>
          <w:rFonts w:ascii="仿宋" w:hAnsi="仿宋" w:eastAsia="仿宋" w:cs="宋体"/>
          <w:sz w:val="24"/>
          <w:highlight w:val="none"/>
          <w:lang w:bidi="zh-CN"/>
        </w:rPr>
        <w:t>现状，提供合理的</w:t>
      </w:r>
      <w:r>
        <w:rPr>
          <w:rFonts w:hint="eastAsia" w:ascii="仿宋" w:hAnsi="仿宋" w:eastAsia="仿宋" w:cs="宋体"/>
          <w:sz w:val="24"/>
          <w:highlight w:val="none"/>
          <w:lang w:bidi="zh-CN"/>
        </w:rPr>
        <w:t>安全服务</w:t>
      </w:r>
      <w:r>
        <w:rPr>
          <w:rFonts w:ascii="仿宋" w:hAnsi="仿宋" w:eastAsia="仿宋" w:cs="宋体"/>
          <w:sz w:val="24"/>
          <w:highlight w:val="none"/>
          <w:lang w:bidi="zh-CN"/>
        </w:rPr>
        <w:t>解决方案，</w:t>
      </w:r>
      <w:r>
        <w:rPr>
          <w:rFonts w:hint="eastAsia" w:ascii="仿宋" w:hAnsi="仿宋" w:eastAsia="仿宋" w:cs="宋体"/>
          <w:sz w:val="24"/>
          <w:highlight w:val="none"/>
          <w:lang w:bidi="zh-CN"/>
        </w:rPr>
        <w:t>并且需要提供部分专业的安全服务作为服务方案的补充，主要内容包含如下</w:t>
      </w:r>
      <w:r>
        <w:rPr>
          <w:rFonts w:ascii="仿宋" w:hAnsi="仿宋" w:eastAsia="仿宋" w:cs="宋体"/>
          <w:sz w:val="24"/>
          <w:highlight w:val="none"/>
          <w:lang w:bidi="zh-CN"/>
        </w:rPr>
        <w:t>：</w:t>
      </w:r>
    </w:p>
    <w:p>
      <w:pPr>
        <w:pStyle w:val="8"/>
        <w:spacing w:line="360" w:lineRule="auto"/>
        <w:ind w:firstLine="480"/>
        <w:rPr>
          <w:rFonts w:ascii="仿宋" w:hAnsi="仿宋" w:eastAsia="仿宋" w:cs="宋体"/>
          <w:sz w:val="24"/>
          <w:highlight w:val="none"/>
          <w:lang w:bidi="zh-CN"/>
        </w:rPr>
      </w:pPr>
      <w:r>
        <w:rPr>
          <w:rFonts w:hint="eastAsia" w:ascii="仿宋" w:hAnsi="仿宋" w:eastAsia="仿宋" w:cs="宋体"/>
          <w:sz w:val="24"/>
          <w:highlight w:val="none"/>
          <w:lang w:bidi="zh-CN"/>
        </w:rPr>
        <w:t>1）</w:t>
      </w:r>
      <w:r>
        <w:rPr>
          <w:rFonts w:ascii="仿宋" w:hAnsi="仿宋" w:eastAsia="仿宋" w:cs="宋体"/>
          <w:sz w:val="24"/>
          <w:highlight w:val="none"/>
          <w:lang w:bidi="zh-CN"/>
        </w:rPr>
        <w:t>在满足建设目标的基础上，依据网络安全法等法律和标准的要求，结合</w:t>
      </w:r>
      <w:r>
        <w:rPr>
          <w:rFonts w:hint="eastAsia" w:ascii="仿宋" w:hAnsi="仿宋" w:eastAsia="仿宋" w:cs="宋体"/>
          <w:sz w:val="24"/>
          <w:highlight w:val="none"/>
          <w:lang w:bidi="zh-CN"/>
        </w:rPr>
        <w:t>医院网络和业务</w:t>
      </w:r>
      <w:r>
        <w:rPr>
          <w:rFonts w:ascii="仿宋" w:hAnsi="仿宋" w:eastAsia="仿宋" w:cs="宋体"/>
          <w:sz w:val="24"/>
          <w:highlight w:val="none"/>
          <w:lang w:bidi="zh-CN"/>
        </w:rPr>
        <w:t>系统的实际情况，仔细阅读各项需求，完成详细的、完整的优秀服务提供方案。包含安全设备部署、安全服务保障、安全管理体系建设等必要内容。按照</w:t>
      </w:r>
      <w:r>
        <w:rPr>
          <w:rFonts w:hint="eastAsia" w:ascii="仿宋" w:hAnsi="仿宋" w:eastAsia="仿宋" w:cs="宋体"/>
          <w:sz w:val="24"/>
          <w:highlight w:val="none"/>
          <w:lang w:bidi="zh-CN"/>
        </w:rPr>
        <w:t>等级保护三级</w:t>
      </w:r>
      <w:r>
        <w:rPr>
          <w:rFonts w:ascii="仿宋" w:hAnsi="仿宋" w:eastAsia="仿宋" w:cs="宋体"/>
          <w:sz w:val="24"/>
          <w:highlight w:val="none"/>
          <w:lang w:bidi="zh-CN"/>
        </w:rPr>
        <w:t>及相关要求</w:t>
      </w:r>
      <w:r>
        <w:rPr>
          <w:rFonts w:hint="eastAsia" w:ascii="仿宋" w:hAnsi="仿宋" w:eastAsia="仿宋" w:cs="宋体"/>
          <w:sz w:val="24"/>
          <w:highlight w:val="none"/>
          <w:lang w:bidi="zh-CN"/>
        </w:rPr>
        <w:t>，配套安全</w:t>
      </w:r>
      <w:r>
        <w:rPr>
          <w:rFonts w:ascii="仿宋" w:hAnsi="仿宋" w:eastAsia="仿宋" w:cs="宋体"/>
          <w:sz w:val="24"/>
          <w:highlight w:val="none"/>
          <w:lang w:bidi="zh-CN"/>
        </w:rPr>
        <w:t>设备</w:t>
      </w:r>
      <w:r>
        <w:rPr>
          <w:rFonts w:hint="eastAsia" w:ascii="仿宋" w:hAnsi="仿宋" w:eastAsia="仿宋" w:cs="宋体"/>
          <w:sz w:val="24"/>
          <w:highlight w:val="none"/>
          <w:lang w:bidi="zh-CN"/>
        </w:rPr>
        <w:t>，</w:t>
      </w:r>
      <w:r>
        <w:rPr>
          <w:rFonts w:ascii="仿宋" w:hAnsi="仿宋" w:eastAsia="仿宋" w:cs="宋体"/>
          <w:sz w:val="24"/>
          <w:highlight w:val="none"/>
          <w:lang w:bidi="zh-CN"/>
        </w:rPr>
        <w:t>部署在</w:t>
      </w:r>
      <w:r>
        <w:rPr>
          <w:rFonts w:hint="eastAsia" w:ascii="仿宋" w:hAnsi="仿宋" w:eastAsia="仿宋" w:cs="宋体"/>
          <w:sz w:val="24"/>
          <w:highlight w:val="none"/>
          <w:lang w:bidi="zh-CN"/>
        </w:rPr>
        <w:t>医院本地机房</w:t>
      </w:r>
      <w:r>
        <w:rPr>
          <w:rFonts w:ascii="仿宋" w:hAnsi="仿宋" w:eastAsia="仿宋" w:cs="宋体"/>
          <w:sz w:val="24"/>
          <w:highlight w:val="none"/>
          <w:lang w:bidi="zh-CN"/>
        </w:rPr>
        <w:t>，达到等级保护的技术合规要求；</w:t>
      </w:r>
      <w:r>
        <w:rPr>
          <w:rFonts w:hint="eastAsia" w:ascii="仿宋" w:hAnsi="仿宋" w:eastAsia="仿宋" w:cs="宋体"/>
          <w:sz w:val="24"/>
          <w:highlight w:val="none"/>
          <w:lang w:bidi="zh-CN"/>
        </w:rPr>
        <w:t>在</w:t>
      </w:r>
      <w:r>
        <w:rPr>
          <w:rFonts w:ascii="仿宋" w:hAnsi="仿宋" w:eastAsia="仿宋" w:cs="宋体"/>
          <w:sz w:val="24"/>
          <w:highlight w:val="none"/>
          <w:lang w:bidi="zh-CN"/>
        </w:rPr>
        <w:t>设备部署完成后</w:t>
      </w:r>
      <w:r>
        <w:rPr>
          <w:rFonts w:hint="eastAsia" w:ascii="仿宋" w:hAnsi="仿宋" w:eastAsia="仿宋" w:cs="宋体"/>
          <w:sz w:val="24"/>
          <w:highlight w:val="none"/>
          <w:lang w:bidi="zh-CN"/>
        </w:rPr>
        <w:t>要求</w:t>
      </w:r>
      <w:r>
        <w:rPr>
          <w:rFonts w:ascii="仿宋" w:hAnsi="仿宋" w:eastAsia="仿宋" w:cs="宋体"/>
          <w:sz w:val="24"/>
          <w:highlight w:val="none"/>
          <w:lang w:bidi="zh-CN"/>
        </w:rPr>
        <w:t>通过二次评估方式调整优化安全策略</w:t>
      </w:r>
      <w:r>
        <w:rPr>
          <w:rFonts w:hint="eastAsia" w:ascii="仿宋" w:hAnsi="仿宋" w:eastAsia="仿宋" w:cs="宋体"/>
          <w:sz w:val="24"/>
          <w:highlight w:val="none"/>
          <w:lang w:bidi="zh-CN"/>
        </w:rPr>
        <w:t>，</w:t>
      </w:r>
      <w:r>
        <w:rPr>
          <w:rFonts w:ascii="仿宋" w:hAnsi="仿宋" w:eastAsia="仿宋" w:cs="宋体"/>
          <w:sz w:val="24"/>
          <w:highlight w:val="none"/>
          <w:lang w:bidi="zh-CN"/>
        </w:rPr>
        <w:t>应对服务中提供的各种</w:t>
      </w:r>
      <w:r>
        <w:rPr>
          <w:rFonts w:hint="eastAsia" w:ascii="仿宋" w:hAnsi="仿宋" w:eastAsia="仿宋" w:cs="宋体"/>
          <w:sz w:val="24"/>
          <w:highlight w:val="none"/>
          <w:lang w:bidi="zh-CN"/>
        </w:rPr>
        <w:t>配套</w:t>
      </w:r>
      <w:r>
        <w:rPr>
          <w:rFonts w:ascii="仿宋" w:hAnsi="仿宋" w:eastAsia="仿宋" w:cs="宋体"/>
          <w:sz w:val="24"/>
          <w:highlight w:val="none"/>
          <w:lang w:bidi="zh-CN"/>
        </w:rPr>
        <w:t>设备、使用的专业工具、人员资格等进行符合要求的详细描述</w:t>
      </w:r>
      <w:r>
        <w:rPr>
          <w:rFonts w:hint="eastAsia" w:ascii="仿宋" w:hAnsi="仿宋" w:eastAsia="仿宋" w:cs="宋体"/>
          <w:sz w:val="24"/>
          <w:highlight w:val="none"/>
          <w:lang w:bidi="zh-CN"/>
        </w:rPr>
        <w:t>，</w:t>
      </w:r>
      <w:r>
        <w:rPr>
          <w:rFonts w:ascii="仿宋" w:hAnsi="仿宋" w:eastAsia="仿宋" w:cs="宋体"/>
          <w:sz w:val="24"/>
          <w:highlight w:val="none"/>
          <w:lang w:bidi="zh-CN"/>
        </w:rPr>
        <w:t>并可对额外提供或明显高于本项目最低要求的服务内容进行详细描述。</w:t>
      </w:r>
    </w:p>
    <w:p>
      <w:pPr>
        <w:pStyle w:val="8"/>
        <w:spacing w:line="360" w:lineRule="auto"/>
        <w:ind w:firstLineChars="0"/>
        <w:rPr>
          <w:rFonts w:ascii="仿宋" w:hAnsi="仿宋" w:eastAsia="仿宋" w:cs="宋体"/>
          <w:sz w:val="24"/>
          <w:highlight w:val="none"/>
          <w:lang w:bidi="zh-CN"/>
        </w:rPr>
      </w:pPr>
      <w:r>
        <w:rPr>
          <w:rFonts w:hint="eastAsia" w:ascii="仿宋" w:hAnsi="仿宋" w:eastAsia="仿宋" w:cs="宋体"/>
          <w:sz w:val="24"/>
          <w:highlight w:val="none"/>
          <w:lang w:bidi="zh-CN"/>
        </w:rPr>
        <w:t>2）提供不少于三年的</w:t>
      </w:r>
      <w:r>
        <w:rPr>
          <w:rFonts w:ascii="仿宋" w:hAnsi="仿宋" w:eastAsia="仿宋" w:cs="宋体"/>
          <w:sz w:val="24"/>
          <w:highlight w:val="none"/>
          <w:lang w:bidi="zh-CN"/>
        </w:rPr>
        <w:t>平台安全运维保障</w:t>
      </w:r>
      <w:r>
        <w:rPr>
          <w:rFonts w:hint="eastAsia" w:ascii="仿宋" w:hAnsi="仿宋" w:eastAsia="仿宋" w:cs="宋体"/>
          <w:sz w:val="24"/>
          <w:highlight w:val="none"/>
          <w:lang w:bidi="zh-CN"/>
        </w:rPr>
        <w:t>服务，实施服务后，通过三级等保测评（</w:t>
      </w:r>
      <w:r>
        <w:rPr>
          <w:rFonts w:ascii="仿宋" w:hAnsi="仿宋" w:eastAsia="仿宋" w:cs="宋体"/>
          <w:sz w:val="24"/>
          <w:highlight w:val="none"/>
          <w:lang w:bidi="zh-CN"/>
        </w:rPr>
        <w:t>要求服务商</w:t>
      </w:r>
      <w:r>
        <w:rPr>
          <w:rFonts w:hint="eastAsia" w:ascii="仿宋" w:hAnsi="仿宋" w:eastAsia="仿宋" w:cs="宋体"/>
          <w:sz w:val="24"/>
          <w:highlight w:val="none"/>
          <w:lang w:bidi="zh-CN"/>
        </w:rPr>
        <w:t>使用公安部认可的等保标准工具作为标准化服务工具，依据等级保护标准要求完成现状的差距分析和优化解决方案，保证与测评时各项内容和标准的一致，要求服务商</w:t>
      </w:r>
      <w:r>
        <w:rPr>
          <w:rFonts w:ascii="仿宋" w:hAnsi="仿宋" w:eastAsia="仿宋" w:cs="宋体"/>
          <w:sz w:val="24"/>
          <w:highlight w:val="none"/>
          <w:lang w:bidi="zh-CN"/>
        </w:rPr>
        <w:t>具备等级保护</w:t>
      </w:r>
      <w:r>
        <w:rPr>
          <w:rFonts w:hint="eastAsia" w:ascii="仿宋" w:hAnsi="仿宋" w:eastAsia="仿宋" w:cs="宋体"/>
          <w:sz w:val="24"/>
          <w:highlight w:val="none"/>
          <w:lang w:bidi="zh-CN"/>
        </w:rPr>
        <w:t>建设</w:t>
      </w:r>
      <w:r>
        <w:rPr>
          <w:rFonts w:ascii="仿宋" w:hAnsi="仿宋" w:eastAsia="仿宋" w:cs="宋体"/>
          <w:sz w:val="24"/>
          <w:highlight w:val="none"/>
          <w:lang w:bidi="zh-CN"/>
        </w:rPr>
        <w:t>服务</w:t>
      </w:r>
      <w:r>
        <w:rPr>
          <w:rFonts w:hint="eastAsia" w:ascii="仿宋" w:hAnsi="仿宋" w:eastAsia="仿宋" w:cs="宋体"/>
          <w:sz w:val="24"/>
          <w:highlight w:val="none"/>
          <w:lang w:bidi="zh-CN"/>
        </w:rPr>
        <w:t>机构能力</w:t>
      </w:r>
      <w:r>
        <w:rPr>
          <w:rFonts w:ascii="仿宋" w:hAnsi="仿宋" w:eastAsia="仿宋" w:cs="宋体"/>
          <w:sz w:val="24"/>
          <w:highlight w:val="none"/>
          <w:lang w:bidi="zh-CN"/>
        </w:rPr>
        <w:t>。</w:t>
      </w:r>
      <w:r>
        <w:rPr>
          <w:rFonts w:hint="eastAsia" w:ascii="仿宋" w:hAnsi="仿宋" w:eastAsia="仿宋" w:cs="宋体"/>
          <w:sz w:val="24"/>
          <w:highlight w:val="none"/>
          <w:lang w:bidi="zh-CN"/>
        </w:rPr>
        <w:t>）</w:t>
      </w:r>
    </w:p>
    <w:p>
      <w:pPr>
        <w:pStyle w:val="8"/>
        <w:spacing w:line="360" w:lineRule="auto"/>
        <w:ind w:firstLine="480"/>
        <w:rPr>
          <w:rFonts w:ascii="仿宋" w:hAnsi="仿宋" w:eastAsia="仿宋" w:cs="宋体"/>
          <w:sz w:val="24"/>
          <w:highlight w:val="none"/>
          <w:lang w:bidi="zh-CN"/>
        </w:rPr>
      </w:pPr>
      <w:r>
        <w:rPr>
          <w:rFonts w:hint="eastAsia" w:ascii="仿宋" w:hAnsi="仿宋" w:eastAsia="仿宋" w:cs="宋体"/>
          <w:sz w:val="24"/>
          <w:highlight w:val="none"/>
          <w:lang w:bidi="zh-CN"/>
        </w:rPr>
        <w:t>3）</w:t>
      </w:r>
      <w:r>
        <w:rPr>
          <w:rFonts w:ascii="仿宋" w:hAnsi="仿宋" w:eastAsia="仿宋" w:cs="宋体"/>
          <w:sz w:val="24"/>
          <w:highlight w:val="none"/>
          <w:lang w:bidi="zh-CN"/>
        </w:rPr>
        <w:t>等级保护咨询服务，要求覆盖整个等级保护工作的定级评审、等级保护建设、系统测评、系统整改、系统后期服务等全过程；要求参照等级保护要求，完成每年1次的安全风险自评估，不少于4次</w:t>
      </w:r>
      <w:r>
        <w:rPr>
          <w:rFonts w:hint="eastAsia" w:ascii="仿宋" w:hAnsi="仿宋" w:eastAsia="仿宋" w:cs="宋体"/>
          <w:sz w:val="24"/>
          <w:highlight w:val="none"/>
          <w:lang w:bidi="zh-CN"/>
        </w:rPr>
        <w:t>使用</w:t>
      </w:r>
      <w:r>
        <w:rPr>
          <w:rFonts w:ascii="仿宋" w:hAnsi="仿宋" w:eastAsia="仿宋" w:cs="宋体"/>
          <w:sz w:val="24"/>
          <w:highlight w:val="none"/>
          <w:lang w:bidi="zh-CN"/>
        </w:rPr>
        <w:t>标准等保检测工具进行现场检测及报告分析；安全巡检、安全漏洞检查服务，每年完成不少于4次的服务；日常安全通告，提供日常安全热点事件</w:t>
      </w:r>
      <w:r>
        <w:rPr>
          <w:rFonts w:hint="eastAsia" w:ascii="仿宋" w:hAnsi="仿宋" w:eastAsia="仿宋" w:cs="宋体"/>
          <w:sz w:val="24"/>
          <w:highlight w:val="none"/>
          <w:lang w:bidi="zh-CN"/>
        </w:rPr>
        <w:t>、</w:t>
      </w:r>
      <w:r>
        <w:rPr>
          <w:rFonts w:ascii="仿宋" w:hAnsi="仿宋" w:eastAsia="仿宋" w:cs="宋体"/>
          <w:sz w:val="24"/>
          <w:highlight w:val="none"/>
          <w:lang w:bidi="zh-CN"/>
        </w:rPr>
        <w:t>重要安全事件预警等服务。</w:t>
      </w:r>
    </w:p>
    <w:p>
      <w:pPr>
        <w:pStyle w:val="8"/>
        <w:spacing w:line="360" w:lineRule="auto"/>
        <w:ind w:firstLine="480"/>
        <w:rPr>
          <w:rFonts w:ascii="仿宋" w:hAnsi="仿宋" w:eastAsia="仿宋" w:cs="宋体"/>
          <w:sz w:val="24"/>
          <w:highlight w:val="none"/>
          <w:lang w:bidi="zh-CN"/>
        </w:rPr>
      </w:pPr>
      <w:r>
        <w:rPr>
          <w:rFonts w:hint="eastAsia" w:ascii="仿宋" w:hAnsi="仿宋" w:eastAsia="仿宋" w:cs="宋体"/>
          <w:sz w:val="24"/>
          <w:highlight w:val="none"/>
          <w:lang w:bidi="zh-CN"/>
        </w:rPr>
        <w:t>4）本次项目要求提供中国信息安全测评中心认证的两名以上CISP(注册信息安全专业人员)的安全认证培训及考试，并承担培训的往返路费及住宿费用。</w:t>
      </w:r>
    </w:p>
    <w:p>
      <w:pPr>
        <w:pStyle w:val="8"/>
        <w:spacing w:line="360" w:lineRule="auto"/>
        <w:ind w:firstLineChars="0"/>
        <w:rPr>
          <w:rFonts w:ascii="仿宋" w:hAnsi="仿宋" w:eastAsia="仿宋" w:cs="宋体"/>
          <w:sz w:val="24"/>
          <w:highlight w:val="none"/>
          <w:lang w:bidi="zh-CN"/>
        </w:rPr>
      </w:pPr>
      <w:r>
        <w:rPr>
          <w:rFonts w:ascii="仿宋" w:hAnsi="仿宋" w:eastAsia="仿宋" w:cs="宋体"/>
          <w:sz w:val="24"/>
          <w:highlight w:val="none"/>
          <w:lang w:bidi="zh-CN"/>
        </w:rPr>
        <w:t>本项目</w:t>
      </w:r>
      <w:r>
        <w:rPr>
          <w:rFonts w:hint="eastAsia" w:ascii="仿宋" w:hAnsi="仿宋" w:eastAsia="仿宋" w:cs="宋体"/>
          <w:sz w:val="24"/>
          <w:highlight w:val="none"/>
          <w:lang w:bidi="zh-CN"/>
        </w:rPr>
        <w:t>服务确定了</w:t>
      </w:r>
      <w:r>
        <w:rPr>
          <w:rFonts w:ascii="仿宋" w:hAnsi="仿宋" w:eastAsia="仿宋" w:cs="宋体"/>
          <w:sz w:val="24"/>
          <w:highlight w:val="none"/>
          <w:lang w:bidi="zh-CN"/>
        </w:rPr>
        <w:t>主要的</w:t>
      </w:r>
      <w:r>
        <w:rPr>
          <w:rFonts w:hint="eastAsia" w:ascii="仿宋" w:hAnsi="仿宋" w:eastAsia="仿宋" w:cs="宋体"/>
          <w:sz w:val="24"/>
          <w:highlight w:val="none"/>
          <w:lang w:bidi="zh-CN"/>
        </w:rPr>
        <w:t>配套</w:t>
      </w:r>
      <w:r>
        <w:rPr>
          <w:rFonts w:ascii="仿宋" w:hAnsi="仿宋" w:eastAsia="仿宋" w:cs="宋体"/>
          <w:sz w:val="24"/>
          <w:highlight w:val="none"/>
          <w:lang w:bidi="zh-CN"/>
        </w:rPr>
        <w:t>设备，但不排除在</w:t>
      </w:r>
      <w:r>
        <w:rPr>
          <w:rFonts w:hint="eastAsia" w:ascii="仿宋" w:hAnsi="仿宋" w:eastAsia="仿宋" w:cs="宋体"/>
          <w:sz w:val="24"/>
          <w:highlight w:val="none"/>
          <w:lang w:bidi="zh-CN"/>
        </w:rPr>
        <w:t>后期</w:t>
      </w:r>
      <w:r>
        <w:rPr>
          <w:rFonts w:ascii="仿宋" w:hAnsi="仿宋" w:eastAsia="仿宋" w:cs="宋体"/>
          <w:sz w:val="24"/>
          <w:highlight w:val="none"/>
          <w:lang w:bidi="zh-CN"/>
        </w:rPr>
        <w:t>服务时发现需要提供新的或更高配置的设备以解决发现的新问题，供应商应在最短时间内通过增加设备或</w:t>
      </w:r>
      <w:r>
        <w:rPr>
          <w:rFonts w:hint="eastAsia" w:ascii="仿宋" w:hAnsi="仿宋" w:eastAsia="仿宋" w:cs="宋体"/>
          <w:sz w:val="24"/>
          <w:highlight w:val="none"/>
          <w:lang w:bidi="zh-CN"/>
        </w:rPr>
        <w:t>调整</w:t>
      </w:r>
      <w:r>
        <w:rPr>
          <w:rFonts w:ascii="仿宋" w:hAnsi="仿宋" w:eastAsia="仿宋" w:cs="宋体"/>
          <w:sz w:val="24"/>
          <w:highlight w:val="none"/>
          <w:lang w:bidi="zh-CN"/>
        </w:rPr>
        <w:t>设备配置的方式解决问题</w:t>
      </w:r>
      <w:r>
        <w:rPr>
          <w:rFonts w:hint="eastAsia" w:ascii="仿宋" w:hAnsi="仿宋" w:eastAsia="仿宋" w:cs="宋体"/>
          <w:sz w:val="24"/>
          <w:highlight w:val="none"/>
          <w:lang w:bidi="zh-CN"/>
        </w:rPr>
        <w:t>，同时，要求服务期内同步提供相关配套设备的维保服务和特征库升级服务(如有特征库）。</w:t>
      </w:r>
      <w:r>
        <w:rPr>
          <w:rFonts w:hint="eastAsia" w:ascii="仿宋" w:hAnsi="仿宋" w:eastAsia="仿宋" w:cs="宋体"/>
          <w:b/>
          <w:bCs/>
          <w:sz w:val="24"/>
          <w:highlight w:val="none"/>
        </w:rPr>
        <w:t>服务期满后，所有相关配套设备归医院所有（供应商提供的所有配套设备必须为来源渠道合法的原装产品）。</w:t>
      </w:r>
    </w:p>
    <w:p>
      <w:pPr>
        <w:pStyle w:val="8"/>
        <w:spacing w:line="360" w:lineRule="auto"/>
        <w:ind w:left="482" w:firstLine="0" w:firstLineChars="0"/>
        <w:rPr>
          <w:rFonts w:ascii="仿宋" w:hAnsi="仿宋" w:eastAsia="仿宋" w:cs="宋体"/>
          <w:b/>
          <w:bCs/>
          <w:sz w:val="24"/>
          <w:highlight w:val="none"/>
        </w:rPr>
      </w:pPr>
      <w:r>
        <w:rPr>
          <w:rFonts w:hint="eastAsia" w:ascii="仿宋" w:hAnsi="仿宋" w:eastAsia="仿宋" w:cs="宋体"/>
          <w:b/>
          <w:bCs/>
          <w:sz w:val="24"/>
          <w:highlight w:val="none"/>
        </w:rPr>
        <w:t>2</w:t>
      </w:r>
      <w:r>
        <w:rPr>
          <w:rFonts w:ascii="仿宋" w:hAnsi="仿宋" w:eastAsia="仿宋" w:cs="宋体"/>
          <w:b/>
          <w:bCs/>
          <w:sz w:val="24"/>
          <w:highlight w:val="none"/>
        </w:rPr>
        <w:t>.2</w:t>
      </w:r>
      <w:r>
        <w:rPr>
          <w:rFonts w:hint="eastAsia" w:ascii="仿宋" w:hAnsi="仿宋" w:eastAsia="仿宋" w:cs="宋体"/>
          <w:b/>
          <w:bCs/>
          <w:sz w:val="24"/>
          <w:highlight w:val="none"/>
        </w:rPr>
        <w:t>服务及配套设备参数要求</w:t>
      </w:r>
    </w:p>
    <w:tbl>
      <w:tblPr>
        <w:tblStyle w:val="22"/>
        <w:tblW w:w="8910" w:type="dxa"/>
        <w:tblInd w:w="93" w:type="dxa"/>
        <w:tblLayout w:type="autofit"/>
        <w:tblCellMar>
          <w:top w:w="0" w:type="dxa"/>
          <w:left w:w="108" w:type="dxa"/>
          <w:bottom w:w="0" w:type="dxa"/>
          <w:right w:w="108" w:type="dxa"/>
        </w:tblCellMar>
      </w:tblPr>
      <w:tblGrid>
        <w:gridCol w:w="672"/>
        <w:gridCol w:w="985"/>
        <w:gridCol w:w="4529"/>
        <w:gridCol w:w="1134"/>
        <w:gridCol w:w="845"/>
        <w:gridCol w:w="745"/>
      </w:tblGrid>
      <w:tr>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出口防火墙</w:t>
            </w:r>
          </w:p>
        </w:tc>
        <w:tc>
          <w:tcPr>
            <w:tcW w:w="4529"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left"/>
              <w:textAlignment w:val="top"/>
              <w:rPr>
                <w:rStyle w:val="44"/>
                <w:rFonts w:hint="default"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sz w:val="21"/>
                <w:szCs w:val="21"/>
                <w:highlight w:val="none"/>
                <w:lang w:bidi="ar"/>
              </w:rPr>
              <w:t>性能参数要求：网络层吞吐量≥8G，应用层吞吐量≥2G，防病毒吞吐量≥800M，IPS吞吐量≥500M，全威胁吞吐量≥400M，并发连接数≥280万，HTTP新建连接数≥6万，SSL VPN ≥20个，IPSec最大隧道数≥1000，IPSec  VPN吞吐量≥160M。要求规格机架式，内存大小≥4G，硬盘容量≥1T，接口：千兆电口≥8个，千兆光口SFP≥4个</w:t>
            </w:r>
            <w:r>
              <w:rPr>
                <w:rStyle w:val="44"/>
                <w:rFonts w:asciiTheme="minorEastAsia" w:hAnsiTheme="minorEastAsia" w:eastAsiaTheme="minorEastAsia" w:cstheme="minorEastAsia"/>
                <w:color w:val="auto"/>
                <w:sz w:val="21"/>
                <w:szCs w:val="21"/>
                <w:highlight w:val="none"/>
                <w:lang w:bidi="ar"/>
              </w:rPr>
              <w:t>。（含模块）</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功能要求：1.具有透明、路由、混合、旁路、虚拟线工作模式；支持端口镜像功能，支持入流量、出流量和双向流量等维度镜像(提供截图证明)；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2.支持链路负载均衡和服务器负载均衡，并支持会话保持和链路健康检查；</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3.支持安全策略：可基于设备接口/安全域、地址、服务、应用、用户、时间等属性，配置入侵防御、病毒防护、URL过滤、应用过滤、日志记录、会话老化时间、终端过滤等高级访问控制功能；(提供截图证明)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5.支持三年期所有特征库免费升级；</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6.支持针对IP、端口进行端口扫描，可选择立即执行或定期执行；支持呈现扫描结果，包括端口、端口状态、端口服务、程序版本、操作系统、风险状态、设备类型和时间等信息(提供截图证明)；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7.</w:t>
            </w:r>
            <w:r>
              <w:rPr>
                <w:rFonts w:hint="eastAsia" w:asciiTheme="minorEastAsia" w:hAnsiTheme="minorEastAsia" w:eastAsiaTheme="minorEastAsia" w:cstheme="minorEastAsia"/>
                <w:sz w:val="21"/>
                <w:szCs w:val="21"/>
                <w:highlight w:val="none"/>
              </w:rPr>
              <w:t xml:space="preserve"> </w:t>
            </w:r>
            <w:r>
              <w:rPr>
                <w:rStyle w:val="45"/>
                <w:rFonts w:asciiTheme="minorEastAsia" w:hAnsiTheme="minorEastAsia" w:eastAsiaTheme="minorEastAsia" w:cstheme="minorEastAsia"/>
                <w:color w:val="auto"/>
                <w:sz w:val="21"/>
                <w:szCs w:val="21"/>
                <w:highlight w:val="none"/>
                <w:lang w:bidi="ar"/>
              </w:rPr>
              <w:t>支持内网资产监控，自动发现内网资产，并以资产视角看安全状态，以攻击链的形式展示相应资产的风险和所处的阶段(提供截图证明)；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8.内置≥8600条IPS规则库，支持对黑客攻击行为进行阻断，还可自定义攻击特征库，并支持对攻击进行本地报文存储便于事后回溯；</w:t>
            </w:r>
          </w:p>
          <w:p>
            <w:pPr>
              <w:pStyle w:val="2"/>
              <w:spacing w:line="360" w:lineRule="auto"/>
              <w:rPr>
                <w:rFonts w:hint="eastAsia"/>
                <w:highlight w:val="none"/>
                <w:lang w:bidi="ar"/>
              </w:rPr>
            </w:pPr>
            <w:r>
              <w:rPr>
                <w:rStyle w:val="45"/>
                <w:rFonts w:asciiTheme="minorEastAsia" w:hAnsiTheme="minorEastAsia" w:eastAsiaTheme="minorEastAsia" w:cstheme="minorEastAsia"/>
                <w:color w:val="auto"/>
                <w:kern w:val="0"/>
                <w:sz w:val="21"/>
                <w:szCs w:val="21"/>
                <w:highlight w:val="none"/>
              </w:rPr>
              <w:t>9</w:t>
            </w:r>
            <w:r>
              <w:rPr>
                <w:rStyle w:val="45"/>
                <w:rFonts w:hint="default" w:asciiTheme="minorEastAsia" w:hAnsiTheme="minorEastAsia" w:eastAsiaTheme="minorEastAsia" w:cstheme="minorEastAsia"/>
                <w:color w:val="auto"/>
                <w:kern w:val="0"/>
                <w:sz w:val="21"/>
                <w:szCs w:val="21"/>
                <w:highlight w:val="none"/>
              </w:rPr>
              <w:t>.</w:t>
            </w:r>
            <w:r>
              <w:rPr>
                <w:rStyle w:val="45"/>
                <w:rFonts w:asciiTheme="minorEastAsia" w:hAnsiTheme="minorEastAsia" w:eastAsiaTheme="minorEastAsia" w:cstheme="minorEastAsia"/>
                <w:color w:val="auto"/>
                <w:kern w:val="0"/>
                <w:sz w:val="21"/>
                <w:szCs w:val="21"/>
                <w:highlight w:val="none"/>
                <w:lang w:bidi="ar"/>
              </w:rPr>
              <w:t>★支持与多个威胁情报中心联动进行情报订阅；并支持在设备端上进行威胁情报的搜索查询而非跳转至web界面进行查询；(提供截图证明)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lang w:bidi="ar"/>
              </w:rPr>
            </w:pPr>
          </w:p>
        </w:tc>
      </w:tr>
      <w:tr>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上网行为管理</w:t>
            </w:r>
          </w:p>
        </w:tc>
        <w:tc>
          <w:tcPr>
            <w:tcW w:w="4529"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性能参数要求：</w:t>
            </w:r>
            <w:r>
              <w:rPr>
                <w:rStyle w:val="45"/>
                <w:rFonts w:asciiTheme="minorEastAsia" w:hAnsiTheme="minorEastAsia" w:eastAsiaTheme="minorEastAsia" w:cstheme="minorEastAsia"/>
                <w:color w:val="auto"/>
                <w:sz w:val="21"/>
                <w:szCs w:val="21"/>
                <w:highlight w:val="none"/>
              </w:rPr>
              <w:t>网络层吞吐量≥15G，应用层吞吐量≥8G，带宽性能≥1G，支持用户数≥5000，最大并发连接数≥500万，千兆电口≥10个，千兆光口SFP≥10个,万兆光口≥2个（含模块）</w:t>
            </w:r>
            <w:r>
              <w:rPr>
                <w:rStyle w:val="45"/>
                <w:rFonts w:asciiTheme="minorEastAsia" w:hAnsiTheme="minorEastAsia" w:eastAsiaTheme="minorEastAsia" w:cstheme="minorEastAsia"/>
                <w:color w:val="auto"/>
                <w:sz w:val="21"/>
                <w:szCs w:val="21"/>
                <w:highlight w:val="none"/>
                <w:lang w:bidi="ar"/>
              </w:rPr>
              <w:t>。</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功能要求：1.支持本地认证、Portal认证、Radius认证、LDAP认证、POP3认证、AD域单点登录、短信认证、微信公众号认证、APP认证、IC卡认证 、二维码认证、互联网钉钉认证、企业微信认证、混合认证和免认证(提供截图证明)；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2.支持端口镜像功能，支持入流量、出流量和双向流量等维度镜像，支持将接口的流量镜像到另一个接口(提供截图证明)；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3.支持识别的应用特征≥7000个，移动应用≥2200个；</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4.</w:t>
            </w:r>
            <w:r>
              <w:rPr>
                <w:rFonts w:hint="eastAsia" w:asciiTheme="minorEastAsia" w:hAnsiTheme="minorEastAsia" w:eastAsiaTheme="minorEastAsia" w:cstheme="minorEastAsia"/>
                <w:sz w:val="21"/>
                <w:szCs w:val="21"/>
                <w:highlight w:val="none"/>
              </w:rPr>
              <w:t xml:space="preserve"> </w:t>
            </w:r>
            <w:r>
              <w:rPr>
                <w:rStyle w:val="45"/>
                <w:rFonts w:asciiTheme="minorEastAsia" w:hAnsiTheme="minorEastAsia" w:eastAsiaTheme="minorEastAsia" w:cstheme="minorEastAsia"/>
                <w:color w:val="auto"/>
                <w:sz w:val="21"/>
                <w:szCs w:val="21"/>
                <w:highlight w:val="none"/>
                <w:lang w:bidi="ar"/>
              </w:rPr>
              <w:t>支持应用智能识别，有效识别迅雷和P2P行为，识别模式可选择；</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5.支持应用控制，支持针对应用动作的细粒度控制，比如针对社区类型，支持管控”上传“、“发表”、“浏览”、”登陆“等动作；</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6.支持在设备旁路部署时针对违规上网行为进行阻断过滤；(提供截图证明)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7.支持基于线路和多层通道嵌套的带宽管理和流量控制功能，提供至少四层管道嵌套；支持基于地址、用户、服务、应用、时间、终端型号、VLAN、DSCP等匹配条件进行流量控制；并支持配置保障带宽、最大带宽、每IP带宽、每用户带宽、带宽优先级等QoS动作；</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8.</w:t>
            </w:r>
            <w:r>
              <w:rPr>
                <w:rFonts w:hint="eastAsia" w:asciiTheme="minorEastAsia" w:hAnsiTheme="minorEastAsia" w:eastAsiaTheme="minorEastAsia" w:cstheme="minorEastAsia"/>
                <w:sz w:val="21"/>
                <w:szCs w:val="21"/>
                <w:highlight w:val="none"/>
              </w:rPr>
              <w:t xml:space="preserve"> ★</w:t>
            </w:r>
            <w:r>
              <w:rPr>
                <w:rStyle w:val="45"/>
                <w:rFonts w:asciiTheme="minorEastAsia" w:hAnsiTheme="minorEastAsia" w:eastAsiaTheme="minorEastAsia" w:cstheme="minorEastAsia"/>
                <w:color w:val="auto"/>
                <w:sz w:val="21"/>
                <w:szCs w:val="21"/>
                <w:highlight w:val="none"/>
                <w:lang w:bidi="ar"/>
              </w:rPr>
              <w:t>支持用户全天行为分析，一个界面同时展示用户名、用户组、在线时长、虚拟身份（如QQ号码、微博账号等）、日志关联情况、全天流量使用分布、网站访问类别分布、全天关键网络行为轴等信息(提供截图证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lang w:bidi="ar"/>
              </w:rPr>
            </w:pPr>
          </w:p>
        </w:tc>
      </w:tr>
      <w:tr>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日志收集与分析系统</w:t>
            </w:r>
          </w:p>
        </w:tc>
        <w:tc>
          <w:tcPr>
            <w:tcW w:w="4529"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性能参数要求：包含主机审计许可证书数量≥200个，可扩展审计主机许可数≥250个，硬件要求：接口：千兆电口≥6个（含模块），千兆SFP光口≥4个，万兆光口≥2个（含模块），可扩展插槽≥1个；内置硬盘容量≥4TB。支持Syslog、SNMP Trap、文件、WMI、FTP等方式采集日志，审计中心可以支持多个日志采集器；</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功能要求：1.支持kafka日志接收转发功能，且Kafka收发支持SSL加密(提供截图证明)；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2.日志转发与存储支持数字签名与加密，日志接收支持解密(提供截图证明)。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3.支持Http接收、syslog接收、SNMPtrap接收、TCP接收、WMI接收、aliyun接收等日志采集方式，并支持限制日志接收速率(提供截图证明)；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4.支持使用代理（Agent）方式提取日志并收集，安装包支持界面下载，且安装支持可视化向导(提供截图证明)；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5.</w:t>
            </w:r>
            <w:r>
              <w:rPr>
                <w:rFonts w:hint="eastAsia" w:asciiTheme="minorEastAsia" w:hAnsiTheme="minorEastAsia" w:eastAsiaTheme="minorEastAsia" w:cstheme="minorEastAsia"/>
                <w:sz w:val="21"/>
                <w:szCs w:val="21"/>
                <w:highlight w:val="none"/>
              </w:rPr>
              <w:t>★</w:t>
            </w:r>
            <w:r>
              <w:rPr>
                <w:rStyle w:val="45"/>
                <w:rFonts w:asciiTheme="minorEastAsia" w:hAnsiTheme="minorEastAsia" w:eastAsiaTheme="minorEastAsia" w:cstheme="minorEastAsia"/>
                <w:color w:val="auto"/>
                <w:sz w:val="21"/>
                <w:szCs w:val="21"/>
                <w:highlight w:val="none"/>
                <w:lang w:bidi="ar"/>
              </w:rPr>
              <w:t>支持对Agent进行统一管控，包括卸载、升级、启动及停止操作，支持采集终端CPU、内存等数据，支持将日志收集策略统一分发；(提供截图证明)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6.日志采集支持目前主流的网络安全设备、交换设备、路由设备、操作系统、应用系统等，内置5000+解析规则，支持对收集的5000+设备类型日志进行解析（标准化、归一化），解析维度≥达200+；</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7.</w:t>
            </w:r>
            <w:r>
              <w:rPr>
                <w:rFonts w:hint="eastAsia" w:asciiTheme="minorEastAsia" w:hAnsiTheme="minorEastAsia" w:eastAsiaTheme="minorEastAsia" w:cstheme="minorEastAsia"/>
                <w:sz w:val="21"/>
                <w:szCs w:val="21"/>
                <w:highlight w:val="none"/>
              </w:rPr>
              <w:t xml:space="preserve"> </w:t>
            </w:r>
            <w:r>
              <w:rPr>
                <w:rStyle w:val="45"/>
                <w:rFonts w:asciiTheme="minorEastAsia" w:hAnsiTheme="minorEastAsia" w:eastAsiaTheme="minorEastAsia" w:cstheme="minorEastAsia"/>
                <w:color w:val="auto"/>
                <w:sz w:val="21"/>
                <w:szCs w:val="21"/>
                <w:highlight w:val="none"/>
                <w:lang w:bidi="ar"/>
              </w:rPr>
              <w:t>支持思维导图模式的解析规则界面进行自定义解析，支持对日志样例可进行划词辅助解析，一键生成正则表达式(提供截图证明)；</w:t>
            </w:r>
          </w:p>
          <w:p>
            <w:pPr>
              <w:widowControl/>
              <w:spacing w:line="360" w:lineRule="auto"/>
              <w:jc w:val="left"/>
              <w:textAlignment w:val="top"/>
              <w:rPr>
                <w:rFonts w:asciiTheme="minorEastAsia" w:hAnsiTheme="minorEastAsia" w:eastAsiaTheme="minorEastAsia" w:cstheme="minorEastAsia"/>
                <w:sz w:val="21"/>
                <w:szCs w:val="21"/>
                <w:highlight w:val="none"/>
              </w:rPr>
            </w:pPr>
            <w:r>
              <w:rPr>
                <w:rStyle w:val="45"/>
                <w:rFonts w:asciiTheme="minorEastAsia" w:hAnsiTheme="minorEastAsia" w:eastAsiaTheme="minorEastAsia" w:cstheme="minorEastAsia"/>
                <w:color w:val="auto"/>
                <w:sz w:val="21"/>
                <w:szCs w:val="21"/>
                <w:highlight w:val="none"/>
                <w:lang w:bidi="ar"/>
              </w:rPr>
              <w:t>8.具备安全评估模型，评估模型基于设备故障、认证登录、攻击威胁、可用性、系统脆弱性等纬度加权平均计算总体安全指数。安全评估模型可以显示总体评分、历史评分趋势(提供截图证明)；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lang w:bidi="ar"/>
              </w:rPr>
            </w:pPr>
          </w:p>
        </w:tc>
      </w:tr>
      <w:tr>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堡垒机</w:t>
            </w:r>
          </w:p>
        </w:tc>
        <w:tc>
          <w:tcPr>
            <w:tcW w:w="4529"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left"/>
              <w:textAlignment w:val="top"/>
              <w:rPr>
                <w:rStyle w:val="44"/>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性能参数要求：2U机架式结构；支持RAID，内置硬盘容量≥4TB，标配≥6个千兆电口（含模块），千兆光口≥4个（含模块）；内置≥500个主机/设备操作监控许可证授权,可扩展。图形并发会话数≥200，字符并发会话数≥600</w:t>
            </w:r>
            <w:r>
              <w:rPr>
                <w:rStyle w:val="44"/>
                <w:rFonts w:asciiTheme="minorEastAsia" w:hAnsiTheme="minorEastAsia" w:eastAsiaTheme="minorEastAsia" w:cstheme="minorEastAsia"/>
                <w:color w:val="auto"/>
                <w:sz w:val="21"/>
                <w:szCs w:val="21"/>
                <w:highlight w:val="none"/>
                <w:lang w:bidi="ar"/>
              </w:rPr>
              <w:t>；</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功能要求：1.支持所有主流图形终端、字符终端、文件传输和数据库管理，支持HTTP/HTTPS运维；</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2.支持HTML5特性，可不借助任何插件或客户端直接在浏览器页面上进行字符界面或图形界面基本运维操作(提供截图证明)；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3.支持以HTML、PDF、DOC方式生成并导出报表；</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4.支持按部门组织架构（至少5个层级的部门）管理用户数据、资产数据、授权数据、审计数据，且数据相互隔离；可按部门层级分别设定各部门不同权限的管理员(提供截图证明)。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5.支持标准化对接CAS、JWT单点登录认证，且支持配置是否自动创建堡垒机中不存在用户(提供截图证明)。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6.支持采用国密加密算法进行核心敏感数据加密存储；(提供截图证明)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7.支持对http/https类资产进行URL黑白名单限制，禁止在未授权情况下，通过手动输入URL跳转至其它web网站；</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8.支持用户账号状态状态统计，包含用户账号上次登录时间、已禁用的用户账号、用户账号有效期等；</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9.</w:t>
            </w:r>
            <w:r>
              <w:rPr>
                <w:rFonts w:hint="eastAsia" w:asciiTheme="minorEastAsia" w:hAnsiTheme="minorEastAsia" w:eastAsiaTheme="minorEastAsia" w:cstheme="minorEastAsia"/>
                <w:sz w:val="21"/>
                <w:szCs w:val="21"/>
                <w:highlight w:val="none"/>
              </w:rPr>
              <w:t xml:space="preserve"> ★</w:t>
            </w:r>
            <w:r>
              <w:rPr>
                <w:rStyle w:val="45"/>
                <w:rFonts w:asciiTheme="minorEastAsia" w:hAnsiTheme="minorEastAsia" w:eastAsiaTheme="minorEastAsia" w:cstheme="minorEastAsia"/>
                <w:color w:val="auto"/>
                <w:sz w:val="21"/>
                <w:szCs w:val="21"/>
                <w:highlight w:val="none"/>
                <w:lang w:bidi="ar"/>
              </w:rPr>
              <w:t>支持密码工单管理，可通过工单申请相应资源的密码，工单发起后会通过邮件的方式通知管理员审批，审批通过后可通过邮件方式向申请人发送相应的经过加密后的密码信息，有效期后平台会自动回收相应账号密码，并自动触发密码变更操作(提供截图证明)；</w:t>
            </w:r>
          </w:p>
          <w:p>
            <w:pPr>
              <w:widowControl/>
              <w:spacing w:line="360" w:lineRule="auto"/>
              <w:jc w:val="left"/>
              <w:textAlignment w:val="top"/>
              <w:rPr>
                <w:rFonts w:asciiTheme="minorEastAsia" w:hAnsiTheme="minorEastAsia" w:eastAsiaTheme="minorEastAsia" w:cstheme="minorEastAsia"/>
                <w:sz w:val="21"/>
                <w:szCs w:val="21"/>
                <w:highlight w:val="none"/>
              </w:rPr>
            </w:pPr>
            <w:r>
              <w:rPr>
                <w:rStyle w:val="45"/>
                <w:rFonts w:asciiTheme="minorEastAsia" w:hAnsiTheme="minorEastAsia" w:eastAsiaTheme="minorEastAsia" w:cstheme="minorEastAsia"/>
                <w:color w:val="auto"/>
                <w:sz w:val="21"/>
                <w:szCs w:val="21"/>
                <w:highlight w:val="none"/>
                <w:lang w:bidi="ar"/>
              </w:rPr>
              <w:t>10.支持提供禁止审计功能，可对部分设定策略的会话不审计录像，防止机密信息二次泄漏(提供截图证明)；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lang w:bidi="ar"/>
              </w:rPr>
            </w:pPr>
          </w:p>
        </w:tc>
      </w:tr>
      <w:tr>
        <w:tblPrEx>
          <w:tblCellMar>
            <w:top w:w="0" w:type="dxa"/>
            <w:left w:w="108" w:type="dxa"/>
            <w:bottom w:w="0" w:type="dxa"/>
            <w:right w:w="108" w:type="dxa"/>
          </w:tblCellMar>
        </w:tblPrEx>
        <w:trPr>
          <w:trHeight w:val="68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kern w:val="2"/>
                <w:sz w:val="21"/>
                <w:szCs w:val="21"/>
                <w:highlight w:val="none"/>
                <w:lang w:bidi="ar"/>
              </w:rPr>
            </w:pPr>
            <w:r>
              <w:rPr>
                <w:rFonts w:hint="eastAsia" w:asciiTheme="minorEastAsia" w:hAnsiTheme="minorEastAsia" w:eastAsiaTheme="minorEastAsia" w:cstheme="minorEastAsia"/>
                <w:sz w:val="21"/>
                <w:szCs w:val="21"/>
                <w:highlight w:val="none"/>
                <w:lang w:bidi="ar"/>
              </w:rPr>
              <w:t>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kern w:val="2"/>
                <w:sz w:val="21"/>
                <w:szCs w:val="21"/>
                <w:highlight w:val="none"/>
                <w:lang w:bidi="ar"/>
              </w:rPr>
            </w:pPr>
            <w:r>
              <w:rPr>
                <w:rFonts w:hint="eastAsia" w:asciiTheme="minorEastAsia" w:hAnsiTheme="minorEastAsia" w:eastAsiaTheme="minorEastAsia" w:cstheme="minorEastAsia"/>
                <w:sz w:val="21"/>
                <w:szCs w:val="21"/>
                <w:highlight w:val="none"/>
                <w:lang w:bidi="ar"/>
              </w:rPr>
              <w:t>第三方测评服务</w:t>
            </w:r>
          </w:p>
        </w:tc>
        <w:tc>
          <w:tcPr>
            <w:tcW w:w="4529"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left"/>
              <w:textAlignment w:val="top"/>
              <w:rPr>
                <w:rFonts w:asciiTheme="minorEastAsia" w:hAnsiTheme="minorEastAsia" w:eastAsiaTheme="minorEastAsia" w:cstheme="minorEastAsia"/>
                <w:kern w:val="2"/>
                <w:sz w:val="21"/>
                <w:szCs w:val="21"/>
                <w:highlight w:val="none"/>
                <w:lang w:bidi="ar"/>
              </w:rPr>
            </w:pPr>
            <w:r>
              <w:rPr>
                <w:rFonts w:hint="eastAsia" w:asciiTheme="minorEastAsia" w:hAnsiTheme="minorEastAsia" w:eastAsiaTheme="minorEastAsia" w:cstheme="minorEastAsia"/>
                <w:kern w:val="2"/>
                <w:sz w:val="21"/>
                <w:szCs w:val="21"/>
                <w:highlight w:val="none"/>
                <w:lang w:bidi="ar"/>
              </w:rPr>
              <w:t>必须通过等级保护 2.0 第三级防护要求（含一次等级保护三级测评服务）。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kern w:val="2"/>
                <w:sz w:val="21"/>
                <w:szCs w:val="21"/>
                <w:highlight w:val="none"/>
                <w:lang w:bidi="ar"/>
              </w:rPr>
            </w:pPr>
            <w:r>
              <w:rPr>
                <w:rFonts w:hint="eastAsia" w:asciiTheme="minorEastAsia" w:hAnsiTheme="minorEastAsia" w:eastAsiaTheme="minorEastAsia" w:cstheme="minorEastAsia"/>
                <w:sz w:val="21"/>
                <w:szCs w:val="21"/>
                <w:highlight w:val="none"/>
                <w:lang w:bidi="ar"/>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kern w:val="2"/>
                <w:sz w:val="21"/>
                <w:szCs w:val="21"/>
                <w:highlight w:val="none"/>
                <w:lang w:bidi="ar"/>
              </w:rPr>
            </w:pPr>
            <w:r>
              <w:rPr>
                <w:rFonts w:hint="eastAsia" w:asciiTheme="minorEastAsia" w:hAnsiTheme="minorEastAsia" w:eastAsiaTheme="minorEastAsia" w:cstheme="minorEastAsia"/>
                <w:sz w:val="21"/>
                <w:szCs w:val="21"/>
                <w:highlight w:val="none"/>
                <w:lang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lang w:bidi="ar"/>
              </w:rPr>
            </w:pPr>
          </w:p>
        </w:tc>
      </w:tr>
      <w:tr>
        <w:tblPrEx>
          <w:tblCellMar>
            <w:top w:w="0" w:type="dxa"/>
            <w:left w:w="108" w:type="dxa"/>
            <w:bottom w:w="0" w:type="dxa"/>
            <w:right w:w="108" w:type="dxa"/>
          </w:tblCellMar>
        </w:tblPrEx>
        <w:trPr>
          <w:trHeight w:val="68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管理交换机</w:t>
            </w:r>
          </w:p>
        </w:tc>
        <w:tc>
          <w:tcPr>
            <w:tcW w:w="4529"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标准机架式设备，≥24个千兆电口，≥4个SFP千兆光口，包转发率≥96Mpps，背板带宽≥256Gbps。</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支持4K个VLAN，支持静态路由和动态路由协议，支持Qos及ACL功能。支持用户 分级管理，支持防止DOS、ARP攻击功能、ICMP防攻击，支持端口隔离、Sticky MAC功能。</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lang w:bidi="ar"/>
              </w:rPr>
            </w:pPr>
          </w:p>
        </w:tc>
      </w:tr>
      <w:tr>
        <w:tblPrEx>
          <w:tblCellMar>
            <w:top w:w="0" w:type="dxa"/>
            <w:left w:w="108" w:type="dxa"/>
            <w:bottom w:w="0" w:type="dxa"/>
            <w:right w:w="108" w:type="dxa"/>
          </w:tblCellMar>
        </w:tblPrEx>
        <w:trPr>
          <w:trHeight w:val="68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核心防火墙</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sz w:val="21"/>
                <w:szCs w:val="21"/>
                <w:highlight w:val="none"/>
              </w:rPr>
              <w:t>原华为防火墙：进行技术调整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kern w:val="2"/>
                <w:sz w:val="21"/>
                <w:szCs w:val="21"/>
                <w:highlight w:val="none"/>
              </w:rPr>
            </w:pPr>
          </w:p>
        </w:tc>
      </w:tr>
      <w:tr>
        <w:tblPrEx>
          <w:tblCellMar>
            <w:top w:w="0" w:type="dxa"/>
            <w:left w:w="108" w:type="dxa"/>
            <w:bottom w:w="0" w:type="dxa"/>
            <w:right w:w="108" w:type="dxa"/>
          </w:tblCellMar>
        </w:tblPrEx>
        <w:trPr>
          <w:trHeight w:val="68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8</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专线接入防火墙</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sz w:val="21"/>
                <w:szCs w:val="21"/>
                <w:highlight w:val="none"/>
              </w:rPr>
              <w:t>原优旋防火墙：进行技术调整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kern w:val="2"/>
                <w:sz w:val="21"/>
                <w:szCs w:val="21"/>
                <w:highlight w:val="none"/>
              </w:rPr>
            </w:pPr>
          </w:p>
        </w:tc>
      </w:tr>
      <w:tr>
        <w:tblPrEx>
          <w:tblCellMar>
            <w:top w:w="0" w:type="dxa"/>
            <w:left w:w="108" w:type="dxa"/>
            <w:bottom w:w="0" w:type="dxa"/>
            <w:right w:w="108" w:type="dxa"/>
          </w:tblCellMar>
        </w:tblPrEx>
        <w:trPr>
          <w:trHeight w:val="68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lang w:bidi="ar"/>
              </w:rPr>
              <w:t>9</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lang w:bidi="ar"/>
              </w:rPr>
              <w:t>网络准入控制</w:t>
            </w:r>
          </w:p>
        </w:tc>
        <w:tc>
          <w:tcPr>
            <w:tcW w:w="4529"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left"/>
              <w:textAlignment w:val="top"/>
              <w:rPr>
                <w:rFonts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 xml:space="preserve">性能参数要求：机架结构，千兆电接口≥6个，千兆SFP光口≥4个（含模块）；准入终端授权≥2000个；每秒事务数（TPS)≥3000（次/秒），吞吐量≥2Gbps，并发连接数≥5000（条）。 </w:t>
            </w:r>
          </w:p>
          <w:p>
            <w:pPr>
              <w:widowControl/>
              <w:spacing w:line="360" w:lineRule="auto"/>
              <w:jc w:val="left"/>
              <w:textAlignment w:val="top"/>
              <w:rPr>
                <w:rFonts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功能要求：1.支持系统内置账号认证、微软AD域帐号、LDAP帐号认证、邮件服务器账号认证、第三方Radius服务器认证、第三方扩展认证；</w:t>
            </w:r>
          </w:p>
          <w:p>
            <w:pPr>
              <w:widowControl/>
              <w:spacing w:line="360" w:lineRule="auto"/>
              <w:jc w:val="left"/>
              <w:textAlignment w:val="top"/>
              <w:rPr>
                <w:rFonts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2.支持扫描发现同网段设备，可手动指定或者智能选举出终端设备作为扫描探针；</w:t>
            </w:r>
          </w:p>
          <w:p>
            <w:pPr>
              <w:widowControl/>
              <w:spacing w:line="360" w:lineRule="auto"/>
              <w:jc w:val="left"/>
              <w:textAlignment w:val="top"/>
              <w:rPr>
                <w:rFonts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3.支持对操作系统、设备信息、流量关系等进行识别，同时支持自定义添加资产指纹，可根据扫描到的资产字段添加资产指纹识别规则；(提供截图证明)</w:t>
            </w:r>
          </w:p>
          <w:p>
            <w:pPr>
              <w:widowControl/>
              <w:spacing w:line="360" w:lineRule="auto"/>
              <w:jc w:val="left"/>
              <w:textAlignment w:val="top"/>
              <w:rPr>
                <w:rFonts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4.支持以图表的方式展现IP资源的实际使用情况，包括已使用、未使用IP地址以及每个IP地址的终端类型，协助管理员对IP资源进行整体规划，快速完成IP地址资源分配和回收登记管理；</w:t>
            </w:r>
          </w:p>
          <w:p>
            <w:pPr>
              <w:widowControl/>
              <w:spacing w:line="360" w:lineRule="auto"/>
              <w:jc w:val="left"/>
              <w:textAlignment w:val="top"/>
              <w:rPr>
                <w:rFonts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sz w:val="21"/>
                <w:szCs w:val="21"/>
                <w:highlight w:val="none"/>
                <w:lang w:bidi="ar"/>
              </w:rPr>
              <w:t>5.支持对免检设备进行仿冒检查，可支持基于设备行为特征的仿冒检查，并可将仿冒设备隔离；</w:t>
            </w:r>
          </w:p>
          <w:p>
            <w:pPr>
              <w:widowControl/>
              <w:spacing w:line="360" w:lineRule="auto"/>
              <w:jc w:val="left"/>
              <w:textAlignment w:val="top"/>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lang w:bidi="ar"/>
              </w:rPr>
              <w:t>6.支持802.1x、EOU、Portal、端口镜像、策略路由、设备指纹准入等多种控制方式，并可以混合使用，且支持无代理方式；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lang w:bidi="ar"/>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lang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kern w:val="2"/>
                <w:sz w:val="21"/>
                <w:szCs w:val="21"/>
                <w:highlight w:val="none"/>
              </w:rPr>
            </w:pPr>
          </w:p>
        </w:tc>
      </w:tr>
      <w:tr>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数据库审计系统</w:t>
            </w:r>
          </w:p>
        </w:tc>
        <w:tc>
          <w:tcPr>
            <w:tcW w:w="4529"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1、提供为一个完整的软硬件一体化产品；无需用户另行提供服务器、操作系统、数据库、防火墙软件、及用户手动升级系统补丁，要求审计数据库实例≥10个。</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性能参数要求：吞吐量≥2Gbps，SQL处理性能≥10000条SQL/s，日志检索性能≥20000条/秒，日处理事件数≥8000万条，支持接口千兆电口≥6个，千兆SFP光口≥4个，万兆光口≥2个，≥1个可扩展插槽，标配≥4T硬盘。支持B/S方式管理，采用HTTPS方式远程安全管理，无需安装管理客户端；为软硬件一体化产品。</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工作模式要求：数据库审计产品可以旁路镜像模式部署，不影响数据库性能和网络架构；支持多点联合部署；</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功能要求：1.支持IPv4/IPv6双栈审计；</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sz w:val="21"/>
                <w:szCs w:val="21"/>
                <w:highlight w:val="none"/>
              </w:rPr>
              <w:t xml:space="preserve"> ★</w:t>
            </w:r>
            <w:r>
              <w:rPr>
                <w:rStyle w:val="45"/>
                <w:rFonts w:asciiTheme="minorEastAsia" w:hAnsiTheme="minorEastAsia" w:eastAsiaTheme="minorEastAsia" w:cstheme="minorEastAsia"/>
                <w:color w:val="auto"/>
                <w:sz w:val="21"/>
                <w:szCs w:val="21"/>
                <w:highlight w:val="none"/>
                <w:lang w:bidi="ar"/>
              </w:rPr>
              <w:t>支持Oracle、PostgreSQL、SQL Server、DB2、Informix、Sybase、MySQL、MariaDB、Sybase IQ、Vertica、Tidb、PolarDB-X等主流数据库的审计(提供截图证明)；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3.支持主流业务协议HTTP、HTTPS、Telnet、FTP的审计；</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4.支持数据库请求和返回的双向审计，特别是返回字段和结果集、执行状态、返回行数、执行时长、客户端工具、主机名等内容，支持通过返回行数控制返回结果集大小；</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5.</w:t>
            </w:r>
            <w:r>
              <w:rPr>
                <w:rFonts w:hint="eastAsia" w:asciiTheme="minorEastAsia" w:hAnsiTheme="minorEastAsia" w:eastAsiaTheme="minorEastAsia" w:cstheme="minorEastAsia"/>
                <w:sz w:val="21"/>
                <w:szCs w:val="21"/>
                <w:highlight w:val="none"/>
              </w:rPr>
              <w:t xml:space="preserve"> ★</w:t>
            </w:r>
            <w:r>
              <w:rPr>
                <w:rStyle w:val="45"/>
                <w:rFonts w:asciiTheme="minorEastAsia" w:hAnsiTheme="minorEastAsia" w:eastAsiaTheme="minorEastAsia" w:cstheme="minorEastAsia"/>
                <w:color w:val="auto"/>
                <w:sz w:val="21"/>
                <w:szCs w:val="21"/>
                <w:highlight w:val="none"/>
                <w:lang w:bidi="ar"/>
              </w:rPr>
              <w:t>支持审计记录中敏感数据的模糊化处理，内置常见敏感数据掩码规则，支持自定义；(提供截图证明)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6.</w:t>
            </w:r>
            <w:r>
              <w:rPr>
                <w:rFonts w:hint="eastAsia"/>
                <w:highlight w:val="none"/>
              </w:rPr>
              <w:t xml:space="preserve"> </w:t>
            </w:r>
            <w:r>
              <w:rPr>
                <w:rStyle w:val="45"/>
                <w:rFonts w:asciiTheme="minorEastAsia" w:hAnsiTheme="minorEastAsia" w:eastAsiaTheme="minorEastAsia" w:cstheme="minorEastAsia"/>
                <w:color w:val="auto"/>
                <w:sz w:val="21"/>
                <w:szCs w:val="21"/>
                <w:highlight w:val="none"/>
                <w:lang w:bidi="ar"/>
              </w:rPr>
              <w:t>★产品具有内置规则，内置安全规则不少于900条，规则类型有sql注入、账号安全、数据泄露和违规操作等，并可依据规则进行邮件告警(提供截图证明)；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7.支持在审计日志中点击一键添加过滤规则，支持在告警规则中点击一键添加信任规则和规则白名单(提供截图证明)；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8.支持告警分析功能，告警支持按照源IP和数据库账号的组合对SQL模板维度进行排行，支持在页面点击一键添加规则白名单(提供截图证明)；</w:t>
            </w:r>
          </w:p>
          <w:p>
            <w:pPr>
              <w:widowControl/>
              <w:spacing w:line="360" w:lineRule="auto"/>
              <w:jc w:val="left"/>
              <w:textAlignment w:val="top"/>
              <w:rPr>
                <w:rFonts w:asciiTheme="minorEastAsia" w:hAnsiTheme="minorEastAsia" w:eastAsiaTheme="minorEastAsia" w:cstheme="minorEastAsia"/>
                <w:sz w:val="21"/>
                <w:szCs w:val="21"/>
                <w:highlight w:val="none"/>
              </w:rPr>
            </w:pPr>
            <w:r>
              <w:rPr>
                <w:rStyle w:val="45"/>
                <w:rFonts w:asciiTheme="minorEastAsia" w:hAnsiTheme="minorEastAsia" w:eastAsiaTheme="minorEastAsia" w:cstheme="minorEastAsia"/>
                <w:color w:val="auto"/>
                <w:sz w:val="21"/>
                <w:szCs w:val="21"/>
                <w:highlight w:val="none"/>
                <w:lang w:bidi="ar"/>
              </w:rPr>
              <w:t>9.</w:t>
            </w:r>
            <w:r>
              <w:rPr>
                <w:rFonts w:hint="eastAsia" w:asciiTheme="minorEastAsia" w:hAnsiTheme="minorEastAsia" w:eastAsiaTheme="minorEastAsia" w:cstheme="minorEastAsia"/>
                <w:sz w:val="21"/>
                <w:szCs w:val="21"/>
                <w:highlight w:val="none"/>
              </w:rPr>
              <w:t xml:space="preserve"> ★</w:t>
            </w:r>
            <w:r>
              <w:rPr>
                <w:rStyle w:val="45"/>
                <w:rFonts w:asciiTheme="minorEastAsia" w:hAnsiTheme="minorEastAsia" w:eastAsiaTheme="minorEastAsia" w:cstheme="minorEastAsia"/>
                <w:color w:val="auto"/>
                <w:sz w:val="21"/>
                <w:szCs w:val="21"/>
                <w:highlight w:val="none"/>
                <w:lang w:bidi="ar"/>
              </w:rPr>
              <w:t>支持基于表维度的报表分析，表分析报表支持通过桑基图展示对该表的访问情况(提供截图证明)；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lang w:bidi="ar"/>
              </w:rPr>
            </w:pPr>
          </w:p>
        </w:tc>
      </w:tr>
      <w:tr>
        <w:tblPrEx>
          <w:tblCellMar>
            <w:top w:w="0" w:type="dxa"/>
            <w:left w:w="108" w:type="dxa"/>
            <w:bottom w:w="0" w:type="dxa"/>
            <w:right w:w="108" w:type="dxa"/>
          </w:tblCellMar>
        </w:tblPrEx>
        <w:trPr>
          <w:trHeight w:val="88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漏洞扫描</w:t>
            </w:r>
          </w:p>
        </w:tc>
        <w:tc>
          <w:tcPr>
            <w:tcW w:w="4529"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性能参数要求：硬件参数：机架式；接口：千兆电口≥6个，千兆SFP光口≥4个，≥2T硬盘空间；支持扫描IP授权≥300个、WEB漏洞扫描授权≥200个，支持并发扫描≥75个IP地址，支持并发≥1024个IP地址的资产发现，并发任务数≥10个。支持同时开启全插件系统漏洞扫描、WEB漏洞扫描、弱口令扫描、基线配置核查，扫描速度不低于1000ip/h。</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功能要求：1.系统采用B/S设计架构，并采用SSL加密通信方式，用户可通过浏览器远程方便的对产品进行管理。</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2.漏洞特征库≥180000条，提供详细的漏洞描述和对应的解决方案描述，漏洞知识库与CVE、CNNVD、Bugtraq、CNCVE、CNVD等国际、国内漏洞库标准兼容(提供截图证明)；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3.</w:t>
            </w:r>
            <w:r>
              <w:rPr>
                <w:rFonts w:hint="eastAsia" w:asciiTheme="minorEastAsia" w:hAnsiTheme="minorEastAsia" w:eastAsiaTheme="minorEastAsia" w:cstheme="minorEastAsia"/>
                <w:sz w:val="21"/>
                <w:szCs w:val="21"/>
                <w:highlight w:val="none"/>
              </w:rPr>
              <w:t xml:space="preserve"> ★</w:t>
            </w:r>
            <w:r>
              <w:rPr>
                <w:rStyle w:val="45"/>
                <w:rFonts w:asciiTheme="minorEastAsia" w:hAnsiTheme="minorEastAsia" w:eastAsiaTheme="minorEastAsia" w:cstheme="minorEastAsia"/>
                <w:color w:val="auto"/>
                <w:sz w:val="21"/>
                <w:szCs w:val="21"/>
                <w:highlight w:val="none"/>
                <w:lang w:bidi="ar"/>
              </w:rPr>
              <w:t>具备弱口令扫描功能，支持弱口令扫描协议数量≥20种，包括FTP、SMB、RDP、SSH、TELNET、SMTP、IMAP、POP3、Oracle、MySQL、MSSQL、DB2、REDIS、MongoDB、Sybase、Rlogin、RTSP、SIP、Onvif、Weblogic、Tomcat、SNMP等协议进行弱口令扫描，允许用户自定义用户、密码字典(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4.</w:t>
            </w:r>
            <w:r>
              <w:rPr>
                <w:rFonts w:hint="eastAsia" w:asciiTheme="minorEastAsia" w:hAnsiTheme="minorEastAsia" w:eastAsiaTheme="minorEastAsia" w:cstheme="minorEastAsia"/>
                <w:sz w:val="21"/>
                <w:szCs w:val="21"/>
                <w:highlight w:val="none"/>
              </w:rPr>
              <w:t xml:space="preserve"> </w:t>
            </w:r>
            <w:r>
              <w:rPr>
                <w:rStyle w:val="45"/>
                <w:rFonts w:asciiTheme="minorEastAsia" w:hAnsiTheme="minorEastAsia" w:eastAsiaTheme="minorEastAsia" w:cstheme="minorEastAsia"/>
                <w:color w:val="auto"/>
                <w:sz w:val="21"/>
                <w:szCs w:val="21"/>
                <w:highlight w:val="none"/>
                <w:lang w:bidi="ar"/>
              </w:rPr>
              <w:t>支持对目标网站扫描设置流量限制，包括接收速率、发送速率、并发连接数、最大发送请求数等，也可以启用智能流控，防止对目标网站扫描产生影响，支持在扫描时识别国内外主流Web应用防火墙品牌；(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5.支持Oracle、Mysql、SQLServer、DB2、informix、PostgreSQL、Sybase、达梦、人大金仓的授权数据库漏洞扫描(提供截图证明)；</w:t>
            </w:r>
          </w:p>
          <w:p>
            <w:pPr>
              <w:widowControl/>
              <w:spacing w:line="360" w:lineRule="auto"/>
              <w:jc w:val="left"/>
              <w:textAlignment w:val="top"/>
              <w:rPr>
                <w:rStyle w:val="45"/>
                <w:rFonts w:hint="default" w:asciiTheme="minorEastAsia" w:hAnsiTheme="minorEastAsia" w:eastAsiaTheme="minorEastAsia" w:cstheme="minorEastAsia"/>
                <w:color w:val="auto"/>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6.提供三权分立的账户体系，支持上下级部门管理，非上下级的不同部门任务、资产隔离(提供截图证明)；</w:t>
            </w:r>
          </w:p>
          <w:p>
            <w:pPr>
              <w:widowControl/>
              <w:spacing w:line="360" w:lineRule="auto"/>
              <w:jc w:val="left"/>
              <w:textAlignment w:val="top"/>
              <w:rPr>
                <w:rFonts w:asciiTheme="minorEastAsia" w:hAnsiTheme="minorEastAsia" w:eastAsiaTheme="minorEastAsia" w:cstheme="minorEastAsia"/>
                <w:sz w:val="21"/>
                <w:szCs w:val="21"/>
                <w:highlight w:val="none"/>
              </w:rPr>
            </w:pPr>
            <w:r>
              <w:rPr>
                <w:rStyle w:val="45"/>
                <w:rFonts w:asciiTheme="minorEastAsia" w:hAnsiTheme="minorEastAsia" w:eastAsiaTheme="minorEastAsia" w:cstheme="minorEastAsia"/>
                <w:color w:val="auto"/>
                <w:sz w:val="21"/>
                <w:szCs w:val="21"/>
                <w:highlight w:val="none"/>
                <w:lang w:bidi="ar"/>
              </w:rPr>
              <w:t>7.</w:t>
            </w:r>
            <w:r>
              <w:rPr>
                <w:rFonts w:hint="eastAsia" w:asciiTheme="minorEastAsia" w:hAnsiTheme="minorEastAsia" w:eastAsiaTheme="minorEastAsia" w:cstheme="minorEastAsia"/>
                <w:sz w:val="21"/>
                <w:szCs w:val="21"/>
                <w:highlight w:val="none"/>
              </w:rPr>
              <w:t xml:space="preserve"> ★</w:t>
            </w:r>
            <w:r>
              <w:rPr>
                <w:rStyle w:val="45"/>
                <w:rFonts w:asciiTheme="minorEastAsia" w:hAnsiTheme="minorEastAsia" w:eastAsiaTheme="minorEastAsia" w:cstheme="minorEastAsia"/>
                <w:color w:val="auto"/>
                <w:sz w:val="21"/>
                <w:szCs w:val="21"/>
                <w:highlight w:val="none"/>
                <w:lang w:bidi="ar"/>
              </w:rPr>
              <w:t>支持误报反馈，对发现存在误报的漏洞可通过产品在扫描结果处点击反馈的方式第一时间反馈给厂商协助修改(提供截图证明)；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lang w:bidi="ar"/>
              </w:rPr>
            </w:pPr>
          </w:p>
        </w:tc>
      </w:tr>
      <w:tr>
        <w:tblPrEx>
          <w:tblCellMar>
            <w:top w:w="0" w:type="dxa"/>
            <w:left w:w="108" w:type="dxa"/>
            <w:bottom w:w="0" w:type="dxa"/>
            <w:right w:w="108" w:type="dxa"/>
          </w:tblCellMar>
        </w:tblPrEx>
        <w:trPr>
          <w:trHeight w:val="164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12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网络安全培训</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工程师进行系统性网络安全培训，并提供两名以上CISP(注册信息安全专业人员)安全培训并通过考试，承担培训的往返路费及住宿费用。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名</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sz w:val="21"/>
                <w:szCs w:val="21"/>
                <w:highlight w:val="none"/>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sz w:val="21"/>
                <w:szCs w:val="21"/>
                <w:highlight w:val="none"/>
                <w:lang w:bidi="ar"/>
              </w:rPr>
            </w:pPr>
          </w:p>
        </w:tc>
      </w:tr>
      <w:tr>
        <w:tblPrEx>
          <w:tblCellMar>
            <w:top w:w="0" w:type="dxa"/>
            <w:left w:w="108" w:type="dxa"/>
            <w:bottom w:w="0" w:type="dxa"/>
            <w:right w:w="108" w:type="dxa"/>
          </w:tblCellMar>
        </w:tblPrEx>
        <w:trPr>
          <w:trHeight w:val="9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inorEastAsia" w:hAnsiTheme="minorEastAsia" w:eastAsiaTheme="minorEastAsia" w:cstheme="minorEastAsia"/>
                <w:kern w:val="2"/>
                <w:sz w:val="21"/>
                <w:szCs w:val="21"/>
                <w:highlight w:val="none"/>
                <w:lang w:bidi="ar"/>
              </w:rPr>
            </w:pPr>
            <w:r>
              <w:rPr>
                <w:rFonts w:hint="eastAsia" w:asciiTheme="minorEastAsia" w:hAnsiTheme="minorEastAsia" w:eastAsiaTheme="minorEastAsia" w:cstheme="minorEastAsia"/>
                <w:sz w:val="21"/>
                <w:szCs w:val="21"/>
                <w:highlight w:val="none"/>
                <w:lang w:bidi="ar"/>
              </w:rPr>
              <w:t>13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Theme="minorEastAsia" w:hAnsiTheme="minorEastAsia" w:eastAsiaTheme="minorEastAsia" w:cstheme="minorEastAsia"/>
                <w:kern w:val="2"/>
                <w:sz w:val="21"/>
                <w:szCs w:val="21"/>
                <w:highlight w:val="none"/>
                <w:lang w:bidi="ar"/>
              </w:rPr>
            </w:pPr>
            <w:r>
              <w:rPr>
                <w:rFonts w:hint="eastAsia" w:asciiTheme="minorEastAsia" w:hAnsiTheme="minorEastAsia" w:eastAsiaTheme="minorEastAsia" w:cstheme="minorEastAsia"/>
                <w:sz w:val="21"/>
                <w:szCs w:val="21"/>
                <w:highlight w:val="none"/>
                <w:lang w:bidi="ar"/>
              </w:rPr>
              <w:t>网络优化服务</w:t>
            </w:r>
          </w:p>
        </w:tc>
        <w:tc>
          <w:tcPr>
            <w:tcW w:w="4529" w:type="dxa"/>
            <w:tcBorders>
              <w:top w:val="single" w:color="000000" w:sz="4" w:space="0"/>
              <w:left w:val="single" w:color="000000" w:sz="4" w:space="0"/>
              <w:bottom w:val="single" w:color="000000" w:sz="4" w:space="0"/>
              <w:right w:val="single" w:color="000000" w:sz="4" w:space="0"/>
            </w:tcBorders>
            <w:shd w:val="clear" w:color="auto" w:fill="auto"/>
          </w:tcPr>
          <w:p>
            <w:pPr>
              <w:widowControl/>
              <w:spacing w:line="360" w:lineRule="auto"/>
              <w:jc w:val="left"/>
              <w:textAlignment w:val="top"/>
              <w:rPr>
                <w:rFonts w:asciiTheme="minorEastAsia" w:hAnsiTheme="minorEastAsia" w:eastAsiaTheme="minorEastAsia" w:cstheme="minorEastAsia"/>
                <w:kern w:val="2"/>
                <w:sz w:val="21"/>
                <w:szCs w:val="21"/>
                <w:highlight w:val="none"/>
                <w:lang w:bidi="ar"/>
              </w:rPr>
            </w:pPr>
            <w:r>
              <w:rPr>
                <w:rStyle w:val="45"/>
                <w:rFonts w:asciiTheme="minorEastAsia" w:hAnsiTheme="minorEastAsia" w:eastAsiaTheme="minorEastAsia" w:cstheme="minorEastAsia"/>
                <w:color w:val="auto"/>
                <w:sz w:val="21"/>
                <w:szCs w:val="21"/>
                <w:highlight w:val="none"/>
                <w:lang w:bidi="ar"/>
              </w:rPr>
              <w:t>要求对医院门诊楼的原有网络提供整体的规范性改造服务，对医院网络提供网络优化服务，提升网络体验，提供内外网分离改造服务。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sz w:val="21"/>
                <w:szCs w:val="21"/>
                <w:highlight w:val="none"/>
              </w:rPr>
            </w:pPr>
          </w:p>
        </w:tc>
      </w:tr>
      <w:tr>
        <w:tblPrEx>
          <w:tblCellMar>
            <w:top w:w="0" w:type="dxa"/>
            <w:left w:w="108" w:type="dxa"/>
            <w:bottom w:w="0" w:type="dxa"/>
            <w:right w:w="108" w:type="dxa"/>
          </w:tblCellMar>
        </w:tblPrEx>
        <w:trPr>
          <w:trHeight w:val="296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14</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网络安全服务</w:t>
            </w:r>
          </w:p>
        </w:tc>
        <w:tc>
          <w:tcPr>
            <w:tcW w:w="452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1.参照等级保护要求，完成每年1次的安全风险自评估；</w:t>
            </w:r>
          </w:p>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2.提供安全巡检、安全漏洞检查服务，每年完成不少于4次的服务；</w:t>
            </w:r>
          </w:p>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3.提供日常安全通告服务，频次不固定，主要提供日常安全热点事件、重要安全事件预警等服务。</w:t>
            </w:r>
          </w:p>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4.提供服务期内不限次数应急响应服务。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sz w:val="21"/>
                <w:szCs w:val="21"/>
                <w:highlight w:val="none"/>
              </w:rPr>
            </w:pPr>
          </w:p>
        </w:tc>
      </w:tr>
      <w:tr>
        <w:tblPrEx>
          <w:tblCellMar>
            <w:top w:w="0" w:type="dxa"/>
            <w:left w:w="108" w:type="dxa"/>
            <w:bottom w:w="0" w:type="dxa"/>
            <w:right w:w="108" w:type="dxa"/>
          </w:tblCellMar>
        </w:tblPrEx>
        <w:trPr>
          <w:trHeight w:val="282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终端合规性服务及安全审查服务</w:t>
            </w:r>
          </w:p>
        </w:tc>
        <w:tc>
          <w:tcPr>
            <w:tcW w:w="452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 ★提供计算机终端审查工具和服务，要求提供审查工具3年服务，且要求每年至少提供1次人工审查服务，用于终端安全审查，要求支持USB使用记录：USB 使用记录显示主机 USB 使用情况；支持浏览器上网记录，支持 IE 内核浏览器、谷歌浏览器、火狐浏览器等上网记录及 Cookie 记录。支持审查主机系统配置信息，内容包括不限于：计算机名、用户名、操作系统、内存大小、磁盘大小、系统路径、共享目录。支持审查主机硬件信息，内容包括不限于：CPU 信息、主板信息、内存信息、显卡信息、硬盘信息、网卡信息。</w:t>
            </w:r>
          </w:p>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支持审查主机所有开机自启动项程序。支持审查主机异常服务，即主机上已经启动的可能有风险的服务程序。支持审查主机密码安全策略配置，包含口令最长使用期限，长度最小值，锁定阀值等。支持审查主机所有系统账号，包含隐藏（影子）账户及活动状态。支持审查主机系统安全补丁，内容包括不限于： 补丁名称，补丁发布日期，补丁描述。</w:t>
            </w:r>
          </w:p>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3.支持审查系统的活动端口，内容包含不限于当前开放的 TCP/UDP 端口、连接状态、进程相对路径。支持审查系统的用户权限，显示用户、访问权限与操作系统安全相关的状态。支持审查系统运行保护，显示系统当前防护措施。支持 xml，html 等格式的输出报表。提供佐证材料和截图证明。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sz w:val="21"/>
                <w:szCs w:val="21"/>
                <w:highlight w:val="none"/>
              </w:rPr>
            </w:pPr>
          </w:p>
        </w:tc>
      </w:tr>
      <w:tr>
        <w:tblPrEx>
          <w:tblCellMar>
            <w:top w:w="0" w:type="dxa"/>
            <w:left w:w="108" w:type="dxa"/>
            <w:bottom w:w="0" w:type="dxa"/>
            <w:right w:w="108" w:type="dxa"/>
          </w:tblCellMar>
        </w:tblPrEx>
        <w:trPr>
          <w:trHeight w:val="64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16</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标准工具检测服务</w:t>
            </w:r>
          </w:p>
        </w:tc>
        <w:tc>
          <w:tcPr>
            <w:tcW w:w="452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 ★提供标准工具检测服务，本次提供的标准工具配置≥ 5 个离线检查工具（包括 Windows 主机配置检查工具、Windows 病毒木马检查工具、Linux 病毒木马检查工具、Windows 恶意代码检查工具、Linux 恶意代码检查工具）和至少 6 个在线检查工具（Linux 主机配置检查工具、网络及安全设备配置检查工具、弱口令检查工具、数据库安全检查工具、网站安全检查工具、系统漏洞检查工具），提供佐证材料和截图证明。</w:t>
            </w:r>
          </w:p>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通过“网络安全等级保护检查知识库”、管理要求访谈内容，与《GBT22239-2019 网络安全技术网络安全等级保护基本要求》完美结合，将等级保护基本要求落地，使信息系统运营和使用单位从技术和管理角度明确了自身系统与等级保护相关等级要求的具体差异，为策略优化和应用安全提供依据。</w:t>
            </w:r>
          </w:p>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 每年提供给≥4次的等保标准工具检测服务。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sz w:val="21"/>
                <w:szCs w:val="21"/>
                <w:highlight w:val="none"/>
              </w:rPr>
            </w:pPr>
          </w:p>
        </w:tc>
      </w:tr>
      <w:tr>
        <w:tblPrEx>
          <w:tblCellMar>
            <w:top w:w="0" w:type="dxa"/>
            <w:left w:w="108" w:type="dxa"/>
            <w:bottom w:w="0" w:type="dxa"/>
            <w:right w:w="108" w:type="dxa"/>
          </w:tblCellMar>
        </w:tblPrEx>
        <w:trPr>
          <w:trHeight w:val="44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17</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网站恶意代码检测服务</w:t>
            </w:r>
          </w:p>
        </w:tc>
        <w:tc>
          <w:tcPr>
            <w:tcW w:w="452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1.提供检测工具3年服务，工具支持通过C/S架构使用，可通过插入专用USB设备进行扫描，携带方便；提供佐证材料和截图证明。</w:t>
            </w:r>
          </w:p>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2.支持各类 WEB 编程语言的应用的深度网页后门漏洞扫描；支持实时结果的展现；支持生成统计报表；</w:t>
            </w:r>
          </w:p>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3.支持 Asp、Jsp、.Net、J2EE、Php、Perl 等所有的 WEB 应用编程语言；具有快速扫描功能：</w:t>
            </w:r>
          </w:p>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4.支持根据文件类型自动选择内置扫描策略进行扫描，例如当进行扫描 index.ASP 文件时程序会自动选择 ASP 对应的策略进行扫描而忽略其他的扫描策略；</w:t>
            </w:r>
          </w:p>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5.具有全盘扫描功能，支持扫描所有内置的策略以及用户自定义策略；</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cstheme="minorEastAsia"/>
                <w:sz w:val="21"/>
                <w:szCs w:val="21"/>
                <w:highlight w:val="none"/>
              </w:rPr>
            </w:pPr>
          </w:p>
        </w:tc>
      </w:tr>
    </w:tbl>
    <w:p>
      <w:pPr>
        <w:pStyle w:val="3"/>
        <w:jc w:val="center"/>
        <w:rPr>
          <w:rFonts w:ascii="宋体" w:eastAsia="宋体" w:cs="宋体"/>
          <w:b w:val="0"/>
          <w:bCs/>
          <w:sz w:val="36"/>
          <w:szCs w:val="36"/>
          <w:highlight w:val="none"/>
        </w:rPr>
      </w:pPr>
      <w:r>
        <w:rPr>
          <w:rStyle w:val="35"/>
          <w:rFonts w:hint="eastAsia" w:ascii="宋体" w:eastAsia="宋体" w:cs="宋体"/>
          <w:b/>
          <w:sz w:val="36"/>
          <w:szCs w:val="21"/>
          <w:highlight w:val="none"/>
        </w:rPr>
        <w:br w:type="page"/>
      </w:r>
      <w:r>
        <w:rPr>
          <w:rStyle w:val="35"/>
          <w:rFonts w:hint="eastAsia" w:ascii="宋体" w:eastAsia="宋体" w:cs="宋体"/>
          <w:b/>
          <w:sz w:val="36"/>
          <w:szCs w:val="21"/>
          <w:highlight w:val="none"/>
        </w:rPr>
        <w:t>第六章  竞争性磋商响应文件格式</w:t>
      </w:r>
      <w:bookmarkEnd w:id="120"/>
      <w:bookmarkEnd w:id="121"/>
      <w:bookmarkEnd w:id="122"/>
      <w:bookmarkEnd w:id="123"/>
      <w:bookmarkEnd w:id="124"/>
    </w:p>
    <w:p>
      <w:pPr>
        <w:rPr>
          <w:rFonts w:hAnsi="宋体" w:cs="宋体"/>
          <w:highlight w:val="none"/>
        </w:rPr>
      </w:pPr>
    </w:p>
    <w:p>
      <w:pPr>
        <w:rPr>
          <w:rFonts w:hAnsi="宋体" w:cs="宋体"/>
          <w:highlight w:val="none"/>
        </w:rPr>
      </w:pPr>
    </w:p>
    <w:p>
      <w:pPr>
        <w:framePr w:hSpace="180" w:wrap="around" w:vAnchor="text" w:hAnchor="page" w:x="1472" w:y="18"/>
        <w:rPr>
          <w:rFonts w:hAnsi="宋体" w:cs="宋体"/>
          <w:b/>
          <w:bCs/>
          <w:sz w:val="32"/>
          <w:szCs w:val="32"/>
          <w:highlight w:val="none"/>
        </w:rPr>
      </w:pPr>
      <w:r>
        <w:rPr>
          <w:rFonts w:hint="eastAsia" w:hAnsi="宋体" w:cs="宋体"/>
          <w:b/>
          <w:bCs/>
          <w:sz w:val="32"/>
          <w:szCs w:val="32"/>
          <w:highlight w:val="none"/>
        </w:rPr>
        <w:t>项目编号：SXZCZB2022-ZCCS-1133</w:t>
      </w:r>
    </w:p>
    <w:p>
      <w:pPr>
        <w:ind w:firstLine="4343" w:firstLineChars="1352"/>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sz w:val="32"/>
          <w:szCs w:val="32"/>
          <w:highlight w:val="none"/>
        </w:rPr>
        <w:t>（正本或副本）</w:t>
      </w:r>
    </w:p>
    <w:p>
      <w:pPr>
        <w:jc w:val="right"/>
        <w:rPr>
          <w:rFonts w:hAnsi="宋体" w:cs="宋体"/>
          <w:b/>
          <w:sz w:val="32"/>
          <w:szCs w:val="32"/>
          <w:highlight w:val="none"/>
        </w:rPr>
      </w:pPr>
    </w:p>
    <w:p>
      <w:pPr>
        <w:jc w:val="right"/>
        <w:rPr>
          <w:rFonts w:hAnsi="宋体" w:cs="宋体"/>
          <w:b/>
          <w:sz w:val="32"/>
          <w:szCs w:val="32"/>
          <w:highlight w:val="none"/>
        </w:rPr>
      </w:pPr>
    </w:p>
    <w:p>
      <w:pPr>
        <w:pStyle w:val="11"/>
        <w:rPr>
          <w:rFonts w:ascii="宋体" w:hAnsi="宋体" w:cs="宋体"/>
          <w:highlight w:val="none"/>
        </w:rPr>
      </w:pPr>
    </w:p>
    <w:p>
      <w:pPr>
        <w:jc w:val="center"/>
        <w:rPr>
          <w:rFonts w:hAnsi="宋体" w:cs="宋体"/>
          <w:b/>
          <w:sz w:val="62"/>
          <w:szCs w:val="72"/>
          <w:highlight w:val="none"/>
        </w:rPr>
      </w:pPr>
      <w:r>
        <w:rPr>
          <w:rFonts w:hint="eastAsia" w:hAnsi="宋体" w:cs="宋体"/>
          <w:b/>
          <w:sz w:val="56"/>
          <w:szCs w:val="72"/>
          <w:highlight w:val="none"/>
        </w:rPr>
        <w:t>网络安全系统升级项目</w:t>
      </w:r>
    </w:p>
    <w:p>
      <w:pPr>
        <w:jc w:val="center"/>
        <w:rPr>
          <w:rFonts w:hAnsi="宋体" w:cs="宋体"/>
          <w:b/>
          <w:sz w:val="62"/>
          <w:szCs w:val="72"/>
          <w:highlight w:val="none"/>
        </w:rPr>
      </w:pPr>
    </w:p>
    <w:p>
      <w:pPr>
        <w:pStyle w:val="11"/>
        <w:rPr>
          <w:rFonts w:ascii="宋体" w:hAnsi="宋体" w:cs="宋体"/>
          <w:b/>
          <w:sz w:val="62"/>
          <w:szCs w:val="72"/>
          <w:highlight w:val="none"/>
        </w:rPr>
      </w:pPr>
    </w:p>
    <w:p>
      <w:pPr>
        <w:rPr>
          <w:rFonts w:hAnsi="宋体" w:cs="宋体"/>
          <w:highlight w:val="none"/>
        </w:rPr>
      </w:pPr>
    </w:p>
    <w:p>
      <w:pPr>
        <w:jc w:val="center"/>
        <w:rPr>
          <w:rFonts w:hAnsi="宋体" w:cs="宋体"/>
          <w:b/>
          <w:sz w:val="56"/>
          <w:szCs w:val="56"/>
          <w:highlight w:val="none"/>
        </w:rPr>
      </w:pPr>
      <w:r>
        <w:rPr>
          <w:rFonts w:hint="eastAsia" w:hAnsi="宋体" w:cs="宋体"/>
          <w:b/>
          <w:sz w:val="56"/>
          <w:szCs w:val="56"/>
          <w:highlight w:val="none"/>
        </w:rPr>
        <w:t>竞争性磋商响应文件</w:t>
      </w:r>
    </w:p>
    <w:p>
      <w:pPr>
        <w:jc w:val="center"/>
        <w:rPr>
          <w:rFonts w:hAnsi="宋体" w:cs="宋体"/>
          <w:b/>
          <w:sz w:val="36"/>
          <w:szCs w:val="36"/>
          <w:highlight w:val="none"/>
        </w:rPr>
      </w:pPr>
    </w:p>
    <w:p>
      <w:pPr>
        <w:rPr>
          <w:rFonts w:hAnsi="宋体" w:cs="宋体"/>
          <w:b/>
          <w:sz w:val="36"/>
          <w:szCs w:val="36"/>
          <w:highlight w:val="none"/>
        </w:rPr>
      </w:pPr>
    </w:p>
    <w:p>
      <w:pPr>
        <w:pStyle w:val="11"/>
        <w:rPr>
          <w:rFonts w:ascii="宋体" w:hAnsi="宋体" w:cs="宋体"/>
          <w:highlight w:val="none"/>
        </w:rPr>
      </w:pPr>
    </w:p>
    <w:p>
      <w:pPr>
        <w:rPr>
          <w:rFonts w:hAnsi="宋体" w:cs="宋体"/>
          <w:b/>
          <w:sz w:val="36"/>
          <w:szCs w:val="36"/>
          <w:highlight w:val="none"/>
        </w:rPr>
      </w:pPr>
    </w:p>
    <w:p>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6"/>
          <w:szCs w:val="36"/>
          <w:highlight w:val="none"/>
        </w:rPr>
        <w:br w:type="page"/>
      </w:r>
      <w:bookmarkStart w:id="125" w:name="_Toc344572156"/>
    </w:p>
    <w:p>
      <w:pPr>
        <w:jc w:val="center"/>
        <w:rPr>
          <w:rFonts w:hAnsi="宋体" w:cs="宋体"/>
          <w:b/>
          <w:sz w:val="44"/>
          <w:highlight w:val="none"/>
        </w:rPr>
      </w:pPr>
      <w:r>
        <w:rPr>
          <w:rFonts w:hint="eastAsia" w:hAnsi="宋体" w:cs="宋体"/>
          <w:b/>
          <w:sz w:val="44"/>
          <w:highlight w:val="none"/>
        </w:rPr>
        <w:t>目  录</w:t>
      </w:r>
    </w:p>
    <w:p>
      <w:pPr>
        <w:pStyle w:val="11"/>
        <w:rPr>
          <w:rFonts w:ascii="宋体" w:hAnsi="宋体" w:cs="宋体"/>
          <w:highlight w:val="none"/>
        </w:rPr>
      </w:pP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三、磋商方案说明书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四、商务条款偏离表</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pPr>
        <w:pStyle w:val="8"/>
        <w:spacing w:line="360" w:lineRule="auto"/>
        <w:rPr>
          <w:rFonts w:ascii="宋体" w:hAnsi="宋体" w:cs="宋体"/>
          <w:highlight w:val="none"/>
        </w:rPr>
      </w:pPr>
    </w:p>
    <w:p>
      <w:pPr>
        <w:pStyle w:val="8"/>
        <w:spacing w:line="360" w:lineRule="auto"/>
        <w:rPr>
          <w:rFonts w:ascii="宋体" w:hAnsi="宋体" w:cs="宋体"/>
          <w:highlight w:val="none"/>
        </w:rPr>
      </w:pPr>
    </w:p>
    <w:p>
      <w:pPr>
        <w:pStyle w:val="8"/>
        <w:ind w:firstLine="880"/>
        <w:rPr>
          <w:rFonts w:ascii="宋体" w:hAnsi="宋体" w:cs="宋体"/>
          <w:bCs/>
          <w:sz w:val="44"/>
          <w:highlight w:val="none"/>
        </w:rPr>
      </w:pPr>
    </w:p>
    <w:p>
      <w:pPr>
        <w:pStyle w:val="8"/>
        <w:ind w:firstLine="880"/>
        <w:rPr>
          <w:rFonts w:ascii="宋体" w:hAnsi="宋体" w:cs="宋体"/>
          <w:bCs/>
          <w:sz w:val="44"/>
          <w:highlight w:val="none"/>
        </w:rPr>
      </w:pPr>
    </w:p>
    <w:bookmarkEnd w:id="125"/>
    <w:p>
      <w:pPr>
        <w:pStyle w:val="11"/>
        <w:rPr>
          <w:rFonts w:ascii="宋体" w:hAnsi="宋体" w:cs="宋体"/>
          <w:b/>
          <w:sz w:val="32"/>
          <w:szCs w:val="32"/>
          <w:highlight w:val="none"/>
        </w:rPr>
      </w:pPr>
      <w:bookmarkStart w:id="126" w:name="_Toc403077648"/>
      <w:bookmarkStart w:id="127" w:name="_Toc363474027"/>
      <w:bookmarkStart w:id="128" w:name="_Toc204524343"/>
    </w:p>
    <w:p>
      <w:pPr>
        <w:pStyle w:val="11"/>
        <w:rPr>
          <w:rFonts w:ascii="宋体" w:hAnsi="宋体" w:cs="宋体"/>
          <w:b/>
          <w:sz w:val="32"/>
          <w:szCs w:val="32"/>
          <w:highlight w:val="none"/>
        </w:rPr>
      </w:pPr>
    </w:p>
    <w:p>
      <w:pPr>
        <w:pStyle w:val="11"/>
        <w:rPr>
          <w:rFonts w:ascii="宋体" w:hAnsi="宋体" w:cs="宋体"/>
          <w:b/>
          <w:sz w:val="32"/>
          <w:szCs w:val="32"/>
          <w:highlight w:val="none"/>
        </w:rPr>
      </w:pPr>
    </w:p>
    <w:p>
      <w:pPr>
        <w:spacing w:line="520" w:lineRule="exact"/>
        <w:jc w:val="center"/>
        <w:outlineLvl w:val="1"/>
        <w:rPr>
          <w:rFonts w:hAnsi="宋体" w:cs="宋体"/>
          <w:b/>
          <w:sz w:val="32"/>
          <w:szCs w:val="32"/>
          <w:highlight w:val="none"/>
        </w:rPr>
      </w:pPr>
      <w:r>
        <w:rPr>
          <w:rFonts w:hint="eastAsia" w:hAnsi="宋体" w:cs="宋体"/>
          <w:b/>
          <w:sz w:val="32"/>
          <w:szCs w:val="32"/>
          <w:highlight w:val="none"/>
        </w:rPr>
        <w:br w:type="page"/>
      </w:r>
      <w:bookmarkStart w:id="129" w:name="_Toc32002"/>
      <w:bookmarkStart w:id="130" w:name="_Toc15762"/>
      <w:bookmarkStart w:id="131" w:name="_Toc4367"/>
      <w:r>
        <w:rPr>
          <w:rFonts w:hint="eastAsia" w:hAnsi="宋体" w:cs="宋体"/>
          <w:b/>
          <w:sz w:val="32"/>
          <w:szCs w:val="32"/>
          <w:highlight w:val="none"/>
        </w:rPr>
        <w:t>一、磋商</w:t>
      </w:r>
      <w:bookmarkEnd w:id="126"/>
      <w:bookmarkEnd w:id="127"/>
      <w:r>
        <w:rPr>
          <w:rFonts w:hint="eastAsia" w:hAnsi="宋体" w:cs="宋体"/>
          <w:b/>
          <w:sz w:val="32"/>
          <w:szCs w:val="32"/>
          <w:highlight w:val="none"/>
        </w:rPr>
        <w:t>响应函</w:t>
      </w:r>
      <w:bookmarkEnd w:id="129"/>
      <w:bookmarkEnd w:id="130"/>
      <w:bookmarkEnd w:id="131"/>
    </w:p>
    <w:p>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陕西至诚招标咨询有限公司</w:t>
      </w:r>
    </w:p>
    <w:p>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提交竞争性磋商响应文件正本壹份、副本一式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w:t>
      </w:r>
    </w:p>
    <w:p>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pPr>
        <w:numPr>
          <w:ilvl w:val="0"/>
          <w:numId w:val="6"/>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pPr>
        <w:numPr>
          <w:ilvl w:val="0"/>
          <w:numId w:val="6"/>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5）同意提供贵方可能另外要求的与本磋商有关的任何证据和资料。 </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6）我们同意，如果成交，向陕西至诚招标咨询有限公司交纳招标代理服务费。</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7）与本磋商有关的一切正式往来通讯为：</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供应商法定代表人</w:t>
      </w:r>
      <w:r>
        <w:rPr>
          <w:rFonts w:hint="eastAsia" w:hAnsi="宋体" w:cs="宋体"/>
          <w:spacing w:val="4"/>
          <w:highlight w:val="none"/>
        </w:rPr>
        <w:t>/被授权人</w:t>
      </w:r>
      <w:r>
        <w:rPr>
          <w:rFonts w:hint="eastAsia" w:hAnsi="宋体" w:cs="宋体"/>
          <w:spacing w:val="4"/>
          <w:szCs w:val="24"/>
          <w:highlight w:val="none"/>
        </w:rPr>
        <w:t>签字</w:t>
      </w:r>
      <w:r>
        <w:rPr>
          <w:rFonts w:hint="eastAsia" w:hAnsi="宋体" w:cs="宋体"/>
          <w:spacing w:val="4"/>
          <w:highlight w:val="none"/>
        </w:rPr>
        <w:t>或盖章</w:t>
      </w:r>
      <w:r>
        <w:rPr>
          <w:rFonts w:hint="eastAsia" w:hAnsi="宋体" w:cs="宋体"/>
          <w:szCs w:val="24"/>
          <w:highlight w:val="none"/>
        </w:rPr>
        <w:t>：</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pPr>
        <w:pStyle w:val="4"/>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132" w:name="_Toc17800"/>
      <w:bookmarkStart w:id="133" w:name="_Toc363474030"/>
      <w:bookmarkStart w:id="134" w:name="_Toc9730"/>
      <w:bookmarkStart w:id="135" w:name="_Toc403077651"/>
      <w:bookmarkStart w:id="136" w:name="_Toc28910"/>
      <w:r>
        <w:rPr>
          <w:rFonts w:hint="eastAsia" w:ascii="宋体" w:hAnsi="宋体" w:cs="宋体"/>
          <w:bCs w:val="0"/>
          <w:sz w:val="32"/>
          <w:highlight w:val="none"/>
        </w:rPr>
        <w:t>二、磋商报价表</w:t>
      </w:r>
      <w:bookmarkEnd w:id="132"/>
      <w:bookmarkEnd w:id="133"/>
      <w:bookmarkEnd w:id="134"/>
      <w:bookmarkEnd w:id="135"/>
      <w:bookmarkEnd w:id="136"/>
    </w:p>
    <w:p>
      <w:pPr>
        <w:spacing w:line="360" w:lineRule="auto"/>
        <w:jc w:val="center"/>
        <w:outlineLvl w:val="1"/>
        <w:rPr>
          <w:rFonts w:hAnsi="宋体" w:cs="宋体"/>
          <w:szCs w:val="24"/>
          <w:highlight w:val="none"/>
        </w:rPr>
      </w:pPr>
      <w:bookmarkStart w:id="137" w:name="_Toc32277"/>
      <w:bookmarkStart w:id="138" w:name="_Toc12732"/>
      <w:bookmarkStart w:id="139" w:name="_Toc7982"/>
      <w:r>
        <w:rPr>
          <w:rFonts w:hint="eastAsia" w:hAnsi="宋体" w:cs="宋体"/>
          <w:szCs w:val="24"/>
          <w:highlight w:val="none"/>
        </w:rPr>
        <w:t>2.1报价一览表</w:t>
      </w:r>
      <w:bookmarkEnd w:id="137"/>
      <w:bookmarkEnd w:id="138"/>
      <w:bookmarkEnd w:id="139"/>
    </w:p>
    <w:p>
      <w:pPr>
        <w:spacing w:line="360" w:lineRule="auto"/>
        <w:jc w:val="center"/>
        <w:rPr>
          <w:rFonts w:hAnsi="宋体" w:cs="宋体"/>
          <w:szCs w:val="24"/>
          <w:highlight w:val="none"/>
        </w:rPr>
      </w:pPr>
    </w:p>
    <w:p>
      <w:pPr>
        <w:jc w:val="left"/>
        <w:rPr>
          <w:rFonts w:hAnsi="宋体" w:cs="宋体"/>
          <w:highlight w:val="none"/>
        </w:rPr>
      </w:pPr>
      <w:r>
        <w:rPr>
          <w:rFonts w:hint="eastAsia" w:hAnsi="宋体" w:cs="宋体"/>
          <w:highlight w:val="none"/>
        </w:rPr>
        <w:t xml:space="preserve">项目名称：                                                 </w:t>
      </w:r>
    </w:p>
    <w:p>
      <w:pPr>
        <w:jc w:val="left"/>
        <w:rPr>
          <w:rFonts w:hAnsi="宋体" w:cs="宋体"/>
          <w:highlight w:val="none"/>
        </w:rPr>
      </w:pPr>
      <w:r>
        <w:rPr>
          <w:rFonts w:hint="eastAsia" w:hAnsi="宋体" w:cs="宋体"/>
          <w:highlight w:val="none"/>
        </w:rPr>
        <w:t xml:space="preserve">项目编号：                                               </w:t>
      </w: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3049"/>
        <w:gridCol w:w="2077"/>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408" w:type="dxa"/>
            <w:vAlign w:val="center"/>
          </w:tcPr>
          <w:p>
            <w:pPr>
              <w:jc w:val="center"/>
              <w:rPr>
                <w:rFonts w:hAnsi="宋体" w:cs="宋体"/>
                <w:szCs w:val="24"/>
                <w:highlight w:val="none"/>
              </w:rPr>
            </w:pPr>
            <w:r>
              <w:rPr>
                <w:rFonts w:hint="eastAsia" w:hAnsi="宋体" w:cs="宋体"/>
                <w:szCs w:val="24"/>
                <w:highlight w:val="none"/>
              </w:rPr>
              <w:t>磋商总报价</w:t>
            </w:r>
          </w:p>
          <w:p>
            <w:pPr>
              <w:jc w:val="center"/>
              <w:rPr>
                <w:rFonts w:hAnsi="宋体" w:cs="宋体"/>
                <w:szCs w:val="24"/>
                <w:highlight w:val="none"/>
              </w:rPr>
            </w:pPr>
            <w:r>
              <w:rPr>
                <w:rFonts w:hint="eastAsia" w:hAnsi="宋体" w:cs="宋体"/>
                <w:szCs w:val="24"/>
                <w:highlight w:val="none"/>
              </w:rPr>
              <w:t>（元）</w:t>
            </w:r>
          </w:p>
        </w:tc>
        <w:tc>
          <w:tcPr>
            <w:tcW w:w="3049" w:type="dxa"/>
            <w:vAlign w:val="center"/>
          </w:tcPr>
          <w:p>
            <w:pPr>
              <w:jc w:val="center"/>
              <w:rPr>
                <w:rFonts w:hAnsi="宋体" w:cs="宋体"/>
                <w:szCs w:val="24"/>
                <w:highlight w:val="none"/>
              </w:rPr>
            </w:pPr>
            <w:r>
              <w:rPr>
                <w:rFonts w:hint="eastAsia" w:hAnsi="宋体" w:cs="宋体"/>
                <w:szCs w:val="24"/>
                <w:highlight w:val="none"/>
              </w:rPr>
              <w:t>交付期</w:t>
            </w:r>
          </w:p>
        </w:tc>
        <w:tc>
          <w:tcPr>
            <w:tcW w:w="2077" w:type="dxa"/>
            <w:vAlign w:val="center"/>
          </w:tcPr>
          <w:p>
            <w:pPr>
              <w:pStyle w:val="11"/>
              <w:jc w:val="center"/>
              <w:rPr>
                <w:rFonts w:ascii="宋体" w:hAnsi="宋体" w:cs="宋体"/>
                <w:highlight w:val="none"/>
              </w:rPr>
            </w:pPr>
            <w:r>
              <w:rPr>
                <w:rFonts w:hint="eastAsia" w:ascii="宋体" w:hAnsi="宋体" w:cs="宋体"/>
                <w:kern w:val="0"/>
                <w:sz w:val="24"/>
                <w:szCs w:val="24"/>
                <w:highlight w:val="none"/>
              </w:rPr>
              <w:t>服务期限</w:t>
            </w:r>
          </w:p>
        </w:tc>
        <w:tc>
          <w:tcPr>
            <w:tcW w:w="1916" w:type="dxa"/>
            <w:vAlign w:val="center"/>
          </w:tcPr>
          <w:p>
            <w:pPr>
              <w:jc w:val="center"/>
              <w:rPr>
                <w:rFonts w:hAnsi="宋体" w:cs="宋体"/>
                <w:szCs w:val="24"/>
                <w:highlight w:val="none"/>
              </w:rPr>
            </w:pPr>
            <w:r>
              <w:rPr>
                <w:rFonts w:hint="eastAsia" w:hAnsi="宋体" w:cs="宋体"/>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408" w:type="dxa"/>
            <w:vAlign w:val="center"/>
          </w:tcPr>
          <w:p>
            <w:pPr>
              <w:jc w:val="center"/>
              <w:rPr>
                <w:rFonts w:hAnsi="宋体" w:cs="宋体"/>
                <w:szCs w:val="24"/>
                <w:highlight w:val="none"/>
              </w:rPr>
            </w:pPr>
          </w:p>
        </w:tc>
        <w:tc>
          <w:tcPr>
            <w:tcW w:w="3049" w:type="dxa"/>
            <w:vAlign w:val="center"/>
          </w:tcPr>
          <w:p>
            <w:pPr>
              <w:jc w:val="center"/>
              <w:rPr>
                <w:rFonts w:hAnsi="宋体" w:cs="宋体"/>
                <w:szCs w:val="24"/>
                <w:highlight w:val="none"/>
              </w:rPr>
            </w:pPr>
          </w:p>
        </w:tc>
        <w:tc>
          <w:tcPr>
            <w:tcW w:w="2077" w:type="dxa"/>
            <w:vAlign w:val="center"/>
          </w:tcPr>
          <w:p>
            <w:pPr>
              <w:jc w:val="center"/>
              <w:rPr>
                <w:rFonts w:hAnsi="宋体" w:cs="宋体"/>
                <w:szCs w:val="24"/>
                <w:highlight w:val="none"/>
              </w:rPr>
            </w:pPr>
          </w:p>
        </w:tc>
        <w:tc>
          <w:tcPr>
            <w:tcW w:w="1916" w:type="dxa"/>
            <w:vAlign w:val="center"/>
          </w:tcPr>
          <w:p>
            <w:pPr>
              <w:jc w:val="center"/>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4"/>
            <w:vAlign w:val="center"/>
          </w:tcPr>
          <w:p>
            <w:pPr>
              <w:jc w:val="center"/>
              <w:rPr>
                <w:rFonts w:hAnsi="宋体" w:cs="宋体"/>
                <w:szCs w:val="24"/>
                <w:highlight w:val="none"/>
              </w:rPr>
            </w:pPr>
            <w:r>
              <w:rPr>
                <w:rFonts w:hint="eastAsia" w:hAnsi="宋体" w:cs="宋体"/>
                <w:szCs w:val="24"/>
                <w:highlight w:val="none"/>
              </w:rPr>
              <w:t>磋商报价（大写）：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4"/>
            <w:vAlign w:val="center"/>
          </w:tcPr>
          <w:p>
            <w:pPr>
              <w:rPr>
                <w:rFonts w:hAnsi="宋体" w:cs="宋体"/>
                <w:szCs w:val="24"/>
                <w:highlight w:val="none"/>
              </w:rPr>
            </w:pPr>
            <w:r>
              <w:rPr>
                <w:rFonts w:hint="eastAsia" w:hAnsi="宋体" w:cs="宋体"/>
                <w:szCs w:val="24"/>
                <w:highlight w:val="none"/>
              </w:rPr>
              <w:t>备注：表内报价内容以元为单位，保留小数点后（</w:t>
            </w:r>
            <w:r>
              <w:rPr>
                <w:rFonts w:hint="eastAsia" w:hAnsi="宋体" w:cs="宋体"/>
                <w:b/>
                <w:szCs w:val="24"/>
                <w:highlight w:val="none"/>
              </w:rPr>
              <w:t>两位</w:t>
            </w:r>
            <w:r>
              <w:rPr>
                <w:rFonts w:hint="eastAsia" w:hAnsi="宋体" w:cs="宋体"/>
                <w:szCs w:val="24"/>
                <w:highlight w:val="none"/>
              </w:rPr>
              <w:t>）。</w:t>
            </w:r>
          </w:p>
        </w:tc>
      </w:tr>
    </w:tbl>
    <w:p>
      <w:pPr>
        <w:rPr>
          <w:rFonts w:hAnsi="宋体" w:cs="宋体"/>
          <w:szCs w:val="24"/>
          <w:highlight w:val="none"/>
        </w:rPr>
      </w:pPr>
    </w:p>
    <w:p>
      <w:pPr>
        <w:rPr>
          <w:rFonts w:hAnsi="宋体" w:cs="宋体"/>
          <w:szCs w:val="24"/>
          <w:highlight w:val="none"/>
        </w:rPr>
      </w:pPr>
    </w:p>
    <w:p>
      <w:pPr>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p>
    <w:p>
      <w:pPr>
        <w:spacing w:line="280" w:lineRule="exact"/>
        <w:ind w:right="617" w:rightChars="257"/>
        <w:jc w:val="left"/>
        <w:rPr>
          <w:rFonts w:hAnsi="宋体" w:cs="宋体"/>
          <w:szCs w:val="24"/>
          <w:highlight w:val="none"/>
        </w:rPr>
      </w:pPr>
    </w:p>
    <w:p>
      <w:pPr>
        <w:spacing w:line="280" w:lineRule="exact"/>
        <w:ind w:right="617" w:rightChars="257"/>
        <w:rPr>
          <w:rFonts w:hAnsi="宋体" w:cs="宋体"/>
          <w:szCs w:val="24"/>
          <w:highlight w:val="none"/>
        </w:rPr>
      </w:pPr>
      <w:r>
        <w:rPr>
          <w:rFonts w:hint="eastAsia" w:hAnsi="宋体" w:cs="宋体"/>
          <w:szCs w:val="24"/>
          <w:highlight w:val="none"/>
        </w:rPr>
        <w:t>日    期：</w:t>
      </w:r>
    </w:p>
    <w:p>
      <w:pPr>
        <w:jc w:val="center"/>
        <w:rPr>
          <w:rFonts w:hAnsi="宋体" w:cs="宋体"/>
          <w:szCs w:val="24"/>
          <w:highlight w:val="none"/>
        </w:rPr>
      </w:pPr>
    </w:p>
    <w:p>
      <w:pPr>
        <w:spacing w:before="156" w:beforeLines="50" w:after="156" w:afterLines="50" w:line="400" w:lineRule="atLeast"/>
        <w:rPr>
          <w:rFonts w:hAnsi="宋体" w:cs="宋体"/>
          <w:szCs w:val="24"/>
          <w:highlight w:val="none"/>
          <w:u w:val="single"/>
        </w:rPr>
      </w:pPr>
      <w:r>
        <w:rPr>
          <w:rFonts w:hint="eastAsia" w:hAnsi="宋体" w:cs="宋体"/>
          <w:szCs w:val="24"/>
          <w:highlight w:val="none"/>
        </w:rPr>
        <w:t>注：本表应按“供应商须知”的规定密封单独提交。若有折扣声明，请与本表一并装订和密封。严格按照表格格式报价。</w:t>
      </w:r>
    </w:p>
    <w:p>
      <w:pPr>
        <w:jc w:val="center"/>
        <w:rPr>
          <w:rFonts w:hAnsi="宋体" w:cs="宋体"/>
          <w:b/>
          <w:sz w:val="30"/>
          <w:szCs w:val="30"/>
          <w:highlight w:val="none"/>
        </w:rPr>
      </w:pPr>
    </w:p>
    <w:p>
      <w:pPr>
        <w:jc w:val="center"/>
        <w:outlineLvl w:val="1"/>
        <w:rPr>
          <w:rFonts w:hAnsi="宋体" w:cs="宋体"/>
          <w:b/>
          <w:sz w:val="30"/>
          <w:szCs w:val="30"/>
          <w:highlight w:val="none"/>
        </w:rPr>
      </w:pPr>
      <w:r>
        <w:rPr>
          <w:rFonts w:hint="eastAsia" w:hAnsi="宋体" w:cs="宋体"/>
          <w:b/>
          <w:sz w:val="30"/>
          <w:szCs w:val="30"/>
          <w:highlight w:val="none"/>
        </w:rPr>
        <w:br w:type="page"/>
      </w:r>
      <w:bookmarkStart w:id="140" w:name="_Toc11197"/>
      <w:bookmarkStart w:id="141" w:name="_Toc9760"/>
      <w:bookmarkStart w:id="142" w:name="_Toc8017"/>
      <w:r>
        <w:rPr>
          <w:rFonts w:hint="eastAsia" w:hAnsi="宋体" w:cs="宋体"/>
          <w:b/>
          <w:sz w:val="30"/>
          <w:szCs w:val="30"/>
          <w:highlight w:val="none"/>
        </w:rPr>
        <w:t>2.2分项报价表</w:t>
      </w:r>
      <w:bookmarkEnd w:id="140"/>
      <w:bookmarkEnd w:id="141"/>
      <w:bookmarkEnd w:id="142"/>
    </w:p>
    <w:p>
      <w:pPr>
        <w:pStyle w:val="11"/>
        <w:jc w:val="center"/>
        <w:rPr>
          <w:rFonts w:ascii="宋体" w:hAnsi="宋体" w:cs="宋体"/>
          <w:bCs/>
          <w:sz w:val="24"/>
          <w:szCs w:val="24"/>
          <w:highlight w:val="none"/>
        </w:rPr>
      </w:pPr>
    </w:p>
    <w:p>
      <w:pPr>
        <w:pStyle w:val="11"/>
        <w:jc w:val="center"/>
        <w:rPr>
          <w:rFonts w:ascii="宋体" w:hAnsi="宋体" w:cs="宋体"/>
          <w:bCs/>
          <w:sz w:val="24"/>
          <w:szCs w:val="24"/>
          <w:highlight w:val="none"/>
        </w:rPr>
      </w:pPr>
      <w:r>
        <w:rPr>
          <w:rFonts w:hint="eastAsia" w:ascii="宋体" w:hAnsi="宋体" w:cs="宋体"/>
          <w:bCs/>
          <w:sz w:val="24"/>
          <w:szCs w:val="24"/>
          <w:highlight w:val="none"/>
        </w:rPr>
        <w:t>供应商自行拟定格式，用于说明磋商报价各报价的组成。</w:t>
      </w:r>
    </w:p>
    <w:p>
      <w:pPr>
        <w:pStyle w:val="11"/>
        <w:rPr>
          <w:rFonts w:ascii="宋体" w:hAnsi="宋体" w:cs="宋体"/>
          <w:highlight w:val="none"/>
        </w:rPr>
      </w:pPr>
    </w:p>
    <w:p>
      <w:pPr>
        <w:ind w:firstLine="420"/>
        <w:rPr>
          <w:rFonts w:hAnsi="宋体" w:cs="宋体"/>
          <w:highlight w:val="none"/>
        </w:rPr>
      </w:pPr>
    </w:p>
    <w:p>
      <w:pPr>
        <w:pStyle w:val="11"/>
        <w:spacing w:line="360" w:lineRule="auto"/>
        <w:rPr>
          <w:rFonts w:ascii="宋体" w:hAnsi="宋体" w:cs="宋体"/>
          <w:sz w:val="28"/>
          <w:szCs w:val="28"/>
          <w:highlight w:val="none"/>
        </w:rPr>
      </w:pPr>
    </w:p>
    <w:p>
      <w:pPr>
        <w:rPr>
          <w:rFonts w:hAnsi="宋体" w:cs="宋体"/>
          <w:highlight w:val="none"/>
        </w:rPr>
      </w:pPr>
    </w:p>
    <w:bookmarkEnd w:id="128"/>
    <w:p>
      <w:pPr>
        <w:jc w:val="center"/>
        <w:outlineLvl w:val="1"/>
        <w:rPr>
          <w:rFonts w:hAnsi="宋体" w:cs="宋体"/>
          <w:sz w:val="32"/>
          <w:szCs w:val="32"/>
          <w:highlight w:val="none"/>
        </w:rPr>
      </w:pPr>
      <w:bookmarkStart w:id="143" w:name="_Toc344572163"/>
      <w:r>
        <w:rPr>
          <w:rFonts w:hint="eastAsia" w:hAnsi="宋体" w:cs="宋体"/>
          <w:sz w:val="32"/>
          <w:szCs w:val="32"/>
          <w:highlight w:val="none"/>
        </w:rPr>
        <w:br w:type="page"/>
      </w:r>
      <w:bookmarkStart w:id="144" w:name="_Toc32126"/>
      <w:bookmarkStart w:id="145" w:name="_Toc5944"/>
      <w:bookmarkStart w:id="146" w:name="_Toc3628"/>
      <w:r>
        <w:rPr>
          <w:rFonts w:hint="eastAsia" w:hAnsi="宋体" w:cs="宋体"/>
          <w:b/>
          <w:bCs/>
          <w:sz w:val="32"/>
          <w:szCs w:val="32"/>
          <w:highlight w:val="none"/>
        </w:rPr>
        <w:t>三、磋商方案说明书</w:t>
      </w:r>
      <w:bookmarkEnd w:id="144"/>
      <w:bookmarkEnd w:id="145"/>
      <w:bookmarkEnd w:id="146"/>
    </w:p>
    <w:p>
      <w:pPr>
        <w:spacing w:after="120" w:line="440" w:lineRule="exact"/>
        <w:rPr>
          <w:rFonts w:hAnsi="宋体" w:cs="宋体"/>
          <w:szCs w:val="24"/>
          <w:highlight w:val="none"/>
        </w:rPr>
      </w:pPr>
      <w:r>
        <w:rPr>
          <w:rFonts w:hint="eastAsia" w:hAnsi="宋体" w:cs="宋体"/>
          <w:szCs w:val="24"/>
          <w:highlight w:val="none"/>
        </w:rPr>
        <w:t>项目名称：</w:t>
      </w:r>
    </w:p>
    <w:p>
      <w:pPr>
        <w:tabs>
          <w:tab w:val="left" w:pos="1800"/>
        </w:tabs>
        <w:spacing w:after="120" w:line="440" w:lineRule="exact"/>
        <w:rPr>
          <w:rFonts w:hAnsi="宋体" w:cs="宋体"/>
          <w:szCs w:val="24"/>
          <w:highlight w:val="none"/>
        </w:rPr>
      </w:pPr>
      <w:r>
        <w:rPr>
          <w:rFonts w:hint="eastAsia" w:hAnsi="宋体" w:cs="宋体"/>
          <w:szCs w:val="24"/>
          <w:highlight w:val="none"/>
        </w:rPr>
        <w:t>项目编号：</w:t>
      </w:r>
    </w:p>
    <w:p>
      <w:pPr>
        <w:spacing w:line="480" w:lineRule="auto"/>
        <w:ind w:firstLine="480" w:firstLineChars="200"/>
        <w:rPr>
          <w:rFonts w:hAnsi="宋体" w:cs="宋体"/>
          <w:b/>
          <w:bCs/>
          <w:szCs w:val="24"/>
          <w:highlight w:val="none"/>
        </w:rPr>
      </w:pPr>
      <w:r>
        <w:rPr>
          <w:rFonts w:hint="eastAsia" w:hAnsi="宋体" w:cs="宋体"/>
          <w:szCs w:val="24"/>
          <w:highlight w:val="none"/>
        </w:rPr>
        <w:t>按照磋商文件的要求编制的技术响应说明书，内容包括本项目设计方案就实施方案。</w:t>
      </w:r>
      <w:r>
        <w:rPr>
          <w:rFonts w:hint="eastAsia" w:hAnsi="宋体" w:cs="宋体"/>
          <w:b/>
          <w:bCs/>
          <w:szCs w:val="24"/>
          <w:highlight w:val="none"/>
        </w:rPr>
        <w:t>（可参照第三章评审办法进行响应）</w:t>
      </w:r>
    </w:p>
    <w:p>
      <w:pPr>
        <w:pStyle w:val="11"/>
        <w:rPr>
          <w:rFonts w:ascii="宋体" w:hAnsi="宋体" w:cs="宋体"/>
          <w:highlight w:val="none"/>
        </w:rPr>
      </w:pPr>
    </w:p>
    <w:p>
      <w:pPr>
        <w:pStyle w:val="11"/>
        <w:rPr>
          <w:rFonts w:ascii="宋体" w:hAnsi="宋体" w:cs="宋体"/>
          <w:highlight w:val="none"/>
        </w:rPr>
      </w:pPr>
    </w:p>
    <w:p>
      <w:pPr>
        <w:rPr>
          <w:rFonts w:hAnsi="宋体" w:cs="宋体"/>
          <w:highlight w:val="none"/>
        </w:rPr>
      </w:pPr>
    </w:p>
    <w:p>
      <w:pPr>
        <w:pStyle w:val="11"/>
        <w:rPr>
          <w:rFonts w:ascii="宋体" w:hAnsi="宋体" w:cs="宋体"/>
          <w:highlight w:val="none"/>
        </w:rPr>
      </w:pPr>
    </w:p>
    <w:p>
      <w:pPr>
        <w:spacing w:line="480" w:lineRule="auto"/>
        <w:ind w:left="3725" w:leftChars="1552"/>
        <w:rPr>
          <w:rFonts w:hAnsi="宋体" w:cs="宋体"/>
          <w:szCs w:val="24"/>
          <w:highlight w:val="none"/>
        </w:rPr>
      </w:pPr>
      <w:r>
        <w:rPr>
          <w:rFonts w:hint="eastAsia" w:hAnsi="宋体" w:cs="宋体"/>
          <w:szCs w:val="24"/>
          <w:highlight w:val="none"/>
        </w:rPr>
        <w:t>法定代表人/或被授权人签字：</w:t>
      </w:r>
    </w:p>
    <w:p>
      <w:pPr>
        <w:spacing w:line="480" w:lineRule="auto"/>
        <w:ind w:left="3725" w:leftChars="155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公      章：</w:t>
      </w:r>
    </w:p>
    <w:p>
      <w:pPr>
        <w:spacing w:line="480" w:lineRule="auto"/>
        <w:ind w:left="3725" w:leftChars="1552" w:firstLine="5668" w:firstLineChars="236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日      期：</w:t>
      </w:r>
    </w:p>
    <w:p>
      <w:pPr>
        <w:spacing w:after="120" w:line="480" w:lineRule="auto"/>
        <w:rPr>
          <w:rFonts w:hAnsi="宋体" w:cs="宋体"/>
          <w:b/>
          <w:szCs w:val="24"/>
          <w:highlight w:val="none"/>
        </w:rPr>
      </w:pPr>
    </w:p>
    <w:p>
      <w:pPr>
        <w:spacing w:after="120"/>
        <w:rPr>
          <w:rFonts w:hAnsi="宋体" w:cs="宋体"/>
          <w:b/>
          <w:szCs w:val="24"/>
          <w:highlight w:val="none"/>
        </w:rPr>
      </w:pPr>
    </w:p>
    <w:p>
      <w:pPr>
        <w:spacing w:after="120"/>
        <w:rPr>
          <w:rFonts w:hAnsi="宋体" w:cs="宋体"/>
          <w:b/>
          <w:szCs w:val="24"/>
          <w:highlight w:val="none"/>
        </w:rPr>
      </w:pPr>
    </w:p>
    <w:p>
      <w:pPr>
        <w:spacing w:after="120"/>
        <w:rPr>
          <w:rFonts w:hAnsi="宋体" w:cs="宋体"/>
          <w:b/>
          <w:szCs w:val="24"/>
          <w:highlight w:val="none"/>
        </w:rPr>
      </w:pPr>
    </w:p>
    <w:p>
      <w:pPr>
        <w:spacing w:line="360" w:lineRule="auto"/>
        <w:rPr>
          <w:rFonts w:hAnsi="宋体" w:cs="宋体"/>
          <w:b/>
          <w:bCs/>
          <w:sz w:val="30"/>
          <w:szCs w:val="30"/>
          <w:highlight w:val="none"/>
        </w:rPr>
      </w:pPr>
      <w:r>
        <w:rPr>
          <w:rFonts w:hint="eastAsia" w:hAnsi="宋体" w:cs="宋体"/>
          <w:b/>
          <w:szCs w:val="24"/>
          <w:highlight w:val="none"/>
        </w:rPr>
        <w:br w:type="page"/>
      </w:r>
      <w:bookmarkStart w:id="147" w:name="_Toc1379"/>
      <w:bookmarkStart w:id="148" w:name="_Toc23455"/>
      <w:bookmarkStart w:id="149" w:name="_Toc21284"/>
      <w:bookmarkStart w:id="150" w:name="_Toc2621"/>
      <w:bookmarkStart w:id="151" w:name="_Toc9218"/>
      <w:bookmarkStart w:id="152" w:name="_Toc15265"/>
      <w:bookmarkStart w:id="153" w:name="_Toc5662"/>
      <w:bookmarkStart w:id="154" w:name="_Toc8845"/>
      <w:r>
        <w:rPr>
          <w:rFonts w:hint="eastAsia" w:hAnsi="宋体" w:cs="宋体"/>
          <w:b/>
          <w:bCs/>
          <w:sz w:val="30"/>
          <w:szCs w:val="30"/>
          <w:highlight w:val="none"/>
        </w:rPr>
        <w:t>附件1：</w:t>
      </w:r>
    </w:p>
    <w:p>
      <w:pPr>
        <w:spacing w:line="360" w:lineRule="auto"/>
        <w:jc w:val="center"/>
        <w:rPr>
          <w:rFonts w:hAnsi="宋体" w:cs="宋体"/>
          <w:b/>
          <w:bCs/>
          <w:sz w:val="30"/>
          <w:szCs w:val="30"/>
          <w:highlight w:val="none"/>
        </w:rPr>
      </w:pPr>
      <w:r>
        <w:rPr>
          <w:rFonts w:hint="eastAsia" w:hAnsi="宋体" w:cs="宋体"/>
          <w:b/>
          <w:bCs/>
          <w:sz w:val="30"/>
          <w:szCs w:val="30"/>
          <w:highlight w:val="none"/>
        </w:rPr>
        <w:t>本项目拟投入人员汇总表</w:t>
      </w:r>
    </w:p>
    <w:tbl>
      <w:tblPr>
        <w:tblStyle w:val="22"/>
        <w:tblW w:w="8818" w:type="dxa"/>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6"/>
              <w:spacing w:line="360" w:lineRule="auto"/>
              <w:ind w:left="0" w:leftChars="0"/>
              <w:rPr>
                <w:rFonts w:hAnsi="宋体" w:cs="宋体"/>
                <w:b/>
                <w:bCs/>
                <w:highlight w:val="none"/>
              </w:rPr>
            </w:pPr>
            <w:r>
              <w:rPr>
                <w:rFonts w:hint="eastAsia" w:hAnsi="宋体" w:cs="宋体"/>
                <w:b/>
                <w:bCs/>
                <w:highlight w:val="none"/>
              </w:rPr>
              <w:t>序号</w:t>
            </w: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6"/>
              <w:spacing w:line="360" w:lineRule="auto"/>
              <w:ind w:left="0" w:leftChars="0"/>
              <w:rPr>
                <w:rFonts w:hAnsi="宋体" w:cs="宋体"/>
                <w:b/>
                <w:bCs/>
                <w:highlight w:val="none"/>
              </w:rPr>
            </w:pPr>
            <w:r>
              <w:rPr>
                <w:rFonts w:hint="eastAsia" w:hAnsi="宋体" w:cs="宋体"/>
                <w:b/>
                <w:bCs/>
                <w:highlight w:val="none"/>
              </w:rPr>
              <w:t>姓  名</w:t>
            </w: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6"/>
              <w:spacing w:line="360" w:lineRule="auto"/>
              <w:ind w:left="0" w:leftChars="0"/>
              <w:rPr>
                <w:rFonts w:hAnsi="宋体" w:cs="宋体"/>
                <w:b/>
                <w:bCs/>
                <w:highlight w:val="none"/>
              </w:rPr>
            </w:pPr>
            <w:r>
              <w:rPr>
                <w:rFonts w:hint="eastAsia" w:hAnsi="宋体" w:cs="宋体"/>
                <w:b/>
                <w:bCs/>
                <w:highlight w:val="none"/>
              </w:rPr>
              <w:t>性别</w:t>
            </w: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6"/>
              <w:spacing w:line="360" w:lineRule="auto"/>
              <w:ind w:left="0" w:leftChars="0"/>
              <w:rPr>
                <w:rFonts w:hAnsi="宋体" w:cs="宋体"/>
                <w:b/>
                <w:bCs/>
                <w:highlight w:val="none"/>
              </w:rPr>
            </w:pPr>
            <w:r>
              <w:rPr>
                <w:rFonts w:hint="eastAsia" w:hAnsi="宋体" w:cs="宋体"/>
                <w:b/>
                <w:bCs/>
                <w:highlight w:val="none"/>
              </w:rPr>
              <w:t>年龄</w:t>
            </w: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6"/>
              <w:spacing w:line="360" w:lineRule="auto"/>
              <w:ind w:left="0" w:leftChars="0"/>
              <w:rPr>
                <w:rFonts w:hAnsi="宋体" w:cs="宋体"/>
                <w:b/>
                <w:bCs/>
                <w:highlight w:val="none"/>
              </w:rPr>
            </w:pPr>
            <w:r>
              <w:rPr>
                <w:rFonts w:hint="eastAsia" w:hAnsi="宋体" w:cs="宋体"/>
                <w:b/>
                <w:bCs/>
                <w:highlight w:val="none"/>
              </w:rPr>
              <w:t>学历</w:t>
            </w:r>
          </w:p>
        </w:tc>
        <w:tc>
          <w:tcPr>
            <w:tcW w:w="8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6"/>
              <w:spacing w:line="360" w:lineRule="auto"/>
              <w:ind w:left="0" w:leftChars="0"/>
              <w:rPr>
                <w:rFonts w:hAnsi="宋体" w:cs="宋体"/>
                <w:b/>
                <w:bCs/>
                <w:sz w:val="21"/>
                <w:szCs w:val="21"/>
                <w:highlight w:val="none"/>
              </w:rPr>
            </w:pPr>
            <w:r>
              <w:rPr>
                <w:rFonts w:hint="eastAsia" w:hAnsi="宋体" w:cs="宋体"/>
                <w:b/>
                <w:bCs/>
                <w:highlight w:val="none"/>
              </w:rPr>
              <w:t>技术</w:t>
            </w:r>
          </w:p>
          <w:p>
            <w:pPr>
              <w:pStyle w:val="36"/>
              <w:spacing w:line="360" w:lineRule="auto"/>
              <w:ind w:left="0" w:leftChars="0"/>
              <w:rPr>
                <w:rFonts w:hAnsi="宋体" w:cs="宋体"/>
                <w:b/>
                <w:bCs/>
                <w:highlight w:val="none"/>
              </w:rPr>
            </w:pPr>
            <w:r>
              <w:rPr>
                <w:rFonts w:hint="eastAsia" w:hAnsi="宋体" w:cs="宋体"/>
                <w:b/>
                <w:bCs/>
                <w:highlight w:val="none"/>
              </w:rPr>
              <w:t>职称</w:t>
            </w: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6"/>
              <w:spacing w:line="360" w:lineRule="auto"/>
              <w:ind w:left="0" w:leftChars="0"/>
              <w:rPr>
                <w:rFonts w:hAnsi="宋体" w:cs="宋体"/>
                <w:b/>
                <w:bCs/>
                <w:sz w:val="21"/>
                <w:szCs w:val="21"/>
                <w:highlight w:val="none"/>
              </w:rPr>
            </w:pPr>
            <w:r>
              <w:rPr>
                <w:rFonts w:hint="eastAsia" w:hAnsi="宋体" w:cs="宋体"/>
                <w:b/>
                <w:bCs/>
                <w:highlight w:val="none"/>
              </w:rPr>
              <w:t>资格证</w:t>
            </w:r>
          </w:p>
          <w:p>
            <w:pPr>
              <w:pStyle w:val="36"/>
              <w:spacing w:line="360" w:lineRule="auto"/>
              <w:ind w:left="0" w:leftChars="0"/>
              <w:rPr>
                <w:rFonts w:hAnsi="宋体" w:cs="宋体"/>
                <w:b/>
                <w:bCs/>
                <w:highlight w:val="none"/>
              </w:rPr>
            </w:pPr>
            <w:r>
              <w:rPr>
                <w:rFonts w:hint="eastAsia" w:hAnsi="宋体" w:cs="宋体"/>
                <w:b/>
                <w:bCs/>
                <w:highlight w:val="none"/>
              </w:rPr>
              <w:t>书种类</w:t>
            </w: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6"/>
              <w:spacing w:line="360" w:lineRule="auto"/>
              <w:ind w:left="0" w:leftChars="0"/>
              <w:rPr>
                <w:rFonts w:hAnsi="宋体" w:cs="宋体"/>
                <w:b/>
                <w:bCs/>
                <w:sz w:val="21"/>
                <w:szCs w:val="21"/>
                <w:highlight w:val="none"/>
              </w:rPr>
            </w:pPr>
            <w:r>
              <w:rPr>
                <w:rFonts w:hint="eastAsia" w:hAnsi="宋体" w:cs="宋体"/>
                <w:b/>
                <w:bCs/>
                <w:highlight w:val="none"/>
              </w:rPr>
              <w:t>工作</w:t>
            </w:r>
          </w:p>
          <w:p>
            <w:pPr>
              <w:pStyle w:val="36"/>
              <w:spacing w:line="360" w:lineRule="auto"/>
              <w:ind w:left="0" w:leftChars="0"/>
              <w:rPr>
                <w:rFonts w:hAnsi="宋体" w:cs="宋体"/>
                <w:b/>
                <w:bCs/>
                <w:highlight w:val="none"/>
              </w:rPr>
            </w:pPr>
            <w:r>
              <w:rPr>
                <w:rFonts w:hint="eastAsia" w:hAnsi="宋体" w:cs="宋体"/>
                <w:b/>
                <w:bCs/>
                <w:highlight w:val="none"/>
              </w:rPr>
              <w:t>年限</w:t>
            </w: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6"/>
              <w:spacing w:line="360" w:lineRule="auto"/>
              <w:ind w:left="0" w:leftChars="0"/>
              <w:rPr>
                <w:rFonts w:hAnsi="宋体" w:cs="宋体"/>
                <w:b/>
                <w:bCs/>
                <w:highlight w:val="none"/>
              </w:rPr>
            </w:pPr>
            <w:r>
              <w:rPr>
                <w:rFonts w:hint="eastAsia" w:hAnsi="宋体" w:cs="宋体"/>
                <w:b/>
                <w:bCs/>
                <w:highlight w:val="none"/>
              </w:rPr>
              <w:t>拟担任的职务</w:t>
            </w: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6"/>
              <w:spacing w:line="360" w:lineRule="auto"/>
              <w:ind w:left="0" w:leftChars="0"/>
              <w:rPr>
                <w:rFonts w:hAnsi="宋体" w:cs="宋体"/>
                <w:b/>
                <w:bCs/>
                <w:sz w:val="21"/>
                <w:szCs w:val="21"/>
                <w:highlight w:val="none"/>
              </w:rPr>
            </w:pPr>
            <w:r>
              <w:rPr>
                <w:rFonts w:hint="eastAsia" w:hAnsi="宋体" w:cs="宋体"/>
                <w:b/>
                <w:bCs/>
                <w:highlight w:val="none"/>
              </w:rPr>
              <w:t>岗位</w:t>
            </w:r>
          </w:p>
          <w:p>
            <w:pPr>
              <w:pStyle w:val="36"/>
              <w:spacing w:line="360" w:lineRule="auto"/>
              <w:ind w:left="0" w:leftChars="0"/>
              <w:rPr>
                <w:rFonts w:hAnsi="宋体" w:cs="宋体"/>
                <w:b/>
                <w:bCs/>
                <w:highlight w:val="none"/>
              </w:rPr>
            </w:pPr>
            <w:r>
              <w:rPr>
                <w:rFonts w:hint="eastAsia" w:hAnsi="宋体" w:cs="宋体"/>
                <w:b/>
                <w:bCs/>
                <w:highlight w:val="none"/>
              </w:rPr>
              <w:t>情况</w:t>
            </w: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8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6"/>
              <w:spacing w:line="360" w:lineRule="auto"/>
              <w:ind w:left="0" w:leftChars="0" w:firstLine="480" w:firstLineChars="200"/>
              <w:jc w:val="both"/>
              <w:rPr>
                <w:rFonts w:hAnsi="宋体" w:cs="宋体"/>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8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6"/>
              <w:spacing w:line="360" w:lineRule="auto"/>
              <w:ind w:left="0" w:leftChars="0" w:firstLine="480" w:firstLineChars="200"/>
              <w:jc w:val="both"/>
              <w:rPr>
                <w:rFonts w:hAnsi="宋体" w:cs="宋体"/>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8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6"/>
              <w:spacing w:line="360" w:lineRule="auto"/>
              <w:ind w:left="0" w:leftChars="0" w:firstLine="480" w:firstLineChars="200"/>
              <w:jc w:val="both"/>
              <w:rPr>
                <w:rFonts w:hAnsi="宋体" w:cs="宋体"/>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8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6"/>
              <w:spacing w:line="360" w:lineRule="auto"/>
              <w:ind w:left="0" w:leftChars="0" w:firstLine="480" w:firstLineChars="200"/>
              <w:jc w:val="both"/>
              <w:rPr>
                <w:rFonts w:hAnsi="宋体" w:cs="宋体"/>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8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6"/>
              <w:spacing w:line="360" w:lineRule="auto"/>
              <w:ind w:left="0" w:leftChars="0" w:firstLine="480" w:firstLineChars="200"/>
              <w:jc w:val="both"/>
              <w:rPr>
                <w:rFonts w:hAnsi="宋体" w:cs="宋体"/>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8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6"/>
              <w:spacing w:line="360" w:lineRule="auto"/>
              <w:ind w:left="0" w:leftChars="0" w:firstLine="480" w:firstLineChars="200"/>
              <w:jc w:val="both"/>
              <w:rPr>
                <w:rFonts w:hAnsi="宋体" w:cs="宋体"/>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6"/>
              <w:spacing w:line="360" w:lineRule="auto"/>
              <w:ind w:left="0" w:leftChars="0" w:firstLine="480" w:firstLineChars="200"/>
              <w:jc w:val="both"/>
              <w:rPr>
                <w:rFonts w:hAnsi="宋体" w:cs="宋体"/>
                <w:highlight w:val="none"/>
              </w:rPr>
            </w:pPr>
          </w:p>
        </w:tc>
      </w:tr>
    </w:tbl>
    <w:p>
      <w:pPr>
        <w:rPr>
          <w:rFonts w:hAnsi="宋体" w:cs="宋体"/>
          <w:b/>
          <w:szCs w:val="24"/>
          <w:highlight w:val="none"/>
        </w:rPr>
      </w:pPr>
      <w:r>
        <w:rPr>
          <w:rFonts w:hint="eastAsia" w:hAnsi="宋体" w:cs="宋体"/>
          <w:b/>
          <w:szCs w:val="24"/>
          <w:highlight w:val="none"/>
        </w:rPr>
        <w:br w:type="page"/>
      </w:r>
    </w:p>
    <w:p>
      <w:pPr>
        <w:ind w:firstLine="161" w:firstLineChars="50"/>
        <w:jc w:val="center"/>
        <w:outlineLvl w:val="1"/>
        <w:rPr>
          <w:rFonts w:hAnsi="宋体" w:cs="宋体"/>
          <w:sz w:val="32"/>
          <w:szCs w:val="32"/>
          <w:highlight w:val="none"/>
        </w:rPr>
      </w:pPr>
      <w:r>
        <w:rPr>
          <w:rFonts w:hint="eastAsia" w:hAnsi="宋体" w:cs="宋体"/>
          <w:b/>
          <w:bCs/>
          <w:sz w:val="32"/>
          <w:szCs w:val="32"/>
          <w:highlight w:val="none"/>
        </w:rPr>
        <w:t>四、</w:t>
      </w:r>
      <w:bookmarkEnd w:id="147"/>
      <w:bookmarkEnd w:id="148"/>
      <w:bookmarkEnd w:id="149"/>
      <w:bookmarkEnd w:id="150"/>
      <w:bookmarkEnd w:id="151"/>
      <w:r>
        <w:rPr>
          <w:rFonts w:hint="eastAsia" w:hAnsi="宋体" w:cs="宋体"/>
          <w:b/>
          <w:bCs/>
          <w:sz w:val="32"/>
          <w:szCs w:val="32"/>
          <w:highlight w:val="none"/>
        </w:rPr>
        <w:t>商务条款偏离表</w:t>
      </w:r>
      <w:bookmarkEnd w:id="152"/>
      <w:bookmarkEnd w:id="153"/>
      <w:bookmarkEnd w:id="154"/>
    </w:p>
    <w:p>
      <w:pPr>
        <w:pStyle w:val="18"/>
        <w:widowControl w:val="0"/>
        <w:spacing w:before="0" w:beforeAutospacing="0" w:after="0" w:afterAutospacing="0"/>
        <w:jc w:val="both"/>
        <w:rPr>
          <w:rFonts w:cs="宋体"/>
          <w:highlight w:val="none"/>
        </w:rPr>
      </w:pPr>
    </w:p>
    <w:p>
      <w:pPr>
        <w:pStyle w:val="18"/>
        <w:widowControl w:val="0"/>
        <w:spacing w:before="156" w:beforeLines="50" w:beforeAutospacing="0" w:after="156" w:afterLines="50" w:afterAutospacing="0"/>
        <w:rPr>
          <w:rFonts w:cs="宋体"/>
          <w:highlight w:val="none"/>
        </w:rPr>
      </w:pPr>
      <w:r>
        <w:rPr>
          <w:rFonts w:hint="eastAsia" w:cs="宋体"/>
          <w:highlight w:val="none"/>
        </w:rPr>
        <w:t>项目编号：</w:t>
      </w:r>
    </w:p>
    <w:p>
      <w:pPr>
        <w:pStyle w:val="18"/>
        <w:widowControl w:val="0"/>
        <w:spacing w:before="156" w:beforeLines="50" w:beforeAutospacing="0" w:after="156" w:afterLines="50" w:afterAutospacing="0"/>
        <w:rPr>
          <w:rFonts w:cs="宋体"/>
          <w:highlight w:val="none"/>
          <w:u w:val="single"/>
        </w:rPr>
      </w:pPr>
      <w:r>
        <w:rPr>
          <w:rFonts w:hint="eastAsia" w:cs="宋体"/>
          <w:highlight w:val="none"/>
        </w:rPr>
        <w:t>项目名称：</w:t>
      </w:r>
    </w:p>
    <w:p>
      <w:pPr>
        <w:pStyle w:val="18"/>
        <w:widowControl w:val="0"/>
        <w:spacing w:before="0" w:beforeAutospacing="0" w:after="0" w:afterAutospacing="0"/>
        <w:ind w:firstLine="480" w:firstLineChars="200"/>
        <w:jc w:val="center"/>
        <w:rPr>
          <w:rFonts w:cs="宋体"/>
          <w:highlight w:val="none"/>
        </w:rPr>
      </w:pP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jc w:val="center"/>
              <w:rPr>
                <w:rFonts w:cs="宋体"/>
                <w:highlight w:val="none"/>
              </w:rPr>
            </w:pPr>
            <w:r>
              <w:rPr>
                <w:rFonts w:hint="eastAsia"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8"/>
              <w:widowControl w:val="0"/>
              <w:spacing w:before="0" w:beforeAutospacing="0" w:after="0" w:afterAutospacing="0"/>
              <w:ind w:firstLine="480" w:firstLineChars="200"/>
              <w:jc w:val="center"/>
              <w:rPr>
                <w:rFonts w:cs="宋体"/>
                <w:highlight w:val="none"/>
              </w:rPr>
            </w:pPr>
          </w:p>
        </w:tc>
      </w:tr>
    </w:tbl>
    <w:p>
      <w:pPr>
        <w:pStyle w:val="18"/>
        <w:widowControl w:val="0"/>
        <w:spacing w:before="0" w:beforeAutospacing="0" w:after="0" w:afterAutospacing="0"/>
        <w:rPr>
          <w:rFonts w:cs="宋体"/>
          <w:highlight w:val="none"/>
        </w:rPr>
      </w:pPr>
      <w:r>
        <w:rPr>
          <w:rFonts w:hint="eastAsia" w:cs="宋体"/>
          <w:highlight w:val="none"/>
        </w:rPr>
        <w:t>说明：</w:t>
      </w:r>
    </w:p>
    <w:p>
      <w:pPr>
        <w:pStyle w:val="18"/>
        <w:widowControl w:val="0"/>
        <w:spacing w:before="0" w:beforeAutospacing="0" w:after="0" w:afterAutospacing="0"/>
        <w:ind w:firstLine="480" w:firstLineChars="200"/>
        <w:jc w:val="both"/>
        <w:rPr>
          <w:rFonts w:cs="宋体"/>
          <w:highlight w:val="none"/>
        </w:rPr>
      </w:pPr>
      <w:r>
        <w:rPr>
          <w:rFonts w:hint="eastAsia" w:cs="宋体"/>
          <w:highlight w:val="none"/>
        </w:rPr>
        <w:t>1.参照第三章合同条款要求内容进行响应。</w:t>
      </w:r>
    </w:p>
    <w:p>
      <w:pPr>
        <w:pStyle w:val="18"/>
        <w:widowControl w:val="0"/>
        <w:spacing w:before="0" w:beforeAutospacing="0" w:after="0" w:afterAutospacing="0"/>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pPr>
        <w:pStyle w:val="18"/>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2.供应商必须据实填写，不得虚假响应，否则将取消其磋商或成交资格，并按有关规定进处罚。</w:t>
      </w:r>
    </w:p>
    <w:p>
      <w:pPr>
        <w:pStyle w:val="18"/>
        <w:widowControl w:val="0"/>
        <w:spacing w:before="0" w:beforeAutospacing="0" w:after="0" w:afterAutospacing="0"/>
        <w:ind w:firstLine="480" w:firstLineChars="200"/>
        <w:jc w:val="center"/>
        <w:rPr>
          <w:rFonts w:cs="宋体"/>
          <w:highlight w:val="none"/>
        </w:rPr>
      </w:pPr>
    </w:p>
    <w:p>
      <w:pPr>
        <w:pStyle w:val="18"/>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pPr>
        <w:pStyle w:val="18"/>
        <w:widowControl w:val="0"/>
        <w:spacing w:before="0" w:beforeAutospacing="0" w:after="0" w:afterAutospacing="0"/>
        <w:ind w:firstLine="480" w:firstLineChars="200"/>
        <w:jc w:val="center"/>
        <w:rPr>
          <w:rFonts w:cs="宋体"/>
          <w:highlight w:val="none"/>
        </w:rPr>
      </w:pPr>
    </w:p>
    <w:p>
      <w:pPr>
        <w:spacing w:line="400" w:lineRule="exact"/>
        <w:ind w:firstLine="480" w:firstLineChars="200"/>
        <w:rPr>
          <w:rFonts w:hAnsi="宋体" w:cs="宋体"/>
          <w:szCs w:val="24"/>
          <w:highlight w:val="none"/>
        </w:rPr>
      </w:pPr>
      <w:r>
        <w:rPr>
          <w:rFonts w:hint="eastAsia" w:hAnsi="宋体" w:cs="宋体"/>
          <w:highlight w:val="none"/>
        </w:rPr>
        <w:t xml:space="preserve">法定代表人或委托代理人：              （签字） </w:t>
      </w:r>
    </w:p>
    <w:p>
      <w:pPr>
        <w:spacing w:line="360" w:lineRule="auto"/>
        <w:ind w:left="600" w:leftChars="250"/>
        <w:rPr>
          <w:rFonts w:hAnsi="宋体" w:cs="宋体"/>
          <w:b/>
          <w:bCs/>
          <w:sz w:val="28"/>
          <w:szCs w:val="28"/>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bookmarkEnd w:id="143"/>
    <w:p>
      <w:pPr>
        <w:spacing w:line="360" w:lineRule="auto"/>
        <w:jc w:val="center"/>
        <w:outlineLvl w:val="1"/>
        <w:rPr>
          <w:rFonts w:hAnsi="宋体" w:cs="宋体"/>
          <w:b/>
          <w:bCs/>
          <w:sz w:val="30"/>
          <w:szCs w:val="30"/>
          <w:highlight w:val="none"/>
        </w:rPr>
      </w:pPr>
      <w:bookmarkStart w:id="155" w:name="_Toc363474033"/>
      <w:bookmarkStart w:id="156" w:name="_Toc403077656"/>
      <w:r>
        <w:rPr>
          <w:rFonts w:hint="eastAsia" w:hAnsi="宋体" w:cs="宋体"/>
          <w:b/>
          <w:bCs/>
          <w:sz w:val="30"/>
          <w:szCs w:val="30"/>
          <w:highlight w:val="none"/>
        </w:rPr>
        <w:br w:type="page"/>
      </w:r>
      <w:bookmarkStart w:id="157" w:name="_Toc3386"/>
      <w:bookmarkStart w:id="158" w:name="_Toc27470"/>
      <w:bookmarkStart w:id="159" w:name="_Toc1542"/>
      <w:r>
        <w:rPr>
          <w:rFonts w:hint="eastAsia" w:hAnsi="宋体" w:cs="宋体"/>
          <w:b/>
          <w:bCs/>
          <w:sz w:val="30"/>
          <w:szCs w:val="30"/>
          <w:highlight w:val="none"/>
        </w:rPr>
        <w:t>五、陕西省政府采购供应商拒绝政府采购领域商业贿赂承诺书</w:t>
      </w:r>
      <w:bookmarkEnd w:id="155"/>
      <w:bookmarkEnd w:id="156"/>
      <w:bookmarkEnd w:id="157"/>
      <w:bookmarkEnd w:id="158"/>
      <w:bookmarkEnd w:id="159"/>
    </w:p>
    <w:p>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p>
    <w:p>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pPr>
        <w:jc w:val="center"/>
        <w:outlineLvl w:val="1"/>
        <w:rPr>
          <w:rFonts w:hAnsi="宋体" w:cs="宋体"/>
          <w:highlight w:val="none"/>
          <w:shd w:val="clear" w:color="auto" w:fill="FFFFFF"/>
        </w:rPr>
      </w:pPr>
      <w:bookmarkStart w:id="160" w:name="_Toc363474034"/>
      <w:bookmarkStart w:id="161" w:name="_Toc403077657"/>
      <w:r>
        <w:rPr>
          <w:rFonts w:hint="eastAsia" w:hAnsi="宋体" w:cs="宋体"/>
          <w:b/>
          <w:bCs/>
          <w:sz w:val="30"/>
          <w:szCs w:val="30"/>
          <w:highlight w:val="none"/>
        </w:rPr>
        <w:br w:type="page"/>
      </w:r>
      <w:bookmarkStart w:id="162" w:name="_Toc32016"/>
      <w:bookmarkStart w:id="163" w:name="_Toc7842"/>
      <w:bookmarkStart w:id="164" w:name="_Toc29285"/>
      <w:r>
        <w:rPr>
          <w:rFonts w:hint="eastAsia" w:hAnsi="宋体" w:cs="宋体"/>
          <w:b/>
          <w:bCs/>
          <w:sz w:val="30"/>
          <w:szCs w:val="30"/>
          <w:highlight w:val="none"/>
        </w:rPr>
        <w:t>六、特定资格证明文件</w:t>
      </w:r>
      <w:bookmarkEnd w:id="160"/>
      <w:bookmarkEnd w:id="161"/>
      <w:bookmarkEnd w:id="162"/>
      <w:bookmarkEnd w:id="163"/>
      <w:bookmarkEnd w:id="164"/>
    </w:p>
    <w:p>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shd w:val="clear" w:color="auto" w:fill="FFFFFF"/>
        </w:rPr>
      </w:pPr>
      <w:r>
        <w:rPr>
          <w:rFonts w:hint="eastAsia" w:asciiTheme="minorEastAsia" w:hAnsiTheme="minorEastAsia" w:eastAsiaTheme="minorEastAsia" w:cstheme="minorEastAsia"/>
          <w:sz w:val="21"/>
          <w:szCs w:val="21"/>
          <w:highlight w:val="none"/>
          <w:shd w:val="clear" w:color="auto" w:fill="FFFFFF"/>
        </w:rPr>
        <w:t>1. 提供合格有效的法人或者其他组织的营业执照等证明文件，自然人的身份证明。</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2. 提供法定代表人授权书（附法定代表人、被授权人身份证复印件）及被授权人身份证原件（法定代表人直接参加磋商，须提供法定代表人身份证明及身份证原件）；</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3.财务状况报告：提供2020年度或2021年度的财务审计报告（至少包括资产负债表和利润表，成立时间至提交磋商响应文件截止时间不足一年的可提供成立后任意时段的资产负债表），或磋商响应文件递交截止日期前6个月内其基本开户银行出具的资信证明； </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4. 税收缴纳证明：提供磋商截止日前一年内已缴纳的至少一个月的纳税证明或完税证明（任意税种），依法免税的单位应提供相关证明材料； </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5. 社会保障资金缴纳证明：提供磋商截止日前一年内已缴存的至少一个月的社会保障资金缴存单据或社保机构开具的社会保险参保缴费情况证明，依法不需要缴纳社会保障资金的单位应提供相关证明材料； </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6. 提供具有履行本合同所必需的设备和专业技术能力的说明及承诺书； </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7.供应商应通过“信用中国”网站(www.creditchina.gov.cn)、中国政府采购网(www.ccgp.gov.cn) 查询相关主体信用记录； </w:t>
      </w:r>
    </w:p>
    <w:p>
      <w:pPr>
        <w:pStyle w:val="18"/>
        <w:wordWrap w:val="0"/>
        <w:spacing w:before="0" w:beforeAutospacing="0" w:after="0" w:afterAutospacing="0" w:line="360" w:lineRule="auto"/>
        <w:jc w:val="both"/>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shd w:val="clear" w:color="auto" w:fill="FFFFFF"/>
        </w:rPr>
        <w:t>8 参加政府采购活动前3年内，在经营活动中没有重大违法记录的书面声明；</w:t>
      </w:r>
    </w:p>
    <w:p>
      <w:pPr>
        <w:ind w:firstLine="480" w:firstLineChars="200"/>
        <w:outlineLvl w:val="1"/>
        <w:rPr>
          <w:rFonts w:hAnsi="宋体" w:cs="宋体"/>
          <w:b/>
          <w:bCs/>
          <w:sz w:val="30"/>
          <w:szCs w:val="30"/>
          <w:highlight w:val="none"/>
        </w:rPr>
      </w:pPr>
      <w:r>
        <w:rPr>
          <w:rFonts w:hint="eastAsia" w:hAnsi="宋体" w:cs="宋体"/>
          <w:szCs w:val="24"/>
          <w:highlight w:val="none"/>
        </w:rPr>
        <w:br w:type="page"/>
      </w:r>
      <w:bookmarkStart w:id="165" w:name="_Toc6853"/>
      <w:bookmarkStart w:id="166" w:name="_Toc19114"/>
      <w:bookmarkStart w:id="167" w:name="_Toc12717"/>
      <w:r>
        <w:rPr>
          <w:rFonts w:hint="eastAsia" w:hAnsi="宋体" w:cs="宋体"/>
          <w:szCs w:val="24"/>
          <w:highlight w:val="none"/>
        </w:rPr>
        <w:t xml:space="preserve">                              </w:t>
      </w:r>
      <w:r>
        <w:rPr>
          <w:rFonts w:hint="eastAsia" w:hAnsi="宋体" w:cs="宋体"/>
          <w:b/>
          <w:bCs/>
          <w:sz w:val="30"/>
          <w:szCs w:val="30"/>
          <w:highlight w:val="none"/>
        </w:rPr>
        <w:t>七、其它</w:t>
      </w:r>
      <w:bookmarkEnd w:id="165"/>
      <w:bookmarkEnd w:id="166"/>
      <w:bookmarkEnd w:id="167"/>
    </w:p>
    <w:p>
      <w:pPr>
        <w:pStyle w:val="11"/>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pPr>
        <w:pStyle w:val="11"/>
        <w:rPr>
          <w:rFonts w:ascii="宋体" w:hAnsi="宋体" w:cs="宋体"/>
          <w:sz w:val="24"/>
          <w:szCs w:val="24"/>
          <w:highlight w:val="none"/>
        </w:rPr>
      </w:pPr>
      <w:r>
        <w:rPr>
          <w:rFonts w:hint="eastAsia" w:ascii="宋体" w:hAnsi="宋体" w:cs="宋体"/>
          <w:sz w:val="24"/>
          <w:szCs w:val="24"/>
          <w:highlight w:val="none"/>
        </w:rPr>
        <w:t>2、其他可以证明供应商实力的文件。</w:t>
      </w:r>
    </w:p>
    <w:p>
      <w:pPr>
        <w:spacing w:before="156" w:beforeLines="50" w:after="156" w:afterLines="50" w:line="500" w:lineRule="exact"/>
        <w:outlineLvl w:val="2"/>
        <w:rPr>
          <w:rFonts w:hAnsi="宋体" w:cs="宋体"/>
          <w:b/>
          <w:sz w:val="28"/>
          <w:szCs w:val="28"/>
          <w:highlight w:val="none"/>
        </w:rPr>
      </w:pPr>
      <w:r>
        <w:rPr>
          <w:rFonts w:hint="eastAsia" w:hAnsi="宋体" w:cs="宋体"/>
          <w:szCs w:val="24"/>
          <w:highlight w:val="none"/>
        </w:rPr>
        <w:br w:type="page"/>
      </w:r>
      <w:bookmarkStart w:id="168" w:name="_Toc17513"/>
      <w:bookmarkStart w:id="169" w:name="_Toc6055"/>
      <w:r>
        <w:rPr>
          <w:rFonts w:hint="eastAsia" w:hAnsi="宋体" w:cs="宋体"/>
          <w:b/>
          <w:sz w:val="28"/>
          <w:szCs w:val="28"/>
          <w:highlight w:val="none"/>
        </w:rPr>
        <w:t>附件1：法定代表人身份证明/法定代表人授权书</w:t>
      </w:r>
      <w:bookmarkEnd w:id="168"/>
      <w:bookmarkEnd w:id="169"/>
    </w:p>
    <w:p>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pPr>
        <w:pStyle w:val="11"/>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性别：</w:t>
      </w:r>
      <w:r>
        <w:rPr>
          <w:rFonts w:hint="eastAsia" w:hAnsi="宋体" w:cs="宋体"/>
          <w:highlight w:val="none"/>
          <w:u w:val="single"/>
        </w:rPr>
        <w:t xml:space="preserve">   </w:t>
      </w:r>
      <w:r>
        <w:rPr>
          <w:rFonts w:hint="eastAsia" w:hAnsi="宋体" w:cs="宋体"/>
          <w:highlight w:val="none"/>
        </w:rPr>
        <w:t>年龄：</w:t>
      </w:r>
      <w:r>
        <w:rPr>
          <w:rFonts w:hint="eastAsia" w:hAnsi="宋体" w:cs="宋体"/>
          <w:highlight w:val="none"/>
          <w:u w:val="single"/>
        </w:rPr>
        <w:t xml:space="preserve">   </w:t>
      </w:r>
      <w:r>
        <w:rPr>
          <w:rFonts w:hint="eastAsia" w:hAnsi="宋体" w:cs="宋体"/>
          <w:highlight w:val="none"/>
        </w:rPr>
        <w:t>系</w:t>
      </w:r>
      <w:r>
        <w:rPr>
          <w:rFonts w:hint="eastAsia" w:hAnsi="宋体" w:cs="宋体"/>
          <w:highlight w:val="none"/>
          <w:u w:val="single"/>
        </w:rPr>
        <w:t xml:space="preserve">            </w:t>
      </w:r>
      <w:r>
        <w:rPr>
          <w:rFonts w:hint="eastAsia" w:hAnsi="宋体" w:cs="宋体"/>
          <w:highlight w:val="none"/>
        </w:rPr>
        <w:t>（供应商名称）的法定代表人。</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2"/>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p>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pPr>
              <w:pStyle w:val="11"/>
              <w:jc w:val="center"/>
              <w:rPr>
                <w:rFonts w:ascii="宋体" w:hAnsi="宋体" w:cs="宋体"/>
                <w:highlight w:val="none"/>
              </w:rPr>
            </w:pPr>
            <w:r>
              <w:rPr>
                <w:rFonts w:hint="eastAsia" w:ascii="宋体" w:hAnsi="宋体" w:cs="宋体"/>
                <w:szCs w:val="21"/>
                <w:highlight w:val="none"/>
              </w:rPr>
              <w:t>（正反面）</w:t>
            </w:r>
          </w:p>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tc>
      </w:tr>
    </w:tbl>
    <w:p>
      <w:pPr>
        <w:snapToGrid w:val="0"/>
        <w:spacing w:line="480" w:lineRule="auto"/>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adjustRightInd w:val="0"/>
        <w:snapToGrid w:val="0"/>
        <w:spacing w:line="360" w:lineRule="auto"/>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r>
        <w:rPr>
          <w:rFonts w:hint="eastAsia" w:hAnsi="宋体" w:cs="宋体"/>
          <w:highlight w:val="none"/>
        </w:rPr>
        <w:t>供应商名称（公章）：</w:t>
      </w:r>
    </w:p>
    <w:p>
      <w:pPr>
        <w:adjustRightInd w:val="0"/>
        <w:snapToGrid w:val="0"/>
        <w:spacing w:line="360" w:lineRule="auto"/>
        <w:ind w:right="420"/>
        <w:rPr>
          <w:rFonts w:hAnsi="宋体" w:cs="宋体"/>
          <w:highlight w:val="none"/>
        </w:rPr>
      </w:pPr>
      <w:r>
        <w:rPr>
          <w:rFonts w:hint="eastAsia" w:hAnsi="宋体" w:cs="宋体"/>
          <w:highlight w:val="none"/>
        </w:rPr>
        <w:t>日期：    年  月  日</w:t>
      </w:r>
    </w:p>
    <w:p>
      <w:pPr>
        <w:pStyle w:val="11"/>
        <w:rPr>
          <w:rFonts w:ascii="宋体" w:hAnsi="宋体" w:cs="宋体"/>
          <w:highlight w:val="none"/>
        </w:rPr>
      </w:pPr>
    </w:p>
    <w:p>
      <w:pPr>
        <w:spacing w:line="360" w:lineRule="auto"/>
        <w:jc w:val="left"/>
        <w:rPr>
          <w:rFonts w:hAnsi="宋体" w:cs="宋体"/>
          <w:spacing w:val="4"/>
          <w:szCs w:val="24"/>
          <w:highlight w:val="none"/>
        </w:rPr>
      </w:pPr>
    </w:p>
    <w:p>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陕西至诚招标咨询有限公司 </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 ）</w:t>
      </w:r>
      <w:r>
        <w:rPr>
          <w:rFonts w:hint="eastAsia" w:hAnsi="宋体" w:cs="宋体"/>
          <w:spacing w:val="4"/>
          <w:szCs w:val="24"/>
          <w:highlight w:val="none"/>
        </w:rPr>
        <w:t>项目的磋商、签约等具体工作，并签署全部有关的文件、协议及合同。</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pPr>
        <w:spacing w:line="360" w:lineRule="auto"/>
        <w:ind w:firstLine="496" w:firstLineChars="200"/>
        <w:jc w:val="left"/>
        <w:rPr>
          <w:rFonts w:hAnsi="宋体" w:cs="宋体"/>
          <w:spacing w:val="4"/>
          <w:szCs w:val="24"/>
          <w:highlight w:val="none"/>
        </w:rPr>
      </w:pPr>
    </w:p>
    <w:tbl>
      <w:tblPr>
        <w:tblStyle w:val="22"/>
        <w:tblW w:w="8190" w:type="dxa"/>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pPr>
              <w:spacing w:line="360" w:lineRule="auto"/>
              <w:jc w:val="left"/>
              <w:rPr>
                <w:rFonts w:hAnsi="宋体" w:cs="宋体"/>
                <w:spacing w:val="4"/>
                <w:szCs w:val="24"/>
                <w:highlight w:val="none"/>
              </w:rPr>
            </w:pPr>
          </w:p>
        </w:tc>
      </w:tr>
    </w:tbl>
    <w:p>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pPr>
        <w:spacing w:line="360" w:lineRule="auto"/>
        <w:rPr>
          <w:rFonts w:hAnsi="宋体" w:cs="宋体"/>
          <w:spacing w:val="4"/>
          <w:szCs w:val="24"/>
          <w:highlight w:val="none"/>
        </w:rPr>
      </w:pPr>
    </w:p>
    <w:tbl>
      <w:tblPr>
        <w:tblStyle w:val="22"/>
        <w:tblW w:w="8357" w:type="dxa"/>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pPr>
              <w:spacing w:line="360" w:lineRule="auto"/>
              <w:jc w:val="center"/>
              <w:rPr>
                <w:rFonts w:hAnsi="宋体" w:cs="宋体"/>
                <w:highlight w:val="none"/>
                <w:u w:val="single"/>
              </w:rPr>
            </w:pPr>
            <w:r>
              <w:rPr>
                <w:rFonts w:hint="eastAsia" w:hAnsi="宋体" w:cs="宋体"/>
                <w:szCs w:val="21"/>
                <w:highlight w:val="none"/>
                <w:lang w:val="zh-CN"/>
              </w:rPr>
              <w:t>（正反面）</w:t>
            </w:r>
          </w:p>
        </w:tc>
      </w:tr>
    </w:tbl>
    <w:p>
      <w:pPr>
        <w:spacing w:line="360" w:lineRule="auto"/>
        <w:ind w:firstLine="510"/>
        <w:rPr>
          <w:rFonts w:hAnsi="宋体" w:cs="宋体"/>
          <w:spacing w:val="4"/>
          <w:szCs w:val="24"/>
          <w:highlight w:val="none"/>
        </w:rPr>
      </w:pP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pPr>
        <w:jc w:val="center"/>
        <w:rPr>
          <w:rFonts w:hAnsi="宋体" w:cs="宋体"/>
          <w:b/>
          <w:bCs/>
          <w:color w:val="333333"/>
          <w:sz w:val="32"/>
          <w:szCs w:val="32"/>
          <w:highlight w:val="none"/>
          <w:shd w:val="clear" w:color="auto" w:fill="FFFFFF"/>
        </w:rPr>
      </w:pPr>
      <w:r>
        <w:rPr>
          <w:rFonts w:hint="eastAsia" w:hAnsi="宋体" w:cs="宋体"/>
          <w:b/>
          <w:sz w:val="28"/>
          <w:szCs w:val="28"/>
          <w:highlight w:val="none"/>
        </w:rPr>
        <w:br w:type="page"/>
      </w:r>
      <w:bookmarkStart w:id="170" w:name="_Toc11767"/>
      <w:bookmarkStart w:id="171" w:name="_Toc17295"/>
      <w:r>
        <w:rPr>
          <w:rFonts w:hint="eastAsia" w:hAnsi="宋体" w:cs="宋体"/>
          <w:b/>
          <w:bCs/>
          <w:color w:val="333333"/>
          <w:sz w:val="32"/>
          <w:szCs w:val="32"/>
          <w:highlight w:val="none"/>
          <w:shd w:val="clear" w:color="auto" w:fill="FFFFFF"/>
        </w:rPr>
        <w:t>保证金缴纳凭证</w:t>
      </w:r>
    </w:p>
    <w:p>
      <w:pPr>
        <w:jc w:val="center"/>
        <w:rPr>
          <w:rFonts w:hAnsi="宋体" w:cs="宋体"/>
          <w:b/>
          <w:bCs/>
          <w:color w:val="333333"/>
          <w:sz w:val="32"/>
          <w:szCs w:val="32"/>
          <w:highlight w:val="none"/>
          <w:shd w:val="clear" w:color="auto" w:fill="FFFFFF"/>
        </w:rPr>
      </w:pPr>
    </w:p>
    <w:tbl>
      <w:tblPr>
        <w:tblStyle w:val="22"/>
        <w:tblW w:w="8700" w:type="dxa"/>
        <w:tblInd w:w="96" w:type="dxa"/>
        <w:tblLayout w:type="fixed"/>
        <w:tblCellMar>
          <w:top w:w="0" w:type="dxa"/>
          <w:left w:w="108" w:type="dxa"/>
          <w:bottom w:w="0" w:type="dxa"/>
          <w:right w:w="108" w:type="dxa"/>
        </w:tblCellMar>
      </w:tblPr>
      <w:tblGrid>
        <w:gridCol w:w="2055"/>
        <w:gridCol w:w="6645"/>
      </w:tblGrid>
      <w:tr>
        <w:tblPrEx>
          <w:tblCellMar>
            <w:top w:w="0" w:type="dxa"/>
            <w:left w:w="108" w:type="dxa"/>
            <w:bottom w:w="0" w:type="dxa"/>
            <w:right w:w="108" w:type="dxa"/>
          </w:tblCellMar>
        </w:tblPrEx>
        <w:trPr>
          <w:trHeight w:val="72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22"/>
                <w:szCs w:val="22"/>
                <w:highlight w:val="none"/>
              </w:rPr>
            </w:pPr>
            <w:r>
              <w:rPr>
                <w:rFonts w:hint="eastAsia" w:hAnsi="宋体" w:cs="宋体"/>
                <w:color w:val="000000"/>
                <w:sz w:val="22"/>
                <w:szCs w:val="22"/>
                <w:highlight w:val="none"/>
                <w:lang w:bidi="ar"/>
              </w:rPr>
              <w:t>投标保证金</w:t>
            </w:r>
          </w:p>
        </w:tc>
      </w:tr>
      <w:tr>
        <w:tblPrEx>
          <w:tblCellMar>
            <w:top w:w="0" w:type="dxa"/>
            <w:left w:w="108" w:type="dxa"/>
            <w:bottom w:w="0" w:type="dxa"/>
            <w:right w:w="108" w:type="dxa"/>
          </w:tblCellMar>
        </w:tblPrEx>
        <w:trPr>
          <w:trHeight w:val="424"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000000"/>
                <w:sz w:val="22"/>
                <w:szCs w:val="22"/>
                <w:highlight w:val="none"/>
                <w:lang w:bidi="ar"/>
              </w:rPr>
            </w:pPr>
            <w:r>
              <w:rPr>
                <w:rFonts w:hint="eastAsia" w:hAnsi="宋体" w:cs="宋体"/>
                <w:color w:val="000000"/>
                <w:sz w:val="22"/>
                <w:szCs w:val="22"/>
                <w:highlight w:val="none"/>
                <w:lang w:bidi="ar"/>
              </w:rPr>
              <w:t>项目名称：</w:t>
            </w:r>
          </w:p>
        </w:tc>
      </w:tr>
      <w:tr>
        <w:tblPrEx>
          <w:tblCellMar>
            <w:top w:w="0" w:type="dxa"/>
            <w:left w:w="108" w:type="dxa"/>
            <w:bottom w:w="0" w:type="dxa"/>
            <w:right w:w="108" w:type="dxa"/>
          </w:tblCellMar>
        </w:tblPrEx>
        <w:trPr>
          <w:trHeight w:val="472"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000000"/>
                <w:sz w:val="22"/>
                <w:szCs w:val="22"/>
                <w:highlight w:val="none"/>
                <w:lang w:bidi="ar"/>
              </w:rPr>
            </w:pPr>
            <w:r>
              <w:rPr>
                <w:rFonts w:hint="eastAsia" w:hAnsi="宋体" w:cs="宋体"/>
                <w:color w:val="000000"/>
                <w:sz w:val="22"/>
                <w:szCs w:val="22"/>
                <w:highlight w:val="none"/>
                <w:lang w:bidi="ar"/>
              </w:rPr>
              <w:t>项目编号：</w:t>
            </w:r>
          </w:p>
        </w:tc>
      </w:tr>
      <w:tr>
        <w:tblPrEx>
          <w:tblCellMar>
            <w:top w:w="0" w:type="dxa"/>
            <w:left w:w="108" w:type="dxa"/>
            <w:bottom w:w="0" w:type="dxa"/>
            <w:right w:w="108" w:type="dxa"/>
          </w:tblCellMar>
        </w:tblPrEx>
        <w:trPr>
          <w:trHeight w:val="38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22"/>
                <w:szCs w:val="22"/>
                <w:highlight w:val="none"/>
              </w:rPr>
            </w:pPr>
            <w:r>
              <w:rPr>
                <w:rFonts w:hint="eastAsia" w:hAnsi="宋体" w:cs="宋体"/>
                <w:color w:val="000000"/>
                <w:sz w:val="22"/>
                <w:szCs w:val="22"/>
                <w:highlight w:val="none"/>
                <w:lang w:bidi="ar"/>
              </w:rPr>
              <w:t>保证金缴纳金额</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Ansi="宋体" w:cs="宋体"/>
                <w:color w:val="000000"/>
                <w:sz w:val="22"/>
                <w:szCs w:val="22"/>
                <w:highlight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22"/>
                <w:szCs w:val="22"/>
                <w:highlight w:val="none"/>
              </w:rPr>
            </w:pPr>
            <w:r>
              <w:rPr>
                <w:rFonts w:hint="eastAsia" w:hAnsi="宋体" w:cs="宋体"/>
                <w:color w:val="000000"/>
                <w:sz w:val="22"/>
                <w:szCs w:val="22"/>
                <w:highlight w:val="none"/>
                <w:lang w:bidi="ar"/>
              </w:rPr>
              <w:t>开户行名称</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Ansi="宋体" w:cs="宋体"/>
                <w:color w:val="000000"/>
                <w:sz w:val="22"/>
                <w:szCs w:val="22"/>
                <w:highlight w:val="none"/>
              </w:rPr>
            </w:pPr>
          </w:p>
        </w:tc>
      </w:tr>
      <w:tr>
        <w:tblPrEx>
          <w:tblCellMar>
            <w:top w:w="0" w:type="dxa"/>
            <w:left w:w="108" w:type="dxa"/>
            <w:bottom w:w="0" w:type="dxa"/>
            <w:right w:w="108" w:type="dxa"/>
          </w:tblCellMar>
        </w:tblPrEx>
        <w:trPr>
          <w:trHeight w:val="53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22"/>
                <w:szCs w:val="22"/>
                <w:highlight w:val="none"/>
              </w:rPr>
            </w:pPr>
            <w:r>
              <w:rPr>
                <w:rFonts w:hint="eastAsia" w:hAnsi="宋体" w:cs="宋体"/>
                <w:color w:val="000000"/>
                <w:sz w:val="22"/>
                <w:szCs w:val="22"/>
                <w:highlight w:val="none"/>
                <w:lang w:bidi="ar"/>
              </w:rPr>
              <w:t>开户行账号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Ansi="宋体" w:cs="宋体"/>
                <w:color w:val="000000"/>
                <w:sz w:val="22"/>
                <w:szCs w:val="22"/>
                <w:highlight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22"/>
                <w:szCs w:val="22"/>
                <w:highlight w:val="none"/>
              </w:rPr>
            </w:pPr>
            <w:r>
              <w:rPr>
                <w:rFonts w:hint="eastAsia" w:hAnsi="宋体" w:cs="宋体"/>
                <w:color w:val="000000"/>
                <w:sz w:val="22"/>
                <w:szCs w:val="22"/>
                <w:highlight w:val="none"/>
                <w:lang w:bidi="ar"/>
              </w:rPr>
              <w:t>缴纳日期</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Ansi="宋体" w:cs="宋体"/>
                <w:color w:val="000000"/>
                <w:sz w:val="22"/>
                <w:szCs w:val="22"/>
                <w:highlight w:val="none"/>
              </w:rPr>
            </w:pPr>
          </w:p>
        </w:tc>
      </w:tr>
      <w:tr>
        <w:tblPrEx>
          <w:tblCellMar>
            <w:top w:w="0" w:type="dxa"/>
            <w:left w:w="108" w:type="dxa"/>
            <w:bottom w:w="0" w:type="dxa"/>
            <w:right w:w="108" w:type="dxa"/>
          </w:tblCellMar>
        </w:tblPrEx>
        <w:trPr>
          <w:trHeight w:val="451"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000000"/>
                <w:sz w:val="22"/>
                <w:szCs w:val="22"/>
                <w:highlight w:val="none"/>
              </w:rPr>
            </w:pPr>
            <w:r>
              <w:rPr>
                <w:rFonts w:hint="eastAsia" w:hAnsi="宋体" w:cs="宋体"/>
                <w:color w:val="000000"/>
                <w:sz w:val="22"/>
                <w:szCs w:val="22"/>
                <w:highlight w:val="none"/>
                <w:lang w:bidi="ar"/>
              </w:rPr>
              <w:t>附件：保证金缴纳凭证</w:t>
            </w:r>
          </w:p>
        </w:tc>
      </w:tr>
      <w:tr>
        <w:tblPrEx>
          <w:tblCellMar>
            <w:top w:w="0" w:type="dxa"/>
            <w:left w:w="108" w:type="dxa"/>
            <w:bottom w:w="0" w:type="dxa"/>
            <w:right w:w="108" w:type="dxa"/>
          </w:tblCellMar>
        </w:tblPrEx>
        <w:trPr>
          <w:trHeight w:val="806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Ansi="宋体" w:cs="宋体"/>
                <w:color w:val="000000"/>
                <w:sz w:val="22"/>
                <w:szCs w:val="22"/>
                <w:highlight w:val="none"/>
              </w:rPr>
            </w:pPr>
          </w:p>
        </w:tc>
      </w:tr>
    </w:tbl>
    <w:p>
      <w:pPr>
        <w:rPr>
          <w:rFonts w:hAnsi="宋体" w:cs="宋体"/>
          <w:spacing w:val="4"/>
          <w:szCs w:val="30"/>
          <w:highlight w:val="none"/>
        </w:rPr>
      </w:pPr>
      <w:r>
        <w:rPr>
          <w:rFonts w:hint="eastAsia" w:hAnsi="宋体" w:cs="宋体"/>
          <w:spacing w:val="4"/>
          <w:szCs w:val="30"/>
          <w:highlight w:val="none"/>
        </w:rPr>
        <w:br w:type="page"/>
      </w:r>
    </w:p>
    <w:p>
      <w:pPr>
        <w:widowControl/>
        <w:spacing w:line="360" w:lineRule="auto"/>
        <w:ind w:left="1" w:firstLine="281" w:firstLineChars="100"/>
        <w:rPr>
          <w:rFonts w:hAnsi="宋体" w:cs="宋体"/>
          <w:b/>
          <w:sz w:val="28"/>
          <w:szCs w:val="28"/>
          <w:highlight w:val="none"/>
        </w:rPr>
      </w:pPr>
    </w:p>
    <w:p>
      <w:pPr>
        <w:widowControl/>
        <w:spacing w:line="360" w:lineRule="auto"/>
        <w:ind w:left="1" w:firstLine="281" w:firstLineChars="100"/>
        <w:jc w:val="center"/>
        <w:rPr>
          <w:rFonts w:hAnsi="宋体" w:cs="宋体"/>
          <w:b/>
          <w:sz w:val="28"/>
          <w:szCs w:val="28"/>
          <w:highlight w:val="none"/>
        </w:rPr>
      </w:pPr>
      <w:r>
        <w:rPr>
          <w:rFonts w:hint="eastAsia" w:hAnsi="宋体" w:cs="宋体"/>
          <w:b/>
          <w:sz w:val="28"/>
          <w:szCs w:val="28"/>
          <w:highlight w:val="none"/>
        </w:rPr>
        <w:t>参加政府采购活动前3年内在经营活动中没有重大违法纪录的书面声明</w:t>
      </w:r>
    </w:p>
    <w:p>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pPr>
        <w:pStyle w:val="18"/>
        <w:wordWrap w:val="0"/>
        <w:spacing w:beforeAutospacing="0" w:afterAutospacing="0" w:line="560" w:lineRule="exact"/>
        <w:rPr>
          <w:rFonts w:cs="宋体"/>
          <w:highlight w:val="none"/>
          <w:u w:val="single"/>
          <w:shd w:val="clear" w:color="auto" w:fill="FFFFFF"/>
        </w:rPr>
      </w:pPr>
      <w:r>
        <w:rPr>
          <w:rFonts w:hint="eastAsia" w:cs="宋体"/>
          <w:highlight w:val="none"/>
          <w:u w:val="single"/>
          <w:shd w:val="clear" w:color="auto" w:fill="FFFFFF"/>
        </w:rPr>
        <w:t xml:space="preserve">      （采购人）           ：</w:t>
      </w:r>
    </w:p>
    <w:p>
      <w:pPr>
        <w:pStyle w:val="18"/>
        <w:wordWrap w:val="0"/>
        <w:spacing w:beforeAutospacing="0" w:afterAutospacing="0" w:line="560" w:lineRule="exact"/>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 xml:space="preserve">）的供应商，在此郑重声明： </w:t>
      </w:r>
    </w:p>
    <w:p>
      <w:pPr>
        <w:pStyle w:val="18"/>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8"/>
        <w:wordWrap w:val="0"/>
        <w:spacing w:beforeAutospacing="0" w:afterAutospacing="0" w:line="560" w:lineRule="exact"/>
        <w:ind w:firstLine="420"/>
        <w:rPr>
          <w:rFonts w:cs="宋体"/>
          <w:highlight w:val="none"/>
        </w:rPr>
      </w:pPr>
      <w:r>
        <w:rPr>
          <w:rFonts w:hint="eastAsia" w:cs="宋体"/>
          <w:highlight w:val="none"/>
          <w:shd w:val="clear" w:color="auto" w:fill="FFFFFF"/>
        </w:rPr>
        <w:t xml:space="preserve">如有不实，我方将无条件地退出本项目的采购活动，并遵照《政府采购法》有关“提供虚假材料的规定”接受处罚。 </w:t>
      </w:r>
    </w:p>
    <w:p>
      <w:pPr>
        <w:pStyle w:val="18"/>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pPr>
        <w:pStyle w:val="18"/>
        <w:wordWrap w:val="0"/>
        <w:spacing w:beforeAutospacing="0" w:afterAutospacing="0" w:line="560" w:lineRule="exact"/>
        <w:ind w:firstLine="420"/>
        <w:rPr>
          <w:rFonts w:cs="宋体"/>
          <w:highlight w:val="none"/>
          <w:shd w:val="clear" w:color="auto" w:fill="FFFFFF"/>
        </w:rPr>
      </w:pPr>
    </w:p>
    <w:p>
      <w:pPr>
        <w:spacing w:line="480" w:lineRule="auto"/>
        <w:ind w:firstLine="3360" w:firstLineChars="1400"/>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w:t>
      </w:r>
      <w:r>
        <w:rPr>
          <w:rFonts w:hint="eastAsia" w:hAnsi="宋体" w:cs="宋体"/>
          <w:highlight w:val="none"/>
        </w:rPr>
        <w:t>（盖章）</w:t>
      </w:r>
    </w:p>
    <w:p>
      <w:pPr>
        <w:pStyle w:val="38"/>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pPr>
        <w:adjustRightInd w:val="0"/>
        <w:snapToGrid w:val="0"/>
        <w:spacing w:line="360" w:lineRule="auto"/>
        <w:jc w:val="center"/>
        <w:rPr>
          <w:rFonts w:asciiTheme="minorEastAsia" w:hAnsiTheme="minorEastAsia" w:eastAsiaTheme="minorEastAsia" w:cstheme="minorEastAsia"/>
          <w:b/>
          <w:sz w:val="28"/>
          <w:szCs w:val="28"/>
          <w:highlight w:val="none"/>
        </w:rPr>
      </w:pPr>
    </w:p>
    <w:p>
      <w:pPr>
        <w:adjustRightInd w:val="0"/>
        <w:snapToGrid w:val="0"/>
        <w:spacing w:line="360" w:lineRule="auto"/>
        <w:jc w:val="center"/>
        <w:rPr>
          <w:rFonts w:hAnsi="宋体" w:cs="宋体"/>
          <w:b/>
          <w:sz w:val="28"/>
          <w:szCs w:val="28"/>
          <w:highlight w:val="none"/>
        </w:rPr>
      </w:pPr>
      <w:r>
        <w:rPr>
          <w:rFonts w:hint="eastAsia" w:hAnsi="宋体" w:cs="宋体"/>
          <w:b/>
          <w:sz w:val="28"/>
          <w:szCs w:val="28"/>
          <w:highlight w:val="none"/>
        </w:rPr>
        <w:t>具有履行本合同所必需的设备和专业技术能力的书面声明</w:t>
      </w:r>
    </w:p>
    <w:p>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pPr>
        <w:rPr>
          <w:highlight w:val="none"/>
        </w:rPr>
      </w:pPr>
    </w:p>
    <w:p>
      <w:pPr>
        <w:pStyle w:val="13"/>
        <w:adjustRightInd w:val="0"/>
        <w:snapToGrid w:val="0"/>
        <w:spacing w:line="720" w:lineRule="exact"/>
        <w:jc w:val="center"/>
        <w:rPr>
          <w:rFonts w:hAnsi="宋体" w:cs="宋体"/>
          <w:b/>
          <w:sz w:val="28"/>
          <w:szCs w:val="28"/>
          <w:highlight w:val="none"/>
        </w:rPr>
      </w:pPr>
    </w:p>
    <w:p>
      <w:pPr>
        <w:spacing w:line="720" w:lineRule="exact"/>
        <w:rPr>
          <w:rFonts w:hAnsi="宋体" w:cs="宋体"/>
          <w:spacing w:val="4"/>
          <w:highlight w:val="none"/>
          <w:u w:val="single"/>
        </w:rPr>
      </w:pPr>
      <w:r>
        <w:rPr>
          <w:rFonts w:hint="eastAsia" w:hAnsi="宋体" w:cs="宋体"/>
          <w:spacing w:val="4"/>
          <w:highlight w:val="none"/>
          <w:u w:val="single"/>
        </w:rPr>
        <w:t xml:space="preserve">     （采购人名称）    ：</w:t>
      </w:r>
    </w:p>
    <w:p>
      <w:pPr>
        <w:pStyle w:val="13"/>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（供应商名称）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w:t>
      </w:r>
    </w:p>
    <w:p>
      <w:pPr>
        <w:pStyle w:val="13"/>
        <w:adjustRightInd w:val="0"/>
        <w:snapToGrid w:val="0"/>
        <w:spacing w:line="720" w:lineRule="exact"/>
        <w:ind w:firstLine="550" w:firstLineChars="222"/>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pPr>
        <w:pStyle w:val="13"/>
        <w:adjustRightInd w:val="0"/>
        <w:snapToGrid w:val="0"/>
        <w:spacing w:line="720" w:lineRule="exact"/>
        <w:rPr>
          <w:rFonts w:hAnsi="宋体" w:cs="宋体"/>
          <w:spacing w:val="4"/>
          <w:sz w:val="24"/>
          <w:szCs w:val="24"/>
          <w:highlight w:val="none"/>
        </w:rPr>
      </w:pPr>
    </w:p>
    <w:p>
      <w:pPr>
        <w:pStyle w:val="13"/>
        <w:adjustRightInd w:val="0"/>
        <w:snapToGrid w:val="0"/>
        <w:spacing w:line="720" w:lineRule="exact"/>
        <w:rPr>
          <w:rFonts w:hAnsi="宋体" w:cs="宋体"/>
          <w:spacing w:val="4"/>
          <w:sz w:val="24"/>
          <w:szCs w:val="24"/>
          <w:highlight w:val="none"/>
        </w:rPr>
      </w:pPr>
    </w:p>
    <w:p>
      <w:pPr>
        <w:pStyle w:val="13"/>
        <w:adjustRightInd w:val="0"/>
        <w:snapToGrid w:val="0"/>
        <w:spacing w:line="720" w:lineRule="exact"/>
        <w:rPr>
          <w:rFonts w:hAnsi="宋体" w:cs="宋体"/>
          <w:spacing w:val="4"/>
          <w:sz w:val="24"/>
          <w:szCs w:val="24"/>
          <w:highlight w:val="none"/>
        </w:rPr>
      </w:pPr>
    </w:p>
    <w:p>
      <w:pPr>
        <w:spacing w:line="480" w:lineRule="auto"/>
        <w:ind w:firstLine="336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pPr>
        <w:pStyle w:val="38"/>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pPr>
        <w:rPr>
          <w:rFonts w:hAnsi="宋体" w:cs="宋体"/>
          <w:spacing w:val="4"/>
          <w:szCs w:val="30"/>
          <w:highlight w:val="none"/>
        </w:rPr>
      </w:pPr>
      <w:r>
        <w:rPr>
          <w:rFonts w:hint="eastAsia" w:hAnsi="宋体" w:cs="宋体"/>
          <w:spacing w:val="4"/>
          <w:szCs w:val="30"/>
          <w:highlight w:val="none"/>
        </w:rPr>
        <w:br w:type="page"/>
      </w:r>
    </w:p>
    <w:p>
      <w:pPr>
        <w:spacing w:before="100" w:beforeAutospacing="1" w:after="156" w:afterLines="50" w:line="360" w:lineRule="auto"/>
        <w:jc w:val="left"/>
        <w:outlineLvl w:val="2"/>
        <w:rPr>
          <w:rFonts w:hAnsi="宋体" w:cs="宋体"/>
          <w:b/>
          <w:sz w:val="28"/>
          <w:szCs w:val="28"/>
          <w:highlight w:val="none"/>
        </w:rPr>
      </w:pPr>
      <w:r>
        <w:rPr>
          <w:rFonts w:hint="eastAsia" w:hAnsi="宋体" w:cs="宋体"/>
          <w:b/>
          <w:sz w:val="28"/>
          <w:szCs w:val="28"/>
          <w:highlight w:val="none"/>
        </w:rPr>
        <w:t>附件2：中小企业声明函</w:t>
      </w:r>
      <w:bookmarkEnd w:id="170"/>
      <w:bookmarkEnd w:id="171"/>
      <w:r>
        <w:rPr>
          <w:rFonts w:hint="eastAsia" w:hAnsi="宋体" w:cs="宋体"/>
          <w:b/>
          <w:sz w:val="28"/>
          <w:szCs w:val="28"/>
          <w:highlight w:val="none"/>
        </w:rPr>
        <w:t>（如是）</w:t>
      </w:r>
    </w:p>
    <w:p>
      <w:pPr>
        <w:spacing w:line="588" w:lineRule="exact"/>
        <w:jc w:val="center"/>
        <w:rPr>
          <w:rFonts w:hAnsi="宋体" w:cs="宋体"/>
          <w:b/>
          <w:spacing w:val="6"/>
          <w:sz w:val="32"/>
          <w:szCs w:val="32"/>
          <w:highlight w:val="none"/>
        </w:rPr>
      </w:pPr>
      <w:bookmarkStart w:id="172" w:name="_Toc13836"/>
    </w:p>
    <w:p>
      <w:pPr>
        <w:spacing w:before="116" w:line="480" w:lineRule="auto"/>
        <w:ind w:left="1686" w:firstLine="1376" w:firstLineChars="400"/>
        <w:rPr>
          <w:rFonts w:hAnsi="宋体" w:cs="宋体"/>
          <w:sz w:val="32"/>
          <w:szCs w:val="32"/>
          <w:highlight w:val="none"/>
        </w:rPr>
      </w:pPr>
      <w:r>
        <w:rPr>
          <w:rFonts w:hint="eastAsia" w:hAnsi="宋体" w:cs="宋体"/>
          <w:spacing w:val="12"/>
          <w:sz w:val="32"/>
          <w:szCs w:val="32"/>
          <w:highlight w:val="none"/>
          <w14:textOutline w14:w="6540" w14:cap="sq" w14:cmpd="sng" w14:algn="ctr">
            <w14:solidFill>
              <w14:srgbClr w14:val="000000"/>
            </w14:solidFill>
            <w14:prstDash w14:val="solid"/>
            <w14:bevel/>
          </w14:textOutline>
        </w:rPr>
        <w:t>中</w:t>
      </w:r>
      <w:r>
        <w:rPr>
          <w:rFonts w:hint="eastAsia" w:hAnsi="宋体" w:cs="宋体"/>
          <w:spacing w:val="8"/>
          <w:sz w:val="32"/>
          <w:szCs w:val="32"/>
          <w:highlight w:val="none"/>
          <w14:textOutline w14:w="6540" w14:cap="sq" w14:cmpd="sng" w14:algn="ctr">
            <w14:solidFill>
              <w14:srgbClr w14:val="000000"/>
            </w14:solidFill>
            <w14:prstDash w14:val="solid"/>
            <w14:bevel/>
          </w14:textOutline>
        </w:rPr>
        <w:t>小</w:t>
      </w:r>
      <w:r>
        <w:rPr>
          <w:rFonts w:hint="eastAsia" w:hAnsi="宋体" w:cs="宋体"/>
          <w:spacing w:val="6"/>
          <w:sz w:val="32"/>
          <w:szCs w:val="32"/>
          <w:highlight w:val="none"/>
          <w14:textOutline w14:w="6540" w14:cap="sq" w14:cmpd="sng" w14:algn="ctr">
            <w14:solidFill>
              <w14:srgbClr w14:val="000000"/>
            </w14:solidFill>
            <w14:prstDash w14:val="solid"/>
            <w14:bevel/>
          </w14:textOutline>
        </w:rPr>
        <w:t>企业声明函</w:t>
      </w:r>
      <w:r>
        <w:rPr>
          <w:rFonts w:hint="eastAsia" w:hAnsi="宋体" w:cs="宋体"/>
          <w:spacing w:val="6"/>
          <w:sz w:val="32"/>
          <w:szCs w:val="32"/>
          <w:highlight w:val="none"/>
        </w:rPr>
        <w:t xml:space="preserve"> </w:t>
      </w:r>
    </w:p>
    <w:p>
      <w:pPr>
        <w:tabs>
          <w:tab w:val="left" w:pos="193"/>
        </w:tabs>
        <w:spacing w:before="100" w:line="480" w:lineRule="auto"/>
        <w:ind w:left="36" w:right="84" w:firstLine="640"/>
        <w:rPr>
          <w:rFonts w:hAnsi="宋体" w:cs="宋体"/>
          <w:szCs w:val="24"/>
          <w:highlight w:val="none"/>
        </w:rPr>
      </w:pPr>
      <w:r>
        <w:rPr>
          <w:rFonts w:hint="eastAsia" w:hAnsi="宋体" w:cs="宋体"/>
          <w:spacing w:val="8"/>
          <w:szCs w:val="24"/>
          <w:highlight w:val="none"/>
        </w:rPr>
        <w:t>本公司 (联合体) 郑重声明，根据《政府采购促进中</w:t>
      </w:r>
      <w:r>
        <w:rPr>
          <w:rFonts w:hint="eastAsia" w:hAnsi="宋体" w:cs="宋体"/>
          <w:spacing w:val="5"/>
          <w:szCs w:val="24"/>
          <w:highlight w:val="none"/>
        </w:rPr>
        <w:t>小</w:t>
      </w:r>
      <w:r>
        <w:rPr>
          <w:rFonts w:hint="eastAsia" w:hAnsi="宋体" w:cs="宋体"/>
          <w:szCs w:val="24"/>
          <w:highlight w:val="none"/>
        </w:rPr>
        <w:t xml:space="preserve"> </w:t>
      </w:r>
      <w:r>
        <w:rPr>
          <w:rFonts w:hint="eastAsia" w:hAnsi="宋体" w:cs="宋体"/>
          <w:spacing w:val="-22"/>
          <w:szCs w:val="24"/>
          <w:highlight w:val="none"/>
        </w:rPr>
        <w:t>企</w:t>
      </w:r>
      <w:r>
        <w:rPr>
          <w:rFonts w:hint="eastAsia" w:hAnsi="宋体" w:cs="宋体"/>
          <w:spacing w:val="-12"/>
          <w:szCs w:val="24"/>
          <w:highlight w:val="none"/>
        </w:rPr>
        <w:t>业</w:t>
      </w:r>
      <w:r>
        <w:rPr>
          <w:rFonts w:hint="eastAsia" w:hAnsi="宋体" w:cs="宋体"/>
          <w:spacing w:val="-11"/>
          <w:szCs w:val="24"/>
          <w:highlight w:val="none"/>
        </w:rPr>
        <w:t>发展管理办法》(财库 ﹝ 2020 ﹞ 46 号) 的规定，本公司</w:t>
      </w:r>
      <w:r>
        <w:rPr>
          <w:rFonts w:hint="eastAsia" w:hAnsi="宋体" w:cs="宋体"/>
          <w:szCs w:val="24"/>
          <w:highlight w:val="none"/>
        </w:rPr>
        <w:t xml:space="preserve"> </w:t>
      </w:r>
      <w:r>
        <w:rPr>
          <w:rFonts w:hint="eastAsia" w:hAnsi="宋体" w:cs="宋体"/>
          <w:szCs w:val="24"/>
          <w:highlight w:val="none"/>
        </w:rPr>
        <w:tab/>
      </w:r>
      <w:r>
        <w:rPr>
          <w:rFonts w:hint="eastAsia" w:hAnsi="宋体" w:cs="宋体"/>
          <w:spacing w:val="-10"/>
          <w:szCs w:val="24"/>
          <w:highlight w:val="none"/>
        </w:rPr>
        <w:t>(联合体</w:t>
      </w:r>
      <w:r>
        <w:rPr>
          <w:rFonts w:hint="eastAsia" w:hAnsi="宋体" w:cs="宋体"/>
          <w:spacing w:val="-7"/>
          <w:szCs w:val="24"/>
          <w:highlight w:val="none"/>
        </w:rPr>
        <w:t>)</w:t>
      </w:r>
      <w:r>
        <w:rPr>
          <w:rFonts w:hint="eastAsia" w:hAnsi="宋体" w:cs="宋体"/>
          <w:spacing w:val="-5"/>
          <w:szCs w:val="24"/>
          <w:highlight w:val="none"/>
        </w:rPr>
        <w:t xml:space="preserve"> 参加</w:t>
      </w:r>
      <w:r>
        <w:rPr>
          <w:rFonts w:hint="eastAsia" w:hAnsi="宋体" w:cs="宋体"/>
          <w:spacing w:val="-5"/>
          <w:szCs w:val="24"/>
          <w:highlight w:val="none"/>
          <w:u w:val="single"/>
        </w:rPr>
        <w:t xml:space="preserve"> </w:t>
      </w:r>
      <w:r>
        <w:rPr>
          <w:rFonts w:hint="eastAsia" w:hAnsi="宋体" w:cs="宋体"/>
          <w:i/>
          <w:iCs/>
          <w:spacing w:val="-5"/>
          <w:szCs w:val="24"/>
          <w:highlight w:val="none"/>
          <w:u w:val="single"/>
        </w:rPr>
        <w:t>(单位名称)</w:t>
      </w:r>
      <w:r>
        <w:rPr>
          <w:rFonts w:hint="eastAsia" w:hAnsi="宋体" w:cs="宋体"/>
          <w:spacing w:val="-5"/>
          <w:szCs w:val="24"/>
          <w:highlight w:val="none"/>
          <w:u w:val="single"/>
        </w:rPr>
        <w:t xml:space="preserve"> </w:t>
      </w:r>
      <w:r>
        <w:rPr>
          <w:rFonts w:hint="eastAsia" w:hAnsi="宋体" w:cs="宋体"/>
          <w:spacing w:val="-5"/>
          <w:szCs w:val="24"/>
          <w:highlight w:val="none"/>
        </w:rPr>
        <w:t xml:space="preserve"> 的</w:t>
      </w:r>
      <w:r>
        <w:rPr>
          <w:rFonts w:hint="eastAsia" w:hAnsi="宋体" w:cs="宋体"/>
          <w:spacing w:val="-5"/>
          <w:szCs w:val="24"/>
          <w:highlight w:val="none"/>
          <w:u w:val="single"/>
        </w:rPr>
        <w:t xml:space="preserve"> </w:t>
      </w:r>
      <w:r>
        <w:rPr>
          <w:rFonts w:hint="eastAsia" w:hAnsi="宋体" w:cs="宋体"/>
          <w:i/>
          <w:iCs/>
          <w:spacing w:val="-5"/>
          <w:szCs w:val="24"/>
          <w:highlight w:val="none"/>
          <w:u w:val="single"/>
        </w:rPr>
        <w:t>(项目名称)</w:t>
      </w:r>
      <w:r>
        <w:rPr>
          <w:rFonts w:hint="eastAsia" w:hAnsi="宋体" w:cs="宋体"/>
          <w:spacing w:val="-5"/>
          <w:szCs w:val="24"/>
          <w:highlight w:val="none"/>
          <w:u w:val="single"/>
        </w:rPr>
        <w:t xml:space="preserve"> </w:t>
      </w:r>
      <w:r>
        <w:rPr>
          <w:rFonts w:hint="eastAsia" w:hAnsi="宋体" w:cs="宋体"/>
          <w:spacing w:val="-5"/>
          <w:szCs w:val="24"/>
          <w:highlight w:val="none"/>
        </w:rPr>
        <w:t>采购活动，工</w:t>
      </w:r>
      <w:r>
        <w:rPr>
          <w:rFonts w:hint="eastAsia" w:hAnsi="宋体" w:cs="宋体"/>
          <w:szCs w:val="24"/>
          <w:highlight w:val="none"/>
        </w:rPr>
        <w:t xml:space="preserve"> </w:t>
      </w:r>
      <w:r>
        <w:rPr>
          <w:rFonts w:hint="eastAsia" w:hAnsi="宋体" w:cs="宋体"/>
          <w:spacing w:val="13"/>
          <w:szCs w:val="24"/>
          <w:highlight w:val="none"/>
        </w:rPr>
        <w:t>程</w:t>
      </w:r>
      <w:r>
        <w:rPr>
          <w:rFonts w:hint="eastAsia" w:hAnsi="宋体" w:cs="宋体"/>
          <w:spacing w:val="8"/>
          <w:szCs w:val="24"/>
          <w:highlight w:val="none"/>
        </w:rPr>
        <w:t>的施工单位全部为符合政策要求的中小企业 (或者：服务</w:t>
      </w:r>
      <w:r>
        <w:rPr>
          <w:rFonts w:hint="eastAsia" w:hAnsi="宋体" w:cs="宋体"/>
          <w:szCs w:val="24"/>
          <w:highlight w:val="none"/>
        </w:rPr>
        <w:t xml:space="preserve"> </w:t>
      </w:r>
      <w:r>
        <w:rPr>
          <w:rFonts w:hint="eastAsia" w:hAnsi="宋体" w:cs="宋体"/>
          <w:spacing w:val="8"/>
          <w:szCs w:val="24"/>
          <w:highlight w:val="none"/>
        </w:rPr>
        <w:t>全部由符合政策要求的中小企业承接) 。相关企业 (含联</w:t>
      </w:r>
      <w:r>
        <w:rPr>
          <w:rFonts w:hint="eastAsia" w:hAnsi="宋体" w:cs="宋体"/>
          <w:spacing w:val="5"/>
          <w:szCs w:val="24"/>
          <w:highlight w:val="none"/>
        </w:rPr>
        <w:t>合</w:t>
      </w:r>
      <w:r>
        <w:rPr>
          <w:rFonts w:hint="eastAsia" w:hAnsi="宋体" w:cs="宋体"/>
          <w:szCs w:val="24"/>
          <w:highlight w:val="none"/>
        </w:rPr>
        <w:t xml:space="preserve"> </w:t>
      </w:r>
      <w:r>
        <w:rPr>
          <w:rFonts w:hint="eastAsia" w:hAnsi="宋体" w:cs="宋体"/>
          <w:spacing w:val="15"/>
          <w:szCs w:val="24"/>
          <w:highlight w:val="none"/>
        </w:rPr>
        <w:t>体</w:t>
      </w:r>
      <w:r>
        <w:rPr>
          <w:rFonts w:hint="eastAsia" w:hAnsi="宋体" w:cs="宋体"/>
          <w:spacing w:val="8"/>
          <w:szCs w:val="24"/>
          <w:highlight w:val="none"/>
        </w:rPr>
        <w:t>中的中小企业、签订分包意向协议的中小企业) 的具体情</w:t>
      </w:r>
      <w:r>
        <w:rPr>
          <w:rFonts w:hint="eastAsia" w:hAnsi="宋体" w:cs="宋体"/>
          <w:szCs w:val="24"/>
          <w:highlight w:val="none"/>
        </w:rPr>
        <w:t xml:space="preserve"> </w:t>
      </w:r>
      <w:r>
        <w:rPr>
          <w:rFonts w:hint="eastAsia" w:hAnsi="宋体" w:cs="宋体"/>
          <w:spacing w:val="2"/>
          <w:szCs w:val="24"/>
          <w:highlight w:val="none"/>
        </w:rPr>
        <w:t>况如下</w:t>
      </w:r>
      <w:r>
        <w:rPr>
          <w:rFonts w:hint="eastAsia" w:hAnsi="宋体" w:cs="宋体"/>
          <w:spacing w:val="1"/>
          <w:szCs w:val="24"/>
          <w:highlight w:val="none"/>
        </w:rPr>
        <w:t>：</w:t>
      </w:r>
    </w:p>
    <w:p>
      <w:pPr>
        <w:spacing w:before="1" w:line="480" w:lineRule="auto"/>
        <w:ind w:left="689"/>
        <w:rPr>
          <w:rFonts w:hAnsi="宋体" w:cs="宋体"/>
          <w:szCs w:val="24"/>
          <w:highlight w:val="none"/>
        </w:rPr>
      </w:pPr>
      <w:r>
        <w:rPr>
          <w:rFonts w:hint="eastAsia" w:hAnsi="宋体" w:cs="宋体"/>
          <w:spacing w:val="-6"/>
          <w:szCs w:val="24"/>
          <w:highlight w:val="none"/>
        </w:rPr>
        <w:t>1.</w:t>
      </w:r>
      <w:r>
        <w:rPr>
          <w:rFonts w:hint="eastAsia" w:hAnsi="宋体" w:cs="宋体"/>
          <w:spacing w:val="-6"/>
          <w:szCs w:val="24"/>
          <w:highlight w:val="none"/>
          <w:u w:val="single"/>
        </w:rPr>
        <w:t xml:space="preserve"> </w:t>
      </w:r>
      <w:r>
        <w:rPr>
          <w:rFonts w:hint="eastAsia" w:hAnsi="宋体" w:cs="宋体"/>
          <w:i/>
          <w:iCs/>
          <w:spacing w:val="-6"/>
          <w:szCs w:val="24"/>
          <w:highlight w:val="none"/>
          <w:u w:val="single"/>
        </w:rPr>
        <w:t>(标的</w:t>
      </w:r>
      <w:r>
        <w:rPr>
          <w:rFonts w:hint="eastAsia" w:hAnsi="宋体" w:cs="宋体"/>
          <w:i/>
          <w:iCs/>
          <w:spacing w:val="-4"/>
          <w:szCs w:val="24"/>
          <w:highlight w:val="none"/>
          <w:u w:val="single"/>
        </w:rPr>
        <w:t>名</w:t>
      </w:r>
      <w:r>
        <w:rPr>
          <w:rFonts w:hint="eastAsia" w:hAnsi="宋体" w:cs="宋体"/>
          <w:i/>
          <w:iCs/>
          <w:spacing w:val="-3"/>
          <w:szCs w:val="24"/>
          <w:highlight w:val="none"/>
          <w:u w:val="single"/>
        </w:rPr>
        <w:t>称)</w:t>
      </w:r>
      <w:r>
        <w:rPr>
          <w:rFonts w:hint="eastAsia" w:hAnsi="宋体" w:cs="宋体"/>
          <w:spacing w:val="-3"/>
          <w:szCs w:val="24"/>
          <w:highlight w:val="none"/>
          <w:u w:val="single"/>
        </w:rPr>
        <w:t xml:space="preserve"> </w:t>
      </w:r>
      <w:r>
        <w:rPr>
          <w:rFonts w:hint="eastAsia" w:hAnsi="宋体" w:cs="宋体"/>
          <w:spacing w:val="-3"/>
          <w:szCs w:val="24"/>
          <w:highlight w:val="none"/>
        </w:rPr>
        <w:t>，属于</w:t>
      </w:r>
      <w:r>
        <w:rPr>
          <w:rFonts w:hint="eastAsia" w:hAnsi="宋体" w:cs="宋体"/>
          <w:i/>
          <w:iCs/>
          <w:spacing w:val="-3"/>
          <w:szCs w:val="24"/>
          <w:highlight w:val="none"/>
          <w:u w:val="single"/>
        </w:rPr>
        <w:t>(采购文件中明确的所属行业</w:t>
      </w:r>
      <w:r>
        <w:rPr>
          <w:rFonts w:hint="eastAsia" w:hAnsi="宋体" w:cs="宋体"/>
          <w:i/>
          <w:iCs/>
          <w:spacing w:val="-3"/>
          <w:szCs w:val="24"/>
          <w:highlight w:val="none"/>
        </w:rPr>
        <w:t>)</w:t>
      </w:r>
      <w:r>
        <w:rPr>
          <w:rFonts w:hint="eastAsia" w:hAnsi="宋体" w:cs="宋体"/>
          <w:spacing w:val="-3"/>
          <w:szCs w:val="24"/>
          <w:highlight w:val="none"/>
        </w:rPr>
        <w:t>；</w:t>
      </w:r>
      <w:r>
        <w:rPr>
          <w:rFonts w:hint="eastAsia" w:hAnsi="宋体" w:cs="宋体"/>
          <w:spacing w:val="16"/>
          <w:szCs w:val="24"/>
          <w:highlight w:val="none"/>
        </w:rPr>
        <w:t>承建</w:t>
      </w:r>
      <w:r>
        <w:rPr>
          <w:rFonts w:hint="eastAsia" w:hAnsi="宋体" w:cs="宋体"/>
          <w:spacing w:val="11"/>
          <w:szCs w:val="24"/>
          <w:highlight w:val="none"/>
        </w:rPr>
        <w:t xml:space="preserve"> </w:t>
      </w:r>
      <w:r>
        <w:rPr>
          <w:rFonts w:hint="eastAsia" w:hAnsi="宋体" w:cs="宋体"/>
          <w:spacing w:val="8"/>
          <w:szCs w:val="24"/>
          <w:highlight w:val="none"/>
        </w:rPr>
        <w:t>(承接) 企业为</w:t>
      </w:r>
      <w:r>
        <w:rPr>
          <w:rFonts w:hint="eastAsia" w:hAnsi="宋体" w:cs="宋体"/>
          <w:spacing w:val="8"/>
          <w:szCs w:val="24"/>
          <w:highlight w:val="none"/>
          <w:u w:val="single"/>
        </w:rPr>
        <w:t xml:space="preserve"> </w:t>
      </w:r>
      <w:r>
        <w:rPr>
          <w:rFonts w:hint="eastAsia" w:hAnsi="宋体" w:cs="宋体"/>
          <w:i/>
          <w:iCs/>
          <w:spacing w:val="8"/>
          <w:szCs w:val="24"/>
          <w:highlight w:val="none"/>
          <w:u w:val="single"/>
        </w:rPr>
        <w:t>(企业名称</w:t>
      </w:r>
      <w:r>
        <w:rPr>
          <w:rFonts w:hint="eastAsia" w:hAnsi="宋体" w:cs="宋体"/>
          <w:i/>
          <w:iCs/>
          <w:spacing w:val="8"/>
          <w:szCs w:val="24"/>
          <w:highlight w:val="none"/>
        </w:rPr>
        <w:t>)</w:t>
      </w:r>
      <w:r>
        <w:rPr>
          <w:rFonts w:hint="eastAsia" w:hAnsi="宋体" w:cs="宋体"/>
          <w:spacing w:val="8"/>
          <w:szCs w:val="24"/>
          <w:highlight w:val="none"/>
        </w:rPr>
        <w:t>，从业人员</w:t>
      </w:r>
      <w:r>
        <w:rPr>
          <w:rFonts w:hint="eastAsia" w:hAnsi="宋体" w:cs="宋体"/>
          <w:spacing w:val="8"/>
          <w:szCs w:val="24"/>
          <w:highlight w:val="none"/>
          <w:u w:val="single"/>
        </w:rPr>
        <w:t xml:space="preserve">    </w:t>
      </w:r>
      <w:r>
        <w:rPr>
          <w:rFonts w:hint="eastAsia" w:hAnsi="宋体" w:cs="宋体"/>
          <w:spacing w:val="8"/>
          <w:szCs w:val="24"/>
          <w:highlight w:val="none"/>
        </w:rPr>
        <w:t>人，营业</w:t>
      </w:r>
      <w:r>
        <w:rPr>
          <w:rFonts w:hint="eastAsia" w:hAnsi="宋体" w:cs="宋体"/>
          <w:spacing w:val="-1"/>
          <w:szCs w:val="24"/>
          <w:highlight w:val="none"/>
        </w:rPr>
        <w:t>收入为</w:t>
      </w:r>
      <w:r>
        <w:rPr>
          <w:rFonts w:hint="eastAsia" w:hAnsi="宋体" w:cs="宋体"/>
          <w:spacing w:val="-1"/>
          <w:szCs w:val="24"/>
          <w:highlight w:val="none"/>
          <w:u w:val="single"/>
        </w:rPr>
        <w:t xml:space="preserve">    </w:t>
      </w:r>
      <w:r>
        <w:rPr>
          <w:rFonts w:hint="eastAsia" w:hAnsi="宋体" w:cs="宋体"/>
          <w:spacing w:val="-1"/>
          <w:szCs w:val="24"/>
          <w:highlight w:val="none"/>
        </w:rPr>
        <w:t>万元，资</w:t>
      </w:r>
      <w:r>
        <w:rPr>
          <w:rFonts w:hint="eastAsia" w:hAnsi="宋体" w:cs="宋体"/>
          <w:szCs w:val="24"/>
          <w:highlight w:val="none"/>
        </w:rPr>
        <w:t>产总额为</w:t>
      </w:r>
      <w:r>
        <w:rPr>
          <w:rFonts w:hint="eastAsia" w:hAnsi="宋体" w:cs="宋体"/>
          <w:szCs w:val="24"/>
          <w:highlight w:val="none"/>
          <w:u w:val="single"/>
        </w:rPr>
        <w:t xml:space="preserve">    </w:t>
      </w:r>
      <w:r>
        <w:rPr>
          <w:rFonts w:hint="eastAsia" w:hAnsi="宋体" w:cs="宋体"/>
          <w:szCs w:val="24"/>
          <w:highlight w:val="none"/>
        </w:rPr>
        <w:t>万元</w:t>
      </w:r>
      <w:r>
        <w:rPr>
          <w:rFonts w:hint="eastAsia" w:hAnsi="宋体" w:cs="宋体"/>
          <w:position w:val="16"/>
          <w:szCs w:val="24"/>
          <w:highlight w:val="none"/>
        </w:rPr>
        <w:t xml:space="preserve"> </w:t>
      </w:r>
      <w:r>
        <w:rPr>
          <w:rFonts w:hint="eastAsia" w:hAnsi="宋体" w:cs="宋体"/>
          <w:szCs w:val="24"/>
          <w:highlight w:val="none"/>
        </w:rPr>
        <w:t>，属于</w:t>
      </w:r>
      <w:r>
        <w:rPr>
          <w:rFonts w:hint="eastAsia" w:hAnsi="宋体" w:cs="宋体"/>
          <w:szCs w:val="24"/>
          <w:highlight w:val="none"/>
          <w:u w:val="single"/>
        </w:rPr>
        <w:t xml:space="preserve"> </w:t>
      </w:r>
      <w:r>
        <w:rPr>
          <w:rFonts w:hint="eastAsia" w:hAnsi="宋体" w:cs="宋体"/>
          <w:i/>
          <w:iCs/>
          <w:szCs w:val="24"/>
          <w:highlight w:val="none"/>
          <w:u w:val="single"/>
        </w:rPr>
        <w:t>(中型企业、</w:t>
      </w:r>
      <w:r>
        <w:rPr>
          <w:rFonts w:hint="eastAsia" w:hAnsi="宋体" w:cs="宋体"/>
          <w:i/>
          <w:iCs/>
          <w:spacing w:val="-4"/>
          <w:szCs w:val="24"/>
          <w:highlight w:val="none"/>
          <w:u w:val="single"/>
        </w:rPr>
        <w:t>小</w:t>
      </w:r>
      <w:r>
        <w:rPr>
          <w:rFonts w:hint="eastAsia" w:hAnsi="宋体" w:cs="宋体"/>
          <w:i/>
          <w:iCs/>
          <w:spacing w:val="-3"/>
          <w:szCs w:val="24"/>
          <w:highlight w:val="none"/>
          <w:u w:val="single"/>
        </w:rPr>
        <w:t>型企业、微型企业</w:t>
      </w:r>
      <w:r>
        <w:rPr>
          <w:rFonts w:hint="eastAsia" w:hAnsi="宋体" w:cs="宋体"/>
          <w:i/>
          <w:iCs/>
          <w:spacing w:val="-3"/>
          <w:szCs w:val="24"/>
          <w:highlight w:val="none"/>
        </w:rPr>
        <w:t>)</w:t>
      </w:r>
      <w:r>
        <w:rPr>
          <w:rFonts w:hint="eastAsia" w:hAnsi="宋体" w:cs="宋体"/>
          <w:spacing w:val="-3"/>
          <w:szCs w:val="24"/>
          <w:highlight w:val="none"/>
        </w:rPr>
        <w:t>；</w:t>
      </w:r>
    </w:p>
    <w:p>
      <w:pPr>
        <w:spacing w:before="133" w:line="480" w:lineRule="auto"/>
        <w:ind w:left="18" w:firstLine="651"/>
        <w:rPr>
          <w:rFonts w:hAnsi="宋体" w:cs="宋体"/>
          <w:szCs w:val="24"/>
          <w:highlight w:val="none"/>
        </w:rPr>
      </w:pPr>
      <w:r>
        <w:rPr>
          <w:rFonts w:hint="eastAsia" w:hAnsi="宋体" w:cs="宋体"/>
          <w:spacing w:val="-3"/>
          <w:szCs w:val="24"/>
          <w:highlight w:val="none"/>
        </w:rPr>
        <w:t>2.</w:t>
      </w:r>
      <w:r>
        <w:rPr>
          <w:rFonts w:hint="eastAsia" w:hAnsi="宋体" w:cs="宋体"/>
          <w:spacing w:val="-3"/>
          <w:szCs w:val="24"/>
          <w:highlight w:val="none"/>
          <w:u w:val="single"/>
        </w:rPr>
        <w:t xml:space="preserve"> </w:t>
      </w:r>
      <w:r>
        <w:rPr>
          <w:rFonts w:hint="eastAsia" w:hAnsi="宋体" w:cs="宋体"/>
          <w:i/>
          <w:iCs/>
          <w:spacing w:val="-3"/>
          <w:szCs w:val="24"/>
          <w:highlight w:val="none"/>
          <w:u w:val="single"/>
        </w:rPr>
        <w:t>(标的名称)</w:t>
      </w:r>
      <w:r>
        <w:rPr>
          <w:rFonts w:hint="eastAsia" w:hAnsi="宋体" w:cs="宋体"/>
          <w:spacing w:val="-3"/>
          <w:szCs w:val="24"/>
          <w:highlight w:val="none"/>
          <w:u w:val="single"/>
        </w:rPr>
        <w:t xml:space="preserve"> </w:t>
      </w:r>
      <w:r>
        <w:rPr>
          <w:rFonts w:hint="eastAsia" w:hAnsi="宋体" w:cs="宋体"/>
          <w:spacing w:val="-3"/>
          <w:szCs w:val="24"/>
          <w:highlight w:val="none"/>
        </w:rPr>
        <w:t>，属于</w:t>
      </w:r>
      <w:r>
        <w:rPr>
          <w:rFonts w:hint="eastAsia" w:hAnsi="宋体" w:cs="宋体"/>
          <w:i/>
          <w:iCs/>
          <w:spacing w:val="-3"/>
          <w:szCs w:val="24"/>
          <w:highlight w:val="none"/>
          <w:u w:val="single"/>
        </w:rPr>
        <w:t>(采购文件中明确的所属行业</w:t>
      </w:r>
      <w:r>
        <w:rPr>
          <w:rFonts w:hint="eastAsia" w:hAnsi="宋体" w:cs="宋体"/>
          <w:i/>
          <w:iCs/>
          <w:spacing w:val="-3"/>
          <w:szCs w:val="24"/>
          <w:highlight w:val="none"/>
        </w:rPr>
        <w:t>)</w:t>
      </w:r>
      <w:r>
        <w:rPr>
          <w:rFonts w:hint="eastAsia" w:hAnsi="宋体" w:cs="宋体"/>
          <w:spacing w:val="-3"/>
          <w:szCs w:val="24"/>
          <w:highlight w:val="none"/>
        </w:rPr>
        <w:t>；</w:t>
      </w:r>
      <w:r>
        <w:rPr>
          <w:rFonts w:hint="eastAsia" w:hAnsi="宋体" w:cs="宋体"/>
          <w:szCs w:val="24"/>
          <w:highlight w:val="none"/>
        </w:rPr>
        <w:t xml:space="preserve"> </w:t>
      </w:r>
      <w:r>
        <w:rPr>
          <w:rFonts w:hint="eastAsia" w:hAnsi="宋体" w:cs="宋体"/>
          <w:spacing w:val="14"/>
          <w:szCs w:val="24"/>
          <w:highlight w:val="none"/>
        </w:rPr>
        <w:t>承</w:t>
      </w:r>
      <w:r>
        <w:rPr>
          <w:rFonts w:hint="eastAsia" w:hAnsi="宋体" w:cs="宋体"/>
          <w:spacing w:val="9"/>
          <w:szCs w:val="24"/>
          <w:highlight w:val="none"/>
        </w:rPr>
        <w:t>建 (承接) 企业为</w:t>
      </w:r>
      <w:r>
        <w:rPr>
          <w:rFonts w:hint="eastAsia" w:hAnsi="宋体" w:cs="宋体"/>
          <w:spacing w:val="9"/>
          <w:szCs w:val="24"/>
          <w:highlight w:val="none"/>
          <w:u w:val="single"/>
        </w:rPr>
        <w:t xml:space="preserve"> </w:t>
      </w:r>
      <w:r>
        <w:rPr>
          <w:rFonts w:hint="eastAsia" w:hAnsi="宋体" w:cs="宋体"/>
          <w:i/>
          <w:iCs/>
          <w:spacing w:val="9"/>
          <w:szCs w:val="24"/>
          <w:highlight w:val="none"/>
          <w:u w:val="single"/>
        </w:rPr>
        <w:t>(企业名称</w:t>
      </w:r>
      <w:r>
        <w:rPr>
          <w:rFonts w:hint="eastAsia" w:hAnsi="宋体" w:cs="宋体"/>
          <w:i/>
          <w:iCs/>
          <w:spacing w:val="9"/>
          <w:szCs w:val="24"/>
          <w:highlight w:val="none"/>
        </w:rPr>
        <w:t>)</w:t>
      </w:r>
      <w:r>
        <w:rPr>
          <w:rFonts w:hint="eastAsia" w:hAnsi="宋体" w:cs="宋体"/>
          <w:spacing w:val="9"/>
          <w:szCs w:val="24"/>
          <w:highlight w:val="none"/>
        </w:rPr>
        <w:t>，从业人员</w:t>
      </w:r>
      <w:r>
        <w:rPr>
          <w:rFonts w:hint="eastAsia" w:hAnsi="宋体" w:cs="宋体"/>
          <w:spacing w:val="9"/>
          <w:szCs w:val="24"/>
          <w:highlight w:val="none"/>
          <w:u w:val="single"/>
        </w:rPr>
        <w:t xml:space="preserve">    </w:t>
      </w:r>
      <w:r>
        <w:rPr>
          <w:rFonts w:hint="eastAsia" w:hAnsi="宋体" w:cs="宋体"/>
          <w:spacing w:val="9"/>
          <w:szCs w:val="24"/>
          <w:highlight w:val="none"/>
        </w:rPr>
        <w:t>人，营业</w:t>
      </w:r>
      <w:r>
        <w:rPr>
          <w:rFonts w:hint="eastAsia" w:hAnsi="宋体" w:cs="宋体"/>
          <w:szCs w:val="24"/>
          <w:highlight w:val="none"/>
        </w:rPr>
        <w:t xml:space="preserve"> </w:t>
      </w:r>
      <w:r>
        <w:rPr>
          <w:rFonts w:hint="eastAsia" w:hAnsi="宋体" w:cs="宋体"/>
          <w:spacing w:val="4"/>
          <w:szCs w:val="24"/>
          <w:highlight w:val="none"/>
        </w:rPr>
        <w:t>收入为</w:t>
      </w:r>
      <w:r>
        <w:rPr>
          <w:rFonts w:hint="eastAsia" w:hAnsi="宋体" w:cs="宋体"/>
          <w:spacing w:val="4"/>
          <w:szCs w:val="24"/>
          <w:highlight w:val="none"/>
          <w:u w:val="single"/>
        </w:rPr>
        <w:t xml:space="preserve">    </w:t>
      </w:r>
      <w:r>
        <w:rPr>
          <w:rFonts w:hint="eastAsia" w:hAnsi="宋体" w:cs="宋体"/>
          <w:spacing w:val="4"/>
          <w:szCs w:val="24"/>
          <w:highlight w:val="none"/>
        </w:rPr>
        <w:t>万元，资产总额为</w:t>
      </w:r>
      <w:r>
        <w:rPr>
          <w:rFonts w:hint="eastAsia" w:hAnsi="宋体" w:cs="宋体"/>
          <w:spacing w:val="4"/>
          <w:szCs w:val="24"/>
          <w:highlight w:val="none"/>
          <w:u w:val="single"/>
        </w:rPr>
        <w:t xml:space="preserve">    </w:t>
      </w:r>
      <w:r>
        <w:rPr>
          <w:rFonts w:hint="eastAsia" w:hAnsi="宋体" w:cs="宋体"/>
          <w:spacing w:val="4"/>
          <w:szCs w:val="24"/>
          <w:highlight w:val="none"/>
        </w:rPr>
        <w:t>万元，属于</w:t>
      </w:r>
      <w:r>
        <w:rPr>
          <w:rFonts w:hint="eastAsia" w:hAnsi="宋体" w:cs="宋体"/>
          <w:spacing w:val="4"/>
          <w:szCs w:val="24"/>
          <w:highlight w:val="none"/>
          <w:u w:val="single"/>
        </w:rPr>
        <w:t xml:space="preserve"> </w:t>
      </w:r>
      <w:r>
        <w:rPr>
          <w:rFonts w:hint="eastAsia" w:hAnsi="宋体" w:cs="宋体"/>
          <w:i/>
          <w:iCs/>
          <w:spacing w:val="4"/>
          <w:szCs w:val="24"/>
          <w:highlight w:val="none"/>
          <w:u w:val="single"/>
        </w:rPr>
        <w:t>(中型企业</w:t>
      </w:r>
      <w:r>
        <w:rPr>
          <w:rFonts w:hint="eastAsia" w:hAnsi="宋体" w:cs="宋体"/>
          <w:i/>
          <w:iCs/>
          <w:spacing w:val="1"/>
          <w:szCs w:val="24"/>
          <w:highlight w:val="none"/>
          <w:u w:val="single"/>
        </w:rPr>
        <w:t>、</w:t>
      </w:r>
      <w:r>
        <w:rPr>
          <w:rFonts w:hint="eastAsia" w:hAnsi="宋体" w:cs="宋体"/>
          <w:szCs w:val="24"/>
          <w:highlight w:val="none"/>
        </w:rPr>
        <w:t xml:space="preserve"> </w:t>
      </w:r>
      <w:r>
        <w:rPr>
          <w:rFonts w:hint="eastAsia" w:hAnsi="宋体" w:cs="宋体"/>
          <w:i/>
          <w:iCs/>
          <w:spacing w:val="-4"/>
          <w:szCs w:val="24"/>
          <w:highlight w:val="none"/>
          <w:u w:val="single"/>
        </w:rPr>
        <w:t>小</w:t>
      </w:r>
      <w:r>
        <w:rPr>
          <w:rFonts w:hint="eastAsia" w:hAnsi="宋体" w:cs="宋体"/>
          <w:i/>
          <w:iCs/>
          <w:spacing w:val="-3"/>
          <w:szCs w:val="24"/>
          <w:highlight w:val="none"/>
          <w:u w:val="single"/>
        </w:rPr>
        <w:t>型企业、微型企业</w:t>
      </w:r>
      <w:r>
        <w:rPr>
          <w:rFonts w:hint="eastAsia" w:hAnsi="宋体" w:cs="宋体"/>
          <w:i/>
          <w:iCs/>
          <w:spacing w:val="-3"/>
          <w:szCs w:val="24"/>
          <w:highlight w:val="none"/>
        </w:rPr>
        <w:t>)</w:t>
      </w:r>
      <w:r>
        <w:rPr>
          <w:rFonts w:hint="eastAsia" w:hAnsi="宋体" w:cs="宋体"/>
          <w:spacing w:val="-3"/>
          <w:szCs w:val="24"/>
          <w:highlight w:val="none"/>
        </w:rPr>
        <w:t>；</w:t>
      </w:r>
    </w:p>
    <w:p>
      <w:pPr>
        <w:spacing w:line="480" w:lineRule="auto"/>
        <w:ind w:left="688"/>
        <w:rPr>
          <w:rFonts w:hAnsi="宋体" w:cs="宋体"/>
          <w:szCs w:val="24"/>
          <w:highlight w:val="none"/>
        </w:rPr>
      </w:pPr>
      <w:r>
        <w:rPr>
          <w:rFonts w:hint="eastAsia" w:hAnsi="宋体" w:cs="宋体"/>
          <w:spacing w:val="5"/>
          <w:position w:val="4"/>
          <w:szCs w:val="24"/>
          <w:highlight w:val="none"/>
        </w:rPr>
        <w:t>…</w:t>
      </w:r>
      <w:r>
        <w:rPr>
          <w:rFonts w:hint="eastAsia" w:hAnsi="宋体" w:cs="宋体"/>
          <w:spacing w:val="4"/>
          <w:position w:val="4"/>
          <w:szCs w:val="24"/>
          <w:highlight w:val="none"/>
        </w:rPr>
        <w:t>…</w:t>
      </w:r>
    </w:p>
    <w:p>
      <w:pPr>
        <w:spacing w:before="13" w:line="480" w:lineRule="auto"/>
        <w:ind w:left="35" w:right="86" w:firstLine="678"/>
        <w:rPr>
          <w:rFonts w:hAnsi="宋体" w:cs="宋体"/>
          <w:szCs w:val="24"/>
          <w:highlight w:val="none"/>
        </w:rPr>
      </w:pPr>
      <w:r>
        <w:rPr>
          <w:rFonts w:hint="eastAsia" w:hAnsi="宋体" w:cs="宋体"/>
          <w:spacing w:val="7"/>
          <w:szCs w:val="24"/>
          <w:highlight w:val="none"/>
        </w:rPr>
        <w:t>以上企业，不属于大企业的分支机构，不存在控股股</w:t>
      </w:r>
      <w:r>
        <w:rPr>
          <w:rFonts w:hint="eastAsia" w:hAnsi="宋体" w:cs="宋体"/>
          <w:spacing w:val="3"/>
          <w:szCs w:val="24"/>
          <w:highlight w:val="none"/>
        </w:rPr>
        <w:t>东</w:t>
      </w:r>
      <w:r>
        <w:rPr>
          <w:rFonts w:hint="eastAsia" w:hAnsi="宋体" w:cs="宋体"/>
          <w:szCs w:val="24"/>
          <w:highlight w:val="none"/>
        </w:rPr>
        <w:t xml:space="preserve"> </w:t>
      </w:r>
      <w:r>
        <w:rPr>
          <w:rFonts w:hint="eastAsia" w:hAnsi="宋体" w:cs="宋体"/>
          <w:spacing w:val="16"/>
          <w:szCs w:val="24"/>
          <w:highlight w:val="none"/>
        </w:rPr>
        <w:t>为大</w:t>
      </w:r>
      <w:r>
        <w:rPr>
          <w:rFonts w:hint="eastAsia" w:hAnsi="宋体" w:cs="宋体"/>
          <w:spacing w:val="8"/>
          <w:szCs w:val="24"/>
          <w:highlight w:val="none"/>
        </w:rPr>
        <w:t>企业的情形，也不存在与大企业的负责人为同一人的情</w:t>
      </w:r>
      <w:r>
        <w:rPr>
          <w:rFonts w:hint="eastAsia" w:hAnsi="宋体" w:cs="宋体"/>
          <w:szCs w:val="24"/>
          <w:highlight w:val="none"/>
        </w:rPr>
        <w:t xml:space="preserve"> </w:t>
      </w:r>
      <w:r>
        <w:rPr>
          <w:rFonts w:hint="eastAsia" w:hAnsi="宋体" w:cs="宋体"/>
          <w:spacing w:val="-7"/>
          <w:szCs w:val="24"/>
          <w:highlight w:val="none"/>
        </w:rPr>
        <w:t>形</w:t>
      </w:r>
      <w:r>
        <w:rPr>
          <w:rFonts w:hint="eastAsia" w:hAnsi="宋体" w:cs="宋体"/>
          <w:spacing w:val="-6"/>
          <w:szCs w:val="24"/>
          <w:highlight w:val="none"/>
        </w:rPr>
        <w:t>。</w:t>
      </w:r>
    </w:p>
    <w:p>
      <w:pPr>
        <w:spacing w:before="1" w:line="480" w:lineRule="auto"/>
        <w:ind w:left="45" w:right="88" w:firstLine="631"/>
        <w:rPr>
          <w:rFonts w:hAnsi="宋体" w:cs="宋体"/>
          <w:szCs w:val="24"/>
          <w:highlight w:val="none"/>
        </w:rPr>
      </w:pPr>
      <w:r>
        <w:rPr>
          <w:rFonts w:hint="eastAsia" w:hAnsi="宋体" w:cs="宋体"/>
          <w:spacing w:val="16"/>
          <w:szCs w:val="24"/>
          <w:highlight w:val="none"/>
        </w:rPr>
        <w:t>本</w:t>
      </w:r>
      <w:r>
        <w:rPr>
          <w:rFonts w:hint="eastAsia" w:hAnsi="宋体" w:cs="宋体"/>
          <w:spacing w:val="8"/>
          <w:szCs w:val="24"/>
          <w:highlight w:val="none"/>
        </w:rPr>
        <w:t>企业对上述声明内容的真实性负责。如有虚假，将依</w:t>
      </w:r>
      <w:r>
        <w:rPr>
          <w:rFonts w:hint="eastAsia" w:hAnsi="宋体" w:cs="宋体"/>
          <w:szCs w:val="24"/>
          <w:highlight w:val="none"/>
        </w:rPr>
        <w:t xml:space="preserve"> </w:t>
      </w:r>
      <w:r>
        <w:rPr>
          <w:rFonts w:hint="eastAsia" w:hAnsi="宋体" w:cs="宋体"/>
          <w:spacing w:val="8"/>
          <w:szCs w:val="24"/>
          <w:highlight w:val="none"/>
        </w:rPr>
        <w:t>法</w:t>
      </w:r>
      <w:r>
        <w:rPr>
          <w:rFonts w:hint="eastAsia" w:hAnsi="宋体" w:cs="宋体"/>
          <w:spacing w:val="5"/>
          <w:szCs w:val="24"/>
          <w:highlight w:val="none"/>
        </w:rPr>
        <w:t>承</w:t>
      </w:r>
      <w:r>
        <w:rPr>
          <w:rFonts w:hint="eastAsia" w:hAnsi="宋体" w:cs="宋体"/>
          <w:spacing w:val="4"/>
          <w:szCs w:val="24"/>
          <w:highlight w:val="none"/>
        </w:rPr>
        <w:t>担相应责任。</w:t>
      </w:r>
    </w:p>
    <w:p>
      <w:pPr>
        <w:spacing w:before="1" w:line="480" w:lineRule="auto"/>
        <w:ind w:left="3876"/>
        <w:rPr>
          <w:rFonts w:hAnsi="宋体" w:cs="宋体"/>
          <w:szCs w:val="24"/>
          <w:highlight w:val="none"/>
        </w:rPr>
      </w:pPr>
      <w:r>
        <w:rPr>
          <w:rFonts w:hint="eastAsia" w:hAnsi="宋体" w:cs="宋体"/>
          <w:spacing w:val="3"/>
          <w:szCs w:val="24"/>
          <w:highlight w:val="none"/>
        </w:rPr>
        <w:t>企业名称 (盖章)：</w:t>
      </w:r>
    </w:p>
    <w:p>
      <w:pPr>
        <w:spacing w:before="159" w:line="480" w:lineRule="auto"/>
        <w:ind w:left="3942"/>
        <w:rPr>
          <w:rFonts w:hAnsi="宋体" w:cs="宋体"/>
          <w:spacing w:val="-38"/>
          <w:szCs w:val="24"/>
          <w:highlight w:val="none"/>
        </w:rPr>
      </w:pPr>
      <w:bookmarkStart w:id="173" w:name="_bookmark2"/>
      <w:bookmarkEnd w:id="173"/>
      <w:r>
        <w:rPr>
          <w:rFonts w:hint="eastAsia" w:hAnsi="宋体" w:cs="宋体"/>
          <w:spacing w:val="-40"/>
          <w:szCs w:val="24"/>
          <w:highlight w:val="none"/>
        </w:rPr>
        <w:t>日</w:t>
      </w:r>
      <w:r>
        <w:rPr>
          <w:rFonts w:hint="eastAsia" w:hAnsi="宋体" w:cs="宋体"/>
          <w:spacing w:val="-38"/>
          <w:szCs w:val="24"/>
          <w:highlight w:val="none"/>
        </w:rPr>
        <w:t xml:space="preserve"> 期   ：</w:t>
      </w:r>
    </w:p>
    <w:p>
      <w:pPr>
        <w:spacing w:before="148" w:after="54" w:line="232" w:lineRule="auto"/>
        <w:ind w:left="27"/>
        <w:rPr>
          <w:rFonts w:hAnsi="宋体" w:cs="宋体"/>
          <w:sz w:val="17"/>
          <w:szCs w:val="17"/>
          <w:highlight w:val="none"/>
        </w:rPr>
      </w:pPr>
      <w:r>
        <w:rPr>
          <w:rFonts w:hAnsi="宋体" w:cs="宋体"/>
          <w:spacing w:val="9"/>
          <w:sz w:val="17"/>
          <w:szCs w:val="17"/>
          <w:highlight w:val="none"/>
        </w:rPr>
        <w:t>从业人员、营业收入、资产总额填报上一年度数据，无上一年度数据的新成立企业可不填报</w:t>
      </w:r>
      <w:r>
        <w:rPr>
          <w:rFonts w:hAnsi="宋体" w:cs="宋体"/>
          <w:spacing w:val="1"/>
          <w:sz w:val="17"/>
          <w:szCs w:val="17"/>
          <w:highlight w:val="none"/>
        </w:rPr>
        <w:t>。</w:t>
      </w:r>
    </w:p>
    <w:p>
      <w:pPr>
        <w:rPr>
          <w:rFonts w:hAnsi="宋体" w:cs="宋体"/>
          <w:b/>
          <w:sz w:val="28"/>
          <w:szCs w:val="28"/>
          <w:highlight w:val="none"/>
        </w:rPr>
      </w:pPr>
      <w:r>
        <w:rPr>
          <w:rFonts w:hint="eastAsia" w:hAnsi="宋体" w:cs="宋体"/>
          <w:b/>
          <w:sz w:val="28"/>
          <w:szCs w:val="28"/>
          <w:highlight w:val="none"/>
        </w:rPr>
        <w:br w:type="page"/>
      </w:r>
    </w:p>
    <w:p>
      <w:pPr>
        <w:spacing w:before="312" w:beforeLines="100" w:after="156" w:afterLines="50"/>
        <w:outlineLvl w:val="2"/>
        <w:rPr>
          <w:rFonts w:hAnsi="宋体" w:cs="宋体"/>
          <w:b/>
          <w:sz w:val="28"/>
          <w:szCs w:val="28"/>
          <w:highlight w:val="none"/>
        </w:rPr>
      </w:pPr>
      <w:bookmarkStart w:id="174" w:name="_Toc12704"/>
      <w:bookmarkStart w:id="175" w:name="_Toc13530"/>
      <w:r>
        <w:rPr>
          <w:rFonts w:hint="eastAsia" w:hAnsi="宋体" w:cs="宋体"/>
          <w:b/>
          <w:sz w:val="28"/>
          <w:szCs w:val="28"/>
          <w:highlight w:val="none"/>
        </w:rPr>
        <w:t>附件3：磋商产品属节能、环境标志产品列表（如有）</w:t>
      </w:r>
      <w:bookmarkEnd w:id="174"/>
      <w:bookmarkEnd w:id="175"/>
    </w:p>
    <w:p>
      <w:pPr>
        <w:spacing w:before="312" w:beforeLines="100" w:after="156" w:afterLines="50"/>
        <w:jc w:val="center"/>
        <w:rPr>
          <w:rFonts w:hAnsi="宋体" w:cs="宋体"/>
          <w:b/>
          <w:sz w:val="28"/>
          <w:szCs w:val="28"/>
          <w:highlight w:val="none"/>
        </w:rPr>
      </w:pPr>
      <w:r>
        <w:rPr>
          <w:rFonts w:hint="eastAsia" w:hAnsi="宋体" w:cs="宋体"/>
          <w:b/>
          <w:sz w:val="28"/>
          <w:szCs w:val="28"/>
          <w:highlight w:val="none"/>
        </w:rPr>
        <w:t>磋商产品属节能、环境标志产品列表</w:t>
      </w:r>
      <w:bookmarkEnd w:id="172"/>
    </w:p>
    <w:p>
      <w:pPr>
        <w:spacing w:line="360" w:lineRule="auto"/>
        <w:rPr>
          <w:rFonts w:hAnsi="宋体" w:cs="宋体"/>
          <w:bCs/>
          <w:sz w:val="28"/>
          <w:szCs w:val="28"/>
          <w:highlight w:val="none"/>
        </w:rPr>
      </w:pPr>
      <w:r>
        <w:rPr>
          <w:rFonts w:hint="eastAsia" w:hAnsi="宋体" w:cs="宋体"/>
          <w:bCs/>
          <w:sz w:val="28"/>
          <w:szCs w:val="28"/>
          <w:highlight w:val="none"/>
        </w:rPr>
        <w:t>项目名称：</w:t>
      </w:r>
    </w:p>
    <w:p>
      <w:pPr>
        <w:spacing w:line="360" w:lineRule="auto"/>
        <w:rPr>
          <w:rFonts w:hAnsi="宋体" w:cs="宋体"/>
          <w:bCs/>
          <w:sz w:val="28"/>
          <w:szCs w:val="28"/>
          <w:highlight w:val="none"/>
        </w:rPr>
      </w:pPr>
      <w:r>
        <w:rPr>
          <w:rFonts w:hint="eastAsia" w:hAnsi="宋体" w:cs="宋体"/>
          <w:bCs/>
          <w:sz w:val="28"/>
          <w:szCs w:val="28"/>
          <w:highlight w:val="none"/>
        </w:rPr>
        <w:t>项目编号：</w:t>
      </w:r>
    </w:p>
    <w:tbl>
      <w:tblPr>
        <w:tblStyle w:val="22"/>
        <w:tblW w:w="8930" w:type="dxa"/>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Ansi="宋体" w:cs="宋体"/>
                <w:highlight w:val="none"/>
              </w:rPr>
            </w:pPr>
            <w:r>
              <w:rPr>
                <w:rFonts w:hint="eastAsia" w:hAnsi="宋体" w:cs="宋体"/>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hAnsi="宋体" w:cs="宋体"/>
                <w:highlight w:val="none"/>
              </w:rPr>
            </w:pPr>
            <w:r>
              <w:rPr>
                <w:rFonts w:hint="eastAsia" w:hAnsi="宋体" w:cs="宋体"/>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单价</w:t>
            </w:r>
          </w:p>
          <w:p>
            <w:pPr>
              <w:spacing w:after="120"/>
              <w:jc w:val="center"/>
              <w:rPr>
                <w:rFonts w:hAnsi="宋体" w:cs="宋体"/>
                <w:bCs/>
                <w:highlight w:val="none"/>
              </w:rPr>
            </w:pPr>
            <w:r>
              <w:rPr>
                <w:rFonts w:hint="eastAsia" w:hAnsi="宋体" w:cs="宋体"/>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Cs/>
                <w:highlight w:val="none"/>
              </w:rPr>
            </w:pPr>
            <w:r>
              <w:rPr>
                <w:rFonts w:hint="eastAsia" w:hAnsi="宋体" w:cs="宋体"/>
                <w:bCs/>
                <w:highlight w:val="none"/>
              </w:rPr>
              <w:t>总价</w:t>
            </w:r>
          </w:p>
          <w:p>
            <w:pPr>
              <w:spacing w:after="120"/>
              <w:jc w:val="center"/>
              <w:rPr>
                <w:rFonts w:hAnsi="宋体" w:cs="宋体"/>
                <w:bCs/>
                <w:highlight w:val="none"/>
              </w:rPr>
            </w:pPr>
            <w:r>
              <w:rPr>
                <w:rFonts w:hint="eastAsia" w:hAnsi="宋体" w:cs="宋体"/>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rFonts w:hAnsi="宋体" w:cs="宋体"/>
                <w:highlight w:val="none"/>
              </w:rPr>
            </w:pPr>
            <w:r>
              <w:rPr>
                <w:rFonts w:hint="eastAsia" w:hAnsi="宋体" w:cs="宋体"/>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b/>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highlight w:val="none"/>
              </w:rPr>
            </w:pPr>
            <w:r>
              <w:rPr>
                <w:rFonts w:hint="eastAsia" w:hAnsi="宋体" w:cs="宋体"/>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hAnsi="宋体" w:cs="宋体"/>
                <w:highlight w:val="none"/>
              </w:rPr>
            </w:pPr>
            <w:r>
              <w:rPr>
                <w:rFonts w:hint="eastAsia" w:hAnsi="宋体" w:cs="宋体"/>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highlight w:val="none"/>
              </w:rPr>
            </w:pPr>
            <w:r>
              <w:rPr>
                <w:rFonts w:hint="eastAsia" w:hAnsi="宋体" w:cs="宋体"/>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r>
              <w:rPr>
                <w:rFonts w:hint="eastAsia" w:hAnsi="宋体" w:cs="宋体"/>
                <w:spacing w:val="-6"/>
                <w:highlight w:val="none"/>
              </w:rPr>
              <w:t>保留小数点后两位。</w:t>
            </w:r>
          </w:p>
        </w:tc>
      </w:tr>
    </w:tbl>
    <w:p>
      <w:pPr>
        <w:adjustRightInd w:val="0"/>
        <w:snapToGrid w:val="0"/>
        <w:spacing w:line="360" w:lineRule="auto"/>
        <w:rPr>
          <w:rFonts w:hAnsi="宋体" w:cs="宋体"/>
          <w:szCs w:val="21"/>
          <w:highlight w:val="none"/>
        </w:rPr>
      </w:pPr>
    </w:p>
    <w:p>
      <w:pPr>
        <w:adjustRightInd w:val="0"/>
        <w:snapToGrid w:val="0"/>
        <w:spacing w:line="360" w:lineRule="auto"/>
        <w:rPr>
          <w:rFonts w:hAnsi="宋体" w:cs="宋体"/>
          <w:bCs/>
          <w:szCs w:val="21"/>
          <w:highlight w:val="none"/>
        </w:rPr>
      </w:pPr>
      <w:r>
        <w:rPr>
          <w:rFonts w:hint="eastAsia" w:hAnsi="宋体" w:cs="宋体"/>
          <w:szCs w:val="21"/>
          <w:highlight w:val="none"/>
        </w:rPr>
        <w:t>说明：</w:t>
      </w:r>
      <w:r>
        <w:rPr>
          <w:rFonts w:hint="eastAsia" w:hAnsi="宋体" w:cs="宋体"/>
          <w:bCs/>
          <w:szCs w:val="21"/>
          <w:highlight w:val="none"/>
        </w:rPr>
        <w:t>1、</w:t>
      </w:r>
      <w:r>
        <w:rPr>
          <w:rFonts w:hint="eastAsia" w:hAnsi="宋体" w:cs="宋体"/>
          <w:szCs w:val="21"/>
          <w:highlight w:val="none"/>
        </w:rPr>
        <w:t>供应商提供的属于节能、环境标志产品品目清单中优先采购的产品，须按磋商文件要求提供相关证明材料。</w:t>
      </w:r>
    </w:p>
    <w:p>
      <w:pPr>
        <w:pStyle w:val="37"/>
        <w:spacing w:line="400" w:lineRule="exact"/>
        <w:ind w:left="480" w:leftChars="200" w:firstLine="240" w:firstLineChars="100"/>
        <w:rPr>
          <w:rFonts w:hAnsi="宋体" w:cs="宋体"/>
          <w:sz w:val="28"/>
          <w:szCs w:val="28"/>
          <w:highlight w:val="none"/>
        </w:rPr>
      </w:pPr>
      <w:r>
        <w:rPr>
          <w:rFonts w:hint="eastAsia" w:hAnsi="宋体" w:cs="宋体"/>
          <w:bCs/>
          <w:highlight w:val="none"/>
        </w:rPr>
        <w:t>2、未按上述要求提供、</w:t>
      </w:r>
      <w:r>
        <w:rPr>
          <w:rFonts w:hint="eastAsia" w:hAnsi="宋体" w:cs="宋体"/>
          <w:highlight w:val="none"/>
        </w:rPr>
        <w:t>填写</w:t>
      </w:r>
      <w:r>
        <w:rPr>
          <w:rFonts w:hint="eastAsia" w:hAnsi="宋体" w:cs="宋体"/>
          <w:bCs/>
          <w:highlight w:val="none"/>
        </w:rPr>
        <w:t>的，评审时不予以考虑。</w:t>
      </w:r>
    </w:p>
    <w:p>
      <w:pPr>
        <w:spacing w:before="100" w:beforeAutospacing="1" w:after="156" w:afterLines="50" w:line="360" w:lineRule="auto"/>
        <w:outlineLvl w:val="2"/>
        <w:rPr>
          <w:rFonts w:hAnsi="宋体" w:cs="宋体"/>
          <w:b/>
          <w:bCs/>
          <w:spacing w:val="6"/>
          <w:sz w:val="30"/>
          <w:szCs w:val="30"/>
          <w:highlight w:val="none"/>
        </w:rPr>
      </w:pPr>
      <w:r>
        <w:rPr>
          <w:rFonts w:hint="eastAsia" w:hAnsi="宋体" w:cs="宋体"/>
          <w:szCs w:val="24"/>
          <w:highlight w:val="none"/>
        </w:rPr>
        <w:br w:type="page"/>
      </w:r>
      <w:bookmarkStart w:id="176" w:name="_Toc11235"/>
      <w:bookmarkStart w:id="177" w:name="_Toc22425"/>
      <w:r>
        <w:rPr>
          <w:rFonts w:hint="eastAsia" w:hAnsi="宋体" w:cs="宋体"/>
          <w:b/>
          <w:bCs/>
          <w:spacing w:val="6"/>
          <w:sz w:val="30"/>
          <w:szCs w:val="30"/>
          <w:highlight w:val="none"/>
        </w:rPr>
        <w:t>附件4：残疾人福利性单位声明函（如有）</w:t>
      </w:r>
      <w:bookmarkEnd w:id="176"/>
      <w:bookmarkEnd w:id="177"/>
    </w:p>
    <w:p>
      <w:pPr>
        <w:spacing w:line="588" w:lineRule="exact"/>
        <w:jc w:val="center"/>
        <w:rPr>
          <w:rFonts w:hAnsi="宋体" w:cs="宋体"/>
          <w:b/>
          <w:spacing w:val="6"/>
          <w:sz w:val="32"/>
          <w:szCs w:val="32"/>
          <w:highlight w:val="none"/>
        </w:rPr>
      </w:pPr>
      <w:bookmarkStart w:id="178" w:name="OLE_LINK14"/>
      <w:bookmarkStart w:id="179" w:name="OLE_LINK13"/>
      <w:r>
        <w:rPr>
          <w:rFonts w:hint="eastAsia" w:hAnsi="宋体" w:cs="宋体"/>
          <w:b/>
          <w:spacing w:val="6"/>
          <w:sz w:val="32"/>
          <w:szCs w:val="32"/>
          <w:highlight w:val="none"/>
        </w:rPr>
        <w:t>残疾人福利性单位声明函</w:t>
      </w:r>
    </w:p>
    <w:bookmarkEnd w:id="178"/>
    <w:bookmarkEnd w:id="179"/>
    <w:p>
      <w:pPr>
        <w:spacing w:line="588" w:lineRule="exact"/>
        <w:rPr>
          <w:rFonts w:hAnsi="宋体" w:cs="宋体"/>
          <w:b/>
          <w:spacing w:val="6"/>
          <w:sz w:val="30"/>
          <w:szCs w:val="30"/>
          <w:highlight w:val="none"/>
        </w:rPr>
      </w:pP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pPr>
        <w:spacing w:line="360" w:lineRule="auto"/>
        <w:ind w:right="640"/>
        <w:rPr>
          <w:rFonts w:hAnsi="宋体" w:cs="宋体"/>
          <w:szCs w:val="24"/>
          <w:highlight w:val="none"/>
        </w:rPr>
      </w:pPr>
      <w:r>
        <w:rPr>
          <w:rFonts w:hint="eastAsia" w:hAnsi="宋体" w:cs="宋体"/>
          <w:highlight w:val="none"/>
        </w:rPr>
        <w:br w:type="page"/>
      </w:r>
    </w:p>
    <w:p>
      <w:pPr>
        <w:spacing w:line="360" w:lineRule="auto"/>
        <w:outlineLvl w:val="2"/>
        <w:rPr>
          <w:rFonts w:hAnsi="宋体" w:cs="宋体"/>
          <w:b/>
          <w:sz w:val="28"/>
          <w:szCs w:val="28"/>
          <w:highlight w:val="none"/>
        </w:rPr>
      </w:pPr>
      <w:bookmarkStart w:id="180" w:name="_Toc2119"/>
      <w:bookmarkStart w:id="181" w:name="_Toc2139"/>
      <w:r>
        <w:rPr>
          <w:rFonts w:hint="eastAsia" w:hAnsi="宋体" w:cs="宋体"/>
          <w:b/>
          <w:sz w:val="28"/>
          <w:szCs w:val="28"/>
          <w:highlight w:val="none"/>
        </w:rPr>
        <w:t>附件6：质疑函范本</w:t>
      </w:r>
      <w:bookmarkEnd w:id="180"/>
      <w:bookmarkEnd w:id="181"/>
    </w:p>
    <w:p>
      <w:pPr>
        <w:jc w:val="center"/>
        <w:rPr>
          <w:rFonts w:hAnsi="宋体" w:cs="宋体"/>
          <w:b/>
          <w:bCs/>
          <w:sz w:val="44"/>
          <w:szCs w:val="44"/>
          <w:highlight w:val="none"/>
        </w:rPr>
      </w:pPr>
      <w:r>
        <w:rPr>
          <w:rFonts w:hint="eastAsia" w:hAnsi="宋体" w:cs="宋体"/>
          <w:b/>
          <w:bCs/>
          <w:sz w:val="44"/>
          <w:szCs w:val="44"/>
          <w:highlight w:val="none"/>
        </w:rPr>
        <w:t>质疑函范本</w:t>
      </w:r>
    </w:p>
    <w:p>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pPr>
        <w:adjustRightInd w:val="0"/>
        <w:snapToGrid w:val="0"/>
        <w:spacing w:line="360" w:lineRule="auto"/>
        <w:rPr>
          <w:rFonts w:hAnsi="宋体" w:cs="宋体"/>
          <w:szCs w:val="24"/>
          <w:highlight w:val="none"/>
        </w:rPr>
      </w:pPr>
      <w:r>
        <w:rPr>
          <w:rFonts w:hint="eastAsia" w:hAnsi="宋体" w:cs="宋体"/>
          <w:szCs w:val="24"/>
          <w:highlight w:val="none"/>
        </w:rPr>
        <w:t>……</w:t>
      </w:r>
    </w:p>
    <w:p>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 xml:space="preserve">签字(签章)：                   公章：                      </w:t>
      </w:r>
    </w:p>
    <w:p>
      <w:pPr>
        <w:rPr>
          <w:rFonts w:hAnsi="宋体" w:cs="宋体"/>
          <w:szCs w:val="24"/>
          <w:highlight w:val="none"/>
        </w:rPr>
      </w:pPr>
      <w:r>
        <w:rPr>
          <w:rFonts w:hint="eastAsia" w:hAnsi="宋体" w:cs="宋体"/>
          <w:szCs w:val="24"/>
          <w:highlight w:val="none"/>
        </w:rPr>
        <w:t xml:space="preserve">日期：    </w:t>
      </w:r>
    </w:p>
    <w:p>
      <w:pPr>
        <w:jc w:val="center"/>
        <w:rPr>
          <w:rFonts w:hAnsi="宋体" w:cs="宋体"/>
          <w:b/>
          <w:sz w:val="44"/>
          <w:szCs w:val="44"/>
          <w:highlight w:val="none"/>
        </w:rPr>
      </w:pPr>
    </w:p>
    <w:p>
      <w:pPr>
        <w:jc w:val="center"/>
        <w:rPr>
          <w:rFonts w:hAnsi="宋体" w:cs="宋体"/>
          <w:b/>
          <w:sz w:val="44"/>
          <w:szCs w:val="44"/>
          <w:highlight w:val="none"/>
        </w:rPr>
      </w:pPr>
    </w:p>
    <w:p>
      <w:pPr>
        <w:jc w:val="center"/>
        <w:rPr>
          <w:rFonts w:hAnsi="宋体" w:cs="宋体"/>
          <w:b/>
          <w:sz w:val="44"/>
          <w:szCs w:val="44"/>
          <w:highlight w:val="none"/>
        </w:rPr>
      </w:pPr>
      <w:r>
        <w:rPr>
          <w:rFonts w:hint="eastAsia" w:hAnsi="宋体" w:cs="宋体"/>
          <w:b/>
          <w:sz w:val="44"/>
          <w:szCs w:val="44"/>
          <w:highlight w:val="none"/>
        </w:rPr>
        <w:t>投诉书范本</w:t>
      </w:r>
    </w:p>
    <w:p>
      <w:pPr>
        <w:rPr>
          <w:rFonts w:hAnsi="宋体" w:cs="宋体"/>
          <w:szCs w:val="24"/>
          <w:highlight w:val="none"/>
        </w:rPr>
      </w:pPr>
      <w:r>
        <w:rPr>
          <w:rFonts w:hint="eastAsia" w:hAnsi="宋体" w:cs="宋体"/>
          <w:szCs w:val="24"/>
          <w:highlight w:val="none"/>
        </w:rPr>
        <w:t>一、投诉相关主体基本情况</w:t>
      </w:r>
    </w:p>
    <w:p>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rPr>
      </w:pPr>
      <w:r>
        <w:rPr>
          <w:rFonts w:hint="eastAsia" w:hAnsi="宋体" w:cs="宋体"/>
          <w:szCs w:val="24"/>
          <w:highlight w:val="none"/>
        </w:rPr>
        <w:t>被投诉人2</w:t>
      </w:r>
    </w:p>
    <w:p>
      <w:pPr>
        <w:rPr>
          <w:rFonts w:hAnsi="宋体" w:cs="宋体"/>
          <w:szCs w:val="24"/>
          <w:highlight w:val="none"/>
          <w:u w:val="dotted"/>
        </w:rPr>
      </w:pPr>
      <w:r>
        <w:rPr>
          <w:rFonts w:hint="eastAsia" w:hAnsi="宋体" w:cs="宋体"/>
          <w:szCs w:val="24"/>
          <w:highlight w:val="none"/>
        </w:rPr>
        <w:t>……</w:t>
      </w:r>
    </w:p>
    <w:p>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rPr>
      </w:pPr>
      <w:r>
        <w:rPr>
          <w:rFonts w:hint="eastAsia" w:hAnsi="宋体" w:cs="宋体"/>
          <w:szCs w:val="24"/>
          <w:highlight w:val="none"/>
        </w:rPr>
        <w:t>二、投诉项目基本情况</w:t>
      </w:r>
    </w:p>
    <w:p>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三、质疑基本情况</w:t>
      </w:r>
    </w:p>
    <w:p>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pPr>
        <w:rPr>
          <w:rFonts w:hAnsi="宋体" w:cs="宋体"/>
          <w:szCs w:val="24"/>
          <w:highlight w:val="none"/>
        </w:rPr>
      </w:pPr>
      <w:r>
        <w:rPr>
          <w:rFonts w:hint="eastAsia" w:hAnsi="宋体" w:cs="宋体"/>
          <w:szCs w:val="24"/>
          <w:highlight w:val="none"/>
        </w:rPr>
        <w:t>四、投诉事项具体内容</w:t>
      </w:r>
    </w:p>
    <w:p>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投诉事项2</w:t>
      </w:r>
    </w:p>
    <w:p>
      <w:pPr>
        <w:rPr>
          <w:rFonts w:hAnsi="宋体" w:cs="宋体"/>
          <w:szCs w:val="24"/>
          <w:highlight w:val="none"/>
          <w:u w:val="dotted"/>
        </w:rPr>
      </w:pPr>
      <w:r>
        <w:rPr>
          <w:rFonts w:hint="eastAsia" w:hAnsi="宋体" w:cs="宋体"/>
          <w:szCs w:val="24"/>
          <w:highlight w:val="none"/>
        </w:rPr>
        <w:t>……</w:t>
      </w:r>
    </w:p>
    <w:p>
      <w:pPr>
        <w:rPr>
          <w:rFonts w:hAnsi="宋体" w:cs="宋体"/>
          <w:szCs w:val="24"/>
          <w:highlight w:val="none"/>
        </w:rPr>
      </w:pPr>
      <w:r>
        <w:rPr>
          <w:rFonts w:hint="eastAsia" w:hAnsi="宋体" w:cs="宋体"/>
          <w:szCs w:val="24"/>
          <w:highlight w:val="none"/>
        </w:rPr>
        <w:t>五、与投诉事项相关的投诉请求</w:t>
      </w:r>
    </w:p>
    <w:p>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pPr>
        <w:rPr>
          <w:rFonts w:hAnsi="宋体" w:cs="宋体"/>
          <w:szCs w:val="24"/>
          <w:highlight w:val="none"/>
          <w:u w:val="single"/>
        </w:rPr>
      </w:pPr>
      <w:r>
        <w:rPr>
          <w:rFonts w:hint="eastAsia" w:hAnsi="宋体" w:cs="宋体"/>
          <w:szCs w:val="24"/>
          <w:highlight w:val="none"/>
        </w:rPr>
        <w:t xml:space="preserve">                                                                                                    </w:t>
      </w:r>
    </w:p>
    <w:p>
      <w:pPr>
        <w:rPr>
          <w:rFonts w:hAnsi="宋体" w:cs="宋体"/>
          <w:szCs w:val="24"/>
          <w:highlight w:val="none"/>
        </w:rPr>
      </w:pPr>
      <w:r>
        <w:rPr>
          <w:rFonts w:hint="eastAsia" w:hAnsi="宋体" w:cs="宋体"/>
          <w:szCs w:val="24"/>
          <w:highlight w:val="none"/>
        </w:rPr>
        <w:t xml:space="preserve">签字(签章)：                   公章：                      </w:t>
      </w:r>
    </w:p>
    <w:p>
      <w:pPr>
        <w:rPr>
          <w:rFonts w:hAnsi="宋体" w:cs="宋体"/>
          <w:sz w:val="21"/>
          <w:szCs w:val="21"/>
          <w:highlight w:val="none"/>
        </w:rPr>
      </w:pPr>
      <w:r>
        <w:rPr>
          <w:rFonts w:hint="eastAsia" w:hAnsi="宋体" w:cs="宋体"/>
          <w:szCs w:val="24"/>
          <w:highlight w:val="none"/>
        </w:rPr>
        <w:t xml:space="preserve">日期：    </w:t>
      </w:r>
      <w:r>
        <w:rPr>
          <w:rFonts w:hint="eastAsia" w:hAnsi="宋体" w:cs="宋体"/>
          <w:sz w:val="21"/>
          <w:szCs w:val="21"/>
          <w:highlight w:val="none"/>
        </w:rPr>
        <w:t xml:space="preserve">                  </w:t>
      </w:r>
    </w:p>
    <w:p>
      <w:pPr>
        <w:spacing w:line="360" w:lineRule="auto"/>
        <w:rPr>
          <w:rFonts w:hAnsi="宋体" w:cs="宋体"/>
          <w:szCs w:val="24"/>
          <w:highlight w:val="none"/>
        </w:rPr>
      </w:pPr>
      <w:r>
        <w:rPr>
          <w:rFonts w:hint="eastAsia" w:hAnsi="宋体" w:cs="宋体"/>
          <w:szCs w:val="24"/>
          <w:highlight w:val="none"/>
        </w:rPr>
        <w:t xml:space="preserve">                                </w:t>
      </w:r>
    </w:p>
    <w:p>
      <w:pPr>
        <w:tabs>
          <w:tab w:val="left" w:pos="7839"/>
        </w:tabs>
        <w:rPr>
          <w:highlight w:val="none"/>
        </w:rPr>
      </w:pPr>
      <w:r>
        <w:rPr>
          <w:rFonts w:hint="eastAsia" w:hAnsi="宋体" w:cs="宋体"/>
          <w:szCs w:val="24"/>
          <w:highlight w:val="none"/>
        </w:rPr>
        <w:tab/>
      </w:r>
    </w:p>
    <w:sectPr>
      <w:footerReference r:id="rId11" w:type="first"/>
      <w:footerReference r:id="rId10"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 xml:space="preserve">陕西至诚招标咨询有限公司                         </w:t>
    </w:r>
    <w:r>
      <w:rPr>
        <w:rFonts w:hint="eastAsia"/>
      </w:rPr>
      <w:tab/>
    </w:r>
    <w:r>
      <w:rPr>
        <w:rFonts w:hint="eastAsia"/>
      </w:rPr>
      <w:t>地址：陕西省西安市经济技术开发区未央路171-1号银池道拉斯财富中心21楼03室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陕西至诚招标咨询有限公司                         </w:t>
    </w:r>
    <w:r>
      <w:rPr>
        <w:rFonts w:hint="eastAsia"/>
      </w:rPr>
      <w:tab/>
    </w:r>
    <w:r>
      <w:rPr>
        <w:rFonts w:hint="eastAsia"/>
      </w:rPr>
      <w:t>地址：陕西省西安市经济技术开发区未央路171-1号银池道拉斯财富中心21楼03室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Cs w:val="24"/>
      </w:rPr>
    </w:pPr>
    <w:r>
      <w:rPr>
        <w:rFonts w:hint="eastAsia" w:hAnsi="宋体"/>
        <w:bCs/>
        <w:sz w:val="18"/>
        <w:szCs w:val="18"/>
        <w:u w:val="single"/>
      </w:rPr>
      <w:t>网络安全系统升级项目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9A50A5"/>
    <w:multiLevelType w:val="singleLevel"/>
    <w:tmpl w:val="FB9A50A5"/>
    <w:lvl w:ilvl="0" w:tentative="0">
      <w:start w:val="1"/>
      <w:numFmt w:val="chineseCounting"/>
      <w:suff w:val="nothing"/>
      <w:lvlText w:val="%1、"/>
      <w:lvlJc w:val="left"/>
      <w:pPr>
        <w:ind w:left="-2"/>
      </w:pPr>
      <w:rPr>
        <w:rFonts w:hint="eastAsia"/>
        <w:lang w:val="en-US"/>
      </w:rPr>
    </w:lvl>
  </w:abstractNum>
  <w:abstractNum w:abstractNumId="1">
    <w:nsid w:val="3345DCC0"/>
    <w:multiLevelType w:val="singleLevel"/>
    <w:tmpl w:val="3345DCC0"/>
    <w:lvl w:ilvl="0" w:tentative="0">
      <w:start w:val="1"/>
      <w:numFmt w:val="decimal"/>
      <w:suff w:val="nothing"/>
      <w:lvlText w:val="%1）"/>
      <w:lvlJc w:val="left"/>
    </w:lvl>
  </w:abstractNum>
  <w:abstractNum w:abstractNumId="2">
    <w:nsid w:val="33CEC18F"/>
    <w:multiLevelType w:val="singleLevel"/>
    <w:tmpl w:val="33CEC18F"/>
    <w:lvl w:ilvl="0" w:tentative="0">
      <w:start w:val="3"/>
      <w:numFmt w:val="chineseCounting"/>
      <w:suff w:val="space"/>
      <w:lvlText w:val="第%1章"/>
      <w:lvlJc w:val="left"/>
      <w:rPr>
        <w:rFonts w:hint="eastAsia"/>
      </w:rPr>
    </w:lvl>
  </w:abstractNum>
  <w:abstractNum w:abstractNumId="3">
    <w:nsid w:val="590049E8"/>
    <w:multiLevelType w:val="singleLevel"/>
    <w:tmpl w:val="590049E8"/>
    <w:lvl w:ilvl="0" w:tentative="0">
      <w:start w:val="30"/>
      <w:numFmt w:val="decimal"/>
      <w:suff w:val="nothing"/>
      <w:lvlText w:val="%1."/>
      <w:lvlJc w:val="left"/>
    </w:lvl>
  </w:abstractNum>
  <w:abstractNum w:abstractNumId="4">
    <w:nsid w:val="59B2460E"/>
    <w:multiLevelType w:val="singleLevel"/>
    <w:tmpl w:val="59B2460E"/>
    <w:lvl w:ilvl="0" w:tentative="0">
      <w:start w:val="2"/>
      <w:numFmt w:val="decimal"/>
      <w:suff w:val="nothing"/>
      <w:lvlText w:val="%1."/>
      <w:lvlJc w:val="left"/>
    </w:lvl>
  </w:abstractNum>
  <w:abstractNum w:abstractNumId="5">
    <w:nsid w:val="59CF0981"/>
    <w:multiLevelType w:val="singleLevel"/>
    <w:tmpl w:val="59CF0981"/>
    <w:lvl w:ilvl="0" w:tentative="0">
      <w:start w:val="1"/>
      <w:numFmt w:val="decimal"/>
      <w:suff w:val="nothing"/>
      <w:lvlText w:val="%1、"/>
      <w:lvlJc w:val="left"/>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MTRhZGU3N2YxY2M4M2NkZDc2YmIwMjVmYTI4MjkifQ=="/>
  </w:docVars>
  <w:rsids>
    <w:rsidRoot w:val="0056528B"/>
    <w:rsid w:val="00027A2C"/>
    <w:rsid w:val="0056528B"/>
    <w:rsid w:val="00B11A53"/>
    <w:rsid w:val="00B56AF1"/>
    <w:rsid w:val="00C57A53"/>
    <w:rsid w:val="00D75F5F"/>
    <w:rsid w:val="00EC2C04"/>
    <w:rsid w:val="01491172"/>
    <w:rsid w:val="02EA0A37"/>
    <w:rsid w:val="07D2651D"/>
    <w:rsid w:val="07FE6143"/>
    <w:rsid w:val="085E0942"/>
    <w:rsid w:val="0B191FE2"/>
    <w:rsid w:val="0B2608DC"/>
    <w:rsid w:val="0DB274EC"/>
    <w:rsid w:val="0E8571E9"/>
    <w:rsid w:val="0F4E1CE6"/>
    <w:rsid w:val="0FCB77DB"/>
    <w:rsid w:val="10C03B1A"/>
    <w:rsid w:val="11933EF1"/>
    <w:rsid w:val="124E6541"/>
    <w:rsid w:val="13032D77"/>
    <w:rsid w:val="1371067C"/>
    <w:rsid w:val="15D00040"/>
    <w:rsid w:val="161E2B38"/>
    <w:rsid w:val="16C62342"/>
    <w:rsid w:val="192253EA"/>
    <w:rsid w:val="19B81B8B"/>
    <w:rsid w:val="1A16152D"/>
    <w:rsid w:val="1A7F74B5"/>
    <w:rsid w:val="1BF20D44"/>
    <w:rsid w:val="1C4F7E17"/>
    <w:rsid w:val="1DC502D3"/>
    <w:rsid w:val="21210A4D"/>
    <w:rsid w:val="226D0DD3"/>
    <w:rsid w:val="26450D58"/>
    <w:rsid w:val="272C1927"/>
    <w:rsid w:val="28AC4BE6"/>
    <w:rsid w:val="29000E95"/>
    <w:rsid w:val="2B1E402C"/>
    <w:rsid w:val="2DA83DCF"/>
    <w:rsid w:val="2EBB4D79"/>
    <w:rsid w:val="2F02634B"/>
    <w:rsid w:val="2FB0486B"/>
    <w:rsid w:val="30E43FCF"/>
    <w:rsid w:val="30F121BE"/>
    <w:rsid w:val="31B66076"/>
    <w:rsid w:val="335B720B"/>
    <w:rsid w:val="35612BC4"/>
    <w:rsid w:val="396E3BBD"/>
    <w:rsid w:val="39700927"/>
    <w:rsid w:val="39D06695"/>
    <w:rsid w:val="3A0F4C19"/>
    <w:rsid w:val="3A5533BA"/>
    <w:rsid w:val="3AF06488"/>
    <w:rsid w:val="3C7D53DE"/>
    <w:rsid w:val="3E0E7582"/>
    <w:rsid w:val="3E7C700F"/>
    <w:rsid w:val="411C75E7"/>
    <w:rsid w:val="42B37C55"/>
    <w:rsid w:val="43051E31"/>
    <w:rsid w:val="453676BF"/>
    <w:rsid w:val="461A34D5"/>
    <w:rsid w:val="4C8C143F"/>
    <w:rsid w:val="4D596375"/>
    <w:rsid w:val="528D20F2"/>
    <w:rsid w:val="52927B75"/>
    <w:rsid w:val="534D5EEF"/>
    <w:rsid w:val="535661BA"/>
    <w:rsid w:val="54201323"/>
    <w:rsid w:val="54745081"/>
    <w:rsid w:val="557A2512"/>
    <w:rsid w:val="56630D18"/>
    <w:rsid w:val="580F636C"/>
    <w:rsid w:val="59361347"/>
    <w:rsid w:val="5BAD6243"/>
    <w:rsid w:val="5D5905FD"/>
    <w:rsid w:val="5D822C5A"/>
    <w:rsid w:val="5DD028E5"/>
    <w:rsid w:val="5E3D49B7"/>
    <w:rsid w:val="5E421FD0"/>
    <w:rsid w:val="5F4B4E1A"/>
    <w:rsid w:val="60C13B01"/>
    <w:rsid w:val="60EE7CAF"/>
    <w:rsid w:val="63CE3B0B"/>
    <w:rsid w:val="64185BA3"/>
    <w:rsid w:val="6516671F"/>
    <w:rsid w:val="679B47E6"/>
    <w:rsid w:val="68A6624A"/>
    <w:rsid w:val="68EF4DF9"/>
    <w:rsid w:val="69537658"/>
    <w:rsid w:val="69DE533E"/>
    <w:rsid w:val="6AA9348B"/>
    <w:rsid w:val="70287BEB"/>
    <w:rsid w:val="70406237"/>
    <w:rsid w:val="7078366B"/>
    <w:rsid w:val="75102D70"/>
    <w:rsid w:val="756D678C"/>
    <w:rsid w:val="75D93E7D"/>
    <w:rsid w:val="76047015"/>
    <w:rsid w:val="76E06023"/>
    <w:rsid w:val="77743144"/>
    <w:rsid w:val="784B5870"/>
    <w:rsid w:val="79A573CD"/>
    <w:rsid w:val="79BD1E56"/>
    <w:rsid w:val="7AB14AD0"/>
    <w:rsid w:val="7CDC740A"/>
    <w:rsid w:val="7EF1248C"/>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35"/>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unhideWhenUsed/>
    <w:qFormat/>
    <w:uiPriority w:val="0"/>
    <w:pPr>
      <w:spacing w:beforeAutospacing="1" w:afterAutospacing="1"/>
      <w:jc w:val="left"/>
      <w:outlineLvl w:val="2"/>
    </w:pPr>
    <w:rPr>
      <w:rFonts w:hint="eastAsia" w:hAnsi="宋体"/>
      <w:b/>
      <w:sz w:val="27"/>
      <w:szCs w:val="27"/>
    </w:rPr>
  </w:style>
  <w:style w:type="paragraph" w:styleId="6">
    <w:name w:val="heading 4"/>
    <w:basedOn w:val="1"/>
    <w:next w:val="1"/>
    <w:semiHidden/>
    <w:unhideWhenUsed/>
    <w:qFormat/>
    <w:uiPriority w:val="0"/>
    <w:pPr>
      <w:spacing w:beforeAutospacing="1" w:afterAutospacing="1"/>
      <w:jc w:val="left"/>
      <w:outlineLvl w:val="3"/>
    </w:pPr>
    <w:rPr>
      <w:rFonts w:hint="eastAsia" w:hAnsi="宋体"/>
      <w:b/>
      <w:bCs/>
      <w:szCs w:val="24"/>
    </w:rPr>
  </w:style>
  <w:style w:type="paragraph" w:styleId="7">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kern w:val="2"/>
      <w:sz w:val="18"/>
      <w:szCs w:val="18"/>
    </w:rPr>
  </w:style>
  <w:style w:type="paragraph" w:styleId="8">
    <w:name w:val="Normal Indent"/>
    <w:basedOn w:val="1"/>
    <w:qFormat/>
    <w:uiPriority w:val="0"/>
    <w:pPr>
      <w:spacing w:line="300" w:lineRule="auto"/>
      <w:ind w:firstLine="420" w:firstLineChars="200"/>
    </w:pPr>
    <w:rPr>
      <w:rFonts w:ascii="Calibri"/>
      <w:kern w:val="2"/>
      <w:sz w:val="21"/>
      <w:szCs w:val="24"/>
    </w:rPr>
  </w:style>
  <w:style w:type="paragraph" w:styleId="9">
    <w:name w:val="annotation text"/>
    <w:basedOn w:val="1"/>
    <w:link w:val="46"/>
    <w:unhideWhenUsed/>
    <w:qFormat/>
    <w:uiPriority w:val="99"/>
    <w:pPr>
      <w:autoSpaceDE w:val="0"/>
      <w:autoSpaceDN w:val="0"/>
      <w:adjustRightInd w:val="0"/>
      <w:jc w:val="left"/>
    </w:pPr>
    <w:rPr>
      <w:rFonts w:ascii="Times New Roman"/>
    </w:rPr>
  </w:style>
  <w:style w:type="paragraph" w:styleId="10">
    <w:name w:val="Body Text 3"/>
    <w:basedOn w:val="1"/>
    <w:qFormat/>
    <w:uiPriority w:val="0"/>
    <w:pPr>
      <w:jc w:val="center"/>
    </w:pPr>
    <w:rPr>
      <w:rFonts w:ascii="Times New Roman"/>
      <w:b/>
      <w:spacing w:val="-20"/>
      <w:w w:val="110"/>
      <w:kern w:val="2"/>
      <w:sz w:val="52"/>
    </w:rPr>
  </w:style>
  <w:style w:type="paragraph" w:styleId="11">
    <w:name w:val="Body Text"/>
    <w:basedOn w:val="1"/>
    <w:next w:val="1"/>
    <w:qFormat/>
    <w:uiPriority w:val="0"/>
    <w:pPr>
      <w:spacing w:after="120"/>
    </w:pPr>
    <w:rPr>
      <w:rFonts w:ascii="Calibri"/>
      <w:kern w:val="2"/>
      <w:sz w:val="21"/>
    </w:rPr>
  </w:style>
  <w:style w:type="paragraph" w:styleId="12">
    <w:name w:val="Body Text Indent"/>
    <w:basedOn w:val="1"/>
    <w:next w:val="1"/>
    <w:qFormat/>
    <w:uiPriority w:val="0"/>
    <w:pPr>
      <w:widowControl/>
      <w:ind w:firstLine="652" w:firstLineChars="233"/>
    </w:pPr>
    <w:rPr>
      <w:rFonts w:ascii="Calibri Light"/>
      <w:sz w:val="28"/>
    </w:rPr>
  </w:style>
  <w:style w:type="paragraph" w:styleId="13">
    <w:name w:val="Plain Text"/>
    <w:basedOn w:val="1"/>
    <w:qFormat/>
    <w:uiPriority w:val="0"/>
    <w:rPr>
      <w:rFonts w:hAnsi="Courier New"/>
      <w:kern w:val="2"/>
      <w:sz w:val="21"/>
    </w:rPr>
  </w:style>
  <w:style w:type="paragraph" w:styleId="14">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5">
    <w:name w:val="toc 1"/>
    <w:basedOn w:val="1"/>
    <w:next w:val="1"/>
    <w:unhideWhenUsed/>
    <w:qFormat/>
    <w:uiPriority w:val="39"/>
  </w:style>
  <w:style w:type="paragraph" w:styleId="16">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hAnsi="宋体"/>
      <w:szCs w:val="24"/>
    </w:rPr>
  </w:style>
  <w:style w:type="paragraph" w:styleId="19">
    <w:name w:val="annotation subject"/>
    <w:basedOn w:val="9"/>
    <w:next w:val="9"/>
    <w:link w:val="47"/>
    <w:qFormat/>
    <w:uiPriority w:val="0"/>
    <w:pPr>
      <w:autoSpaceDE/>
      <w:autoSpaceDN/>
      <w:adjustRightInd/>
    </w:pPr>
    <w:rPr>
      <w:rFonts w:ascii="宋体"/>
      <w:b/>
      <w:bCs/>
    </w:rPr>
  </w:style>
  <w:style w:type="paragraph" w:styleId="20">
    <w:name w:val="Body Text First Indent 2"/>
    <w:basedOn w:val="12"/>
    <w:next w:val="21"/>
    <w:qFormat/>
    <w:uiPriority w:val="99"/>
  </w:style>
  <w:style w:type="paragraph" w:customStyle="1" w:styleId="21">
    <w:name w:val="_Style 3"/>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paragraph" w:customStyle="1" w:styleId="28">
    <w:name w:val="正文正"/>
    <w:basedOn w:val="1"/>
    <w:qFormat/>
    <w:uiPriority w:val="0"/>
    <w:pPr>
      <w:spacing w:line="560" w:lineRule="exact"/>
      <w:ind w:firstLine="561"/>
    </w:pPr>
    <w:rPr>
      <w:rFonts w:eastAsia="仿宋_GB2312"/>
      <w:sz w:val="28"/>
      <w:szCs w:val="24"/>
    </w:rPr>
  </w:style>
  <w:style w:type="paragraph" w:customStyle="1" w:styleId="29">
    <w:name w:val="列出段落1"/>
    <w:basedOn w:val="1"/>
    <w:qFormat/>
    <w:uiPriority w:val="34"/>
    <w:pPr>
      <w:ind w:firstLine="420" w:firstLineChars="200"/>
    </w:pPr>
    <w:rPr>
      <w:rFonts w:ascii="Calibri" w:hAnsi="Calibri" w:cs="黑体"/>
      <w:szCs w:val="22"/>
    </w:rPr>
  </w:style>
  <w:style w:type="paragraph" w:customStyle="1" w:styleId="30">
    <w:name w:val="TOC 标题1"/>
    <w:basedOn w:val="3"/>
    <w:next w:val="1"/>
    <w:qFormat/>
    <w:uiPriority w:val="99"/>
    <w:pPr>
      <w:spacing w:before="480" w:line="276" w:lineRule="auto"/>
      <w:outlineLvl w:val="9"/>
    </w:pPr>
    <w:rPr>
      <w:rFonts w:ascii="仿宋" w:hAnsi="仿宋" w:eastAsia="仿宋"/>
      <w:color w:val="000000"/>
      <w:kern w:val="0"/>
      <w:szCs w:val="32"/>
    </w:rPr>
  </w:style>
  <w:style w:type="paragraph" w:customStyle="1" w:styleId="31">
    <w:name w:val="MessageHeader"/>
    <w:basedOn w:val="1"/>
    <w:next w:val="32"/>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2">
    <w:name w:val="BodyText"/>
    <w:basedOn w:val="1"/>
    <w:next w:val="1"/>
    <w:qFormat/>
    <w:uiPriority w:val="0"/>
    <w:pPr>
      <w:jc w:val="center"/>
      <w:textAlignment w:val="baseline"/>
    </w:pPr>
  </w:style>
  <w:style w:type="paragraph" w:customStyle="1" w:styleId="33">
    <w:name w:val="列表段落1"/>
    <w:basedOn w:val="1"/>
    <w:qFormat/>
    <w:uiPriority w:val="34"/>
    <w:pPr>
      <w:ind w:firstLine="420" w:firstLineChars="200"/>
    </w:pPr>
  </w:style>
  <w:style w:type="paragraph" w:customStyle="1" w:styleId="34">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35">
    <w:name w:val="标题 1 字符"/>
    <w:link w:val="3"/>
    <w:qFormat/>
    <w:uiPriority w:val="0"/>
    <w:rPr>
      <w:rFonts w:ascii="仿宋_GB2312" w:hAnsi="宋体" w:eastAsia="仿宋_GB2312"/>
      <w:b/>
      <w:kern w:val="2"/>
      <w:sz w:val="32"/>
    </w:rPr>
  </w:style>
  <w:style w:type="paragraph" w:customStyle="1" w:styleId="36">
    <w:name w:val="表格文字中"/>
    <w:basedOn w:val="1"/>
    <w:qFormat/>
    <w:uiPriority w:val="0"/>
    <w:pPr>
      <w:adjustRightInd w:val="0"/>
      <w:snapToGrid w:val="0"/>
      <w:ind w:left="22" w:leftChars="8"/>
      <w:jc w:val="center"/>
    </w:pPr>
    <w:rPr>
      <w:szCs w:val="24"/>
    </w:rPr>
  </w:style>
  <w:style w:type="paragraph" w:customStyle="1" w:styleId="37">
    <w:name w:val="Char1"/>
    <w:basedOn w:val="1"/>
    <w:qFormat/>
    <w:uiPriority w:val="0"/>
    <w:pPr>
      <w:tabs>
        <w:tab w:val="left" w:pos="360"/>
      </w:tabs>
      <w:ind w:left="360" w:hanging="360" w:hangingChars="200"/>
    </w:pPr>
    <w:rPr>
      <w:szCs w:val="24"/>
    </w:rPr>
  </w:style>
  <w:style w:type="paragraph" w:customStyle="1" w:styleId="38">
    <w:name w:val="列出段落11"/>
    <w:basedOn w:val="1"/>
    <w:qFormat/>
    <w:uiPriority w:val="34"/>
    <w:pPr>
      <w:ind w:firstLine="420" w:firstLineChars="200"/>
    </w:pPr>
    <w:rPr>
      <w:rFonts w:ascii="Calibri" w:hAnsi="Calibri"/>
      <w:szCs w:val="22"/>
    </w:rPr>
  </w:style>
  <w:style w:type="paragraph" w:customStyle="1" w:styleId="39">
    <w:name w:val="Table caption|1"/>
    <w:basedOn w:val="1"/>
    <w:qFormat/>
    <w:uiPriority w:val="0"/>
    <w:rPr>
      <w:rFonts w:hAnsi="宋体" w:cs="宋体"/>
      <w:sz w:val="22"/>
      <w:szCs w:val="22"/>
      <w:lang w:val="zh-TW" w:eastAsia="zh-TW" w:bidi="zh-TW"/>
    </w:rPr>
  </w:style>
  <w:style w:type="paragraph" w:customStyle="1" w:styleId="40">
    <w:name w:val="Other|1"/>
    <w:basedOn w:val="1"/>
    <w:qFormat/>
    <w:uiPriority w:val="0"/>
    <w:pPr>
      <w:spacing w:after="100" w:line="446" w:lineRule="auto"/>
      <w:ind w:firstLine="400"/>
    </w:pPr>
    <w:rPr>
      <w:rFonts w:hAnsi="宋体" w:cs="宋体"/>
      <w:sz w:val="22"/>
      <w:szCs w:val="22"/>
      <w:lang w:val="zh-TW" w:eastAsia="zh-TW" w:bidi="zh-TW"/>
    </w:rPr>
  </w:style>
  <w:style w:type="character" w:customStyle="1" w:styleId="41">
    <w:name w:val="font01"/>
    <w:basedOn w:val="24"/>
    <w:qFormat/>
    <w:uiPriority w:val="0"/>
    <w:rPr>
      <w:rFonts w:hint="eastAsia" w:ascii="宋体" w:hAnsi="宋体" w:eastAsia="宋体" w:cs="宋体"/>
      <w:color w:val="000000"/>
      <w:sz w:val="22"/>
      <w:szCs w:val="22"/>
      <w:u w:val="none"/>
    </w:rPr>
  </w:style>
  <w:style w:type="character" w:customStyle="1" w:styleId="42">
    <w:name w:val="font11"/>
    <w:basedOn w:val="24"/>
    <w:qFormat/>
    <w:uiPriority w:val="0"/>
    <w:rPr>
      <w:rFonts w:ascii="微软雅黑" w:hAnsi="微软雅黑" w:eastAsia="微软雅黑" w:cs="微软雅黑"/>
      <w:color w:val="000000"/>
      <w:sz w:val="22"/>
      <w:szCs w:val="22"/>
      <w:u w:val="none"/>
    </w:rPr>
  </w:style>
  <w:style w:type="table" w:customStyle="1" w:styleId="43">
    <w:name w:val="Table Normal"/>
    <w:semiHidden/>
    <w:unhideWhenUsed/>
    <w:qFormat/>
    <w:uiPriority w:val="0"/>
    <w:tblPr>
      <w:tblCellMar>
        <w:top w:w="0" w:type="dxa"/>
        <w:left w:w="0" w:type="dxa"/>
        <w:bottom w:w="0" w:type="dxa"/>
        <w:right w:w="0" w:type="dxa"/>
      </w:tblCellMar>
    </w:tblPr>
  </w:style>
  <w:style w:type="character" w:customStyle="1" w:styleId="44">
    <w:name w:val="font51"/>
    <w:basedOn w:val="24"/>
    <w:qFormat/>
    <w:uiPriority w:val="0"/>
    <w:rPr>
      <w:rFonts w:hint="eastAsia" w:ascii="宋体" w:hAnsi="宋体" w:eastAsia="宋体" w:cs="宋体"/>
      <w:color w:val="FF0000"/>
      <w:sz w:val="20"/>
      <w:szCs w:val="20"/>
      <w:u w:val="none"/>
    </w:rPr>
  </w:style>
  <w:style w:type="character" w:customStyle="1" w:styleId="45">
    <w:name w:val="font31"/>
    <w:basedOn w:val="24"/>
    <w:qFormat/>
    <w:uiPriority w:val="0"/>
    <w:rPr>
      <w:rFonts w:hint="eastAsia" w:ascii="宋体" w:hAnsi="宋体" w:eastAsia="宋体" w:cs="宋体"/>
      <w:color w:val="000000"/>
      <w:sz w:val="20"/>
      <w:szCs w:val="20"/>
      <w:u w:val="none"/>
    </w:rPr>
  </w:style>
  <w:style w:type="character" w:customStyle="1" w:styleId="46">
    <w:name w:val="批注文字 字符"/>
    <w:basedOn w:val="24"/>
    <w:link w:val="9"/>
    <w:qFormat/>
    <w:uiPriority w:val="99"/>
    <w:rPr>
      <w:sz w:val="24"/>
    </w:rPr>
  </w:style>
  <w:style w:type="character" w:customStyle="1" w:styleId="47">
    <w:name w:val="批注主题 字符"/>
    <w:basedOn w:val="46"/>
    <w:link w:val="19"/>
    <w:qFormat/>
    <w:uiPriority w:val="0"/>
    <w:rPr>
      <w:rFonts w:ascii="宋体"/>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33441</Words>
  <Characters>35905</Characters>
  <Lines>297</Lines>
  <Paragraphs>83</Paragraphs>
  <TotalTime>143</TotalTime>
  <ScaleCrop>false</ScaleCrop>
  <LinksUpToDate>false</LinksUpToDate>
  <CharactersWithSpaces>39776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2022-11-24T02:19:30Z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C52F4DCA436544D09975111391A28D11</vt:lpwstr>
  </property>
  <property fmtid="{D5CDD505-2E9C-101B-9397-08002B2CF9AE}" pid="4" name="commondata">
    <vt:lpwstr>eyJoZGlkIjoiZWU1ZTk2MTQyODg0ZDk5MTI0YWY4MGUzOGFjOTBhYWIifQ==</vt:lpwstr>
  </property>
</Properties>
</file>