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jc w:val="right"/>
        <w:rPr>
          <w:rFonts w:ascii="仿宋_GB2312" w:eastAsia="仿宋_GB2312"/>
          <w:b/>
          <w:bCs/>
          <w:sz w:val="32"/>
          <w:szCs w:val="32"/>
          <w:lang w:val="zh-CN"/>
        </w:rPr>
      </w:pPr>
      <w:bookmarkStart w:id="0" w:name="_Toc183682338"/>
      <w:bookmarkStart w:id="1" w:name="_Toc217446030"/>
      <w:r>
        <w:rPr>
          <w:rFonts w:hint="eastAsia"/>
          <w:b/>
          <w:bCs/>
          <w:sz w:val="32"/>
          <w:szCs w:val="32"/>
          <w:lang w:val="en-US" w:eastAsia="zh-CN"/>
        </w:rPr>
        <w:t xml:space="preserve"> </w:t>
      </w:r>
      <w:r>
        <w:rPr>
          <w:rFonts w:hint="eastAsia"/>
          <w:b/>
          <w:bCs/>
          <w:sz w:val="32"/>
          <w:szCs w:val="32"/>
          <w:lang w:val="zh-CN"/>
        </w:rPr>
        <w:t xml:space="preserve">    </w:t>
      </w:r>
      <w:r>
        <w:rPr>
          <w:rFonts w:hint="eastAsia" w:ascii="仿宋_GB2312" w:eastAsia="仿宋_GB2312"/>
          <w:b/>
          <w:bCs/>
          <w:sz w:val="32"/>
          <w:szCs w:val="32"/>
          <w:bdr w:val="single" w:color="auto" w:sz="4" w:space="0"/>
          <w:lang w:val="zh-CN"/>
        </w:rPr>
        <w:t>政府采购项目</w:t>
      </w:r>
    </w:p>
    <w:p>
      <w:pPr>
        <w:tabs>
          <w:tab w:val="left" w:pos="5670"/>
        </w:tabs>
        <w:autoSpaceDE w:val="0"/>
        <w:autoSpaceDN w:val="0"/>
        <w:adjustRightInd w:val="0"/>
        <w:spacing w:line="360" w:lineRule="auto"/>
        <w:ind w:firstLine="300"/>
        <w:rPr>
          <w:rFonts w:ascii="仿宋_GB2312" w:eastAsia="仿宋_GB2312"/>
          <w:b/>
          <w:bCs/>
          <w:sz w:val="32"/>
          <w:szCs w:val="32"/>
          <w:lang w:val="zh-CN"/>
        </w:rPr>
      </w:pPr>
    </w:p>
    <w:p>
      <w:pPr>
        <w:tabs>
          <w:tab w:val="left" w:pos="5670"/>
        </w:tabs>
        <w:autoSpaceDE w:val="0"/>
        <w:autoSpaceDN w:val="0"/>
        <w:adjustRightInd w:val="0"/>
        <w:spacing w:line="360" w:lineRule="auto"/>
        <w:rPr>
          <w:b/>
          <w:bCs/>
          <w:sz w:val="32"/>
          <w:szCs w:val="32"/>
          <w:lang w:val="zh-CN"/>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b/>
          <w:color w:val="auto"/>
          <w:spacing w:val="-6"/>
          <w:sz w:val="44"/>
          <w:szCs w:val="44"/>
          <w:lang w:eastAsia="zh-CN"/>
        </w:rPr>
      </w:pPr>
      <w:r>
        <w:rPr>
          <w:rFonts w:hint="eastAsia" w:asciiTheme="minorEastAsia" w:hAnsiTheme="minorEastAsia" w:eastAsiaTheme="minorEastAsia" w:cstheme="minorEastAsia"/>
          <w:b/>
          <w:color w:val="auto"/>
          <w:spacing w:val="-6"/>
          <w:sz w:val="44"/>
          <w:szCs w:val="44"/>
          <w:lang w:eastAsia="zh-CN"/>
        </w:rPr>
        <w:t>经开区2022年直属公办学校、幼儿园设施设备政府采购项目（课桌椅）</w:t>
      </w:r>
    </w:p>
    <w:p>
      <w:pPr>
        <w:pStyle w:val="5"/>
        <w:rPr>
          <w:rFonts w:hint="eastAsia" w:asciiTheme="minorEastAsia" w:hAnsiTheme="minorEastAsia" w:eastAsiaTheme="minorEastAsia" w:cstheme="minorEastAsia"/>
          <w:b/>
          <w:color w:val="auto"/>
          <w:spacing w:val="-6"/>
          <w:sz w:val="44"/>
          <w:szCs w:val="44"/>
          <w:lang w:eastAsia="zh-CN"/>
        </w:rPr>
      </w:pPr>
    </w:p>
    <w:p>
      <w:pPr>
        <w:pStyle w:val="5"/>
        <w:rPr>
          <w:rFonts w:hint="eastAsia" w:asciiTheme="minorEastAsia" w:hAnsiTheme="minorEastAsia" w:eastAsiaTheme="minorEastAsia" w:cstheme="minorEastAsia"/>
          <w:b/>
          <w:color w:val="auto"/>
          <w:spacing w:val="-6"/>
          <w:sz w:val="44"/>
          <w:szCs w:val="44"/>
          <w:lang w:eastAsia="zh-CN"/>
        </w:rPr>
      </w:pPr>
    </w:p>
    <w:p>
      <w:pPr>
        <w:pStyle w:val="5"/>
        <w:rPr>
          <w:rFonts w:hint="eastAsia" w:asciiTheme="minorEastAsia" w:hAnsiTheme="minorEastAsia" w:eastAsiaTheme="minorEastAsia" w:cstheme="minorEastAsia"/>
          <w:b/>
          <w:color w:val="auto"/>
          <w:spacing w:val="-6"/>
          <w:sz w:val="44"/>
          <w:szCs w:val="44"/>
          <w:lang w:eastAsia="zh-CN"/>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sz w:val="40"/>
          <w:szCs w:val="40"/>
        </w:rPr>
        <w:t>（项目编号</w:t>
      </w:r>
      <w:r>
        <w:rPr>
          <w:rFonts w:hint="eastAsia" w:asciiTheme="minorEastAsia" w:hAnsiTheme="minorEastAsia" w:eastAsiaTheme="minorEastAsia" w:cstheme="minorEastAsia"/>
          <w:b/>
          <w:color w:val="auto"/>
          <w:sz w:val="40"/>
          <w:szCs w:val="40"/>
        </w:rPr>
        <w:t>：</w:t>
      </w:r>
      <w:r>
        <w:rPr>
          <w:rFonts w:hint="eastAsia" w:asciiTheme="minorEastAsia" w:hAnsiTheme="minorEastAsia" w:eastAsiaTheme="minorEastAsia" w:cstheme="minorEastAsia"/>
          <w:b/>
          <w:color w:val="auto"/>
          <w:sz w:val="40"/>
          <w:szCs w:val="40"/>
          <w:highlight w:val="none"/>
          <w:lang w:eastAsia="zh-CN"/>
        </w:rPr>
        <w:t>TZZB-2022063C</w:t>
      </w:r>
      <w:r>
        <w:rPr>
          <w:rFonts w:hint="eastAsia" w:asciiTheme="minorEastAsia" w:hAnsiTheme="minorEastAsia" w:eastAsiaTheme="minorEastAsia" w:cstheme="minorEastAsia"/>
          <w:b/>
          <w:sz w:val="40"/>
          <w:szCs w:val="40"/>
        </w:rPr>
        <w:t>）</w:t>
      </w:r>
    </w:p>
    <w:p>
      <w:pPr>
        <w:pStyle w:val="73"/>
      </w:pPr>
      <w:bookmarkStart w:id="2" w:name="_Toc532549500"/>
      <w:r>
        <w:rPr>
          <w:rFonts w:hint="eastAsia"/>
        </w:rPr>
        <w:t xml:space="preserve"> </w:t>
      </w:r>
    </w:p>
    <w:p>
      <w:pPr>
        <w:jc w:val="center"/>
        <w:rPr>
          <w:rFonts w:hint="eastAsia" w:eastAsia="宋体"/>
          <w:b/>
          <w:kern w:val="0"/>
          <w:sz w:val="44"/>
          <w:szCs w:val="44"/>
          <w:lang w:val="en-US" w:eastAsia="zh-CN"/>
        </w:rPr>
      </w:pPr>
      <w:r>
        <w:rPr>
          <w:rFonts w:hint="eastAsia"/>
          <w:b/>
          <w:kern w:val="0"/>
          <w:sz w:val="44"/>
          <w:szCs w:val="44"/>
        </w:rPr>
        <w:t xml:space="preserve"> </w:t>
      </w:r>
    </w:p>
    <w:p>
      <w:pPr>
        <w:pStyle w:val="5"/>
        <w:rPr>
          <w:rFonts w:hint="eastAsia"/>
          <w:b/>
          <w:kern w:val="0"/>
          <w:sz w:val="44"/>
          <w:szCs w:val="44"/>
        </w:rPr>
      </w:pPr>
    </w:p>
    <w:bookmarkEnd w:id="2"/>
    <w:p>
      <w:pPr>
        <w:tabs>
          <w:tab w:val="left" w:pos="5670"/>
          <w:tab w:val="left" w:pos="6663"/>
        </w:tabs>
        <w:autoSpaceDE w:val="0"/>
        <w:autoSpaceDN w:val="0"/>
        <w:adjustRightInd w:val="0"/>
        <w:snapToGrid w:val="0"/>
        <w:spacing w:line="360" w:lineRule="auto"/>
        <w:jc w:val="center"/>
        <w:rPr>
          <w:rFonts w:hint="eastAsia"/>
          <w:b/>
          <w:spacing w:val="-6"/>
          <w:sz w:val="72"/>
          <w:szCs w:val="72"/>
          <w:lang w:val="zh-CN" w:eastAsia="zh-CN"/>
        </w:rPr>
      </w:pPr>
      <w:r>
        <w:rPr>
          <w:rFonts w:hint="eastAsia"/>
          <w:b/>
          <w:spacing w:val="-6"/>
          <w:sz w:val="72"/>
          <w:szCs w:val="72"/>
          <w:lang w:val="zh-CN" w:eastAsia="zh-CN"/>
        </w:rPr>
        <w:t>招</w:t>
      </w:r>
      <w:r>
        <w:rPr>
          <w:rFonts w:hint="eastAsia"/>
          <w:b/>
          <w:spacing w:val="-6"/>
          <w:sz w:val="72"/>
          <w:szCs w:val="72"/>
          <w:lang w:val="en-US" w:eastAsia="zh-CN"/>
        </w:rPr>
        <w:t xml:space="preserve"> </w:t>
      </w:r>
      <w:r>
        <w:rPr>
          <w:rFonts w:hint="eastAsia"/>
          <w:b/>
          <w:spacing w:val="-6"/>
          <w:sz w:val="72"/>
          <w:szCs w:val="72"/>
          <w:lang w:val="zh-CN" w:eastAsia="zh-CN"/>
        </w:rPr>
        <w:t>标</w:t>
      </w:r>
      <w:r>
        <w:rPr>
          <w:rFonts w:hint="eastAsia"/>
          <w:b/>
          <w:spacing w:val="-6"/>
          <w:sz w:val="72"/>
          <w:szCs w:val="72"/>
          <w:lang w:val="en-US" w:eastAsia="zh-CN"/>
        </w:rPr>
        <w:t xml:space="preserve"> </w:t>
      </w:r>
      <w:r>
        <w:rPr>
          <w:rFonts w:hint="eastAsia"/>
          <w:b/>
          <w:spacing w:val="-6"/>
          <w:sz w:val="72"/>
          <w:szCs w:val="72"/>
          <w:lang w:val="zh-CN" w:eastAsia="zh-CN"/>
        </w:rPr>
        <w:t>文</w:t>
      </w:r>
      <w:r>
        <w:rPr>
          <w:rFonts w:hint="eastAsia"/>
          <w:b/>
          <w:spacing w:val="-6"/>
          <w:sz w:val="72"/>
          <w:szCs w:val="72"/>
          <w:lang w:val="en-US" w:eastAsia="zh-CN"/>
        </w:rPr>
        <w:t xml:space="preserve"> </w:t>
      </w:r>
      <w:r>
        <w:rPr>
          <w:rFonts w:hint="eastAsia"/>
          <w:b/>
          <w:spacing w:val="-6"/>
          <w:sz w:val="72"/>
          <w:szCs w:val="72"/>
          <w:lang w:val="zh-CN" w:eastAsia="zh-CN"/>
        </w:rPr>
        <w:t>件</w:t>
      </w:r>
    </w:p>
    <w:p>
      <w:pPr>
        <w:autoSpaceDE w:val="0"/>
        <w:autoSpaceDN w:val="0"/>
        <w:adjustRightInd w:val="0"/>
        <w:snapToGrid w:val="0"/>
        <w:spacing w:line="360" w:lineRule="auto"/>
        <w:jc w:val="center"/>
        <w:rPr>
          <w:rFonts w:ascii="仿宋_GB2312" w:eastAsia="仿宋_GB2312"/>
          <w:b/>
          <w:bCs/>
          <w:sz w:val="32"/>
          <w:szCs w:val="32"/>
          <w:lang w:val="zh-CN"/>
        </w:rPr>
      </w:pPr>
    </w:p>
    <w:p>
      <w:pPr>
        <w:pStyle w:val="5"/>
        <w:rPr>
          <w:rFonts w:ascii="仿宋_GB2312" w:eastAsia="仿宋_GB2312"/>
          <w:b/>
          <w:bCs/>
          <w:sz w:val="32"/>
          <w:szCs w:val="32"/>
          <w:lang w:val="zh-CN"/>
        </w:rPr>
      </w:pPr>
    </w:p>
    <w:p>
      <w:pPr>
        <w:pStyle w:val="5"/>
        <w:rPr>
          <w:rFonts w:ascii="仿宋_GB2312" w:eastAsia="仿宋_GB2312"/>
          <w:b/>
          <w:bCs/>
          <w:sz w:val="32"/>
          <w:szCs w:val="32"/>
          <w:lang w:val="zh-CN"/>
        </w:rPr>
      </w:pPr>
    </w:p>
    <w:p>
      <w:pPr>
        <w:pStyle w:val="5"/>
        <w:rPr>
          <w:rFonts w:ascii="仿宋_GB2312" w:eastAsia="仿宋_GB2312"/>
          <w:b/>
          <w:bCs/>
          <w:sz w:val="32"/>
          <w:szCs w:val="32"/>
          <w:lang w:val="zh-CN"/>
        </w:rPr>
      </w:pPr>
    </w:p>
    <w:p>
      <w:pPr>
        <w:pStyle w:val="5"/>
        <w:rPr>
          <w:rFonts w:ascii="仿宋_GB2312" w:eastAsia="仿宋_GB2312"/>
          <w:b/>
          <w:bCs/>
          <w:sz w:val="32"/>
          <w:szCs w:val="32"/>
          <w:lang w:val="zh-CN"/>
        </w:rPr>
      </w:pPr>
    </w:p>
    <w:p>
      <w:pPr>
        <w:widowControl/>
        <w:spacing w:line="360" w:lineRule="auto"/>
        <w:ind w:firstLine="1285" w:firstLineChars="400"/>
        <w:jc w:val="both"/>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lang w:eastAsia="zh-CN"/>
        </w:rPr>
        <w:t>西安经济技术开发区教育体育局</w:t>
      </w:r>
    </w:p>
    <w:p>
      <w:pPr>
        <w:spacing w:line="840" w:lineRule="exact"/>
        <w:ind w:firstLine="1285" w:firstLineChars="400"/>
        <w:jc w:val="both"/>
        <w:rPr>
          <w:rFonts w:hint="eastAsia" w:ascii="宋体" w:hAnsi="宋体" w:eastAsia="宋体" w:cs="宋体"/>
          <w:b/>
          <w:sz w:val="32"/>
          <w:szCs w:val="32"/>
          <w:lang w:eastAsia="zh-CN"/>
        </w:rPr>
      </w:pPr>
      <w:r>
        <w:rPr>
          <w:rFonts w:hint="eastAsia" w:ascii="宋体" w:hAnsi="宋体" w:cs="宋体"/>
          <w:b/>
          <w:sz w:val="32"/>
          <w:szCs w:val="32"/>
        </w:rPr>
        <w:t>采购代理机构：</w:t>
      </w:r>
      <w:r>
        <w:rPr>
          <w:rFonts w:hint="eastAsia" w:ascii="宋体" w:hAnsi="宋体" w:cs="宋体"/>
          <w:b/>
          <w:sz w:val="32"/>
          <w:szCs w:val="32"/>
          <w:lang w:eastAsia="zh-CN"/>
        </w:rPr>
        <w:t>同正项目管理有限公司</w:t>
      </w:r>
    </w:p>
    <w:p>
      <w:pPr>
        <w:autoSpaceDE w:val="0"/>
        <w:autoSpaceDN w:val="0"/>
        <w:adjustRightInd w:val="0"/>
        <w:snapToGrid w:val="0"/>
        <w:spacing w:line="360" w:lineRule="auto"/>
        <w:ind w:firstLine="2168" w:firstLineChars="600"/>
        <w:jc w:val="both"/>
        <w:rPr>
          <w:rFonts w:hint="eastAsia" w:ascii="仿宋_GB2312" w:eastAsia="仿宋_GB2312"/>
          <w:b/>
          <w:bCs/>
          <w:sz w:val="36"/>
          <w:szCs w:val="36"/>
          <w:lang w:val="zh-CN"/>
        </w:rPr>
      </w:pPr>
    </w:p>
    <w:p>
      <w:pPr>
        <w:autoSpaceDE w:val="0"/>
        <w:autoSpaceDN w:val="0"/>
        <w:adjustRightInd w:val="0"/>
        <w:snapToGrid w:val="0"/>
        <w:spacing w:line="360" w:lineRule="auto"/>
        <w:jc w:val="center"/>
        <w:rPr>
          <w:rFonts w:hint="eastAsia" w:ascii="宋体" w:hAnsi="宋体" w:eastAsia="宋体" w:cs="宋体"/>
          <w:b/>
          <w:bCs/>
          <w:sz w:val="36"/>
          <w:szCs w:val="36"/>
          <w:lang w:val="zh-CN"/>
        </w:rPr>
      </w:pPr>
      <w:r>
        <w:rPr>
          <w:rFonts w:hint="eastAsia" w:ascii="宋体" w:hAnsi="宋体" w:eastAsia="宋体" w:cs="宋体"/>
          <w:b/>
          <w:bCs/>
          <w:sz w:val="32"/>
          <w:szCs w:val="32"/>
          <w:lang w:val="zh-CN"/>
        </w:rPr>
        <w:t>二零二</w:t>
      </w:r>
      <w:r>
        <w:rPr>
          <w:rFonts w:hint="eastAsia" w:ascii="宋体" w:hAnsi="宋体" w:cs="宋体"/>
          <w:b/>
          <w:bCs/>
          <w:sz w:val="32"/>
          <w:szCs w:val="32"/>
          <w:lang w:val="zh-CN" w:eastAsia="zh-CN"/>
        </w:rPr>
        <w:t>二</w:t>
      </w:r>
      <w:r>
        <w:rPr>
          <w:rFonts w:hint="eastAsia" w:ascii="宋体" w:hAnsi="宋体" w:eastAsia="宋体" w:cs="宋体"/>
          <w:b/>
          <w:bCs/>
          <w:sz w:val="32"/>
          <w:szCs w:val="32"/>
          <w:lang w:val="zh-CN"/>
        </w:rPr>
        <w:t>年</w:t>
      </w:r>
      <w:r>
        <w:rPr>
          <w:rFonts w:hint="eastAsia" w:ascii="宋体" w:hAnsi="宋体" w:cs="宋体"/>
          <w:b/>
          <w:bCs/>
          <w:sz w:val="32"/>
          <w:szCs w:val="32"/>
          <w:lang w:val="zh-CN"/>
        </w:rPr>
        <w:t>四</w:t>
      </w:r>
      <w:r>
        <w:rPr>
          <w:rFonts w:hint="eastAsia" w:ascii="宋体" w:hAnsi="宋体" w:eastAsia="宋体" w:cs="宋体"/>
          <w:b/>
          <w:bCs/>
          <w:sz w:val="32"/>
          <w:szCs w:val="32"/>
          <w:lang w:val="zh-CN"/>
        </w:rPr>
        <w:t>月</w:t>
      </w:r>
    </w:p>
    <w:bookmarkEnd w:id="0"/>
    <w:bookmarkEnd w:id="1"/>
    <w:p>
      <w:pPr>
        <w:pStyle w:val="3"/>
        <w:spacing w:line="276" w:lineRule="auto"/>
        <w:jc w:val="both"/>
        <w:rPr>
          <w:rFonts w:hint="eastAsia"/>
        </w:rPr>
        <w:sectPr>
          <w:headerReference r:id="rId4" w:type="first"/>
          <w:headerReference r:id="rId3" w:type="default"/>
          <w:footerReference r:id="rId5" w:type="default"/>
          <w:pgSz w:w="11906" w:h="16838"/>
          <w:pgMar w:top="1418" w:right="1418" w:bottom="1418" w:left="1418" w:header="851" w:footer="992" w:gutter="0"/>
          <w:pgNumType w:fmt="decimal" w:start="1"/>
          <w:cols w:space="720" w:num="1"/>
          <w:titlePg/>
          <w:docGrid w:linePitch="312" w:charSpace="0"/>
        </w:sectPr>
      </w:pPr>
      <w:bookmarkStart w:id="3" w:name="_Toc531256389"/>
      <w:bookmarkStart w:id="4" w:name="_Toc8308120"/>
      <w:bookmarkStart w:id="5" w:name="_Toc9950"/>
      <w:bookmarkStart w:id="6" w:name="_Toc25986"/>
      <w:bookmarkStart w:id="7" w:name="_Toc17828"/>
    </w:p>
    <w:p>
      <w:pPr>
        <w:spacing w:line="360" w:lineRule="auto"/>
        <w:ind w:firstLine="203" w:firstLineChars="46"/>
        <w:jc w:val="center"/>
        <w:rPr>
          <w:rFonts w:ascii="宋体" w:hAnsi="宋体"/>
          <w:b/>
          <w:bCs/>
          <w:sz w:val="44"/>
          <w:szCs w:val="44"/>
          <w:lang w:val="zh-CN"/>
        </w:rPr>
      </w:pPr>
      <w:bookmarkStart w:id="8" w:name="_Toc12549"/>
      <w:bookmarkStart w:id="9" w:name="_Toc8325"/>
      <w:bookmarkStart w:id="10" w:name="_Toc4832"/>
      <w:bookmarkStart w:id="11" w:name="_Toc23859"/>
      <w:bookmarkStart w:id="12" w:name="_Toc7533"/>
      <w:bookmarkStart w:id="13" w:name="_Toc27452"/>
      <w:bookmarkStart w:id="14" w:name="_Toc5836"/>
      <w:bookmarkStart w:id="15" w:name="_Toc10416"/>
      <w:bookmarkStart w:id="16" w:name="_Toc20079"/>
      <w:r>
        <w:rPr>
          <w:rFonts w:hint="eastAsia" w:ascii="宋体" w:hAnsi="宋体"/>
          <w:b/>
          <w:bCs/>
          <w:sz w:val="44"/>
          <w:szCs w:val="44"/>
          <w:lang w:val="zh-CN"/>
        </w:rPr>
        <w:t>温馨提示</w:t>
      </w:r>
    </w:p>
    <w:p>
      <w:pPr>
        <w:spacing w:line="360" w:lineRule="auto"/>
        <w:ind w:firstLine="623" w:firstLineChars="194"/>
        <w:rPr>
          <w:rFonts w:ascii="仿宋_GB2312" w:hAnsi="宋体" w:eastAsia="仿宋_GB2312"/>
          <w:b/>
          <w:bCs/>
          <w:sz w:val="32"/>
          <w:szCs w:val="32"/>
          <w:lang w:val="zh-CN"/>
        </w:rPr>
      </w:pPr>
    </w:p>
    <w:p>
      <w:pPr>
        <w:spacing w:line="360" w:lineRule="auto"/>
        <w:ind w:firstLine="1103" w:firstLineChars="394"/>
        <w:rPr>
          <w:rFonts w:hint="eastAsia" w:ascii="宋体" w:hAnsi="宋体"/>
          <w:bCs/>
          <w:color w:val="000000"/>
          <w:sz w:val="28"/>
          <w:szCs w:val="28"/>
          <w:lang w:val="zh-CN"/>
        </w:rPr>
      </w:pPr>
      <w:r>
        <w:rPr>
          <w:rFonts w:hint="eastAsia" w:ascii="宋体" w:hAnsi="宋体"/>
          <w:bCs/>
          <w:color w:val="000000"/>
          <w:sz w:val="28"/>
          <w:szCs w:val="28"/>
          <w:lang w:val="zh-CN"/>
        </w:rPr>
        <w:t>购买招标文件后，请仔细阅读，如有疑问，请来电咨询。电话：029-86522030</w:t>
      </w:r>
    </w:p>
    <w:p>
      <w:pPr>
        <w:spacing w:line="360" w:lineRule="auto"/>
        <w:ind w:firstLine="1103" w:firstLineChars="394"/>
        <w:rPr>
          <w:rFonts w:hint="eastAsia" w:ascii="宋体" w:hAnsi="宋体"/>
          <w:bCs/>
          <w:color w:val="000000"/>
          <w:sz w:val="28"/>
          <w:szCs w:val="28"/>
          <w:lang w:val="zh-CN"/>
        </w:rPr>
      </w:pPr>
      <w:r>
        <w:rPr>
          <w:rFonts w:hint="eastAsia" w:ascii="宋体" w:hAnsi="宋体"/>
          <w:bCs/>
          <w:color w:val="000000"/>
          <w:sz w:val="28"/>
          <w:szCs w:val="28"/>
          <w:lang w:val="zh-CN"/>
        </w:rPr>
        <w:t>1、属于西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pPr>
        <w:spacing w:line="360" w:lineRule="auto"/>
        <w:ind w:firstLine="1103" w:firstLineChars="394"/>
        <w:rPr>
          <w:rFonts w:hint="eastAsia" w:ascii="宋体" w:hAnsi="宋体"/>
          <w:bCs/>
          <w:color w:val="000000"/>
          <w:sz w:val="28"/>
          <w:szCs w:val="28"/>
          <w:lang w:val="zh-CN"/>
        </w:rPr>
      </w:pPr>
      <w:r>
        <w:rPr>
          <w:rFonts w:hint="eastAsia" w:ascii="宋体" w:hAnsi="宋体"/>
          <w:bCs/>
          <w:color w:val="000000"/>
          <w:sz w:val="28"/>
          <w:szCs w:val="28"/>
          <w:lang w:val="zh-CN"/>
        </w:rPr>
        <w:t>2、请将招标代理服务费汇至下列指定账户：</w:t>
      </w:r>
    </w:p>
    <w:p>
      <w:pPr>
        <w:spacing w:line="360" w:lineRule="auto"/>
        <w:ind w:firstLine="1103" w:firstLineChars="394"/>
        <w:rPr>
          <w:rFonts w:hint="eastAsia" w:ascii="宋体" w:hAnsi="宋体"/>
          <w:bCs/>
          <w:color w:val="000000"/>
          <w:sz w:val="28"/>
          <w:szCs w:val="28"/>
          <w:lang w:val="zh-CN"/>
        </w:rPr>
      </w:pPr>
      <w:r>
        <w:rPr>
          <w:rFonts w:hint="eastAsia" w:ascii="宋体" w:hAnsi="宋体"/>
          <w:bCs/>
          <w:color w:val="000000"/>
          <w:sz w:val="28"/>
          <w:szCs w:val="28"/>
          <w:lang w:val="zh-CN"/>
        </w:rPr>
        <w:t>开户名称：同正项目管理有限公司</w:t>
      </w:r>
    </w:p>
    <w:p>
      <w:pPr>
        <w:spacing w:line="360" w:lineRule="auto"/>
        <w:ind w:firstLine="1103" w:firstLineChars="394"/>
        <w:rPr>
          <w:rFonts w:hint="eastAsia" w:ascii="宋体" w:hAnsi="宋体"/>
          <w:bCs/>
          <w:color w:val="000000"/>
          <w:sz w:val="28"/>
          <w:szCs w:val="28"/>
          <w:lang w:val="zh-CN"/>
        </w:rPr>
      </w:pPr>
      <w:r>
        <w:rPr>
          <w:rFonts w:hint="eastAsia" w:ascii="宋体" w:hAnsi="宋体"/>
          <w:bCs/>
          <w:color w:val="000000"/>
          <w:sz w:val="28"/>
          <w:szCs w:val="28"/>
          <w:lang w:val="zh-CN"/>
        </w:rPr>
        <w:t>开户银行：中信银行股份有限公司西安经济技术开发区支行</w:t>
      </w:r>
    </w:p>
    <w:p>
      <w:pPr>
        <w:spacing w:line="360" w:lineRule="auto"/>
        <w:ind w:firstLine="1103" w:firstLineChars="394"/>
        <w:rPr>
          <w:rFonts w:hint="eastAsia" w:ascii="宋体" w:hAnsi="宋体"/>
          <w:bCs/>
          <w:color w:val="000000"/>
          <w:sz w:val="28"/>
          <w:szCs w:val="28"/>
          <w:lang w:val="zh-CN"/>
        </w:rPr>
        <w:sectPr>
          <w:footerReference r:id="rId7" w:type="first"/>
          <w:footerReference r:id="rId6" w:type="default"/>
          <w:pgSz w:w="11906" w:h="16838"/>
          <w:pgMar w:top="1418" w:right="1418" w:bottom="1418" w:left="1418" w:header="851" w:footer="992" w:gutter="0"/>
          <w:pgNumType w:fmt="decimal"/>
          <w:cols w:space="720" w:num="1"/>
          <w:titlePg/>
          <w:docGrid w:linePitch="312" w:charSpace="0"/>
        </w:sectPr>
      </w:pPr>
      <w:r>
        <w:rPr>
          <w:rFonts w:hint="eastAsia" w:ascii="宋体" w:hAnsi="宋体"/>
          <w:bCs/>
          <w:color w:val="000000"/>
          <w:sz w:val="28"/>
          <w:szCs w:val="28"/>
          <w:lang w:val="zh-CN"/>
        </w:rPr>
        <w:t xml:space="preserve">账 </w:t>
      </w:r>
      <w:r>
        <w:rPr>
          <w:rFonts w:hint="eastAsia" w:ascii="宋体" w:hAnsi="宋体"/>
          <w:bCs/>
          <w:color w:val="000000"/>
          <w:sz w:val="28"/>
          <w:szCs w:val="28"/>
          <w:lang w:val="en-US" w:eastAsia="zh-CN"/>
        </w:rPr>
        <w:t xml:space="preserve"> </w:t>
      </w:r>
      <w:r>
        <w:rPr>
          <w:rFonts w:hint="eastAsia" w:ascii="宋体" w:hAnsi="宋体"/>
          <w:bCs/>
          <w:color w:val="000000"/>
          <w:sz w:val="28"/>
          <w:szCs w:val="28"/>
          <w:lang w:val="zh-CN"/>
        </w:rPr>
        <w:t xml:space="preserve"> 号：7251210182600131313</w:t>
      </w:r>
    </w:p>
    <w:p>
      <w:pPr>
        <w:pStyle w:val="3"/>
        <w:spacing w:line="600" w:lineRule="auto"/>
        <w:ind w:firstLine="3855" w:firstLineChars="800"/>
        <w:jc w:val="both"/>
        <w:rPr>
          <w:rFonts w:hint="eastAsia" w:asciiTheme="minorEastAsia" w:hAnsiTheme="minorEastAsia" w:eastAsiaTheme="minorEastAsia" w:cstheme="minorEastAsia"/>
          <w:b/>
          <w:kern w:val="44"/>
          <w:sz w:val="44"/>
          <w:szCs w:val="24"/>
          <w:lang w:val="en-US" w:eastAsia="zh-CN" w:bidi="ar-SA"/>
        </w:rPr>
      </w:pPr>
      <w:r>
        <w:rPr>
          <w:rFonts w:hint="eastAsia" w:asciiTheme="minorEastAsia" w:hAnsiTheme="minorEastAsia" w:eastAsiaTheme="minorEastAsia" w:cstheme="minorEastAsia"/>
          <w:sz w:val="48"/>
          <w:szCs w:val="28"/>
        </w:rPr>
        <w:t>目    录</w:t>
      </w:r>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Theme="minorEastAsia" w:hAnsiTheme="minorEastAsia" w:eastAsiaTheme="minorEastAsia" w:cstheme="minorEastAsia"/>
          <w:sz w:val="44"/>
          <w:szCs w:val="24"/>
        </w:rPr>
        <w:fldChar w:fldCharType="begin"/>
      </w:r>
      <w:r>
        <w:rPr>
          <w:rFonts w:hint="eastAsia" w:asciiTheme="minorEastAsia" w:hAnsiTheme="minorEastAsia" w:eastAsiaTheme="minorEastAsia" w:cstheme="minorEastAsia"/>
          <w:sz w:val="44"/>
          <w:szCs w:val="24"/>
        </w:rPr>
        <w:instrText xml:space="preserve"> TOC \o "1-2" \h \z \u </w:instrText>
      </w:r>
      <w:r>
        <w:rPr>
          <w:rFonts w:hint="eastAsia" w:asciiTheme="minorEastAsia" w:hAnsiTheme="minorEastAsia" w:eastAsiaTheme="minorEastAsia" w:cstheme="minorEastAsia"/>
          <w:sz w:val="44"/>
          <w:szCs w:val="24"/>
        </w:rPr>
        <w:fldChar w:fldCharType="separate"/>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_Toc17101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 xml:space="preserve">第一章 </w:t>
      </w:r>
      <w:r>
        <w:rPr>
          <w:rFonts w:hint="eastAsia"/>
          <w:b w:val="0"/>
          <w:bCs/>
          <w:sz w:val="32"/>
          <w:szCs w:val="32"/>
          <w:lang w:val="en-US" w:eastAsia="zh-CN"/>
        </w:rPr>
        <w:t xml:space="preserve"> </w:t>
      </w:r>
      <w:r>
        <w:rPr>
          <w:rFonts w:hint="eastAsia"/>
          <w:b w:val="0"/>
          <w:bCs/>
          <w:sz w:val="32"/>
          <w:szCs w:val="32"/>
          <w:lang w:eastAsia="zh-CN"/>
        </w:rPr>
        <w:t>招标公告</w:t>
      </w:r>
      <w:r>
        <w:rPr>
          <w:b w:val="0"/>
          <w:bCs/>
          <w:sz w:val="32"/>
          <w:szCs w:val="32"/>
        </w:rPr>
        <w:tab/>
      </w:r>
      <w:r>
        <w:rPr>
          <w:b w:val="0"/>
          <w:bCs/>
          <w:sz w:val="32"/>
          <w:szCs w:val="32"/>
        </w:rPr>
        <w:fldChar w:fldCharType="begin"/>
      </w:r>
      <w:r>
        <w:rPr>
          <w:b w:val="0"/>
          <w:bCs/>
          <w:sz w:val="32"/>
          <w:szCs w:val="32"/>
        </w:rPr>
        <w:instrText xml:space="preserve"> PAGEREF _Toc17101 </w:instrText>
      </w:r>
      <w:r>
        <w:rPr>
          <w:b w:val="0"/>
          <w:bCs/>
          <w:sz w:val="32"/>
          <w:szCs w:val="32"/>
        </w:rPr>
        <w:fldChar w:fldCharType="separate"/>
      </w:r>
      <w:r>
        <w:rPr>
          <w:b w:val="0"/>
          <w:bCs/>
          <w:sz w:val="32"/>
          <w:szCs w:val="32"/>
        </w:rPr>
        <w:t>4</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_Toc22548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第二章  投标人须知前附表</w:t>
      </w:r>
      <w:r>
        <w:rPr>
          <w:b w:val="0"/>
          <w:bCs/>
          <w:sz w:val="32"/>
          <w:szCs w:val="32"/>
        </w:rPr>
        <w:tab/>
      </w:r>
      <w:r>
        <w:rPr>
          <w:b w:val="0"/>
          <w:bCs/>
          <w:sz w:val="32"/>
          <w:szCs w:val="32"/>
        </w:rPr>
        <w:fldChar w:fldCharType="begin"/>
      </w:r>
      <w:r>
        <w:rPr>
          <w:b w:val="0"/>
          <w:bCs/>
          <w:sz w:val="32"/>
          <w:szCs w:val="32"/>
        </w:rPr>
        <w:instrText xml:space="preserve"> PAGEREF _Toc22548 </w:instrText>
      </w:r>
      <w:r>
        <w:rPr>
          <w:b w:val="0"/>
          <w:bCs/>
          <w:sz w:val="32"/>
          <w:szCs w:val="32"/>
        </w:rPr>
        <w:fldChar w:fldCharType="separate"/>
      </w:r>
      <w:r>
        <w:rPr>
          <w:b w:val="0"/>
          <w:bCs/>
          <w:sz w:val="32"/>
          <w:szCs w:val="32"/>
        </w:rPr>
        <w:t>7</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_Toc17482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第三章  投标人须知</w:t>
      </w:r>
      <w:r>
        <w:rPr>
          <w:b w:val="0"/>
          <w:bCs/>
          <w:sz w:val="32"/>
          <w:szCs w:val="32"/>
        </w:rPr>
        <w:tab/>
      </w:r>
      <w:r>
        <w:rPr>
          <w:b w:val="0"/>
          <w:bCs/>
          <w:sz w:val="32"/>
          <w:szCs w:val="32"/>
        </w:rPr>
        <w:fldChar w:fldCharType="begin"/>
      </w:r>
      <w:r>
        <w:rPr>
          <w:b w:val="0"/>
          <w:bCs/>
          <w:sz w:val="32"/>
          <w:szCs w:val="32"/>
        </w:rPr>
        <w:instrText xml:space="preserve"> PAGEREF _Toc17482 </w:instrText>
      </w:r>
      <w:r>
        <w:rPr>
          <w:b w:val="0"/>
          <w:bCs/>
          <w:sz w:val="32"/>
          <w:szCs w:val="32"/>
        </w:rPr>
        <w:fldChar w:fldCharType="separate"/>
      </w:r>
      <w:r>
        <w:rPr>
          <w:b w:val="0"/>
          <w:bCs/>
          <w:sz w:val="32"/>
          <w:szCs w:val="32"/>
        </w:rPr>
        <w:t>10</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_Toc22710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第四章  评标办法</w:t>
      </w:r>
      <w:r>
        <w:rPr>
          <w:b w:val="0"/>
          <w:bCs/>
          <w:sz w:val="32"/>
          <w:szCs w:val="32"/>
        </w:rPr>
        <w:tab/>
      </w:r>
      <w:r>
        <w:rPr>
          <w:b w:val="0"/>
          <w:bCs/>
          <w:sz w:val="32"/>
          <w:szCs w:val="32"/>
        </w:rPr>
        <w:fldChar w:fldCharType="begin"/>
      </w:r>
      <w:r>
        <w:rPr>
          <w:b w:val="0"/>
          <w:bCs/>
          <w:sz w:val="32"/>
          <w:szCs w:val="32"/>
        </w:rPr>
        <w:instrText xml:space="preserve"> PAGEREF _Toc22710 </w:instrText>
      </w:r>
      <w:r>
        <w:rPr>
          <w:b w:val="0"/>
          <w:bCs/>
          <w:sz w:val="32"/>
          <w:szCs w:val="32"/>
        </w:rPr>
        <w:fldChar w:fldCharType="separate"/>
      </w:r>
      <w:r>
        <w:rPr>
          <w:b w:val="0"/>
          <w:bCs/>
          <w:sz w:val="32"/>
          <w:szCs w:val="32"/>
        </w:rPr>
        <w:t>30</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25"/>
        <w:tabs>
          <w:tab w:val="right" w:leader="dot" w:pos="9070"/>
        </w:tabs>
        <w:spacing w:line="480" w:lineRule="auto"/>
        <w:ind w:left="0" w:leftChars="0" w:firstLine="0" w:firstLineChars="0"/>
        <w:rPr>
          <w:rFonts w:hint="eastAsia" w:eastAsia="宋体"/>
          <w:b w:val="0"/>
          <w:bCs/>
          <w:sz w:val="32"/>
          <w:szCs w:val="32"/>
          <w:lang w:eastAsia="zh-CN"/>
        </w:rPr>
      </w:pPr>
      <w:r>
        <w:rPr>
          <w:rFonts w:hint="eastAsia"/>
          <w:b w:val="0"/>
          <w:bCs/>
          <w:sz w:val="32"/>
          <w:szCs w:val="32"/>
        </w:rPr>
        <w:t>第</w:t>
      </w:r>
      <w:r>
        <w:rPr>
          <w:rFonts w:hint="eastAsia"/>
          <w:b w:val="0"/>
          <w:bCs/>
          <w:sz w:val="32"/>
          <w:szCs w:val="32"/>
          <w:lang w:eastAsia="zh-CN"/>
        </w:rPr>
        <w:t>五</w:t>
      </w:r>
      <w:r>
        <w:rPr>
          <w:rFonts w:hint="eastAsia"/>
          <w:b w:val="0"/>
          <w:bCs/>
          <w:sz w:val="32"/>
          <w:szCs w:val="32"/>
        </w:rPr>
        <w:t xml:space="preserve">章 </w:t>
      </w:r>
      <w:r>
        <w:rPr>
          <w:rFonts w:hint="eastAsia"/>
          <w:b w:val="0"/>
          <w:bCs/>
          <w:sz w:val="32"/>
          <w:szCs w:val="32"/>
          <w:lang w:val="en-US" w:eastAsia="zh-CN"/>
        </w:rPr>
        <w:t xml:space="preserve"> </w:t>
      </w:r>
      <w:r>
        <w:rPr>
          <w:rFonts w:hint="eastAsia"/>
          <w:b w:val="0"/>
          <w:bCs/>
          <w:sz w:val="32"/>
          <w:szCs w:val="32"/>
          <w:lang w:eastAsia="zh-CN"/>
        </w:rPr>
        <w:t>采购内容及要求</w:t>
      </w:r>
      <w:r>
        <w:rPr>
          <w:rFonts w:hint="eastAsia"/>
          <w:b w:val="0"/>
          <w:bCs/>
          <w:sz w:val="32"/>
          <w:szCs w:val="32"/>
        </w:rPr>
        <w:tab/>
      </w:r>
      <w:r>
        <w:rPr>
          <w:rFonts w:hint="eastAsia"/>
          <w:b w:val="0"/>
          <w:bCs/>
          <w:sz w:val="32"/>
          <w:szCs w:val="32"/>
        </w:rPr>
        <w:t>3</w:t>
      </w:r>
      <w:r>
        <w:rPr>
          <w:rFonts w:hint="eastAsia"/>
          <w:b w:val="0"/>
          <w:bCs/>
          <w:sz w:val="32"/>
          <w:szCs w:val="32"/>
          <w:lang w:val="en-US" w:eastAsia="zh-CN"/>
        </w:rPr>
        <w:t>9</w:t>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_Toc17235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 xml:space="preserve">第六章 </w:t>
      </w:r>
      <w:r>
        <w:rPr>
          <w:rFonts w:hint="eastAsia"/>
          <w:b w:val="0"/>
          <w:bCs/>
          <w:sz w:val="32"/>
          <w:szCs w:val="32"/>
          <w:lang w:val="en-US" w:eastAsia="zh-CN"/>
        </w:rPr>
        <w:t xml:space="preserve"> </w:t>
      </w:r>
      <w:r>
        <w:rPr>
          <w:rFonts w:hint="eastAsia"/>
          <w:b w:val="0"/>
          <w:bCs/>
          <w:sz w:val="32"/>
          <w:szCs w:val="32"/>
        </w:rPr>
        <w:t>合同</w:t>
      </w:r>
      <w:r>
        <w:rPr>
          <w:rFonts w:hint="eastAsia"/>
          <w:b w:val="0"/>
          <w:bCs/>
          <w:sz w:val="32"/>
          <w:szCs w:val="32"/>
          <w:lang w:eastAsia="zh-CN"/>
        </w:rPr>
        <w:t>草案</w:t>
      </w:r>
      <w:r>
        <w:rPr>
          <w:rFonts w:hint="eastAsia"/>
          <w:b w:val="0"/>
          <w:bCs/>
          <w:sz w:val="32"/>
          <w:szCs w:val="32"/>
        </w:rPr>
        <w:t>条款</w:t>
      </w:r>
      <w:r>
        <w:rPr>
          <w:b w:val="0"/>
          <w:bCs/>
          <w:sz w:val="32"/>
          <w:szCs w:val="32"/>
        </w:rPr>
        <w:tab/>
      </w:r>
      <w:r>
        <w:rPr>
          <w:b w:val="0"/>
          <w:bCs/>
          <w:sz w:val="32"/>
          <w:szCs w:val="32"/>
        </w:rPr>
        <w:fldChar w:fldCharType="begin"/>
      </w:r>
      <w:r>
        <w:rPr>
          <w:b w:val="0"/>
          <w:bCs/>
          <w:sz w:val="32"/>
          <w:szCs w:val="32"/>
        </w:rPr>
        <w:instrText xml:space="preserve"> PAGEREF _Toc17235 </w:instrText>
      </w:r>
      <w:r>
        <w:rPr>
          <w:b w:val="0"/>
          <w:bCs/>
          <w:sz w:val="32"/>
          <w:szCs w:val="32"/>
        </w:rPr>
        <w:fldChar w:fldCharType="separate"/>
      </w:r>
      <w:r>
        <w:rPr>
          <w:b w:val="0"/>
          <w:bCs/>
          <w:sz w:val="32"/>
          <w:szCs w:val="32"/>
        </w:rPr>
        <w:t>59</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23"/>
        <w:tabs>
          <w:tab w:val="right" w:leader="dot" w:pos="9070"/>
          <w:tab w:val="clear" w:pos="9060"/>
        </w:tabs>
        <w:spacing w:line="480" w:lineRule="auto"/>
        <w:rPr>
          <w:b w:val="0"/>
          <w:bCs/>
          <w:sz w:val="32"/>
          <w:szCs w:val="32"/>
        </w:rPr>
      </w:pPr>
      <w:r>
        <w:rPr>
          <w:rFonts w:hint="eastAsia" w:asciiTheme="minorEastAsia" w:hAnsiTheme="minorEastAsia" w:eastAsiaTheme="minorEastAsia" w:cstheme="minorEastAsia"/>
          <w:b w:val="0"/>
          <w:bCs/>
          <w:sz w:val="32"/>
          <w:szCs w:val="32"/>
        </w:rPr>
        <w:fldChar w:fldCharType="begin"/>
      </w:r>
      <w:r>
        <w:rPr>
          <w:rFonts w:hint="eastAsia" w:asciiTheme="minorEastAsia" w:hAnsiTheme="minorEastAsia" w:eastAsiaTheme="minorEastAsia" w:cstheme="minorEastAsia"/>
          <w:b w:val="0"/>
          <w:bCs/>
          <w:sz w:val="32"/>
          <w:szCs w:val="32"/>
        </w:rPr>
        <w:instrText xml:space="preserve"> HYPERLINK \l _Toc8793 </w:instrText>
      </w:r>
      <w:r>
        <w:rPr>
          <w:rFonts w:hint="eastAsia" w:asciiTheme="minorEastAsia" w:hAnsiTheme="minorEastAsia" w:eastAsiaTheme="minorEastAsia" w:cstheme="minorEastAsia"/>
          <w:b w:val="0"/>
          <w:bCs/>
          <w:sz w:val="32"/>
          <w:szCs w:val="32"/>
        </w:rPr>
        <w:fldChar w:fldCharType="separate"/>
      </w:r>
      <w:r>
        <w:rPr>
          <w:rFonts w:hint="eastAsia"/>
          <w:b w:val="0"/>
          <w:bCs/>
          <w:sz w:val="32"/>
          <w:szCs w:val="32"/>
        </w:rPr>
        <w:t xml:space="preserve">第七章 </w:t>
      </w:r>
      <w:r>
        <w:rPr>
          <w:rFonts w:hint="eastAsia"/>
          <w:b w:val="0"/>
          <w:bCs/>
          <w:sz w:val="32"/>
          <w:szCs w:val="32"/>
          <w:lang w:val="en-US" w:eastAsia="zh-CN"/>
        </w:rPr>
        <w:t xml:space="preserve"> </w:t>
      </w:r>
      <w:r>
        <w:rPr>
          <w:rFonts w:hint="eastAsia"/>
          <w:b w:val="0"/>
          <w:bCs/>
          <w:sz w:val="32"/>
          <w:szCs w:val="32"/>
        </w:rPr>
        <w:t>投标文件格式</w:t>
      </w:r>
      <w:r>
        <w:rPr>
          <w:b w:val="0"/>
          <w:bCs/>
          <w:sz w:val="32"/>
          <w:szCs w:val="32"/>
        </w:rPr>
        <w:tab/>
      </w:r>
      <w:r>
        <w:rPr>
          <w:b w:val="0"/>
          <w:bCs/>
          <w:sz w:val="32"/>
          <w:szCs w:val="32"/>
        </w:rPr>
        <w:fldChar w:fldCharType="begin"/>
      </w:r>
      <w:r>
        <w:rPr>
          <w:b w:val="0"/>
          <w:bCs/>
          <w:sz w:val="32"/>
          <w:szCs w:val="32"/>
        </w:rPr>
        <w:instrText xml:space="preserve"> PAGEREF _Toc8793 </w:instrText>
      </w:r>
      <w:r>
        <w:rPr>
          <w:b w:val="0"/>
          <w:bCs/>
          <w:sz w:val="32"/>
          <w:szCs w:val="32"/>
        </w:rPr>
        <w:fldChar w:fldCharType="separate"/>
      </w:r>
      <w:r>
        <w:rPr>
          <w:b w:val="0"/>
          <w:bCs/>
          <w:sz w:val="32"/>
          <w:szCs w:val="32"/>
        </w:rPr>
        <w:t>63</w:t>
      </w:r>
      <w:r>
        <w:rPr>
          <w:b w:val="0"/>
          <w:bCs/>
          <w:sz w:val="32"/>
          <w:szCs w:val="32"/>
        </w:rPr>
        <w:fldChar w:fldCharType="end"/>
      </w:r>
      <w:r>
        <w:rPr>
          <w:rFonts w:hint="eastAsia" w:asciiTheme="minorEastAsia" w:hAnsiTheme="minorEastAsia" w:eastAsiaTheme="minorEastAsia" w:cstheme="minorEastAsia"/>
          <w:b w:val="0"/>
          <w:bCs/>
          <w:sz w:val="32"/>
          <w:szCs w:val="32"/>
        </w:rPr>
        <w:fldChar w:fldCharType="end"/>
      </w:r>
    </w:p>
    <w:p>
      <w:pPr>
        <w:pStyle w:val="3"/>
        <w:spacing w:line="600" w:lineRule="auto"/>
        <w:jc w:val="both"/>
        <w:rPr>
          <w:rFonts w:hint="eastAsia" w:asciiTheme="minorEastAsia" w:hAnsiTheme="minorEastAsia" w:eastAsiaTheme="minorEastAsia" w:cstheme="minorEastAsia"/>
          <w:sz w:val="44"/>
          <w:szCs w:val="24"/>
        </w:rPr>
      </w:pPr>
      <w:r>
        <w:rPr>
          <w:rFonts w:hint="eastAsia" w:asciiTheme="minorEastAsia" w:hAnsiTheme="minorEastAsia" w:eastAsiaTheme="minorEastAsia" w:cstheme="minorEastAsia"/>
          <w:sz w:val="44"/>
          <w:szCs w:val="24"/>
        </w:rPr>
        <w:fldChar w:fldCharType="end"/>
      </w:r>
      <w:bookmarkStart w:id="17" w:name="_Toc17101"/>
    </w:p>
    <w:p>
      <w:pPr>
        <w:rPr>
          <w:rFonts w:hint="eastAsia" w:asciiTheme="minorEastAsia" w:hAnsiTheme="minorEastAsia" w:eastAsiaTheme="minorEastAsia" w:cstheme="minorEastAsia"/>
          <w:sz w:val="44"/>
          <w:szCs w:val="24"/>
        </w:rPr>
      </w:pPr>
      <w:r>
        <w:rPr>
          <w:rFonts w:hint="eastAsia" w:asciiTheme="minorEastAsia" w:hAnsiTheme="minorEastAsia" w:eastAsiaTheme="minorEastAsia" w:cstheme="minorEastAsia"/>
          <w:sz w:val="44"/>
          <w:szCs w:val="24"/>
        </w:rPr>
        <w:br w:type="page"/>
      </w:r>
    </w:p>
    <w:p>
      <w:pPr>
        <w:pStyle w:val="3"/>
        <w:spacing w:line="240" w:lineRule="auto"/>
        <w:jc w:val="center"/>
        <w:rPr>
          <w:rFonts w:hint="eastAsia" w:eastAsia="宋体"/>
          <w:sz w:val="44"/>
          <w:szCs w:val="44"/>
          <w:highlight w:val="none"/>
          <w:lang w:eastAsia="zh-CN"/>
        </w:rPr>
      </w:pPr>
      <w:r>
        <w:rPr>
          <w:rFonts w:hint="eastAsia"/>
          <w:sz w:val="44"/>
          <w:szCs w:val="44"/>
          <w:highlight w:val="none"/>
        </w:rPr>
        <w:t xml:space="preserve">第一章 </w:t>
      </w:r>
      <w:r>
        <w:rPr>
          <w:rFonts w:hint="eastAsia"/>
          <w:sz w:val="44"/>
          <w:szCs w:val="44"/>
          <w:highlight w:val="none"/>
          <w:lang w:eastAsia="zh-CN"/>
        </w:rPr>
        <w:t>招标公告</w:t>
      </w:r>
      <w:bookmarkEnd w:id="17"/>
    </w:p>
    <w:p>
      <w:pPr>
        <w:adjustRightInd w:val="0"/>
        <w:snapToGrid w:val="0"/>
        <w:spacing w:line="360" w:lineRule="auto"/>
        <w:ind w:firstLine="482" w:firstLineChars="200"/>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项目概况</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经开区2022年直属公办学校、幼儿园设施设备政府采购项目（课桌椅）招标项目的潜在</w:t>
      </w:r>
      <w:r>
        <w:rPr>
          <w:rFonts w:hint="eastAsia" w:ascii="宋体" w:hAnsi="宋体" w:cs="宋体"/>
          <w:kern w:val="0"/>
          <w:sz w:val="24"/>
          <w:highlight w:val="none"/>
          <w:lang w:val="en-US" w:eastAsia="zh-CN"/>
        </w:rPr>
        <w:t>投标人应</w:t>
      </w:r>
      <w:r>
        <w:rPr>
          <w:rFonts w:hint="eastAsia" w:ascii="宋体" w:hAnsi="宋体" w:cs="宋体"/>
          <w:kern w:val="0"/>
          <w:sz w:val="24"/>
          <w:highlight w:val="none"/>
          <w:lang w:eastAsia="zh-CN"/>
        </w:rPr>
        <w:t>在</w:t>
      </w:r>
      <w:r>
        <w:rPr>
          <w:rFonts w:hint="default" w:ascii="宋体" w:hAnsi="宋体" w:cs="宋体"/>
          <w:kern w:val="0"/>
          <w:sz w:val="24"/>
          <w:highlight w:val="none"/>
          <w:lang w:val="en-US" w:eastAsia="zh-CN"/>
        </w:rPr>
        <w:t>同正项目管理有限公司</w:t>
      </w:r>
      <w:r>
        <w:rPr>
          <w:rFonts w:hint="eastAsia" w:ascii="宋体" w:hAnsi="宋体" w:cs="宋体"/>
          <w:kern w:val="0"/>
          <w:sz w:val="24"/>
          <w:highlight w:val="none"/>
          <w:lang w:eastAsia="zh-CN"/>
        </w:rPr>
        <w:t>（西安市未央区凤城九路与明光路十字中登文景大厦A座1508室）获取</w:t>
      </w:r>
      <w:r>
        <w:rPr>
          <w:rFonts w:hint="eastAsia" w:ascii="宋体" w:hAnsi="宋体" w:cs="宋体"/>
          <w:kern w:val="0"/>
          <w:sz w:val="24"/>
          <w:highlight w:val="none"/>
          <w:lang w:val="en-US" w:eastAsia="zh-CN"/>
        </w:rPr>
        <w:t>招标</w:t>
      </w:r>
      <w:r>
        <w:rPr>
          <w:rFonts w:hint="eastAsia" w:ascii="宋体" w:hAnsi="宋体" w:cs="宋体"/>
          <w:kern w:val="0"/>
          <w:sz w:val="24"/>
          <w:highlight w:val="none"/>
          <w:lang w:eastAsia="zh-CN"/>
        </w:rPr>
        <w:t>文件，并于202</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年</w:t>
      </w:r>
      <w:r>
        <w:rPr>
          <w:rFonts w:hint="eastAsia" w:ascii="宋体" w:hAnsi="宋体" w:cs="宋体"/>
          <w:kern w:val="0"/>
          <w:sz w:val="24"/>
          <w:highlight w:val="none"/>
          <w:u w:val="none"/>
          <w:lang w:val="en-US" w:eastAsia="zh-CN"/>
        </w:rPr>
        <w:t xml:space="preserve"> 5 月 5 日</w:t>
      </w:r>
      <w:r>
        <w:rPr>
          <w:rFonts w:hint="eastAsia" w:ascii="宋体" w:hAnsi="宋体" w:cs="宋体"/>
          <w:kern w:val="0"/>
          <w:sz w:val="24"/>
          <w:highlight w:val="none"/>
          <w:lang w:val="en-US" w:eastAsia="zh-CN"/>
        </w:rPr>
        <w:t>09时30分（北京时间）</w:t>
      </w:r>
      <w:r>
        <w:rPr>
          <w:rFonts w:hint="eastAsia" w:ascii="宋体" w:hAnsi="宋体" w:cs="宋体"/>
          <w:kern w:val="0"/>
          <w:sz w:val="24"/>
          <w:highlight w:val="none"/>
          <w:lang w:eastAsia="zh-CN"/>
        </w:rPr>
        <w:t>前递交投标文件。</w:t>
      </w:r>
    </w:p>
    <w:p>
      <w:pPr>
        <w:adjustRightInd w:val="0"/>
        <w:snapToGrid w:val="0"/>
        <w:spacing w:line="360" w:lineRule="auto"/>
        <w:ind w:firstLine="482" w:firstLineChars="200"/>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一、项目基本情况</w:t>
      </w:r>
      <w:r>
        <w:rPr>
          <w:rFonts w:hint="eastAsia" w:ascii="宋体" w:hAnsi="宋体" w:cs="宋体"/>
          <w:kern w:val="0"/>
          <w:sz w:val="24"/>
          <w:highlight w:val="none"/>
          <w:lang w:eastAsia="zh-CN"/>
        </w:rPr>
        <w:t>：</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项目编号：TZZB-2022063C</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项目名称：经开区2022年直属公办学校、幼儿园设施设备政府采购项目（课桌椅）</w:t>
      </w:r>
    </w:p>
    <w:p>
      <w:pPr>
        <w:adjustRightInd w:val="0"/>
        <w:snapToGrid w:val="0"/>
        <w:spacing w:line="360" w:lineRule="auto"/>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采购方式：公开招标</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预算金额：</w:t>
      </w:r>
      <w:r>
        <w:rPr>
          <w:rFonts w:hint="eastAsia" w:ascii="宋体" w:hAnsi="宋体" w:cs="宋体"/>
          <w:kern w:val="0"/>
          <w:sz w:val="24"/>
          <w:highlight w:val="none"/>
          <w:lang w:val="en-US" w:eastAsia="zh-CN"/>
        </w:rPr>
        <w:t>5110610.00</w:t>
      </w:r>
      <w:r>
        <w:rPr>
          <w:rFonts w:hint="eastAsia" w:ascii="宋体" w:hAnsi="宋体" w:cs="宋体"/>
          <w:kern w:val="0"/>
          <w:sz w:val="24"/>
          <w:highlight w:val="none"/>
          <w:lang w:eastAsia="zh-CN"/>
        </w:rPr>
        <w:t>元</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采购需求： 经开区2022年直属公办学校、幼儿园设施设备政府采购项目（课桌椅），1批，采购预算：</w:t>
      </w:r>
      <w:r>
        <w:rPr>
          <w:rFonts w:hint="eastAsia" w:ascii="宋体" w:hAnsi="宋体" w:cs="宋体"/>
          <w:kern w:val="0"/>
          <w:sz w:val="24"/>
          <w:highlight w:val="none"/>
          <w:lang w:val="en-US" w:eastAsia="zh-CN"/>
        </w:rPr>
        <w:t>5110610.00</w:t>
      </w:r>
      <w:r>
        <w:rPr>
          <w:rFonts w:hint="eastAsia" w:ascii="宋体" w:hAnsi="宋体" w:cs="宋体"/>
          <w:kern w:val="0"/>
          <w:sz w:val="24"/>
          <w:highlight w:val="none"/>
          <w:lang w:eastAsia="zh-CN"/>
        </w:rPr>
        <w:t>元，</w:t>
      </w:r>
      <w:r>
        <w:rPr>
          <w:rFonts w:hint="eastAsia" w:ascii="宋体" w:hAnsi="宋体" w:cs="宋体"/>
          <w:kern w:val="0"/>
          <w:sz w:val="24"/>
          <w:highlight w:val="none"/>
          <w:lang w:val="en-US" w:eastAsia="zh-CN"/>
        </w:rPr>
        <w:t>最高限价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5110610.00</w:t>
      </w:r>
      <w:r>
        <w:rPr>
          <w:rFonts w:hint="eastAsia" w:ascii="宋体" w:hAnsi="宋体" w:cs="宋体"/>
          <w:kern w:val="0"/>
          <w:sz w:val="24"/>
          <w:highlight w:val="none"/>
          <w:lang w:eastAsia="zh-CN"/>
        </w:rPr>
        <w:t>元。项目概况：</w:t>
      </w:r>
      <w:r>
        <w:rPr>
          <w:rFonts w:ascii="宋体" w:hAnsi="宋体" w:eastAsia="宋体" w:cs="宋体"/>
          <w:sz w:val="24"/>
          <w:szCs w:val="24"/>
        </w:rPr>
        <w:t>课桌椅等设备采购</w:t>
      </w:r>
      <w:r>
        <w:rPr>
          <w:rFonts w:hint="eastAsia" w:ascii="宋体" w:hAnsi="宋体" w:cs="宋体"/>
          <w:kern w:val="0"/>
          <w:sz w:val="24"/>
          <w:highlight w:val="none"/>
          <w:lang w:eastAsia="zh-CN"/>
        </w:rPr>
        <w:t>。(具体采购内容详见招标文件第五章采购内容及要求)，简要技术要求、用途： 自用 。</w:t>
      </w:r>
    </w:p>
    <w:p>
      <w:pPr>
        <w:adjustRightInd w:val="0"/>
        <w:snapToGrid w:val="0"/>
        <w:spacing w:line="360" w:lineRule="auto"/>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 xml:space="preserve">二、投标人的资格要求 </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1、满足《中华人民共和国政府采购法》第二十二条规定</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2、落实政府采购政策需满足的资格要求：1、《关于印发〈政府采购促进中小企业发展管理办法〉的通知》（财库〔2020〕46号）； 2、《财政部司法部关于政府采购支持监狱企业发展有关问题的通知》（财库〔2014〕68号）； 3、《国务院办公厅关于建立政府强制采购节能产品制度的通知》（国办发〔2007〕51号）； 4、《财政部国家发展改革委关于印发〈节能产品政府采购实施意见〉的通知》（财库〔2004〕185号）； 5、《环境标志产品政府采购实施的意见》（财库〔2006〕90号）； 6、《关于促进残疾人就业政府采购政策的通知》（财库〔2017〕141号）。</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3、本项目的特定资格要求：1、具有独立承担民事责任能力的法人、其他组织或自然人，营业执照、组织机构代码证、税务登记证（三证合一只提供营业执照，事业单位提供事业单位法人证书，自然人应提供身份证）合法有效； 2、法定代表人参加投标时，提供本人身份证；授权代表参加投标时，提供法定代表人授权书和被授权人身份证；非法人单位参照执行；3、投标单位负责人为同一人或者存在控股、管理关系的不同单位不得同时进行投标；4、参加政府采购活动前三年内，在经营活动中没有重大违法记录的书面声明；5、税收缴纳证明：提供投标人202</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6</w:t>
      </w:r>
      <w:r>
        <w:rPr>
          <w:rFonts w:hint="eastAsia" w:ascii="宋体" w:hAnsi="宋体" w:cs="宋体"/>
          <w:kern w:val="0"/>
          <w:sz w:val="24"/>
          <w:highlight w:val="none"/>
          <w:lang w:eastAsia="zh-CN"/>
        </w:rPr>
        <w:t>月至今已缴纳任意一个月完税凭证或税务机关开具的完税证明（任意税种）；依法免税的应提供相关文件证明；6、社会保障资金缴纳证明：提供投标人202</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6</w:t>
      </w:r>
      <w:r>
        <w:rPr>
          <w:rFonts w:hint="eastAsia" w:ascii="宋体" w:hAnsi="宋体" w:cs="宋体"/>
          <w:kern w:val="0"/>
          <w:sz w:val="24"/>
          <w:highlight w:val="none"/>
          <w:lang w:eastAsia="zh-CN"/>
        </w:rPr>
        <w:t>月至今已缴存的任意一个月的社会保障资金缴存证明或社保机构开具的社会保险参保缴费情况证明；依法不需要缴纳社会保障资金的应提供相关文件证明；7、财务状况报告：提供</w:t>
      </w:r>
      <w:r>
        <w:rPr>
          <w:rFonts w:hint="eastAsia" w:ascii="宋体" w:hAnsi="宋体" w:cs="宋体"/>
          <w:kern w:val="0"/>
          <w:sz w:val="24"/>
          <w:highlight w:val="none"/>
          <w:lang w:val="en-US" w:eastAsia="zh-CN"/>
        </w:rPr>
        <w:t>2020</w:t>
      </w:r>
      <w:r>
        <w:rPr>
          <w:rFonts w:hint="eastAsia" w:ascii="宋体" w:hAnsi="宋体" w:cs="宋体"/>
          <w:kern w:val="0"/>
          <w:sz w:val="24"/>
          <w:highlight w:val="none"/>
          <w:lang w:eastAsia="zh-CN"/>
        </w:rPr>
        <w:t>年经审计的财务报告或开标前三个月内开户银行开具的资信证明；8、投标人不得为“信用中国”网站（www.creditchina.gov.cn）（</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）和中国政府采购网（www.ccgp.gov.cn）中被列入失信被执行人、重大税收违法案件当事人名单、政府采购严重违法失信行为记录名单的单位；</w:t>
      </w:r>
      <w:r>
        <w:rPr>
          <w:rFonts w:hint="eastAsia" w:ascii="宋体" w:hAnsi="宋体" w:cs="宋体"/>
          <w:kern w:val="0"/>
          <w:sz w:val="24"/>
          <w:lang w:val="en-US" w:eastAsia="zh-CN"/>
        </w:rPr>
        <w:t>9</w:t>
      </w:r>
      <w:r>
        <w:rPr>
          <w:rFonts w:hint="eastAsia" w:ascii="宋体" w:hAnsi="宋体" w:cs="宋体"/>
          <w:kern w:val="0"/>
          <w:sz w:val="24"/>
          <w:lang w:eastAsia="zh-CN"/>
        </w:rPr>
        <w:t>、具有履行合同所必需的设备和专业技术能力。</w:t>
      </w:r>
      <w:r>
        <w:rPr>
          <w:rFonts w:hint="eastAsia" w:ascii="宋体" w:hAnsi="宋体" w:cs="宋体"/>
          <w:kern w:val="0"/>
          <w:sz w:val="24"/>
          <w:highlight w:val="none"/>
          <w:lang w:eastAsia="zh-CN"/>
        </w:rPr>
        <w:t>注：本项目不允许联合体投标；</w:t>
      </w:r>
    </w:p>
    <w:p>
      <w:pPr>
        <w:adjustRightInd w:val="0"/>
        <w:snapToGrid w:val="0"/>
        <w:spacing w:line="360" w:lineRule="auto"/>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三、获取</w:t>
      </w:r>
      <w:r>
        <w:rPr>
          <w:rFonts w:hint="eastAsia" w:ascii="宋体" w:hAnsi="宋体" w:cs="宋体"/>
          <w:b/>
          <w:bCs/>
          <w:kern w:val="0"/>
          <w:sz w:val="24"/>
          <w:highlight w:val="none"/>
          <w:lang w:val="en-US" w:eastAsia="zh-CN"/>
        </w:rPr>
        <w:t>招标</w:t>
      </w:r>
      <w:r>
        <w:rPr>
          <w:rFonts w:hint="eastAsia" w:ascii="宋体" w:hAnsi="宋体" w:cs="宋体"/>
          <w:b/>
          <w:bCs/>
          <w:kern w:val="0"/>
          <w:sz w:val="24"/>
          <w:highlight w:val="none"/>
          <w:lang w:eastAsia="zh-CN"/>
        </w:rPr>
        <w:t>文件</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时间：</w:t>
      </w:r>
      <w:r>
        <w:rPr>
          <w:rFonts w:hint="eastAsia" w:ascii="宋体" w:hAnsi="宋体" w:cs="宋体"/>
          <w:kern w:val="0"/>
          <w:sz w:val="24"/>
          <w:highlight w:val="none"/>
          <w:lang w:eastAsia="zh-CN"/>
        </w:rPr>
        <w:t>2022年</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lang w:eastAsia="zh-CN"/>
        </w:rPr>
        <w:t>日至2022年</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lang w:eastAsia="zh-CN"/>
        </w:rPr>
        <w:t>日，每天上午09:00:00至12:00:00，下午14:00:00至1</w:t>
      </w:r>
      <w:r>
        <w:rPr>
          <w:rFonts w:hint="eastAsia" w:ascii="宋体" w:hAnsi="宋体" w:cs="宋体"/>
          <w:kern w:val="0"/>
          <w:sz w:val="24"/>
          <w:highlight w:val="none"/>
          <w:lang w:val="en-US" w:eastAsia="zh-CN"/>
        </w:rPr>
        <w:t>7</w:t>
      </w:r>
      <w:r>
        <w:rPr>
          <w:rFonts w:hint="eastAsia" w:ascii="宋体" w:hAnsi="宋体" w:cs="宋体"/>
          <w:kern w:val="0"/>
          <w:sz w:val="24"/>
          <w:highlight w:val="none"/>
          <w:lang w:eastAsia="zh-CN"/>
        </w:rPr>
        <w:t>:00:00（北京时间,法定节假日除外）</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地点：同正项目管理有限公司（西安市未央区凤城九路与明光路十字中登文景大厦A座1508室）</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方式：现场</w:t>
      </w:r>
      <w:r>
        <w:rPr>
          <w:rFonts w:hint="eastAsia" w:ascii="宋体" w:hAnsi="宋体" w:cs="宋体"/>
          <w:kern w:val="0"/>
          <w:sz w:val="24"/>
          <w:highlight w:val="none"/>
          <w:lang w:val="en-US" w:eastAsia="zh-CN"/>
        </w:rPr>
        <w:t>获取</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售价：</w:t>
      </w:r>
      <w:r>
        <w:rPr>
          <w:rFonts w:hint="eastAsia" w:ascii="宋体" w:hAnsi="宋体" w:cs="宋体"/>
          <w:kern w:val="0"/>
          <w:sz w:val="24"/>
          <w:highlight w:val="none"/>
          <w:lang w:val="en-US" w:eastAsia="zh-CN"/>
        </w:rPr>
        <w:t>免费获取</w:t>
      </w:r>
    </w:p>
    <w:p>
      <w:pPr>
        <w:adjustRightInd w:val="0"/>
        <w:snapToGrid w:val="0"/>
        <w:spacing w:line="360" w:lineRule="auto"/>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四、提交投标文件截止时间、开标时间和地点</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2022年</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日 09时30分00秒（北京时间）</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 xml:space="preserve">地点：西安市未央区凤城九路与明光路十字中登文景大厦A座15层1508室 </w:t>
      </w:r>
    </w:p>
    <w:p>
      <w:pPr>
        <w:numPr>
          <w:ilvl w:val="0"/>
          <w:numId w:val="2"/>
        </w:numPr>
        <w:adjustRightInd w:val="0"/>
        <w:snapToGrid w:val="0"/>
        <w:spacing w:line="360" w:lineRule="auto"/>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公告期限</w:t>
      </w:r>
    </w:p>
    <w:p>
      <w:pPr>
        <w:adjustRightInd w:val="0"/>
        <w:snapToGrid w:val="0"/>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自本公告发布之日起5个工作日。</w:t>
      </w:r>
    </w:p>
    <w:p>
      <w:pPr>
        <w:adjustRightInd w:val="0"/>
        <w:snapToGrid w:val="0"/>
        <w:spacing w:line="360" w:lineRule="auto"/>
        <w:ind w:firstLine="482" w:firstLineChars="200"/>
        <w:rPr>
          <w:rFonts w:hint="eastAsia" w:ascii="宋体" w:hAnsi="宋体" w:cs="宋体"/>
          <w:b/>
          <w:bCs/>
          <w:kern w:val="0"/>
          <w:sz w:val="24"/>
          <w:highlight w:val="none"/>
          <w:lang w:eastAsia="zh-CN"/>
        </w:rPr>
      </w:pPr>
      <w:r>
        <w:rPr>
          <w:rFonts w:hint="eastAsia" w:ascii="宋体" w:hAnsi="宋体" w:cs="宋体"/>
          <w:b/>
          <w:bCs/>
          <w:kern w:val="0"/>
          <w:sz w:val="24"/>
          <w:highlight w:val="none"/>
          <w:lang w:val="en-US" w:eastAsia="zh-CN"/>
        </w:rPr>
        <w:t>六</w:t>
      </w:r>
      <w:r>
        <w:rPr>
          <w:rFonts w:hint="eastAsia" w:ascii="宋体" w:hAnsi="宋体" w:cs="宋体"/>
          <w:b/>
          <w:bCs/>
          <w:kern w:val="0"/>
          <w:sz w:val="24"/>
          <w:highlight w:val="none"/>
          <w:lang w:eastAsia="zh-CN"/>
        </w:rPr>
        <w:t>、</w:t>
      </w:r>
      <w:r>
        <w:rPr>
          <w:rFonts w:hint="eastAsia" w:ascii="宋体" w:hAnsi="宋体" w:cs="宋体"/>
          <w:b/>
          <w:bCs/>
          <w:kern w:val="0"/>
          <w:sz w:val="24"/>
          <w:lang w:eastAsia="zh-CN"/>
        </w:rPr>
        <w:t>其他补充事宜</w:t>
      </w:r>
    </w:p>
    <w:p>
      <w:pPr>
        <w:adjustRightInd w:val="0"/>
        <w:snapToGrid w:val="0"/>
        <w:spacing w:line="360" w:lineRule="auto"/>
        <w:ind w:firstLine="480" w:firstLineChars="200"/>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本项目开标地点：同正项目管理有限公司（西安市未央区凤城九路与明光路十字中登文景大厦A座1508室）</w:t>
      </w:r>
    </w:p>
    <w:p>
      <w:pPr>
        <w:pStyle w:val="26"/>
        <w:numPr>
          <w:ilvl w:val="0"/>
          <w:numId w:val="0"/>
        </w:numPr>
        <w:spacing w:beforeAutospacing="0" w:afterAutospacing="0" w:line="360" w:lineRule="auto"/>
        <w:ind w:left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注：获取采购文件时请携带单位介绍信和经办人身份证原件及加盖鲜章的复印件。</w:t>
      </w:r>
    </w:p>
    <w:p>
      <w:pPr>
        <w:numPr>
          <w:ilvl w:val="0"/>
          <w:numId w:val="0"/>
        </w:numPr>
        <w:adjustRightInd w:val="0"/>
        <w:snapToGrid w:val="0"/>
        <w:spacing w:line="360" w:lineRule="auto"/>
        <w:ind w:left="210" w:leftChars="0" w:firstLine="241" w:firstLineChars="100"/>
        <w:rPr>
          <w:rFonts w:hint="eastAsia" w:ascii="宋体" w:hAnsi="宋体" w:cs="宋体"/>
          <w:kern w:val="0"/>
          <w:sz w:val="24"/>
          <w:lang w:eastAsia="zh-CN"/>
        </w:rPr>
      </w:pPr>
      <w:r>
        <w:rPr>
          <w:rFonts w:hint="eastAsia" w:cs="宋体"/>
          <w:b/>
          <w:bCs/>
          <w:kern w:val="0"/>
          <w:sz w:val="24"/>
          <w:lang w:val="en-US" w:eastAsia="zh-CN"/>
        </w:rPr>
        <w:t>七、对本次招标提出询问，请按以下方式联系。</w:t>
      </w:r>
    </w:p>
    <w:p>
      <w:pPr>
        <w:numPr>
          <w:ilvl w:val="0"/>
          <w:numId w:val="3"/>
        </w:numPr>
        <w:adjustRightInd w:val="0"/>
        <w:snapToGrid w:val="0"/>
        <w:spacing w:line="360" w:lineRule="auto"/>
        <w:ind w:left="-270" w:leftChars="0" w:firstLine="480" w:firstLineChars="0"/>
        <w:rPr>
          <w:rFonts w:hint="eastAsia" w:ascii="宋体" w:hAnsi="宋体" w:cs="宋体"/>
          <w:kern w:val="0"/>
          <w:sz w:val="24"/>
          <w:lang w:eastAsia="zh-CN"/>
        </w:rPr>
      </w:pPr>
      <w:r>
        <w:rPr>
          <w:rFonts w:hint="eastAsia" w:ascii="宋体" w:hAnsi="宋体" w:cs="宋体"/>
          <w:kern w:val="0"/>
          <w:sz w:val="24"/>
          <w:lang w:eastAsia="zh-CN"/>
        </w:rPr>
        <w:t>采购人信息</w:t>
      </w:r>
    </w:p>
    <w:p>
      <w:pPr>
        <w:numPr>
          <w:ilvl w:val="0"/>
          <w:numId w:val="0"/>
        </w:numPr>
        <w:adjustRightInd w:val="0"/>
        <w:snapToGrid w:val="0"/>
        <w:spacing w:line="360" w:lineRule="auto"/>
        <w:ind w:firstLine="240" w:firstLineChars="100"/>
        <w:rPr>
          <w:rFonts w:hint="eastAsia" w:ascii="宋体" w:hAnsi="宋体" w:cs="宋体"/>
          <w:color w:val="000000"/>
          <w:sz w:val="24"/>
          <w:szCs w:val="24"/>
          <w:lang w:eastAsia="zh-CN"/>
        </w:rPr>
      </w:pPr>
      <w:r>
        <w:rPr>
          <w:rFonts w:hint="eastAsia" w:ascii="宋体" w:hAnsi="宋体" w:cs="宋体"/>
          <w:kern w:val="0"/>
          <w:sz w:val="24"/>
          <w:lang w:val="en-US" w:eastAsia="zh-CN"/>
        </w:rPr>
        <w:t>名称</w:t>
      </w:r>
      <w:r>
        <w:rPr>
          <w:rFonts w:hint="eastAsia" w:ascii="宋体" w:hAnsi="宋体" w:cs="宋体"/>
          <w:kern w:val="0"/>
          <w:sz w:val="24"/>
          <w:lang w:eastAsia="zh-CN"/>
        </w:rPr>
        <w:t>：</w:t>
      </w:r>
      <w:r>
        <w:rPr>
          <w:rFonts w:hint="eastAsia" w:ascii="宋体" w:hAnsi="宋体" w:cs="宋体"/>
          <w:color w:val="000000"/>
          <w:sz w:val="24"/>
          <w:szCs w:val="24"/>
          <w:lang w:eastAsia="zh-CN"/>
        </w:rPr>
        <w:t>西安经济技术开发区教育体育局</w:t>
      </w:r>
    </w:p>
    <w:p>
      <w:pPr>
        <w:adjustRightInd w:val="0"/>
        <w:snapToGrid w:val="0"/>
        <w:spacing w:line="360" w:lineRule="auto"/>
        <w:ind w:firstLine="240" w:firstLineChars="100"/>
        <w:rPr>
          <w:rFonts w:hint="default" w:ascii="宋体" w:hAnsi="宋体" w:eastAsia="宋体" w:cs="宋体"/>
          <w:kern w:val="0"/>
          <w:sz w:val="24"/>
          <w:lang w:val="en-US" w:eastAsia="zh-CN"/>
        </w:rPr>
      </w:pPr>
      <w:r>
        <w:rPr>
          <w:rFonts w:hint="eastAsia" w:ascii="宋体" w:hAnsi="宋体" w:cs="宋体"/>
          <w:kern w:val="0"/>
          <w:sz w:val="24"/>
          <w:lang w:eastAsia="zh-CN"/>
        </w:rPr>
        <w:t>地址：</w:t>
      </w:r>
      <w:r>
        <w:rPr>
          <w:rFonts w:hint="eastAsia" w:ascii="宋体" w:hAnsi="宋体" w:cs="宋体"/>
          <w:color w:val="000000"/>
          <w:sz w:val="24"/>
          <w:szCs w:val="24"/>
          <w:lang w:eastAsia="zh-CN"/>
        </w:rPr>
        <w:t>西安经济技术开发区凤城十二路与明光路凯瑞F座</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eastAsia="zh-CN"/>
        </w:rPr>
        <w:t>联系人</w:t>
      </w:r>
      <w:r>
        <w:rPr>
          <w:rFonts w:hint="eastAsia" w:ascii="宋体" w:hAnsi="宋体" w:cs="宋体"/>
          <w:kern w:val="0"/>
          <w:sz w:val="24"/>
          <w:lang w:val="en-US" w:eastAsia="zh-CN"/>
        </w:rPr>
        <w:t>方式:</w:t>
      </w:r>
      <w:r>
        <w:rPr>
          <w:rFonts w:hint="eastAsia" w:ascii="宋体" w:hAnsi="宋体" w:cs="宋体"/>
          <w:color w:val="auto"/>
          <w:sz w:val="24"/>
          <w:szCs w:val="24"/>
          <w:lang w:val="en-US" w:eastAsia="zh-CN"/>
        </w:rPr>
        <w:t>029-86516508</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val="en-US" w:eastAsia="zh-CN"/>
        </w:rPr>
        <w:t>2</w:t>
      </w:r>
      <w:r>
        <w:rPr>
          <w:rFonts w:hint="eastAsia" w:ascii="宋体" w:hAnsi="宋体" w:cs="宋体"/>
          <w:kern w:val="0"/>
          <w:sz w:val="24"/>
          <w:lang w:eastAsia="zh-CN"/>
        </w:rPr>
        <w:t>、采购代理机构信息</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eastAsia="zh-CN"/>
        </w:rPr>
        <w:t>名称：同正项目管理有限公司</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eastAsia="zh-CN"/>
        </w:rPr>
        <w:t>联系地址：西安市未央区凤城九路与明光路十字中登文景大厦A座1508室</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val="en-US" w:eastAsia="zh-CN"/>
        </w:rPr>
        <w:t>联系方式：</w:t>
      </w:r>
      <w:r>
        <w:rPr>
          <w:rFonts w:hint="eastAsia" w:ascii="宋体" w:hAnsi="宋体" w:cs="宋体"/>
          <w:kern w:val="0"/>
          <w:sz w:val="24"/>
          <w:lang w:eastAsia="zh-CN"/>
        </w:rPr>
        <w:t>029-86522030转806</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val="en-US" w:eastAsia="zh-CN"/>
        </w:rPr>
        <w:t>3</w:t>
      </w:r>
      <w:r>
        <w:rPr>
          <w:rFonts w:hint="eastAsia" w:ascii="宋体" w:hAnsi="宋体" w:cs="宋体"/>
          <w:kern w:val="0"/>
          <w:sz w:val="24"/>
          <w:lang w:eastAsia="zh-CN"/>
        </w:rPr>
        <w:t>、项目联系方式</w:t>
      </w:r>
    </w:p>
    <w:p>
      <w:pPr>
        <w:adjustRightInd w:val="0"/>
        <w:snapToGrid w:val="0"/>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eastAsia="zh-CN"/>
        </w:rPr>
        <w:t>项目联系人：</w:t>
      </w:r>
      <w:r>
        <w:rPr>
          <w:rFonts w:hint="eastAsia" w:ascii="宋体" w:hAnsi="宋体" w:cs="宋体"/>
          <w:kern w:val="0"/>
          <w:sz w:val="24"/>
          <w:lang w:val="en-US" w:eastAsia="zh-CN"/>
        </w:rPr>
        <w:t>张咪</w:t>
      </w:r>
    </w:p>
    <w:p>
      <w:pPr>
        <w:adjustRightInd w:val="0"/>
        <w:snapToGrid w:val="0"/>
        <w:spacing w:line="360" w:lineRule="auto"/>
        <w:ind w:firstLine="240" w:firstLineChars="100"/>
        <w:rPr>
          <w:rFonts w:hint="eastAsia" w:ascii="宋体" w:hAnsi="宋体" w:cs="宋体"/>
          <w:kern w:val="0"/>
          <w:sz w:val="24"/>
          <w:lang w:eastAsia="zh-CN"/>
        </w:rPr>
      </w:pPr>
      <w:r>
        <w:rPr>
          <w:rFonts w:hint="eastAsia" w:ascii="宋体" w:hAnsi="宋体" w:cs="宋体"/>
          <w:kern w:val="0"/>
          <w:sz w:val="24"/>
          <w:lang w:eastAsia="zh-CN"/>
        </w:rPr>
        <w:t>电 话：029-86522030转806</w:t>
      </w:r>
    </w:p>
    <w:p>
      <w:pPr>
        <w:adjustRightInd w:val="0"/>
        <w:snapToGrid w:val="0"/>
        <w:spacing w:line="360" w:lineRule="auto"/>
        <w:rPr>
          <w:rFonts w:hint="eastAsia" w:ascii="宋体" w:hAnsi="宋体" w:cs="宋体"/>
          <w:kern w:val="0"/>
          <w:sz w:val="24"/>
          <w:lang w:eastAsia="zh-CN"/>
        </w:rPr>
      </w:pPr>
    </w:p>
    <w:p>
      <w:pPr>
        <w:spacing w:line="360" w:lineRule="auto"/>
        <w:jc w:val="both"/>
        <w:rPr>
          <w:rFonts w:hint="eastAsia" w:ascii="宋体" w:hAnsi="宋体"/>
          <w:kern w:val="0"/>
          <w:sz w:val="24"/>
          <w:lang w:eastAsia="zh-CN"/>
        </w:rPr>
      </w:pPr>
    </w:p>
    <w:p>
      <w:pPr>
        <w:spacing w:line="360" w:lineRule="auto"/>
        <w:jc w:val="both"/>
        <w:rPr>
          <w:rFonts w:hint="eastAsia" w:ascii="宋体" w:hAnsi="宋体"/>
          <w:kern w:val="0"/>
          <w:sz w:val="24"/>
          <w:lang w:eastAsia="zh-CN"/>
        </w:rPr>
      </w:pPr>
    </w:p>
    <w:p>
      <w:pPr>
        <w:spacing w:line="360" w:lineRule="auto"/>
        <w:ind w:firstLine="480" w:firstLineChars="200"/>
        <w:jc w:val="right"/>
        <w:rPr>
          <w:rFonts w:hint="eastAsia" w:ascii="宋体" w:hAnsi="宋体"/>
          <w:kern w:val="0"/>
          <w:sz w:val="24"/>
          <w:lang w:eastAsia="zh-CN"/>
        </w:rPr>
      </w:pPr>
    </w:p>
    <w:p>
      <w:pPr>
        <w:spacing w:line="360" w:lineRule="auto"/>
        <w:ind w:firstLine="480" w:firstLineChars="200"/>
        <w:jc w:val="right"/>
        <w:rPr>
          <w:rFonts w:hint="eastAsia" w:ascii="宋体" w:hAnsi="宋体"/>
          <w:kern w:val="0"/>
          <w:sz w:val="24"/>
          <w:highlight w:val="none"/>
          <w:lang w:eastAsia="zh-CN"/>
        </w:rPr>
      </w:pPr>
    </w:p>
    <w:p>
      <w:pPr>
        <w:spacing w:line="360" w:lineRule="auto"/>
        <w:ind w:firstLine="480" w:firstLineChars="200"/>
        <w:jc w:val="righ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同正项目管理有限公司</w:t>
      </w:r>
    </w:p>
    <w:p>
      <w:pPr>
        <w:spacing w:line="360" w:lineRule="auto"/>
        <w:ind w:right="240" w:firstLine="480" w:firstLineChars="200"/>
        <w:jc w:val="right"/>
        <w:rPr>
          <w:rFonts w:ascii="宋体" w:hAnsi="宋体"/>
          <w:color w:val="auto"/>
          <w:kern w:val="0"/>
          <w:sz w:val="24"/>
          <w:highlight w:val="none"/>
        </w:rPr>
      </w:pPr>
      <w:r>
        <w:rPr>
          <w:rFonts w:hint="eastAsia" w:ascii="宋体" w:hAnsi="宋体"/>
          <w:color w:val="auto"/>
          <w:kern w:val="0"/>
          <w:sz w:val="24"/>
          <w:highlight w:val="none"/>
          <w:lang w:val="en-US" w:eastAsia="zh-CN"/>
        </w:rPr>
        <w:t xml:space="preserve">  2022</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4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11 </w:t>
      </w:r>
      <w:r>
        <w:rPr>
          <w:rFonts w:hint="eastAsia" w:ascii="宋体" w:hAnsi="宋体"/>
          <w:color w:val="auto"/>
          <w:kern w:val="0"/>
          <w:sz w:val="24"/>
          <w:highlight w:val="none"/>
        </w:rPr>
        <w:t>日</w:t>
      </w:r>
    </w:p>
    <w:p>
      <w:pPr>
        <w:pStyle w:val="3"/>
        <w:spacing w:line="240" w:lineRule="auto"/>
        <w:jc w:val="center"/>
        <w:rPr>
          <w:rFonts w:ascii="宋体" w:hAnsi="宋体"/>
          <w:b w:val="0"/>
          <w:sz w:val="44"/>
          <w:szCs w:val="44"/>
        </w:rPr>
      </w:pPr>
      <w:bookmarkStart w:id="18" w:name="_Toc213397009"/>
      <w:bookmarkStart w:id="19" w:name="_Toc217446031"/>
      <w:bookmarkStart w:id="20" w:name="_Toc213396759"/>
      <w:bookmarkStart w:id="21" w:name="_Toc213496267"/>
      <w:bookmarkStart w:id="22" w:name="_Toc213396945"/>
      <w:bookmarkStart w:id="23" w:name="_Toc183682339"/>
      <w:bookmarkStart w:id="24" w:name="_Toc183582202"/>
      <w:bookmarkStart w:id="25" w:name="_Toc77400776"/>
      <w:bookmarkStart w:id="26" w:name="_Toc89075871"/>
      <w:r>
        <w:rPr>
          <w:rFonts w:ascii="宋体" w:hAnsi="宋体"/>
          <w:b w:val="0"/>
          <w:sz w:val="44"/>
          <w:szCs w:val="44"/>
          <w:highlight w:val="none"/>
        </w:rPr>
        <w:br w:type="page"/>
      </w:r>
      <w:bookmarkStart w:id="27" w:name="_Toc22548"/>
      <w:r>
        <w:rPr>
          <w:rFonts w:hint="eastAsia"/>
          <w:sz w:val="44"/>
          <w:szCs w:val="44"/>
        </w:rPr>
        <w:t>第二章  投标人须知</w:t>
      </w:r>
      <w:bookmarkEnd w:id="18"/>
      <w:bookmarkEnd w:id="19"/>
      <w:bookmarkEnd w:id="20"/>
      <w:bookmarkEnd w:id="21"/>
      <w:bookmarkEnd w:id="22"/>
      <w:bookmarkStart w:id="28" w:name="_Toc184283909"/>
      <w:bookmarkStart w:id="29" w:name="_Toc184274915"/>
      <w:r>
        <w:rPr>
          <w:rFonts w:hint="eastAsia"/>
          <w:sz w:val="44"/>
          <w:szCs w:val="44"/>
        </w:rPr>
        <w:t>前附表</w:t>
      </w:r>
      <w:bookmarkEnd w:id="27"/>
      <w:bookmarkEnd w:id="28"/>
      <w:bookmarkEnd w:id="29"/>
    </w:p>
    <w:tbl>
      <w:tblPr>
        <w:tblStyle w:val="29"/>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2185"/>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jc w:val="center"/>
        </w:trPr>
        <w:tc>
          <w:tcPr>
            <w:tcW w:w="691" w:type="dxa"/>
            <w:vAlign w:val="center"/>
          </w:tcPr>
          <w:p>
            <w:pPr>
              <w:pStyle w:val="82"/>
              <w:ind w:left="9"/>
              <w:jc w:val="center"/>
              <w:rPr>
                <w:lang w:val="zh-CN"/>
              </w:rPr>
            </w:pPr>
            <w:r>
              <w:rPr>
                <w:rFonts w:hint="eastAsia"/>
                <w:lang w:val="zh-CN"/>
              </w:rPr>
              <w:t>序号</w:t>
            </w:r>
          </w:p>
        </w:tc>
        <w:tc>
          <w:tcPr>
            <w:tcW w:w="2185" w:type="dxa"/>
            <w:vAlign w:val="center"/>
          </w:tcPr>
          <w:p>
            <w:pPr>
              <w:pStyle w:val="82"/>
              <w:ind w:left="38"/>
              <w:jc w:val="center"/>
              <w:rPr>
                <w:lang w:val="zh-CN"/>
              </w:rPr>
            </w:pPr>
            <w:r>
              <w:rPr>
                <w:rFonts w:hint="eastAsia"/>
                <w:lang w:val="zh-CN"/>
              </w:rPr>
              <w:t>内容</w:t>
            </w:r>
          </w:p>
        </w:tc>
        <w:tc>
          <w:tcPr>
            <w:tcW w:w="6849" w:type="dxa"/>
            <w:vAlign w:val="center"/>
          </w:tcPr>
          <w:p>
            <w:pPr>
              <w:pStyle w:val="82"/>
              <w:jc w:val="center"/>
              <w:rPr>
                <w:lang w:val="zh-CN"/>
              </w:rPr>
            </w:pPr>
            <w:r>
              <w:rPr>
                <w:rFonts w:hint="eastAsia"/>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691" w:type="dxa"/>
            <w:vAlign w:val="center"/>
          </w:tcPr>
          <w:p>
            <w:pPr>
              <w:pStyle w:val="82"/>
              <w:ind w:right="230"/>
              <w:jc w:val="right"/>
              <w:rPr>
                <w:rFonts w:cs="Courier New"/>
                <w:lang w:val="zh-CN"/>
              </w:rPr>
            </w:pPr>
            <w:r>
              <w:rPr>
                <w:rFonts w:hint="eastAsia" w:cs="Courier New"/>
                <w:lang w:val="zh-CN"/>
              </w:rPr>
              <w:t>1</w:t>
            </w:r>
          </w:p>
        </w:tc>
        <w:tc>
          <w:tcPr>
            <w:tcW w:w="2185" w:type="dxa"/>
            <w:vAlign w:val="center"/>
          </w:tcPr>
          <w:p>
            <w:pPr>
              <w:pStyle w:val="82"/>
              <w:jc w:val="center"/>
              <w:rPr>
                <w:color w:val="auto"/>
                <w:lang w:val="zh-CN"/>
              </w:rPr>
            </w:pPr>
            <w:r>
              <w:rPr>
                <w:rFonts w:hint="eastAsia"/>
                <w:color w:val="auto"/>
                <w:lang w:val="zh-CN"/>
              </w:rPr>
              <w:t>采购人</w:t>
            </w:r>
          </w:p>
        </w:tc>
        <w:tc>
          <w:tcPr>
            <w:tcW w:w="6849" w:type="dxa"/>
            <w:vAlign w:val="center"/>
          </w:tcPr>
          <w:p>
            <w:pPr>
              <w:pStyle w:val="82"/>
              <w:spacing w:line="360" w:lineRule="auto"/>
              <w:jc w:val="both"/>
              <w:rPr>
                <w:rFonts w:hint="eastAsia" w:cs="Times New Roman"/>
                <w:color w:val="auto"/>
                <w:kern w:val="2"/>
                <w:sz w:val="24"/>
                <w:szCs w:val="24"/>
                <w:lang w:val="en-US" w:eastAsia="zh-CN" w:bidi="ar-SA"/>
              </w:rPr>
            </w:pPr>
            <w:r>
              <w:rPr>
                <w:rFonts w:hint="eastAsia"/>
                <w:color w:val="auto"/>
              </w:rPr>
              <w:t>名称</w:t>
            </w:r>
            <w:r>
              <w:rPr>
                <w:rFonts w:hint="eastAsia" w:ascii="宋体" w:hAnsi="宋体"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西安经济技术开发区教育体育局</w:t>
            </w:r>
          </w:p>
          <w:p>
            <w:pPr>
              <w:pStyle w:val="82"/>
              <w:spacing w:line="360"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地址：</w:t>
            </w:r>
            <w:r>
              <w:rPr>
                <w:rFonts w:hint="eastAsia" w:cs="宋体"/>
                <w:color w:val="000000"/>
                <w:sz w:val="24"/>
                <w:szCs w:val="24"/>
                <w:lang w:eastAsia="zh-CN"/>
              </w:rPr>
              <w:t>西安经济技术开发区凤城十二路与明光路凯瑞F座</w:t>
            </w:r>
          </w:p>
          <w:p>
            <w:pPr>
              <w:pStyle w:val="82"/>
              <w:spacing w:line="360"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联系人：</w:t>
            </w:r>
            <w:r>
              <w:rPr>
                <w:rFonts w:hint="eastAsia" w:cs="Times New Roman"/>
                <w:color w:val="auto"/>
                <w:kern w:val="2"/>
                <w:sz w:val="24"/>
                <w:szCs w:val="24"/>
                <w:lang w:val="en-US" w:eastAsia="zh-CN" w:bidi="ar-SA"/>
              </w:rPr>
              <w:t>尚老师</w:t>
            </w:r>
          </w:p>
          <w:p>
            <w:pPr>
              <w:pStyle w:val="82"/>
              <w:spacing w:line="360" w:lineRule="auto"/>
              <w:jc w:val="both"/>
              <w:rPr>
                <w:rFonts w:hint="default"/>
                <w:color w:val="auto"/>
                <w:lang w:val="en-US"/>
              </w:rPr>
            </w:pPr>
            <w:r>
              <w:rPr>
                <w:rFonts w:hint="eastAsia" w:ascii="宋体" w:hAnsi="宋体" w:eastAsia="宋体" w:cs="Times New Roman"/>
                <w:color w:val="auto"/>
                <w:kern w:val="2"/>
                <w:sz w:val="24"/>
                <w:szCs w:val="24"/>
                <w:lang w:val="en-US" w:eastAsia="zh-CN" w:bidi="ar-SA"/>
              </w:rPr>
              <w:t>联系方法：</w:t>
            </w:r>
            <w:r>
              <w:rPr>
                <w:rFonts w:hint="eastAsia" w:cs="Times New Roman"/>
                <w:color w:val="auto"/>
                <w:kern w:val="2"/>
                <w:sz w:val="24"/>
                <w:szCs w:val="24"/>
                <w:lang w:val="en-US" w:eastAsia="zh-CN" w:bidi="ar-SA"/>
              </w:rPr>
              <w:t>029-86516508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691" w:type="dxa"/>
            <w:vAlign w:val="center"/>
          </w:tcPr>
          <w:p>
            <w:pPr>
              <w:pStyle w:val="82"/>
              <w:ind w:right="230"/>
              <w:jc w:val="right"/>
              <w:rPr>
                <w:rFonts w:cs="Courier New"/>
                <w:lang w:val="zh-CN"/>
              </w:rPr>
            </w:pPr>
            <w:r>
              <w:rPr>
                <w:rFonts w:hint="eastAsia" w:cs="Courier New"/>
                <w:lang w:val="zh-CN"/>
              </w:rPr>
              <w:t>2</w:t>
            </w:r>
          </w:p>
        </w:tc>
        <w:tc>
          <w:tcPr>
            <w:tcW w:w="2185" w:type="dxa"/>
            <w:vAlign w:val="center"/>
          </w:tcPr>
          <w:p>
            <w:pPr>
              <w:pStyle w:val="82"/>
              <w:ind w:left="38"/>
              <w:jc w:val="center"/>
              <w:rPr>
                <w:lang w:val="zh-CN"/>
              </w:rPr>
            </w:pPr>
            <w:r>
              <w:rPr>
                <w:rFonts w:hint="eastAsia"/>
                <w:lang w:val="zh-CN"/>
              </w:rPr>
              <w:t>采购代理机构</w:t>
            </w:r>
          </w:p>
        </w:tc>
        <w:tc>
          <w:tcPr>
            <w:tcW w:w="6849" w:type="dxa"/>
            <w:vAlign w:val="center"/>
          </w:tcPr>
          <w:p>
            <w:pPr>
              <w:pStyle w:val="82"/>
              <w:spacing w:line="360" w:lineRule="auto"/>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 xml:space="preserve">名  称: </w:t>
            </w:r>
            <w:r>
              <w:rPr>
                <w:rFonts w:hint="eastAsia" w:cs="Times New Roman"/>
                <w:kern w:val="2"/>
                <w:sz w:val="24"/>
                <w:szCs w:val="24"/>
                <w:lang w:val="zh-CN" w:eastAsia="zh-CN" w:bidi="ar-SA"/>
              </w:rPr>
              <w:t>同正项目管理有限公司</w:t>
            </w:r>
          </w:p>
          <w:p>
            <w:pPr>
              <w:pStyle w:val="82"/>
              <w:spacing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zh-CN" w:eastAsia="zh-CN" w:bidi="ar-SA"/>
              </w:rPr>
              <w:t>地  址:</w:t>
            </w:r>
            <w:r>
              <w:rPr>
                <w:rFonts w:hint="eastAsia" w:ascii="宋体" w:hAnsi="宋体" w:eastAsia="宋体" w:cs="Times New Roman"/>
                <w:kern w:val="2"/>
                <w:sz w:val="24"/>
                <w:szCs w:val="24"/>
                <w:lang w:val="en-US" w:eastAsia="zh-CN" w:bidi="ar-SA"/>
              </w:rPr>
              <w:t xml:space="preserve"> 西安市未央区凤城九路与明光路十字中登文景大厦A座1508室</w:t>
            </w:r>
          </w:p>
          <w:p>
            <w:pPr>
              <w:pStyle w:val="82"/>
              <w:spacing w:line="360" w:lineRule="auto"/>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联系人:</w:t>
            </w:r>
            <w:r>
              <w:rPr>
                <w:rFonts w:hint="eastAsia" w:ascii="宋体" w:hAnsi="宋体" w:eastAsia="宋体" w:cs="Times New Roman"/>
                <w:kern w:val="2"/>
                <w:sz w:val="24"/>
                <w:szCs w:val="24"/>
                <w:lang w:val="en-US" w:eastAsia="zh-CN" w:bidi="ar-SA"/>
              </w:rPr>
              <w:t xml:space="preserve"> </w:t>
            </w:r>
            <w:r>
              <w:rPr>
                <w:rFonts w:hint="eastAsia" w:cs="宋体"/>
                <w:kern w:val="0"/>
                <w:sz w:val="24"/>
                <w:lang w:val="en-US" w:eastAsia="zh-CN"/>
              </w:rPr>
              <w:t>张咪</w:t>
            </w:r>
          </w:p>
          <w:p>
            <w:pPr>
              <w:pStyle w:val="82"/>
              <w:spacing w:line="360" w:lineRule="auto"/>
              <w:jc w:val="both"/>
              <w:rPr>
                <w:lang w:val="zh-CN"/>
              </w:rPr>
            </w:pPr>
            <w:r>
              <w:rPr>
                <w:rFonts w:hint="eastAsia" w:ascii="宋体" w:hAnsi="宋体" w:eastAsia="宋体" w:cs="Times New Roman"/>
                <w:kern w:val="2"/>
                <w:sz w:val="24"/>
                <w:szCs w:val="24"/>
                <w:lang w:val="zh-CN" w:eastAsia="zh-CN" w:bidi="ar-SA"/>
              </w:rPr>
              <w:t>联系方法：</w:t>
            </w:r>
            <w:r>
              <w:rPr>
                <w:rFonts w:hint="eastAsia" w:ascii="宋体" w:hAnsi="宋体" w:eastAsia="宋体" w:cs="Times New Roman"/>
                <w:kern w:val="2"/>
                <w:sz w:val="24"/>
                <w:szCs w:val="24"/>
                <w:lang w:val="en-US" w:eastAsia="zh-CN" w:bidi="ar-SA"/>
              </w:rPr>
              <w:t>029-86522030</w:t>
            </w:r>
            <w:r>
              <w:rPr>
                <w:rFonts w:hint="eastAsia" w:cs="Times New Roman"/>
                <w:kern w:val="2"/>
                <w:sz w:val="24"/>
                <w:szCs w:val="24"/>
                <w:lang w:val="en-US" w:eastAsia="zh-CN" w:bidi="ar-SA"/>
              </w:rPr>
              <w:t xml:space="preserve">转806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2-</w:t>
            </w:r>
            <w:r>
              <w:rPr>
                <w:rFonts w:hint="eastAsia" w:cs="Courier New"/>
                <w:lang w:val="en-US" w:eastAsia="zh-CN"/>
              </w:rPr>
              <w:t>2</w:t>
            </w:r>
          </w:p>
        </w:tc>
        <w:tc>
          <w:tcPr>
            <w:tcW w:w="2185" w:type="dxa"/>
            <w:vAlign w:val="center"/>
          </w:tcPr>
          <w:p>
            <w:pPr>
              <w:pStyle w:val="82"/>
              <w:ind w:left="38"/>
              <w:jc w:val="center"/>
              <w:rPr>
                <w:color w:val="auto"/>
                <w:lang w:val="zh-CN"/>
              </w:rPr>
            </w:pPr>
            <w:r>
              <w:rPr>
                <w:rFonts w:hint="eastAsia"/>
                <w:color w:val="auto"/>
                <w:lang w:val="zh-CN"/>
              </w:rPr>
              <w:t>监督机构</w:t>
            </w:r>
          </w:p>
        </w:tc>
        <w:tc>
          <w:tcPr>
            <w:tcW w:w="6849" w:type="dxa"/>
            <w:vAlign w:val="center"/>
          </w:tcPr>
          <w:p>
            <w:pPr>
              <w:pStyle w:val="82"/>
              <w:ind w:firstLine="480" w:firstLineChars="200"/>
              <w:jc w:val="both"/>
              <w:rPr>
                <w:rFonts w:cs="Times New Roman"/>
                <w:color w:val="auto"/>
                <w:lang w:val="zh-CN"/>
              </w:rPr>
            </w:pPr>
            <w:r>
              <w:rPr>
                <w:rFonts w:hint="eastAsia" w:cs="Times New Roman"/>
                <w:color w:val="auto"/>
                <w:kern w:val="2"/>
                <w:sz w:val="24"/>
                <w:szCs w:val="24"/>
                <w:lang w:val="en-US" w:eastAsia="zh-CN" w:bidi="ar-SA"/>
              </w:rPr>
              <w:t>西安经济技术开发区财政金融局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exact"/>
          <w:jc w:val="center"/>
        </w:trPr>
        <w:tc>
          <w:tcPr>
            <w:tcW w:w="691" w:type="dxa"/>
            <w:vAlign w:val="center"/>
          </w:tcPr>
          <w:p>
            <w:pPr>
              <w:pStyle w:val="82"/>
              <w:ind w:right="230"/>
              <w:jc w:val="right"/>
              <w:rPr>
                <w:rFonts w:cs="Courier New"/>
                <w:lang w:val="zh-CN"/>
              </w:rPr>
            </w:pPr>
            <w:r>
              <w:rPr>
                <w:rFonts w:hint="eastAsia" w:cs="Courier New"/>
                <w:lang w:val="zh-CN"/>
              </w:rPr>
              <w:t>3</w:t>
            </w:r>
          </w:p>
        </w:tc>
        <w:tc>
          <w:tcPr>
            <w:tcW w:w="2185" w:type="dxa"/>
            <w:vAlign w:val="center"/>
          </w:tcPr>
          <w:p>
            <w:pPr>
              <w:pStyle w:val="82"/>
              <w:ind w:left="38"/>
              <w:jc w:val="center"/>
              <w:rPr>
                <w:lang w:val="zh-CN"/>
              </w:rPr>
            </w:pPr>
            <w:r>
              <w:rPr>
                <w:rFonts w:hint="eastAsia"/>
                <w:lang w:val="zh-CN"/>
              </w:rPr>
              <w:t>采购项目名称</w:t>
            </w:r>
          </w:p>
        </w:tc>
        <w:tc>
          <w:tcPr>
            <w:tcW w:w="6849" w:type="dxa"/>
            <w:vAlign w:val="center"/>
          </w:tcPr>
          <w:p>
            <w:pPr>
              <w:ind w:firstLine="480" w:firstLineChars="200"/>
              <w:jc w:val="both"/>
              <w:rPr>
                <w:rFonts w:hint="eastAsia" w:ascii="宋体" w:hAnsi="宋体" w:eastAsia="宋体"/>
                <w:sz w:val="24"/>
                <w:lang w:eastAsia="zh-CN"/>
              </w:rPr>
            </w:pPr>
            <w:r>
              <w:rPr>
                <w:rFonts w:hint="eastAsia" w:ascii="宋体" w:hAnsi="宋体"/>
                <w:sz w:val="24"/>
                <w:lang w:eastAsia="zh-CN"/>
              </w:rPr>
              <w:t>经开区2022年直属公办学校、幼儿园设施设备政府采购项目（课桌椅）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691" w:type="dxa"/>
            <w:vAlign w:val="center"/>
          </w:tcPr>
          <w:p>
            <w:pPr>
              <w:pStyle w:val="82"/>
              <w:ind w:right="230"/>
              <w:jc w:val="right"/>
              <w:rPr>
                <w:rFonts w:cs="Courier New"/>
                <w:lang w:val="zh-CN"/>
              </w:rPr>
            </w:pPr>
            <w:r>
              <w:rPr>
                <w:rFonts w:hint="eastAsia" w:cs="Courier New"/>
                <w:lang w:val="zh-CN"/>
              </w:rPr>
              <w:t>4</w:t>
            </w:r>
          </w:p>
        </w:tc>
        <w:tc>
          <w:tcPr>
            <w:tcW w:w="2185" w:type="dxa"/>
            <w:vAlign w:val="center"/>
          </w:tcPr>
          <w:p>
            <w:pPr>
              <w:pStyle w:val="82"/>
              <w:ind w:left="38"/>
              <w:jc w:val="center"/>
              <w:rPr>
                <w:lang w:val="zh-CN"/>
              </w:rPr>
            </w:pPr>
            <w:r>
              <w:rPr>
                <w:rFonts w:hint="eastAsia"/>
                <w:lang w:val="zh-CN"/>
              </w:rPr>
              <w:t>采购项目编号</w:t>
            </w:r>
          </w:p>
        </w:tc>
        <w:tc>
          <w:tcPr>
            <w:tcW w:w="6849" w:type="dxa"/>
            <w:vAlign w:val="center"/>
          </w:tcPr>
          <w:p>
            <w:pPr>
              <w:ind w:firstLine="480" w:firstLineChars="200"/>
              <w:jc w:val="both"/>
              <w:rPr>
                <w:rFonts w:hint="default" w:ascii="宋体" w:hAnsi="宋体" w:eastAsia="宋体"/>
                <w:sz w:val="24"/>
                <w:lang w:val="en-US" w:eastAsia="zh-CN"/>
              </w:rPr>
            </w:pPr>
            <w:r>
              <w:rPr>
                <w:rFonts w:hint="eastAsia" w:ascii="宋体" w:hAnsi="宋体"/>
                <w:sz w:val="24"/>
                <w:highlight w:val="none"/>
                <w:lang w:eastAsia="zh-CN"/>
              </w:rPr>
              <w:t>TZZB-2022063C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exact"/>
          <w:jc w:val="center"/>
        </w:trPr>
        <w:tc>
          <w:tcPr>
            <w:tcW w:w="691" w:type="dxa"/>
            <w:vAlign w:val="center"/>
          </w:tcPr>
          <w:p>
            <w:pPr>
              <w:pStyle w:val="82"/>
              <w:ind w:right="230"/>
              <w:jc w:val="right"/>
              <w:rPr>
                <w:rFonts w:cs="Courier New"/>
                <w:lang w:val="zh-CN"/>
              </w:rPr>
            </w:pPr>
            <w:r>
              <w:rPr>
                <w:rFonts w:hint="eastAsia" w:cs="Courier New"/>
                <w:lang w:val="zh-CN"/>
              </w:rPr>
              <w:t>5</w:t>
            </w:r>
          </w:p>
        </w:tc>
        <w:tc>
          <w:tcPr>
            <w:tcW w:w="2185" w:type="dxa"/>
            <w:vAlign w:val="center"/>
          </w:tcPr>
          <w:p>
            <w:pPr>
              <w:pStyle w:val="82"/>
              <w:ind w:left="38"/>
              <w:jc w:val="center"/>
              <w:rPr>
                <w:color w:val="auto"/>
                <w:lang w:val="zh-CN"/>
              </w:rPr>
            </w:pPr>
            <w:r>
              <w:rPr>
                <w:rFonts w:hint="eastAsia"/>
                <w:color w:val="auto"/>
              </w:rPr>
              <w:t>资金性质</w:t>
            </w:r>
          </w:p>
        </w:tc>
        <w:tc>
          <w:tcPr>
            <w:tcW w:w="6849" w:type="dxa"/>
            <w:vAlign w:val="center"/>
          </w:tcPr>
          <w:p>
            <w:pPr>
              <w:widowControl/>
              <w:tabs>
                <w:tab w:val="left" w:pos="1620"/>
              </w:tabs>
              <w:spacing w:line="360" w:lineRule="auto"/>
              <w:ind w:right="-197" w:rightChars="-94" w:firstLine="480" w:firstLineChars="200"/>
              <w:jc w:val="both"/>
              <w:rPr>
                <w:rFonts w:ascii="宋体" w:hAnsi="宋体"/>
                <w:color w:val="auto"/>
                <w:sz w:val="24"/>
              </w:rPr>
            </w:pPr>
            <w:r>
              <w:rPr>
                <w:rFonts w:hint="eastAsia" w:ascii="宋体" w:hAnsi="宋体"/>
                <w:color w:val="auto"/>
                <w:kern w:val="0"/>
                <w:sz w:val="24"/>
                <w:lang w:eastAsia="zh-CN"/>
              </w:rPr>
              <w:t>财政</w:t>
            </w:r>
            <w:r>
              <w:rPr>
                <w:rFonts w:hint="eastAsia" w:ascii="宋体" w:hAnsi="宋体"/>
                <w:color w:val="auto"/>
                <w:kern w:val="0"/>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691" w:type="dxa"/>
            <w:vAlign w:val="center"/>
          </w:tcPr>
          <w:p>
            <w:pPr>
              <w:pStyle w:val="82"/>
              <w:ind w:right="230"/>
              <w:jc w:val="right"/>
              <w:rPr>
                <w:rFonts w:cs="Courier New"/>
                <w:color w:val="auto"/>
                <w:lang w:val="zh-CN"/>
              </w:rPr>
            </w:pPr>
            <w:r>
              <w:rPr>
                <w:rFonts w:hint="eastAsia" w:cs="Courier New"/>
                <w:color w:val="auto"/>
                <w:lang w:val="zh-CN"/>
              </w:rPr>
              <w:t>6</w:t>
            </w:r>
          </w:p>
        </w:tc>
        <w:tc>
          <w:tcPr>
            <w:tcW w:w="2185" w:type="dxa"/>
            <w:vAlign w:val="center"/>
          </w:tcPr>
          <w:p>
            <w:pPr>
              <w:pStyle w:val="82"/>
              <w:ind w:left="38"/>
              <w:jc w:val="center"/>
              <w:rPr>
                <w:color w:val="auto"/>
                <w:lang w:val="zh-CN"/>
              </w:rPr>
            </w:pPr>
            <w:r>
              <w:rPr>
                <w:rFonts w:hint="eastAsia"/>
                <w:color w:val="auto"/>
                <w:lang w:val="zh-CN"/>
              </w:rPr>
              <w:t>项目预算</w:t>
            </w:r>
          </w:p>
        </w:tc>
        <w:tc>
          <w:tcPr>
            <w:tcW w:w="6849" w:type="dxa"/>
            <w:vAlign w:val="center"/>
          </w:tcPr>
          <w:p>
            <w:pPr>
              <w:pStyle w:val="82"/>
              <w:spacing w:line="360" w:lineRule="auto"/>
              <w:ind w:firstLine="480" w:firstLineChars="200"/>
              <w:jc w:val="both"/>
              <w:rPr>
                <w:rFonts w:hint="eastAsia" w:eastAsia="宋体"/>
                <w:color w:val="auto"/>
                <w:lang w:val="en-US" w:eastAsia="zh-CN"/>
              </w:rPr>
            </w:pPr>
            <w:r>
              <w:rPr>
                <w:rFonts w:hint="eastAsia"/>
                <w:color w:val="auto"/>
                <w:highlight w:val="none"/>
              </w:rPr>
              <w:t>本项目预算金额</w:t>
            </w:r>
            <w:r>
              <w:rPr>
                <w:rFonts w:hint="eastAsia"/>
                <w:color w:val="auto"/>
                <w:highlight w:val="none"/>
                <w:lang w:eastAsia="zh-CN"/>
              </w:rPr>
              <w:t>为</w:t>
            </w:r>
            <w:r>
              <w:rPr>
                <w:rFonts w:hint="eastAsia"/>
                <w:color w:val="auto"/>
                <w:highlight w:val="none"/>
              </w:rPr>
              <w:t>：</w:t>
            </w:r>
            <w:r>
              <w:rPr>
                <w:rFonts w:hint="eastAsia" w:cs="宋体"/>
                <w:kern w:val="0"/>
                <w:sz w:val="24"/>
                <w:highlight w:val="none"/>
                <w:lang w:val="en-US" w:eastAsia="zh-CN"/>
              </w:rPr>
              <w:t>5110610.00</w:t>
            </w:r>
            <w:r>
              <w:rPr>
                <w:rFonts w:hint="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exact"/>
          <w:jc w:val="center"/>
        </w:trPr>
        <w:tc>
          <w:tcPr>
            <w:tcW w:w="691" w:type="dxa"/>
            <w:vAlign w:val="center"/>
          </w:tcPr>
          <w:p>
            <w:pPr>
              <w:pStyle w:val="82"/>
              <w:ind w:right="230"/>
              <w:jc w:val="right"/>
              <w:rPr>
                <w:rFonts w:hint="eastAsia" w:eastAsia="宋体" w:cs="Courier New"/>
                <w:color w:val="auto"/>
                <w:lang w:val="en-US" w:eastAsia="zh-CN"/>
              </w:rPr>
            </w:pPr>
            <w:r>
              <w:rPr>
                <w:rFonts w:hint="eastAsia" w:cs="Courier New"/>
                <w:color w:val="auto"/>
                <w:lang w:val="en-US" w:eastAsia="zh-CN"/>
              </w:rPr>
              <w:t>7</w:t>
            </w:r>
          </w:p>
        </w:tc>
        <w:tc>
          <w:tcPr>
            <w:tcW w:w="2185" w:type="dxa"/>
            <w:vAlign w:val="center"/>
          </w:tcPr>
          <w:p>
            <w:pPr>
              <w:pStyle w:val="82"/>
              <w:ind w:left="38"/>
              <w:jc w:val="center"/>
              <w:rPr>
                <w:rFonts w:hint="eastAsia"/>
                <w:color w:val="auto"/>
                <w:lang w:val="zh-CN"/>
              </w:rPr>
            </w:pPr>
            <w:r>
              <w:rPr>
                <w:rFonts w:hint="eastAsia"/>
                <w:color w:val="auto"/>
                <w:lang w:val="zh-CN"/>
              </w:rPr>
              <w:t>最高限价</w:t>
            </w:r>
          </w:p>
        </w:tc>
        <w:tc>
          <w:tcPr>
            <w:tcW w:w="6849" w:type="dxa"/>
            <w:vAlign w:val="center"/>
          </w:tcPr>
          <w:p>
            <w:pPr>
              <w:pStyle w:val="82"/>
              <w:spacing w:line="360" w:lineRule="auto"/>
              <w:ind w:firstLine="480" w:firstLineChars="200"/>
              <w:jc w:val="both"/>
              <w:rPr>
                <w:rFonts w:hint="eastAsia" w:eastAsia="宋体"/>
                <w:color w:val="auto"/>
                <w:lang w:eastAsia="zh-CN"/>
              </w:rPr>
            </w:pPr>
            <w:r>
              <w:rPr>
                <w:rFonts w:hint="eastAsia" w:ascii="宋体" w:hAnsi="宋体" w:eastAsia="宋体" w:cs="Times New Roman"/>
                <w:kern w:val="2"/>
                <w:sz w:val="24"/>
                <w:szCs w:val="24"/>
                <w:highlight w:val="none"/>
                <w:lang w:val="en-US" w:eastAsia="zh-CN" w:bidi="ar-SA"/>
              </w:rPr>
              <w:t>本项目最高限价</w:t>
            </w:r>
            <w:r>
              <w:rPr>
                <w:rFonts w:hint="eastAsia"/>
                <w:color w:val="auto"/>
                <w:highlight w:val="none"/>
                <w:lang w:eastAsia="zh-CN"/>
              </w:rPr>
              <w:t>为</w:t>
            </w:r>
            <w:r>
              <w:rPr>
                <w:rFonts w:hint="eastAsia"/>
                <w:color w:val="auto"/>
                <w:highlight w:val="none"/>
              </w:rPr>
              <w:t>：</w:t>
            </w:r>
            <w:r>
              <w:rPr>
                <w:rFonts w:hint="eastAsia" w:cs="宋体"/>
                <w:kern w:val="0"/>
                <w:sz w:val="24"/>
                <w:highlight w:val="none"/>
                <w:lang w:val="en-US" w:eastAsia="zh-CN"/>
              </w:rPr>
              <w:t>5110610.00</w:t>
            </w:r>
            <w:r>
              <w:rPr>
                <w:rFonts w:hint="eastAsia"/>
                <w:color w:val="auto"/>
                <w:highlight w:val="none"/>
              </w:rPr>
              <w:t>元</w:t>
            </w:r>
            <w:r>
              <w:rPr>
                <w:rFonts w:hint="eastAsia"/>
                <w:color w:val="auto"/>
                <w:highlight w:val="none"/>
                <w:lang w:eastAsia="zh-CN"/>
              </w:rPr>
              <w:t>，</w:t>
            </w:r>
            <w:r>
              <w:rPr>
                <w:rFonts w:hint="eastAsia" w:cs="Times New Roman"/>
                <w:kern w:val="2"/>
                <w:sz w:val="24"/>
                <w:szCs w:val="24"/>
                <w:lang w:val="en-US" w:eastAsia="zh-CN" w:bidi="ar-SA"/>
              </w:rPr>
              <w:t>投标</w:t>
            </w:r>
            <w:r>
              <w:rPr>
                <w:rFonts w:hint="eastAsia" w:ascii="宋体" w:hAnsi="宋体" w:eastAsia="宋体" w:cs="Times New Roman"/>
                <w:kern w:val="2"/>
                <w:sz w:val="24"/>
                <w:szCs w:val="24"/>
                <w:lang w:val="en-US" w:eastAsia="zh-CN" w:bidi="ar-SA"/>
              </w:rPr>
              <w:t>单位</w:t>
            </w:r>
            <w:r>
              <w:rPr>
                <w:rFonts w:hint="eastAsia" w:cs="Times New Roman"/>
                <w:kern w:val="2"/>
                <w:sz w:val="24"/>
                <w:szCs w:val="24"/>
                <w:lang w:val="en-US" w:eastAsia="zh-CN" w:bidi="ar-SA"/>
              </w:rPr>
              <w:t>投标</w:t>
            </w:r>
            <w:r>
              <w:rPr>
                <w:rFonts w:hint="eastAsia" w:ascii="宋体" w:hAnsi="宋体" w:eastAsia="宋体" w:cs="Times New Roman"/>
                <w:kern w:val="2"/>
                <w:sz w:val="24"/>
                <w:szCs w:val="24"/>
                <w:lang w:val="en-US" w:eastAsia="zh-CN" w:bidi="ar-SA"/>
              </w:rPr>
              <w:t>报价金额不得超过</w:t>
            </w:r>
            <w:r>
              <w:rPr>
                <w:rFonts w:hint="eastAsia" w:cs="Times New Roman"/>
                <w:kern w:val="2"/>
                <w:sz w:val="24"/>
                <w:szCs w:val="24"/>
                <w:lang w:val="en-US" w:eastAsia="zh-CN" w:bidi="ar-SA"/>
              </w:rPr>
              <w:t>最高限价，</w:t>
            </w:r>
            <w:r>
              <w:rPr>
                <w:rFonts w:hint="eastAsia" w:ascii="宋体" w:hAnsi="宋体" w:eastAsia="宋体" w:cs="Times New Roman"/>
                <w:kern w:val="2"/>
                <w:sz w:val="24"/>
                <w:szCs w:val="24"/>
                <w:lang w:val="en-US" w:eastAsia="zh-CN" w:bidi="ar-SA"/>
              </w:rPr>
              <w:t>报价超出最高限价的</w:t>
            </w:r>
            <w:r>
              <w:rPr>
                <w:rFonts w:hint="eastAsia" w:cs="Times New Roman"/>
                <w:kern w:val="2"/>
                <w:sz w:val="24"/>
                <w:szCs w:val="24"/>
                <w:lang w:val="en-US" w:eastAsia="zh-CN" w:bidi="ar-SA"/>
              </w:rPr>
              <w:t>投标</w:t>
            </w:r>
            <w:r>
              <w:rPr>
                <w:rFonts w:hint="eastAsia" w:ascii="宋体" w:hAnsi="宋体" w:eastAsia="宋体" w:cs="Times New Roman"/>
                <w:kern w:val="2"/>
                <w:sz w:val="24"/>
                <w:szCs w:val="24"/>
                <w:lang w:val="en-US" w:eastAsia="zh-CN" w:bidi="ar-SA"/>
              </w:rPr>
              <w:t>单位不进入下一步</w:t>
            </w:r>
            <w:r>
              <w:rPr>
                <w:rFonts w:hint="eastAsia" w:cs="Times New Roman"/>
                <w:kern w:val="2"/>
                <w:sz w:val="24"/>
                <w:szCs w:val="24"/>
                <w:lang w:val="en-US" w:eastAsia="zh-CN" w:bidi="ar-SA"/>
              </w:rPr>
              <w:t>评标</w:t>
            </w:r>
            <w:r>
              <w:rPr>
                <w:rFonts w:hint="eastAsia" w:ascii="宋体" w:hAnsi="宋体" w:eastAsia="宋体" w:cs="Times New Roman"/>
                <w:kern w:val="2"/>
                <w:sz w:val="24"/>
                <w:szCs w:val="24"/>
                <w:lang w:val="en-US" w:eastAsia="zh-CN" w:bidi="ar-SA"/>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en-US" w:eastAsia="zh-CN"/>
              </w:rPr>
              <w:t>8</w:t>
            </w:r>
          </w:p>
        </w:tc>
        <w:tc>
          <w:tcPr>
            <w:tcW w:w="2185" w:type="dxa"/>
            <w:vAlign w:val="center"/>
          </w:tcPr>
          <w:p>
            <w:pPr>
              <w:widowControl/>
              <w:tabs>
                <w:tab w:val="left" w:pos="1620"/>
              </w:tabs>
              <w:spacing w:line="360" w:lineRule="auto"/>
              <w:ind w:right="-197" w:rightChars="-94"/>
              <w:jc w:val="center"/>
              <w:rPr>
                <w:color w:val="auto"/>
                <w:lang w:val="zh-CN"/>
              </w:rPr>
            </w:pPr>
            <w:r>
              <w:rPr>
                <w:rFonts w:hint="eastAsia" w:ascii="宋体" w:hAnsi="宋体"/>
                <w:color w:val="auto"/>
                <w:kern w:val="0"/>
                <w:sz w:val="24"/>
              </w:rPr>
              <w:t>项目用途</w:t>
            </w:r>
          </w:p>
        </w:tc>
        <w:tc>
          <w:tcPr>
            <w:tcW w:w="6849" w:type="dxa"/>
            <w:vAlign w:val="center"/>
          </w:tcPr>
          <w:p>
            <w:pPr>
              <w:pStyle w:val="82"/>
              <w:ind w:firstLine="480" w:firstLineChars="200"/>
              <w:jc w:val="both"/>
              <w:rPr>
                <w:color w:val="auto"/>
                <w:lang w:val="zh-CN"/>
              </w:rPr>
            </w:pPr>
            <w:r>
              <w:rPr>
                <w:rFonts w:hint="eastAsia"/>
                <w:color w:val="auto"/>
              </w:rPr>
              <w:t>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en-US" w:eastAsia="zh-CN"/>
              </w:rPr>
              <w:t>9</w:t>
            </w:r>
          </w:p>
        </w:tc>
        <w:tc>
          <w:tcPr>
            <w:tcW w:w="2185" w:type="dxa"/>
            <w:vAlign w:val="center"/>
          </w:tcPr>
          <w:p>
            <w:pPr>
              <w:pStyle w:val="82"/>
              <w:ind w:left="38"/>
              <w:jc w:val="center"/>
              <w:rPr>
                <w:lang w:val="zh-CN"/>
              </w:rPr>
            </w:pPr>
            <w:r>
              <w:rPr>
                <w:rFonts w:hint="eastAsia"/>
                <w:lang w:val="zh-CN"/>
              </w:rPr>
              <w:t>采购方式</w:t>
            </w:r>
          </w:p>
        </w:tc>
        <w:tc>
          <w:tcPr>
            <w:tcW w:w="6849" w:type="dxa"/>
            <w:vAlign w:val="center"/>
          </w:tcPr>
          <w:p>
            <w:pPr>
              <w:pStyle w:val="82"/>
              <w:jc w:val="both"/>
              <w:rPr>
                <w:lang w:val="zh-CN"/>
              </w:rPr>
            </w:pPr>
            <w:r>
              <w:rPr>
                <w:rFonts w:hint="eastAsia"/>
                <w:lang w:val="zh-CN"/>
              </w:rPr>
              <w:t xml:space="preserve">  </w:t>
            </w:r>
            <w:r>
              <w:rPr>
                <w:rFonts w:hint="eastAsia"/>
                <w:lang w:val="en-US" w:eastAsia="zh-CN"/>
              </w:rPr>
              <w:t xml:space="preserve">  </w:t>
            </w: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exact"/>
          <w:jc w:val="center"/>
        </w:trPr>
        <w:tc>
          <w:tcPr>
            <w:tcW w:w="691" w:type="dxa"/>
            <w:vAlign w:val="center"/>
          </w:tcPr>
          <w:p>
            <w:pPr>
              <w:pStyle w:val="82"/>
              <w:ind w:right="230"/>
              <w:jc w:val="right"/>
              <w:rPr>
                <w:rFonts w:hint="default" w:eastAsia="宋体" w:cs="Courier New"/>
                <w:lang w:val="en-US" w:eastAsia="zh-CN"/>
              </w:rPr>
            </w:pPr>
            <w:r>
              <w:rPr>
                <w:rFonts w:hint="eastAsia" w:cs="Courier New"/>
                <w:lang w:val="en-US" w:eastAsia="zh-CN"/>
              </w:rPr>
              <w:t>10</w:t>
            </w:r>
          </w:p>
        </w:tc>
        <w:tc>
          <w:tcPr>
            <w:tcW w:w="2185" w:type="dxa"/>
            <w:vAlign w:val="center"/>
          </w:tcPr>
          <w:p>
            <w:pPr>
              <w:pStyle w:val="82"/>
              <w:ind w:left="38"/>
              <w:jc w:val="center"/>
              <w:rPr>
                <w:lang w:val="zh-CN"/>
              </w:rPr>
            </w:pPr>
            <w:r>
              <w:rPr>
                <w:rFonts w:hint="eastAsia"/>
                <w:lang w:val="zh-CN"/>
              </w:rPr>
              <w:t>采购内容</w:t>
            </w:r>
          </w:p>
        </w:tc>
        <w:tc>
          <w:tcPr>
            <w:tcW w:w="6849" w:type="dxa"/>
            <w:vAlign w:val="center"/>
          </w:tcPr>
          <w:p>
            <w:pPr>
              <w:pStyle w:val="82"/>
              <w:ind w:firstLine="480" w:firstLineChars="200"/>
              <w:jc w:val="both"/>
              <w:rPr>
                <w:lang w:val="zh-CN"/>
              </w:rPr>
            </w:pPr>
            <w:r>
              <w:rPr>
                <w:rFonts w:hint="eastAsia"/>
                <w:lang w:val="zh-CN"/>
              </w:rPr>
              <w:t>详见第5章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91" w:type="dxa"/>
            <w:vAlign w:val="center"/>
          </w:tcPr>
          <w:p>
            <w:pPr>
              <w:pStyle w:val="82"/>
              <w:ind w:right="230"/>
              <w:jc w:val="right"/>
              <w:rPr>
                <w:rFonts w:hint="eastAsia" w:eastAsia="宋体" w:cs="Courier New"/>
                <w:highlight w:val="none"/>
                <w:lang w:val="zh-CN" w:eastAsia="zh-CN"/>
              </w:rPr>
            </w:pPr>
            <w:r>
              <w:rPr>
                <w:rFonts w:hint="eastAsia" w:cs="Courier New"/>
                <w:highlight w:val="none"/>
                <w:lang w:val="zh-CN"/>
              </w:rPr>
              <w:t>1</w:t>
            </w:r>
            <w:r>
              <w:rPr>
                <w:rFonts w:hint="eastAsia" w:cs="Courier New"/>
                <w:highlight w:val="none"/>
                <w:lang w:val="en-US" w:eastAsia="zh-CN"/>
              </w:rPr>
              <w:t>1</w:t>
            </w:r>
          </w:p>
        </w:tc>
        <w:tc>
          <w:tcPr>
            <w:tcW w:w="2185" w:type="dxa"/>
            <w:vAlign w:val="center"/>
          </w:tcPr>
          <w:p>
            <w:pPr>
              <w:pStyle w:val="82"/>
              <w:ind w:left="96"/>
              <w:jc w:val="center"/>
              <w:rPr>
                <w:color w:val="auto"/>
                <w:highlight w:val="none"/>
                <w:lang w:val="zh-CN"/>
              </w:rPr>
            </w:pPr>
            <w:r>
              <w:rPr>
                <w:rFonts w:hint="eastAsia"/>
                <w:color w:val="auto"/>
                <w:highlight w:val="none"/>
                <w:lang w:val="zh-CN"/>
              </w:rPr>
              <w:t>交货期</w:t>
            </w:r>
          </w:p>
        </w:tc>
        <w:tc>
          <w:tcPr>
            <w:tcW w:w="6849" w:type="dxa"/>
            <w:vAlign w:val="center"/>
          </w:tcPr>
          <w:p>
            <w:pPr>
              <w:pStyle w:val="82"/>
              <w:ind w:left="239" w:leftChars="114" w:firstLine="240" w:firstLineChars="100"/>
              <w:jc w:val="both"/>
              <w:rPr>
                <w:rFonts w:hint="default" w:eastAsia="宋体"/>
                <w:color w:val="auto"/>
                <w:highlight w:val="none"/>
                <w:lang w:val="en-US" w:eastAsia="zh-CN"/>
              </w:rPr>
            </w:pPr>
            <w:r>
              <w:rPr>
                <w:rFonts w:hint="eastAsia" w:ascii="宋体" w:hAnsi="宋体" w:eastAsia="宋体" w:cs="Times New Roman"/>
                <w:color w:val="auto"/>
                <w:kern w:val="2"/>
                <w:sz w:val="24"/>
                <w:szCs w:val="24"/>
                <w:highlight w:val="none"/>
                <w:lang w:val="zh-CN" w:eastAsia="zh-CN" w:bidi="ar-SA"/>
              </w:rPr>
              <w:t>合同签订后</w:t>
            </w:r>
            <w:r>
              <w:rPr>
                <w:rFonts w:hint="eastAsia" w:cs="Times New Roman"/>
                <w:color w:val="auto"/>
                <w:kern w:val="2"/>
                <w:sz w:val="24"/>
                <w:szCs w:val="24"/>
                <w:highlight w:val="none"/>
                <w:u w:val="single"/>
                <w:lang w:val="en-US" w:eastAsia="zh-CN" w:bidi="ar-SA"/>
              </w:rPr>
              <w:t xml:space="preserve"> 60 </w:t>
            </w:r>
            <w:r>
              <w:rPr>
                <w:rFonts w:hint="eastAsia" w:cs="Times New Roman"/>
                <w:color w:val="auto"/>
                <w:kern w:val="2"/>
                <w:sz w:val="24"/>
                <w:szCs w:val="24"/>
                <w:highlight w:val="none"/>
                <w:u w:val="none"/>
                <w:lang w:val="en-US" w:eastAsia="zh-CN" w:bidi="ar-SA"/>
              </w:rPr>
              <w:t>个</w:t>
            </w:r>
            <w:r>
              <w:rPr>
                <w:rFonts w:hint="eastAsia" w:ascii="宋体" w:hAnsi="宋体" w:eastAsia="宋体" w:cs="Times New Roman"/>
                <w:color w:val="auto"/>
                <w:kern w:val="2"/>
                <w:sz w:val="24"/>
                <w:szCs w:val="24"/>
                <w:highlight w:val="none"/>
                <w:lang w:val="en-US" w:eastAsia="zh-CN" w:bidi="ar-SA"/>
              </w:rPr>
              <w:t>日历天</w:t>
            </w:r>
            <w:r>
              <w:rPr>
                <w:rFonts w:hint="eastAsia" w:cs="Times New Roman"/>
                <w:color w:val="auto"/>
                <w:kern w:val="2"/>
                <w:sz w:val="24"/>
                <w:szCs w:val="24"/>
                <w:highlight w:val="none"/>
                <w:lang w:val="en-US" w:eastAsia="zh-CN" w:bidi="ar-SA"/>
              </w:rPr>
              <w:t>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1</w:t>
            </w:r>
            <w:r>
              <w:rPr>
                <w:rFonts w:hint="eastAsia" w:cs="Courier New"/>
                <w:lang w:val="en-US" w:eastAsia="zh-CN"/>
              </w:rPr>
              <w:t>2</w:t>
            </w:r>
          </w:p>
        </w:tc>
        <w:tc>
          <w:tcPr>
            <w:tcW w:w="2185" w:type="dxa"/>
            <w:vAlign w:val="center"/>
          </w:tcPr>
          <w:p>
            <w:pPr>
              <w:pStyle w:val="82"/>
              <w:ind w:left="96"/>
              <w:jc w:val="center"/>
              <w:rPr>
                <w:lang w:val="zh-CN"/>
              </w:rPr>
            </w:pPr>
            <w:r>
              <w:rPr>
                <w:rFonts w:hint="eastAsia"/>
                <w:lang w:val="zh-CN"/>
              </w:rPr>
              <w:t>交货地点</w:t>
            </w:r>
          </w:p>
        </w:tc>
        <w:tc>
          <w:tcPr>
            <w:tcW w:w="6849" w:type="dxa"/>
            <w:vAlign w:val="center"/>
          </w:tcPr>
          <w:p>
            <w:pPr>
              <w:pStyle w:val="82"/>
              <w:ind w:left="694" w:leftChars="216" w:hanging="240" w:hangingChars="100"/>
              <w:jc w:val="both"/>
              <w:rPr>
                <w:rFonts w:cs="Times New Roman"/>
                <w:lang w:val="zh-CN"/>
              </w:rPr>
            </w:pPr>
            <w:r>
              <w:rPr>
                <w:rFonts w:hint="eastAsia" w:cs="Times New Roman"/>
                <w:lang w:val="zh-CN" w:eastAsia="zh-CN"/>
              </w:rPr>
              <w:t>甲方</w:t>
            </w:r>
            <w:r>
              <w:rPr>
                <w:rFonts w:hint="eastAsia" w:cs="Times New Roman"/>
                <w:lang w:val="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691" w:type="dxa"/>
            <w:vAlign w:val="center"/>
          </w:tcPr>
          <w:p>
            <w:pPr>
              <w:pStyle w:val="82"/>
              <w:ind w:right="230"/>
              <w:jc w:val="right"/>
              <w:rPr>
                <w:rFonts w:hint="default" w:eastAsia="宋体" w:cs="Courier New"/>
                <w:highlight w:val="none"/>
                <w:lang w:val="en-US" w:eastAsia="zh-CN"/>
              </w:rPr>
            </w:pPr>
            <w:r>
              <w:rPr>
                <w:rFonts w:hint="eastAsia" w:cs="Courier New"/>
                <w:highlight w:val="none"/>
                <w:lang w:val="en-US" w:eastAsia="zh-CN"/>
              </w:rPr>
              <w:t>13</w:t>
            </w:r>
          </w:p>
        </w:tc>
        <w:tc>
          <w:tcPr>
            <w:tcW w:w="2185" w:type="dxa"/>
            <w:vAlign w:val="center"/>
          </w:tcPr>
          <w:p>
            <w:pPr>
              <w:pStyle w:val="82"/>
              <w:ind w:left="96"/>
              <w:jc w:val="center"/>
              <w:rPr>
                <w:rFonts w:hint="eastAsia"/>
                <w:color w:val="auto"/>
                <w:highlight w:val="none"/>
                <w:lang w:val="zh-CN"/>
              </w:rPr>
            </w:pPr>
            <w:r>
              <w:rPr>
                <w:rFonts w:hint="eastAsia"/>
                <w:color w:val="auto"/>
                <w:highlight w:val="none"/>
                <w:lang w:val="zh-CN"/>
              </w:rPr>
              <w:t>质保期</w:t>
            </w:r>
          </w:p>
        </w:tc>
        <w:tc>
          <w:tcPr>
            <w:tcW w:w="6849" w:type="dxa"/>
            <w:vAlign w:val="center"/>
          </w:tcPr>
          <w:p>
            <w:pPr>
              <w:pStyle w:val="82"/>
              <w:ind w:firstLine="480" w:firstLineChars="200"/>
              <w:jc w:val="both"/>
              <w:rPr>
                <w:rFonts w:hint="eastAsia" w:eastAsia="宋体" w:cs="Times New Roman"/>
                <w:color w:val="auto"/>
                <w:highlight w:val="none"/>
                <w:lang w:val="en-US" w:eastAsia="zh-CN"/>
              </w:rPr>
            </w:pPr>
            <w:r>
              <w:rPr>
                <w:rFonts w:hint="eastAsia" w:cs="Times New Roman"/>
                <w:color w:val="auto"/>
                <w:kern w:val="2"/>
                <w:sz w:val="24"/>
                <w:szCs w:val="24"/>
                <w:highlight w:val="none"/>
                <w:lang w:val="zh-CN" w:eastAsia="zh-CN" w:bidi="ar-SA"/>
              </w:rPr>
              <w:t>自验收合格后</w:t>
            </w:r>
            <w:r>
              <w:rPr>
                <w:rFonts w:hint="eastAsia" w:cs="Times New Roman"/>
                <w:color w:val="auto"/>
                <w:kern w:val="2"/>
                <w:sz w:val="24"/>
                <w:szCs w:val="24"/>
                <w:highlight w:val="none"/>
                <w:u w:val="single"/>
                <w:lang w:val="en-US" w:eastAsia="zh-CN" w:bidi="ar-SA"/>
              </w:rPr>
              <w:t xml:space="preserve"> 1 </w:t>
            </w:r>
            <w:r>
              <w:rPr>
                <w:rFonts w:hint="eastAsia" w:cs="Times New Roman"/>
                <w:color w:val="auto"/>
                <w:kern w:val="2"/>
                <w:sz w:val="24"/>
                <w:szCs w:val="24"/>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1</w:t>
            </w:r>
            <w:r>
              <w:rPr>
                <w:rFonts w:hint="eastAsia" w:cs="Courier New"/>
                <w:lang w:val="en-US" w:eastAsia="zh-CN"/>
              </w:rPr>
              <w:t>4</w:t>
            </w:r>
          </w:p>
        </w:tc>
        <w:tc>
          <w:tcPr>
            <w:tcW w:w="2185" w:type="dxa"/>
            <w:vAlign w:val="center"/>
          </w:tcPr>
          <w:p>
            <w:pPr>
              <w:pStyle w:val="82"/>
              <w:ind w:left="96"/>
              <w:jc w:val="center"/>
              <w:rPr>
                <w:lang w:val="zh-CN"/>
              </w:rPr>
            </w:pPr>
            <w:r>
              <w:rPr>
                <w:rFonts w:hint="eastAsia"/>
                <w:lang w:val="zh-CN"/>
              </w:rPr>
              <w:t>质量要求、验收标准</w:t>
            </w:r>
          </w:p>
        </w:tc>
        <w:tc>
          <w:tcPr>
            <w:tcW w:w="6849" w:type="dxa"/>
            <w:vAlign w:val="center"/>
          </w:tcPr>
          <w:p>
            <w:pPr>
              <w:pStyle w:val="82"/>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zh-CN" w:eastAsia="zh-CN" w:bidi="ar-SA"/>
              </w:rPr>
              <w:t>质量要求：达到国家现行</w:t>
            </w:r>
            <w:r>
              <w:rPr>
                <w:rFonts w:hint="eastAsia" w:ascii="宋体" w:hAnsi="宋体" w:eastAsia="宋体" w:cs="Times New Roman"/>
                <w:kern w:val="2"/>
                <w:sz w:val="24"/>
                <w:szCs w:val="24"/>
                <w:lang w:val="en-US" w:eastAsia="zh-CN" w:bidi="ar-SA"/>
              </w:rPr>
              <w:t>技术标准合格标准。</w:t>
            </w:r>
          </w:p>
          <w:p>
            <w:pPr>
              <w:pStyle w:val="82"/>
              <w:spacing w:line="360" w:lineRule="auto"/>
              <w:ind w:firstLine="480" w:firstLineChars="200"/>
            </w:pPr>
            <w:r>
              <w:rPr>
                <w:rFonts w:hint="eastAsia" w:ascii="宋体" w:hAnsi="宋体" w:eastAsia="宋体" w:cs="Times New Roman"/>
                <w:kern w:val="2"/>
                <w:sz w:val="24"/>
                <w:szCs w:val="24"/>
                <w:lang w:val="en-US" w:eastAsia="zh-CN" w:bidi="ar-SA"/>
              </w:rPr>
              <w:t>验收标准：国家标准、行业标准、企业标准。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91" w:type="dxa"/>
            <w:vAlign w:val="center"/>
          </w:tcPr>
          <w:p>
            <w:pPr>
              <w:pStyle w:val="82"/>
              <w:ind w:right="230"/>
              <w:jc w:val="right"/>
              <w:rPr>
                <w:rFonts w:hint="default" w:eastAsia="宋体" w:cs="Courier New"/>
                <w:lang w:val="en-US" w:eastAsia="zh-CN"/>
              </w:rPr>
            </w:pPr>
            <w:r>
              <w:rPr>
                <w:rFonts w:hint="eastAsia" w:cs="Courier New"/>
                <w:lang w:val="en-US" w:eastAsia="zh-CN"/>
              </w:rPr>
              <w:t>15</w:t>
            </w:r>
          </w:p>
        </w:tc>
        <w:tc>
          <w:tcPr>
            <w:tcW w:w="2185" w:type="dxa"/>
            <w:vAlign w:val="center"/>
          </w:tcPr>
          <w:p>
            <w:pPr>
              <w:pStyle w:val="82"/>
              <w:jc w:val="center"/>
              <w:rPr>
                <w:lang w:val="zh-CN"/>
              </w:rPr>
            </w:pPr>
            <w:r>
              <w:rPr>
                <w:rFonts w:hint="eastAsia"/>
                <w:lang w:val="zh-CN"/>
              </w:rPr>
              <w:t>货款支付方式、时间</w:t>
            </w:r>
          </w:p>
          <w:p>
            <w:pPr>
              <w:pStyle w:val="82"/>
              <w:jc w:val="center"/>
              <w:rPr>
                <w:lang w:val="zh-CN"/>
              </w:rPr>
            </w:pPr>
            <w:r>
              <w:rPr>
                <w:rFonts w:hint="eastAsia"/>
                <w:lang w:val="zh-CN"/>
              </w:rPr>
              <w:t>和条件</w:t>
            </w:r>
          </w:p>
        </w:tc>
        <w:tc>
          <w:tcPr>
            <w:tcW w:w="6849" w:type="dxa"/>
            <w:vAlign w:val="center"/>
          </w:tcPr>
          <w:p>
            <w:pPr>
              <w:ind w:right="105" w:rightChars="50" w:firstLine="480" w:firstLineChars="200"/>
              <w:rPr>
                <w:rFonts w:ascii="宋体" w:hAnsi="宋体"/>
                <w:sz w:val="24"/>
              </w:rPr>
            </w:pPr>
            <w:r>
              <w:rPr>
                <w:rFonts w:hint="eastAsia" w:ascii="宋体" w:hAnsi="宋体"/>
                <w:sz w:val="24"/>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691" w:type="dxa"/>
            <w:vAlign w:val="center"/>
          </w:tcPr>
          <w:p>
            <w:pPr>
              <w:pStyle w:val="82"/>
              <w:ind w:right="232"/>
              <w:jc w:val="right"/>
              <w:rPr>
                <w:rFonts w:hint="eastAsia" w:eastAsia="宋体" w:cs="Courier New"/>
                <w:lang w:val="zh-CN" w:eastAsia="zh-CN"/>
              </w:rPr>
            </w:pPr>
            <w:r>
              <w:rPr>
                <w:rFonts w:hint="eastAsia" w:cs="Courier New"/>
                <w:lang w:val="zh-CN"/>
              </w:rPr>
              <w:t>1</w:t>
            </w:r>
            <w:r>
              <w:rPr>
                <w:rFonts w:hint="eastAsia" w:cs="Courier New"/>
                <w:lang w:val="en-US" w:eastAsia="zh-CN"/>
              </w:rPr>
              <w:t>6</w:t>
            </w:r>
          </w:p>
        </w:tc>
        <w:tc>
          <w:tcPr>
            <w:tcW w:w="2185" w:type="dxa"/>
            <w:vAlign w:val="center"/>
          </w:tcPr>
          <w:p>
            <w:pPr>
              <w:pStyle w:val="82"/>
              <w:jc w:val="center"/>
              <w:rPr>
                <w:lang w:val="zh-CN"/>
              </w:rPr>
            </w:pPr>
            <w:r>
              <w:rPr>
                <w:rFonts w:hint="eastAsia"/>
                <w:lang w:val="zh-CN"/>
              </w:rPr>
              <w:t>联合体投标</w:t>
            </w:r>
          </w:p>
        </w:tc>
        <w:tc>
          <w:tcPr>
            <w:tcW w:w="6849" w:type="dxa"/>
            <w:vAlign w:val="center"/>
          </w:tcPr>
          <w:p>
            <w:pPr>
              <w:ind w:right="105" w:rightChars="50" w:firstLine="480" w:firstLineChars="200"/>
              <w:rPr>
                <w:rFonts w:hint="eastAsia" w:ascii="宋体" w:hAnsi="宋体" w:eastAsia="宋体"/>
                <w:sz w:val="24"/>
                <w:lang w:eastAsia="zh-CN"/>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不接</w:t>
            </w:r>
            <w:r>
              <w:rPr>
                <w:rFonts w:hint="eastAsia" w:ascii="宋体" w:hAnsi="宋体"/>
                <w:sz w:val="24"/>
                <w:lang w:eastAsia="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1</w:t>
            </w:r>
            <w:r>
              <w:rPr>
                <w:rFonts w:hint="eastAsia" w:cs="Courier New"/>
                <w:lang w:val="en-US" w:eastAsia="zh-CN"/>
              </w:rPr>
              <w:t>7</w:t>
            </w:r>
          </w:p>
        </w:tc>
        <w:tc>
          <w:tcPr>
            <w:tcW w:w="2185" w:type="dxa"/>
            <w:vAlign w:val="center"/>
          </w:tcPr>
          <w:p>
            <w:pPr>
              <w:pStyle w:val="82"/>
              <w:jc w:val="center"/>
              <w:rPr>
                <w:lang w:val="zh-CN"/>
              </w:rPr>
            </w:pPr>
            <w:r>
              <w:rPr>
                <w:rFonts w:hint="eastAsia"/>
                <w:lang w:val="zh-CN"/>
              </w:rPr>
              <w:t>招标文件发售</w:t>
            </w:r>
          </w:p>
        </w:tc>
        <w:tc>
          <w:tcPr>
            <w:tcW w:w="6849" w:type="dxa"/>
            <w:vAlign w:val="center"/>
          </w:tcPr>
          <w:p>
            <w:pPr>
              <w:ind w:right="105" w:rightChars="50" w:firstLine="480" w:firstLineChars="200"/>
              <w:rPr>
                <w:rFonts w:hint="eastAsia" w:ascii="宋体" w:hAnsi="宋体" w:eastAsia="宋体"/>
                <w:sz w:val="24"/>
                <w:lang w:eastAsia="zh-CN"/>
              </w:rPr>
            </w:pPr>
            <w:r>
              <w:rPr>
                <w:rFonts w:hint="eastAsia" w:ascii="宋体" w:hAnsi="宋体"/>
                <w:sz w:val="24"/>
              </w:rPr>
              <w:t>详见</w:t>
            </w:r>
            <w:r>
              <w:rPr>
                <w:rFonts w:hint="eastAsia" w:ascii="宋体" w:hAnsi="宋体"/>
                <w:sz w:val="24"/>
                <w:lang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1</w:t>
            </w:r>
            <w:r>
              <w:rPr>
                <w:rFonts w:hint="eastAsia" w:cs="Courier New"/>
                <w:lang w:val="en-US" w:eastAsia="zh-CN"/>
              </w:rPr>
              <w:t>8</w:t>
            </w:r>
          </w:p>
        </w:tc>
        <w:tc>
          <w:tcPr>
            <w:tcW w:w="2185" w:type="dxa"/>
            <w:vAlign w:val="center"/>
          </w:tcPr>
          <w:p>
            <w:pPr>
              <w:pStyle w:val="82"/>
              <w:ind w:firstLine="720" w:firstLineChars="300"/>
              <w:rPr>
                <w:lang w:val="zh-CN"/>
              </w:rPr>
            </w:pPr>
            <w:r>
              <w:rPr>
                <w:rFonts w:hint="eastAsia"/>
                <w:lang w:val="zh-CN"/>
              </w:rPr>
              <w:t>现场勘察</w:t>
            </w:r>
          </w:p>
        </w:tc>
        <w:tc>
          <w:tcPr>
            <w:tcW w:w="6849" w:type="dxa"/>
            <w:vAlign w:val="center"/>
          </w:tcPr>
          <w:p>
            <w:pPr>
              <w:pStyle w:val="82"/>
              <w:spacing w:line="360" w:lineRule="auto"/>
              <w:ind w:firstLine="480" w:firstLineChars="200"/>
              <w:rPr>
                <w:rFonts w:hint="eastAsia" w:eastAsia="宋体"/>
                <w:lang w:val="en-US" w:eastAsia="zh-CN"/>
              </w:rPr>
            </w:pPr>
            <w:r>
              <w:rPr>
                <w:rFonts w:hint="eastAsia"/>
                <w:lang w:val="en-US" w:eastAsia="zh-CN"/>
              </w:rPr>
              <w:t>不统一组织，投标单位认为有必要，自行踏勘。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1</w:t>
            </w:r>
            <w:r>
              <w:rPr>
                <w:rFonts w:hint="eastAsia" w:cs="Courier New"/>
                <w:lang w:val="en-US" w:eastAsia="zh-CN"/>
              </w:rPr>
              <w:t>9</w:t>
            </w:r>
          </w:p>
        </w:tc>
        <w:tc>
          <w:tcPr>
            <w:tcW w:w="2185" w:type="dxa"/>
            <w:vAlign w:val="center"/>
          </w:tcPr>
          <w:p>
            <w:pPr>
              <w:pStyle w:val="82"/>
              <w:jc w:val="center"/>
              <w:rPr>
                <w:color w:val="auto"/>
                <w:lang w:val="zh-CN"/>
              </w:rPr>
            </w:pPr>
            <w:r>
              <w:rPr>
                <w:rFonts w:hint="eastAsia"/>
                <w:color w:val="auto"/>
                <w:lang w:val="zh-CN"/>
              </w:rPr>
              <w:t>转包与分包履约</w:t>
            </w:r>
          </w:p>
        </w:tc>
        <w:tc>
          <w:tcPr>
            <w:tcW w:w="6849" w:type="dxa"/>
            <w:vAlign w:val="center"/>
          </w:tcPr>
          <w:p>
            <w:pPr>
              <w:pStyle w:val="82"/>
              <w:ind w:firstLine="480" w:firstLineChars="200"/>
              <w:rPr>
                <w:color w:val="auto"/>
                <w:lang w:val="zh-CN"/>
              </w:rPr>
            </w:pPr>
            <w:r>
              <w:rPr>
                <w:rFonts w:hint="eastAsia" w:ascii="宋体" w:hAnsi="宋体" w:eastAsia="宋体" w:cs="Times New Roman"/>
                <w:color w:val="auto"/>
                <w:kern w:val="2"/>
                <w:sz w:val="24"/>
                <w:szCs w:val="24"/>
                <w:lang w:val="zh-CN" w:eastAsia="zh-CN" w:bidi="ar-SA"/>
              </w:rPr>
              <w:t>不得转包。若分包中标人在合同签订之前必须征得采购人同意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91" w:type="dxa"/>
            <w:vAlign w:val="center"/>
          </w:tcPr>
          <w:p>
            <w:pPr>
              <w:pStyle w:val="82"/>
              <w:ind w:right="230"/>
              <w:jc w:val="right"/>
              <w:rPr>
                <w:rFonts w:hint="default" w:eastAsia="宋体" w:cs="Courier New"/>
                <w:lang w:val="en-US" w:eastAsia="zh-CN"/>
              </w:rPr>
            </w:pPr>
            <w:r>
              <w:rPr>
                <w:rFonts w:hint="eastAsia" w:cs="Courier New"/>
                <w:lang w:val="en-US" w:eastAsia="zh-CN"/>
              </w:rPr>
              <w:t>20</w:t>
            </w:r>
          </w:p>
        </w:tc>
        <w:tc>
          <w:tcPr>
            <w:tcW w:w="2185" w:type="dxa"/>
            <w:vAlign w:val="center"/>
          </w:tcPr>
          <w:p>
            <w:pPr>
              <w:pStyle w:val="82"/>
              <w:ind w:left="52"/>
              <w:jc w:val="center"/>
              <w:rPr>
                <w:lang w:val="zh-CN"/>
              </w:rPr>
            </w:pPr>
            <w:r>
              <w:rPr>
                <w:rFonts w:hint="eastAsia"/>
                <w:lang w:val="zh-CN"/>
              </w:rPr>
              <w:t>构成招标文件的</w:t>
            </w:r>
          </w:p>
          <w:p>
            <w:pPr>
              <w:pStyle w:val="82"/>
              <w:jc w:val="center"/>
              <w:rPr>
                <w:lang w:val="zh-CN"/>
              </w:rPr>
            </w:pPr>
            <w:r>
              <w:rPr>
                <w:rFonts w:hint="eastAsia"/>
                <w:lang w:val="zh-CN"/>
              </w:rPr>
              <w:t>其他文件</w:t>
            </w:r>
          </w:p>
        </w:tc>
        <w:tc>
          <w:tcPr>
            <w:tcW w:w="6849" w:type="dxa"/>
            <w:vAlign w:val="center"/>
          </w:tcPr>
          <w:p>
            <w:pPr>
              <w:pStyle w:val="82"/>
              <w:ind w:firstLine="480" w:firstLineChars="200"/>
              <w:rPr>
                <w:lang w:val="zh-CN"/>
              </w:rPr>
            </w:pPr>
            <w:r>
              <w:rPr>
                <w:rFonts w:hint="eastAsia" w:ascii="宋体" w:hAnsi="宋体" w:eastAsia="宋体" w:cs="Times New Roman"/>
                <w:kern w:val="2"/>
                <w:sz w:val="24"/>
                <w:szCs w:val="24"/>
                <w:lang w:val="zh-CN" w:eastAsia="zh-CN" w:bidi="ar-SA"/>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691" w:type="dxa"/>
            <w:vAlign w:val="center"/>
          </w:tcPr>
          <w:p>
            <w:pPr>
              <w:pStyle w:val="82"/>
              <w:ind w:right="230"/>
              <w:jc w:val="right"/>
              <w:rPr>
                <w:rFonts w:hint="default" w:eastAsia="宋体" w:cs="Courier New"/>
                <w:lang w:val="en-US" w:eastAsia="zh-CN"/>
              </w:rPr>
            </w:pPr>
            <w:r>
              <w:rPr>
                <w:rFonts w:hint="eastAsia" w:cs="Courier New"/>
                <w:lang w:val="en-US" w:eastAsia="zh-CN"/>
              </w:rPr>
              <w:t>21</w:t>
            </w:r>
          </w:p>
        </w:tc>
        <w:tc>
          <w:tcPr>
            <w:tcW w:w="2185" w:type="dxa"/>
            <w:vAlign w:val="center"/>
          </w:tcPr>
          <w:p>
            <w:pPr>
              <w:pStyle w:val="82"/>
              <w:jc w:val="center"/>
              <w:rPr>
                <w:lang w:val="zh-CN"/>
              </w:rPr>
            </w:pPr>
            <w:r>
              <w:rPr>
                <w:rFonts w:hint="eastAsia"/>
                <w:lang w:val="zh-CN"/>
              </w:rPr>
              <w:t>投标人对招标文件</w:t>
            </w:r>
          </w:p>
          <w:p>
            <w:pPr>
              <w:pStyle w:val="82"/>
              <w:jc w:val="center"/>
              <w:rPr>
                <w:lang w:val="zh-CN"/>
              </w:rPr>
            </w:pPr>
            <w:r>
              <w:rPr>
                <w:rFonts w:hint="eastAsia"/>
                <w:lang w:val="zh-CN"/>
              </w:rPr>
              <w:t>提出质疑的时间、形式</w:t>
            </w:r>
          </w:p>
        </w:tc>
        <w:tc>
          <w:tcPr>
            <w:tcW w:w="6849" w:type="dxa"/>
            <w:vAlign w:val="center"/>
          </w:tcPr>
          <w:p>
            <w:pPr>
              <w:pStyle w:val="82"/>
              <w:spacing w:line="360" w:lineRule="auto"/>
              <w:ind w:firstLine="480" w:firstLineChars="20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时间：自投标人收到招标文件之日起7个工作日内</w:t>
            </w:r>
          </w:p>
          <w:p>
            <w:pPr>
              <w:pStyle w:val="82"/>
              <w:spacing w:line="360" w:lineRule="auto"/>
              <w:ind w:firstLine="480" w:firstLineChars="200"/>
              <w:rPr>
                <w:lang w:val="zh-CN"/>
              </w:rPr>
            </w:pPr>
            <w:r>
              <w:rPr>
                <w:rFonts w:hint="eastAsia" w:ascii="宋体" w:hAnsi="宋体" w:eastAsia="宋体" w:cs="Times New Roman"/>
                <w:kern w:val="2"/>
                <w:sz w:val="24"/>
                <w:szCs w:val="24"/>
                <w:lang w:val="zh-CN" w:eastAsia="zh-CN" w:bidi="ar-SA"/>
              </w:rPr>
              <w:t>形式：书面形式（详见投标人须知第4</w:t>
            </w:r>
            <w:r>
              <w:rPr>
                <w:rFonts w:hint="eastAsia"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zh-CN"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1" w:type="dxa"/>
            <w:vAlign w:val="center"/>
          </w:tcPr>
          <w:p>
            <w:pPr>
              <w:pStyle w:val="82"/>
              <w:ind w:right="230"/>
              <w:jc w:val="right"/>
              <w:rPr>
                <w:rFonts w:hint="default" w:eastAsia="宋体" w:cs="Courier New"/>
                <w:lang w:val="en-US" w:eastAsia="zh-CN"/>
              </w:rPr>
            </w:pPr>
            <w:r>
              <w:rPr>
                <w:rFonts w:hint="eastAsia" w:cs="Courier New"/>
                <w:lang w:val="en-US" w:eastAsia="zh-CN"/>
              </w:rPr>
              <w:t>22</w:t>
            </w:r>
          </w:p>
        </w:tc>
        <w:tc>
          <w:tcPr>
            <w:tcW w:w="2185" w:type="dxa"/>
            <w:vAlign w:val="center"/>
          </w:tcPr>
          <w:p>
            <w:pPr>
              <w:pStyle w:val="82"/>
              <w:jc w:val="center"/>
              <w:rPr>
                <w:lang w:val="zh-CN"/>
              </w:rPr>
            </w:pPr>
            <w:r>
              <w:rPr>
                <w:rFonts w:hint="eastAsia"/>
                <w:lang w:val="zh-CN"/>
              </w:rPr>
              <w:t>对投标人提出质疑</w:t>
            </w:r>
          </w:p>
          <w:p>
            <w:pPr>
              <w:pStyle w:val="82"/>
              <w:jc w:val="center"/>
              <w:rPr>
                <w:lang w:val="zh-CN"/>
              </w:rPr>
            </w:pPr>
            <w:r>
              <w:rPr>
                <w:rFonts w:hint="eastAsia"/>
                <w:lang w:val="zh-CN"/>
              </w:rPr>
              <w:t>答复时间、形式</w:t>
            </w:r>
          </w:p>
        </w:tc>
        <w:tc>
          <w:tcPr>
            <w:tcW w:w="6849" w:type="dxa"/>
            <w:vAlign w:val="center"/>
          </w:tcPr>
          <w:p>
            <w:pPr>
              <w:pStyle w:val="82"/>
              <w:spacing w:line="360" w:lineRule="auto"/>
              <w:ind w:firstLine="480" w:firstLineChars="20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时间：自收到投标人质疑函之日起7个工作日内</w:t>
            </w:r>
          </w:p>
          <w:p>
            <w:pPr>
              <w:pStyle w:val="82"/>
              <w:spacing w:line="360" w:lineRule="auto"/>
              <w:ind w:firstLine="480" w:firstLineChars="200"/>
            </w:pPr>
            <w:r>
              <w:rPr>
                <w:rFonts w:hint="eastAsia" w:ascii="宋体" w:hAnsi="宋体" w:eastAsia="宋体" w:cs="Times New Roman"/>
                <w:kern w:val="2"/>
                <w:sz w:val="24"/>
                <w:szCs w:val="24"/>
                <w:lang w:val="zh-CN" w:eastAsia="zh-CN" w:bidi="ar-SA"/>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2</w:t>
            </w:r>
            <w:r>
              <w:rPr>
                <w:rFonts w:hint="eastAsia" w:cs="Courier New"/>
                <w:lang w:val="en-US" w:eastAsia="zh-CN"/>
              </w:rPr>
              <w:t>3</w:t>
            </w:r>
          </w:p>
        </w:tc>
        <w:tc>
          <w:tcPr>
            <w:tcW w:w="2185" w:type="dxa"/>
            <w:vAlign w:val="center"/>
          </w:tcPr>
          <w:p>
            <w:pPr>
              <w:pStyle w:val="82"/>
              <w:ind w:left="33"/>
              <w:jc w:val="center"/>
              <w:rPr>
                <w:lang w:val="zh-CN"/>
              </w:rPr>
            </w:pPr>
            <w:r>
              <w:rPr>
                <w:rFonts w:hint="eastAsia"/>
                <w:lang w:val="zh-CN"/>
              </w:rPr>
              <w:t>投标有效期</w:t>
            </w:r>
          </w:p>
        </w:tc>
        <w:tc>
          <w:tcPr>
            <w:tcW w:w="6849" w:type="dxa"/>
            <w:vAlign w:val="center"/>
          </w:tcPr>
          <w:p>
            <w:pPr>
              <w:pStyle w:val="82"/>
              <w:ind w:firstLine="480" w:firstLineChars="200"/>
              <w:jc w:val="both"/>
              <w:rPr>
                <w:lang w:val="zh-CN"/>
              </w:rPr>
            </w:pPr>
            <w:r>
              <w:rPr>
                <w:rFonts w:hint="eastAsia"/>
                <w:lang w:val="zh-CN"/>
              </w:rPr>
              <w:t>从投标截止日起</w:t>
            </w:r>
            <w:r>
              <w:rPr>
                <w:rFonts w:hint="eastAsia"/>
                <w:lang w:val="en-US" w:eastAsia="zh-CN"/>
              </w:rPr>
              <w:t>90</w:t>
            </w:r>
            <w:r>
              <w:rPr>
                <w:rFonts w:hint="eastAsia"/>
                <w:lang w:val="zh-CN"/>
              </w:rPr>
              <w:t>日历</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2</w:t>
            </w:r>
            <w:r>
              <w:rPr>
                <w:rFonts w:hint="eastAsia" w:cs="Courier New"/>
                <w:lang w:val="en-US" w:eastAsia="zh-CN"/>
              </w:rPr>
              <w:t>4</w:t>
            </w:r>
          </w:p>
        </w:tc>
        <w:tc>
          <w:tcPr>
            <w:tcW w:w="2185" w:type="dxa"/>
            <w:vAlign w:val="center"/>
          </w:tcPr>
          <w:p>
            <w:pPr>
              <w:pStyle w:val="82"/>
              <w:ind w:left="33"/>
              <w:jc w:val="center"/>
              <w:rPr>
                <w:lang w:val="zh-CN"/>
              </w:rPr>
            </w:pPr>
            <w:r>
              <w:rPr>
                <w:rFonts w:hint="eastAsia"/>
                <w:lang w:val="zh-CN"/>
              </w:rPr>
              <w:t>是否允许递交多个</w:t>
            </w:r>
          </w:p>
          <w:p>
            <w:pPr>
              <w:pStyle w:val="82"/>
              <w:ind w:left="33"/>
              <w:jc w:val="center"/>
              <w:rPr>
                <w:lang w:val="zh-CN"/>
              </w:rPr>
            </w:pPr>
            <w:r>
              <w:rPr>
                <w:rFonts w:hint="eastAsia"/>
                <w:lang w:val="zh-CN"/>
              </w:rPr>
              <w:t>备选投标方案</w:t>
            </w:r>
          </w:p>
        </w:tc>
        <w:tc>
          <w:tcPr>
            <w:tcW w:w="6849" w:type="dxa"/>
            <w:vAlign w:val="center"/>
          </w:tcPr>
          <w:p>
            <w:pPr>
              <w:pStyle w:val="82"/>
              <w:ind w:firstLine="480" w:firstLineChars="200"/>
              <w:jc w:val="both"/>
              <w:rPr>
                <w:lang w:val="zh-CN"/>
              </w:rPr>
            </w:pPr>
            <w:r>
              <w:rPr>
                <w:rFonts w:hint="eastAsia"/>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exact"/>
          <w:jc w:val="center"/>
        </w:trPr>
        <w:tc>
          <w:tcPr>
            <w:tcW w:w="691" w:type="dxa"/>
            <w:vAlign w:val="center"/>
          </w:tcPr>
          <w:p>
            <w:pPr>
              <w:pStyle w:val="82"/>
              <w:ind w:right="230"/>
              <w:jc w:val="right"/>
              <w:rPr>
                <w:rFonts w:hint="eastAsia" w:eastAsia="宋体" w:cs="Courier New"/>
                <w:lang w:val="zh-CN" w:eastAsia="zh-CN"/>
              </w:rPr>
            </w:pPr>
            <w:r>
              <w:rPr>
                <w:rFonts w:hint="eastAsia" w:cs="Courier New"/>
                <w:lang w:val="zh-CN"/>
              </w:rPr>
              <w:t>2</w:t>
            </w:r>
            <w:r>
              <w:rPr>
                <w:rFonts w:hint="eastAsia" w:cs="Courier New"/>
                <w:lang w:val="en-US" w:eastAsia="zh-CN"/>
              </w:rPr>
              <w:t>5</w:t>
            </w:r>
          </w:p>
        </w:tc>
        <w:tc>
          <w:tcPr>
            <w:tcW w:w="2185" w:type="dxa"/>
            <w:vAlign w:val="center"/>
          </w:tcPr>
          <w:p>
            <w:pPr>
              <w:pStyle w:val="82"/>
              <w:ind w:left="33"/>
              <w:jc w:val="center"/>
            </w:pPr>
            <w:r>
              <w:rPr>
                <w:rFonts w:hint="eastAsia"/>
              </w:rPr>
              <w:t>投标保证金</w:t>
            </w:r>
          </w:p>
        </w:tc>
        <w:tc>
          <w:tcPr>
            <w:tcW w:w="6849" w:type="dxa"/>
            <w:vAlign w:val="center"/>
          </w:tcPr>
          <w:p>
            <w:pPr>
              <w:pStyle w:val="82"/>
              <w:spacing w:line="360" w:lineRule="auto"/>
              <w:ind w:firstLine="480" w:firstLineChars="200"/>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2</w:t>
            </w:r>
            <w:r>
              <w:rPr>
                <w:rFonts w:hint="eastAsia" w:cs="Courier New"/>
                <w:lang w:val="en-US" w:eastAsia="zh-CN"/>
              </w:rPr>
              <w:t>6</w:t>
            </w:r>
          </w:p>
        </w:tc>
        <w:tc>
          <w:tcPr>
            <w:tcW w:w="2185" w:type="dxa"/>
            <w:vAlign w:val="center"/>
          </w:tcPr>
          <w:p>
            <w:pPr>
              <w:pStyle w:val="82"/>
              <w:jc w:val="center"/>
              <w:rPr>
                <w:lang w:val="zh-CN"/>
              </w:rPr>
            </w:pPr>
            <w:r>
              <w:rPr>
                <w:rFonts w:hint="eastAsia"/>
                <w:lang w:val="zh-CN"/>
              </w:rPr>
              <w:t>投标文件份数</w:t>
            </w:r>
          </w:p>
        </w:tc>
        <w:tc>
          <w:tcPr>
            <w:tcW w:w="6849" w:type="dxa"/>
            <w:vAlign w:val="center"/>
          </w:tcPr>
          <w:p>
            <w:pPr>
              <w:pStyle w:val="82"/>
              <w:ind w:firstLine="480" w:firstLineChars="200"/>
              <w:rPr>
                <w:lang w:val="zh-CN"/>
              </w:rPr>
            </w:pPr>
            <w:r>
              <w:rPr>
                <w:rFonts w:hint="eastAsia" w:cs="仿宋_GB2312"/>
              </w:rPr>
              <w:t>正本1份；副本</w:t>
            </w:r>
            <w:r>
              <w:rPr>
                <w:rFonts w:hint="eastAsia" w:cs="仿宋_GB2312"/>
                <w:lang w:val="en-US" w:eastAsia="zh-CN"/>
              </w:rPr>
              <w:t>2</w:t>
            </w:r>
            <w:r>
              <w:rPr>
                <w:rFonts w:hint="eastAsia" w:cs="仿宋_GB2312"/>
              </w:rPr>
              <w:t>份；电子</w:t>
            </w:r>
            <w:r>
              <w:rPr>
                <w:rFonts w:hint="eastAsia" w:cs="仿宋_GB2312"/>
                <w:lang w:eastAsia="zh-CN"/>
              </w:rPr>
              <w:t>版</w:t>
            </w:r>
            <w:r>
              <w:rPr>
                <w:rFonts w:hint="eastAsia" w:cs="仿宋_GB2312"/>
              </w:rPr>
              <w:t>（U盘）1份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exact"/>
          <w:jc w:val="center"/>
        </w:trPr>
        <w:tc>
          <w:tcPr>
            <w:tcW w:w="691" w:type="dxa"/>
            <w:vAlign w:val="center"/>
          </w:tcPr>
          <w:p>
            <w:pPr>
              <w:pStyle w:val="82"/>
              <w:ind w:right="264"/>
              <w:jc w:val="right"/>
              <w:rPr>
                <w:rFonts w:hint="default" w:eastAsia="宋体" w:cs="Courier New"/>
                <w:lang w:val="en-US" w:eastAsia="zh-CN"/>
              </w:rPr>
            </w:pPr>
            <w:r>
              <w:rPr>
                <w:rFonts w:hint="eastAsia" w:cs="Courier New"/>
                <w:lang w:val="en-US" w:eastAsia="zh-CN"/>
              </w:rPr>
              <w:t>27</w:t>
            </w:r>
          </w:p>
        </w:tc>
        <w:tc>
          <w:tcPr>
            <w:tcW w:w="2185" w:type="dxa"/>
            <w:vAlign w:val="center"/>
          </w:tcPr>
          <w:p>
            <w:pPr>
              <w:pStyle w:val="82"/>
              <w:jc w:val="center"/>
              <w:rPr>
                <w:lang w:val="zh-CN"/>
              </w:rPr>
            </w:pPr>
            <w:r>
              <w:rPr>
                <w:rFonts w:hint="eastAsia"/>
                <w:lang w:val="zh-CN"/>
              </w:rPr>
              <w:t>签字盖章</w:t>
            </w:r>
          </w:p>
        </w:tc>
        <w:tc>
          <w:tcPr>
            <w:tcW w:w="6849" w:type="dxa"/>
            <w:vAlign w:val="center"/>
          </w:tcPr>
          <w:p>
            <w:pPr>
              <w:pStyle w:val="82"/>
              <w:spacing w:line="360" w:lineRule="auto"/>
              <w:ind w:firstLine="480" w:firstLineChars="200"/>
              <w:rPr>
                <w:lang w:val="zh-CN"/>
              </w:rPr>
            </w:pPr>
            <w:r>
              <w:rPr>
                <w:rFonts w:hint="eastAsia"/>
                <w:lang w:val="zh-CN"/>
              </w:rPr>
              <w:t>投标人必须按照招标文件中第七章投标文件格式的规定和要求签字、盖章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9" w:hRule="exact"/>
          <w:jc w:val="center"/>
        </w:trPr>
        <w:tc>
          <w:tcPr>
            <w:tcW w:w="691" w:type="dxa"/>
            <w:vAlign w:val="center"/>
          </w:tcPr>
          <w:p>
            <w:pPr>
              <w:pStyle w:val="82"/>
              <w:ind w:right="264"/>
              <w:jc w:val="right"/>
              <w:rPr>
                <w:rFonts w:hint="default" w:eastAsia="宋体" w:cs="Courier New"/>
                <w:lang w:val="en-US" w:eastAsia="zh-CN"/>
              </w:rPr>
            </w:pPr>
            <w:r>
              <w:rPr>
                <w:rFonts w:hint="eastAsia" w:cs="Courier New"/>
                <w:lang w:val="en-US" w:eastAsia="zh-CN"/>
              </w:rPr>
              <w:t>28</w:t>
            </w:r>
          </w:p>
        </w:tc>
        <w:tc>
          <w:tcPr>
            <w:tcW w:w="2185" w:type="dxa"/>
            <w:vAlign w:val="center"/>
          </w:tcPr>
          <w:p>
            <w:pPr>
              <w:pStyle w:val="82"/>
              <w:jc w:val="center"/>
              <w:rPr>
                <w:lang w:val="zh-CN"/>
              </w:rPr>
            </w:pPr>
            <w:r>
              <w:rPr>
                <w:rFonts w:hint="eastAsia"/>
                <w:lang w:val="zh-CN"/>
              </w:rPr>
              <w:t>投标文件装订</w:t>
            </w:r>
          </w:p>
        </w:tc>
        <w:tc>
          <w:tcPr>
            <w:tcW w:w="6849" w:type="dxa"/>
            <w:vAlign w:val="center"/>
          </w:tcPr>
          <w:p>
            <w:pPr>
              <w:pStyle w:val="82"/>
            </w:pPr>
            <w:r>
              <w:rPr>
                <w:rFonts w:hint="eastAsia"/>
              </w:rPr>
              <w:t>投标文件装订要求：</w:t>
            </w:r>
          </w:p>
          <w:p>
            <w:pPr>
              <w:pStyle w:val="82"/>
              <w:ind w:firstLine="480" w:firstLineChars="200"/>
            </w:pPr>
            <w:r>
              <w:rPr>
                <w:rFonts w:hint="eastAsia"/>
              </w:rPr>
              <w:t>投标文件分开装订，采用A4页幅、推荐双面打印、左侧胶装方式装订，装订应牢固、不易拆散和换页，活页装订的投标文件按无效投标文件处理。</w:t>
            </w:r>
          </w:p>
          <w:p>
            <w:pPr>
              <w:pStyle w:val="82"/>
            </w:pPr>
            <w:r>
              <w:rPr>
                <w:rFonts w:hint="eastAsia"/>
              </w:rPr>
              <w:t>装袋要求：</w:t>
            </w:r>
          </w:p>
          <w:p>
            <w:pPr>
              <w:pStyle w:val="82"/>
              <w:ind w:firstLine="480" w:firstLineChars="200"/>
            </w:pPr>
            <w:r>
              <w:rPr>
                <w:rFonts w:hint="eastAsia"/>
              </w:rPr>
              <w:t>正本</w:t>
            </w:r>
            <w:r>
              <w:rPr>
                <w:rFonts w:hint="eastAsia"/>
                <w:lang w:eastAsia="zh-CN"/>
              </w:rPr>
              <w:t>装一袋</w:t>
            </w:r>
            <w:r>
              <w:rPr>
                <w:rFonts w:hint="eastAsia"/>
              </w:rPr>
              <w:t>、</w:t>
            </w:r>
            <w:r>
              <w:rPr>
                <w:rFonts w:hint="eastAsia"/>
                <w:lang w:eastAsia="zh-CN"/>
              </w:rPr>
              <w:t>两</w:t>
            </w:r>
            <w:r>
              <w:rPr>
                <w:rFonts w:hint="eastAsia"/>
              </w:rPr>
              <w:t>副本</w:t>
            </w:r>
            <w:r>
              <w:rPr>
                <w:rFonts w:hint="eastAsia"/>
                <w:lang w:eastAsia="zh-CN"/>
              </w:rPr>
              <w:t>装一袋</w:t>
            </w:r>
            <w:r>
              <w:rPr>
                <w:rFonts w:hint="eastAsia"/>
              </w:rPr>
              <w:t>、电子版</w:t>
            </w:r>
            <w:r>
              <w:rPr>
                <w:rFonts w:hint="eastAsia"/>
                <w:lang w:eastAsia="zh-CN"/>
              </w:rPr>
              <w:t>单独装一袋</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exact"/>
          <w:jc w:val="center"/>
        </w:trPr>
        <w:tc>
          <w:tcPr>
            <w:tcW w:w="691" w:type="dxa"/>
            <w:vAlign w:val="center"/>
          </w:tcPr>
          <w:p>
            <w:pPr>
              <w:pStyle w:val="82"/>
              <w:ind w:right="264"/>
              <w:jc w:val="right"/>
              <w:rPr>
                <w:rFonts w:hint="default" w:eastAsia="宋体" w:cs="Courier New"/>
                <w:lang w:val="en-US" w:eastAsia="zh-CN"/>
              </w:rPr>
            </w:pPr>
            <w:r>
              <w:rPr>
                <w:rFonts w:hint="eastAsia" w:cs="Courier New"/>
                <w:lang w:val="en-US" w:eastAsia="zh-CN"/>
              </w:rPr>
              <w:t>29</w:t>
            </w:r>
          </w:p>
        </w:tc>
        <w:tc>
          <w:tcPr>
            <w:tcW w:w="2185" w:type="dxa"/>
            <w:vAlign w:val="center"/>
          </w:tcPr>
          <w:p>
            <w:pPr>
              <w:pStyle w:val="82"/>
              <w:ind w:left="351" w:leftChars="167"/>
              <w:rPr>
                <w:lang w:val="zh-CN"/>
              </w:rPr>
            </w:pPr>
            <w:r>
              <w:rPr>
                <w:rFonts w:hint="eastAsia"/>
                <w:lang w:val="zh-CN"/>
              </w:rPr>
              <w:t>投标文件封面</w:t>
            </w:r>
          </w:p>
          <w:p>
            <w:pPr>
              <w:pStyle w:val="82"/>
              <w:ind w:left="351" w:leftChars="167" w:firstLine="480" w:firstLineChars="200"/>
              <w:rPr>
                <w:rFonts w:cs="Arial"/>
                <w:lang w:val="zh-CN"/>
              </w:rPr>
            </w:pPr>
            <w:r>
              <w:rPr>
                <w:rFonts w:hint="eastAsia"/>
                <w:lang w:val="zh-CN"/>
              </w:rPr>
              <w:t>标注</w:t>
            </w:r>
          </w:p>
        </w:tc>
        <w:tc>
          <w:tcPr>
            <w:tcW w:w="6849" w:type="dxa"/>
            <w:vAlign w:val="center"/>
          </w:tcPr>
          <w:p>
            <w:pPr>
              <w:pStyle w:val="82"/>
              <w:ind w:firstLine="480" w:firstLineChars="200"/>
              <w:jc w:val="both"/>
              <w:rPr>
                <w:lang w:val="zh-CN"/>
              </w:rPr>
            </w:pPr>
            <w:r>
              <w:rPr>
                <w:rFonts w:hint="eastAsia"/>
                <w:lang w:val="zh-CN"/>
              </w:rPr>
              <w:t>投标文件正本和副本的封面上均应标明：采购项目名称、采购项目编号、投标人名称、年月日；并分别在右上角标明“正本”、 “副本”、“电子版”字样，</w:t>
            </w:r>
            <w:r>
              <w:rPr>
                <w:rFonts w:hint="eastAsia"/>
              </w:rPr>
              <w:t>正本</w:t>
            </w:r>
            <w:r>
              <w:rPr>
                <w:rFonts w:hint="eastAsia"/>
                <w:lang w:eastAsia="zh-CN"/>
              </w:rPr>
              <w:t>装一袋</w:t>
            </w:r>
            <w:r>
              <w:rPr>
                <w:rFonts w:hint="eastAsia"/>
              </w:rPr>
              <w:t>、</w:t>
            </w:r>
            <w:r>
              <w:rPr>
                <w:rFonts w:hint="eastAsia"/>
                <w:lang w:eastAsia="zh-CN"/>
              </w:rPr>
              <w:t>两</w:t>
            </w:r>
            <w:r>
              <w:rPr>
                <w:rFonts w:hint="eastAsia"/>
              </w:rPr>
              <w:t>副本</w:t>
            </w:r>
            <w:r>
              <w:rPr>
                <w:rFonts w:hint="eastAsia"/>
                <w:lang w:eastAsia="zh-CN"/>
              </w:rPr>
              <w:t>装一袋</w:t>
            </w:r>
            <w:r>
              <w:rPr>
                <w:rFonts w:hint="eastAsia"/>
              </w:rPr>
              <w:t>、电子版</w:t>
            </w:r>
            <w:r>
              <w:rPr>
                <w:rFonts w:hint="eastAsia"/>
                <w:lang w:eastAsia="zh-CN"/>
              </w:rPr>
              <w:t>单独装一袋。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691" w:type="dxa"/>
            <w:vAlign w:val="center"/>
          </w:tcPr>
          <w:p>
            <w:pPr>
              <w:pStyle w:val="82"/>
              <w:ind w:right="264"/>
              <w:jc w:val="right"/>
              <w:rPr>
                <w:rFonts w:hint="eastAsia" w:eastAsia="宋体" w:cs="Arial"/>
                <w:lang w:val="zh-CN" w:eastAsia="zh-CN"/>
              </w:rPr>
            </w:pPr>
            <w:r>
              <w:rPr>
                <w:rFonts w:hint="eastAsia" w:cs="Courier New"/>
                <w:lang w:val="zh-CN"/>
              </w:rPr>
              <w:t>3</w:t>
            </w:r>
            <w:r>
              <w:rPr>
                <w:rFonts w:hint="eastAsia" w:cs="Courier New"/>
                <w:lang w:val="en-US" w:eastAsia="zh-CN"/>
              </w:rPr>
              <w:t>0</w:t>
            </w:r>
          </w:p>
        </w:tc>
        <w:tc>
          <w:tcPr>
            <w:tcW w:w="2185" w:type="dxa"/>
            <w:vAlign w:val="center"/>
          </w:tcPr>
          <w:p>
            <w:pPr>
              <w:pStyle w:val="82"/>
              <w:jc w:val="center"/>
              <w:rPr>
                <w:lang w:val="zh-CN"/>
              </w:rPr>
            </w:pPr>
            <w:r>
              <w:rPr>
                <w:rFonts w:hint="eastAsia"/>
                <w:lang w:val="zh-CN"/>
              </w:rPr>
              <w:t>投标文件外层</w:t>
            </w:r>
          </w:p>
          <w:p>
            <w:pPr>
              <w:pStyle w:val="82"/>
              <w:jc w:val="center"/>
              <w:rPr>
                <w:lang w:val="zh-CN"/>
              </w:rPr>
            </w:pPr>
            <w:r>
              <w:rPr>
                <w:rFonts w:hint="eastAsia"/>
                <w:lang w:val="zh-CN"/>
              </w:rPr>
              <w:t>密封袋的标注</w:t>
            </w:r>
          </w:p>
        </w:tc>
        <w:tc>
          <w:tcPr>
            <w:tcW w:w="6849" w:type="dxa"/>
            <w:vAlign w:val="center"/>
          </w:tcPr>
          <w:p>
            <w:pPr>
              <w:pStyle w:val="82"/>
              <w:ind w:firstLine="480" w:firstLineChars="200"/>
              <w:jc w:val="both"/>
              <w:rPr>
                <w:lang w:val="zh-CN"/>
              </w:rPr>
            </w:pPr>
            <w:r>
              <w:rPr>
                <w:rFonts w:hint="eastAsia"/>
                <w:lang w:val="zh-CN"/>
              </w:rPr>
              <w:t>采购项目名称、采购项目编号、包号（如有分包）、投标人名称、年月日、“正本”、 “副本”、“电子版”字样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3</w:t>
            </w:r>
            <w:r>
              <w:rPr>
                <w:rFonts w:hint="eastAsia" w:cs="Courier New"/>
                <w:lang w:val="en-US" w:eastAsia="zh-CN"/>
              </w:rPr>
              <w:t>1</w:t>
            </w:r>
          </w:p>
        </w:tc>
        <w:tc>
          <w:tcPr>
            <w:tcW w:w="2185" w:type="dxa"/>
            <w:vAlign w:val="center"/>
          </w:tcPr>
          <w:p>
            <w:pPr>
              <w:pStyle w:val="82"/>
              <w:ind w:left="352"/>
            </w:pPr>
            <w:r>
              <w:rPr>
                <w:rFonts w:hint="eastAsia"/>
              </w:rPr>
              <w:t>投标截至时间</w:t>
            </w:r>
          </w:p>
        </w:tc>
        <w:tc>
          <w:tcPr>
            <w:tcW w:w="6849" w:type="dxa"/>
            <w:vAlign w:val="center"/>
          </w:tcPr>
          <w:p>
            <w:pPr>
              <w:pStyle w:val="82"/>
              <w:ind w:firstLine="480" w:firstLineChars="200"/>
              <w:rPr>
                <w:rFonts w:hint="eastAsia" w:eastAsia="宋体"/>
                <w:lang w:eastAsia="zh-CN"/>
              </w:rPr>
            </w:pPr>
            <w:r>
              <w:rPr>
                <w:rFonts w:hint="eastAsia"/>
              </w:rPr>
              <w:t>详见</w:t>
            </w:r>
            <w:r>
              <w:rPr>
                <w:rFonts w:hint="eastAsia"/>
                <w:lang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3</w:t>
            </w:r>
            <w:r>
              <w:rPr>
                <w:rFonts w:hint="eastAsia" w:cs="Courier New"/>
                <w:lang w:val="en-US" w:eastAsia="zh-CN"/>
              </w:rPr>
              <w:t>2</w:t>
            </w:r>
          </w:p>
        </w:tc>
        <w:tc>
          <w:tcPr>
            <w:tcW w:w="2185" w:type="dxa"/>
            <w:vAlign w:val="center"/>
          </w:tcPr>
          <w:p>
            <w:pPr>
              <w:pStyle w:val="82"/>
              <w:ind w:left="352"/>
            </w:pPr>
            <w:r>
              <w:rPr>
                <w:rFonts w:hint="eastAsia"/>
              </w:rPr>
              <w:t>递交投标文件地点</w:t>
            </w:r>
          </w:p>
        </w:tc>
        <w:tc>
          <w:tcPr>
            <w:tcW w:w="6849" w:type="dxa"/>
            <w:vAlign w:val="center"/>
          </w:tcPr>
          <w:p>
            <w:pPr>
              <w:pStyle w:val="82"/>
              <w:ind w:firstLine="480" w:firstLineChars="200"/>
              <w:rPr>
                <w:rFonts w:hint="eastAsia" w:eastAsia="宋体"/>
                <w:lang w:eastAsia="zh-CN"/>
              </w:rPr>
            </w:pPr>
            <w:r>
              <w:rPr>
                <w:rFonts w:hint="eastAsia"/>
                <w:lang w:eastAsia="zh-CN"/>
              </w:rPr>
              <w:t>西安市未央区凤城九路与明光路十字中登文景大厦A座1508室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3</w:t>
            </w:r>
            <w:r>
              <w:rPr>
                <w:rFonts w:hint="eastAsia" w:cs="Courier New"/>
                <w:lang w:val="en-US" w:eastAsia="zh-CN"/>
              </w:rPr>
              <w:t>3</w:t>
            </w:r>
          </w:p>
        </w:tc>
        <w:tc>
          <w:tcPr>
            <w:tcW w:w="2185" w:type="dxa"/>
            <w:vAlign w:val="center"/>
          </w:tcPr>
          <w:p>
            <w:pPr>
              <w:pStyle w:val="82"/>
              <w:ind w:left="350"/>
              <w:rPr>
                <w:lang w:val="zh-CN"/>
              </w:rPr>
            </w:pPr>
            <w:r>
              <w:rPr>
                <w:rFonts w:hint="eastAsia"/>
                <w:lang w:val="zh-CN"/>
              </w:rPr>
              <w:t>投标文件是否退还</w:t>
            </w:r>
          </w:p>
        </w:tc>
        <w:tc>
          <w:tcPr>
            <w:tcW w:w="6849" w:type="dxa"/>
            <w:vAlign w:val="center"/>
          </w:tcPr>
          <w:p>
            <w:pPr>
              <w:autoSpaceDE w:val="0"/>
              <w:autoSpaceDN w:val="0"/>
              <w:adjustRightInd w:val="0"/>
              <w:ind w:firstLine="480" w:firstLineChars="200"/>
              <w:jc w:val="left"/>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exac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3</w:t>
            </w:r>
            <w:r>
              <w:rPr>
                <w:rFonts w:hint="eastAsia" w:cs="Courier New"/>
                <w:lang w:val="en-US" w:eastAsia="zh-CN"/>
              </w:rPr>
              <w:t>4</w:t>
            </w:r>
          </w:p>
        </w:tc>
        <w:tc>
          <w:tcPr>
            <w:tcW w:w="2185" w:type="dxa"/>
            <w:vAlign w:val="center"/>
          </w:tcPr>
          <w:p>
            <w:pPr>
              <w:pStyle w:val="82"/>
              <w:jc w:val="center"/>
              <w:rPr>
                <w:rFonts w:cs="Arial"/>
                <w:lang w:val="zh-CN"/>
              </w:rPr>
            </w:pPr>
            <w:r>
              <w:rPr>
                <w:rFonts w:hint="eastAsia"/>
                <w:lang w:val="zh-CN"/>
              </w:rPr>
              <w:t>开标时间和地点</w:t>
            </w:r>
          </w:p>
        </w:tc>
        <w:tc>
          <w:tcPr>
            <w:tcW w:w="6849" w:type="dxa"/>
            <w:vAlign w:val="center"/>
          </w:tcPr>
          <w:p>
            <w:pPr>
              <w:pStyle w:val="82"/>
              <w:ind w:firstLine="480" w:firstLineChars="200"/>
              <w:rPr>
                <w:lang w:val="zh-CN"/>
              </w:rPr>
            </w:pPr>
            <w:r>
              <w:rPr>
                <w:rFonts w:hint="eastAsia"/>
                <w:lang w:val="zh-CN"/>
              </w:rPr>
              <w:t>开标时间：同投标截至时间</w:t>
            </w:r>
          </w:p>
          <w:p>
            <w:pPr>
              <w:pStyle w:val="82"/>
              <w:ind w:firstLine="480" w:firstLineChars="200"/>
              <w:rPr>
                <w:lang w:val="zh-CN"/>
              </w:rPr>
            </w:pPr>
            <w:r>
              <w:rPr>
                <w:rFonts w:hint="eastAsia"/>
                <w:lang w:val="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1" w:type="dxa"/>
            <w:vAlign w:val="center"/>
          </w:tcPr>
          <w:p>
            <w:pPr>
              <w:pStyle w:val="82"/>
              <w:jc w:val="center"/>
              <w:rPr>
                <w:rFonts w:hint="eastAsia" w:eastAsia="宋体" w:cs="Arial"/>
                <w:lang w:val="zh-CN" w:eastAsia="zh-CN"/>
              </w:rPr>
            </w:pPr>
            <w:r>
              <w:rPr>
                <w:rFonts w:hint="eastAsia" w:cs="Courier New"/>
                <w:lang w:val="zh-CN"/>
              </w:rPr>
              <w:t>3</w:t>
            </w:r>
            <w:r>
              <w:rPr>
                <w:rFonts w:hint="eastAsia" w:cs="Courier New"/>
                <w:lang w:val="en-US" w:eastAsia="zh-CN"/>
              </w:rPr>
              <w:t>5</w:t>
            </w:r>
          </w:p>
        </w:tc>
        <w:tc>
          <w:tcPr>
            <w:tcW w:w="2185" w:type="dxa"/>
            <w:vAlign w:val="center"/>
          </w:tcPr>
          <w:p>
            <w:pPr>
              <w:pStyle w:val="82"/>
              <w:ind w:left="96"/>
              <w:jc w:val="center"/>
              <w:rPr>
                <w:lang w:val="zh-CN"/>
              </w:rPr>
            </w:pPr>
            <w:r>
              <w:rPr>
                <w:rFonts w:hint="eastAsia"/>
                <w:lang w:val="zh-CN"/>
              </w:rPr>
              <w:t>评标委员会的组成</w:t>
            </w:r>
          </w:p>
        </w:tc>
        <w:tc>
          <w:tcPr>
            <w:tcW w:w="6849" w:type="dxa"/>
            <w:vAlign w:val="center"/>
          </w:tcPr>
          <w:p>
            <w:pPr>
              <w:pStyle w:val="82"/>
              <w:ind w:firstLine="480" w:firstLineChars="200"/>
              <w:rPr>
                <w:rFonts w:hint="eastAsia"/>
                <w:lang w:val="zh-CN" w:eastAsia="zh-CN"/>
              </w:rPr>
            </w:pPr>
            <w:r>
              <w:rPr>
                <w:rFonts w:hint="eastAsia"/>
                <w:lang w:val="zh-CN" w:eastAsia="zh-CN"/>
              </w:rPr>
              <w:t>本项目评标委员会由5人组成，其中采购人代表1人，评审专家4人。</w:t>
            </w:r>
          </w:p>
          <w:p>
            <w:pPr>
              <w:pStyle w:val="82"/>
              <w:ind w:firstLine="480" w:firstLineChars="200"/>
              <w:rPr>
                <w:lang w:val="zh-CN"/>
              </w:rPr>
            </w:pPr>
            <w:r>
              <w:rPr>
                <w:rFonts w:hint="eastAsia"/>
                <w:lang w:val="zh-CN" w:eastAsia="zh-CN"/>
              </w:rPr>
              <w:t>具体详见投标人须知第3</w:t>
            </w:r>
            <w:r>
              <w:rPr>
                <w:rFonts w:hint="eastAsia"/>
                <w:lang w:val="en-US" w:eastAsia="zh-CN"/>
              </w:rPr>
              <w:t>1</w:t>
            </w:r>
            <w:r>
              <w:rPr>
                <w:rFonts w:hint="eastAsia"/>
                <w:lang w:val="zh-CN"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691" w:type="dxa"/>
            <w:vAlign w:val="center"/>
          </w:tcPr>
          <w:p>
            <w:pPr>
              <w:pStyle w:val="82"/>
              <w:jc w:val="center"/>
              <w:rPr>
                <w:rFonts w:hint="eastAsia" w:eastAsia="宋体" w:cs="Courier New"/>
                <w:lang w:val="en-US" w:eastAsia="zh-CN"/>
              </w:rPr>
            </w:pPr>
            <w:r>
              <w:rPr>
                <w:rFonts w:hint="eastAsia" w:cs="Courier New"/>
                <w:lang w:val="zh-CN"/>
              </w:rPr>
              <w:t>3</w:t>
            </w:r>
            <w:r>
              <w:rPr>
                <w:rFonts w:hint="eastAsia" w:cs="Courier New"/>
                <w:lang w:val="en-US" w:eastAsia="zh-CN"/>
              </w:rPr>
              <w:t>6</w:t>
            </w:r>
          </w:p>
        </w:tc>
        <w:tc>
          <w:tcPr>
            <w:tcW w:w="2185" w:type="dxa"/>
            <w:vAlign w:val="center"/>
          </w:tcPr>
          <w:p>
            <w:pPr>
              <w:pStyle w:val="82"/>
              <w:ind w:left="96"/>
              <w:jc w:val="center"/>
              <w:rPr>
                <w:lang w:val="zh-CN"/>
              </w:rPr>
            </w:pPr>
            <w:r>
              <w:rPr>
                <w:rFonts w:hint="eastAsia"/>
                <w:lang w:val="zh-CN"/>
              </w:rPr>
              <w:t>评标方法及标准</w:t>
            </w:r>
          </w:p>
        </w:tc>
        <w:tc>
          <w:tcPr>
            <w:tcW w:w="6849" w:type="dxa"/>
            <w:vAlign w:val="center"/>
          </w:tcPr>
          <w:p>
            <w:pPr>
              <w:pStyle w:val="82"/>
              <w:ind w:firstLine="480" w:firstLineChars="200"/>
              <w:rPr>
                <w:lang w:val="zh-CN"/>
              </w:rPr>
            </w:pPr>
            <w:r>
              <w:rPr>
                <w:rFonts w:hint="eastAsia"/>
                <w:lang w:val="zh-CN"/>
              </w:rPr>
              <w:t>详见第四章评标方法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691" w:type="dxa"/>
            <w:vAlign w:val="center"/>
          </w:tcPr>
          <w:p>
            <w:pPr>
              <w:pStyle w:val="82"/>
              <w:jc w:val="center"/>
              <w:rPr>
                <w:rFonts w:hint="eastAsia" w:eastAsia="宋体" w:cs="Courier New"/>
                <w:lang w:val="zh-CN" w:eastAsia="zh-CN"/>
              </w:rPr>
            </w:pPr>
            <w:r>
              <w:rPr>
                <w:rFonts w:hint="eastAsia" w:cs="Courier New"/>
                <w:lang w:val="zh-CN"/>
              </w:rPr>
              <w:t>3</w:t>
            </w:r>
            <w:r>
              <w:rPr>
                <w:rFonts w:hint="eastAsia" w:cs="Courier New"/>
                <w:lang w:val="en-US" w:eastAsia="zh-CN"/>
              </w:rPr>
              <w:t>7</w:t>
            </w:r>
          </w:p>
        </w:tc>
        <w:tc>
          <w:tcPr>
            <w:tcW w:w="2185" w:type="dxa"/>
            <w:vAlign w:val="center"/>
          </w:tcPr>
          <w:p>
            <w:pPr>
              <w:pStyle w:val="82"/>
              <w:ind w:left="96"/>
              <w:jc w:val="center"/>
              <w:rPr>
                <w:lang w:val="zh-CN"/>
              </w:rPr>
            </w:pPr>
            <w:r>
              <w:rPr>
                <w:rFonts w:hint="eastAsia"/>
                <w:lang w:val="zh-CN"/>
              </w:rPr>
              <w:t>是否授权评标委员会确定中标人</w:t>
            </w:r>
          </w:p>
        </w:tc>
        <w:tc>
          <w:tcPr>
            <w:tcW w:w="6849" w:type="dxa"/>
            <w:vAlign w:val="center"/>
          </w:tcPr>
          <w:p>
            <w:pPr>
              <w:pStyle w:val="82"/>
              <w:ind w:firstLine="480" w:firstLineChars="200"/>
              <w:rPr>
                <w:lang w:val="zh-CN"/>
              </w:rPr>
            </w:pPr>
            <w:r>
              <w:rPr>
                <w:rFonts w:hint="eastAsia"/>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3</w:t>
            </w:r>
            <w:r>
              <w:rPr>
                <w:rFonts w:hint="eastAsia" w:cs="Courier New"/>
                <w:lang w:val="en-US" w:eastAsia="zh-CN"/>
              </w:rPr>
              <w:t>8</w:t>
            </w:r>
          </w:p>
        </w:tc>
        <w:tc>
          <w:tcPr>
            <w:tcW w:w="2185" w:type="dxa"/>
            <w:vAlign w:val="center"/>
          </w:tcPr>
          <w:p>
            <w:pPr>
              <w:pStyle w:val="82"/>
              <w:ind w:left="96"/>
              <w:jc w:val="center"/>
              <w:rPr>
                <w:lang w:val="zh-CN"/>
              </w:rPr>
            </w:pPr>
            <w:r>
              <w:rPr>
                <w:rFonts w:hint="eastAsia"/>
                <w:lang w:val="zh-CN"/>
              </w:rPr>
              <w:t>中标公告</w:t>
            </w:r>
          </w:p>
          <w:p>
            <w:pPr>
              <w:pStyle w:val="82"/>
              <w:ind w:left="96"/>
              <w:jc w:val="center"/>
              <w:rPr>
                <w:lang w:val="zh-CN"/>
              </w:rPr>
            </w:pPr>
            <w:r>
              <w:rPr>
                <w:rFonts w:hint="eastAsia"/>
                <w:lang w:val="zh-CN"/>
              </w:rPr>
              <w:t>媒介、期限</w:t>
            </w:r>
          </w:p>
        </w:tc>
        <w:tc>
          <w:tcPr>
            <w:tcW w:w="6849" w:type="dxa"/>
            <w:vAlign w:val="center"/>
          </w:tcPr>
          <w:p>
            <w:pPr>
              <w:pStyle w:val="82"/>
              <w:ind w:firstLine="480" w:firstLineChars="200"/>
              <w:rPr>
                <w:lang w:val="zh-CN"/>
              </w:rPr>
            </w:pPr>
            <w:r>
              <w:rPr>
                <w:rFonts w:hint="eastAsia"/>
                <w:lang w:val="zh-CN"/>
              </w:rPr>
              <w:t>公告媒介：陕西省政府采购网</w:t>
            </w:r>
          </w:p>
          <w:p>
            <w:pPr>
              <w:pStyle w:val="82"/>
              <w:ind w:firstLine="480" w:firstLineChars="200"/>
              <w:rPr>
                <w:lang w:val="zh-CN"/>
              </w:rPr>
            </w:pPr>
            <w:r>
              <w:rPr>
                <w:rFonts w:hint="eastAsia"/>
                <w:lang w:val="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691" w:type="dxa"/>
            <w:vAlign w:val="center"/>
          </w:tcPr>
          <w:p>
            <w:pPr>
              <w:pStyle w:val="82"/>
              <w:ind w:right="264"/>
              <w:jc w:val="right"/>
              <w:rPr>
                <w:rFonts w:hint="default" w:eastAsia="宋体" w:cs="Courier New"/>
                <w:lang w:val="en-US" w:eastAsia="zh-CN"/>
              </w:rPr>
            </w:pPr>
            <w:r>
              <w:rPr>
                <w:rFonts w:hint="eastAsia" w:cs="Courier New"/>
                <w:lang w:val="en-US" w:eastAsia="zh-CN"/>
              </w:rPr>
              <w:t>39</w:t>
            </w:r>
          </w:p>
        </w:tc>
        <w:tc>
          <w:tcPr>
            <w:tcW w:w="2185" w:type="dxa"/>
            <w:vAlign w:val="center"/>
          </w:tcPr>
          <w:p>
            <w:pPr>
              <w:pStyle w:val="82"/>
              <w:ind w:left="96"/>
              <w:jc w:val="center"/>
              <w:rPr>
                <w:color w:val="auto"/>
                <w:lang w:val="zh-CN"/>
              </w:rPr>
            </w:pPr>
            <w:r>
              <w:rPr>
                <w:rFonts w:hint="eastAsia"/>
                <w:color w:val="auto"/>
                <w:lang w:val="zh-CN"/>
              </w:rPr>
              <w:t>履约保证金</w:t>
            </w:r>
          </w:p>
        </w:tc>
        <w:tc>
          <w:tcPr>
            <w:tcW w:w="6849" w:type="dxa"/>
            <w:vAlign w:val="center"/>
          </w:tcPr>
          <w:p>
            <w:pPr>
              <w:pStyle w:val="82"/>
              <w:ind w:firstLine="480" w:firstLineChars="200"/>
              <w:rPr>
                <w:color w:val="auto"/>
                <w:lang w:val="zh-CN"/>
              </w:rPr>
            </w:pPr>
            <w:r>
              <w:rPr>
                <w:rFonts w:hint="eastAsia"/>
                <w:color w:val="auto"/>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4</w:t>
            </w:r>
            <w:r>
              <w:rPr>
                <w:rFonts w:hint="eastAsia" w:cs="Courier New"/>
                <w:lang w:val="en-US" w:eastAsia="zh-CN"/>
              </w:rPr>
              <w:t>0</w:t>
            </w:r>
          </w:p>
        </w:tc>
        <w:tc>
          <w:tcPr>
            <w:tcW w:w="2185" w:type="dxa"/>
            <w:vAlign w:val="center"/>
          </w:tcPr>
          <w:p>
            <w:pPr>
              <w:pStyle w:val="82"/>
              <w:jc w:val="center"/>
              <w:rPr>
                <w:lang w:val="zh-CN"/>
              </w:rPr>
            </w:pPr>
            <w:r>
              <w:rPr>
                <w:rFonts w:hint="eastAsia"/>
                <w:lang w:val="zh-CN"/>
              </w:rPr>
              <w:t>投标人信用信息</w:t>
            </w:r>
          </w:p>
          <w:p>
            <w:pPr>
              <w:pStyle w:val="82"/>
              <w:jc w:val="center"/>
              <w:rPr>
                <w:lang w:val="zh-CN"/>
              </w:rPr>
            </w:pPr>
            <w:r>
              <w:rPr>
                <w:rFonts w:hint="eastAsia"/>
                <w:lang w:val="zh-CN"/>
              </w:rPr>
              <w:t>查询截至时点</w:t>
            </w:r>
          </w:p>
        </w:tc>
        <w:tc>
          <w:tcPr>
            <w:tcW w:w="6849" w:type="dxa"/>
            <w:vAlign w:val="center"/>
          </w:tcPr>
          <w:p>
            <w:pPr>
              <w:ind w:right="105" w:rightChars="50" w:firstLine="480" w:firstLineChars="200"/>
              <w:rPr>
                <w:rFonts w:ascii="宋体" w:hAnsi="宋体"/>
                <w:sz w:val="24"/>
              </w:rPr>
            </w:pPr>
            <w:r>
              <w:rPr>
                <w:rFonts w:hint="eastAsia" w:ascii="宋体" w:hAnsi="宋体"/>
                <w:sz w:val="24"/>
              </w:rPr>
              <w:t>招标公告发布之日起至开标当日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691" w:type="dxa"/>
            <w:vAlign w:val="center"/>
          </w:tcPr>
          <w:p>
            <w:pPr>
              <w:pStyle w:val="82"/>
              <w:ind w:right="264"/>
              <w:jc w:val="right"/>
              <w:rPr>
                <w:rFonts w:hint="eastAsia" w:eastAsia="宋体" w:cs="Courier New"/>
                <w:lang w:val="zh-CN" w:eastAsia="zh-CN"/>
              </w:rPr>
            </w:pPr>
            <w:r>
              <w:rPr>
                <w:rFonts w:hint="eastAsia" w:cs="Courier New"/>
                <w:lang w:val="zh-CN"/>
              </w:rPr>
              <w:t>4</w:t>
            </w:r>
            <w:r>
              <w:rPr>
                <w:rFonts w:hint="eastAsia" w:cs="Courier New"/>
                <w:lang w:val="en-US" w:eastAsia="zh-CN"/>
              </w:rPr>
              <w:t>1</w:t>
            </w:r>
          </w:p>
        </w:tc>
        <w:tc>
          <w:tcPr>
            <w:tcW w:w="2185" w:type="dxa"/>
            <w:vAlign w:val="center"/>
          </w:tcPr>
          <w:p>
            <w:pPr>
              <w:pStyle w:val="82"/>
              <w:jc w:val="center"/>
              <w:rPr>
                <w:lang w:val="zh-CN"/>
              </w:rPr>
            </w:pPr>
            <w:r>
              <w:rPr>
                <w:rFonts w:hint="eastAsia"/>
                <w:lang w:val="zh-CN"/>
              </w:rPr>
              <w:t>开标现场是否</w:t>
            </w:r>
          </w:p>
          <w:p>
            <w:pPr>
              <w:pStyle w:val="82"/>
              <w:jc w:val="center"/>
              <w:rPr>
                <w:lang w:val="zh-CN"/>
              </w:rPr>
            </w:pPr>
            <w:r>
              <w:rPr>
                <w:rFonts w:hint="eastAsia"/>
                <w:lang w:val="zh-CN"/>
              </w:rPr>
              <w:t>演示与述标</w:t>
            </w:r>
          </w:p>
        </w:tc>
        <w:tc>
          <w:tcPr>
            <w:tcW w:w="6849" w:type="dxa"/>
            <w:vAlign w:val="center"/>
          </w:tcPr>
          <w:p>
            <w:pPr>
              <w:ind w:right="105" w:rightChars="50"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rPr>
              <w:t>不需要</w:t>
            </w:r>
          </w:p>
          <w:p>
            <w:pPr>
              <w:ind w:right="105" w:rightChars="50" w:firstLine="480" w:firstLineChars="200"/>
              <w:rPr>
                <w:rFonts w:ascii="宋体" w:hAnsi="宋体"/>
                <w:sz w:val="24"/>
              </w:rPr>
            </w:pPr>
            <w:r>
              <w:rPr>
                <w:rFonts w:hint="eastAsia" w:ascii="宋体" w:hAnsi="宋体"/>
                <w:sz w:val="24"/>
                <w:lang w:eastAsia="zh-CN"/>
              </w:rPr>
              <w:t>□</w:t>
            </w:r>
            <w:r>
              <w:rPr>
                <w:rFonts w:hint="eastAsia" w:ascii="宋体" w:hAnsi="宋体"/>
                <w:sz w:val="24"/>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91" w:type="dxa"/>
            <w:vAlign w:val="center"/>
          </w:tcPr>
          <w:p>
            <w:pPr>
              <w:pStyle w:val="82"/>
              <w:ind w:right="264"/>
              <w:jc w:val="right"/>
              <w:rPr>
                <w:rFonts w:hint="eastAsia" w:eastAsia="宋体" w:cs="Arial"/>
                <w:lang w:val="zh-CN" w:eastAsia="zh-CN"/>
              </w:rPr>
            </w:pPr>
            <w:r>
              <w:rPr>
                <w:rFonts w:hint="eastAsia" w:cs="Courier New"/>
                <w:lang w:val="zh-CN"/>
              </w:rPr>
              <w:t>4</w:t>
            </w:r>
            <w:r>
              <w:rPr>
                <w:rFonts w:hint="eastAsia" w:cs="Courier New"/>
                <w:lang w:val="en-US" w:eastAsia="zh-CN"/>
              </w:rPr>
              <w:t>2</w:t>
            </w:r>
          </w:p>
        </w:tc>
        <w:tc>
          <w:tcPr>
            <w:tcW w:w="2185" w:type="dxa"/>
            <w:vAlign w:val="center"/>
          </w:tcPr>
          <w:p>
            <w:pPr>
              <w:pStyle w:val="82"/>
              <w:jc w:val="center"/>
              <w:rPr>
                <w:highlight w:val="none"/>
                <w:lang w:val="zh-CN"/>
              </w:rPr>
            </w:pPr>
            <w:r>
              <w:rPr>
                <w:rFonts w:hint="eastAsia"/>
                <w:highlight w:val="none"/>
                <w:lang w:val="zh-CN"/>
              </w:rPr>
              <w:t>开标现场是否</w:t>
            </w:r>
          </w:p>
          <w:p>
            <w:pPr>
              <w:pStyle w:val="82"/>
              <w:jc w:val="center"/>
              <w:rPr>
                <w:highlight w:val="none"/>
                <w:lang w:val="zh-CN"/>
              </w:rPr>
            </w:pPr>
            <w:r>
              <w:rPr>
                <w:rFonts w:hint="eastAsia"/>
                <w:highlight w:val="none"/>
                <w:lang w:val="zh-CN"/>
              </w:rPr>
              <w:t>提供样品</w:t>
            </w:r>
          </w:p>
        </w:tc>
        <w:tc>
          <w:tcPr>
            <w:tcW w:w="6849" w:type="dxa"/>
            <w:vAlign w:val="center"/>
          </w:tcPr>
          <w:p>
            <w:pPr>
              <w:ind w:right="105" w:rightChars="5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不需要</w:t>
            </w:r>
          </w:p>
          <w:p>
            <w:pPr>
              <w:ind w:right="105" w:rightChars="5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需要</w:t>
            </w:r>
          </w:p>
        </w:tc>
      </w:tr>
    </w:tbl>
    <w:p>
      <w:pPr>
        <w:pStyle w:val="3"/>
        <w:spacing w:line="240" w:lineRule="auto"/>
        <w:jc w:val="center"/>
        <w:rPr>
          <w:rFonts w:ascii="宋体" w:hAnsi="宋体"/>
        </w:rPr>
      </w:pPr>
      <w:r>
        <w:br w:type="page"/>
      </w:r>
      <w:bookmarkEnd w:id="23"/>
      <w:bookmarkEnd w:id="24"/>
      <w:bookmarkEnd w:id="25"/>
      <w:bookmarkEnd w:id="26"/>
      <w:bookmarkStart w:id="30" w:name="_Toc17482"/>
      <w:bookmarkStart w:id="31" w:name="_Toc89075873"/>
      <w:bookmarkStart w:id="32" w:name="_Toc77400778"/>
      <w:bookmarkStart w:id="33" w:name="_Toc217446033"/>
      <w:bookmarkStart w:id="34" w:name="_Toc183582204"/>
      <w:bookmarkStart w:id="35" w:name="_Toc183682341"/>
      <w:r>
        <w:rPr>
          <w:rFonts w:hint="eastAsia"/>
          <w:sz w:val="44"/>
          <w:szCs w:val="44"/>
        </w:rPr>
        <w:t>第三章  投标人须知</w:t>
      </w:r>
      <w:bookmarkEnd w:id="30"/>
    </w:p>
    <w:p>
      <w:pPr>
        <w:pStyle w:val="4"/>
        <w:spacing w:before="0" w:afterLines="50" w:line="240" w:lineRule="auto"/>
        <w:rPr>
          <w:rFonts w:ascii="宋体" w:hAnsi="宋体" w:eastAsia="宋体"/>
          <w:bCs/>
        </w:rPr>
      </w:pPr>
      <w:bookmarkStart w:id="36" w:name="_Toc31844"/>
      <w:bookmarkStart w:id="37" w:name="_Toc531253632"/>
      <w:bookmarkStart w:id="38" w:name="_Toc27133"/>
      <w:r>
        <w:rPr>
          <w:rFonts w:hint="eastAsia" w:ascii="宋体" w:hAnsi="宋体" w:eastAsia="宋体"/>
          <w:bCs/>
        </w:rPr>
        <w:t>一、总  则</w:t>
      </w:r>
      <w:bookmarkEnd w:id="31"/>
      <w:bookmarkEnd w:id="32"/>
      <w:bookmarkEnd w:id="33"/>
      <w:bookmarkEnd w:id="34"/>
      <w:bookmarkEnd w:id="35"/>
      <w:bookmarkEnd w:id="36"/>
      <w:bookmarkEnd w:id="37"/>
      <w:bookmarkEnd w:id="38"/>
      <w:bookmarkStart w:id="39" w:name="_Toc183682342"/>
      <w:bookmarkStart w:id="40" w:name="_Toc183582205"/>
      <w:bookmarkStart w:id="41" w:name="_Toc217446034"/>
    </w:p>
    <w:p>
      <w:pPr>
        <w:pStyle w:val="8"/>
        <w:spacing w:line="240" w:lineRule="auto"/>
      </w:pPr>
      <w:bookmarkStart w:id="42" w:name="_Toc531253633"/>
      <w:r>
        <w:rPr>
          <w:rFonts w:hint="eastAsia"/>
        </w:rPr>
        <w:t>1.</w:t>
      </w:r>
      <w:bookmarkEnd w:id="39"/>
      <w:bookmarkEnd w:id="40"/>
      <w:r>
        <w:rPr>
          <w:rFonts w:hint="eastAsia"/>
        </w:rPr>
        <w:t>适用范围</w:t>
      </w:r>
      <w:bookmarkEnd w:id="41"/>
      <w:bookmarkEnd w:id="42"/>
    </w:p>
    <w:p>
      <w:pPr>
        <w:tabs>
          <w:tab w:val="left" w:pos="7665"/>
        </w:tabs>
        <w:spacing w:line="240" w:lineRule="auto"/>
        <w:ind w:firstLine="480" w:firstLineChars="200"/>
        <w:rPr>
          <w:sz w:val="24"/>
        </w:rPr>
      </w:pPr>
      <w:r>
        <w:rPr>
          <w:rFonts w:hint="eastAsia" w:ascii="宋体" w:hAnsi="宋体"/>
          <w:sz w:val="24"/>
        </w:rPr>
        <w:t>1.1</w:t>
      </w:r>
      <w:r>
        <w:rPr>
          <w:rFonts w:hint="eastAsia"/>
          <w:sz w:val="24"/>
        </w:rPr>
        <w:t>本招标文件仅适用于本次公开招标所叙述的货物（产品）或服务项目采购活动。</w:t>
      </w:r>
    </w:p>
    <w:p>
      <w:pPr>
        <w:pStyle w:val="8"/>
        <w:numPr>
          <w:ilvl w:val="0"/>
          <w:numId w:val="0"/>
        </w:numPr>
        <w:spacing w:line="240" w:lineRule="auto"/>
      </w:pPr>
      <w:bookmarkStart w:id="43" w:name="_Toc217446035"/>
      <w:bookmarkStart w:id="44" w:name="_Toc183582206"/>
      <w:bookmarkStart w:id="45" w:name="_Toc183682343"/>
      <w:r>
        <w:rPr>
          <w:rFonts w:hint="eastAsia"/>
        </w:rPr>
        <w:t>2.</w:t>
      </w:r>
      <w:bookmarkEnd w:id="43"/>
      <w:bookmarkEnd w:id="44"/>
      <w:bookmarkEnd w:id="45"/>
      <w:r>
        <w:rPr>
          <w:rFonts w:hint="eastAsia"/>
        </w:rPr>
        <w:t>名词解释</w:t>
      </w:r>
    </w:p>
    <w:p>
      <w:pPr>
        <w:adjustRightInd w:val="0"/>
        <w:snapToGrid w:val="0"/>
        <w:spacing w:line="360" w:lineRule="auto"/>
        <w:ind w:firstLine="480" w:firstLineChars="200"/>
        <w:rPr>
          <w:rFonts w:hint="eastAsia" w:ascii="宋体" w:hAnsi="宋体"/>
          <w:sz w:val="24"/>
          <w:lang w:eastAsia="zh-CN"/>
        </w:rPr>
      </w:pPr>
      <w:bookmarkStart w:id="46" w:name="_Toc183682344"/>
      <w:bookmarkStart w:id="47" w:name="_Toc217446036"/>
      <w:bookmarkStart w:id="48" w:name="_Toc217390843"/>
      <w:bookmarkStart w:id="49" w:name="_Toc183582207"/>
      <w:r>
        <w:rPr>
          <w:rFonts w:hint="eastAsia" w:ascii="宋体" w:hAnsi="宋体"/>
          <w:sz w:val="24"/>
        </w:rPr>
        <w:t>2.1采购人：</w:t>
      </w:r>
      <w:r>
        <w:rPr>
          <w:rFonts w:hint="eastAsia" w:ascii="宋体" w:hAnsi="宋体"/>
          <w:sz w:val="24"/>
          <w:lang w:eastAsia="zh-CN"/>
        </w:rPr>
        <w:t>西安经济技术开发区教育体育局</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rPr>
        <w:t>2.2监督机构：</w:t>
      </w:r>
      <w:r>
        <w:rPr>
          <w:rFonts w:hint="eastAsia" w:ascii="宋体" w:hAnsi="宋体"/>
          <w:sz w:val="24"/>
          <w:lang w:eastAsia="zh-CN"/>
        </w:rPr>
        <w:t>西安经济技术开发区财政金融局</w:t>
      </w:r>
    </w:p>
    <w:p>
      <w:pPr>
        <w:tabs>
          <w:tab w:val="left" w:pos="7665"/>
        </w:tabs>
        <w:spacing w:line="360" w:lineRule="auto"/>
        <w:ind w:firstLine="480" w:firstLineChars="200"/>
        <w:rPr>
          <w:rFonts w:hint="eastAsia" w:ascii="宋体" w:hAnsi="宋体" w:eastAsia="宋体"/>
          <w:sz w:val="24"/>
          <w:lang w:eastAsia="zh-CN"/>
        </w:rPr>
      </w:pPr>
      <w:r>
        <w:rPr>
          <w:rFonts w:ascii="宋体" w:hAnsi="宋体"/>
          <w:sz w:val="24"/>
        </w:rPr>
        <w:t>2.3采购代理机构：</w:t>
      </w:r>
      <w:r>
        <w:rPr>
          <w:rFonts w:hint="eastAsia" w:ascii="宋体" w:hAnsi="宋体"/>
          <w:sz w:val="24"/>
          <w:lang w:eastAsia="zh-CN"/>
        </w:rPr>
        <w:t>同正项目管理有限公司</w:t>
      </w:r>
    </w:p>
    <w:p>
      <w:pPr>
        <w:tabs>
          <w:tab w:val="left" w:pos="7665"/>
        </w:tabs>
        <w:spacing w:line="360" w:lineRule="auto"/>
        <w:ind w:firstLine="480" w:firstLineChars="200"/>
        <w:rPr>
          <w:rFonts w:ascii="宋体" w:hAnsi="宋体"/>
          <w:sz w:val="24"/>
        </w:rPr>
      </w:pPr>
      <w:r>
        <w:rPr>
          <w:rFonts w:hint="eastAsia" w:ascii="宋体" w:hAnsi="宋体"/>
          <w:sz w:val="24"/>
        </w:rPr>
        <w:t>2.4投标人：是指响应招标，参加投标竞争的法人或其他组织或个人。</w:t>
      </w:r>
    </w:p>
    <w:p>
      <w:pPr>
        <w:adjustRightInd w:val="0"/>
        <w:snapToGrid w:val="0"/>
        <w:spacing w:line="360" w:lineRule="auto"/>
        <w:ind w:firstLine="480" w:firstLineChars="200"/>
        <w:rPr>
          <w:rFonts w:ascii="宋体" w:hAnsi="宋体"/>
          <w:sz w:val="24"/>
        </w:rPr>
      </w:pPr>
      <w:r>
        <w:rPr>
          <w:rFonts w:hint="eastAsia" w:ascii="宋体" w:hAnsi="宋体"/>
          <w:sz w:val="24"/>
        </w:rPr>
        <w:t>2.5</w:t>
      </w:r>
      <w:r>
        <w:rPr>
          <w:rFonts w:hint="eastAsia"/>
          <w:sz w:val="24"/>
        </w:rPr>
        <w:t>货物是指本招标</w:t>
      </w:r>
      <w:r>
        <w:rPr>
          <w:rFonts w:hint="eastAsia" w:ascii="宋体" w:hAnsi="宋体"/>
          <w:sz w:val="24"/>
        </w:rPr>
        <w:t>文件中第五章所述所有货物。</w:t>
      </w:r>
    </w:p>
    <w:p>
      <w:pPr>
        <w:adjustRightInd w:val="0"/>
        <w:snapToGrid w:val="0"/>
        <w:spacing w:line="360" w:lineRule="auto"/>
        <w:ind w:firstLine="480" w:firstLineChars="200"/>
        <w:rPr>
          <w:rFonts w:ascii="宋体" w:hAnsi="宋体"/>
          <w:sz w:val="24"/>
        </w:rPr>
      </w:pPr>
      <w:r>
        <w:rPr>
          <w:rFonts w:hint="eastAsia" w:ascii="宋体" w:hAnsi="宋体"/>
          <w:sz w:val="24"/>
        </w:rPr>
        <w:t>2.6服务是指人为满足招标文件要求而提供的服务。</w:t>
      </w:r>
    </w:p>
    <w:p>
      <w:pPr>
        <w:adjustRightInd w:val="0"/>
        <w:snapToGrid w:val="0"/>
        <w:spacing w:line="360" w:lineRule="auto"/>
        <w:ind w:firstLine="480" w:firstLineChars="200"/>
        <w:rPr>
          <w:rFonts w:ascii="宋体" w:hAnsi="宋体"/>
          <w:sz w:val="24"/>
        </w:rPr>
      </w:pPr>
      <w:r>
        <w:rPr>
          <w:rFonts w:hint="eastAsia" w:ascii="宋体" w:hAnsi="宋体"/>
          <w:sz w:val="24"/>
        </w:rPr>
        <w:t>2.7节能产品或者环保产品是指财政部发布的《节能产品政府采购清单》或者《环境标志产品政府采购清单》的产品。</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2.8进口产品是指通过中国海关报关验放进入中国境内且产自关境外的产品，详见《</w:t>
      </w:r>
      <w:r>
        <w:rPr>
          <w:rFonts w:ascii="宋体" w:hAnsi="宋体" w:cs="宋体"/>
          <w:kern w:val="0"/>
          <w:sz w:val="24"/>
        </w:rPr>
        <w:t>关于政府采购进口产品管理有关问题的通知</w:t>
      </w:r>
      <w:r>
        <w:rPr>
          <w:rFonts w:hint="eastAsia" w:ascii="宋体" w:hAnsi="宋体" w:cs="宋体"/>
          <w:kern w:val="0"/>
          <w:sz w:val="24"/>
        </w:rPr>
        <w:t>》(财库[2007]119号)。</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2.9</w:t>
      </w:r>
      <w:r>
        <w:rPr>
          <w:rFonts w:hint="eastAsia" w:ascii="宋体" w:hAnsi="宋体" w:cs="宋体"/>
          <w:kern w:val="0"/>
          <w:sz w:val="24"/>
          <w:lang w:val="en-US"/>
        </w:rPr>
        <w:t>中小企业应符合工信部联企业[2011]300号</w:t>
      </w:r>
      <w:r>
        <w:rPr>
          <w:rFonts w:hint="eastAsia" w:ascii="宋体" w:hAnsi="宋体" w:cs="宋体"/>
          <w:kern w:val="0"/>
          <w:sz w:val="24"/>
        </w:rPr>
        <w:t>文件规定，采购活动执行《政府采购促进中小企业发展管理办法》（财库〔2020〕46号)的规定，并出具《中小企业声明函》</w:t>
      </w:r>
      <w:r>
        <w:rPr>
          <w:rFonts w:hint="eastAsia" w:ascii="宋体" w:hAnsi="宋体" w:cs="宋体"/>
          <w:kern w:val="0"/>
          <w:sz w:val="24"/>
          <w:lang w:eastAsia="zh-CN"/>
        </w:rPr>
        <w:t>。</w:t>
      </w:r>
    </w:p>
    <w:p>
      <w:pPr>
        <w:adjustRightInd w:val="0"/>
        <w:snapToGrid w:val="0"/>
        <w:spacing w:line="360" w:lineRule="auto"/>
        <w:ind w:firstLine="480" w:firstLineChars="200"/>
        <w:rPr>
          <w:rFonts w:ascii="宋体" w:hAnsi="宋体"/>
          <w:sz w:val="24"/>
        </w:rPr>
      </w:pPr>
      <w:r>
        <w:rPr>
          <w:rFonts w:hint="eastAsia" w:ascii="宋体" w:hAnsi="宋体"/>
          <w:sz w:val="24"/>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ascii="宋体" w:hAnsi="宋体"/>
          <w:sz w:val="24"/>
        </w:rPr>
      </w:pPr>
      <w:r>
        <w:rPr>
          <w:rFonts w:hint="eastAsia" w:ascii="宋体" w:hAnsi="宋体"/>
          <w:sz w:val="24"/>
        </w:rPr>
        <w:t>2.11</w:t>
      </w:r>
      <w:r>
        <w:rPr>
          <w:rFonts w:hint="eastAsia" w:ascii="宋体" w:hAnsi="宋体" w:cs="宋体"/>
          <w:kern w:val="0"/>
          <w:sz w:val="24"/>
        </w:rPr>
        <w:t>残疾人福利性单位是指符合《民政部 财政部 中国残疾人联合会关于促进残疾人就业政府采购政策的通知》（财库〔2017〕141号）规定的对残疾人福利性单位的划分标准的企业。</w:t>
      </w:r>
    </w:p>
    <w:p>
      <w:pPr>
        <w:pStyle w:val="8"/>
        <w:spacing w:line="240" w:lineRule="auto"/>
      </w:pPr>
      <w:r>
        <w:rPr>
          <w:rFonts w:hint="eastAsia"/>
        </w:rPr>
        <w:t>3.合格的投标</w:t>
      </w:r>
      <w:bookmarkEnd w:id="46"/>
      <w:bookmarkEnd w:id="47"/>
      <w:bookmarkEnd w:id="48"/>
      <w:bookmarkEnd w:id="49"/>
      <w:r>
        <w:rPr>
          <w:rFonts w:hint="eastAsia"/>
        </w:rPr>
        <w:t>人</w:t>
      </w:r>
    </w:p>
    <w:p>
      <w:pPr>
        <w:tabs>
          <w:tab w:val="left" w:pos="7665"/>
        </w:tabs>
        <w:spacing w:line="360" w:lineRule="auto"/>
        <w:ind w:firstLine="480" w:firstLineChars="200"/>
        <w:rPr>
          <w:rFonts w:hint="eastAsia" w:ascii="宋体" w:hAnsi="宋体"/>
          <w:sz w:val="24"/>
        </w:rPr>
      </w:pPr>
      <w:r>
        <w:rPr>
          <w:rFonts w:hint="eastAsia" w:ascii="宋体" w:hAnsi="宋体"/>
          <w:sz w:val="24"/>
        </w:rPr>
        <w:t>3.1合格的投标人应具备以下条件：</w:t>
      </w:r>
    </w:p>
    <w:p>
      <w:pPr>
        <w:tabs>
          <w:tab w:val="left" w:pos="7665"/>
        </w:tabs>
        <w:spacing w:line="360" w:lineRule="auto"/>
        <w:ind w:firstLine="480" w:firstLineChars="200"/>
        <w:rPr>
          <w:rFonts w:hint="eastAsia" w:ascii="宋体" w:hAnsi="宋体"/>
          <w:sz w:val="24"/>
        </w:rPr>
      </w:pPr>
      <w:r>
        <w:rPr>
          <w:rFonts w:hint="eastAsia" w:ascii="宋体" w:hAnsi="宋体"/>
          <w:sz w:val="24"/>
        </w:rPr>
        <w:t>（1）具备且满</w:t>
      </w:r>
      <w:r>
        <w:rPr>
          <w:rFonts w:hint="eastAsia" w:ascii="宋体" w:hAnsi="宋体"/>
          <w:color w:val="auto"/>
          <w:sz w:val="24"/>
        </w:rPr>
        <w:t>足“</w:t>
      </w:r>
      <w:r>
        <w:rPr>
          <w:rFonts w:hint="eastAsia" w:ascii="宋体" w:hAnsi="宋体"/>
          <w:color w:val="auto"/>
          <w:sz w:val="24"/>
          <w:lang w:eastAsia="zh-CN"/>
        </w:rPr>
        <w:t>招标公告</w:t>
      </w:r>
      <w:r>
        <w:rPr>
          <w:rFonts w:hint="eastAsia" w:ascii="宋体" w:hAnsi="宋体"/>
          <w:color w:val="auto"/>
          <w:sz w:val="24"/>
        </w:rPr>
        <w:t>”</w:t>
      </w:r>
      <w:r>
        <w:rPr>
          <w:rFonts w:hint="eastAsia" w:ascii="宋体" w:hAnsi="宋体"/>
          <w:sz w:val="24"/>
        </w:rPr>
        <w:t>要求的；</w:t>
      </w:r>
    </w:p>
    <w:p>
      <w:pPr>
        <w:tabs>
          <w:tab w:val="left" w:pos="7665"/>
        </w:tabs>
        <w:spacing w:line="360" w:lineRule="auto"/>
        <w:ind w:firstLine="480" w:firstLineChars="200"/>
        <w:rPr>
          <w:rFonts w:hint="eastAsia" w:ascii="宋体" w:hAnsi="宋体"/>
          <w:sz w:val="24"/>
        </w:rPr>
      </w:pPr>
      <w:r>
        <w:rPr>
          <w:rFonts w:hint="eastAsia" w:ascii="宋体" w:hAnsi="宋体"/>
          <w:sz w:val="24"/>
        </w:rPr>
        <w:t>（2）向采购代理机构</w:t>
      </w:r>
      <w:r>
        <w:rPr>
          <w:rFonts w:hint="eastAsia" w:ascii="宋体" w:hAnsi="宋体"/>
          <w:sz w:val="24"/>
          <w:lang w:eastAsia="zh-CN"/>
        </w:rPr>
        <w:t>领取</w:t>
      </w:r>
      <w:r>
        <w:rPr>
          <w:rFonts w:hint="eastAsia" w:ascii="宋体" w:hAnsi="宋体"/>
          <w:sz w:val="24"/>
        </w:rPr>
        <w:t>了招标文件并登记备案；</w:t>
      </w:r>
    </w:p>
    <w:p>
      <w:pPr>
        <w:tabs>
          <w:tab w:val="left" w:pos="7665"/>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）投标人单位负责人为同一人或者存在直接控股、管理关系的不同投标人，不得参加同一项目或同一标段的政府采购活动。</w:t>
      </w:r>
    </w:p>
    <w:p>
      <w:pPr>
        <w:tabs>
          <w:tab w:val="left" w:pos="7665"/>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）除单一来源采购项目外，为采购项目提供过整体设计、规范编制或者项目管理、监理、检测等服务的投标人，不得再参加同一项目的其他采购活动；</w:t>
      </w:r>
    </w:p>
    <w:p>
      <w:pPr>
        <w:tabs>
          <w:tab w:val="left" w:pos="7665"/>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）遵守国家、陕西省和西安市有关的法律、法规和规范性文件要求；</w:t>
      </w:r>
    </w:p>
    <w:p>
      <w:pPr>
        <w:tabs>
          <w:tab w:val="left" w:pos="7665"/>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）招标文件和法律、行政法规规定的其他条件。</w:t>
      </w:r>
    </w:p>
    <w:p>
      <w:pPr>
        <w:adjustRightInd w:val="0"/>
        <w:snapToGrid w:val="0"/>
        <w:spacing w:line="360" w:lineRule="auto"/>
        <w:ind w:firstLine="480" w:firstLineChars="200"/>
        <w:rPr>
          <w:rFonts w:ascii="宋体" w:hAnsi="宋体"/>
          <w:sz w:val="24"/>
        </w:rPr>
      </w:pPr>
      <w:r>
        <w:rPr>
          <w:rFonts w:hint="eastAsia" w:ascii="宋体" w:hAnsi="宋体"/>
          <w:sz w:val="24"/>
        </w:rPr>
        <w:t>3.2投标人不得存在下列情形之一：</w:t>
      </w:r>
    </w:p>
    <w:p>
      <w:pPr>
        <w:adjustRightInd w:val="0"/>
        <w:snapToGrid w:val="0"/>
        <w:spacing w:line="360" w:lineRule="auto"/>
        <w:ind w:firstLine="480" w:firstLineChars="200"/>
        <w:rPr>
          <w:rFonts w:ascii="宋体" w:hAnsi="宋体"/>
          <w:sz w:val="24"/>
        </w:rPr>
      </w:pPr>
      <w:r>
        <w:rPr>
          <w:rFonts w:hint="eastAsia" w:ascii="宋体" w:hAnsi="宋体"/>
          <w:sz w:val="24"/>
        </w:rPr>
        <w:t>（l）与采购人、采购代理机构存在</w:t>
      </w:r>
      <w:r>
        <w:rPr>
          <w:rFonts w:hint="eastAsia" w:ascii="宋体" w:hAnsi="宋体"/>
          <w:bCs/>
          <w:sz w:val="24"/>
        </w:rPr>
        <w:t>隶属关系或者其他利害关系；</w:t>
      </w:r>
    </w:p>
    <w:p>
      <w:pPr>
        <w:adjustRightInd w:val="0"/>
        <w:snapToGrid w:val="0"/>
        <w:spacing w:line="360" w:lineRule="auto"/>
        <w:ind w:firstLine="480" w:firstLineChars="200"/>
        <w:rPr>
          <w:rFonts w:ascii="宋体" w:hAnsi="宋体"/>
          <w:sz w:val="24"/>
        </w:rPr>
      </w:pPr>
      <w:r>
        <w:rPr>
          <w:rFonts w:hint="eastAsia" w:ascii="宋体" w:hAnsi="宋体"/>
          <w:sz w:val="24"/>
        </w:rPr>
        <w:t>（2）与其他人的法定代表人（或者负责人）为同一人，或者与其他人存在控股、关联关系；</w:t>
      </w:r>
    </w:p>
    <w:p>
      <w:pPr>
        <w:adjustRightInd w:val="0"/>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受到刑事处罚；</w:t>
      </w:r>
    </w:p>
    <w:p>
      <w:pPr>
        <w:adjustRightInd w:val="0"/>
        <w:snapToGrid w:val="0"/>
        <w:spacing w:line="360" w:lineRule="auto"/>
        <w:ind w:firstLine="480" w:firstLineChars="200"/>
        <w:rPr>
          <w:rFonts w:ascii="宋体" w:hAnsi="宋体"/>
          <w:bCs/>
          <w:sz w:val="24"/>
        </w:rPr>
      </w:pPr>
      <w:r>
        <w:rPr>
          <w:rFonts w:hint="eastAsia" w:ascii="宋体" w:hAnsi="宋体"/>
          <w:bCs/>
          <w:sz w:val="24"/>
        </w:rPr>
        <w:t>（4）受到财政部门3万元以上数额罚款的行政处罚；</w:t>
      </w:r>
    </w:p>
    <w:p>
      <w:pPr>
        <w:adjustRightInd w:val="0"/>
        <w:snapToGrid w:val="0"/>
        <w:spacing w:line="360" w:lineRule="auto"/>
        <w:ind w:left="599" w:leftChars="228" w:hanging="120" w:hangingChars="50"/>
        <w:rPr>
          <w:rFonts w:ascii="宋体" w:hAnsi="宋体"/>
          <w:bCs/>
          <w:sz w:val="24"/>
        </w:rPr>
      </w:pPr>
      <w:r>
        <w:rPr>
          <w:rFonts w:hint="eastAsia" w:ascii="宋体" w:hAnsi="宋体"/>
          <w:bCs/>
          <w:sz w:val="24"/>
        </w:rPr>
        <w:t>（5）被责令停产停业、暂扣或者吊销许可证、暂扣或者吊销执照的行政处罚；</w:t>
      </w:r>
    </w:p>
    <w:p>
      <w:pPr>
        <w:adjustRightInd w:val="0"/>
        <w:snapToGrid w:val="0"/>
        <w:spacing w:line="360" w:lineRule="auto"/>
        <w:ind w:firstLine="480" w:firstLineChars="200"/>
        <w:rPr>
          <w:rFonts w:ascii="宋体" w:hAnsi="宋体"/>
          <w:sz w:val="24"/>
        </w:rPr>
      </w:pPr>
      <w:r>
        <w:rPr>
          <w:rFonts w:hint="eastAsia" w:ascii="宋体" w:hAnsi="宋体"/>
          <w:bCs/>
          <w:sz w:val="24"/>
        </w:rPr>
        <w:t>（6）在一至三年内禁止参加政府采购活动或存在</w:t>
      </w:r>
      <w:r>
        <w:rPr>
          <w:rFonts w:hint="eastAsia" w:ascii="宋体" w:hAnsi="宋体"/>
          <w:sz w:val="24"/>
        </w:rPr>
        <w:t>财政部门认定的其他重大违法记录。</w:t>
      </w:r>
    </w:p>
    <w:p>
      <w:pPr>
        <w:pStyle w:val="8"/>
        <w:spacing w:line="240" w:lineRule="auto"/>
      </w:pPr>
      <w:bookmarkStart w:id="50" w:name="_Toc217446037"/>
      <w:bookmarkStart w:id="51" w:name="_Toc183682345"/>
      <w:bookmarkStart w:id="52" w:name="_Toc183582208"/>
      <w:r>
        <w:rPr>
          <w:rFonts w:hint="eastAsia"/>
        </w:rPr>
        <w:t>4.合格的货物（产品）和服务</w:t>
      </w:r>
    </w:p>
    <w:p>
      <w:pPr>
        <w:tabs>
          <w:tab w:val="left" w:pos="747"/>
        </w:tabs>
        <w:snapToGrid w:val="0"/>
        <w:spacing w:line="360" w:lineRule="auto"/>
        <w:ind w:firstLine="480" w:firstLineChars="200"/>
        <w:rPr>
          <w:rFonts w:hint="eastAsia" w:ascii="宋体" w:hAnsi="宋体"/>
          <w:sz w:val="24"/>
        </w:rPr>
      </w:pPr>
      <w:r>
        <w:rPr>
          <w:rFonts w:hint="eastAsia" w:ascii="宋体" w:hAnsi="宋体"/>
          <w:sz w:val="24"/>
        </w:rPr>
        <w:t>4.1投标人提供的所有货物和服务，必须是合法生产、合法来源，符合国家有关标准要求，并满足招标文件规定的采购需求、服务需求及其它伴随服务等要求。</w:t>
      </w:r>
    </w:p>
    <w:p>
      <w:pPr>
        <w:tabs>
          <w:tab w:val="left" w:pos="747"/>
        </w:tabs>
        <w:snapToGrid w:val="0"/>
        <w:spacing w:line="360" w:lineRule="auto"/>
        <w:ind w:firstLine="480" w:firstLineChars="200"/>
        <w:rPr>
          <w:rFonts w:hint="eastAsia" w:ascii="宋体" w:hAnsi="宋体"/>
          <w:sz w:val="24"/>
        </w:rPr>
      </w:pPr>
      <w:r>
        <w:rPr>
          <w:rFonts w:hint="eastAsia" w:ascii="宋体" w:hAnsi="宋体"/>
          <w:sz w:val="24"/>
        </w:rPr>
        <w:t>4.2采购人有权拒绝接受任何不合格的货物和服务，由此产生的费用及相关后果均由投标人自行承担。</w:t>
      </w:r>
    </w:p>
    <w:p>
      <w:pPr>
        <w:pStyle w:val="8"/>
        <w:spacing w:line="240" w:lineRule="auto"/>
        <w:rPr>
          <w:rFonts w:hint="eastAsia"/>
        </w:rPr>
      </w:pPr>
      <w:bookmarkStart w:id="53" w:name="_Toc217446047"/>
      <w:r>
        <w:rPr>
          <w:rFonts w:hint="eastAsia"/>
        </w:rPr>
        <w:t>5.知识产权</w:t>
      </w:r>
      <w:bookmarkEnd w:id="53"/>
    </w:p>
    <w:p>
      <w:pPr>
        <w:pStyle w:val="15"/>
        <w:spacing w:line="360" w:lineRule="auto"/>
        <w:ind w:firstLine="480" w:firstLineChars="200"/>
        <w:rPr>
          <w:rFonts w:ascii="宋体" w:hAnsi="宋体"/>
          <w:sz w:val="24"/>
          <w:szCs w:val="24"/>
        </w:rPr>
      </w:pPr>
      <w:r>
        <w:rPr>
          <w:rFonts w:hint="eastAsia" w:ascii="宋体" w:hAnsi="宋体"/>
          <w:sz w:val="24"/>
          <w:szCs w:val="24"/>
        </w:rPr>
        <w:t>5.1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5"/>
        <w:spacing w:line="360" w:lineRule="auto"/>
        <w:ind w:firstLine="480" w:firstLineChars="200"/>
        <w:rPr>
          <w:rFonts w:ascii="宋体" w:hAnsi="宋体"/>
          <w:sz w:val="24"/>
          <w:szCs w:val="24"/>
        </w:rPr>
      </w:pPr>
      <w:r>
        <w:rPr>
          <w:rFonts w:hint="eastAsia" w:ascii="宋体" w:hAnsi="宋体"/>
          <w:sz w:val="24"/>
          <w:szCs w:val="24"/>
        </w:rPr>
        <w:t>5.2采购人享有本项目实施过程中产生的知识成果及知识产权。</w:t>
      </w:r>
    </w:p>
    <w:p>
      <w:pPr>
        <w:spacing w:line="360" w:lineRule="auto"/>
        <w:ind w:firstLine="480" w:firstLineChars="200"/>
        <w:rPr>
          <w:rFonts w:ascii="宋体" w:hAnsi="宋体"/>
          <w:sz w:val="24"/>
        </w:rPr>
      </w:pPr>
      <w:r>
        <w:rPr>
          <w:rFonts w:hint="eastAsia" w:ascii="宋体" w:hAnsi="宋体"/>
          <w:sz w:val="24"/>
        </w:rPr>
        <w:t>5.3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80" w:firstLineChars="200"/>
        <w:rPr>
          <w:rFonts w:ascii="宋体" w:hAnsi="宋体"/>
          <w:sz w:val="24"/>
        </w:rPr>
      </w:pPr>
      <w:r>
        <w:rPr>
          <w:rFonts w:hint="eastAsia" w:ascii="宋体" w:hAnsi="宋体"/>
          <w:sz w:val="24"/>
        </w:rPr>
        <w:t>5.4如采用投标人所不拥有的知识产权，则在投标报价中必须包括合法获取该知识产权的相关费用。</w:t>
      </w:r>
    </w:p>
    <w:p>
      <w:pPr>
        <w:pStyle w:val="8"/>
        <w:spacing w:line="240" w:lineRule="auto"/>
      </w:pPr>
      <w:r>
        <w:rPr>
          <w:rFonts w:hint="eastAsia"/>
        </w:rPr>
        <w:t>6.投标费用</w:t>
      </w:r>
      <w:bookmarkEnd w:id="50"/>
      <w:bookmarkEnd w:id="51"/>
      <w:bookmarkEnd w:id="52"/>
    </w:p>
    <w:p>
      <w:pPr>
        <w:spacing w:line="360" w:lineRule="auto"/>
        <w:ind w:firstLine="480" w:firstLineChars="200"/>
        <w:rPr>
          <w:rFonts w:hint="eastAsia" w:ascii="宋体" w:hAnsi="宋体"/>
          <w:sz w:val="24"/>
        </w:rPr>
      </w:pPr>
      <w:r>
        <w:rPr>
          <w:rFonts w:hint="eastAsia" w:ascii="宋体" w:hAnsi="宋体"/>
          <w:sz w:val="24"/>
        </w:rPr>
        <w:t>不论投标结果如何，投标人准备和参加投标活动的</w:t>
      </w:r>
      <w:r>
        <w:rPr>
          <w:rFonts w:hint="eastAsia" w:ascii="宋体" w:hAnsi="宋体"/>
          <w:sz w:val="24"/>
          <w:lang w:eastAsia="zh-CN"/>
        </w:rPr>
        <w:t>交通费、人工费、材料费等所有费用自行承担</w:t>
      </w:r>
      <w:r>
        <w:rPr>
          <w:rFonts w:hint="eastAsia" w:ascii="宋体" w:hAnsi="宋体"/>
          <w:sz w:val="24"/>
        </w:rPr>
        <w:t>。</w:t>
      </w:r>
      <w:bookmarkStart w:id="54" w:name="_Toc183582209"/>
      <w:bookmarkStart w:id="55" w:name="_Toc183682346"/>
      <w:bookmarkStart w:id="56" w:name="_Toc89075875"/>
      <w:bookmarkStart w:id="57" w:name="_Toc217446038"/>
      <w:bookmarkStart w:id="58" w:name="_Toc77400779"/>
    </w:p>
    <w:p>
      <w:pPr>
        <w:pStyle w:val="4"/>
        <w:spacing w:before="0" w:afterLines="50" w:line="240" w:lineRule="auto"/>
        <w:rPr>
          <w:rFonts w:ascii="宋体" w:hAnsi="宋体" w:eastAsia="宋体"/>
          <w:bCs/>
        </w:rPr>
      </w:pPr>
      <w:bookmarkStart w:id="59" w:name="_Toc11922"/>
      <w:bookmarkStart w:id="60" w:name="_Toc17982"/>
      <w:r>
        <w:rPr>
          <w:rFonts w:hint="eastAsia" w:ascii="宋体" w:hAnsi="宋体" w:eastAsia="宋体"/>
          <w:bCs/>
        </w:rPr>
        <w:t>二、招标文件</w:t>
      </w:r>
      <w:bookmarkEnd w:id="54"/>
      <w:bookmarkEnd w:id="55"/>
      <w:bookmarkEnd w:id="56"/>
      <w:bookmarkEnd w:id="57"/>
      <w:bookmarkEnd w:id="58"/>
      <w:bookmarkEnd w:id="59"/>
      <w:bookmarkEnd w:id="60"/>
      <w:bookmarkStart w:id="61" w:name="_Toc183682347"/>
      <w:bookmarkStart w:id="62" w:name="_Toc217446039"/>
      <w:bookmarkStart w:id="63" w:name="_Toc183582210"/>
    </w:p>
    <w:p>
      <w:pPr>
        <w:pStyle w:val="8"/>
        <w:spacing w:line="240" w:lineRule="auto"/>
      </w:pPr>
      <w:r>
        <w:rPr>
          <w:rFonts w:hint="eastAsia"/>
        </w:rPr>
        <w:t>7.招标文件的</w:t>
      </w:r>
      <w:bookmarkEnd w:id="61"/>
      <w:bookmarkEnd w:id="62"/>
      <w:bookmarkEnd w:id="63"/>
      <w:r>
        <w:rPr>
          <w:rFonts w:hint="eastAsia"/>
        </w:rPr>
        <w:t>组成</w:t>
      </w:r>
    </w:p>
    <w:p>
      <w:pPr>
        <w:spacing w:line="360" w:lineRule="auto"/>
        <w:ind w:firstLine="480" w:firstLineChars="200"/>
        <w:rPr>
          <w:rFonts w:hint="eastAsia" w:ascii="宋体" w:hAnsi="宋体"/>
          <w:sz w:val="24"/>
        </w:rPr>
      </w:pPr>
      <w:r>
        <w:rPr>
          <w:rFonts w:hint="eastAsia" w:ascii="宋体" w:hAnsi="宋体"/>
          <w:sz w:val="24"/>
        </w:rPr>
        <w:t>7.1招标文件用以阐明招标项目所需的资质、技术、服务及报价等要求、招标投标程序、有关规定和注意事项以及合同主要条款等。本招标文件包括以下内容：</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招标公告</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（2）投标人须知前附表；</w:t>
      </w:r>
    </w:p>
    <w:p>
      <w:pPr>
        <w:tabs>
          <w:tab w:val="left" w:pos="7665"/>
        </w:tabs>
        <w:spacing w:line="360" w:lineRule="auto"/>
        <w:ind w:firstLine="480" w:firstLineChars="200"/>
        <w:rPr>
          <w:rFonts w:ascii="宋体" w:hAnsi="宋体"/>
          <w:sz w:val="24"/>
        </w:rPr>
      </w:pPr>
      <w:r>
        <w:rPr>
          <w:rFonts w:hint="eastAsia" w:ascii="宋体" w:hAnsi="宋体"/>
          <w:sz w:val="24"/>
        </w:rPr>
        <w:t>（3）投标人须知；</w:t>
      </w:r>
    </w:p>
    <w:p>
      <w:pPr>
        <w:tabs>
          <w:tab w:val="left" w:pos="7665"/>
        </w:tabs>
        <w:spacing w:line="360" w:lineRule="auto"/>
        <w:ind w:firstLine="480" w:firstLineChars="200"/>
        <w:rPr>
          <w:rFonts w:ascii="宋体" w:hAnsi="宋体"/>
          <w:sz w:val="24"/>
        </w:rPr>
      </w:pPr>
      <w:r>
        <w:rPr>
          <w:rFonts w:hint="eastAsia" w:ascii="宋体" w:hAnsi="宋体"/>
          <w:sz w:val="24"/>
        </w:rPr>
        <w:t>（4）评标办法；</w:t>
      </w:r>
    </w:p>
    <w:p>
      <w:pPr>
        <w:tabs>
          <w:tab w:val="left" w:pos="7665"/>
        </w:tabs>
        <w:spacing w:line="360" w:lineRule="auto"/>
        <w:ind w:firstLine="480" w:firstLineChars="200"/>
        <w:rPr>
          <w:rFonts w:ascii="宋体" w:hAnsi="宋体"/>
          <w:sz w:val="24"/>
        </w:rPr>
      </w:pPr>
      <w:r>
        <w:rPr>
          <w:rFonts w:hint="eastAsia" w:ascii="宋体" w:hAnsi="宋体"/>
          <w:sz w:val="24"/>
        </w:rPr>
        <w:t>（5）采购内容及要求；</w:t>
      </w:r>
    </w:p>
    <w:p>
      <w:pPr>
        <w:tabs>
          <w:tab w:val="left" w:pos="7665"/>
        </w:tabs>
        <w:spacing w:line="360" w:lineRule="auto"/>
        <w:ind w:firstLine="480" w:firstLineChars="200"/>
        <w:rPr>
          <w:rFonts w:ascii="宋体" w:hAnsi="宋体"/>
          <w:sz w:val="24"/>
        </w:rPr>
      </w:pPr>
      <w:r>
        <w:rPr>
          <w:rFonts w:hint="eastAsia" w:ascii="宋体" w:hAnsi="宋体"/>
          <w:sz w:val="24"/>
        </w:rPr>
        <w:t>（6）合同</w:t>
      </w:r>
      <w:r>
        <w:rPr>
          <w:rFonts w:hint="eastAsia" w:ascii="宋体" w:hAnsi="宋体"/>
          <w:sz w:val="24"/>
          <w:lang w:eastAsia="zh-CN"/>
        </w:rPr>
        <w:t>草案条款</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（7）投标文件格式；</w:t>
      </w:r>
    </w:p>
    <w:p>
      <w:pPr>
        <w:pStyle w:val="8"/>
        <w:spacing w:line="240" w:lineRule="auto"/>
      </w:pPr>
      <w:bookmarkStart w:id="64" w:name="_Toc183682348"/>
      <w:bookmarkStart w:id="65" w:name="_Toc183582211"/>
      <w:bookmarkStart w:id="66" w:name="_Toc217446040"/>
      <w:r>
        <w:rPr>
          <w:rFonts w:hint="eastAsia"/>
        </w:rPr>
        <w:t>8.招标文件的澄清</w:t>
      </w:r>
      <w:bookmarkEnd w:id="64"/>
      <w:bookmarkEnd w:id="65"/>
      <w:r>
        <w:rPr>
          <w:rFonts w:hint="eastAsia"/>
        </w:rPr>
        <w:t>和修改</w:t>
      </w:r>
      <w:bookmarkEnd w:id="66"/>
    </w:p>
    <w:p>
      <w:pPr>
        <w:spacing w:line="360" w:lineRule="auto"/>
        <w:ind w:firstLine="480" w:firstLineChars="200"/>
        <w:rPr>
          <w:rFonts w:hint="eastAsia" w:ascii="宋体" w:hAnsi="宋体"/>
          <w:sz w:val="24"/>
        </w:rPr>
      </w:pPr>
      <w:r>
        <w:rPr>
          <w:rFonts w:hint="eastAsia" w:ascii="宋体" w:hAnsi="宋体"/>
          <w:sz w:val="24"/>
        </w:rPr>
        <w:t>8.1 在投标截止时间前，采购代理机构无论出于何种原因，可以对已发出招标文件进行必要的澄清或者修改，但不得修改采购标的和资格条件。</w:t>
      </w:r>
    </w:p>
    <w:p>
      <w:pPr>
        <w:spacing w:line="360" w:lineRule="auto"/>
        <w:ind w:firstLine="480" w:firstLineChars="200"/>
        <w:rPr>
          <w:rFonts w:ascii="宋体" w:hAnsi="宋体"/>
          <w:sz w:val="24"/>
        </w:rPr>
      </w:pPr>
      <w:r>
        <w:rPr>
          <w:rFonts w:hint="eastAsia" w:ascii="宋体" w:hAnsi="宋体"/>
          <w:sz w:val="24"/>
        </w:rPr>
        <w:t>8.2采购人或采购代理机构对已发出的招标文件进行必要的澄清或者修改，澄清或修改的内容可能影响投标文件编制的，应当在投标截止时间</w:t>
      </w:r>
      <w:r>
        <w:rPr>
          <w:rFonts w:hint="eastAsia" w:ascii="宋体" w:hAnsi="宋体"/>
          <w:b/>
          <w:sz w:val="24"/>
        </w:rPr>
        <w:t>15</w:t>
      </w:r>
      <w:r>
        <w:rPr>
          <w:rFonts w:hint="eastAsia" w:ascii="宋体" w:hAnsi="宋体"/>
          <w:sz w:val="24"/>
        </w:rPr>
        <w:t>日前，以书面形式将澄清或者修改的内容通知所有获取招标文件的潜在投标人，同时在原信息发布媒体上发布澄清公告。投标人在收到上述通知后，应立即以书面形式向采购代理机构确认。如果澄清或者修改发出的时间距规定的投标截止时间不足</w:t>
      </w:r>
      <w:r>
        <w:rPr>
          <w:rFonts w:hint="eastAsia" w:ascii="宋体" w:hAnsi="宋体" w:cs="TimesNewRomanPSMT"/>
          <w:b/>
          <w:sz w:val="24"/>
        </w:rPr>
        <w:t>15</w:t>
      </w:r>
      <w:r>
        <w:rPr>
          <w:rFonts w:hint="eastAsia" w:ascii="宋体" w:hAnsi="宋体"/>
          <w:sz w:val="24"/>
        </w:rPr>
        <w:t>日，将相应顺延投标截止时间。</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b/>
          <w:bCs/>
          <w:sz w:val="24"/>
        </w:rPr>
        <w:t>.</w:t>
      </w:r>
      <w:r>
        <w:rPr>
          <w:rFonts w:hint="eastAsia" w:ascii="宋体" w:hAnsi="宋体"/>
          <w:sz w:val="24"/>
        </w:rPr>
        <w:t>3投标人应仔细阅读和检查招标文件的全部内容。如发现缺页或附件不全，应及时向采购代理机构提出，以便补齐。</w:t>
      </w:r>
    </w:p>
    <w:p>
      <w:pPr>
        <w:spacing w:line="360" w:lineRule="auto"/>
        <w:ind w:firstLine="480" w:firstLineChars="200"/>
        <w:rPr>
          <w:rFonts w:ascii="宋体" w:hAnsi="宋体"/>
          <w:sz w:val="24"/>
        </w:rPr>
      </w:pPr>
      <w:r>
        <w:rPr>
          <w:rFonts w:hint="eastAsia" w:ascii="宋体" w:hAnsi="宋体"/>
          <w:sz w:val="24"/>
        </w:rPr>
        <w:t>8.4投标人对</w:t>
      </w:r>
      <w:r>
        <w:rPr>
          <w:rFonts w:ascii="宋体" w:hAnsi="宋体"/>
          <w:sz w:val="24"/>
        </w:rPr>
        <w:t>招标文件有</w:t>
      </w:r>
      <w:r>
        <w:rPr>
          <w:rFonts w:hint="eastAsia" w:ascii="宋体" w:hAnsi="宋体"/>
          <w:sz w:val="24"/>
        </w:rPr>
        <w:t>疑问或者质疑的</w:t>
      </w:r>
      <w:r>
        <w:rPr>
          <w:rFonts w:ascii="宋体" w:hAnsi="宋体"/>
          <w:sz w:val="24"/>
        </w:rPr>
        <w:t>，</w:t>
      </w:r>
      <w:r>
        <w:rPr>
          <w:rFonts w:hint="eastAsia" w:ascii="宋体" w:hAnsi="宋体"/>
          <w:sz w:val="24"/>
        </w:rPr>
        <w:t>应</w:t>
      </w:r>
      <w:r>
        <w:rPr>
          <w:rFonts w:ascii="宋体" w:hAnsi="宋体"/>
          <w:sz w:val="24"/>
        </w:rPr>
        <w:t>在</w:t>
      </w:r>
      <w:r>
        <w:rPr>
          <w:rFonts w:hint="eastAsia" w:ascii="宋体" w:hAnsi="宋体"/>
          <w:sz w:val="24"/>
        </w:rPr>
        <w:t>获取</w:t>
      </w:r>
      <w:r>
        <w:rPr>
          <w:rFonts w:hint="eastAsia" w:ascii="宋体" w:hAnsi="宋体"/>
          <w:sz w:val="24"/>
          <w:lang w:eastAsia="zh-CN"/>
        </w:rPr>
        <w:t>招标</w:t>
      </w:r>
      <w:r>
        <w:rPr>
          <w:rFonts w:hint="eastAsia" w:ascii="宋体" w:hAnsi="宋体"/>
          <w:sz w:val="24"/>
        </w:rPr>
        <w:t>文件之日或招标公告期限届满之日起七个工作日内，</w:t>
      </w:r>
      <w:r>
        <w:rPr>
          <w:rFonts w:ascii="宋体" w:hAnsi="宋体"/>
          <w:sz w:val="24"/>
        </w:rPr>
        <w:t>以书面形式向采购代理机构提出，</w:t>
      </w:r>
      <w:r>
        <w:rPr>
          <w:rFonts w:hint="eastAsia" w:ascii="宋体" w:hAnsi="宋体"/>
          <w:sz w:val="24"/>
        </w:rPr>
        <w:t>在此之后提出的询问和质疑均为无效，采购代理机构不予受理。对于在规定时间内收到的投标人依法提出的询问或者质疑，</w:t>
      </w:r>
      <w:r>
        <w:rPr>
          <w:rFonts w:ascii="宋体" w:hAnsi="宋体"/>
          <w:sz w:val="24"/>
        </w:rPr>
        <w:t>采购代理机构将</w:t>
      </w:r>
      <w:r>
        <w:rPr>
          <w:rFonts w:hint="eastAsia" w:ascii="宋体" w:hAnsi="宋体"/>
          <w:sz w:val="24"/>
        </w:rPr>
        <w:t>按程序在三个工作日内书面答复询问，七个工作日内书面答复质疑，或认为有必要召开答疑会。超过该时间收到的需要询问或质疑，采购代理机构有权不予答复。</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lang w:val="en-US" w:eastAsia="zh-CN"/>
        </w:rPr>
        <w:t>5</w:t>
      </w:r>
      <w:r>
        <w:rPr>
          <w:rFonts w:hint="eastAsia" w:ascii="宋体" w:hAnsi="宋体"/>
          <w:sz w:val="24"/>
        </w:rPr>
        <w:t>在投标截止时间前，采购代理机构可以视采购具体情况，延长投标截止时间和开标时间，并在招标文件要求提交投标文件的截止时间前，将变更时间以书面形式通知所有获取招标文件的潜在投标人，同时在原信息发布媒体上发布变更公告。</w:t>
      </w:r>
      <w:bookmarkStart w:id="67" w:name="_Toc183682350"/>
      <w:bookmarkStart w:id="68" w:name="_Toc183582213"/>
      <w:bookmarkStart w:id="69" w:name="_Toc208848971"/>
      <w:bookmarkStart w:id="70" w:name="_Toc217446041"/>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 xml:space="preserve"> 招标文件澄清、答复、修改或补充的内容为招标文件的组成部分。当招标文件澄清、答复、修改或补充通知就同一内容表述不一致时，以最后发出的书面文件内容为准。</w:t>
      </w:r>
    </w:p>
    <w:bookmarkEnd w:id="67"/>
    <w:bookmarkEnd w:id="68"/>
    <w:p>
      <w:pPr>
        <w:pStyle w:val="8"/>
        <w:spacing w:line="240" w:lineRule="auto"/>
      </w:pPr>
      <w:r>
        <w:rPr>
          <w:rFonts w:hint="eastAsia"/>
        </w:rPr>
        <w:t>9.答疑会或现场</w:t>
      </w:r>
      <w:bookmarkEnd w:id="69"/>
      <w:bookmarkEnd w:id="70"/>
      <w:r>
        <w:rPr>
          <w:rFonts w:hint="eastAsia"/>
          <w:lang w:eastAsia="zh-CN"/>
        </w:rPr>
        <w:t>勘察</w:t>
      </w:r>
    </w:p>
    <w:p>
      <w:pPr>
        <w:adjustRightInd w:val="0"/>
        <w:snapToGrid w:val="0"/>
        <w:spacing w:line="360" w:lineRule="auto"/>
        <w:ind w:firstLine="420" w:firstLineChars="175"/>
        <w:rPr>
          <w:rFonts w:hint="eastAsia" w:ascii="宋体" w:hAnsi="宋体"/>
          <w:sz w:val="24"/>
        </w:rPr>
      </w:pPr>
      <w:r>
        <w:rPr>
          <w:rFonts w:hint="eastAsia" w:ascii="宋体" w:hAnsi="宋体"/>
          <w:sz w:val="24"/>
        </w:rPr>
        <w:t>9.1根据采购项目和具体情况，采购</w:t>
      </w:r>
      <w:r>
        <w:rPr>
          <w:rFonts w:hint="eastAsia" w:ascii="宋体" w:hAnsi="宋体"/>
          <w:sz w:val="24"/>
          <w:lang w:eastAsia="zh-CN"/>
        </w:rPr>
        <w:t>人</w:t>
      </w:r>
      <w:r>
        <w:rPr>
          <w:rFonts w:hint="eastAsia" w:ascii="宋体" w:hAnsi="宋体"/>
          <w:sz w:val="24"/>
        </w:rPr>
        <w:t>认为有必要，可以组织召开标前答疑会或组织投标人对项目现场进行考察。答疑会或进行现场考察的时间，招标代理机构将以书面形式通知所有购买了招标文件的投标人。</w:t>
      </w:r>
    </w:p>
    <w:p>
      <w:pPr>
        <w:adjustRightInd w:val="0"/>
        <w:snapToGrid w:val="0"/>
        <w:spacing w:line="360" w:lineRule="auto"/>
        <w:ind w:firstLine="420" w:firstLineChars="175"/>
        <w:rPr>
          <w:rFonts w:ascii="宋体" w:hAnsi="宋体"/>
          <w:sz w:val="24"/>
        </w:rPr>
      </w:pPr>
      <w:r>
        <w:rPr>
          <w:rFonts w:hint="eastAsia" w:ascii="宋体" w:hAnsi="宋体"/>
          <w:sz w:val="24"/>
        </w:rPr>
        <w:t>9.2 答疑会或现场考察后，采购人或采购代理机构对投标人所提问题的澄清（答复）以书面形式通知所有购买了招标文件的投标人。该澄清内容为招标文件的组成部分。</w:t>
      </w:r>
    </w:p>
    <w:p>
      <w:pPr>
        <w:adjustRightInd w:val="0"/>
        <w:snapToGrid w:val="0"/>
        <w:spacing w:line="360" w:lineRule="auto"/>
        <w:ind w:firstLine="420" w:firstLineChars="175"/>
        <w:rPr>
          <w:rFonts w:ascii="宋体" w:hAnsi="宋体"/>
          <w:sz w:val="24"/>
        </w:rPr>
      </w:pPr>
      <w:r>
        <w:rPr>
          <w:rFonts w:hint="eastAsia" w:ascii="宋体" w:hAnsi="宋体"/>
          <w:sz w:val="24"/>
        </w:rPr>
        <w:t>9.3 采购人不对投标人现场考察而做出的推论、理解和结论负责。一旦成交，中标人不得以任何借口，提出额外补偿，或延长合同期限的要求。</w:t>
      </w:r>
    </w:p>
    <w:p>
      <w:pPr>
        <w:adjustRightInd w:val="0"/>
        <w:snapToGrid w:val="0"/>
        <w:spacing w:line="360" w:lineRule="auto"/>
        <w:ind w:firstLine="420" w:firstLineChars="175"/>
        <w:rPr>
          <w:rFonts w:ascii="宋体" w:hAnsi="宋体"/>
          <w:sz w:val="24"/>
        </w:rPr>
      </w:pPr>
      <w:r>
        <w:rPr>
          <w:rFonts w:hint="eastAsia" w:ascii="宋体" w:hAnsi="宋体"/>
          <w:sz w:val="24"/>
        </w:rPr>
        <w:t>9.4 答疑或考察现场所发生的一切费用由投标人自行承担。</w:t>
      </w:r>
    </w:p>
    <w:p>
      <w:pPr>
        <w:pStyle w:val="8"/>
        <w:spacing w:line="240" w:lineRule="auto"/>
      </w:pPr>
      <w:r>
        <w:rPr>
          <w:rFonts w:hint="eastAsia"/>
        </w:rPr>
        <w:t>10.招标文件的解释权</w:t>
      </w:r>
    </w:p>
    <w:p>
      <w:pPr>
        <w:pStyle w:val="5"/>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招标文件的解释权归采购代理机构，如发现招标文件内容与现行法律法规不相符的情况，以现行法律法规为准。</w:t>
      </w:r>
      <w:bookmarkStart w:id="71" w:name="_Toc77400780"/>
      <w:bookmarkStart w:id="72" w:name="_Toc217446042"/>
      <w:bookmarkStart w:id="73" w:name="_Toc89075876"/>
      <w:bookmarkStart w:id="74" w:name="_Toc183682351"/>
      <w:bookmarkStart w:id="75" w:name="_Toc183582214"/>
    </w:p>
    <w:p>
      <w:pPr>
        <w:pStyle w:val="4"/>
        <w:spacing w:before="0" w:afterLines="50" w:line="360" w:lineRule="auto"/>
        <w:rPr>
          <w:rFonts w:ascii="宋体" w:hAnsi="宋体" w:eastAsia="宋体"/>
          <w:bCs/>
        </w:rPr>
      </w:pPr>
      <w:bookmarkStart w:id="76" w:name="_Toc13473"/>
      <w:bookmarkStart w:id="77" w:name="_Toc8630"/>
      <w:r>
        <w:rPr>
          <w:rFonts w:hint="eastAsia" w:ascii="宋体" w:hAnsi="宋体" w:eastAsia="宋体"/>
          <w:bCs/>
        </w:rPr>
        <w:t>三、投标人</w:t>
      </w:r>
      <w:bookmarkEnd w:id="76"/>
      <w:bookmarkEnd w:id="77"/>
    </w:p>
    <w:p>
      <w:pPr>
        <w:pStyle w:val="8"/>
        <w:spacing w:line="240" w:lineRule="auto"/>
      </w:pPr>
      <w:r>
        <w:rPr>
          <w:rFonts w:hint="eastAsia"/>
        </w:rPr>
        <w:t>11.</w:t>
      </w:r>
      <w:bookmarkEnd w:id="71"/>
      <w:bookmarkEnd w:id="72"/>
      <w:bookmarkEnd w:id="73"/>
      <w:bookmarkEnd w:id="74"/>
      <w:bookmarkEnd w:id="75"/>
      <w:bookmarkStart w:id="78" w:name="_Toc217446043"/>
      <w:bookmarkStart w:id="79" w:name="_Toc183582215"/>
      <w:bookmarkStart w:id="80" w:name="_Toc183682352"/>
      <w:r>
        <w:rPr>
          <w:rFonts w:hint="eastAsia"/>
        </w:rPr>
        <w:t>投标人资格要求</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sz w:val="24"/>
        </w:rPr>
        <w:t>1</w:t>
      </w:r>
      <w:r>
        <w:rPr>
          <w:rFonts w:hint="eastAsia" w:ascii="宋体" w:hAnsi="宋体"/>
          <w:kern w:val="0"/>
          <w:sz w:val="24"/>
          <w:lang w:val="en-US" w:eastAsia="zh-CN"/>
        </w:rPr>
        <w:t>1.1投标人应符合《中华人民共和国政府采购法》第二十二条规定的条件，并根据《中华人民共和国政府采购实施条例》第十七条规定提供下列材料：</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 xml:space="preserve">1、具有独立承担民事责任能力的法人、其他组织或自然人，营业执照、组织机构代码证、税务登记证（三证合一只提供营业执照，事业单位提供事业单位法人证书，自然人应提供身份证）合法有效； </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2、法定代表人参加投标时，提供本人身份证；授权代表参加投标时，提供法定代表人授权书和被授权人身份证；非法人单位参照执行；</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3、投标单位负责人为同一人或者存在控股、管理关系的不同单位不得同时进行投标；</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4、参加政府采购活动前三年内，在经营活动中没有重大违法记录的书面声明；</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5、税收缴纳证明：提供投标人2021年6月至今已缴纳任意一个月完税凭证或税务机关开具的完税证明（任意税种）；依法免税的应提供相关文件证明；</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6、社会保障资金缴纳证明：提供投标人2021年6月至今已缴存的任意一个月的社会保障资金缴存证明或社保机构开具的社会保险参保缴费情况证明；依法不需要缴纳社会保障资金的应提供相关文件证明；</w:t>
      </w:r>
    </w:p>
    <w:p>
      <w:pPr>
        <w:widowControl/>
        <w:tabs>
          <w:tab w:val="left" w:pos="1620"/>
        </w:tabs>
        <w:spacing w:line="360" w:lineRule="auto"/>
        <w:ind w:right="-197" w:rightChars="-94" w:firstLine="480" w:firstLineChars="200"/>
        <w:jc w:val="left"/>
        <w:rPr>
          <w:rFonts w:hint="default" w:ascii="宋体" w:hAnsi="宋体"/>
          <w:kern w:val="0"/>
          <w:sz w:val="24"/>
          <w:lang w:val="en-US" w:eastAsia="zh-CN"/>
        </w:rPr>
      </w:pPr>
      <w:r>
        <w:rPr>
          <w:rFonts w:hint="eastAsia" w:ascii="宋体" w:hAnsi="宋体"/>
          <w:kern w:val="0"/>
          <w:sz w:val="24"/>
          <w:lang w:val="en-US" w:eastAsia="zh-CN"/>
        </w:rPr>
        <w:t>7</w:t>
      </w:r>
      <w:r>
        <w:rPr>
          <w:rFonts w:hint="eastAsia" w:ascii="宋体" w:hAnsi="宋体"/>
          <w:kern w:val="0"/>
          <w:sz w:val="24"/>
          <w:lang w:val="zh-CN" w:eastAsia="zh-CN"/>
        </w:rPr>
        <w:t>、财务状况报告：提供20</w:t>
      </w:r>
      <w:r>
        <w:rPr>
          <w:rFonts w:hint="eastAsia" w:ascii="宋体" w:hAnsi="宋体"/>
          <w:kern w:val="0"/>
          <w:sz w:val="24"/>
          <w:lang w:val="en-US" w:eastAsia="zh-CN"/>
        </w:rPr>
        <w:t>20</w:t>
      </w:r>
      <w:r>
        <w:rPr>
          <w:rFonts w:hint="eastAsia" w:ascii="宋体" w:hAnsi="宋体"/>
          <w:kern w:val="0"/>
          <w:sz w:val="24"/>
          <w:lang w:val="zh-CN" w:eastAsia="zh-CN"/>
        </w:rPr>
        <w:t>年经审计的财务报告或开标前三个月内开户银行开具的资信证明；</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8、投标人不得为“信用中国”网站（www.creditchina.gov.cn）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kern w:val="0"/>
          <w:sz w:val="24"/>
          <w:lang w:val="en-US" w:eastAsia="zh-CN"/>
        </w:rPr>
        <w:t>和中国政府采购网（www.ccgp.gov.cn）中被列入失信被执行人、重大税收违法案件当事人名单、政府采购严重违法失信行为记录名单的单位；</w:t>
      </w:r>
    </w:p>
    <w:p>
      <w:pPr>
        <w:widowControl/>
        <w:tabs>
          <w:tab w:val="left" w:pos="1620"/>
        </w:tabs>
        <w:spacing w:line="360" w:lineRule="auto"/>
        <w:ind w:right="-197" w:rightChars="-94" w:firstLine="480" w:firstLineChars="200"/>
        <w:jc w:val="left"/>
        <w:rPr>
          <w:rFonts w:hint="eastAsia" w:ascii="宋体" w:hAnsi="宋体" w:eastAsia="宋体"/>
          <w:kern w:val="0"/>
          <w:sz w:val="24"/>
          <w:lang w:val="en-US" w:eastAsia="zh-CN"/>
        </w:rPr>
      </w:pPr>
      <w:r>
        <w:rPr>
          <w:rFonts w:hint="eastAsia" w:ascii="宋体" w:hAnsi="宋体" w:eastAsia="宋体"/>
          <w:kern w:val="0"/>
          <w:sz w:val="24"/>
          <w:lang w:val="en-US" w:eastAsia="zh-CN"/>
        </w:rPr>
        <w:t>9、具有履行合同所必需的设备和专业技术能力。</w:t>
      </w:r>
    </w:p>
    <w:p>
      <w:pPr>
        <w:widowControl/>
        <w:tabs>
          <w:tab w:val="left" w:pos="1620"/>
        </w:tabs>
        <w:spacing w:line="360" w:lineRule="auto"/>
        <w:ind w:right="-197" w:rightChars="-94" w:firstLine="480" w:firstLineChars="200"/>
        <w:jc w:val="left"/>
        <w:rPr>
          <w:rFonts w:hint="eastAsia" w:ascii="宋体" w:hAnsi="宋体"/>
          <w:kern w:val="0"/>
          <w:sz w:val="24"/>
          <w:lang w:val="en-US" w:eastAsia="zh-CN"/>
        </w:rPr>
      </w:pPr>
      <w:r>
        <w:rPr>
          <w:rFonts w:hint="eastAsia" w:ascii="宋体" w:hAnsi="宋体"/>
          <w:kern w:val="0"/>
          <w:sz w:val="24"/>
          <w:lang w:val="en-US" w:eastAsia="zh-CN"/>
        </w:rPr>
        <w:t>注：本项目不允许联合体投标；</w:t>
      </w:r>
    </w:p>
    <w:p>
      <w:pPr>
        <w:tabs>
          <w:tab w:val="left" w:pos="720"/>
        </w:tabs>
        <w:snapToGrid w:val="0"/>
        <w:spacing w:line="360" w:lineRule="auto"/>
        <w:ind w:firstLine="480" w:firstLineChars="200"/>
        <w:rPr>
          <w:sz w:val="24"/>
        </w:rPr>
      </w:pPr>
      <w:r>
        <w:rPr>
          <w:bCs/>
          <w:sz w:val="24"/>
        </w:rPr>
        <w:t>11</w:t>
      </w:r>
      <w:r>
        <w:rPr>
          <w:rFonts w:hint="eastAsia"/>
          <w:bCs/>
          <w:sz w:val="24"/>
        </w:rPr>
        <w:t>.2</w:t>
      </w:r>
      <w:r>
        <w:rPr>
          <w:sz w:val="24"/>
        </w:rPr>
        <w:t>投标人应保证所提供的全部证明材料的真实性，并保证愿意接受由采购人对其所提供材料的真实性的调查和考证。</w:t>
      </w:r>
    </w:p>
    <w:p>
      <w:pPr>
        <w:pStyle w:val="8"/>
        <w:spacing w:line="240" w:lineRule="auto"/>
      </w:pPr>
      <w:r>
        <w:rPr>
          <w:rFonts w:hint="eastAsia"/>
        </w:rPr>
        <w:t>12.授权委托</w:t>
      </w:r>
    </w:p>
    <w:p>
      <w:pPr>
        <w:pStyle w:val="17"/>
        <w:adjustRightInd w:val="0"/>
        <w:snapToGrid w:val="0"/>
        <w:spacing w:line="360" w:lineRule="auto"/>
        <w:ind w:left="-178" w:leftChars="-85" w:firstLine="600" w:firstLineChars="250"/>
        <w:rPr>
          <w:rFonts w:ascii="Times New Roman" w:hAnsi="Times New Roman" w:cs="Times New Roman"/>
          <w:sz w:val="24"/>
          <w:szCs w:val="24"/>
        </w:rPr>
      </w:pPr>
      <w:r>
        <w:rPr>
          <w:rFonts w:ascii="Times New Roman" w:hAnsi="Times New Roman" w:cs="Times New Roman"/>
          <w:sz w:val="24"/>
          <w:szCs w:val="24"/>
        </w:rPr>
        <w:t>12.1投标人代表为</w:t>
      </w:r>
      <w:r>
        <w:rPr>
          <w:rFonts w:hint="eastAsia" w:ascii="Times New Roman" w:hAnsi="Times New Roman" w:cs="Times New Roman"/>
          <w:sz w:val="24"/>
          <w:szCs w:val="24"/>
        </w:rPr>
        <w:t>法定</w:t>
      </w:r>
      <w:r>
        <w:rPr>
          <w:rFonts w:ascii="Times New Roman" w:hAnsi="Times New Roman" w:cs="Times New Roman"/>
          <w:sz w:val="24"/>
          <w:szCs w:val="24"/>
        </w:rPr>
        <w:t>代表人</w:t>
      </w:r>
      <w:r>
        <w:rPr>
          <w:rFonts w:hint="eastAsia" w:ascii="Times New Roman" w:hAnsi="Times New Roman" w:cs="Times New Roman"/>
          <w:sz w:val="24"/>
          <w:szCs w:val="24"/>
        </w:rPr>
        <w:t>（单位负责人）</w:t>
      </w:r>
      <w:r>
        <w:rPr>
          <w:rFonts w:ascii="Times New Roman" w:hAnsi="Times New Roman" w:cs="Times New Roman"/>
          <w:sz w:val="24"/>
          <w:szCs w:val="24"/>
        </w:rPr>
        <w:t>的，应持有法定代表人</w:t>
      </w:r>
      <w:r>
        <w:rPr>
          <w:rFonts w:hint="eastAsia" w:ascii="Times New Roman" w:hAnsi="Times New Roman" w:cs="Times New Roman"/>
          <w:sz w:val="24"/>
          <w:szCs w:val="24"/>
        </w:rPr>
        <w:t>（单位负责人）证明书、身份证</w:t>
      </w:r>
      <w:r>
        <w:rPr>
          <w:rFonts w:ascii="Times New Roman" w:hAnsi="Times New Roman" w:cs="Times New Roman"/>
          <w:sz w:val="24"/>
          <w:szCs w:val="24"/>
        </w:rPr>
        <w:t>。投标人代表不是法定代表人</w:t>
      </w:r>
      <w:r>
        <w:rPr>
          <w:rFonts w:hint="eastAsia" w:ascii="Times New Roman" w:hAnsi="Times New Roman" w:cs="Times New Roman"/>
          <w:sz w:val="24"/>
          <w:szCs w:val="24"/>
        </w:rPr>
        <w:t>（单位负责人）</w:t>
      </w:r>
      <w:r>
        <w:rPr>
          <w:rFonts w:ascii="Times New Roman" w:hAnsi="Times New Roman" w:cs="Times New Roman"/>
          <w:sz w:val="24"/>
          <w:szCs w:val="24"/>
        </w:rPr>
        <w:t>的，应持有法定代表人</w:t>
      </w:r>
      <w:r>
        <w:rPr>
          <w:rFonts w:hint="eastAsia" w:ascii="Times New Roman" w:hAnsi="Times New Roman" w:cs="Times New Roman"/>
          <w:sz w:val="24"/>
          <w:szCs w:val="24"/>
        </w:rPr>
        <w:t>（单位负责人）证明书、</w:t>
      </w:r>
      <w:r>
        <w:rPr>
          <w:rFonts w:ascii="Times New Roman" w:hAnsi="Times New Roman" w:cs="Times New Roman"/>
          <w:sz w:val="24"/>
          <w:szCs w:val="24"/>
        </w:rPr>
        <w:t>法定代表人</w:t>
      </w:r>
      <w:r>
        <w:rPr>
          <w:rFonts w:hint="eastAsia" w:ascii="Times New Roman" w:hAnsi="Times New Roman" w:cs="Times New Roman"/>
          <w:sz w:val="24"/>
          <w:szCs w:val="24"/>
        </w:rPr>
        <w:t>（单位负责人）</w:t>
      </w:r>
      <w:r>
        <w:rPr>
          <w:rFonts w:ascii="Times New Roman" w:hAnsi="Times New Roman" w:cs="Times New Roman"/>
          <w:sz w:val="24"/>
          <w:szCs w:val="24"/>
        </w:rPr>
        <w:t>授权书，投标人代表</w:t>
      </w:r>
      <w:r>
        <w:rPr>
          <w:rFonts w:hint="eastAsia" w:ascii="Times New Roman" w:hAnsi="Times New Roman" w:cs="Times New Roman"/>
          <w:sz w:val="24"/>
          <w:szCs w:val="24"/>
        </w:rPr>
        <w:t>身份证</w:t>
      </w:r>
      <w:r>
        <w:rPr>
          <w:rFonts w:ascii="Times New Roman" w:hAnsi="Times New Roman" w:cs="Times New Roman"/>
          <w:sz w:val="24"/>
          <w:szCs w:val="24"/>
        </w:rPr>
        <w:t>。</w:t>
      </w:r>
    </w:p>
    <w:p>
      <w:pPr>
        <w:pStyle w:val="17"/>
        <w:adjustRightInd w:val="0"/>
        <w:snapToGrid w:val="0"/>
        <w:spacing w:line="360" w:lineRule="auto"/>
        <w:ind w:left="-178" w:leftChars="-85" w:firstLine="600" w:firstLineChars="250"/>
        <w:rPr>
          <w:rFonts w:ascii="Times New Roman" w:hAnsi="Times New Roman" w:cs="Times New Roman"/>
          <w:kern w:val="0"/>
          <w:sz w:val="24"/>
          <w:szCs w:val="24"/>
        </w:rPr>
      </w:pPr>
      <w:r>
        <w:rPr>
          <w:rFonts w:ascii="Times New Roman" w:hAnsi="Times New Roman" w:cs="Times New Roman"/>
          <w:sz w:val="24"/>
          <w:szCs w:val="24"/>
        </w:rPr>
        <w:t>12</w:t>
      </w:r>
      <w:r>
        <w:rPr>
          <w:rFonts w:ascii="Times New Roman" w:hAnsi="Times New Roman" w:cs="Times New Roman"/>
          <w:kern w:val="0"/>
          <w:sz w:val="24"/>
          <w:szCs w:val="24"/>
        </w:rPr>
        <w:t>.2投标人代表只能接受一个投标人的委托参加投标，投标人应当委托本单位正式员工为投标人代表。</w:t>
      </w:r>
    </w:p>
    <w:p>
      <w:pPr>
        <w:pStyle w:val="8"/>
        <w:spacing w:line="240" w:lineRule="auto"/>
      </w:pPr>
      <w:r>
        <w:rPr>
          <w:rFonts w:hint="eastAsia"/>
        </w:rPr>
        <w:t>1</w:t>
      </w:r>
      <w:r>
        <w:rPr>
          <w:rFonts w:hint="eastAsia"/>
          <w:lang w:val="en-US" w:eastAsia="zh-CN"/>
        </w:rPr>
        <w:t>3</w:t>
      </w:r>
      <w:r>
        <w:rPr>
          <w:rFonts w:hint="eastAsia"/>
        </w:rPr>
        <w:t>.享受政府采购政策</w:t>
      </w:r>
    </w:p>
    <w:p>
      <w:pPr>
        <w:pStyle w:val="17"/>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.1所投产品符合政府采购强制采购政策的，实行强制采购。</w:t>
      </w:r>
    </w:p>
    <w:p>
      <w:pPr>
        <w:pStyle w:val="15"/>
        <w:spacing w:line="360" w:lineRule="auto"/>
        <w:ind w:firstLine="480" w:firstLineChars="200"/>
        <w:rPr>
          <w:rFonts w:ascii="宋体" w:hAnsi="宋体"/>
          <w:spacing w:val="6"/>
          <w:sz w:val="24"/>
          <w:szCs w:val="24"/>
        </w:rPr>
      </w:pPr>
      <w:bookmarkStart w:id="81" w:name="_Toc531253634"/>
      <w:r>
        <w:rPr>
          <w:rFonts w:hint="eastAsia" w:ascii="宋体" w:hAnsi="宋体"/>
          <w:sz w:val="24"/>
          <w:szCs w:val="24"/>
        </w:rPr>
        <w:t>1</w:t>
      </w:r>
      <w:r>
        <w:rPr>
          <w:rFonts w:hint="eastAsia" w:ascii="宋体" w:hAnsi="宋体"/>
          <w:sz w:val="24"/>
          <w:szCs w:val="24"/>
          <w:lang w:val="en-US" w:eastAsia="zh-CN"/>
        </w:rPr>
        <w:t>3</w:t>
      </w:r>
      <w:r>
        <w:rPr>
          <w:rFonts w:hint="eastAsia" w:ascii="宋体" w:hAnsi="宋体"/>
          <w:spacing w:val="6"/>
          <w:sz w:val="24"/>
          <w:szCs w:val="24"/>
        </w:rPr>
        <w:t>.2符合政府采购优先采购政策的，所投产品属于“节能产品政府采购清单”中品目的产品，需提供最新一期“节能产品政府采购清单”中投标产品所在清单页并加盖投标人公章。该清单可在中国政府采购网、中国环境资源信息网、中国节能节水认证网上查找；所投产品属于“环境标志产品政府采购清单”中品目的产品，需提供最新一期“环境标志产品政府采购清单”中投标产品所在清单页并加盖投标人公章。该清单可在中国政府采购网、国家环境保护总局网、中国绿色采购网上查找。</w:t>
      </w:r>
      <w:bookmarkEnd w:id="81"/>
    </w:p>
    <w:p>
      <w:pPr>
        <w:adjustRightInd w:val="0"/>
        <w:snapToGrid w:val="0"/>
        <w:spacing w:line="360" w:lineRule="auto"/>
        <w:ind w:firstLine="480" w:firstLineChars="200"/>
        <w:jc w:val="left"/>
        <w:rPr>
          <w:rFonts w:ascii="宋体" w:hAnsi="宋体"/>
          <w:b/>
          <w:sz w:val="24"/>
        </w:rPr>
      </w:pPr>
      <w:r>
        <w:rPr>
          <w:rFonts w:hint="eastAsia" w:ascii="宋体" w:hAnsi="宋体"/>
          <w:sz w:val="24"/>
        </w:rPr>
        <w:t>1</w:t>
      </w:r>
      <w:r>
        <w:rPr>
          <w:rFonts w:hint="eastAsia" w:ascii="宋体" w:hAnsi="宋体"/>
          <w:sz w:val="24"/>
          <w:lang w:val="en-US" w:eastAsia="zh-CN"/>
        </w:rPr>
        <w:t>3</w:t>
      </w:r>
      <w:r>
        <w:rPr>
          <w:rFonts w:hint="eastAsia" w:ascii="宋体" w:hAnsi="宋体"/>
          <w:b/>
          <w:sz w:val="24"/>
        </w:rPr>
        <w:t>.</w:t>
      </w:r>
      <w:r>
        <w:rPr>
          <w:rFonts w:hint="eastAsia" w:ascii="宋体" w:hAnsi="宋体"/>
          <w:sz w:val="24"/>
        </w:rPr>
        <w:t>3</w:t>
      </w:r>
      <w:r>
        <w:rPr>
          <w:rFonts w:hint="eastAsia"/>
          <w:sz w:val="24"/>
        </w:rPr>
        <w:t>投标人享受</w:t>
      </w:r>
      <w:r>
        <w:rPr>
          <w:rFonts w:hint="eastAsia" w:cs="宋体"/>
          <w:bCs/>
          <w:kern w:val="0"/>
          <w:sz w:val="24"/>
        </w:rPr>
        <w:t>支持</w:t>
      </w:r>
      <w:r>
        <w:rPr>
          <w:rFonts w:hint="eastAsia"/>
          <w:sz w:val="24"/>
        </w:rPr>
        <w:t>中小型企业发展政策优惠的，可以同时享受节能产品、环境标志产品优先采购政策</w:t>
      </w:r>
      <w:r>
        <w:rPr>
          <w:rFonts w:hint="eastAsia"/>
          <w:sz w:val="24"/>
          <w:lang w:eastAsia="zh-CN"/>
        </w:rPr>
        <w:t>。</w:t>
      </w:r>
      <w:r>
        <w:rPr>
          <w:rFonts w:hint="eastAsia" w:ascii="宋体" w:hAnsi="宋体"/>
          <w:sz w:val="24"/>
        </w:rPr>
        <w:t>监狱企业参加政府采购活动时，视同中小企业；依据</w:t>
      </w:r>
      <w:r>
        <w:rPr>
          <w:rFonts w:hint="eastAsia" w:ascii="宋体" w:hAnsi="宋体"/>
          <w:spacing w:val="6"/>
          <w:sz w:val="24"/>
        </w:rPr>
        <w:t>《财政部、民政部、中国残疾人联合会关于促进残疾人就业政府采购政策的通知》（财库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w:t>
      </w:r>
      <w:r>
        <w:rPr>
          <w:rFonts w:hint="eastAsia" w:ascii="宋体" w:hAnsi="宋体" w:cs="宋体"/>
          <w:kern w:val="0"/>
          <w:sz w:val="24"/>
        </w:rPr>
        <w:t>残疾人福利性单位</w:t>
      </w:r>
      <w:r>
        <w:rPr>
          <w:rFonts w:hint="eastAsia" w:ascii="宋体" w:hAnsi="宋体"/>
          <w:sz w:val="24"/>
        </w:rPr>
        <w:t>参加政府采购活动时，也视同小微企业；</w:t>
      </w:r>
      <w:r>
        <w:rPr>
          <w:rFonts w:hint="eastAsia"/>
          <w:sz w:val="24"/>
        </w:rPr>
        <w:t>同一项目中部分产品属于优先采购政策的，评审时只对该部分产品实行优先采购。</w:t>
      </w:r>
    </w:p>
    <w:p>
      <w:pPr>
        <w:pStyle w:val="17"/>
        <w:adjustRightInd w:val="0"/>
        <w:snapToGrid w:val="0"/>
        <w:spacing w:line="360" w:lineRule="auto"/>
        <w:ind w:firstLine="480" w:firstLineChars="200"/>
        <w:rPr>
          <w:rFonts w:hAnsi="宋体"/>
          <w:sz w:val="24"/>
          <w:szCs w:val="24"/>
        </w:rPr>
      </w:pPr>
      <w:r>
        <w:rPr>
          <w:rFonts w:hint="eastAsia" w:hAnsi="宋体"/>
          <w:sz w:val="24"/>
          <w:szCs w:val="24"/>
        </w:rPr>
        <w:t>1</w:t>
      </w:r>
      <w:r>
        <w:rPr>
          <w:rFonts w:hint="eastAsia" w:hAnsi="宋体"/>
          <w:sz w:val="24"/>
          <w:szCs w:val="24"/>
          <w:lang w:val="en-US" w:eastAsia="zh-CN"/>
        </w:rPr>
        <w:t>3</w:t>
      </w:r>
      <w:r>
        <w:rPr>
          <w:rFonts w:hint="eastAsia" w:hAnsi="宋体"/>
          <w:sz w:val="24"/>
          <w:szCs w:val="24"/>
        </w:rPr>
        <w:t>.3.1</w:t>
      </w:r>
      <w:r>
        <w:rPr>
          <w:rFonts w:ascii="Times New Roman" w:hAnsi="Times New Roman" w:cs="Times New Roman"/>
          <w:sz w:val="24"/>
          <w:szCs w:val="24"/>
        </w:rPr>
        <w:t>参加政府采购活动的中小企业应当提供《中小企业声明函》（见第</w:t>
      </w:r>
      <w:r>
        <w:rPr>
          <w:rFonts w:hint="eastAsia" w:ascii="Times New Roman" w:hAnsi="Times New Roman" w:cs="Times New Roman"/>
          <w:sz w:val="24"/>
          <w:szCs w:val="24"/>
        </w:rPr>
        <w:t>七</w:t>
      </w:r>
      <w:r>
        <w:rPr>
          <w:rFonts w:ascii="Times New Roman" w:hAnsi="Times New Roman" w:cs="Times New Roman"/>
          <w:sz w:val="24"/>
          <w:szCs w:val="24"/>
        </w:rPr>
        <w:t>章投标文件格式）</w:t>
      </w:r>
      <w:r>
        <w:rPr>
          <w:rFonts w:hint="eastAsia" w:ascii="Times New Roman" w:hAnsi="Times New Roman" w:cs="Times New Roman"/>
          <w:sz w:val="24"/>
          <w:szCs w:val="24"/>
          <w:lang w:eastAsia="zh-CN"/>
        </w:rPr>
        <w:t>，</w:t>
      </w:r>
      <w:r>
        <w:rPr>
          <w:rFonts w:ascii="Times New Roman" w:hAnsi="Times New Roman" w:cs="Times New Roman"/>
          <w:sz w:val="24"/>
          <w:szCs w:val="24"/>
        </w:rPr>
        <w:t>不提供的或提供有瑕疵的，在评审时不享受政府采购优惠政策</w:t>
      </w:r>
      <w:r>
        <w:rPr>
          <w:rFonts w:hint="eastAsia" w:hAnsi="宋体"/>
          <w:sz w:val="24"/>
          <w:szCs w:val="24"/>
        </w:rPr>
        <w:t>。</w:t>
      </w:r>
    </w:p>
    <w:p>
      <w:pPr>
        <w:pStyle w:val="17"/>
        <w:adjustRightInd w:val="0"/>
        <w:snapToGrid w:val="0"/>
        <w:spacing w:line="360" w:lineRule="auto"/>
        <w:ind w:firstLine="480" w:firstLineChars="200"/>
        <w:rPr>
          <w:rFonts w:ascii="方正仿宋_GBK" w:hAnsi="宋体" w:eastAsia="方正仿宋_GBK"/>
          <w:sz w:val="24"/>
          <w:szCs w:val="24"/>
        </w:rPr>
      </w:pPr>
      <w:r>
        <w:rPr>
          <w:rFonts w:hint="eastAsia" w:hAnsi="宋体"/>
          <w:sz w:val="24"/>
          <w:szCs w:val="24"/>
        </w:rPr>
        <w:t>1</w:t>
      </w:r>
      <w:r>
        <w:rPr>
          <w:rFonts w:hint="eastAsia" w:hAnsi="宋体"/>
          <w:sz w:val="24"/>
          <w:szCs w:val="24"/>
          <w:lang w:val="en-US" w:eastAsia="zh-CN"/>
        </w:rPr>
        <w:t>3</w:t>
      </w:r>
      <w:r>
        <w:rPr>
          <w:rFonts w:hint="eastAsia" w:hAnsi="宋体"/>
          <w:sz w:val="24"/>
          <w:szCs w:val="24"/>
        </w:rPr>
        <w:t>.3.</w:t>
      </w:r>
      <w:r>
        <w:rPr>
          <w:rFonts w:hint="eastAsia" w:hAnsi="宋体"/>
          <w:sz w:val="24"/>
          <w:szCs w:val="24"/>
          <w:lang w:val="en-US" w:eastAsia="zh-CN"/>
        </w:rPr>
        <w:t>2</w:t>
      </w:r>
      <w:r>
        <w:rPr>
          <w:rFonts w:hint="eastAsia" w:hAnsi="宋体"/>
          <w:sz w:val="24"/>
          <w:szCs w:val="24"/>
        </w:rPr>
        <w:t>参加政府采购活动的监狱企业应当提供由省级以上监狱管理局、戒毒管理局出具的属于监狱企业的证明文件，不提供或提供有瑕疵的不视为中小企业，在评审时不享受政府采购优惠政策。</w:t>
      </w:r>
    </w:p>
    <w:p>
      <w:pPr>
        <w:pStyle w:val="17"/>
        <w:adjustRightInd w:val="0"/>
        <w:snapToGrid w:val="0"/>
        <w:spacing w:line="360" w:lineRule="auto"/>
        <w:ind w:firstLine="480" w:firstLineChars="200"/>
        <w:rPr>
          <w:rFonts w:hAnsi="宋体"/>
          <w:sz w:val="24"/>
          <w:szCs w:val="24"/>
        </w:rPr>
      </w:pPr>
      <w:r>
        <w:rPr>
          <w:rFonts w:hint="eastAsia" w:hAnsi="宋体"/>
          <w:sz w:val="24"/>
          <w:szCs w:val="24"/>
        </w:rPr>
        <w:t>1</w:t>
      </w:r>
      <w:r>
        <w:rPr>
          <w:rFonts w:hint="eastAsia" w:hAnsi="宋体"/>
          <w:sz w:val="24"/>
          <w:szCs w:val="24"/>
          <w:lang w:val="en-US" w:eastAsia="zh-CN"/>
        </w:rPr>
        <w:t>3</w:t>
      </w:r>
      <w:r>
        <w:rPr>
          <w:rFonts w:hint="eastAsia" w:hAnsi="宋体"/>
          <w:sz w:val="24"/>
          <w:szCs w:val="24"/>
        </w:rPr>
        <w:t>.3.</w:t>
      </w:r>
      <w:r>
        <w:rPr>
          <w:rFonts w:hint="eastAsia" w:hAnsi="宋体"/>
          <w:sz w:val="24"/>
          <w:szCs w:val="24"/>
          <w:lang w:val="en-US" w:eastAsia="zh-CN"/>
        </w:rPr>
        <w:t>3</w:t>
      </w:r>
      <w:r>
        <w:rPr>
          <w:rFonts w:hint="eastAsia" w:hAnsi="宋体"/>
          <w:sz w:val="24"/>
          <w:szCs w:val="24"/>
        </w:rPr>
        <w:t xml:space="preserve"> 参加政府采购活动的</w:t>
      </w:r>
      <w:r>
        <w:rPr>
          <w:rFonts w:hint="eastAsia" w:hAnsi="宋体" w:cs="宋体"/>
          <w:kern w:val="0"/>
          <w:sz w:val="24"/>
        </w:rPr>
        <w:t>残疾人福利性单位应当提供《残疾人福利性单位声明函》</w:t>
      </w:r>
      <w:r>
        <w:rPr>
          <w:rFonts w:hint="eastAsia" w:hAnsi="宋体"/>
          <w:sz w:val="24"/>
          <w:szCs w:val="24"/>
        </w:rPr>
        <w:t>（见第</w:t>
      </w:r>
      <w:r>
        <w:rPr>
          <w:rFonts w:hint="eastAsia" w:hAnsi="宋体"/>
          <w:sz w:val="24"/>
          <w:szCs w:val="24"/>
          <w:lang w:eastAsia="zh-CN"/>
        </w:rPr>
        <w:t>七</w:t>
      </w:r>
      <w:r>
        <w:rPr>
          <w:rFonts w:hint="eastAsia" w:hAnsi="宋体"/>
          <w:sz w:val="24"/>
          <w:szCs w:val="24"/>
        </w:rPr>
        <w:t>章投标文件格式）</w:t>
      </w:r>
      <w:r>
        <w:rPr>
          <w:rFonts w:hint="eastAsia" w:hAnsi="宋体" w:cs="宋体"/>
          <w:kern w:val="0"/>
          <w:sz w:val="24"/>
        </w:rPr>
        <w:t>，</w:t>
      </w:r>
      <w:r>
        <w:rPr>
          <w:rFonts w:hint="eastAsia" w:hAnsi="宋体"/>
          <w:sz w:val="24"/>
          <w:szCs w:val="24"/>
        </w:rPr>
        <w:t>不提供或提供有瑕疵的，不视为残疾人福利性单位，在评审时不享受政府采购优惠政策。</w:t>
      </w:r>
    </w:p>
    <w:p>
      <w:pPr>
        <w:pStyle w:val="8"/>
        <w:spacing w:line="240" w:lineRule="auto"/>
      </w:pPr>
      <w:r>
        <w:rPr>
          <w:rFonts w:hint="eastAsia"/>
        </w:rPr>
        <w:t>1</w:t>
      </w:r>
      <w:r>
        <w:rPr>
          <w:rFonts w:hint="eastAsia"/>
          <w:lang w:val="en-US" w:eastAsia="zh-CN"/>
        </w:rPr>
        <w:t>4</w:t>
      </w:r>
      <w:r>
        <w:rPr>
          <w:rFonts w:hint="eastAsia"/>
        </w:rPr>
        <w:t>.转包与分包</w:t>
      </w:r>
    </w:p>
    <w:p>
      <w:pPr>
        <w:widowControl/>
        <w:shd w:val="clear" w:color="auto" w:fill="FFFFFF"/>
        <w:spacing w:line="360" w:lineRule="auto"/>
        <w:ind w:firstLine="482"/>
        <w:jc w:val="left"/>
        <w:rPr>
          <w:kern w:val="0"/>
          <w:sz w:val="24"/>
        </w:rPr>
      </w:pPr>
      <w:r>
        <w:rPr>
          <w:kern w:val="0"/>
          <w:sz w:val="24"/>
        </w:rPr>
        <w:t>1</w:t>
      </w:r>
      <w:r>
        <w:rPr>
          <w:rFonts w:hint="eastAsia"/>
          <w:kern w:val="0"/>
          <w:sz w:val="24"/>
          <w:lang w:val="en-US" w:eastAsia="zh-CN"/>
        </w:rPr>
        <w:t>4</w:t>
      </w:r>
      <w:r>
        <w:rPr>
          <w:kern w:val="0"/>
          <w:sz w:val="24"/>
        </w:rPr>
        <w:t>.1本项目不允许采取转包方式履行合同。</w:t>
      </w:r>
    </w:p>
    <w:p>
      <w:pPr>
        <w:spacing w:line="360" w:lineRule="auto"/>
        <w:ind w:firstLine="493"/>
        <w:rPr>
          <w:color w:val="auto"/>
          <w:sz w:val="24"/>
        </w:rPr>
      </w:pPr>
      <w:r>
        <w:rPr>
          <w:sz w:val="24"/>
        </w:rPr>
        <w:t>1</w:t>
      </w:r>
      <w:r>
        <w:rPr>
          <w:rFonts w:hint="eastAsia"/>
          <w:sz w:val="24"/>
          <w:lang w:val="en-US" w:eastAsia="zh-CN"/>
        </w:rPr>
        <w:t>4</w:t>
      </w:r>
      <w:r>
        <w:rPr>
          <w:sz w:val="24"/>
        </w:rPr>
        <w:t>.2</w:t>
      </w:r>
      <w:r>
        <w:rPr>
          <w:color w:val="auto"/>
          <w:sz w:val="24"/>
        </w:rPr>
        <w:t>本项目</w:t>
      </w:r>
      <w:r>
        <w:rPr>
          <w:rFonts w:hint="eastAsia"/>
          <w:color w:val="auto"/>
          <w:sz w:val="24"/>
        </w:rPr>
        <w:t>不允许分包</w:t>
      </w:r>
      <w:r>
        <w:rPr>
          <w:color w:val="auto"/>
          <w:sz w:val="24"/>
        </w:rPr>
        <w:t>。</w:t>
      </w:r>
    </w:p>
    <w:p>
      <w:pPr>
        <w:spacing w:line="360" w:lineRule="auto"/>
        <w:ind w:firstLine="493"/>
        <w:rPr>
          <w:sz w:val="24"/>
        </w:rPr>
      </w:pPr>
      <w:r>
        <w:rPr>
          <w:rFonts w:hint="eastAsia"/>
          <w:sz w:val="24"/>
        </w:rPr>
        <w:t>1</w:t>
      </w:r>
      <w:r>
        <w:rPr>
          <w:rFonts w:hint="eastAsia"/>
          <w:sz w:val="24"/>
          <w:lang w:val="en-US" w:eastAsia="zh-CN"/>
        </w:rPr>
        <w:t>4</w:t>
      </w:r>
      <w:r>
        <w:rPr>
          <w:rFonts w:hint="eastAsia"/>
          <w:sz w:val="24"/>
        </w:rPr>
        <w:t>.3未经采购人许可，不得将本采购项目采取转包实施的办法，一经发现，立即取消其中标资格，并承担由此产生的一切经济损失</w:t>
      </w:r>
      <w:r>
        <w:rPr>
          <w:kern w:val="0"/>
          <w:sz w:val="24"/>
        </w:rPr>
        <w:t>。</w:t>
      </w:r>
    </w:p>
    <w:p>
      <w:pPr>
        <w:pStyle w:val="8"/>
        <w:spacing w:line="240" w:lineRule="auto"/>
      </w:pPr>
      <w:r>
        <w:rPr>
          <w:rFonts w:hint="eastAsia"/>
        </w:rPr>
        <w:t>1</w:t>
      </w:r>
      <w:r>
        <w:rPr>
          <w:rFonts w:hint="eastAsia"/>
          <w:lang w:val="en-US" w:eastAsia="zh-CN"/>
        </w:rPr>
        <w:t>5</w:t>
      </w:r>
      <w:r>
        <w:rPr>
          <w:rFonts w:hint="eastAsia"/>
        </w:rPr>
        <w:t>.投标人的风险</w:t>
      </w:r>
    </w:p>
    <w:p>
      <w:pPr>
        <w:tabs>
          <w:tab w:val="left" w:pos="7665"/>
        </w:tabs>
        <w:spacing w:line="360" w:lineRule="auto"/>
        <w:ind w:firstLine="480" w:firstLineChars="200"/>
        <w:rPr>
          <w:rFonts w:ascii="宋体" w:hAnsi="宋体" w:cs="宋体"/>
          <w:kern w:val="0"/>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.1投标人应认真阅读和充分理解招标文件中所有的事项、格式条款和规范要求，任何对</w:t>
      </w:r>
      <w:r>
        <w:rPr>
          <w:rFonts w:hint="eastAsia" w:ascii="宋体" w:hAnsi="宋体"/>
          <w:bCs/>
          <w:sz w:val="24"/>
        </w:rPr>
        <w:t>招标</w:t>
      </w:r>
      <w:r>
        <w:rPr>
          <w:rFonts w:hint="eastAsia" w:ascii="宋体" w:hAnsi="宋体"/>
          <w:sz w:val="24"/>
        </w:rPr>
        <w:t>文件的忽略或误解不能作为投标文件存在</w:t>
      </w:r>
      <w:r>
        <w:rPr>
          <w:rFonts w:hint="eastAsia" w:ascii="宋体" w:hAnsi="宋体" w:cs="Times New Roman"/>
          <w:sz w:val="24"/>
        </w:rPr>
        <w:t>缺陷或瑕疵的理</w:t>
      </w:r>
      <w:r>
        <w:rPr>
          <w:rFonts w:hint="eastAsia" w:ascii="宋体" w:hAnsi="宋体"/>
          <w:sz w:val="24"/>
        </w:rPr>
        <w:t>由；投标人</w:t>
      </w:r>
      <w:r>
        <w:rPr>
          <w:rFonts w:hint="eastAsia" w:ascii="宋体" w:hAnsi="宋体" w:cs="宋体"/>
          <w:kern w:val="0"/>
          <w:sz w:val="24"/>
        </w:rPr>
        <w:t>没有按照招标文件要求提供全部资料，</w:t>
      </w:r>
      <w:r>
        <w:rPr>
          <w:rFonts w:hint="eastAsia" w:ascii="宋体" w:hAnsi="宋体"/>
          <w:color w:val="auto"/>
          <w:sz w:val="24"/>
        </w:rPr>
        <w:t>或</w:t>
      </w:r>
      <w:r>
        <w:rPr>
          <w:rFonts w:hint="eastAsia" w:ascii="宋体" w:hAnsi="宋体"/>
          <w:color w:val="auto"/>
          <w:sz w:val="24"/>
          <w:lang w:eastAsia="zh-CN"/>
        </w:rPr>
        <w:t>没有</w:t>
      </w:r>
      <w:r>
        <w:rPr>
          <w:rFonts w:hint="eastAsia" w:ascii="宋体" w:hAnsi="宋体"/>
          <w:color w:val="auto"/>
          <w:sz w:val="24"/>
        </w:rPr>
        <w:t>对招标文件全面做出实质性响应是投标人的风险</w:t>
      </w:r>
      <w:r>
        <w:rPr>
          <w:rFonts w:hint="eastAsia" w:ascii="宋体" w:hAnsi="宋体"/>
          <w:sz w:val="24"/>
        </w:rPr>
        <w:t>，</w:t>
      </w:r>
      <w:r>
        <w:rPr>
          <w:rFonts w:hint="eastAsia" w:ascii="宋体" w:hAnsi="宋体" w:cs="宋体"/>
          <w:kern w:val="0"/>
          <w:sz w:val="24"/>
        </w:rPr>
        <w:t>并可能导致其投标文件被拒绝。</w:t>
      </w:r>
    </w:p>
    <w:p>
      <w:pPr>
        <w:pStyle w:val="4"/>
        <w:spacing w:before="0" w:afterLines="50" w:line="360" w:lineRule="auto"/>
        <w:rPr>
          <w:rFonts w:ascii="宋体" w:hAnsi="宋体" w:eastAsia="宋体"/>
          <w:bCs/>
        </w:rPr>
      </w:pPr>
      <w:bookmarkStart w:id="82" w:name="_Toc8151"/>
      <w:bookmarkStart w:id="83" w:name="_Toc17817"/>
      <w:r>
        <w:rPr>
          <w:rFonts w:hint="eastAsia" w:ascii="宋体" w:hAnsi="宋体" w:eastAsia="宋体"/>
          <w:bCs/>
        </w:rPr>
        <w:t>四、投标文件</w:t>
      </w:r>
      <w:bookmarkEnd w:id="82"/>
      <w:bookmarkEnd w:id="83"/>
    </w:p>
    <w:p>
      <w:pPr>
        <w:pStyle w:val="8"/>
        <w:spacing w:line="240" w:lineRule="auto"/>
      </w:pPr>
      <w:bookmarkStart w:id="84" w:name="_Toc531253635"/>
      <w:r>
        <w:rPr>
          <w:rFonts w:hint="eastAsia"/>
        </w:rPr>
        <w:t>1</w:t>
      </w:r>
      <w:r>
        <w:rPr>
          <w:rFonts w:hint="eastAsia"/>
          <w:lang w:val="en-US" w:eastAsia="zh-CN"/>
        </w:rPr>
        <w:t>6</w:t>
      </w:r>
      <w:r>
        <w:rPr>
          <w:rFonts w:hint="eastAsia"/>
        </w:rPr>
        <w:t>.投标文件的编写原则和要求</w:t>
      </w:r>
      <w:bookmarkEnd w:id="84"/>
    </w:p>
    <w:p>
      <w:pPr>
        <w:tabs>
          <w:tab w:val="left" w:pos="720"/>
        </w:tabs>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1投标人应仔细阅读招标文件的所有内容，按招标文件规定及要求编写，应当对招标文件提出的实质性要求做出响应，并提交完整的投标文件。投标人应对投标货物和服务提供完整详细的说明，若投标人对指定的技术要求不能完全响应，应在投标文件中清楚地注明。</w:t>
      </w:r>
      <w:r>
        <w:rPr>
          <w:rFonts w:hint="eastAsia" w:ascii="宋体" w:hAnsi="宋体"/>
          <w:b/>
          <w:sz w:val="24"/>
        </w:rPr>
        <w:t>投标人拟在中标后将中标项目的非主体、非关键性工作交由他人完成的，应当在投标文件中载明。</w:t>
      </w:r>
      <w:r>
        <w:rPr>
          <w:rFonts w:hint="eastAsia" w:ascii="宋体" w:hAnsi="宋体"/>
          <w:sz w:val="24"/>
        </w:rPr>
        <w:t>投标人对本招标文件的每一项要求所给予的响应必须是唯一的，否则将视为无效投标文件。</w:t>
      </w:r>
    </w:p>
    <w:p>
      <w:pPr>
        <w:tabs>
          <w:tab w:val="left" w:pos="720"/>
        </w:tabs>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.2真实性原则</w:t>
      </w:r>
    </w:p>
    <w:p>
      <w:pPr>
        <w:tabs>
          <w:tab w:val="left" w:pos="720"/>
        </w:tabs>
        <w:snapToGrid w:val="0"/>
        <w:spacing w:line="360" w:lineRule="auto"/>
        <w:ind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.2.1投标人应保证所提供的投标文件和所有资料的真实性、准确性和完整性。</w:t>
      </w:r>
    </w:p>
    <w:p>
      <w:pPr>
        <w:tabs>
          <w:tab w:val="left" w:pos="720"/>
        </w:tabs>
        <w:snapToGrid w:val="0"/>
        <w:spacing w:line="360" w:lineRule="auto"/>
        <w:ind w:firstLine="482"/>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.2.2投标人在政府采购过程中提供不真实的材料，无论其材料是否重要，采购人均有权拒绝，并取消其投标资格，投标人需承担相应的后果及法律责任。</w:t>
      </w:r>
    </w:p>
    <w:p>
      <w:pPr>
        <w:tabs>
          <w:tab w:val="left" w:pos="720"/>
        </w:tabs>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.3投标语言</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3.1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pStyle w:val="17"/>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6</w:t>
      </w:r>
      <w:r>
        <w:rPr>
          <w:rFonts w:hint="eastAsia"/>
          <w:sz w:val="24"/>
          <w:szCs w:val="24"/>
        </w:rPr>
        <w:t>.3.2翻译的中文资料与外文资料如果出现差异和矛盾时，以中文为准。但不能故意错误翻译，否则，投标人的投标文件将作为无效投标处理。</w:t>
      </w:r>
      <w:r>
        <w:rPr>
          <w:rFonts w:hint="eastAsia"/>
          <w:kern w:val="0"/>
          <w:sz w:val="24"/>
          <w:szCs w:val="24"/>
        </w:rPr>
        <w:t>必要时采购人可以要求投标人提供附有公证书的中文翻译文件或者与原版文件签章相一致的中文翻译文件。</w:t>
      </w:r>
    </w:p>
    <w:p>
      <w:pPr>
        <w:tabs>
          <w:tab w:val="left" w:pos="720"/>
        </w:tabs>
        <w:snapToGrid w:val="0"/>
        <w:spacing w:line="360" w:lineRule="auto"/>
        <w:ind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.4计量单位</w:t>
      </w:r>
    </w:p>
    <w:p>
      <w:pPr>
        <w:tabs>
          <w:tab w:val="left" w:pos="720"/>
        </w:tabs>
        <w:snapToGrid w:val="0"/>
        <w:spacing w:line="360" w:lineRule="auto"/>
        <w:ind w:firstLine="480"/>
        <w:rPr>
          <w:kern w:val="0"/>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.4.1</w:t>
      </w:r>
      <w:r>
        <w:rPr>
          <w:rFonts w:hint="eastAsia"/>
          <w:kern w:val="0"/>
          <w:sz w:val="24"/>
        </w:rPr>
        <w:t>招标文件已有明确规定的，使用招标文件规定的计量单位；招标文件没有规定的，应采用中华人民共和国法定计量单位</w:t>
      </w:r>
      <w:r>
        <w:rPr>
          <w:rFonts w:ascii="宋体" w:hAnsi="宋体"/>
          <w:sz w:val="24"/>
        </w:rPr>
        <w:t>(国际单位制和国家选定的其他计量单位)</w:t>
      </w:r>
      <w:r>
        <w:rPr>
          <w:rFonts w:hint="eastAsia"/>
          <w:kern w:val="0"/>
          <w:sz w:val="24"/>
        </w:rPr>
        <w:t>。否则，视为对招标文件未作出实质性响应。</w:t>
      </w:r>
    </w:p>
    <w:p>
      <w:pPr>
        <w:tabs>
          <w:tab w:val="left" w:pos="720"/>
        </w:tabs>
        <w:snapToGrid w:val="0"/>
        <w:spacing w:line="360" w:lineRule="auto"/>
        <w:ind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.5投标货币</w:t>
      </w:r>
    </w:p>
    <w:p>
      <w:pPr>
        <w:tabs>
          <w:tab w:val="left" w:pos="720"/>
        </w:tabs>
        <w:snapToGrid w:val="0"/>
        <w:spacing w:line="360" w:lineRule="auto"/>
        <w:ind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.5.1本次招标项目的投标均以人民币报价。</w:t>
      </w:r>
    </w:p>
    <w:p>
      <w:pPr>
        <w:pStyle w:val="17"/>
        <w:adjustRightInd w:val="0"/>
        <w:snapToGrid w:val="0"/>
        <w:spacing w:line="360" w:lineRule="auto"/>
        <w:ind w:firstLine="480" w:firstLineChars="200"/>
        <w:rPr>
          <w:rFonts w:hAnsi="宋体"/>
          <w:sz w:val="24"/>
        </w:rPr>
      </w:pPr>
      <w:r>
        <w:rPr>
          <w:rFonts w:hint="eastAsia" w:hAnsi="宋体"/>
          <w:sz w:val="24"/>
        </w:rPr>
        <w:t>1</w:t>
      </w:r>
      <w:r>
        <w:rPr>
          <w:rFonts w:hint="eastAsia" w:hAnsi="宋体"/>
          <w:sz w:val="24"/>
          <w:lang w:val="en-US" w:eastAsia="zh-CN"/>
        </w:rPr>
        <w:t>6</w:t>
      </w:r>
      <w:r>
        <w:rPr>
          <w:rFonts w:hint="eastAsia" w:hAnsi="宋体"/>
          <w:sz w:val="24"/>
        </w:rPr>
        <w:t>.6投标</w:t>
      </w:r>
      <w:r>
        <w:rPr>
          <w:rFonts w:hint="eastAsia"/>
          <w:sz w:val="24"/>
          <w:szCs w:val="24"/>
        </w:rPr>
        <w:t>文件形式</w:t>
      </w:r>
    </w:p>
    <w:p>
      <w:pPr>
        <w:pStyle w:val="17"/>
        <w:adjustRightInd w:val="0"/>
        <w:snapToGrid w:val="0"/>
        <w:spacing w:line="360" w:lineRule="auto"/>
        <w:ind w:firstLine="480" w:firstLineChars="200"/>
        <w:rPr>
          <w:sz w:val="24"/>
          <w:szCs w:val="24"/>
        </w:rPr>
      </w:pPr>
      <w:r>
        <w:rPr>
          <w:rFonts w:hint="eastAsia" w:hAnsi="宋体"/>
          <w:sz w:val="24"/>
        </w:rPr>
        <w:t>本项目投标</w:t>
      </w:r>
      <w:r>
        <w:rPr>
          <w:rFonts w:hint="eastAsia"/>
          <w:sz w:val="24"/>
          <w:szCs w:val="24"/>
        </w:rPr>
        <w:t>文件应采用书面文件形式，电报、传真、电子邮件形式的投标文件不予接受。</w:t>
      </w:r>
    </w:p>
    <w:p>
      <w:pPr>
        <w:tabs>
          <w:tab w:val="left" w:pos="720"/>
        </w:tabs>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.7备选方案</w:t>
      </w:r>
    </w:p>
    <w:p>
      <w:pPr>
        <w:tabs>
          <w:tab w:val="left" w:pos="720"/>
        </w:tabs>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.7.1本项目不接受备选投标方案，投标文件的报价只允许有一个报价，不接受有任何选择或具有附加条件的报价，否则，</w:t>
      </w:r>
      <w:r>
        <w:rPr>
          <w:rFonts w:hint="eastAsia" w:hAnsi="宋体"/>
          <w:sz w:val="24"/>
        </w:rPr>
        <w:t>在评标时将其视为无效投标</w:t>
      </w:r>
      <w:r>
        <w:rPr>
          <w:rFonts w:hint="eastAsia" w:hAnsi="宋体"/>
        </w:rPr>
        <w:t>。</w:t>
      </w:r>
    </w:p>
    <w:bookmarkEnd w:id="78"/>
    <w:bookmarkEnd w:id="79"/>
    <w:bookmarkEnd w:id="80"/>
    <w:p>
      <w:pPr>
        <w:pStyle w:val="8"/>
        <w:spacing w:line="240" w:lineRule="auto"/>
      </w:pPr>
      <w:r>
        <w:rPr>
          <w:rFonts w:hint="eastAsia"/>
        </w:rPr>
        <w:t>1</w:t>
      </w:r>
      <w:r>
        <w:rPr>
          <w:rFonts w:hint="eastAsia"/>
          <w:lang w:val="en-US" w:eastAsia="zh-CN"/>
        </w:rPr>
        <w:t>7</w:t>
      </w:r>
      <w:r>
        <w:rPr>
          <w:rFonts w:hint="eastAsia"/>
        </w:rPr>
        <w:t>.投标报价</w:t>
      </w:r>
    </w:p>
    <w:p>
      <w:pPr>
        <w:spacing w:line="360" w:lineRule="auto"/>
        <w:ind w:firstLine="470" w:firstLineChars="196"/>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.1</w:t>
      </w:r>
      <w:r>
        <w:rPr>
          <w:rFonts w:hint="eastAsia" w:ascii="宋体" w:hAnsi="宋体"/>
          <w:bCs/>
          <w:sz w:val="24"/>
        </w:rPr>
        <w:t>投标人应</w:t>
      </w:r>
      <w:r>
        <w:rPr>
          <w:rFonts w:hint="eastAsia" w:ascii="宋体" w:hAnsi="宋体"/>
          <w:sz w:val="24"/>
        </w:rPr>
        <w:t>按照招标文件要求填报投标报价，并充分了解该采购项目的总体情况以及影响投标报价的其他要素。</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2本项目采购预算金额或最高限价见投标人须知前附表，投标人报价超出采购预算金额或最高限价，作为不实质性响应招标文件，按无效投标处理。投标人的报价是投标人响应招标项目要求的全部工作内容的价格体现，包括投标人完成本项目所需的一切费用，即</w:t>
      </w:r>
      <w:r>
        <w:rPr>
          <w:rFonts w:hint="eastAsia" w:ascii="宋体" w:hAnsi="宋体" w:cs="宋体"/>
          <w:kern w:val="0"/>
          <w:sz w:val="24"/>
        </w:rPr>
        <w:t>货物（产品）、随配附件、工具、运抵指定交货地点费用、保险费、安装调试费、服务费、售后服务费</w:t>
      </w:r>
      <w:r>
        <w:rPr>
          <w:rFonts w:hint="eastAsia"/>
          <w:kern w:val="0"/>
          <w:sz w:val="24"/>
        </w:rPr>
        <w:t>、招标代理费、</w:t>
      </w:r>
      <w:r>
        <w:rPr>
          <w:rFonts w:hint="eastAsia" w:ascii="宋体" w:hAnsi="宋体" w:cs="宋体"/>
          <w:kern w:val="0"/>
          <w:sz w:val="24"/>
        </w:rPr>
        <w:t>税金、</w:t>
      </w:r>
      <w:r>
        <w:rPr>
          <w:kern w:val="0"/>
          <w:sz w:val="24"/>
        </w:rPr>
        <w:t>等</w:t>
      </w:r>
      <w:r>
        <w:rPr>
          <w:rFonts w:hint="eastAsia" w:ascii="宋体" w:hAnsi="宋体" w:cs="宋体"/>
          <w:kern w:val="0"/>
          <w:sz w:val="24"/>
        </w:rPr>
        <w:t>其他所有费用的总和。</w:t>
      </w:r>
      <w:r>
        <w:rPr>
          <w:rFonts w:hint="eastAsia" w:ascii="宋体" w:hAnsi="宋体"/>
          <w:sz w:val="24"/>
        </w:rPr>
        <w:t>在供货、安装、调试、培训等工作中出现硬件、软件等的任何遗漏，均由中标人免费提供，采购人将不再支付任何费用。</w:t>
      </w:r>
    </w:p>
    <w:p>
      <w:pPr>
        <w:adjustRightInd w:val="0"/>
        <w:snapToGrid w:val="0"/>
        <w:spacing w:line="360" w:lineRule="auto"/>
        <w:ind w:firstLine="480" w:firstLineChars="200"/>
        <w:rPr>
          <w:rFonts w:ascii="宋体" w:hAnsi="宋体" w:cs="宋体"/>
          <w:kern w:val="0"/>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.3投标</w:t>
      </w:r>
      <w:r>
        <w:rPr>
          <w:rFonts w:hint="eastAsia" w:ascii="宋体" w:hAnsi="宋体" w:cs="宋体"/>
          <w:kern w:val="0"/>
          <w:sz w:val="24"/>
        </w:rPr>
        <w:t>人应按</w:t>
      </w:r>
      <w:r>
        <w:rPr>
          <w:rFonts w:hint="eastAsia" w:ascii="宋体" w:hAnsi="宋体"/>
          <w:sz w:val="24"/>
        </w:rPr>
        <w:t>“开标一览表”及“货物（产品）分项报价表”</w:t>
      </w:r>
      <w:r>
        <w:rPr>
          <w:rFonts w:hint="eastAsia" w:ascii="宋体" w:hAnsi="宋体" w:cs="宋体"/>
          <w:kern w:val="0"/>
          <w:sz w:val="24"/>
        </w:rPr>
        <w:t>的内容</w:t>
      </w:r>
      <w:r>
        <w:rPr>
          <w:rFonts w:hint="eastAsia" w:ascii="宋体" w:hAnsi="宋体"/>
          <w:sz w:val="24"/>
        </w:rPr>
        <w:t>和格式要求填写各项货物及服务的</w:t>
      </w:r>
      <w:r>
        <w:rPr>
          <w:rFonts w:hint="eastAsia" w:ascii="宋体" w:hAnsi="宋体"/>
          <w:color w:val="auto"/>
          <w:sz w:val="24"/>
        </w:rPr>
        <w:t>分项价格和总价</w:t>
      </w:r>
      <w:r>
        <w:rPr>
          <w:rFonts w:hint="eastAsia" w:ascii="宋体" w:hAnsi="宋体"/>
          <w:sz w:val="24"/>
        </w:rPr>
        <w:t>。投标总价中不得包含招标文件要求以外的内容，否则，在评标时不予核减。</w:t>
      </w:r>
    </w:p>
    <w:p>
      <w:pPr>
        <w:adjustRightInd w:val="0"/>
        <w:snapToGrid w:val="0"/>
        <w:spacing w:line="360" w:lineRule="auto"/>
        <w:ind w:firstLine="482"/>
        <w:rPr>
          <w:rFonts w:ascii="宋体" w:hAnsi="宋体"/>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.4</w:t>
      </w:r>
      <w:r>
        <w:rPr>
          <w:rFonts w:hint="eastAsia" w:ascii="宋体" w:hAnsi="宋体"/>
          <w:sz w:val="24"/>
        </w:rPr>
        <w:t>投标人每种货物只允许有一个报价，并且在合同履行过程中是固定不变的，任何有选择或可调整的报价将不予接受并按无效投标处理。</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5当评标委员会认为，某投标人的报价存在明显低于其他通过符合性审查投标人的报价，有可能影响货物质量和不能诚信履约的，应当要求其在评标现场规定时间内，提供必要的书面文件予以解释和说明，必要时提交相关证明材料；若投标人不能证明其报价合理性，评标委员会将其作无效投标处理。</w:t>
      </w:r>
    </w:p>
    <w:p>
      <w:pPr>
        <w:pStyle w:val="8"/>
        <w:spacing w:line="240" w:lineRule="auto"/>
      </w:pPr>
      <w:r>
        <w:rPr>
          <w:rFonts w:hint="eastAsia"/>
        </w:rPr>
        <w:t>1</w:t>
      </w:r>
      <w:r>
        <w:rPr>
          <w:rFonts w:hint="eastAsia"/>
          <w:lang w:val="en-US" w:eastAsia="zh-CN"/>
        </w:rPr>
        <w:t>8</w:t>
      </w:r>
      <w:r>
        <w:rPr>
          <w:rFonts w:hint="eastAsia"/>
        </w:rPr>
        <w:t>. 投标文件</w:t>
      </w:r>
    </w:p>
    <w:p>
      <w:pPr>
        <w:spacing w:line="360" w:lineRule="auto"/>
        <w:rPr>
          <w:rFonts w:ascii="宋体" w:hAnsi="宋体"/>
          <w:sz w:val="24"/>
        </w:rPr>
      </w:pPr>
      <w:r>
        <w:rPr>
          <w:rFonts w:hint="eastAsia" w:ascii="宋体" w:hAnsi="宋体"/>
          <w:b/>
          <w:bCs/>
          <w:sz w:val="24"/>
        </w:rPr>
        <w:t xml:space="preserve">    </w:t>
      </w:r>
      <w:r>
        <w:rPr>
          <w:rFonts w:hint="eastAsia" w:ascii="宋体" w:hAnsi="宋体"/>
          <w:bCs/>
          <w:sz w:val="24"/>
        </w:rPr>
        <w:t>1</w:t>
      </w:r>
      <w:r>
        <w:rPr>
          <w:rFonts w:hint="eastAsia" w:ascii="宋体" w:hAnsi="宋体"/>
          <w:bCs/>
          <w:sz w:val="24"/>
          <w:lang w:val="en-US" w:eastAsia="zh-CN"/>
        </w:rPr>
        <w:t>8</w:t>
      </w:r>
      <w:r>
        <w:rPr>
          <w:rFonts w:hint="eastAsia" w:ascii="宋体" w:hAnsi="宋体"/>
          <w:bCs/>
          <w:sz w:val="24"/>
        </w:rPr>
        <w:t>.1投标人应</w:t>
      </w:r>
      <w:r>
        <w:rPr>
          <w:rFonts w:hint="eastAsia" w:ascii="宋体" w:hAnsi="宋体"/>
          <w:sz w:val="24"/>
        </w:rPr>
        <w:t>按照招标文件商务要求做出完全响应。未作出商务响应的，作为不实质性响应招标文件，按无效投标处理。</w:t>
      </w:r>
    </w:p>
    <w:p>
      <w:pPr>
        <w:pStyle w:val="5"/>
        <w:spacing w:line="360" w:lineRule="auto"/>
        <w:ind w:firstLine="465"/>
        <w:rPr>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.2</w:t>
      </w:r>
      <w:r>
        <w:rPr>
          <w:rFonts w:hint="eastAsia"/>
          <w:bCs/>
          <w:sz w:val="24"/>
          <w:szCs w:val="24"/>
        </w:rPr>
        <w:t>投标人</w:t>
      </w:r>
      <w:r>
        <w:rPr>
          <w:rFonts w:hint="eastAsia"/>
          <w:sz w:val="24"/>
          <w:szCs w:val="24"/>
        </w:rPr>
        <w:t>按照招标文件要求做出的技术应答，主要是针对招标项目的技术指标、参数和技术要求做出的实质性响应和满足。</w:t>
      </w:r>
    </w:p>
    <w:p>
      <w:pPr>
        <w:pStyle w:val="5"/>
        <w:spacing w:line="360" w:lineRule="auto"/>
        <w:ind w:firstLine="480" w:firstLineChars="200"/>
        <w:rPr>
          <w:rFonts w:ascii="宋体" w:hAnsi="宋体"/>
          <w:sz w:val="24"/>
          <w:szCs w:val="24"/>
        </w:rPr>
      </w:pPr>
      <w:bookmarkStart w:id="85" w:name="_Toc183582218"/>
      <w:bookmarkStart w:id="86" w:name="_Toc217446049"/>
      <w:bookmarkStart w:id="87" w:name="_Toc183682355"/>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3证明货物（产品）符合招标文件规定相关文件，可以是文字资料、图纸、数据、宣传彩页、检测报告等，所有证明文件，表达意思必须统一。如需投标人提供样品，证明文件的表述与投标人所提供样品必须完全符合，且是投标文件的组成部分，否则，按未实质响应招标文件予以拒绝。</w:t>
      </w:r>
      <w:bookmarkEnd w:id="85"/>
      <w:bookmarkEnd w:id="86"/>
      <w:bookmarkEnd w:id="87"/>
      <w:bookmarkStart w:id="88" w:name="_Toc183682360"/>
      <w:bookmarkStart w:id="89" w:name="_Toc217446050"/>
      <w:bookmarkStart w:id="90" w:name="_Toc183582223"/>
    </w:p>
    <w:p>
      <w:pPr>
        <w:pStyle w:val="8"/>
        <w:spacing w:line="240" w:lineRule="auto"/>
      </w:pPr>
      <w:r>
        <w:rPr>
          <w:rFonts w:hint="eastAsia"/>
          <w:lang w:val="en-US" w:eastAsia="zh-CN"/>
        </w:rPr>
        <w:t>19</w:t>
      </w:r>
      <w:r>
        <w:rPr>
          <w:rFonts w:hint="eastAsia"/>
        </w:rPr>
        <w:t>．投标保证金</w:t>
      </w:r>
      <w:bookmarkEnd w:id="88"/>
      <w:bookmarkEnd w:id="89"/>
      <w:bookmarkEnd w:id="90"/>
      <w:r>
        <w:rPr>
          <w:rFonts w:hint="eastAsia"/>
          <w:lang w:eastAsia="zh-CN"/>
        </w:rPr>
        <w:t>：无</w:t>
      </w:r>
    </w:p>
    <w:p>
      <w:pPr>
        <w:pStyle w:val="8"/>
        <w:spacing w:line="240" w:lineRule="auto"/>
      </w:pPr>
      <w:bookmarkStart w:id="91" w:name="_Toc183582224"/>
      <w:bookmarkStart w:id="92" w:name="_Toc217446051"/>
      <w:bookmarkStart w:id="93" w:name="_Toc183682361"/>
      <w:r>
        <w:rPr>
          <w:rFonts w:hint="eastAsia"/>
        </w:rPr>
        <w:t>2</w:t>
      </w:r>
      <w:r>
        <w:rPr>
          <w:rFonts w:hint="eastAsia"/>
          <w:lang w:val="en-US" w:eastAsia="zh-CN"/>
        </w:rPr>
        <w:t>0</w:t>
      </w:r>
      <w:r>
        <w:rPr>
          <w:rFonts w:hint="eastAsia"/>
        </w:rPr>
        <w:t>．投标有效期</w:t>
      </w:r>
      <w:bookmarkEnd w:id="91"/>
      <w:bookmarkEnd w:id="92"/>
      <w:bookmarkEnd w:id="93"/>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.1投标有效期见投标人须知前附表。投标有效期短于此规定期限的投标，将按无效投标处理。</w:t>
      </w:r>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.2 出现特殊情况需要延长投标有效期的，采购代理机构或采购人可于投标有效期满之前要求投标人同意延长有效期，要求与答复均应为书面形式。投标人拒绝延长的，投标在原投标有效期期届满后将不再有效；投标人同意延长的</w:t>
      </w:r>
      <w:r>
        <w:rPr>
          <w:rFonts w:hint="eastAsia" w:ascii="宋体" w:hAnsi="宋体"/>
          <w:sz w:val="24"/>
          <w:lang w:eastAsia="zh-CN"/>
        </w:rPr>
        <w:t>，</w:t>
      </w:r>
      <w:r>
        <w:rPr>
          <w:rFonts w:hint="eastAsia" w:ascii="宋体" w:hAnsi="宋体"/>
          <w:sz w:val="24"/>
        </w:rPr>
        <w:t>不能修改或撤回其投标文件。</w:t>
      </w:r>
      <w:bookmarkStart w:id="94" w:name="_Toc183582225"/>
      <w:bookmarkStart w:id="95" w:name="_Toc217446052"/>
      <w:bookmarkStart w:id="96" w:name="_Toc183682362"/>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.3 在投标有效期内，投标人撤销投标文件的，应承担招标文件和法律规定的责任。</w:t>
      </w:r>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.4中标人的投标有效期自动延长至合同终止为止</w:t>
      </w:r>
      <w:r>
        <w:rPr>
          <w:rFonts w:hint="eastAsia" w:ascii="宋体" w:hAnsi="宋体"/>
          <w:szCs w:val="21"/>
        </w:rPr>
        <w:t>。</w:t>
      </w:r>
    </w:p>
    <w:p>
      <w:pPr>
        <w:pStyle w:val="8"/>
        <w:spacing w:line="360" w:lineRule="auto"/>
      </w:pPr>
      <w:r>
        <w:rPr>
          <w:rFonts w:hint="eastAsia"/>
        </w:rPr>
        <w:t>2</w:t>
      </w:r>
      <w:r>
        <w:rPr>
          <w:rFonts w:hint="eastAsia"/>
          <w:lang w:val="en-US" w:eastAsia="zh-CN"/>
        </w:rPr>
        <w:t>1</w:t>
      </w:r>
      <w:r>
        <w:rPr>
          <w:rFonts w:hint="eastAsia"/>
        </w:rPr>
        <w:t>．投标文件的制作和签署</w:t>
      </w:r>
      <w:bookmarkEnd w:id="94"/>
      <w:bookmarkEnd w:id="95"/>
      <w:bookmarkEnd w:id="96"/>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.1投标文件应根据招标文件的要求制作。投标人应填写全称，同时加盖单位公章，签署、盖章和内容应完整，如有遗漏，将被视为无效投标。</w:t>
      </w:r>
    </w:p>
    <w:p>
      <w:pPr>
        <w:tabs>
          <w:tab w:val="left" w:pos="7665"/>
        </w:tabs>
        <w:spacing w:line="360" w:lineRule="auto"/>
        <w:ind w:left="13" w:leftChars="6" w:firstLine="480" w:firstLineChars="200"/>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.2 投标文件格式。投标人应严格按照招标文件第七章提供的“投标文件格式”编写相关内容。除明确允许投标人可以自行编写的外，投标人不得以“投标文件格式”规定之外的方式填写相关内容。否则，投标人提供的投标文件将作为无效投标处理。</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.3对于没有格式要求的投标文件由投标人自行编写。</w:t>
      </w:r>
    </w:p>
    <w:p>
      <w:pPr>
        <w:tabs>
          <w:tab w:val="left" w:pos="1080"/>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.4投标人应按“投标须知前附表”准备投标文件正本、副本和相应的电子</w:t>
      </w:r>
      <w:r>
        <w:rPr>
          <w:rFonts w:hint="eastAsia" w:ascii="宋体" w:hAnsi="宋体"/>
          <w:sz w:val="24"/>
          <w:lang w:eastAsia="zh-CN"/>
        </w:rPr>
        <w:t>版</w:t>
      </w:r>
      <w:r>
        <w:rPr>
          <w:rFonts w:hint="eastAsia" w:ascii="宋体" w:hAnsi="宋体"/>
          <w:sz w:val="24"/>
        </w:rPr>
        <w:t>。投标文件的正本和副本应在其封面右上角清楚地标明“正本”、“副本”或“电子版”字样。若正本和副本有不一致的内容，以正本书面投标文件为准。</w:t>
      </w:r>
    </w:p>
    <w:p>
      <w:pPr>
        <w:tabs>
          <w:tab w:val="left" w:pos="1080"/>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.5 投标文件的正本和副本均需打印或用不褪色、不变质的墨水书写，并由投标人的法定代表人或其授权代表在规定签章处签字和盖章。</w:t>
      </w:r>
    </w:p>
    <w:p>
      <w:pPr>
        <w:tabs>
          <w:tab w:val="left" w:pos="1095"/>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.6投标文件的打印和书写应清楚工整，任何行间插字、涂改或增删，应当由投标人的法定代表人或其授权代表签字或盖个人印鉴。字迹潦草、表达不清或可能导致非唯一理解的投标文件可能视为无效投标。</w:t>
      </w:r>
    </w:p>
    <w:p>
      <w:pPr>
        <w:tabs>
          <w:tab w:val="left" w:pos="1080"/>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.7投标文件正本和副本</w:t>
      </w:r>
      <w:r>
        <w:rPr>
          <w:rFonts w:hint="eastAsia" w:ascii="宋体" w:hAnsi="宋体"/>
          <w:sz w:val="24"/>
          <w:lang w:val="zh-CN"/>
        </w:rPr>
        <w:t>按照投标人须知前附表的要求胶装分别装订成册，</w:t>
      </w:r>
      <w:r>
        <w:rPr>
          <w:rFonts w:hint="eastAsia" w:ascii="宋体" w:hAnsi="宋体"/>
          <w:sz w:val="24"/>
        </w:rPr>
        <w:t>并逐页编目编码。文件胶装装订后，页面不可抽取，不得有活动页，无破损、不可拆分。</w:t>
      </w:r>
    </w:p>
    <w:p>
      <w:pPr>
        <w:spacing w:line="360" w:lineRule="auto"/>
        <w:ind w:firstLine="480" w:firstLineChars="200"/>
        <w:jc w:val="left"/>
        <w:rPr>
          <w:rFonts w:ascii="宋体" w:hAnsi="宋体"/>
          <w:b/>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.8电子文件制作要求。电子文件与纸质正本投标文件的内容应保持一致。</w:t>
      </w:r>
      <w:bookmarkStart w:id="97" w:name="_Toc183582226"/>
      <w:bookmarkStart w:id="98" w:name="_Toc89075877"/>
      <w:bookmarkStart w:id="99" w:name="_Toc183682363"/>
      <w:bookmarkStart w:id="100" w:name="_Toc77400781"/>
      <w:bookmarkStart w:id="101" w:name="_Toc217446053"/>
    </w:p>
    <w:p>
      <w:pPr>
        <w:pStyle w:val="4"/>
        <w:spacing w:before="0" w:afterLines="50" w:line="360" w:lineRule="auto"/>
        <w:rPr>
          <w:rFonts w:ascii="宋体" w:hAnsi="宋体" w:eastAsia="宋体"/>
          <w:bCs/>
        </w:rPr>
      </w:pPr>
      <w:bookmarkStart w:id="102" w:name="_Toc4153"/>
      <w:bookmarkStart w:id="103" w:name="_Toc32376"/>
      <w:r>
        <w:rPr>
          <w:rFonts w:hint="eastAsia" w:ascii="宋体" w:hAnsi="宋体" w:eastAsia="宋体"/>
          <w:bCs/>
        </w:rPr>
        <w:t>五、投标</w:t>
      </w:r>
      <w:bookmarkEnd w:id="102"/>
      <w:bookmarkEnd w:id="103"/>
    </w:p>
    <w:p>
      <w:pPr>
        <w:pStyle w:val="8"/>
        <w:spacing w:line="360" w:lineRule="auto"/>
      </w:pPr>
      <w:r>
        <w:rPr>
          <w:rFonts w:hint="eastAsia"/>
        </w:rPr>
        <w:t>2</w:t>
      </w:r>
      <w:r>
        <w:rPr>
          <w:rFonts w:hint="eastAsia"/>
          <w:lang w:val="en-US" w:eastAsia="zh-CN"/>
        </w:rPr>
        <w:t>2</w:t>
      </w:r>
      <w:r>
        <w:rPr>
          <w:rFonts w:hint="eastAsia"/>
        </w:rPr>
        <w:t>.投标内容要求</w:t>
      </w:r>
    </w:p>
    <w:p>
      <w:pPr>
        <w:tabs>
          <w:tab w:val="left" w:pos="1080"/>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投标人应仔细阅读采购招标文件中的所有事项、格式、条款和要求，对采购招标文件的全部内容及要求作出实质性响应，提交相应资料。若分包，应以包为单位投标，不得在其中选项投标或将其中内容再行分解，否则投标无效。</w:t>
      </w:r>
    </w:p>
    <w:p>
      <w:pPr>
        <w:pStyle w:val="8"/>
        <w:spacing w:line="360" w:lineRule="auto"/>
        <w:rPr>
          <w:color w:val="auto"/>
        </w:rPr>
      </w:pPr>
      <w:r>
        <w:rPr>
          <w:rFonts w:hint="eastAsia"/>
          <w:color w:val="auto"/>
        </w:rPr>
        <w:t>2</w:t>
      </w:r>
      <w:r>
        <w:rPr>
          <w:rFonts w:hint="eastAsia"/>
          <w:color w:val="auto"/>
          <w:lang w:val="en-US" w:eastAsia="zh-CN"/>
        </w:rPr>
        <w:t>3</w:t>
      </w:r>
      <w:r>
        <w:rPr>
          <w:rFonts w:hint="eastAsia"/>
          <w:color w:val="auto"/>
        </w:rPr>
        <w:t>.投标文件的密封和标</w:t>
      </w:r>
      <w:bookmarkEnd w:id="97"/>
      <w:bookmarkEnd w:id="98"/>
      <w:bookmarkEnd w:id="99"/>
      <w:bookmarkEnd w:id="100"/>
      <w:r>
        <w:rPr>
          <w:rFonts w:hint="eastAsia"/>
          <w:color w:val="auto"/>
        </w:rPr>
        <w:t>注</w:t>
      </w:r>
      <w:bookmarkEnd w:id="101"/>
    </w:p>
    <w:p>
      <w:pPr>
        <w:adjustRightInd w:val="0"/>
        <w:snapToGrid w:val="0"/>
        <w:spacing w:line="360" w:lineRule="auto"/>
        <w:ind w:firstLine="480" w:firstLineChars="200"/>
        <w:rPr>
          <w:rFonts w:ascii="宋体" w:hAnsi="宋体"/>
          <w:sz w:val="24"/>
        </w:rPr>
      </w:pPr>
      <w:bookmarkStart w:id="104" w:name="_Toc183682364"/>
      <w:bookmarkStart w:id="105" w:name="_Toc183582227"/>
      <w:bookmarkStart w:id="106" w:name="_Toc217446054"/>
      <w:r>
        <w:rPr>
          <w:rFonts w:hint="eastAsia" w:ascii="宋体" w:hAnsi="宋体"/>
          <w:sz w:val="24"/>
        </w:rPr>
        <w:t>2</w:t>
      </w:r>
      <w:r>
        <w:rPr>
          <w:rFonts w:hint="eastAsia" w:ascii="宋体" w:hAnsi="宋体"/>
          <w:sz w:val="24"/>
          <w:lang w:val="en-US" w:eastAsia="zh-CN"/>
        </w:rPr>
        <w:t>3</w:t>
      </w:r>
      <w:r>
        <w:rPr>
          <w:rFonts w:hint="eastAsia" w:ascii="宋体" w:hAnsi="宋体"/>
          <w:sz w:val="24"/>
        </w:rPr>
        <w:t>.1</w:t>
      </w:r>
      <w:r>
        <w:rPr>
          <w:rFonts w:hint="eastAsia"/>
          <w:kern w:val="0"/>
          <w:sz w:val="24"/>
        </w:rPr>
        <w:t>开标前，投标人应将投标文件正本、所有副本、电子</w:t>
      </w:r>
      <w:r>
        <w:rPr>
          <w:rFonts w:hint="eastAsia"/>
          <w:kern w:val="0"/>
          <w:sz w:val="24"/>
          <w:lang w:eastAsia="zh-CN"/>
        </w:rPr>
        <w:t>版</w:t>
      </w:r>
      <w:r>
        <w:rPr>
          <w:rFonts w:hint="eastAsia"/>
          <w:kern w:val="0"/>
          <w:sz w:val="24"/>
        </w:rPr>
        <w:t>全部密封递交。</w:t>
      </w:r>
    </w:p>
    <w:p>
      <w:pPr>
        <w:adjustRightInd w:val="0"/>
        <w:snapToGrid w:val="0"/>
        <w:spacing w:line="360" w:lineRule="auto"/>
        <w:ind w:firstLine="480" w:firstLineChars="200"/>
        <w:rPr>
          <w:rFonts w:ascii="宋体" w:hAnsi="宋体" w:cs="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.2</w:t>
      </w:r>
      <w:r>
        <w:rPr>
          <w:rFonts w:hint="eastAsia" w:ascii="宋体" w:hAnsi="宋体" w:cs="宋体"/>
          <w:kern w:val="0"/>
          <w:sz w:val="24"/>
        </w:rPr>
        <w:t>所有密封包装均应符合以下要求：</w:t>
      </w:r>
    </w:p>
    <w:p>
      <w:pPr>
        <w:tabs>
          <w:tab w:val="left" w:pos="1080"/>
        </w:tabs>
        <w:spacing w:line="360" w:lineRule="auto"/>
        <w:ind w:firstLine="435"/>
        <w:rPr>
          <w:sz w:val="24"/>
        </w:rPr>
      </w:pPr>
      <w:r>
        <w:rPr>
          <w:rFonts w:hint="eastAsia"/>
          <w:sz w:val="24"/>
        </w:rPr>
        <w:t>（1）投标文件装订装袋要求见投标人须知前附表。</w:t>
      </w:r>
    </w:p>
    <w:p>
      <w:pPr>
        <w:tabs>
          <w:tab w:val="left" w:pos="1080"/>
        </w:tabs>
        <w:spacing w:line="360" w:lineRule="auto"/>
        <w:ind w:firstLine="435"/>
        <w:rPr>
          <w:rFonts w:hint="eastAsia"/>
          <w:sz w:val="24"/>
        </w:rPr>
      </w:pPr>
      <w:r>
        <w:rPr>
          <w:rFonts w:hint="eastAsia"/>
          <w:sz w:val="24"/>
        </w:rPr>
        <w:t>（2）在密封包装上注明项目名称、项目编号、</w:t>
      </w:r>
      <w:r>
        <w:rPr>
          <w:rFonts w:hint="eastAsia"/>
          <w:sz w:val="24"/>
          <w:lang w:eastAsia="zh-CN"/>
        </w:rPr>
        <w:t>投标人</w:t>
      </w:r>
      <w:r>
        <w:rPr>
          <w:rFonts w:hint="eastAsia"/>
          <w:sz w:val="24"/>
        </w:rPr>
        <w:t>名称、年月日、</w:t>
      </w:r>
      <w:r>
        <w:rPr>
          <w:rFonts w:hint="eastAsia"/>
          <w:kern w:val="0"/>
          <w:sz w:val="24"/>
        </w:rPr>
        <w:t>正本、副本、电子</w:t>
      </w:r>
      <w:r>
        <w:rPr>
          <w:rFonts w:hint="eastAsia"/>
          <w:kern w:val="0"/>
          <w:sz w:val="24"/>
          <w:lang w:eastAsia="zh-CN"/>
        </w:rPr>
        <w:t>版</w:t>
      </w:r>
      <w:r>
        <w:rPr>
          <w:rFonts w:hint="eastAsia"/>
          <w:sz w:val="24"/>
        </w:rPr>
        <w:t>等内容，并加盖单位公章。</w:t>
      </w:r>
    </w:p>
    <w:p>
      <w:pPr>
        <w:tabs>
          <w:tab w:val="left" w:pos="1080"/>
        </w:tabs>
        <w:spacing w:line="360" w:lineRule="auto"/>
        <w:ind w:firstLine="435"/>
        <w:rPr>
          <w:rFonts w:hint="eastAsia"/>
          <w:sz w:val="24"/>
          <w:lang w:val="en-US" w:eastAsia="zh-CN"/>
        </w:rPr>
      </w:pPr>
      <w:r>
        <w:rPr>
          <w:rFonts w:hint="eastAsia"/>
          <w:sz w:val="24"/>
          <w:lang w:val="en-US" w:eastAsia="zh-CN"/>
        </w:rPr>
        <w:t>（3）投标文件正本装一袋、两副本装一袋、电子版单独装一袋。</w:t>
      </w:r>
    </w:p>
    <w:p>
      <w:pPr>
        <w:tabs>
          <w:tab w:val="left" w:pos="1080"/>
        </w:tabs>
        <w:spacing w:line="360" w:lineRule="auto"/>
        <w:ind w:firstLine="435"/>
        <w:rPr>
          <w:rFonts w:ascii="宋体" w:hAnsi="宋体"/>
          <w:sz w:val="24"/>
        </w:rPr>
      </w:pPr>
      <w:r>
        <w:rPr>
          <w:rFonts w:hint="eastAsia"/>
          <w:sz w:val="24"/>
        </w:rPr>
        <w:t>2</w:t>
      </w:r>
      <w:r>
        <w:rPr>
          <w:rFonts w:hint="eastAsia"/>
          <w:sz w:val="24"/>
          <w:lang w:val="en-US" w:eastAsia="zh-CN"/>
        </w:rPr>
        <w:t>3</w:t>
      </w:r>
      <w:r>
        <w:rPr>
          <w:rFonts w:hint="eastAsia"/>
          <w:sz w:val="24"/>
        </w:rPr>
        <w:t>.3 未按本章第2</w:t>
      </w:r>
      <w:r>
        <w:rPr>
          <w:rFonts w:hint="eastAsia"/>
          <w:sz w:val="24"/>
          <w:lang w:val="en-US" w:eastAsia="zh-CN"/>
        </w:rPr>
        <w:t>3</w:t>
      </w:r>
      <w:r>
        <w:rPr>
          <w:rFonts w:hint="eastAsia"/>
          <w:sz w:val="24"/>
        </w:rPr>
        <w:t>.2条款要求进行密封的投标文件，采购</w:t>
      </w:r>
      <w:r>
        <w:rPr>
          <w:rFonts w:hint="eastAsia" w:ascii="宋体" w:hAnsi="宋体"/>
          <w:sz w:val="24"/>
        </w:rPr>
        <w:t>代理机构将拒绝接收。</w:t>
      </w:r>
    </w:p>
    <w:p>
      <w:pPr>
        <w:pStyle w:val="8"/>
        <w:spacing w:line="360" w:lineRule="auto"/>
      </w:pPr>
      <w:r>
        <w:rPr>
          <w:rFonts w:hint="eastAsia"/>
        </w:rPr>
        <w:t>2</w:t>
      </w:r>
      <w:r>
        <w:rPr>
          <w:rFonts w:hint="eastAsia"/>
          <w:lang w:val="en-US" w:eastAsia="zh-CN"/>
        </w:rPr>
        <w:t>4</w:t>
      </w:r>
      <w:r>
        <w:rPr>
          <w:rFonts w:hint="eastAsia"/>
        </w:rPr>
        <w:t>.投标文件的</w:t>
      </w:r>
      <w:bookmarkEnd w:id="104"/>
      <w:bookmarkEnd w:id="105"/>
      <w:r>
        <w:rPr>
          <w:rFonts w:hint="eastAsia"/>
        </w:rPr>
        <w:t>递交</w:t>
      </w:r>
      <w:bookmarkEnd w:id="106"/>
    </w:p>
    <w:p>
      <w:pPr>
        <w:tabs>
          <w:tab w:val="left" w:pos="1095"/>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.1投标人应在招标文件规定的投标截止时间前，递交投标文件。</w:t>
      </w:r>
    </w:p>
    <w:p>
      <w:pPr>
        <w:tabs>
          <w:tab w:val="left" w:pos="1095"/>
        </w:tabs>
        <w:spacing w:line="360" w:lineRule="auto"/>
        <w:ind w:firstLine="460" w:firstLineChars="192"/>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.2逾期送达的投标文件，采购代理机构将拒收。</w:t>
      </w:r>
    </w:p>
    <w:p>
      <w:pPr>
        <w:pStyle w:val="5"/>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.3 本次招标不接受邮寄的投标文件。</w:t>
      </w:r>
    </w:p>
    <w:p>
      <w:pPr>
        <w:pStyle w:val="5"/>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.4采购代理机构收到投标文件后，应当如实记载投标文件的送达时间和密封情况，签收保存</w:t>
      </w:r>
      <w:r>
        <w:rPr>
          <w:rFonts w:hint="eastAsia" w:ascii="宋体" w:hAnsi="宋体"/>
          <w:sz w:val="24"/>
          <w:szCs w:val="24"/>
          <w:lang w:eastAsia="zh-CN"/>
        </w:rPr>
        <w:t>。</w:t>
      </w:r>
    </w:p>
    <w:p>
      <w:pPr>
        <w:pStyle w:val="5"/>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.5</w:t>
      </w:r>
      <w:bookmarkStart w:id="107" w:name="_Toc183682365"/>
      <w:bookmarkStart w:id="108" w:name="_Toc183582228"/>
      <w:bookmarkStart w:id="109" w:name="_Toc217446055"/>
      <w:r>
        <w:rPr>
          <w:rFonts w:hint="eastAsia" w:ascii="宋体" w:hAnsi="宋体"/>
          <w:sz w:val="24"/>
          <w:szCs w:val="24"/>
        </w:rPr>
        <w:t>投标截止时间前按要求提供样品（如需要），</w:t>
      </w:r>
      <w:r>
        <w:rPr>
          <w:rFonts w:hint="eastAsia" w:ascii="宋体" w:hAnsi="宋体"/>
          <w:sz w:val="24"/>
          <w:szCs w:val="24"/>
          <w:lang w:eastAsia="zh-CN"/>
        </w:rPr>
        <w:t>逾期送达</w:t>
      </w:r>
      <w:r>
        <w:rPr>
          <w:rFonts w:hint="eastAsia" w:ascii="宋体" w:hAnsi="宋体"/>
          <w:sz w:val="24"/>
          <w:szCs w:val="24"/>
        </w:rPr>
        <w:t>的样品不予接收。</w:t>
      </w:r>
    </w:p>
    <w:p>
      <w:pPr>
        <w:pStyle w:val="5"/>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.6 除招标文件另有规定外，投标人递交的投标文件不予退还。</w:t>
      </w:r>
    </w:p>
    <w:p>
      <w:pPr>
        <w:pStyle w:val="8"/>
        <w:spacing w:line="360" w:lineRule="auto"/>
      </w:pPr>
      <w:r>
        <w:rPr>
          <w:rFonts w:hint="eastAsia"/>
        </w:rPr>
        <w:t>2</w:t>
      </w:r>
      <w:r>
        <w:rPr>
          <w:rFonts w:hint="eastAsia"/>
          <w:lang w:val="en-US" w:eastAsia="zh-CN"/>
        </w:rPr>
        <w:t>5</w:t>
      </w:r>
      <w:r>
        <w:rPr>
          <w:rFonts w:hint="eastAsia"/>
        </w:rPr>
        <w:t>.投标文件的修改和撤</w:t>
      </w:r>
      <w:bookmarkEnd w:id="107"/>
      <w:bookmarkEnd w:id="108"/>
      <w:r>
        <w:rPr>
          <w:rFonts w:hint="eastAsia"/>
        </w:rPr>
        <w:t>回</w:t>
      </w:r>
      <w:bookmarkEnd w:id="109"/>
    </w:p>
    <w:p>
      <w:pPr>
        <w:spacing w:line="360" w:lineRule="auto"/>
        <w:ind w:firstLine="470" w:firstLineChars="196"/>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.1投标人在递交了投标文件后，可以修改或撤回其投标文件，但必须在规定的投标截止时间前，以书面形式通知采购代理机构。</w:t>
      </w:r>
    </w:p>
    <w:p>
      <w:pPr>
        <w:spacing w:line="360" w:lineRule="auto"/>
        <w:ind w:firstLine="470" w:firstLineChars="196"/>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.2投标人的修改书或撤回通知书，应由其法定代表人或委托代理人签署并盖单位公章。修改书应按投标须知第2</w:t>
      </w:r>
      <w:r>
        <w:rPr>
          <w:rFonts w:hint="eastAsia" w:ascii="宋体" w:hAnsi="宋体"/>
          <w:sz w:val="24"/>
          <w:lang w:val="en-US" w:eastAsia="zh-CN"/>
        </w:rPr>
        <w:t>3</w:t>
      </w:r>
      <w:r>
        <w:rPr>
          <w:rFonts w:hint="eastAsia" w:ascii="宋体" w:hAnsi="宋体"/>
          <w:sz w:val="24"/>
        </w:rPr>
        <w:t>条规定进行密封和标注，并在密封袋上标注“投标文件修改”或“投标文件撤回通知”字样，“修改文件”作为投标文件的组成部分。</w:t>
      </w:r>
    </w:p>
    <w:p>
      <w:pPr>
        <w:spacing w:line="360" w:lineRule="auto"/>
        <w:ind w:firstLine="470" w:firstLineChars="196"/>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.3在投标截止时间之后，投标人不得对其递交的投标文件做任何修改或撤销投标。</w:t>
      </w:r>
      <w:bookmarkStart w:id="110" w:name="_Toc89075878"/>
      <w:bookmarkStart w:id="111" w:name="_Toc217446056"/>
      <w:bookmarkStart w:id="112" w:name="_Toc183582231"/>
      <w:bookmarkStart w:id="113" w:name="_Toc77400782"/>
      <w:bookmarkStart w:id="114" w:name="_Toc183682368"/>
    </w:p>
    <w:p>
      <w:pPr>
        <w:pStyle w:val="8"/>
        <w:spacing w:line="360" w:lineRule="auto"/>
      </w:pPr>
      <w:r>
        <w:rPr>
          <w:rFonts w:hint="eastAsia"/>
        </w:rPr>
        <w:t>2</w:t>
      </w:r>
      <w:r>
        <w:rPr>
          <w:rFonts w:hint="eastAsia"/>
          <w:lang w:val="en-US" w:eastAsia="zh-CN"/>
        </w:rPr>
        <w:t>6</w:t>
      </w:r>
      <w:r>
        <w:rPr>
          <w:rFonts w:hint="eastAsia"/>
        </w:rPr>
        <w:t>.投标纪律要求</w:t>
      </w:r>
    </w:p>
    <w:p>
      <w:pPr>
        <w:pStyle w:val="5"/>
        <w:spacing w:line="360" w:lineRule="auto"/>
        <w:ind w:firstLine="495"/>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6</w:t>
      </w:r>
      <w:r>
        <w:rPr>
          <w:rFonts w:hint="eastAsia" w:ascii="宋体" w:hAnsi="宋体"/>
          <w:sz w:val="24"/>
          <w:szCs w:val="24"/>
        </w:rPr>
        <w:t>.1投标人参加投标不得有下列情形：</w:t>
      </w:r>
    </w:p>
    <w:p>
      <w:pPr>
        <w:spacing w:line="360" w:lineRule="auto"/>
        <w:ind w:firstLine="460" w:firstLineChars="192"/>
        <w:rPr>
          <w:rFonts w:ascii="宋体" w:hAnsi="宋体"/>
          <w:sz w:val="24"/>
        </w:rPr>
      </w:pPr>
      <w:r>
        <w:rPr>
          <w:rFonts w:hint="eastAsia" w:ascii="宋体" w:hAnsi="宋体"/>
          <w:sz w:val="24"/>
        </w:rPr>
        <w:t>（1）提供虚假材料谋取中标；</w:t>
      </w:r>
    </w:p>
    <w:p>
      <w:pPr>
        <w:spacing w:line="360" w:lineRule="auto"/>
        <w:ind w:firstLine="460" w:firstLineChars="192"/>
        <w:rPr>
          <w:rFonts w:ascii="宋体" w:hAnsi="宋体"/>
          <w:sz w:val="24"/>
        </w:rPr>
      </w:pPr>
      <w:r>
        <w:rPr>
          <w:rFonts w:hint="eastAsia" w:ascii="宋体" w:hAnsi="宋体"/>
          <w:sz w:val="24"/>
        </w:rPr>
        <w:t>（2）采取不正当手段诋毁、排挤其他投标人；</w:t>
      </w:r>
    </w:p>
    <w:p>
      <w:pPr>
        <w:spacing w:line="360" w:lineRule="auto"/>
        <w:ind w:firstLine="480" w:firstLineChars="200"/>
        <w:rPr>
          <w:rFonts w:ascii="宋体" w:hAnsi="宋体"/>
          <w:sz w:val="24"/>
        </w:rPr>
      </w:pPr>
      <w:r>
        <w:rPr>
          <w:rFonts w:hint="eastAsia" w:ascii="宋体" w:hAnsi="宋体"/>
          <w:sz w:val="24"/>
        </w:rPr>
        <w:t>（3）与采购人、采购代理机构、其他投标人恶意串通；</w:t>
      </w:r>
    </w:p>
    <w:p>
      <w:pPr>
        <w:spacing w:line="360" w:lineRule="auto"/>
        <w:ind w:firstLine="480" w:firstLineChars="200"/>
        <w:rPr>
          <w:rFonts w:ascii="宋体" w:hAnsi="宋体"/>
          <w:sz w:val="24"/>
        </w:rPr>
      </w:pPr>
      <w:r>
        <w:rPr>
          <w:rFonts w:hint="eastAsia" w:ascii="宋体" w:hAnsi="宋体"/>
          <w:sz w:val="24"/>
        </w:rPr>
        <w:t>（4）向采购人、采购代理机构、评标委员会成员行贿或者提供其他不正当利益；</w:t>
      </w:r>
    </w:p>
    <w:p>
      <w:pPr>
        <w:pStyle w:val="19"/>
        <w:tabs>
          <w:tab w:val="left" w:pos="720"/>
        </w:tabs>
        <w:spacing w:line="360" w:lineRule="auto"/>
        <w:ind w:firstLine="460" w:firstLineChars="192"/>
        <w:rPr>
          <w:rFonts w:ascii="宋体" w:hAnsi="宋体"/>
          <w:sz w:val="24"/>
          <w:szCs w:val="24"/>
        </w:rPr>
      </w:pPr>
      <w:r>
        <w:rPr>
          <w:rFonts w:hint="eastAsia" w:ascii="宋体" w:hAnsi="宋体"/>
          <w:sz w:val="24"/>
          <w:szCs w:val="24"/>
        </w:rPr>
        <w:t>（5）在招标过程中与</w:t>
      </w:r>
      <w:r>
        <w:rPr>
          <w:rFonts w:hint="eastAsia" w:ascii="宋体" w:hAnsi="宋体"/>
          <w:sz w:val="24"/>
        </w:rPr>
        <w:t>采购人、采购代理机构</w:t>
      </w:r>
      <w:r>
        <w:rPr>
          <w:rFonts w:hint="eastAsia" w:ascii="宋体" w:hAnsi="宋体"/>
          <w:sz w:val="24"/>
          <w:szCs w:val="24"/>
        </w:rPr>
        <w:t>进行协商谈判；</w:t>
      </w:r>
    </w:p>
    <w:p>
      <w:pPr>
        <w:pStyle w:val="19"/>
        <w:spacing w:line="360" w:lineRule="auto"/>
        <w:ind w:firstLine="480" w:firstLineChars="200"/>
        <w:rPr>
          <w:rFonts w:ascii="宋体" w:hAnsi="宋体"/>
          <w:sz w:val="24"/>
          <w:szCs w:val="24"/>
        </w:rPr>
      </w:pPr>
      <w:r>
        <w:rPr>
          <w:rFonts w:hint="eastAsia" w:ascii="宋体" w:hAnsi="宋体"/>
          <w:sz w:val="24"/>
          <w:szCs w:val="24"/>
        </w:rPr>
        <w:t>（6）拒绝有关部门的监督检查或者向监督检查部门提供虚假情况。</w:t>
      </w:r>
    </w:p>
    <w:p>
      <w:pPr>
        <w:pStyle w:val="5"/>
        <w:spacing w:line="360" w:lineRule="auto"/>
        <w:ind w:firstLine="495"/>
        <w:rPr>
          <w:sz w:val="28"/>
          <w:szCs w:val="28"/>
        </w:rPr>
      </w:pPr>
      <w:r>
        <w:rPr>
          <w:rFonts w:hint="eastAsia"/>
          <w:sz w:val="24"/>
          <w:szCs w:val="24"/>
        </w:rPr>
        <w:t>有上述情形之一的，属于不合格投标人，其投标或中标资格将被取消</w:t>
      </w:r>
      <w:r>
        <w:rPr>
          <w:rFonts w:hint="eastAsia"/>
          <w:sz w:val="28"/>
          <w:szCs w:val="28"/>
        </w:rPr>
        <w:t>。</w:t>
      </w:r>
    </w:p>
    <w:p>
      <w:pPr>
        <w:spacing w:line="360" w:lineRule="auto"/>
        <w:ind w:firstLine="360" w:firstLineChars="150"/>
        <w:rPr>
          <w:rFonts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.2</w:t>
      </w:r>
      <w:r>
        <w:rPr>
          <w:rFonts w:ascii="宋体" w:hAnsi="宋体"/>
          <w:sz w:val="24"/>
        </w:rPr>
        <w:t>有下列情形之一的，视为投标</w:t>
      </w:r>
      <w:r>
        <w:rPr>
          <w:rFonts w:hint="eastAsia" w:ascii="宋体" w:hAnsi="宋体"/>
          <w:sz w:val="24"/>
        </w:rPr>
        <w:t>人</w:t>
      </w:r>
      <w:r>
        <w:rPr>
          <w:rFonts w:ascii="宋体" w:hAnsi="宋体"/>
          <w:sz w:val="24"/>
        </w:rPr>
        <w:t>相互恶意串通投标</w:t>
      </w:r>
      <w:r>
        <w:rPr>
          <w:rFonts w:hint="eastAsia" w:ascii="宋体" w:hAnsi="宋体"/>
          <w:sz w:val="24"/>
        </w:rPr>
        <w:t>，其投标无效</w:t>
      </w:r>
      <w:r>
        <w:rPr>
          <w:rFonts w:ascii="宋体" w:hAnsi="宋体"/>
          <w:sz w:val="24"/>
        </w:rPr>
        <w:t>：</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）不同投标</w:t>
      </w:r>
      <w:r>
        <w:rPr>
          <w:rFonts w:hint="eastAsia" w:ascii="宋体" w:hAnsi="宋体"/>
          <w:sz w:val="24"/>
        </w:rPr>
        <w:t>人</w:t>
      </w:r>
      <w:r>
        <w:rPr>
          <w:rFonts w:ascii="宋体" w:hAnsi="宋体"/>
          <w:sz w:val="24"/>
        </w:rPr>
        <w:t>的投标文件由同一单位或者个人编制；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2</w:t>
      </w:r>
      <w:r>
        <w:rPr>
          <w:rFonts w:ascii="宋体" w:hAnsi="宋体"/>
          <w:sz w:val="24"/>
        </w:rPr>
        <w:t>）不同投标</w:t>
      </w:r>
      <w:r>
        <w:rPr>
          <w:rFonts w:hint="eastAsia" w:ascii="宋体" w:hAnsi="宋体"/>
          <w:sz w:val="24"/>
        </w:rPr>
        <w:t>人</w:t>
      </w:r>
      <w:r>
        <w:rPr>
          <w:rFonts w:ascii="宋体" w:hAnsi="宋体"/>
          <w:sz w:val="24"/>
        </w:rPr>
        <w:t>委托同一单位或者个人办理投标事宜；</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）不同投标</w:t>
      </w:r>
      <w:r>
        <w:rPr>
          <w:rFonts w:hint="eastAsia" w:ascii="宋体" w:hAnsi="宋体"/>
          <w:sz w:val="24"/>
        </w:rPr>
        <w:t>人</w:t>
      </w:r>
      <w:r>
        <w:rPr>
          <w:rFonts w:ascii="宋体" w:hAnsi="宋体"/>
          <w:sz w:val="24"/>
        </w:rPr>
        <w:t>的投标文件载明的项目管理成员为同一人；</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）不同投标</w:t>
      </w:r>
      <w:r>
        <w:rPr>
          <w:rFonts w:hint="eastAsia" w:ascii="宋体" w:hAnsi="宋体"/>
          <w:sz w:val="24"/>
        </w:rPr>
        <w:t>人</w:t>
      </w:r>
      <w:r>
        <w:rPr>
          <w:rFonts w:ascii="宋体" w:hAnsi="宋体"/>
          <w:sz w:val="24"/>
        </w:rPr>
        <w:t>的投标文件异常一致或者投标报价呈规律性差异；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）不同投标</w:t>
      </w:r>
      <w:r>
        <w:rPr>
          <w:rFonts w:hint="eastAsia" w:ascii="宋体" w:hAnsi="宋体"/>
          <w:sz w:val="24"/>
        </w:rPr>
        <w:t>人</w:t>
      </w:r>
      <w:r>
        <w:rPr>
          <w:rFonts w:ascii="宋体" w:hAnsi="宋体"/>
          <w:sz w:val="24"/>
        </w:rPr>
        <w:t>的投标文件相互混装；</w:t>
      </w:r>
    </w:p>
    <w:p>
      <w:pPr>
        <w:pStyle w:val="4"/>
        <w:spacing w:before="0" w:afterLines="50" w:line="360" w:lineRule="auto"/>
        <w:rPr>
          <w:rFonts w:ascii="宋体" w:hAnsi="宋体" w:eastAsia="宋体"/>
          <w:bCs/>
        </w:rPr>
      </w:pPr>
      <w:bookmarkStart w:id="115" w:name="_Toc27246"/>
      <w:bookmarkStart w:id="116" w:name="_Toc20465"/>
      <w:r>
        <w:rPr>
          <w:rFonts w:hint="eastAsia" w:ascii="宋体" w:hAnsi="宋体" w:eastAsia="宋体"/>
          <w:bCs/>
        </w:rPr>
        <w:t>六、开标</w:t>
      </w:r>
      <w:bookmarkEnd w:id="110"/>
      <w:bookmarkEnd w:id="111"/>
      <w:bookmarkEnd w:id="112"/>
      <w:bookmarkEnd w:id="113"/>
      <w:bookmarkEnd w:id="114"/>
      <w:bookmarkEnd w:id="115"/>
      <w:bookmarkEnd w:id="116"/>
    </w:p>
    <w:p>
      <w:pPr>
        <w:pStyle w:val="8"/>
        <w:spacing w:line="360" w:lineRule="auto"/>
      </w:pPr>
      <w:r>
        <w:rPr>
          <w:rFonts w:hint="eastAsia"/>
        </w:rPr>
        <w:t>2</w:t>
      </w:r>
      <w:r>
        <w:rPr>
          <w:rFonts w:hint="eastAsia"/>
          <w:lang w:val="en-US" w:eastAsia="zh-CN"/>
        </w:rPr>
        <w:t>7</w:t>
      </w:r>
      <w:r>
        <w:rPr>
          <w:rFonts w:hint="eastAsia"/>
        </w:rPr>
        <w:t>.开标时间和地点</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.1采购代理机构在投标人须知前附表中规定的投标截止时间和地点组织公开开标，并邀请采购人、所有投标人派代表参加并签到以证明其出席。</w:t>
      </w:r>
    </w:p>
    <w:p>
      <w:pPr>
        <w:spacing w:line="360" w:lineRule="auto"/>
        <w:ind w:firstLine="480" w:firstLineChars="200"/>
        <w:rPr>
          <w:rFonts w:ascii="宋体" w:hAnsi="宋体"/>
          <w:b/>
          <w:bCs/>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.2 投标人未参加开标的，视同认可开标结果。</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.3采购人或者采购代理机构负责组织评标工作，并履行相应职责。</w:t>
      </w:r>
      <w:bookmarkStart w:id="117" w:name="_Toc217446058"/>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.4 投标人不足3家的，不得开标。</w:t>
      </w:r>
    </w:p>
    <w:p>
      <w:pPr>
        <w:pStyle w:val="8"/>
        <w:spacing w:line="360" w:lineRule="auto"/>
      </w:pPr>
      <w:r>
        <w:rPr>
          <w:rFonts w:hint="eastAsia"/>
        </w:rPr>
        <w:t>2</w:t>
      </w:r>
      <w:r>
        <w:rPr>
          <w:rFonts w:hint="eastAsia"/>
          <w:lang w:val="en-US" w:eastAsia="zh-CN"/>
        </w:rPr>
        <w:t>8</w:t>
      </w:r>
      <w:r>
        <w:rPr>
          <w:rFonts w:hint="eastAsia"/>
        </w:rPr>
        <w:t>.开标程序</w:t>
      </w:r>
      <w:bookmarkEnd w:id="117"/>
    </w:p>
    <w:p>
      <w:pPr>
        <w:pStyle w:val="24"/>
        <w:spacing w:line="360" w:lineRule="auto"/>
        <w:ind w:firstLine="48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8</w:t>
      </w:r>
      <w:r>
        <w:rPr>
          <w:rFonts w:hint="eastAsia" w:ascii="宋体" w:hAnsi="宋体" w:eastAsia="宋体"/>
          <w:sz w:val="24"/>
          <w:szCs w:val="24"/>
        </w:rPr>
        <w:t>.1开标会议由采购代理机构主持。主持人按照招标文件规定的开标时间宣布开标，按照规定要求主持开标会并按以下程序进行（但不限于）：</w:t>
      </w:r>
    </w:p>
    <w:p>
      <w:pPr>
        <w:spacing w:line="360" w:lineRule="auto"/>
        <w:ind w:firstLine="480" w:firstLineChars="200"/>
        <w:rPr>
          <w:rFonts w:ascii="宋体" w:hAnsi="宋体"/>
          <w:sz w:val="24"/>
        </w:rPr>
      </w:pPr>
      <w:r>
        <w:rPr>
          <w:rFonts w:hint="eastAsia" w:ascii="宋体" w:hAnsi="宋体"/>
          <w:sz w:val="24"/>
        </w:rPr>
        <w:t>（1）宣布开标开始并致辞。</w:t>
      </w:r>
    </w:p>
    <w:p>
      <w:pPr>
        <w:spacing w:line="360" w:lineRule="auto"/>
        <w:ind w:firstLine="480" w:firstLineChars="200"/>
        <w:rPr>
          <w:rFonts w:ascii="宋体" w:hAnsi="宋体"/>
          <w:sz w:val="24"/>
        </w:rPr>
      </w:pPr>
      <w:r>
        <w:rPr>
          <w:rFonts w:hint="eastAsia" w:ascii="宋体" w:hAnsi="宋体"/>
          <w:sz w:val="24"/>
        </w:rPr>
        <w:t>（2）宣布开标纪律和有关注意事项。</w:t>
      </w:r>
    </w:p>
    <w:p>
      <w:pPr>
        <w:spacing w:line="360" w:lineRule="auto"/>
        <w:ind w:firstLine="480" w:firstLineChars="200"/>
        <w:rPr>
          <w:rFonts w:ascii="宋体" w:hAnsi="宋体"/>
          <w:sz w:val="24"/>
        </w:rPr>
      </w:pPr>
      <w:r>
        <w:rPr>
          <w:rFonts w:hint="eastAsia" w:ascii="宋体" w:hAnsi="宋体"/>
          <w:sz w:val="24"/>
        </w:rPr>
        <w:t>（3）公布参加投标的投标人名单；</w:t>
      </w:r>
    </w:p>
    <w:p>
      <w:pPr>
        <w:spacing w:line="360" w:lineRule="auto"/>
        <w:ind w:firstLine="480" w:firstLineChars="200"/>
        <w:rPr>
          <w:rFonts w:hint="eastAsia" w:ascii="宋体" w:hAnsi="宋体"/>
          <w:sz w:val="24"/>
        </w:rPr>
      </w:pPr>
      <w:r>
        <w:rPr>
          <w:rFonts w:hint="eastAsia" w:ascii="宋体" w:hAnsi="宋体"/>
          <w:sz w:val="24"/>
        </w:rPr>
        <w:t>（4）宣布主持人、记录人等有关工作人员；</w:t>
      </w:r>
    </w:p>
    <w:p>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检查并宣布投标文件的密封情况。由</w:t>
      </w:r>
      <w:r>
        <w:rPr>
          <w:rFonts w:hint="eastAsia" w:ascii="宋体" w:hAnsi="宋体"/>
          <w:sz w:val="24"/>
          <w:lang w:eastAsia="zh-CN"/>
        </w:rPr>
        <w:t>监标人</w:t>
      </w:r>
      <w:r>
        <w:rPr>
          <w:rFonts w:hint="eastAsia" w:ascii="宋体" w:hAnsi="宋体"/>
          <w:sz w:val="24"/>
        </w:rPr>
        <w:t>检查投标密封情况，经检查无误后，签字确认。</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开标唱标。主持人宣布开标后，由现场工作人员按顺序对投标人的“投标文件”当众进行拆封，由唱标人员对其中“开标一览表”的投标人名称、投标总价等内容进行宣读并做开标记录。所有投标唱标完毕，如投标人代表对宣读的“开标一览表”上的内容有异议的，应举手示意，在获得主持人同意后当场提出。如确实属于唱标人员宣读错误的，当场予以更正。无异议后，由投标人法人代表或授权代表及监督管理机构代表签字确认唱标内容。</w:t>
      </w:r>
    </w:p>
    <w:p>
      <w:pPr>
        <w:spacing w:line="360" w:lineRule="auto"/>
        <w:ind w:firstLine="460" w:firstLineChars="192"/>
        <w:rPr>
          <w:rFonts w:ascii="宋体" w:hAnsi="宋体"/>
          <w:sz w:val="24"/>
        </w:rPr>
      </w:pPr>
      <w:bookmarkStart w:id="118" w:name="_Toc217446059"/>
      <w:r>
        <w:rPr>
          <w:rFonts w:hint="eastAsia" w:ascii="宋体" w:hAnsi="宋体"/>
          <w:sz w:val="24"/>
        </w:rPr>
        <w:t>（</w:t>
      </w:r>
      <w:r>
        <w:rPr>
          <w:rFonts w:hint="eastAsia" w:ascii="宋体" w:hAnsi="宋体"/>
          <w:sz w:val="24"/>
          <w:lang w:val="en-US" w:eastAsia="zh-CN"/>
        </w:rPr>
        <w:t>7</w:t>
      </w:r>
      <w:r>
        <w:rPr>
          <w:rFonts w:hint="eastAsia" w:ascii="宋体" w:hAnsi="宋体"/>
          <w:sz w:val="24"/>
        </w:rPr>
        <w:t>）宣布开标结束。主持人宣布开标结束后，所有投标人应立即退场</w:t>
      </w:r>
      <w:r>
        <w:rPr>
          <w:rFonts w:hint="eastAsia" w:ascii="宋体"/>
          <w:sz w:val="24"/>
        </w:rPr>
        <w:t>（招标文件要求有演示、介绍等的除外）。同时所有投标人应保持通讯设备的畅通，以方便在评标过程中评标委员会要求投标人对投标文件的必要澄清。</w:t>
      </w:r>
    </w:p>
    <w:p>
      <w:pPr>
        <w:spacing w:line="360" w:lineRule="auto"/>
        <w:ind w:firstLine="480" w:firstLineChars="200"/>
        <w:rPr>
          <w:rFonts w:asci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 xml:space="preserve">.2 </w:t>
      </w:r>
      <w:r>
        <w:rPr>
          <w:rFonts w:hint="eastAsia" w:ascii="宋体"/>
          <w:sz w:val="24"/>
        </w:rPr>
        <w:t>检查投标文件密封情况是指，由投标人或者其推选的代表检检查其自己递交的投标文件的密封情况，经检查无误后，签字确认。</w:t>
      </w:r>
    </w:p>
    <w:p>
      <w:pPr>
        <w:spacing w:line="360" w:lineRule="auto"/>
        <w:ind w:firstLine="480" w:firstLineChars="200"/>
        <w:rPr>
          <w:rFonts w:ascii="宋体" w:hAnsi="宋体"/>
          <w:sz w:val="24"/>
        </w:rPr>
      </w:pPr>
      <w:r>
        <w:rPr>
          <w:rFonts w:hint="eastAsia" w:ascii="宋体"/>
          <w:sz w:val="24"/>
        </w:rPr>
        <w:t>投标人或者其推选的代表检确认投标文件情况，投标人或者其推选的代表检对其他投标人的投标文件密封情况有异议的，可以当场反映开标主持人或者现场监督人员，要求开标现场记录人员予以记录，但不得干扰、阻挠开标工作的正常进行。</w:t>
      </w:r>
    </w:p>
    <w:p>
      <w:pPr>
        <w:spacing w:line="360" w:lineRule="auto"/>
        <w:ind w:firstLine="460" w:firstLineChars="192"/>
        <w:rPr>
          <w:rFonts w:ascii="宋体" w:hAnsi="宋体" w:cs="宋体"/>
          <w:kern w:val="0"/>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 xml:space="preserve">.3 </w:t>
      </w:r>
      <w:r>
        <w:rPr>
          <w:rFonts w:hint="eastAsia" w:ascii="宋体" w:hAnsi="宋体" w:cs="宋体"/>
          <w:kern w:val="0"/>
          <w:sz w:val="24"/>
        </w:rPr>
        <w:t>投标人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spacing w:line="360" w:lineRule="auto"/>
        <w:ind w:firstLine="460" w:firstLineChars="192"/>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.4采购代理机构对开标、资格审查和评标全过程进行全程摄（录）像、文字记录，并存档备查。</w:t>
      </w:r>
    </w:p>
    <w:p>
      <w:pPr>
        <w:pStyle w:val="4"/>
        <w:spacing w:before="0" w:afterLines="50" w:line="360" w:lineRule="auto"/>
        <w:rPr>
          <w:rFonts w:ascii="宋体" w:hAnsi="宋体" w:eastAsia="宋体"/>
          <w:bCs/>
        </w:rPr>
      </w:pPr>
      <w:bookmarkStart w:id="119" w:name="_Toc26874"/>
      <w:bookmarkStart w:id="120" w:name="_Toc22191"/>
      <w:r>
        <w:rPr>
          <w:rFonts w:hint="eastAsia" w:ascii="宋体" w:hAnsi="宋体" w:eastAsia="宋体"/>
          <w:bCs/>
        </w:rPr>
        <w:t>七、投标人资格审查</w:t>
      </w:r>
      <w:bookmarkEnd w:id="119"/>
      <w:bookmarkEnd w:id="120"/>
    </w:p>
    <w:p>
      <w:pPr>
        <w:pStyle w:val="8"/>
      </w:pPr>
      <w:r>
        <w:rPr>
          <w:rFonts w:hint="eastAsia"/>
          <w:lang w:val="en-US" w:eastAsia="zh-CN"/>
        </w:rPr>
        <w:t>29</w:t>
      </w:r>
      <w:r>
        <w:rPr>
          <w:rFonts w:hint="eastAsia"/>
        </w:rPr>
        <w:t>.资格审查人员</w:t>
      </w:r>
    </w:p>
    <w:p>
      <w:pPr>
        <w:spacing w:afterLines="50" w:line="360" w:lineRule="auto"/>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.1公开招标采购项目开标结束后,采购人或者采购代理机构应当依法对投标人的资格进行审查。依据投标文件，按照招标文件给定的资格审查办法对投标人进行资格审查,</w:t>
      </w:r>
      <w:r>
        <w:rPr>
          <w:rFonts w:hint="eastAsia"/>
        </w:rPr>
        <w:t xml:space="preserve"> </w:t>
      </w:r>
      <w:r>
        <w:rPr>
          <w:rFonts w:hint="eastAsia" w:ascii="宋体" w:hAnsi="宋体" w:cs="宋体"/>
          <w:kern w:val="0"/>
          <w:sz w:val="24"/>
        </w:rPr>
        <w:t>以确定其是否具备相应资质。如果投标供应商不具备资质、不满足招标文件所规定的资质标准或提供资质证明文件不全,将被视为未实质性响应招标文件。</w:t>
      </w:r>
    </w:p>
    <w:p>
      <w:pPr>
        <w:pStyle w:val="8"/>
      </w:pPr>
      <w:r>
        <w:rPr>
          <w:rFonts w:hint="eastAsia"/>
          <w:lang w:val="en-US" w:eastAsia="zh-CN"/>
        </w:rPr>
        <w:t>30</w:t>
      </w:r>
      <w:r>
        <w:rPr>
          <w:rFonts w:hint="eastAsia"/>
        </w:rPr>
        <w:t>.资格审查办法</w:t>
      </w:r>
    </w:p>
    <w:p>
      <w:pPr>
        <w:tabs>
          <w:tab w:val="left" w:pos="0"/>
        </w:tabs>
        <w:adjustRightInd w:val="0"/>
        <w:snapToGrid w:val="0"/>
        <w:spacing w:line="360" w:lineRule="auto"/>
        <w:rPr>
          <w:rFonts w:ascii="宋体" w:hAnsi="宋体"/>
          <w:sz w:val="24"/>
        </w:rPr>
      </w:pPr>
      <w:r>
        <w:rPr>
          <w:rFonts w:hint="eastAsia" w:ascii="宋体" w:hAnsi="宋体"/>
          <w:sz w:val="24"/>
        </w:rPr>
        <w:t xml:space="preserve">    3</w:t>
      </w:r>
      <w:r>
        <w:rPr>
          <w:rFonts w:hint="eastAsia" w:ascii="宋体" w:hAnsi="宋体"/>
          <w:sz w:val="24"/>
          <w:lang w:val="en-US" w:eastAsia="zh-CN"/>
        </w:rPr>
        <w:t>0</w:t>
      </w:r>
      <w:r>
        <w:rPr>
          <w:rFonts w:hint="eastAsia" w:ascii="宋体" w:hAnsi="宋体"/>
          <w:sz w:val="24"/>
        </w:rPr>
        <w:t>.1资格审查在开标之后评标之前进行。</w:t>
      </w:r>
    </w:p>
    <w:p>
      <w:pPr>
        <w:tabs>
          <w:tab w:val="left" w:pos="0"/>
        </w:tabs>
        <w:adjustRightInd w:val="0"/>
        <w:snapToGrid w:val="0"/>
        <w:spacing w:line="360" w:lineRule="auto"/>
        <w:ind w:firstLine="470" w:firstLineChars="196"/>
        <w:rPr>
          <w:rFonts w:ascii="宋体" w:hAnsi="宋体" w:cs="宋体"/>
          <w:kern w:val="0"/>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.2资格审查人员将依据投标人投标文件，按照招标文件第三章11.1条款所述资格要求对投标人进行资格审查，以确定其是否具备相应资格。</w:t>
      </w:r>
      <w:r>
        <w:rPr>
          <w:rFonts w:hint="eastAsia" w:ascii="宋体" w:hAnsi="宋体" w:cs="宋体"/>
          <w:kern w:val="0"/>
          <w:sz w:val="24"/>
        </w:rPr>
        <w:t>如果投标人不具备资格、不满足招标文件所规定的资格条件,将被视为未实质性响应招标文件,按无效投标处理。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.3 合格投标人不足3家的，不得评标。</w:t>
      </w:r>
    </w:p>
    <w:p>
      <w:pPr>
        <w:spacing w:line="360" w:lineRule="auto"/>
        <w:ind w:firstLine="480"/>
        <w:rPr>
          <w:rFonts w:ascii="宋体"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.4 不合格的投标人，不得进入评标环节。</w:t>
      </w:r>
    </w:p>
    <w:p>
      <w:pPr>
        <w:pStyle w:val="4"/>
        <w:spacing w:before="0" w:afterLines="50" w:line="360" w:lineRule="auto"/>
        <w:rPr>
          <w:rFonts w:ascii="宋体" w:hAnsi="宋体" w:eastAsia="宋体"/>
          <w:bCs/>
        </w:rPr>
      </w:pPr>
      <w:bookmarkStart w:id="121" w:name="_Toc27259"/>
      <w:bookmarkStart w:id="122" w:name="_Toc12409"/>
      <w:r>
        <w:rPr>
          <w:rFonts w:hint="eastAsia" w:ascii="宋体" w:hAnsi="宋体" w:eastAsia="宋体"/>
          <w:bCs/>
        </w:rPr>
        <w:t>八、评标</w:t>
      </w:r>
      <w:bookmarkEnd w:id="118"/>
      <w:bookmarkEnd w:id="121"/>
      <w:bookmarkEnd w:id="122"/>
    </w:p>
    <w:p>
      <w:pPr>
        <w:pStyle w:val="8"/>
      </w:pPr>
      <w:r>
        <w:rPr>
          <w:rFonts w:hint="eastAsia"/>
        </w:rPr>
        <w:t>3</w:t>
      </w:r>
      <w:r>
        <w:rPr>
          <w:rFonts w:hint="eastAsia"/>
          <w:lang w:val="en-US" w:eastAsia="zh-CN"/>
        </w:rPr>
        <w:t>1</w:t>
      </w:r>
      <w:r>
        <w:rPr>
          <w:rFonts w:hint="eastAsia"/>
        </w:rPr>
        <w:t>.评标委员会</w:t>
      </w:r>
    </w:p>
    <w:p>
      <w:pPr>
        <w:pStyle w:val="26"/>
        <w:shd w:val="clear" w:color="auto" w:fill="FFFFFF"/>
        <w:spacing w:before="0" w:beforeAutospacing="0" w:after="0" w:afterAutospacing="0" w:line="360" w:lineRule="auto"/>
        <w:ind w:firstLine="480" w:firstLineChars="200"/>
        <w:rPr>
          <w:sz w:val="24"/>
          <w:szCs w:val="24"/>
        </w:rPr>
      </w:pPr>
      <w:r>
        <w:rPr>
          <w:rFonts w:hint="eastAsia"/>
          <w:sz w:val="24"/>
          <w:szCs w:val="24"/>
        </w:rPr>
        <w:t>3</w:t>
      </w:r>
      <w:r>
        <w:rPr>
          <w:rFonts w:hint="eastAsia"/>
          <w:sz w:val="24"/>
          <w:szCs w:val="24"/>
          <w:lang w:val="en-US" w:eastAsia="zh-CN"/>
        </w:rPr>
        <w:t>1</w:t>
      </w:r>
      <w:r>
        <w:rPr>
          <w:rFonts w:hint="eastAsia"/>
          <w:sz w:val="24"/>
          <w:szCs w:val="24"/>
        </w:rPr>
        <w:t>.1采购代理机构</w:t>
      </w:r>
      <w:r>
        <w:rPr>
          <w:sz w:val="24"/>
          <w:szCs w:val="24"/>
          <w:lang w:val="zh-CN"/>
        </w:rPr>
        <w:t>按照《中华人民共和国政府采购法》</w:t>
      </w:r>
      <w:r>
        <w:rPr>
          <w:rFonts w:hint="eastAsia"/>
          <w:sz w:val="24"/>
          <w:szCs w:val="24"/>
          <w:lang w:val="zh-CN"/>
        </w:rPr>
        <w:t>、中华人民共和国2015年第658号国务院令--《中华人民共和国政府采购法实施条例》</w:t>
      </w:r>
      <w:r>
        <w:rPr>
          <w:sz w:val="24"/>
          <w:szCs w:val="24"/>
          <w:lang w:val="zh-CN"/>
        </w:rPr>
        <w:t>和《政府采购货物和服务招标投标管理办法》的规定，依法组建评标委员会</w:t>
      </w:r>
      <w:r>
        <w:rPr>
          <w:rFonts w:hint="eastAsia"/>
          <w:sz w:val="24"/>
          <w:szCs w:val="24"/>
        </w:rPr>
        <w:t>（以下简称评委会）</w:t>
      </w:r>
      <w:r>
        <w:rPr>
          <w:sz w:val="24"/>
          <w:szCs w:val="24"/>
          <w:lang w:val="zh-CN"/>
        </w:rPr>
        <w:t>。</w:t>
      </w:r>
    </w:p>
    <w:p>
      <w:pPr>
        <w:pStyle w:val="26"/>
        <w:shd w:val="clear" w:color="auto" w:fill="FFFFFF"/>
        <w:spacing w:before="0" w:beforeAutospacing="0" w:after="0" w:afterAutospacing="0" w:line="360" w:lineRule="auto"/>
        <w:ind w:firstLine="480" w:firstLineChars="200"/>
        <w:rPr>
          <w:rFonts w:hint="eastAsia"/>
          <w:sz w:val="24"/>
          <w:szCs w:val="24"/>
          <w:lang w:eastAsia="zh-CN"/>
        </w:rPr>
      </w:pPr>
      <w:r>
        <w:rPr>
          <w:rFonts w:hint="eastAsia" w:cs="宋体"/>
          <w:color w:val="auto"/>
          <w:sz w:val="24"/>
          <w:szCs w:val="24"/>
        </w:rPr>
        <w:t>3</w:t>
      </w:r>
      <w:r>
        <w:rPr>
          <w:rFonts w:hint="eastAsia" w:cs="宋体"/>
          <w:color w:val="auto"/>
          <w:sz w:val="24"/>
          <w:szCs w:val="24"/>
          <w:lang w:val="en-US" w:eastAsia="zh-CN"/>
        </w:rPr>
        <w:t>1</w:t>
      </w:r>
      <w:r>
        <w:rPr>
          <w:rFonts w:hint="eastAsia" w:cs="宋体"/>
          <w:color w:val="auto"/>
          <w:sz w:val="24"/>
          <w:szCs w:val="24"/>
        </w:rPr>
        <w:t>.2评标委员会由采购人代表和评审专家组成，成员人数应当为5人以上单数，其中评审专家不得少于成员总数的三分之二</w:t>
      </w:r>
      <w:r>
        <w:rPr>
          <w:spacing w:val="6"/>
          <w:sz w:val="24"/>
          <w:szCs w:val="24"/>
        </w:rPr>
        <w:t>。采购预算金额在</w:t>
      </w:r>
      <w:r>
        <w:rPr>
          <w:rFonts w:hint="eastAsia"/>
          <w:spacing w:val="6"/>
          <w:sz w:val="24"/>
          <w:szCs w:val="24"/>
        </w:rPr>
        <w:t>1000</w:t>
      </w:r>
      <w:r>
        <w:rPr>
          <w:spacing w:val="6"/>
          <w:sz w:val="24"/>
          <w:szCs w:val="24"/>
        </w:rPr>
        <w:t>万元以上、技术复杂的项目或者社会影响较大的项目，评标委员会</w:t>
      </w:r>
      <w:r>
        <w:rPr>
          <w:rFonts w:hint="eastAsia"/>
          <w:spacing w:val="6"/>
          <w:sz w:val="24"/>
          <w:szCs w:val="24"/>
        </w:rPr>
        <w:t>成员</w:t>
      </w:r>
      <w:r>
        <w:rPr>
          <w:spacing w:val="6"/>
          <w:sz w:val="24"/>
          <w:szCs w:val="24"/>
        </w:rPr>
        <w:t>应当为</w:t>
      </w:r>
      <w:r>
        <w:rPr>
          <w:rFonts w:hint="eastAsia"/>
          <w:spacing w:val="6"/>
          <w:sz w:val="24"/>
          <w:szCs w:val="24"/>
        </w:rPr>
        <w:t>7</w:t>
      </w:r>
      <w:r>
        <w:rPr>
          <w:spacing w:val="6"/>
          <w:sz w:val="24"/>
          <w:szCs w:val="24"/>
        </w:rPr>
        <w:t>人以上。</w:t>
      </w:r>
      <w:r>
        <w:rPr>
          <w:rFonts w:hint="eastAsia"/>
          <w:spacing w:val="6"/>
          <w:sz w:val="24"/>
          <w:szCs w:val="24"/>
          <w:lang w:eastAsia="zh-CN"/>
        </w:rPr>
        <w:t>评标</w:t>
      </w:r>
      <w:r>
        <w:rPr>
          <w:rFonts w:hint="eastAsia"/>
          <w:sz w:val="24"/>
          <w:szCs w:val="24"/>
        </w:rPr>
        <w:t>专家人选在省级财政部门设立的政府采购评审专家库中随机抽取。</w:t>
      </w:r>
      <w:r>
        <w:rPr>
          <w:rFonts w:hint="eastAsia"/>
          <w:sz w:val="24"/>
          <w:szCs w:val="24"/>
          <w:lang w:eastAsia="zh-CN"/>
        </w:rPr>
        <w:t>本项目评标委员会由</w:t>
      </w:r>
      <w:r>
        <w:rPr>
          <w:rFonts w:hint="eastAsia"/>
          <w:sz w:val="24"/>
          <w:szCs w:val="24"/>
          <w:lang w:val="en-US" w:eastAsia="zh-CN"/>
        </w:rPr>
        <w:t>5人组成</w:t>
      </w:r>
      <w:r>
        <w:rPr>
          <w:rFonts w:hint="eastAsia"/>
          <w:sz w:val="24"/>
          <w:szCs w:val="24"/>
          <w:lang w:eastAsia="zh-CN"/>
        </w:rPr>
        <w:t>，其中</w:t>
      </w:r>
      <w:r>
        <w:rPr>
          <w:rFonts w:hint="eastAsia" w:cs="宋体"/>
          <w:color w:val="auto"/>
          <w:sz w:val="24"/>
          <w:szCs w:val="24"/>
        </w:rPr>
        <w:t>采购人代表</w:t>
      </w:r>
      <w:r>
        <w:rPr>
          <w:rFonts w:hint="eastAsia"/>
          <w:sz w:val="24"/>
          <w:szCs w:val="24"/>
          <w:lang w:eastAsia="zh-CN"/>
        </w:rPr>
        <w:t>1人，</w:t>
      </w:r>
      <w:r>
        <w:rPr>
          <w:rFonts w:hint="eastAsia" w:cs="宋体"/>
          <w:color w:val="auto"/>
          <w:sz w:val="24"/>
          <w:szCs w:val="24"/>
        </w:rPr>
        <w:t>评审专家</w:t>
      </w:r>
      <w:r>
        <w:rPr>
          <w:rFonts w:hint="eastAsia"/>
          <w:sz w:val="24"/>
          <w:szCs w:val="24"/>
          <w:lang w:eastAsia="zh-CN"/>
        </w:rPr>
        <w:t>4人。</w:t>
      </w:r>
    </w:p>
    <w:p>
      <w:pPr>
        <w:pStyle w:val="26"/>
        <w:shd w:val="clear" w:color="auto" w:fill="FFFFFF"/>
        <w:spacing w:before="0" w:beforeAutospacing="0" w:after="0" w:afterAutospacing="0" w:line="360" w:lineRule="auto"/>
        <w:ind w:firstLine="480" w:firstLineChars="200"/>
        <w:rPr>
          <w:rFonts w:ascii="Times New Roman" w:hAnsi="Times New Roman"/>
          <w:bCs/>
          <w:kern w:val="2"/>
          <w:sz w:val="24"/>
          <w:szCs w:val="24"/>
        </w:rPr>
      </w:pPr>
      <w:r>
        <w:rPr>
          <w:rFonts w:ascii="Times New Roman" w:hAnsi="Helvetica"/>
          <w:bCs/>
          <w:kern w:val="2"/>
          <w:sz w:val="24"/>
          <w:szCs w:val="24"/>
        </w:rPr>
        <w:t>对技术复杂、专业性强的采购项目，通过随机方式难以确定合适评标专家的，经主管预算单位同意，采购人</w:t>
      </w:r>
      <w:r>
        <w:rPr>
          <w:rFonts w:hint="eastAsia" w:ascii="Times New Roman" w:hAnsi="Helvetica"/>
          <w:bCs/>
          <w:kern w:val="2"/>
          <w:sz w:val="24"/>
          <w:szCs w:val="24"/>
        </w:rPr>
        <w:t>或采购代理机构</w:t>
      </w:r>
      <w:r>
        <w:rPr>
          <w:rFonts w:ascii="Times New Roman" w:hAnsi="Helvetica"/>
          <w:bCs/>
          <w:kern w:val="2"/>
          <w:sz w:val="24"/>
          <w:szCs w:val="24"/>
        </w:rPr>
        <w:t>可以自行选定相应专业领域的评</w:t>
      </w:r>
      <w:r>
        <w:rPr>
          <w:rFonts w:hint="eastAsia" w:ascii="Times New Roman" w:hAnsi="Helvetica"/>
          <w:bCs/>
          <w:kern w:val="2"/>
          <w:sz w:val="24"/>
          <w:szCs w:val="24"/>
        </w:rPr>
        <w:t>审</w:t>
      </w:r>
      <w:r>
        <w:rPr>
          <w:rFonts w:ascii="Times New Roman" w:hAnsi="Helvetica"/>
          <w:bCs/>
          <w:kern w:val="2"/>
          <w:sz w:val="24"/>
          <w:szCs w:val="24"/>
        </w:rPr>
        <w:t>专家。</w:t>
      </w:r>
    </w:p>
    <w:p>
      <w:pPr>
        <w:spacing w:line="360" w:lineRule="auto"/>
        <w:ind w:left="120" w:leftChars="57" w:firstLine="360" w:firstLineChars="150"/>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.3 评委会成员到位后，推荐一名评审专家担任评审组长，并由评审组长牵头组织该项目评审工作，采购人授权的评审专家，不得担任评审组长。</w:t>
      </w:r>
    </w:p>
    <w:p>
      <w:pPr>
        <w:spacing w:line="360" w:lineRule="auto"/>
        <w:ind w:left="120" w:leftChars="57" w:firstLine="360" w:firstLineChars="150"/>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4</w:t>
      </w:r>
      <w:r>
        <w:rPr>
          <w:rFonts w:hint="eastAsia" w:ascii="宋体" w:hAnsi="宋体"/>
          <w:sz w:val="24"/>
        </w:rPr>
        <w:t xml:space="preserve"> 评委会成员有下列情形之一的，应当回避：</w:t>
      </w:r>
    </w:p>
    <w:p>
      <w:pPr>
        <w:spacing w:line="360" w:lineRule="auto"/>
        <w:ind w:left="120" w:leftChars="57" w:firstLine="360" w:firstLineChars="150"/>
        <w:rPr>
          <w:rFonts w:ascii="宋体" w:hAnsi="宋体"/>
          <w:sz w:val="24"/>
        </w:rPr>
      </w:pPr>
      <w:r>
        <w:rPr>
          <w:rFonts w:hint="eastAsia" w:ascii="宋体" w:hAnsi="宋体"/>
          <w:sz w:val="24"/>
        </w:rPr>
        <w:t>（1）参加采购活动前三年内，与供应商存在劳动关系，或者担任过供应商的董事、监事，或者是供应商的控股股东或实际控制人；</w:t>
      </w:r>
    </w:p>
    <w:p>
      <w:pPr>
        <w:spacing w:line="360" w:lineRule="auto"/>
        <w:ind w:left="120" w:leftChars="57" w:firstLine="360" w:firstLineChars="150"/>
        <w:rPr>
          <w:rFonts w:ascii="宋体" w:hAnsi="宋体"/>
          <w:sz w:val="24"/>
        </w:rPr>
      </w:pPr>
      <w:r>
        <w:rPr>
          <w:rFonts w:hint="eastAsia" w:ascii="宋体" w:hAnsi="宋体"/>
          <w:sz w:val="24"/>
        </w:rPr>
        <w:t>（2）与供应商的法定代表人或者负责人有夫妻、直系血亲、三代以内旁系血亲或者近姻亲关系；</w:t>
      </w:r>
    </w:p>
    <w:p>
      <w:pPr>
        <w:spacing w:line="360" w:lineRule="auto"/>
        <w:ind w:left="120" w:leftChars="57" w:firstLine="360" w:firstLineChars="150"/>
        <w:rPr>
          <w:rFonts w:ascii="宋体" w:hAnsi="宋体"/>
          <w:sz w:val="24"/>
        </w:rPr>
      </w:pPr>
      <w:r>
        <w:rPr>
          <w:rFonts w:hint="eastAsia" w:ascii="宋体" w:hAnsi="宋体"/>
          <w:sz w:val="24"/>
        </w:rPr>
        <w:t>（3）与供应商有其他可能影响政府采购活动公平、公正进行的关系。</w:t>
      </w:r>
    </w:p>
    <w:p>
      <w:pPr>
        <w:spacing w:line="360" w:lineRule="auto"/>
        <w:ind w:left="120" w:leftChars="57" w:firstLine="360" w:firstLineChars="150"/>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5</w:t>
      </w:r>
      <w:r>
        <w:rPr>
          <w:rFonts w:hint="eastAsia" w:ascii="宋体" w:hAnsi="宋体"/>
          <w:sz w:val="24"/>
        </w:rPr>
        <w:t xml:space="preserve"> 评委会成员名单在中标结果公告前，应当保密。</w:t>
      </w:r>
    </w:p>
    <w:p>
      <w:pPr>
        <w:pStyle w:val="8"/>
      </w:pPr>
      <w:r>
        <w:rPr>
          <w:rFonts w:hint="eastAsia"/>
        </w:rPr>
        <w:t>3</w:t>
      </w:r>
      <w:r>
        <w:rPr>
          <w:rFonts w:hint="eastAsia"/>
          <w:lang w:val="en-US" w:eastAsia="zh-CN"/>
        </w:rPr>
        <w:t>2</w:t>
      </w:r>
      <w:r>
        <w:rPr>
          <w:rFonts w:hint="eastAsia"/>
        </w:rPr>
        <w:t>.评标原则</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.1“公平、公正、科学、择优”为本次评标的基本原则，评标委员会按照这一原则的要求，公正、平等地对待各投标人。同时，在评审中恪守以下原则：</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（1）统一性原则：评标委员会将按照统一的评标原则和评审方法，用统一标准进行评审。</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（2）独立性原则:评标工作在评标委员会内部独立进行，不受外界任何因素的干扰和影响。评标委员会成员对其出具的意见承担个人责任。投标</w:t>
      </w:r>
      <w:r>
        <w:rPr>
          <w:rFonts w:hint="eastAsia" w:ascii="宋体" w:hAnsi="宋体" w:cs="宋体"/>
          <w:kern w:val="0"/>
          <w:sz w:val="24"/>
        </w:rPr>
        <w:t>人试图影响或干预评审的任何行为，将导致其丧失投标的资格，并承担相应的法律责任。</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（3）客观性原则：评标委员会将严格按照招标文件要求，对投标人的投标文件进行认真评审；评标委员会对投标文件的评审仅依据投标文件本身，而不依据投标文件以外的任何因素。</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（4）保密性原则：采购代理机构应当采取必要的措施，保证评标在严格保密情况下进行。</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（5）综合性原则:评标委员会将综合分析、评审投标人的各项指标，而不以单项指标的优劣评定出中标人。</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.2评标委员会有权对整个招标过程中出现的一切问题，根据《中华人民共和国政府采购法》及实施条例和《政府采购货物和服务招标投标管理办法》等相关规定进行处理。</w:t>
      </w:r>
    </w:p>
    <w:p>
      <w:pPr>
        <w:pStyle w:val="8"/>
      </w:pPr>
      <w:r>
        <w:rPr>
          <w:rFonts w:hint="eastAsia"/>
        </w:rPr>
        <w:t>3</w:t>
      </w:r>
      <w:r>
        <w:rPr>
          <w:rFonts w:hint="eastAsia"/>
          <w:lang w:val="en-US" w:eastAsia="zh-CN"/>
        </w:rPr>
        <w:t>3</w:t>
      </w:r>
      <w:r>
        <w:rPr>
          <w:rFonts w:hint="eastAsia"/>
        </w:rPr>
        <w:t>.评标</w:t>
      </w:r>
    </w:p>
    <w:p>
      <w:pPr>
        <w:spacing w:line="360" w:lineRule="auto"/>
        <w:ind w:left="120" w:leftChars="57" w:firstLine="360" w:firstLineChars="15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.1 评委会严格按照招标文件第四章“评标办法”规定的方法、评审因素、标准和程序对投标文件进行评审。第四章“评标办法”没有规定的方法、评审因素和标准，不作为评标依据。</w:t>
      </w:r>
    </w:p>
    <w:p>
      <w:pPr>
        <w:pStyle w:val="64"/>
        <w:spacing w:line="360" w:lineRule="auto"/>
        <w:ind w:firstLine="480" w:firstLineChars="200"/>
        <w:rPr>
          <w:rFonts w:ascii="宋体" w:hAnsi="宋体"/>
          <w:sz w:val="24"/>
          <w:szCs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 xml:space="preserve">.2 </w:t>
      </w:r>
      <w:r>
        <w:rPr>
          <w:rFonts w:ascii="宋体" w:hAnsi="宋体"/>
          <w:sz w:val="24"/>
          <w:szCs w:val="24"/>
        </w:rPr>
        <w:t>评委会负责具体评标事务，并独立履行下列职责：</w:t>
      </w:r>
    </w:p>
    <w:p>
      <w:pPr>
        <w:pStyle w:val="64"/>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1</w:t>
      </w:r>
      <w:r>
        <w:rPr>
          <w:rFonts w:ascii="宋体" w:hAnsi="宋体"/>
          <w:sz w:val="24"/>
          <w:szCs w:val="24"/>
        </w:rPr>
        <w:t>）审查、评价投标文件是否符合招标文件的商务、技术、服务等实质性要求；</w:t>
      </w:r>
    </w:p>
    <w:p>
      <w:pPr>
        <w:pStyle w:val="64"/>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）要求投标</w:t>
      </w:r>
      <w:r>
        <w:rPr>
          <w:rFonts w:hint="eastAsia" w:ascii="宋体" w:hAnsi="宋体"/>
          <w:sz w:val="24"/>
          <w:szCs w:val="24"/>
        </w:rPr>
        <w:t>人</w:t>
      </w:r>
      <w:r>
        <w:rPr>
          <w:rFonts w:ascii="宋体" w:hAnsi="宋体"/>
          <w:sz w:val="24"/>
          <w:szCs w:val="24"/>
        </w:rPr>
        <w:t>对投标文件有关事项作出澄清或者说明；</w:t>
      </w:r>
    </w:p>
    <w:p>
      <w:pPr>
        <w:pStyle w:val="64"/>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）对投标文件进行比较和评价；</w:t>
      </w:r>
    </w:p>
    <w:p>
      <w:pPr>
        <w:pStyle w:val="64"/>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确定</w:t>
      </w:r>
      <w:r>
        <w:rPr>
          <w:rFonts w:ascii="宋体" w:hAnsi="宋体"/>
          <w:sz w:val="24"/>
          <w:szCs w:val="24"/>
        </w:rPr>
        <w:t>中标候选人名单，</w:t>
      </w:r>
      <w:r>
        <w:rPr>
          <w:rFonts w:hint="eastAsia" w:ascii="宋体" w:hAnsi="宋体"/>
          <w:sz w:val="24"/>
          <w:szCs w:val="24"/>
        </w:rPr>
        <w:t>以及</w:t>
      </w:r>
      <w:r>
        <w:rPr>
          <w:rFonts w:ascii="宋体" w:hAnsi="宋体"/>
          <w:sz w:val="24"/>
          <w:szCs w:val="24"/>
        </w:rPr>
        <w:t>根据采购人委托直接确定中标</w:t>
      </w:r>
      <w:r>
        <w:rPr>
          <w:rFonts w:hint="eastAsia" w:ascii="宋体" w:hAnsi="宋体"/>
          <w:sz w:val="24"/>
          <w:szCs w:val="24"/>
        </w:rPr>
        <w:t>人</w:t>
      </w:r>
      <w:r>
        <w:rPr>
          <w:rFonts w:ascii="宋体" w:hAnsi="宋体"/>
          <w:sz w:val="24"/>
          <w:szCs w:val="24"/>
        </w:rPr>
        <w:t>；</w:t>
      </w:r>
    </w:p>
    <w:p>
      <w:pPr>
        <w:pStyle w:val="64"/>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）向采购人、采购代理机构或者有关部门报告评标中发现的违法行为。</w:t>
      </w:r>
    </w:p>
    <w:p>
      <w:pPr>
        <w:pStyle w:val="64"/>
        <w:spacing w:line="360" w:lineRule="auto"/>
        <w:ind w:firstLine="480" w:firstLineChars="200"/>
        <w:rPr>
          <w:rFonts w:ascii="宋体" w:hAnsi="宋体"/>
          <w:sz w:val="24"/>
          <w:szCs w:val="24"/>
        </w:rPr>
      </w:pPr>
      <w:r>
        <w:rPr>
          <w:rFonts w:hint="eastAsia" w:ascii="宋体" w:hAnsi="宋体"/>
          <w:sz w:val="24"/>
          <w:szCs w:val="24"/>
        </w:rPr>
        <w:t>（6）配合采购代理机构答复投标人提出的质疑；</w:t>
      </w:r>
    </w:p>
    <w:p>
      <w:pPr>
        <w:pStyle w:val="64"/>
        <w:spacing w:line="360" w:lineRule="auto"/>
        <w:ind w:firstLine="480" w:firstLineChars="200"/>
        <w:rPr>
          <w:rFonts w:ascii="宋体" w:hAnsi="宋体"/>
          <w:sz w:val="24"/>
          <w:szCs w:val="24"/>
        </w:rPr>
      </w:pPr>
      <w:r>
        <w:rPr>
          <w:rFonts w:hint="eastAsia" w:ascii="宋体" w:hAnsi="宋体"/>
          <w:sz w:val="24"/>
          <w:szCs w:val="24"/>
        </w:rPr>
        <w:t>（7）配合财政部门的投诉处理工作；</w:t>
      </w:r>
    </w:p>
    <w:p>
      <w:pPr>
        <w:pStyle w:val="64"/>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3</w:t>
      </w:r>
      <w:r>
        <w:rPr>
          <w:rFonts w:hint="eastAsia" w:ascii="宋体" w:hAnsi="宋体"/>
          <w:sz w:val="24"/>
          <w:szCs w:val="24"/>
        </w:rPr>
        <w:t xml:space="preserve">.3 </w:t>
      </w:r>
      <w:r>
        <w:rPr>
          <w:rFonts w:ascii="宋体" w:hAnsi="宋体"/>
          <w:sz w:val="24"/>
          <w:szCs w:val="24"/>
        </w:rPr>
        <w:t>采购代理机构负责组织评标工作并履行下列职责：</w:t>
      </w:r>
    </w:p>
    <w:p>
      <w:pPr>
        <w:widowControl/>
        <w:spacing w:line="360" w:lineRule="auto"/>
        <w:ind w:firstLine="480" w:firstLineChars="200"/>
        <w:jc w:val="left"/>
        <w:rPr>
          <w:bCs/>
          <w:sz w:val="24"/>
        </w:rPr>
      </w:pPr>
      <w:r>
        <w:rPr>
          <w:bCs/>
          <w:sz w:val="24"/>
        </w:rPr>
        <w:t>（</w:t>
      </w:r>
      <w:r>
        <w:rPr>
          <w:rFonts w:hint="eastAsia"/>
          <w:bCs/>
          <w:sz w:val="24"/>
        </w:rPr>
        <w:t>1</w:t>
      </w:r>
      <w:r>
        <w:rPr>
          <w:bCs/>
          <w:sz w:val="24"/>
        </w:rPr>
        <w:t>）</w:t>
      </w:r>
      <w:r>
        <w:rPr>
          <w:rFonts w:hint="eastAsia"/>
          <w:kern w:val="0"/>
          <w:sz w:val="24"/>
        </w:rPr>
        <w:t>核对评审专家身份和采购人代表授权函，对评审专家在政府采购活动中的职责履行情况予以记录，并及时将有关违法违规行为向财政部门报告；</w:t>
      </w:r>
    </w:p>
    <w:p>
      <w:pPr>
        <w:pStyle w:val="64"/>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2</w:t>
      </w:r>
      <w:r>
        <w:rPr>
          <w:rFonts w:ascii="宋体" w:hAnsi="宋体"/>
          <w:bCs/>
          <w:sz w:val="24"/>
        </w:rPr>
        <w:t>）宣布评标纪律；</w:t>
      </w:r>
    </w:p>
    <w:p>
      <w:pPr>
        <w:pStyle w:val="64"/>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3</w:t>
      </w:r>
      <w:r>
        <w:rPr>
          <w:rFonts w:ascii="宋体" w:hAnsi="宋体"/>
          <w:bCs/>
          <w:sz w:val="24"/>
        </w:rPr>
        <w:t>）公布投标</w:t>
      </w:r>
      <w:r>
        <w:rPr>
          <w:rFonts w:hint="eastAsia" w:ascii="宋体" w:hAnsi="宋体"/>
          <w:bCs/>
          <w:sz w:val="24"/>
        </w:rPr>
        <w:t>人</w:t>
      </w:r>
      <w:r>
        <w:rPr>
          <w:rFonts w:ascii="宋体" w:hAnsi="宋体"/>
          <w:bCs/>
          <w:sz w:val="24"/>
        </w:rPr>
        <w:t>名单，告知评标专家应当回避的情形；</w:t>
      </w:r>
    </w:p>
    <w:p>
      <w:pPr>
        <w:pStyle w:val="64"/>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4</w:t>
      </w:r>
      <w:r>
        <w:rPr>
          <w:rFonts w:ascii="宋体" w:hAnsi="宋体"/>
          <w:bCs/>
          <w:sz w:val="24"/>
        </w:rPr>
        <w:t>）组织评标委员会推选评标组长，采购人代表不得担任组长；</w:t>
      </w:r>
    </w:p>
    <w:p>
      <w:pPr>
        <w:widowControl/>
        <w:spacing w:line="360" w:lineRule="auto"/>
        <w:ind w:firstLine="480" w:firstLineChars="200"/>
        <w:jc w:val="left"/>
        <w:rPr>
          <w:rFonts w:ascii="仿宋_GB2312" w:hAnsi="宋体" w:eastAsia="仿宋_GB2312" w:cs="宋体"/>
          <w:kern w:val="0"/>
          <w:sz w:val="28"/>
          <w:szCs w:val="28"/>
        </w:rPr>
      </w:pPr>
      <w:r>
        <w:rPr>
          <w:rFonts w:ascii="宋体" w:hAnsi="宋体"/>
          <w:bCs/>
          <w:sz w:val="24"/>
        </w:rPr>
        <w:t>（</w:t>
      </w:r>
      <w:r>
        <w:rPr>
          <w:rFonts w:hint="eastAsia" w:ascii="宋体" w:hAnsi="宋体"/>
          <w:bCs/>
          <w:sz w:val="24"/>
        </w:rPr>
        <w:t>5</w:t>
      </w:r>
      <w:r>
        <w:rPr>
          <w:rFonts w:ascii="宋体" w:hAnsi="宋体"/>
          <w:bCs/>
          <w:sz w:val="24"/>
        </w:rPr>
        <w:t>）</w:t>
      </w:r>
      <w:r>
        <w:rPr>
          <w:rFonts w:hint="eastAsia" w:ascii="宋体" w:hAnsi="宋体" w:cs="宋体"/>
          <w:kern w:val="0"/>
          <w:sz w:val="24"/>
        </w:rPr>
        <w:t>在评标期间采取必要的通讯管理措施，保证评标活动不受外界干扰；</w:t>
      </w:r>
    </w:p>
    <w:p>
      <w:pPr>
        <w:pStyle w:val="64"/>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6</w:t>
      </w:r>
      <w:r>
        <w:rPr>
          <w:rFonts w:ascii="宋体" w:hAnsi="宋体"/>
          <w:bCs/>
          <w:sz w:val="24"/>
        </w:rPr>
        <w:t>）根据评标委员会的要求介绍政府采购相关政策法规、招标文件；</w:t>
      </w:r>
    </w:p>
    <w:p>
      <w:pPr>
        <w:pStyle w:val="64"/>
        <w:spacing w:line="360" w:lineRule="auto"/>
        <w:ind w:left="-61" w:leftChars="-29" w:firstLine="600" w:firstLineChars="250"/>
        <w:rPr>
          <w:rFonts w:ascii="宋体" w:hAnsi="宋体"/>
          <w:bCs/>
          <w:sz w:val="24"/>
        </w:rPr>
      </w:pPr>
      <w:r>
        <w:rPr>
          <w:rFonts w:ascii="宋体" w:hAnsi="宋体"/>
          <w:bCs/>
          <w:sz w:val="24"/>
        </w:rPr>
        <w:t>（</w:t>
      </w:r>
      <w:r>
        <w:rPr>
          <w:rFonts w:hint="eastAsia" w:ascii="宋体" w:hAnsi="宋体"/>
          <w:bCs/>
          <w:sz w:val="24"/>
        </w:rPr>
        <w:t>7</w:t>
      </w:r>
      <w:r>
        <w:rPr>
          <w:rFonts w:ascii="宋体" w:hAnsi="宋体"/>
          <w:bCs/>
          <w:sz w:val="24"/>
        </w:rPr>
        <w:t>）维护评标秩序，监督评标委员会依照评标文件规定的评审程序、方法和标准进行独立评审，及时制止和纠正采购人代表、评审专家的倾向性言论或违法违规行为</w:t>
      </w:r>
      <w:r>
        <w:rPr>
          <w:rFonts w:hint="eastAsia" w:ascii="宋体" w:hAnsi="宋体"/>
          <w:bCs/>
          <w:sz w:val="24"/>
        </w:rPr>
        <w:t xml:space="preserve">； </w:t>
      </w:r>
    </w:p>
    <w:p>
      <w:pPr>
        <w:pStyle w:val="64"/>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8</w:t>
      </w:r>
      <w:r>
        <w:rPr>
          <w:rFonts w:ascii="宋体" w:hAnsi="宋体"/>
          <w:bCs/>
          <w:sz w:val="24"/>
        </w:rPr>
        <w:t>）核对评标结果，有</w:t>
      </w:r>
      <w:r>
        <w:rPr>
          <w:rFonts w:hint="eastAsia" w:ascii="宋体" w:hAnsi="宋体"/>
          <w:bCs/>
          <w:sz w:val="24"/>
        </w:rPr>
        <w:t>《政府采购货物和服务招标投标管理办法》</w:t>
      </w:r>
      <w:r>
        <w:rPr>
          <w:rFonts w:ascii="宋体" w:hAnsi="宋体"/>
          <w:bCs/>
          <w:sz w:val="24"/>
        </w:rPr>
        <w:t>第</w:t>
      </w:r>
      <w:r>
        <w:rPr>
          <w:rFonts w:hint="eastAsia" w:ascii="宋体" w:hAnsi="宋体"/>
          <w:bCs/>
          <w:sz w:val="24"/>
        </w:rPr>
        <w:t>六十四</w:t>
      </w:r>
      <w:r>
        <w:rPr>
          <w:rFonts w:ascii="宋体" w:hAnsi="宋体"/>
          <w:bCs/>
          <w:sz w:val="24"/>
        </w:rPr>
        <w:t>条</w:t>
      </w:r>
      <w:r>
        <w:rPr>
          <w:rFonts w:hint="eastAsia" w:ascii="宋体" w:hAnsi="宋体"/>
          <w:bCs/>
          <w:sz w:val="24"/>
        </w:rPr>
        <w:t xml:space="preserve">  </w:t>
      </w:r>
    </w:p>
    <w:p>
      <w:pPr>
        <w:pStyle w:val="64"/>
        <w:spacing w:line="360" w:lineRule="auto"/>
        <w:rPr>
          <w:rFonts w:ascii="宋体" w:hAnsi="宋体"/>
          <w:bCs/>
          <w:sz w:val="24"/>
        </w:rPr>
      </w:pPr>
      <w:r>
        <w:rPr>
          <w:rFonts w:ascii="宋体" w:hAnsi="宋体"/>
          <w:bCs/>
          <w:sz w:val="24"/>
        </w:rPr>
        <w:t>规定情形的，要求评标委员会复核或书面说明理由，评标委员会拒绝的，应予记录并</w:t>
      </w:r>
    </w:p>
    <w:p>
      <w:pPr>
        <w:pStyle w:val="64"/>
        <w:spacing w:line="360" w:lineRule="auto"/>
        <w:rPr>
          <w:rFonts w:ascii="宋体" w:hAnsi="宋体"/>
          <w:bCs/>
          <w:sz w:val="24"/>
        </w:rPr>
      </w:pPr>
      <w:r>
        <w:rPr>
          <w:rFonts w:ascii="宋体" w:hAnsi="宋体"/>
          <w:bCs/>
          <w:sz w:val="24"/>
        </w:rPr>
        <w:t>向本级财政部门报告；</w:t>
      </w:r>
    </w:p>
    <w:p>
      <w:pPr>
        <w:widowControl/>
        <w:spacing w:line="360" w:lineRule="auto"/>
        <w:ind w:firstLine="480" w:firstLineChars="200"/>
        <w:jc w:val="left"/>
        <w:rPr>
          <w:bCs/>
          <w:sz w:val="24"/>
        </w:rPr>
      </w:pPr>
      <w:r>
        <w:rPr>
          <w:rFonts w:hint="eastAsia"/>
          <w:bCs/>
          <w:sz w:val="24"/>
        </w:rPr>
        <w:t>（9）</w:t>
      </w:r>
      <w:r>
        <w:rPr>
          <w:rFonts w:hint="eastAsia"/>
          <w:kern w:val="0"/>
          <w:sz w:val="24"/>
        </w:rPr>
        <w:t>评审工作完成后，按照规定向评审专家支付劳务报酬和异地评审差旅费，不得向评审专家以外的其他人员支付评审劳务报酬；</w:t>
      </w:r>
    </w:p>
    <w:p>
      <w:pPr>
        <w:spacing w:line="360" w:lineRule="auto"/>
        <w:ind w:firstLine="504" w:firstLineChars="210"/>
        <w:rPr>
          <w:rFonts w:ascii="宋体" w:hAnsi="宋体"/>
          <w:sz w:val="24"/>
        </w:rPr>
      </w:pPr>
      <w:r>
        <w:rPr>
          <w:rFonts w:ascii="宋体" w:hAnsi="宋体"/>
          <w:sz w:val="24"/>
        </w:rPr>
        <w:t>（</w:t>
      </w:r>
      <w:r>
        <w:rPr>
          <w:rFonts w:hint="eastAsia" w:ascii="宋体" w:hAnsi="宋体"/>
          <w:sz w:val="24"/>
        </w:rPr>
        <w:t>10</w:t>
      </w:r>
      <w:r>
        <w:rPr>
          <w:rFonts w:ascii="宋体" w:hAnsi="宋体"/>
          <w:sz w:val="24"/>
        </w:rPr>
        <w:t>）处理与评标有关的其他事项。</w:t>
      </w:r>
    </w:p>
    <w:p>
      <w:pPr>
        <w:spacing w:line="360" w:lineRule="auto"/>
        <w:ind w:firstLine="504" w:firstLineChars="21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 xml:space="preserve">.4 </w:t>
      </w:r>
      <w:r>
        <w:rPr>
          <w:rFonts w:ascii="宋体" w:hAnsi="宋体"/>
          <w:sz w:val="24"/>
        </w:rPr>
        <w:t>采购人可以在评标前介绍项目背景和采购需求，介绍内容不得含有歧视性、倾向性意见，不得超出招标文件所述范围。介绍应当提交书面介绍材料，并随采购文件一并存档。</w:t>
      </w:r>
    </w:p>
    <w:p>
      <w:pPr>
        <w:spacing w:line="360" w:lineRule="auto"/>
        <w:ind w:left="120" w:leftChars="57" w:firstLine="360" w:firstLineChars="15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.5 评标过程严格保密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.5.1 开标后，直至授予中标人合同为止，凡属于对投标文件的审查、澄清、评价和比较的有关资料以及中标候选人的推荐情况，与评标有关的其他任何情况均严格保密；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.5.2 投标人对评委会的评标过程或合同授予决定施加影响的任何行为都可能导致其投标被拒绝。</w:t>
      </w:r>
      <w:bookmarkStart w:id="123" w:name="_Toc217446060"/>
    </w:p>
    <w:p>
      <w:pPr>
        <w:pStyle w:val="4"/>
        <w:spacing w:before="0" w:afterLines="50" w:line="360" w:lineRule="auto"/>
        <w:rPr>
          <w:rFonts w:ascii="宋体" w:hAnsi="宋体" w:eastAsia="宋体"/>
          <w:bCs/>
        </w:rPr>
      </w:pPr>
      <w:bookmarkStart w:id="124" w:name="_Toc2524"/>
      <w:bookmarkStart w:id="125" w:name="_Toc12637"/>
      <w:r>
        <w:rPr>
          <w:rFonts w:hint="eastAsia" w:ascii="宋体" w:hAnsi="宋体" w:eastAsia="宋体"/>
          <w:bCs/>
        </w:rPr>
        <w:t>九、定标</w:t>
      </w:r>
      <w:bookmarkEnd w:id="123"/>
      <w:bookmarkEnd w:id="124"/>
      <w:bookmarkEnd w:id="125"/>
      <w:bookmarkStart w:id="126" w:name="_Toc217446061"/>
    </w:p>
    <w:p>
      <w:pPr>
        <w:pStyle w:val="8"/>
      </w:pPr>
      <w:r>
        <w:rPr>
          <w:rFonts w:hint="eastAsia"/>
        </w:rPr>
        <w:t>3</w:t>
      </w:r>
      <w:r>
        <w:rPr>
          <w:rFonts w:hint="eastAsia"/>
          <w:lang w:val="en-US" w:eastAsia="zh-CN"/>
        </w:rPr>
        <w:t>4</w:t>
      </w:r>
      <w:r>
        <w:rPr>
          <w:rFonts w:hint="eastAsia"/>
        </w:rPr>
        <w:t>.定标原则</w:t>
      </w:r>
      <w:bookmarkEnd w:id="126"/>
    </w:p>
    <w:p>
      <w:pPr>
        <w:spacing w:line="360" w:lineRule="auto"/>
        <w:ind w:firstLine="470" w:firstLineChars="196"/>
        <w:rPr>
          <w:rFonts w:ascii="宋体" w:hAnsi="宋体"/>
          <w:sz w:val="24"/>
        </w:rPr>
      </w:pPr>
      <w:r>
        <w:rPr>
          <w:rFonts w:hint="eastAsia" w:ascii="宋体" w:hAnsi="宋体"/>
          <w:sz w:val="24"/>
        </w:rPr>
        <w:t>采购人或其授权的评委会按照评标报告中推荐的中标候选人名单，按顺序确定中标人。</w:t>
      </w:r>
      <w:bookmarkStart w:id="127" w:name="_Toc217446062"/>
    </w:p>
    <w:p>
      <w:pPr>
        <w:pStyle w:val="8"/>
      </w:pPr>
      <w:r>
        <w:rPr>
          <w:rFonts w:hint="eastAsia"/>
        </w:rPr>
        <w:t>3</w:t>
      </w:r>
      <w:r>
        <w:rPr>
          <w:rFonts w:hint="eastAsia"/>
          <w:lang w:val="en-US" w:eastAsia="zh-CN"/>
        </w:rPr>
        <w:t>5</w:t>
      </w:r>
      <w:r>
        <w:rPr>
          <w:rFonts w:hint="eastAsia"/>
        </w:rPr>
        <w:t>.定标程序</w:t>
      </w:r>
      <w:bookmarkEnd w:id="127"/>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.1评委会将评标情况写出书面报告，推荐3个中标候选人，并按照综合得分高低标明排列顺序。得分相同的，按投标报价由低到高顺序排列；得分且投标报价相同的并列。</w:t>
      </w:r>
    </w:p>
    <w:p>
      <w:pPr>
        <w:spacing w:line="360" w:lineRule="auto"/>
        <w:ind w:firstLine="420" w:firstLineChars="175"/>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.2 采购代理机构在评标结束后</w:t>
      </w:r>
      <w:r>
        <w:rPr>
          <w:rFonts w:hint="eastAsia" w:ascii="宋体" w:hAnsi="宋体"/>
          <w:sz w:val="24"/>
          <w:lang w:val="en-US" w:eastAsia="zh-CN"/>
        </w:rPr>
        <w:t>1</w:t>
      </w:r>
      <w:r>
        <w:rPr>
          <w:rFonts w:hint="eastAsia" w:ascii="宋体" w:hAnsi="宋体"/>
          <w:sz w:val="24"/>
        </w:rPr>
        <w:t>个工作日内将评标报告送采购人。</w:t>
      </w:r>
    </w:p>
    <w:p>
      <w:pPr>
        <w:spacing w:line="360" w:lineRule="auto"/>
        <w:ind w:firstLine="420" w:firstLineChars="175"/>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.3 采购人应当在收到评标报告后</w:t>
      </w:r>
      <w:r>
        <w:rPr>
          <w:rFonts w:hint="eastAsia" w:ascii="宋体" w:hAnsi="宋体"/>
          <w:sz w:val="24"/>
          <w:lang w:val="en-US" w:eastAsia="zh-CN"/>
        </w:rPr>
        <w:t>4</w:t>
      </w:r>
      <w:r>
        <w:rPr>
          <w:rFonts w:hint="eastAsia" w:ascii="宋体" w:hAnsi="宋体"/>
          <w:sz w:val="24"/>
        </w:rPr>
        <w:t>个工作日内，按照评标报告中推荐的中标候选人顺序和有关规定确定中标人，第一名中标候选人并列的，由采购人根据技术方案得分由高到低顺序确定。同时，复函采购代理机构。</w:t>
      </w:r>
    </w:p>
    <w:p>
      <w:pPr>
        <w:spacing w:line="360" w:lineRule="auto"/>
        <w:ind w:firstLine="422" w:firstLineChars="175"/>
        <w:rPr>
          <w:rFonts w:ascii="宋体" w:hAnsi="宋体"/>
          <w:b/>
          <w:sz w:val="24"/>
          <w:highlight w:val="none"/>
        </w:rPr>
      </w:pPr>
      <w:r>
        <w:rPr>
          <w:rFonts w:hint="eastAsia" w:ascii="宋体" w:hAnsi="宋体"/>
          <w:b/>
          <w:sz w:val="24"/>
          <w:highlight w:val="none"/>
        </w:rPr>
        <w:t>采购人在收到评标报告</w:t>
      </w:r>
      <w:r>
        <w:rPr>
          <w:rFonts w:hint="eastAsia" w:ascii="宋体" w:hAnsi="宋体"/>
          <w:b/>
          <w:sz w:val="24"/>
          <w:highlight w:val="none"/>
          <w:lang w:val="en-US" w:eastAsia="zh-CN"/>
        </w:rPr>
        <w:t>4</w:t>
      </w:r>
      <w:r>
        <w:rPr>
          <w:rFonts w:hint="eastAsia" w:ascii="宋体" w:hAnsi="宋体"/>
          <w:b/>
          <w:sz w:val="24"/>
          <w:highlight w:val="none"/>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175"/>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.4采购代理机构应当在接到采购人“定标”复函之日起</w:t>
      </w:r>
      <w:r>
        <w:rPr>
          <w:rFonts w:hint="eastAsia" w:ascii="宋体" w:hAnsi="宋体"/>
          <w:sz w:val="24"/>
          <w:lang w:val="en-US" w:eastAsia="zh-CN"/>
        </w:rPr>
        <w:t>1</w:t>
      </w:r>
      <w:r>
        <w:rPr>
          <w:rFonts w:hint="eastAsia" w:ascii="宋体" w:hAnsi="宋体"/>
          <w:sz w:val="24"/>
        </w:rPr>
        <w:t>个工作日内，根据采购人确定的中标人，在省级以上财政部门指定的媒体上发布中标公告，同时向中标人发出《中标通知书》。</w:t>
      </w:r>
    </w:p>
    <w:p>
      <w:pPr>
        <w:pStyle w:val="8"/>
      </w:pPr>
      <w:bookmarkStart w:id="128" w:name="_Toc183582238"/>
      <w:bookmarkStart w:id="129" w:name="_Toc183682375"/>
      <w:bookmarkStart w:id="130" w:name="_Toc217446063"/>
      <w:r>
        <w:rPr>
          <w:rFonts w:hint="eastAsia"/>
        </w:rPr>
        <w:t>3</w:t>
      </w:r>
      <w:r>
        <w:rPr>
          <w:rFonts w:hint="eastAsia"/>
          <w:lang w:val="en-US" w:eastAsia="zh-CN"/>
        </w:rPr>
        <w:t>6</w:t>
      </w:r>
      <w:r>
        <w:rPr>
          <w:rFonts w:hint="eastAsia"/>
        </w:rPr>
        <w:t>．中标通知</w:t>
      </w:r>
      <w:bookmarkEnd w:id="128"/>
      <w:bookmarkEnd w:id="129"/>
      <w:r>
        <w:rPr>
          <w:rFonts w:hint="eastAsia"/>
        </w:rPr>
        <w:t>书</w:t>
      </w:r>
      <w:bookmarkEnd w:id="130"/>
    </w:p>
    <w:p>
      <w:pPr>
        <w:tabs>
          <w:tab w:val="left" w:pos="7665"/>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b/>
          <w:bCs/>
          <w:sz w:val="24"/>
        </w:rPr>
        <w:t>.</w:t>
      </w:r>
      <w:r>
        <w:rPr>
          <w:rFonts w:hint="eastAsia" w:ascii="宋体" w:hAnsi="宋体"/>
          <w:sz w:val="24"/>
        </w:rPr>
        <w:t>1中标通知书为签订政府采购合同的依据，是合同的有效组成部分。</w:t>
      </w:r>
    </w:p>
    <w:p>
      <w:pPr>
        <w:tabs>
          <w:tab w:val="left" w:pos="7665"/>
        </w:tabs>
        <w:spacing w:line="360" w:lineRule="auto"/>
        <w:ind w:firstLine="48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.2中标通知书对采购人和中标人均具有法律效力。中标通知书发出后，采购人改变中标结果，或者中标人无正当理由放弃中标的，应当承担相应的法律责任。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.3中标人应当在接到采购代理机构通知之日起7个工作日内领取《中标通知书》。</w:t>
      </w:r>
    </w:p>
    <w:p>
      <w:pPr>
        <w:tabs>
          <w:tab w:val="left" w:pos="7665"/>
        </w:tabs>
        <w:spacing w:line="360" w:lineRule="auto"/>
        <w:ind w:firstLine="48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4在《中标通知书》发出后，发现中标人有政府采购法律法规规章制度规定的中标无效情形的，采购代理机构在取得监督管理机构的认定以后，应当宣布发出的中标通知书无效，并收回发出的中标通知书（中标人也应当交回），依法重新确定中标人或者重新开展采购活动。</w:t>
      </w:r>
    </w:p>
    <w:p>
      <w:pPr>
        <w:tabs>
          <w:tab w:val="left" w:pos="7665"/>
        </w:tabs>
        <w:spacing w:line="360" w:lineRule="auto"/>
        <w:ind w:firstLine="48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.5 中标通知书发出后，采购人不得违法改变中标结果，中标人无正当理由不得放弃中标。</w:t>
      </w:r>
    </w:p>
    <w:p>
      <w:pPr>
        <w:pStyle w:val="4"/>
        <w:spacing w:before="0" w:afterLines="50" w:line="360" w:lineRule="auto"/>
        <w:rPr>
          <w:rFonts w:ascii="宋体" w:hAnsi="宋体" w:eastAsia="宋体"/>
          <w:bCs/>
        </w:rPr>
      </w:pPr>
      <w:bookmarkStart w:id="131" w:name="_Toc11804"/>
      <w:bookmarkStart w:id="132" w:name="_Toc15100"/>
      <w:bookmarkStart w:id="133" w:name="_Toc217446064"/>
      <w:bookmarkStart w:id="134" w:name="_Toc183582240"/>
      <w:bookmarkStart w:id="135" w:name="_Toc183682377"/>
      <w:r>
        <w:rPr>
          <w:rFonts w:hint="eastAsia" w:ascii="宋体" w:hAnsi="宋体" w:eastAsia="宋体"/>
          <w:bCs/>
        </w:rPr>
        <w:t>十、废标或变更采购方式</w:t>
      </w:r>
      <w:bookmarkEnd w:id="131"/>
      <w:bookmarkEnd w:id="132"/>
      <w:bookmarkStart w:id="136" w:name="_Toc217446072"/>
    </w:p>
    <w:p>
      <w:pPr>
        <w:pStyle w:val="8"/>
      </w:pPr>
      <w:r>
        <w:rPr>
          <w:rFonts w:hint="eastAsia"/>
        </w:rPr>
        <w:t>3</w:t>
      </w:r>
      <w:r>
        <w:rPr>
          <w:rFonts w:hint="eastAsia"/>
          <w:lang w:val="en-US" w:eastAsia="zh-CN"/>
        </w:rPr>
        <w:t>7</w:t>
      </w:r>
      <w:r>
        <w:rPr>
          <w:rFonts w:hint="eastAsia"/>
        </w:rPr>
        <w:t>.废标的情形</w:t>
      </w:r>
      <w:bookmarkEnd w:id="136"/>
    </w:p>
    <w:p>
      <w:pPr>
        <w:pStyle w:val="5"/>
        <w:spacing w:line="360" w:lineRule="auto"/>
        <w:ind w:firstLine="525"/>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.1 招标采购中，出现下列情形之一的，应予以废标：</w:t>
      </w:r>
    </w:p>
    <w:p>
      <w:pPr>
        <w:pStyle w:val="5"/>
        <w:spacing w:line="360" w:lineRule="auto"/>
        <w:ind w:firstLine="525"/>
        <w:rPr>
          <w:rFonts w:ascii="宋体" w:hAnsi="宋体"/>
          <w:sz w:val="24"/>
          <w:szCs w:val="24"/>
        </w:rPr>
      </w:pPr>
      <w:r>
        <w:rPr>
          <w:rFonts w:hint="eastAsia" w:ascii="宋体" w:hAnsi="宋体"/>
          <w:sz w:val="24"/>
          <w:szCs w:val="24"/>
        </w:rPr>
        <w:t>（1）符合专业条件的投标人或者对招标文件作实质响应的投标人不足3家的；</w:t>
      </w:r>
    </w:p>
    <w:p>
      <w:pPr>
        <w:pStyle w:val="5"/>
        <w:spacing w:line="360" w:lineRule="auto"/>
        <w:ind w:firstLine="525"/>
        <w:rPr>
          <w:rFonts w:ascii="宋体" w:hAnsi="宋体"/>
          <w:sz w:val="24"/>
          <w:szCs w:val="24"/>
        </w:rPr>
      </w:pPr>
      <w:r>
        <w:rPr>
          <w:rFonts w:hint="eastAsia" w:ascii="宋体" w:hAnsi="宋体"/>
          <w:sz w:val="24"/>
          <w:szCs w:val="24"/>
        </w:rPr>
        <w:t>（2）出现影响采购公正的违法、违规行为的；</w:t>
      </w:r>
    </w:p>
    <w:p>
      <w:pPr>
        <w:pStyle w:val="5"/>
        <w:spacing w:line="360" w:lineRule="auto"/>
        <w:ind w:firstLine="525"/>
        <w:rPr>
          <w:rFonts w:ascii="宋体" w:hAnsi="宋体"/>
          <w:sz w:val="24"/>
          <w:szCs w:val="24"/>
        </w:rPr>
      </w:pPr>
      <w:r>
        <w:rPr>
          <w:rFonts w:hint="eastAsia" w:ascii="宋体" w:hAnsi="宋体"/>
          <w:sz w:val="24"/>
          <w:szCs w:val="24"/>
        </w:rPr>
        <w:t>（3）投标人的报价均超过了采购预算，采购人不能支付的；</w:t>
      </w:r>
    </w:p>
    <w:p>
      <w:pPr>
        <w:pStyle w:val="5"/>
        <w:spacing w:line="360" w:lineRule="auto"/>
        <w:ind w:firstLine="525"/>
        <w:rPr>
          <w:rFonts w:ascii="宋体" w:hAnsi="宋体"/>
          <w:sz w:val="24"/>
          <w:szCs w:val="24"/>
        </w:rPr>
      </w:pPr>
      <w:r>
        <w:rPr>
          <w:rFonts w:hint="eastAsia" w:ascii="宋体" w:hAnsi="宋体"/>
          <w:sz w:val="24"/>
          <w:szCs w:val="24"/>
        </w:rPr>
        <w:t>（4）因重大变故，采购任务取消的。</w:t>
      </w:r>
    </w:p>
    <w:p>
      <w:pPr>
        <w:pStyle w:val="5"/>
        <w:spacing w:line="360" w:lineRule="auto"/>
        <w:ind w:firstLine="525"/>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.2 废标后，采购代理机构应在财政部门指定采购网上公告，并公告废标的详细理由。</w:t>
      </w:r>
    </w:p>
    <w:p>
      <w:pPr>
        <w:pStyle w:val="8"/>
      </w:pPr>
      <w:r>
        <w:rPr>
          <w:rFonts w:hint="eastAsia"/>
        </w:rPr>
        <w:t>3</w:t>
      </w:r>
      <w:r>
        <w:rPr>
          <w:rFonts w:hint="eastAsia"/>
          <w:lang w:val="en-US" w:eastAsia="zh-CN"/>
        </w:rPr>
        <w:t>8</w:t>
      </w:r>
      <w:r>
        <w:rPr>
          <w:rFonts w:hint="eastAsia"/>
        </w:rPr>
        <w:t>.变更采购方式</w:t>
      </w:r>
    </w:p>
    <w:p>
      <w:pPr>
        <w:pStyle w:val="26"/>
        <w:shd w:val="clear" w:color="auto" w:fill="FFFFFF"/>
        <w:spacing w:before="0" w:beforeAutospacing="0" w:after="0" w:afterAutospacing="0" w:line="360" w:lineRule="auto"/>
        <w:ind w:firstLine="480" w:firstLineChars="200"/>
        <w:rPr>
          <w:sz w:val="24"/>
          <w:szCs w:val="24"/>
        </w:rPr>
      </w:pPr>
      <w:r>
        <w:rPr>
          <w:rFonts w:hint="eastAsia"/>
          <w:sz w:val="24"/>
          <w:szCs w:val="24"/>
        </w:rPr>
        <w:t>3</w:t>
      </w:r>
      <w:r>
        <w:rPr>
          <w:rFonts w:hint="eastAsia"/>
          <w:sz w:val="24"/>
          <w:szCs w:val="24"/>
          <w:lang w:val="en-US" w:eastAsia="zh-CN"/>
        </w:rPr>
        <w:t>8</w:t>
      </w:r>
      <w:r>
        <w:rPr>
          <w:rFonts w:hint="eastAsia"/>
          <w:sz w:val="24"/>
          <w:szCs w:val="24"/>
        </w:rPr>
        <w:t>.1存在下列情形之一的，</w:t>
      </w:r>
      <w:r>
        <w:rPr>
          <w:sz w:val="24"/>
          <w:szCs w:val="24"/>
        </w:rPr>
        <w:t>除采购任务取消情形外，</w:t>
      </w:r>
      <w:r>
        <w:rPr>
          <w:rFonts w:hint="eastAsia"/>
          <w:sz w:val="24"/>
          <w:szCs w:val="24"/>
        </w:rPr>
        <w:t>采购人经同级财政部门同意后，可按《政府采购货物和服务招标投标管理办法》（财政部87号令）第四十三条规定的方式处理：</w:t>
      </w:r>
    </w:p>
    <w:p>
      <w:pPr>
        <w:pStyle w:val="26"/>
        <w:shd w:val="clear" w:color="auto" w:fill="FFFFFF"/>
        <w:spacing w:before="0" w:beforeAutospacing="0" w:after="0" w:afterAutospacing="0" w:line="360" w:lineRule="auto"/>
        <w:ind w:firstLine="480" w:firstLineChars="200"/>
        <w:rPr>
          <w:sz w:val="24"/>
          <w:szCs w:val="24"/>
        </w:rPr>
      </w:pPr>
      <w:r>
        <w:rPr>
          <w:rFonts w:hint="eastAsia"/>
          <w:sz w:val="24"/>
          <w:szCs w:val="24"/>
        </w:rPr>
        <w:t>（1）</w:t>
      </w:r>
      <w:r>
        <w:rPr>
          <w:sz w:val="24"/>
          <w:szCs w:val="24"/>
        </w:rPr>
        <w:t>投标截止后参加投标的人不足3家</w:t>
      </w:r>
      <w:r>
        <w:rPr>
          <w:rFonts w:hint="eastAsia"/>
          <w:sz w:val="24"/>
          <w:szCs w:val="24"/>
        </w:rPr>
        <w:t>的；</w:t>
      </w:r>
    </w:p>
    <w:p>
      <w:pPr>
        <w:pStyle w:val="26"/>
        <w:shd w:val="clear" w:color="auto" w:fill="FFFFFF"/>
        <w:spacing w:before="0" w:beforeAutospacing="0" w:after="0" w:afterAutospacing="0" w:line="360" w:lineRule="auto"/>
        <w:ind w:firstLine="480" w:firstLineChars="200"/>
        <w:rPr>
          <w:sz w:val="24"/>
          <w:szCs w:val="24"/>
        </w:rPr>
      </w:pPr>
      <w:r>
        <w:rPr>
          <w:rFonts w:hint="eastAsia"/>
          <w:sz w:val="24"/>
          <w:szCs w:val="24"/>
        </w:rPr>
        <w:t>（2）通过资格审查的</w:t>
      </w:r>
      <w:r>
        <w:rPr>
          <w:sz w:val="24"/>
          <w:szCs w:val="24"/>
        </w:rPr>
        <w:t>投标人不足3家</w:t>
      </w:r>
      <w:r>
        <w:rPr>
          <w:rFonts w:hint="eastAsia"/>
          <w:sz w:val="24"/>
          <w:szCs w:val="24"/>
        </w:rPr>
        <w:t>的；</w:t>
      </w:r>
    </w:p>
    <w:p>
      <w:pPr>
        <w:pStyle w:val="26"/>
        <w:shd w:val="clear" w:color="auto" w:fill="FFFFFF"/>
        <w:spacing w:before="0" w:beforeAutospacing="0" w:after="0" w:afterAutospacing="0" w:line="360" w:lineRule="auto"/>
        <w:ind w:firstLine="480" w:firstLineChars="200"/>
        <w:rPr>
          <w:sz w:val="24"/>
          <w:szCs w:val="24"/>
        </w:rPr>
      </w:pPr>
      <w:r>
        <w:rPr>
          <w:rFonts w:hint="eastAsia"/>
          <w:sz w:val="24"/>
          <w:szCs w:val="24"/>
        </w:rPr>
        <w:t>（3）通过符合性审查的</w:t>
      </w:r>
      <w:r>
        <w:rPr>
          <w:sz w:val="24"/>
          <w:szCs w:val="24"/>
        </w:rPr>
        <w:t>投标</w:t>
      </w:r>
      <w:r>
        <w:rPr>
          <w:rFonts w:hint="eastAsia"/>
          <w:sz w:val="24"/>
          <w:szCs w:val="24"/>
        </w:rPr>
        <w:t>人</w:t>
      </w:r>
      <w:r>
        <w:rPr>
          <w:sz w:val="24"/>
          <w:szCs w:val="24"/>
        </w:rPr>
        <w:t>不足3家的</w:t>
      </w:r>
      <w:r>
        <w:rPr>
          <w:rFonts w:hint="eastAsia"/>
          <w:sz w:val="24"/>
          <w:szCs w:val="24"/>
        </w:rPr>
        <w:t>。</w:t>
      </w:r>
    </w:p>
    <w:p>
      <w:pPr>
        <w:pStyle w:val="5"/>
        <w:spacing w:line="360" w:lineRule="auto"/>
        <w:ind w:firstLine="52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8</w:t>
      </w:r>
      <w:r>
        <w:rPr>
          <w:rFonts w:hint="eastAsia" w:ascii="宋体" w:hAnsi="宋体"/>
          <w:sz w:val="24"/>
          <w:szCs w:val="24"/>
        </w:rPr>
        <w:t>.2 通过符合性审查的投标人只有2家时，采购人经同级财政部门同意后，可以按《</w:t>
      </w:r>
      <w:r>
        <w:rPr>
          <w:rFonts w:hint="eastAsia" w:ascii="宋体" w:hAnsi="宋体" w:cs="Arial"/>
          <w:sz w:val="24"/>
          <w:szCs w:val="24"/>
          <w:shd w:val="clear" w:color="auto" w:fill="FFFFFF"/>
        </w:rPr>
        <w:t>政府采购非招标采购方式管理办法》（财政部第74号令）的规定</w:t>
      </w:r>
      <w:r>
        <w:rPr>
          <w:rFonts w:hint="eastAsia" w:ascii="宋体" w:hAnsi="宋体"/>
          <w:sz w:val="24"/>
          <w:szCs w:val="24"/>
        </w:rPr>
        <w:t>与该2家投标人进行竞争性谈判采购。</w:t>
      </w:r>
    </w:p>
    <w:p>
      <w:pPr>
        <w:pStyle w:val="5"/>
        <w:spacing w:line="360" w:lineRule="auto"/>
        <w:ind w:firstLine="52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8</w:t>
      </w:r>
      <w:r>
        <w:rPr>
          <w:rFonts w:hint="eastAsia" w:ascii="宋体" w:hAnsi="宋体"/>
          <w:sz w:val="24"/>
          <w:szCs w:val="24"/>
        </w:rPr>
        <w:t>.3在招标过程中，提交投标文件或者通过资格审查或符合性审查的投标人只有1家时，按废标处理，重新开展采购活动。</w:t>
      </w:r>
    </w:p>
    <w:p>
      <w:pPr>
        <w:pStyle w:val="4"/>
        <w:spacing w:before="0" w:afterLines="50" w:line="360" w:lineRule="auto"/>
        <w:rPr>
          <w:rFonts w:ascii="宋体" w:hAnsi="宋体" w:eastAsia="宋体"/>
          <w:bCs/>
        </w:rPr>
      </w:pPr>
      <w:bookmarkStart w:id="137" w:name="_Toc496"/>
      <w:bookmarkStart w:id="138" w:name="_Toc16935"/>
      <w:r>
        <w:rPr>
          <w:rFonts w:hint="eastAsia" w:ascii="宋体" w:hAnsi="宋体" w:eastAsia="宋体"/>
          <w:bCs/>
        </w:rPr>
        <w:t>十一、合同</w:t>
      </w:r>
      <w:bookmarkEnd w:id="133"/>
      <w:r>
        <w:rPr>
          <w:rFonts w:hint="eastAsia" w:ascii="宋体" w:hAnsi="宋体" w:eastAsia="宋体"/>
          <w:bCs/>
        </w:rPr>
        <w:t>授予</w:t>
      </w:r>
      <w:bookmarkEnd w:id="137"/>
      <w:bookmarkEnd w:id="138"/>
      <w:bookmarkStart w:id="139" w:name="_Toc217446065"/>
    </w:p>
    <w:p>
      <w:pPr>
        <w:pStyle w:val="8"/>
      </w:pPr>
      <w:r>
        <w:rPr>
          <w:rFonts w:hint="eastAsia"/>
          <w:lang w:val="en-US" w:eastAsia="zh-CN"/>
        </w:rPr>
        <w:t>39</w:t>
      </w:r>
      <w:r>
        <w:rPr>
          <w:rFonts w:hint="eastAsia"/>
        </w:rPr>
        <w:t>.履约保证金</w:t>
      </w:r>
    </w:p>
    <w:p>
      <w:pPr>
        <w:tabs>
          <w:tab w:val="left" w:pos="7665"/>
        </w:tabs>
        <w:spacing w:line="360" w:lineRule="auto"/>
        <w:ind w:firstLine="482"/>
        <w:rPr>
          <w:rFonts w:ascii="宋体" w:hAnsi="宋体"/>
          <w:sz w:val="24"/>
        </w:rPr>
      </w:pPr>
      <w:r>
        <w:rPr>
          <w:rFonts w:hint="eastAsia" w:ascii="宋体" w:hAnsi="宋体"/>
          <w:sz w:val="24"/>
          <w:lang w:val="en-US" w:eastAsia="zh-CN"/>
        </w:rPr>
        <w:t>39</w:t>
      </w:r>
      <w:r>
        <w:rPr>
          <w:rFonts w:hint="eastAsia" w:ascii="宋体" w:hAnsi="宋体"/>
          <w:sz w:val="24"/>
        </w:rPr>
        <w:t>.1 本项目需要提交履约保证金的，适用本条。</w:t>
      </w:r>
    </w:p>
    <w:p>
      <w:pPr>
        <w:tabs>
          <w:tab w:val="left" w:pos="7665"/>
        </w:tabs>
        <w:spacing w:line="360" w:lineRule="auto"/>
        <w:ind w:firstLine="482"/>
        <w:rPr>
          <w:rFonts w:hint="eastAsia"/>
          <w:sz w:val="24"/>
        </w:rPr>
      </w:pPr>
      <w:r>
        <w:rPr>
          <w:rFonts w:hint="eastAsia" w:ascii="宋体" w:hAnsi="宋体"/>
          <w:sz w:val="24"/>
          <w:lang w:val="en-US" w:eastAsia="zh-CN"/>
        </w:rPr>
        <w:t>39</w:t>
      </w:r>
      <w:r>
        <w:rPr>
          <w:rFonts w:hint="eastAsia" w:ascii="宋体" w:hAnsi="宋体"/>
          <w:sz w:val="24"/>
        </w:rPr>
        <w:t>.2</w:t>
      </w:r>
      <w:r>
        <w:rPr>
          <w:rFonts w:hint="eastAsia" w:cs="宋体"/>
          <w:kern w:val="0"/>
          <w:sz w:val="24"/>
        </w:rPr>
        <w:t xml:space="preserve"> </w:t>
      </w:r>
      <w:r>
        <w:rPr>
          <w:rFonts w:hint="eastAsia"/>
          <w:sz w:val="24"/>
        </w:rPr>
        <w:t>中标人在收到采购代理机构的成交通知书后10日内，应按照</w:t>
      </w:r>
      <w:r>
        <w:rPr>
          <w:rFonts w:hint="eastAsia"/>
          <w:b/>
          <w:sz w:val="24"/>
        </w:rPr>
        <w:t>投标人须知前附表</w:t>
      </w:r>
      <w:r>
        <w:rPr>
          <w:rFonts w:hint="eastAsia"/>
          <w:sz w:val="24"/>
        </w:rPr>
        <w:t>的规定，向采购人提交履约保证金或履约担保。</w:t>
      </w:r>
    </w:p>
    <w:p>
      <w:pPr>
        <w:tabs>
          <w:tab w:val="left" w:pos="7665"/>
        </w:tabs>
        <w:spacing w:line="360" w:lineRule="auto"/>
        <w:ind w:firstLine="482"/>
        <w:rPr>
          <w:rFonts w:ascii="宋体" w:hAnsi="宋体"/>
          <w:b/>
          <w:sz w:val="24"/>
        </w:rPr>
      </w:pPr>
      <w:r>
        <w:rPr>
          <w:rFonts w:hint="eastAsia" w:ascii="宋体" w:hAnsi="宋体"/>
          <w:sz w:val="24"/>
          <w:lang w:val="en-US" w:eastAsia="zh-CN"/>
        </w:rPr>
        <w:t>39</w:t>
      </w:r>
      <w:r>
        <w:rPr>
          <w:rFonts w:hint="eastAsia" w:ascii="宋体" w:hAnsi="宋体"/>
          <w:sz w:val="24"/>
        </w:rPr>
        <w:t>.3</w:t>
      </w:r>
      <w:r>
        <w:rPr>
          <w:rFonts w:hint="eastAsia"/>
          <w:sz w:val="24"/>
        </w:rPr>
        <w:t xml:space="preserve"> 中标人</w:t>
      </w:r>
      <w:r>
        <w:rPr>
          <w:rFonts w:hint="eastAsia"/>
          <w:spacing w:val="4"/>
          <w:sz w:val="24"/>
        </w:rPr>
        <w:t>没有按照规定</w:t>
      </w:r>
      <w:r>
        <w:rPr>
          <w:rFonts w:hint="eastAsia"/>
          <w:sz w:val="24"/>
        </w:rPr>
        <w:t>提交履约保证金或履约担保的</w:t>
      </w:r>
      <w:r>
        <w:rPr>
          <w:rFonts w:hint="eastAsia"/>
          <w:spacing w:val="4"/>
          <w:sz w:val="24"/>
        </w:rPr>
        <w:t>，视为放弃</w:t>
      </w:r>
      <w:r>
        <w:rPr>
          <w:rFonts w:hint="eastAsia"/>
          <w:sz w:val="24"/>
        </w:rPr>
        <w:t>中标资格</w:t>
      </w:r>
      <w:r>
        <w:rPr>
          <w:rFonts w:hint="eastAsia"/>
          <w:spacing w:val="4"/>
          <w:sz w:val="24"/>
        </w:rPr>
        <w:t>，</w:t>
      </w:r>
      <w:r>
        <w:rPr>
          <w:rFonts w:hint="eastAsia"/>
          <w:spacing w:val="2"/>
          <w:sz w:val="24"/>
        </w:rPr>
        <w:t>给采购人造成的损失的，中标人应当予以赔偿。</w:t>
      </w:r>
    </w:p>
    <w:p>
      <w:pPr>
        <w:pStyle w:val="8"/>
      </w:pPr>
      <w:r>
        <w:rPr>
          <w:rFonts w:hint="eastAsia"/>
        </w:rPr>
        <w:t>4</w:t>
      </w:r>
      <w:r>
        <w:rPr>
          <w:rFonts w:hint="eastAsia"/>
          <w:lang w:val="en-US" w:eastAsia="zh-CN"/>
        </w:rPr>
        <w:t>0</w:t>
      </w:r>
      <w:r>
        <w:rPr>
          <w:rFonts w:hint="eastAsia"/>
        </w:rPr>
        <w:t>.合同</w:t>
      </w:r>
      <w:bookmarkEnd w:id="139"/>
      <w:r>
        <w:rPr>
          <w:rFonts w:hint="eastAsia"/>
        </w:rPr>
        <w:t>订立</w:t>
      </w:r>
    </w:p>
    <w:p>
      <w:pPr>
        <w:tabs>
          <w:tab w:val="left" w:pos="7665"/>
        </w:tabs>
        <w:spacing w:line="360" w:lineRule="auto"/>
        <w:ind w:firstLine="482"/>
        <w:rPr>
          <w:rFonts w:ascii="宋体" w:hAnsi="宋体"/>
          <w:b/>
          <w:sz w:val="24"/>
        </w:rPr>
      </w:pPr>
      <w:r>
        <w:rPr>
          <w:rFonts w:hint="eastAsia" w:ascii="宋体" w:hAnsi="宋体"/>
          <w:sz w:val="24"/>
        </w:rPr>
        <w:t>4</w:t>
      </w:r>
      <w:r>
        <w:rPr>
          <w:rFonts w:hint="eastAsia" w:ascii="宋体" w:hAnsi="宋体"/>
          <w:sz w:val="24"/>
          <w:lang w:val="en-US" w:eastAsia="zh-CN"/>
        </w:rPr>
        <w:t>0</w:t>
      </w:r>
      <w:r>
        <w:rPr>
          <w:rFonts w:hint="eastAsia" w:ascii="宋体" w:hAnsi="宋体"/>
          <w:sz w:val="24"/>
        </w:rPr>
        <w:t>.1 中标人应在《中标通知书》发出之日起30日内按照招标文件和投标文件</w:t>
      </w:r>
      <w:r>
        <w:rPr>
          <w:rFonts w:ascii="宋体" w:hAnsi="宋体"/>
          <w:sz w:val="24"/>
        </w:rPr>
        <w:t>（包括评标中形成的澄清文件）</w:t>
      </w:r>
      <w:r>
        <w:rPr>
          <w:rFonts w:hint="eastAsia" w:ascii="宋体" w:hAnsi="宋体"/>
          <w:sz w:val="24"/>
        </w:rPr>
        <w:t>的规定与采购人签订采购合同。由于中标人的原因逾期未与采购人签订采购合同的，将视为放弃中标，取消其中标资格，给采购人造成损失的，</w:t>
      </w:r>
      <w:r>
        <w:rPr>
          <w:rFonts w:hint="eastAsia"/>
          <w:spacing w:val="2"/>
          <w:sz w:val="24"/>
        </w:rPr>
        <w:t>中标人应当予以赔偿。</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2</w:t>
      </w:r>
      <w:r>
        <w:rPr>
          <w:rFonts w:hint="eastAsia" w:ascii="宋体" w:hAnsi="宋体"/>
          <w:sz w:val="24"/>
        </w:rPr>
        <w:t>中标人因不可抗力原因不能履行采购合同或放弃中标的，采购人可以与排在中标人之后第一位的中标候选人签订采购合同，以此类推。</w:t>
      </w:r>
      <w:bookmarkStart w:id="140" w:name="_Toc217446066"/>
    </w:p>
    <w:p>
      <w:pPr>
        <w:pStyle w:val="8"/>
      </w:pPr>
      <w:bookmarkStart w:id="141" w:name="_Toc322606648"/>
      <w:r>
        <w:rPr>
          <w:rFonts w:hint="eastAsia"/>
        </w:rPr>
        <w:t>4</w:t>
      </w:r>
      <w:r>
        <w:rPr>
          <w:rFonts w:hint="eastAsia"/>
          <w:lang w:val="en-US" w:eastAsia="zh-CN"/>
        </w:rPr>
        <w:t>1</w:t>
      </w:r>
      <w:r>
        <w:rPr>
          <w:rFonts w:hint="eastAsia"/>
        </w:rPr>
        <w:t>.合同履行</w:t>
      </w:r>
      <w:bookmarkEnd w:id="141"/>
    </w:p>
    <w:p>
      <w:pPr>
        <w:tabs>
          <w:tab w:val="left" w:pos="426"/>
        </w:tabs>
        <w:autoSpaceDE w:val="0"/>
        <w:autoSpaceDN w:val="0"/>
        <w:adjustRightInd w:val="0"/>
        <w:snapToGrid w:val="0"/>
        <w:spacing w:line="360" w:lineRule="auto"/>
        <w:ind w:firstLine="480" w:firstLineChars="200"/>
        <w:rPr>
          <w:rFonts w:ascii="宋体" w:hAnsi="宋体" w:cs="黑体"/>
          <w:b/>
          <w:bCs/>
          <w:sz w:val="24"/>
        </w:rPr>
      </w:pPr>
      <w:r>
        <w:rPr>
          <w:rFonts w:hint="eastAsia" w:ascii="宋体" w:hAnsi="宋体" w:cs="宋体"/>
          <w:sz w:val="24"/>
        </w:rPr>
        <w:t>4</w:t>
      </w:r>
      <w:r>
        <w:rPr>
          <w:rFonts w:hint="eastAsia" w:ascii="宋体" w:hAnsi="宋体" w:cs="宋体"/>
          <w:sz w:val="24"/>
          <w:lang w:val="en-US" w:eastAsia="zh-CN"/>
        </w:rPr>
        <w:t>1</w:t>
      </w:r>
      <w:r>
        <w:rPr>
          <w:rFonts w:hint="eastAsia" w:ascii="宋体" w:hAnsi="宋体" w:cs="宋体"/>
          <w:sz w:val="24"/>
        </w:rPr>
        <w:t xml:space="preserve">.1 </w:t>
      </w:r>
      <w:r>
        <w:rPr>
          <w:rFonts w:hint="eastAsia" w:ascii="宋体" w:hAnsi="宋体" w:cs="宋体"/>
          <w:sz w:val="24"/>
          <w:lang w:eastAsia="zh-TW"/>
        </w:rPr>
        <w:t>政府采购合同订立后，合同各方不得擅自变更</w:t>
      </w:r>
      <w:r>
        <w:rPr>
          <w:rFonts w:hint="eastAsia" w:ascii="宋体" w:hAnsi="宋体" w:cs="宋体"/>
          <w:sz w:val="24"/>
        </w:rPr>
        <w:t>或者</w:t>
      </w:r>
      <w:r>
        <w:rPr>
          <w:rFonts w:hint="eastAsia" w:ascii="宋体" w:hAnsi="宋体" w:cs="宋体"/>
          <w:sz w:val="24"/>
          <w:lang w:eastAsia="zh-TW"/>
        </w:rPr>
        <w:t>中止或者终止合同。政府采购合同需要变更的，采购人应将有关合同变更内容，以书面形式报政府采购监督管理</w:t>
      </w:r>
      <w:r>
        <w:rPr>
          <w:rFonts w:hint="eastAsia" w:ascii="宋体" w:hAnsi="宋体" w:cs="宋体"/>
          <w:sz w:val="24"/>
        </w:rPr>
        <w:t>部门</w:t>
      </w:r>
      <w:r>
        <w:rPr>
          <w:rFonts w:hint="eastAsia" w:ascii="宋体" w:hAnsi="宋体" w:cs="宋体"/>
          <w:sz w:val="24"/>
          <w:lang w:eastAsia="zh-TW"/>
        </w:rPr>
        <w:t>备案；因特殊情况需要中止或终止合同的，采购人应将中止或终止合同的理由以及相应措施，以书面形式报政府采购监督管理</w:t>
      </w:r>
      <w:r>
        <w:rPr>
          <w:rFonts w:hint="eastAsia" w:ascii="宋体" w:hAnsi="宋体" w:cs="宋体"/>
          <w:sz w:val="24"/>
        </w:rPr>
        <w:t>部门</w:t>
      </w:r>
      <w:r>
        <w:rPr>
          <w:rFonts w:hint="eastAsia" w:ascii="宋体" w:hAnsi="宋体" w:cs="宋体"/>
          <w:sz w:val="24"/>
          <w:lang w:eastAsia="zh-TW"/>
        </w:rPr>
        <w:t>备案。</w:t>
      </w:r>
    </w:p>
    <w:p>
      <w:pPr>
        <w:tabs>
          <w:tab w:val="left" w:pos="426"/>
        </w:tabs>
        <w:autoSpaceDE w:val="0"/>
        <w:autoSpaceDN w:val="0"/>
        <w:adjustRightInd w:val="0"/>
        <w:snapToGrid w:val="0"/>
        <w:spacing w:line="360" w:lineRule="auto"/>
        <w:ind w:firstLine="480" w:firstLineChars="200"/>
        <w:rPr>
          <w:rFonts w:ascii="宋体" w:hAnsi="宋体" w:cs="黑体"/>
          <w:b/>
          <w:bCs/>
          <w:sz w:val="24"/>
        </w:rPr>
      </w:pPr>
      <w:r>
        <w:rPr>
          <w:rFonts w:hint="eastAsia" w:ascii="宋体" w:hAnsi="宋体" w:cs="宋体"/>
          <w:sz w:val="24"/>
        </w:rPr>
        <w:t>4</w:t>
      </w:r>
      <w:r>
        <w:rPr>
          <w:rFonts w:hint="eastAsia" w:ascii="宋体" w:hAnsi="宋体" w:cs="宋体"/>
          <w:sz w:val="24"/>
          <w:lang w:val="en-US" w:eastAsia="zh-CN"/>
        </w:rPr>
        <w:t>1</w:t>
      </w:r>
      <w:r>
        <w:rPr>
          <w:rFonts w:hint="eastAsia" w:ascii="宋体" w:hAnsi="宋体" w:cs="宋体"/>
          <w:sz w:val="24"/>
        </w:rPr>
        <w:t xml:space="preserve">.2 </w:t>
      </w:r>
      <w:r>
        <w:rPr>
          <w:rFonts w:hint="eastAsia" w:ascii="宋体" w:hAnsi="宋体" w:cs="宋体"/>
          <w:sz w:val="24"/>
          <w:lang w:eastAsia="zh-TW"/>
        </w:rPr>
        <w:t>政府采购合同履行中，采购人需追加与合同标的相同的货物的，在不改变合同其他条款的前提下，可以与</w:t>
      </w:r>
      <w:r>
        <w:rPr>
          <w:rFonts w:hint="eastAsia" w:ascii="宋体" w:hAnsi="宋体" w:cs="宋体"/>
          <w:sz w:val="24"/>
        </w:rPr>
        <w:t>中标人</w:t>
      </w:r>
      <w:r>
        <w:rPr>
          <w:rFonts w:hint="eastAsia" w:ascii="宋体" w:hAnsi="宋体" w:cs="宋体"/>
          <w:sz w:val="24"/>
          <w:lang w:eastAsia="zh-TW"/>
        </w:rPr>
        <w:t>签订补充合同，但所补充合同的采购金额不得超过原</w:t>
      </w:r>
      <w:r>
        <w:rPr>
          <w:rFonts w:hint="eastAsia" w:ascii="宋体" w:hAnsi="宋体" w:cs="宋体"/>
          <w:sz w:val="24"/>
        </w:rPr>
        <w:t>合同</w:t>
      </w:r>
      <w:r>
        <w:rPr>
          <w:rFonts w:hint="eastAsia" w:ascii="宋体" w:hAnsi="宋体" w:cs="宋体"/>
          <w:sz w:val="24"/>
          <w:lang w:eastAsia="zh-TW"/>
        </w:rPr>
        <w:t>采购金额的百分之十。签订补充合同的</w:t>
      </w:r>
      <w:r>
        <w:rPr>
          <w:rFonts w:hint="eastAsia" w:ascii="宋体" w:hAnsi="宋体" w:cs="宋体"/>
          <w:sz w:val="24"/>
        </w:rPr>
        <w:t>应</w:t>
      </w:r>
      <w:r>
        <w:rPr>
          <w:rFonts w:hint="eastAsia" w:ascii="宋体" w:hAnsi="宋体" w:cs="宋体"/>
          <w:sz w:val="24"/>
          <w:lang w:eastAsia="zh-TW"/>
        </w:rPr>
        <w:t>按规定备案。</w:t>
      </w:r>
    </w:p>
    <w:bookmarkEnd w:id="134"/>
    <w:bookmarkEnd w:id="135"/>
    <w:bookmarkEnd w:id="140"/>
    <w:p>
      <w:pPr>
        <w:pStyle w:val="4"/>
        <w:spacing w:before="0" w:afterLines="50" w:line="360" w:lineRule="auto"/>
        <w:rPr>
          <w:rFonts w:ascii="宋体" w:hAnsi="宋体" w:eastAsia="宋体"/>
          <w:bCs/>
        </w:rPr>
      </w:pPr>
      <w:bookmarkStart w:id="142" w:name="_Toc11216"/>
      <w:bookmarkStart w:id="143" w:name="_Toc10129"/>
      <w:bookmarkStart w:id="144" w:name="_Toc217446081"/>
      <w:r>
        <w:rPr>
          <w:rFonts w:hint="eastAsia" w:ascii="宋体" w:hAnsi="宋体" w:eastAsia="宋体"/>
          <w:bCs/>
        </w:rPr>
        <w:t>十二、招标代理服务费/中标服务费</w:t>
      </w:r>
      <w:bookmarkEnd w:id="142"/>
      <w:bookmarkEnd w:id="143"/>
    </w:p>
    <w:p>
      <w:pPr>
        <w:pStyle w:val="8"/>
      </w:pPr>
      <w:r>
        <w:rPr>
          <w:rFonts w:hint="eastAsia"/>
        </w:rPr>
        <w:t>4</w:t>
      </w:r>
      <w:r>
        <w:rPr>
          <w:rFonts w:hint="eastAsia"/>
          <w:lang w:val="en-US" w:eastAsia="zh-CN"/>
        </w:rPr>
        <w:t>2</w:t>
      </w:r>
      <w:r>
        <w:rPr>
          <w:rFonts w:hint="eastAsia"/>
        </w:rPr>
        <w:t>.招标代理服务费/中标服务费的数额及缴纳方式</w:t>
      </w:r>
    </w:p>
    <w:p>
      <w:pPr>
        <w:spacing w:line="360" w:lineRule="auto"/>
        <w:ind w:firstLine="573"/>
        <w:rPr>
          <w:rFonts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.1 中标人在领取《中标通知书》之前，应向采购代理机构缴纳招标代理服务费/中标服务费。</w:t>
      </w:r>
    </w:p>
    <w:p>
      <w:pPr>
        <w:spacing w:line="360" w:lineRule="auto"/>
        <w:ind w:firstLine="573"/>
        <w:rPr>
          <w:rFonts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2</w:t>
      </w:r>
      <w:r>
        <w:rPr>
          <w:rFonts w:hint="eastAsia" w:ascii="宋体" w:hAnsi="宋体"/>
          <w:color w:val="auto"/>
          <w:sz w:val="24"/>
        </w:rPr>
        <w:t>.2 招标代理服务费/中标服务费依据《国家计委关于印发招标代理服务收费管理暂行办法的通知》（计价格【2002】1980号）和国家发改委办公厅颁发的《关于招标代理服务收费有关问题的通知》（发改办价格【2003】857号）文件规定标准收取。具体收费金额将在中标公告中公布。</w:t>
      </w:r>
    </w:p>
    <w:p>
      <w:pPr>
        <w:spacing w:line="360" w:lineRule="auto"/>
        <w:ind w:firstLine="573"/>
        <w:rPr>
          <w:rFonts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.3 招标代理服务费/中标服务费，</w:t>
      </w:r>
      <w:r>
        <w:rPr>
          <w:rFonts w:hint="eastAsia" w:ascii="宋体" w:hAnsi="宋体"/>
          <w:sz w:val="24"/>
          <w:lang w:eastAsia="zh-CN"/>
        </w:rPr>
        <w:t>以银行转账</w:t>
      </w:r>
      <w:r>
        <w:rPr>
          <w:rFonts w:hint="eastAsia" w:ascii="宋体" w:hAnsi="宋体"/>
          <w:sz w:val="24"/>
        </w:rPr>
        <w:t>方式缴纳。</w:t>
      </w:r>
    </w:p>
    <w:p>
      <w:pPr>
        <w:spacing w:line="360" w:lineRule="auto"/>
        <w:ind w:firstLine="573"/>
        <w:rPr>
          <w:rFonts w:ascii="宋体" w:hAnsi="宋体"/>
          <w:b/>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投标人应将招标代理服务费/中标服务费计算入投标总报价，但不在分项报价中单独列出。</w:t>
      </w:r>
    </w:p>
    <w:p>
      <w:pPr>
        <w:pStyle w:val="4"/>
        <w:spacing w:before="0" w:afterLines="50" w:line="360" w:lineRule="auto"/>
        <w:rPr>
          <w:rFonts w:ascii="宋体" w:hAnsi="宋体" w:eastAsia="宋体"/>
          <w:bCs/>
        </w:rPr>
      </w:pPr>
      <w:bookmarkStart w:id="145" w:name="_Toc17636"/>
      <w:bookmarkStart w:id="146" w:name="_Toc5475"/>
      <w:r>
        <w:rPr>
          <w:rFonts w:hint="eastAsia" w:ascii="宋体" w:hAnsi="宋体" w:eastAsia="宋体"/>
          <w:bCs/>
        </w:rPr>
        <w:t>十三、质疑与投诉</w:t>
      </w:r>
      <w:bookmarkEnd w:id="145"/>
      <w:bookmarkEnd w:id="146"/>
    </w:p>
    <w:p>
      <w:pPr>
        <w:pStyle w:val="8"/>
      </w:pPr>
      <w:r>
        <w:rPr>
          <w:rFonts w:hint="eastAsia"/>
        </w:rPr>
        <w:t>4</w:t>
      </w:r>
      <w:r>
        <w:rPr>
          <w:rFonts w:hint="eastAsia"/>
          <w:lang w:val="en-US" w:eastAsia="zh-CN"/>
        </w:rPr>
        <w:t>3</w:t>
      </w:r>
      <w:r>
        <w:rPr>
          <w:rFonts w:hint="eastAsia"/>
        </w:rPr>
        <w:t>.质疑</w:t>
      </w:r>
    </w:p>
    <w:p>
      <w:pPr>
        <w:widowControl/>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.1 投标人对本次招标采购活动有疑问的，按照国家《中华人民共和国政府采购法》、《中华人民共和国政府采购法实施条例》及《政府采购质疑和投诉办法》（财政部94号令）的规定办理。</w:t>
      </w:r>
    </w:p>
    <w:p>
      <w:pPr>
        <w:widowControl/>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.2 投标人对采购文件、采购过程或中标结果使自身的合法权益受到损害，应当在法定期限内一次性提出针对同一采购程序环节的质疑，按照质疑函范本格式要求以书面形式向采购代理机构或采购人提出质疑。</w:t>
      </w:r>
    </w:p>
    <w:p>
      <w:pPr>
        <w:widowControl/>
        <w:spacing w:line="360" w:lineRule="auto"/>
        <w:ind w:firstLine="480" w:firstLineChars="200"/>
        <w:rPr>
          <w:rFonts w:ascii="宋体" w:hAnsi="宋体"/>
          <w:sz w:val="24"/>
        </w:rPr>
      </w:pPr>
      <w:r>
        <w:rPr>
          <w:rFonts w:hint="eastAsia" w:ascii="宋体" w:hAnsi="宋体"/>
          <w:sz w:val="24"/>
        </w:rPr>
        <w:t>（1）质疑书应当包括以下主要内容：被质疑项目名称、项目编号、标段/包号、采购文件获取日期、质疑事项、证据及来源线索、法律依据（具体条款）、招标采购活动中自己权益受到侵害的实质内容、质疑人有效联系方式等。</w:t>
      </w:r>
    </w:p>
    <w:p>
      <w:pPr>
        <w:widowControl/>
        <w:spacing w:line="360" w:lineRule="auto"/>
        <w:ind w:firstLine="480" w:firstLineChars="200"/>
        <w:rPr>
          <w:rFonts w:ascii="宋体" w:hAnsi="宋体"/>
          <w:sz w:val="24"/>
        </w:rPr>
      </w:pPr>
      <w:r>
        <w:rPr>
          <w:rFonts w:hint="eastAsia" w:ascii="宋体" w:hAnsi="宋体"/>
          <w:sz w:val="24"/>
        </w:rPr>
        <w:t>（2）质疑书应当由法定代表人或授权代表签字或盖章，并加盖单位公章，公章不得以合同章或其他印章代替，并附法人身份证明。</w:t>
      </w:r>
    </w:p>
    <w:p>
      <w:pPr>
        <w:widowControl/>
        <w:spacing w:line="360" w:lineRule="auto"/>
        <w:ind w:firstLine="480" w:firstLineChars="200"/>
        <w:rPr>
          <w:rFonts w:ascii="宋体" w:hAnsi="宋体"/>
          <w:sz w:val="24"/>
        </w:rPr>
      </w:pPr>
      <w:r>
        <w:rPr>
          <w:rFonts w:hint="eastAsia" w:ascii="宋体" w:hAnsi="宋体"/>
          <w:sz w:val="24"/>
        </w:rPr>
        <w:t>（3）质疑人可以委托代理人办理质疑事项，代理人办理质疑事项时，</w:t>
      </w:r>
      <w:r>
        <w:rPr>
          <w:rFonts w:hint="eastAsia" w:ascii="宋体" w:hAnsi="宋体"/>
          <w:sz w:val="24"/>
          <w:lang w:eastAsia="zh-CN"/>
        </w:rPr>
        <w:t>需本人来代理机构提交质疑书，</w:t>
      </w:r>
      <w:r>
        <w:rPr>
          <w:rFonts w:hint="eastAsia" w:ascii="宋体" w:hAnsi="宋体"/>
          <w:sz w:val="24"/>
        </w:rPr>
        <w:t>除提交质疑书外，还应当提交质疑人的授权委托书及代理人的有效身份证明，授权委托书应当载明委托代理的具体权限和事项。</w:t>
      </w:r>
    </w:p>
    <w:p>
      <w:pPr>
        <w:widowControl/>
        <w:spacing w:line="360" w:lineRule="auto"/>
        <w:ind w:firstLine="480" w:firstLineChars="200"/>
        <w:rPr>
          <w:rFonts w:ascii="宋体" w:hAnsi="宋体"/>
          <w:sz w:val="24"/>
        </w:rPr>
      </w:pPr>
      <w:r>
        <w:rPr>
          <w:rFonts w:hint="eastAsia" w:ascii="宋体" w:hAnsi="宋体"/>
          <w:sz w:val="24"/>
        </w:rPr>
        <w:t>（4）质疑函范本格式在中国政府采购网站（http://www.ccgp.gov.cn/）自行下载。</w:t>
      </w:r>
    </w:p>
    <w:p>
      <w:pPr>
        <w:widowControl/>
        <w:spacing w:line="360" w:lineRule="auto"/>
        <w:ind w:firstLine="480" w:firstLineChars="200"/>
        <w:rPr>
          <w:rFonts w:ascii="宋体" w:hAnsi="宋体"/>
          <w:sz w:val="24"/>
        </w:rPr>
      </w:pPr>
      <w:r>
        <w:rPr>
          <w:rFonts w:hint="eastAsia" w:ascii="宋体" w:hAnsi="宋体"/>
          <w:sz w:val="24"/>
        </w:rPr>
        <w:t>（5）接收质疑函的联系部门、联系电话和通讯地址同采购公告。</w:t>
      </w:r>
    </w:p>
    <w:p>
      <w:pPr>
        <w:widowControl/>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.3 有下列情形之一的，属于无效质疑，采购代理机构和采购人不予受理：</w:t>
      </w:r>
    </w:p>
    <w:p>
      <w:pPr>
        <w:widowControl/>
        <w:spacing w:line="360" w:lineRule="auto"/>
        <w:ind w:firstLine="480" w:firstLineChars="200"/>
        <w:rPr>
          <w:rFonts w:ascii="宋体" w:hAnsi="宋体"/>
          <w:sz w:val="24"/>
        </w:rPr>
      </w:pPr>
      <w:r>
        <w:rPr>
          <w:rFonts w:hint="eastAsia" w:ascii="宋体" w:hAnsi="宋体"/>
          <w:sz w:val="24"/>
        </w:rPr>
        <w:t>（1）质疑人不是参与本次政府采购项目的投标人；</w:t>
      </w:r>
    </w:p>
    <w:p>
      <w:pPr>
        <w:widowControl/>
        <w:spacing w:line="360" w:lineRule="auto"/>
        <w:ind w:firstLine="480" w:firstLineChars="200"/>
        <w:rPr>
          <w:rFonts w:ascii="宋体" w:hAnsi="宋体"/>
          <w:sz w:val="24"/>
        </w:rPr>
      </w:pPr>
      <w:r>
        <w:rPr>
          <w:rFonts w:hint="eastAsia" w:ascii="宋体" w:hAnsi="宋体"/>
          <w:sz w:val="24"/>
        </w:rPr>
        <w:t>（2）质疑人与质疑事项不存在利害关系的；</w:t>
      </w:r>
    </w:p>
    <w:p>
      <w:pPr>
        <w:widowControl/>
        <w:spacing w:line="360" w:lineRule="auto"/>
        <w:ind w:firstLine="480" w:firstLineChars="200"/>
        <w:rPr>
          <w:rFonts w:ascii="宋体" w:hAnsi="宋体"/>
          <w:sz w:val="24"/>
        </w:rPr>
      </w:pPr>
      <w:r>
        <w:rPr>
          <w:rFonts w:hint="eastAsia" w:ascii="宋体" w:hAnsi="宋体"/>
          <w:sz w:val="24"/>
        </w:rPr>
        <w:t>（3）未在法定期限内提出质疑的；</w:t>
      </w:r>
    </w:p>
    <w:p>
      <w:pPr>
        <w:widowControl/>
        <w:spacing w:line="360" w:lineRule="auto"/>
        <w:ind w:firstLine="480" w:firstLineChars="200"/>
        <w:rPr>
          <w:rFonts w:ascii="宋体" w:hAnsi="宋体"/>
          <w:sz w:val="24"/>
        </w:rPr>
      </w:pPr>
      <w:r>
        <w:rPr>
          <w:rFonts w:hint="eastAsia" w:ascii="宋体" w:hAnsi="宋体"/>
          <w:sz w:val="24"/>
        </w:rPr>
        <w:t>（4）质疑未以书面形式提出，以传真、电子邮件、移动通信等形式即时收悉提交的质疑材料；</w:t>
      </w:r>
    </w:p>
    <w:p>
      <w:pPr>
        <w:widowControl/>
        <w:spacing w:line="360" w:lineRule="auto"/>
        <w:ind w:firstLine="480" w:firstLineChars="200"/>
        <w:rPr>
          <w:rFonts w:ascii="宋体" w:hAnsi="宋体"/>
          <w:sz w:val="24"/>
        </w:rPr>
      </w:pPr>
      <w:r>
        <w:rPr>
          <w:rFonts w:hint="eastAsia" w:ascii="宋体" w:hAnsi="宋体"/>
          <w:sz w:val="24"/>
        </w:rPr>
        <w:t>（5）质疑未按质疑函范本格式提出的；</w:t>
      </w:r>
    </w:p>
    <w:p>
      <w:pPr>
        <w:widowControl/>
        <w:spacing w:line="360" w:lineRule="auto"/>
        <w:ind w:firstLine="480" w:firstLineChars="200"/>
        <w:rPr>
          <w:rFonts w:ascii="宋体" w:hAnsi="宋体"/>
          <w:sz w:val="24"/>
        </w:rPr>
      </w:pPr>
      <w:r>
        <w:rPr>
          <w:rFonts w:hint="eastAsia" w:ascii="宋体" w:hAnsi="宋体"/>
          <w:sz w:val="24"/>
        </w:rPr>
        <w:t>（6）质疑书主要内容构成不完整的；</w:t>
      </w:r>
    </w:p>
    <w:p>
      <w:pPr>
        <w:widowControl/>
        <w:spacing w:line="360" w:lineRule="auto"/>
        <w:ind w:firstLine="480" w:firstLineChars="200"/>
        <w:rPr>
          <w:rFonts w:ascii="宋体" w:hAnsi="宋体"/>
          <w:sz w:val="24"/>
        </w:rPr>
      </w:pPr>
      <w:r>
        <w:rPr>
          <w:rFonts w:hint="eastAsia" w:ascii="宋体" w:hAnsi="宋体"/>
          <w:sz w:val="24"/>
        </w:rPr>
        <w:t>（7）质疑书没有合法有效的签字、盖章或授权的；</w:t>
      </w:r>
    </w:p>
    <w:p>
      <w:pPr>
        <w:widowControl/>
        <w:spacing w:line="360" w:lineRule="auto"/>
        <w:ind w:firstLine="480" w:firstLineChars="200"/>
        <w:rPr>
          <w:rFonts w:ascii="宋体" w:hAnsi="宋体"/>
          <w:sz w:val="24"/>
        </w:rPr>
      </w:pPr>
      <w:r>
        <w:rPr>
          <w:rFonts w:hint="eastAsia" w:ascii="宋体" w:hAnsi="宋体"/>
          <w:sz w:val="24"/>
        </w:rPr>
        <w:t>（8）以非法手段取得证据、材料的；</w:t>
      </w:r>
    </w:p>
    <w:p>
      <w:pPr>
        <w:widowControl/>
        <w:spacing w:line="360" w:lineRule="auto"/>
        <w:ind w:firstLine="480" w:firstLineChars="200"/>
        <w:rPr>
          <w:rFonts w:ascii="宋体" w:hAnsi="宋体"/>
          <w:sz w:val="24"/>
        </w:rPr>
      </w:pPr>
      <w:r>
        <w:rPr>
          <w:rFonts w:hint="eastAsia" w:ascii="宋体" w:hAnsi="宋体"/>
          <w:sz w:val="24"/>
        </w:rPr>
        <w:t>（9）质疑答复后，同一质疑人就同一事项再次提出质疑的；</w:t>
      </w:r>
    </w:p>
    <w:p>
      <w:pPr>
        <w:widowControl/>
        <w:spacing w:line="360" w:lineRule="auto"/>
        <w:ind w:firstLine="480" w:firstLineChars="200"/>
        <w:rPr>
          <w:rFonts w:ascii="宋体" w:hAnsi="宋体"/>
          <w:sz w:val="24"/>
        </w:rPr>
      </w:pPr>
      <w:r>
        <w:rPr>
          <w:rFonts w:hint="eastAsia" w:ascii="宋体" w:hAnsi="宋体"/>
          <w:sz w:val="24"/>
        </w:rPr>
        <w:t>（10）不符合法律、法规、规章和政府采购监管机构规定的其他条件的。</w:t>
      </w:r>
    </w:p>
    <w:p>
      <w:pPr>
        <w:widowControl/>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.4 采购代理机构或采购人将在收到书面质疑后7个工作日内做出答复，并以书面形式通知质疑人和其他有关投标人。</w:t>
      </w:r>
    </w:p>
    <w:p>
      <w:pPr>
        <w:adjustRightInd w:val="0"/>
        <w:snapToGrid w:val="0"/>
        <w:spacing w:line="360" w:lineRule="auto"/>
        <w:ind w:firstLine="480" w:firstLineChars="200"/>
        <w:rPr>
          <w:rFonts w:hint="eastAsia" w:eastAsia="宋体"/>
          <w:lang w:val="en-US" w:eastAsia="zh-CN"/>
        </w:rPr>
      </w:pPr>
      <w:r>
        <w:rPr>
          <w:rFonts w:hint="eastAsia" w:ascii="宋体" w:hAnsi="宋体"/>
          <w:sz w:val="24"/>
        </w:rPr>
        <w:t>4</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5项目质疑联系人：张咪，联系电话：029-86522030转806。</w:t>
      </w:r>
    </w:p>
    <w:p>
      <w:pPr>
        <w:pStyle w:val="8"/>
      </w:pPr>
      <w:r>
        <w:rPr>
          <w:rFonts w:hint="eastAsia"/>
        </w:rPr>
        <w:t>4</w:t>
      </w:r>
      <w:r>
        <w:rPr>
          <w:rFonts w:hint="eastAsia"/>
          <w:lang w:val="en-US" w:eastAsia="zh-CN"/>
        </w:rPr>
        <w:t>4</w:t>
      </w:r>
      <w:r>
        <w:rPr>
          <w:rFonts w:hint="eastAsia"/>
        </w:rPr>
        <w:t>.投诉</w:t>
      </w:r>
    </w:p>
    <w:p>
      <w:pPr>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.1 投标人和其他厉害关系人认为本次招标采购活动违反法律、法规和规章规定的，有权向有关行政监督机构投诉。</w:t>
      </w:r>
    </w:p>
    <w:p>
      <w:pPr>
        <w:spacing w:line="360" w:lineRule="auto"/>
        <w:ind w:firstLine="480" w:firstLineChars="200"/>
        <w:jc w:val="left"/>
        <w:rPr>
          <w:rFonts w:ascii="宋体" w:hAnsi="宋体"/>
          <w:sz w:val="24"/>
        </w:rPr>
      </w:pPr>
      <w:r>
        <w:rPr>
          <w:rFonts w:hint="eastAsia" w:ascii="宋体" w:hAnsi="宋体"/>
          <w:sz w:val="24"/>
        </w:rPr>
        <w:t>（1）质疑人对采购代理机构或采购人的答复不满意，以及采购代理机构或采购人未在规定时间内做出答复的，可以在答复期满后15个工作日内向政府采购监管机构提出投诉。</w:t>
      </w:r>
    </w:p>
    <w:p>
      <w:pPr>
        <w:spacing w:line="360" w:lineRule="auto"/>
        <w:ind w:firstLine="480" w:firstLineChars="200"/>
        <w:jc w:val="left"/>
        <w:rPr>
          <w:rFonts w:ascii="宋体" w:hAnsi="宋体"/>
          <w:sz w:val="24"/>
        </w:rPr>
      </w:pPr>
      <w:r>
        <w:rPr>
          <w:rFonts w:hint="eastAsia" w:ascii="宋体" w:hAnsi="宋体"/>
          <w:sz w:val="24"/>
        </w:rPr>
        <w:t>（2）投标人投诉的事项不得超出已质疑事项的范围。</w:t>
      </w:r>
    </w:p>
    <w:p>
      <w:pPr>
        <w:spacing w:line="360" w:lineRule="auto"/>
        <w:ind w:firstLine="480" w:firstLineChars="200"/>
        <w:jc w:val="left"/>
        <w:rPr>
          <w:rFonts w:ascii="宋体" w:hAnsi="宋体"/>
          <w:sz w:val="24"/>
        </w:rPr>
      </w:pPr>
      <w:r>
        <w:rPr>
          <w:rFonts w:hint="eastAsia" w:ascii="宋体" w:hAnsi="宋体"/>
          <w:sz w:val="24"/>
        </w:rPr>
        <w:t>（3）投诉书范本格式在中国政府采购网站（http://www.ccgp.gov.cn/）自行下载。</w:t>
      </w:r>
    </w:p>
    <w:p>
      <w:pPr>
        <w:pStyle w:val="4"/>
        <w:spacing w:before="0" w:afterLines="50" w:line="360" w:lineRule="auto"/>
        <w:rPr>
          <w:rFonts w:ascii="宋体" w:hAnsi="宋体" w:eastAsia="宋体"/>
          <w:bCs/>
        </w:rPr>
      </w:pPr>
      <w:bookmarkStart w:id="147" w:name="_Toc24877"/>
      <w:bookmarkStart w:id="148" w:name="_Toc1338"/>
      <w:r>
        <w:rPr>
          <w:rFonts w:hint="eastAsia" w:ascii="宋体" w:hAnsi="宋体" w:eastAsia="宋体"/>
          <w:bCs/>
        </w:rPr>
        <w:t>十四、其他</w:t>
      </w:r>
      <w:bookmarkEnd w:id="147"/>
      <w:bookmarkEnd w:id="148"/>
    </w:p>
    <w:p>
      <w:pPr>
        <w:pStyle w:val="8"/>
      </w:pPr>
      <w:r>
        <w:rPr>
          <w:rFonts w:hint="eastAsia"/>
        </w:rPr>
        <w:t>4</w:t>
      </w:r>
      <w:r>
        <w:rPr>
          <w:rFonts w:hint="eastAsia"/>
          <w:lang w:val="en-US" w:eastAsia="zh-CN"/>
        </w:rPr>
        <w:t>5</w:t>
      </w:r>
      <w:r>
        <w:rPr>
          <w:rFonts w:hint="eastAsia"/>
        </w:rPr>
        <w:t>.信用担保及信用融资</w:t>
      </w:r>
    </w:p>
    <w:p>
      <w:pPr>
        <w:adjustRightInd w:val="0"/>
        <w:snapToGrid w:val="0"/>
        <w:spacing w:line="360" w:lineRule="auto"/>
        <w:ind w:firstLine="480" w:firstLineChars="200"/>
        <w:rPr>
          <w:rFonts w:hint="eastAsia" w:asciiTheme="minorEastAsia" w:hAnsiTheme="minorEastAsia" w:eastAsiaTheme="minorEastAsia" w:cstheme="minorEastAsia"/>
          <w:sz w:val="24"/>
          <w:lang w:val="en-US" w:eastAsia="zh-CN"/>
        </w:rPr>
      </w:pPr>
      <w:bookmarkStart w:id="149" w:name="_Toc22710"/>
      <w:r>
        <w:rPr>
          <w:rFonts w:hint="eastAsia" w:asciiTheme="minorEastAsia" w:hAnsiTheme="minorEastAsia" w:eastAsiaTheme="minorEastAsia" w:cstheme="minorEastAsia"/>
          <w:sz w:val="24"/>
          <w:lang w:val="en-US" w:eastAsia="zh-CN"/>
        </w:rPr>
        <w:t>45.1陕西省政府采购信用担保及信用融资政策：</w:t>
      </w:r>
    </w:p>
    <w:p>
      <w:pPr>
        <w:spacing w:line="360" w:lineRule="auto"/>
        <w:ind w:firstLine="480" w:firstLineChars="200"/>
        <w:jc w:val="left"/>
        <w:rPr>
          <w:rFonts w:ascii="宋体" w:hAnsi="宋体"/>
          <w:sz w:val="24"/>
          <w:highlight w:val="none"/>
        </w:rPr>
      </w:pPr>
      <w:r>
        <w:rPr>
          <w:rFonts w:hint="eastAsia" w:ascii="宋体" w:hAnsi="宋体"/>
          <w:sz w:val="24"/>
          <w:highlight w:val="none"/>
        </w:rPr>
        <w:t>投标人为中小企业的可以自愿选择融资担保形式，为本采购项目进行融资。</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陕西省政府采购信用担保及信用融资政策：</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cs="宋体"/>
          <w:b w:val="0"/>
          <w:bCs w:val="0"/>
          <w:sz w:val="24"/>
          <w:szCs w:val="24"/>
          <w:highlight w:val="none"/>
          <w:lang w:val="en-US" w:eastAsia="zh-CN"/>
        </w:rPr>
        <w:t>（2）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可凭成交通知书、政府采购合同等相关资料，按照实施方案规定的程序申请办理。</w:t>
      </w:r>
      <w:r>
        <w:rPr>
          <w:rFonts w:hint="eastAsia"/>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（3）陕西省政府采购支持中小企业信用融资合作银行名单详见（陕西省政府采购网-采购动态-重要通知http://www.ccgp-shaanxi.gov.cn/）。</w:t>
      </w:r>
    </w:p>
    <w:p>
      <w:pPr>
        <w:rPr>
          <w:rFonts w:hint="eastAsia"/>
          <w:sz w:val="44"/>
          <w:szCs w:val="44"/>
        </w:rPr>
      </w:pPr>
      <w:r>
        <w:rPr>
          <w:rFonts w:hint="eastAsia"/>
          <w:sz w:val="44"/>
          <w:szCs w:val="44"/>
        </w:rPr>
        <w:br w:type="page"/>
      </w:r>
    </w:p>
    <w:p>
      <w:pPr>
        <w:pStyle w:val="3"/>
        <w:spacing w:line="240" w:lineRule="auto"/>
        <w:ind w:firstLine="2650" w:firstLineChars="600"/>
        <w:jc w:val="both"/>
        <w:rPr>
          <w:rFonts w:ascii="宋体" w:hAnsi="宋体"/>
          <w:b w:val="0"/>
          <w:sz w:val="44"/>
          <w:szCs w:val="44"/>
        </w:rPr>
      </w:pPr>
      <w:r>
        <w:rPr>
          <w:rFonts w:hint="eastAsia"/>
          <w:sz w:val="44"/>
          <w:szCs w:val="44"/>
        </w:rPr>
        <w:t>第四章</w:t>
      </w:r>
      <w:bookmarkStart w:id="150" w:name="_Toc217446093"/>
      <w:r>
        <w:rPr>
          <w:rFonts w:hint="eastAsia"/>
          <w:sz w:val="44"/>
          <w:szCs w:val="44"/>
        </w:rPr>
        <w:t xml:space="preserve">  评标办法</w:t>
      </w:r>
      <w:bookmarkEnd w:id="149"/>
    </w:p>
    <w:p>
      <w:pPr>
        <w:spacing w:line="360" w:lineRule="auto"/>
        <w:ind w:firstLine="480" w:firstLineChars="200"/>
        <w:rPr>
          <w:rFonts w:ascii="宋体" w:hAnsi="宋体"/>
          <w:sz w:val="24"/>
        </w:rPr>
      </w:pPr>
      <w:r>
        <w:rPr>
          <w:rFonts w:hint="eastAsia" w:ascii="宋体" w:hAnsi="宋体"/>
          <w:sz w:val="24"/>
        </w:rPr>
        <w:t>根据《中华人民共和国政府采购法》及实施条例和《政府采购货物和服务招标投标管理办法》（财政部87号令）等法律法规规定，结合采购项目特点制定本评标办法。</w:t>
      </w:r>
    </w:p>
    <w:p>
      <w:pPr>
        <w:pStyle w:val="4"/>
        <w:spacing w:before="0" w:afterLines="50" w:line="360" w:lineRule="auto"/>
        <w:rPr>
          <w:rFonts w:ascii="宋体" w:hAnsi="宋体" w:eastAsia="宋体"/>
          <w:bCs/>
        </w:rPr>
      </w:pPr>
      <w:bookmarkStart w:id="151" w:name="_Toc16956"/>
      <w:bookmarkStart w:id="152" w:name="_Toc17437"/>
      <w:r>
        <w:rPr>
          <w:rFonts w:hint="eastAsia" w:ascii="宋体" w:hAnsi="宋体" w:eastAsia="宋体"/>
          <w:bCs/>
        </w:rPr>
        <w:t>一、评标程序</w:t>
      </w:r>
      <w:bookmarkEnd w:id="151"/>
      <w:bookmarkEnd w:id="152"/>
    </w:p>
    <w:p>
      <w:pPr>
        <w:pStyle w:val="8"/>
      </w:pPr>
      <w:r>
        <w:rPr>
          <w:rFonts w:hint="eastAsia"/>
        </w:rPr>
        <w:t>1.本采购项目评标应当按照下列工作程序进行：</w:t>
      </w:r>
    </w:p>
    <w:p>
      <w:pPr>
        <w:spacing w:line="360" w:lineRule="auto"/>
        <w:ind w:firstLine="495"/>
        <w:rPr>
          <w:rFonts w:ascii="宋体" w:hAnsi="宋体"/>
          <w:sz w:val="24"/>
        </w:rPr>
      </w:pPr>
      <w:r>
        <w:rPr>
          <w:rFonts w:hint="eastAsia" w:ascii="宋体" w:hAnsi="宋体"/>
          <w:sz w:val="24"/>
        </w:rPr>
        <w:t>（1）投标文件符合性审查；</w:t>
      </w:r>
    </w:p>
    <w:p>
      <w:pPr>
        <w:spacing w:line="360" w:lineRule="auto"/>
        <w:ind w:firstLine="495"/>
        <w:rPr>
          <w:rFonts w:ascii="宋体" w:hAnsi="宋体"/>
          <w:sz w:val="24"/>
        </w:rPr>
      </w:pPr>
      <w:r>
        <w:rPr>
          <w:rFonts w:hint="eastAsia" w:ascii="宋体" w:hAnsi="宋体"/>
          <w:sz w:val="24"/>
        </w:rPr>
        <w:t>（2）投标文件澄清或说明；</w:t>
      </w:r>
    </w:p>
    <w:p>
      <w:pPr>
        <w:spacing w:line="360" w:lineRule="auto"/>
        <w:ind w:firstLine="495"/>
        <w:rPr>
          <w:rFonts w:ascii="宋体" w:hAnsi="宋体"/>
          <w:sz w:val="24"/>
        </w:rPr>
      </w:pPr>
      <w:r>
        <w:rPr>
          <w:rFonts w:hint="eastAsia" w:ascii="宋体" w:hAnsi="宋体"/>
          <w:sz w:val="24"/>
        </w:rPr>
        <w:t>（3）投标文件比较与评价；</w:t>
      </w:r>
    </w:p>
    <w:p>
      <w:pPr>
        <w:spacing w:line="360" w:lineRule="auto"/>
        <w:ind w:firstLine="495"/>
        <w:rPr>
          <w:rFonts w:ascii="宋体" w:hAnsi="宋体"/>
          <w:sz w:val="24"/>
        </w:rPr>
      </w:pPr>
      <w:r>
        <w:rPr>
          <w:rFonts w:hint="eastAsia" w:ascii="宋体" w:hAnsi="宋体"/>
          <w:sz w:val="24"/>
        </w:rPr>
        <w:t>（4）复核与核对评标结果；</w:t>
      </w:r>
    </w:p>
    <w:p>
      <w:pPr>
        <w:spacing w:line="360" w:lineRule="auto"/>
        <w:ind w:firstLine="495"/>
        <w:rPr>
          <w:rFonts w:ascii="宋体" w:hAnsi="宋体"/>
          <w:sz w:val="24"/>
        </w:rPr>
      </w:pPr>
      <w:r>
        <w:rPr>
          <w:rFonts w:hint="eastAsia" w:ascii="宋体" w:hAnsi="宋体"/>
          <w:sz w:val="24"/>
        </w:rPr>
        <w:t>（5）确定中标候选人名单；</w:t>
      </w:r>
    </w:p>
    <w:p>
      <w:pPr>
        <w:spacing w:line="360" w:lineRule="auto"/>
        <w:ind w:firstLine="495"/>
        <w:rPr>
          <w:rFonts w:ascii="宋体" w:hAnsi="宋体"/>
          <w:sz w:val="24"/>
        </w:rPr>
      </w:pPr>
      <w:r>
        <w:rPr>
          <w:rFonts w:hint="eastAsia" w:ascii="宋体" w:hAnsi="宋体"/>
          <w:sz w:val="24"/>
        </w:rPr>
        <w:t>（6）编写评标报告。</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投标</w:t>
      </w:r>
      <w:r>
        <w:rPr>
          <w:rFonts w:hint="eastAsia"/>
          <w:color w:val="000000" w:themeColor="text1"/>
          <w14:textFill>
            <w14:solidFill>
              <w14:schemeClr w14:val="tx1"/>
            </w14:solidFill>
          </w14:textFill>
        </w:rPr>
        <w:t>文件初</w:t>
      </w:r>
      <w:r>
        <w:rPr>
          <w:rFonts w:hint="eastAsia"/>
          <w:color w:val="000000" w:themeColor="text1"/>
          <w:lang w:eastAsia="zh-CN"/>
          <w14:textFill>
            <w14:solidFill>
              <w14:schemeClr w14:val="tx1"/>
            </w14:solidFill>
          </w14:textFill>
        </w:rPr>
        <w:t>步</w:t>
      </w:r>
      <w:r>
        <w:rPr>
          <w:rFonts w:hint="eastAsia"/>
          <w:color w:val="000000" w:themeColor="text1"/>
          <w14:textFill>
            <w14:solidFill>
              <w14:schemeClr w14:val="tx1"/>
            </w14:solidFill>
          </w14:textFill>
        </w:rPr>
        <w:t>审</w:t>
      </w:r>
      <w:r>
        <w:rPr>
          <w:rFonts w:hint="eastAsia"/>
          <w:color w:val="000000" w:themeColor="text1"/>
          <w:lang w:eastAsia="zh-CN"/>
          <w14:textFill>
            <w14:solidFill>
              <w14:schemeClr w14:val="tx1"/>
            </w14:solidFill>
          </w14:textFill>
        </w:rPr>
        <w:t>查，分别</w:t>
      </w:r>
      <w:r>
        <w:rPr>
          <w:rFonts w:hint="eastAsia"/>
          <w:color w:val="000000" w:themeColor="text1"/>
          <w14:textFill>
            <w14:solidFill>
              <w14:schemeClr w14:val="tx1"/>
            </w14:solidFill>
          </w14:textFill>
        </w:rPr>
        <w:t>为资格性</w:t>
      </w:r>
      <w:r>
        <w:rPr>
          <w:rFonts w:hint="eastAsia"/>
          <w:color w:val="000000" w:themeColor="text1"/>
          <w:lang w:eastAsia="zh-CN"/>
          <w14:textFill>
            <w14:solidFill>
              <w14:schemeClr w14:val="tx1"/>
            </w14:solidFill>
          </w14:textFill>
        </w:rPr>
        <w:t>审查</w:t>
      </w:r>
      <w:r>
        <w:rPr>
          <w:rFonts w:hint="eastAsia"/>
          <w:color w:val="000000" w:themeColor="text1"/>
          <w14:textFill>
            <w14:solidFill>
              <w14:schemeClr w14:val="tx1"/>
            </w14:solidFill>
          </w14:textFill>
        </w:rPr>
        <w:t>和符合性</w:t>
      </w:r>
      <w:r>
        <w:rPr>
          <w:rFonts w:hint="eastAsia"/>
          <w:color w:val="000000" w:themeColor="text1"/>
          <w:lang w:eastAsia="zh-CN"/>
          <w14:textFill>
            <w14:solidFill>
              <w14:schemeClr w14:val="tx1"/>
            </w14:solidFill>
          </w14:textFill>
        </w:rPr>
        <w:t>审查。</w:t>
      </w:r>
    </w:p>
    <w:p>
      <w:pPr>
        <w:spacing w:afterLines="50" w:line="360" w:lineRule="auto"/>
        <w:ind w:firstLine="470" w:firstLineChars="196"/>
        <w:rPr>
          <w:rFonts w:hint="eastAsia" w:ascii="宋体" w:hAnsi="宋体"/>
          <w:sz w:val="24"/>
          <w:szCs w:val="24"/>
        </w:rPr>
      </w:pPr>
      <w:r>
        <w:rPr>
          <w:rFonts w:hint="eastAsia" w:ascii="宋体" w:hAnsi="宋体"/>
          <w:sz w:val="24"/>
        </w:rPr>
        <w:t xml:space="preserve">2.1 </w:t>
      </w:r>
      <w:r>
        <w:rPr>
          <w:rFonts w:hint="eastAsia" w:ascii="宋体" w:hAnsi="宋体"/>
          <w:sz w:val="24"/>
          <w:szCs w:val="24"/>
        </w:rPr>
        <w:t>资格性</w:t>
      </w:r>
      <w:r>
        <w:rPr>
          <w:rFonts w:hint="eastAsia" w:ascii="宋体" w:hAnsi="宋体"/>
          <w:sz w:val="24"/>
          <w:szCs w:val="24"/>
          <w:lang w:eastAsia="zh-CN"/>
        </w:rPr>
        <w:t>审查</w:t>
      </w:r>
      <w:r>
        <w:rPr>
          <w:rFonts w:hint="eastAsia" w:ascii="宋体" w:hAnsi="宋体"/>
          <w:sz w:val="24"/>
          <w:szCs w:val="24"/>
        </w:rPr>
        <w:t>。依据法律法规和</w:t>
      </w:r>
      <w:r>
        <w:rPr>
          <w:rFonts w:hint="eastAsia" w:ascii="宋体" w:hAnsi="宋体"/>
          <w:sz w:val="24"/>
          <w:szCs w:val="24"/>
          <w:lang w:eastAsia="zh-CN"/>
        </w:rPr>
        <w:t>招标</w:t>
      </w:r>
      <w:r>
        <w:rPr>
          <w:rFonts w:hint="eastAsia" w:ascii="宋体" w:hAnsi="宋体"/>
          <w:sz w:val="24"/>
          <w:szCs w:val="24"/>
        </w:rPr>
        <w:t>文件的规定，对</w:t>
      </w:r>
      <w:r>
        <w:rPr>
          <w:rFonts w:hint="eastAsia" w:ascii="宋体" w:hAnsi="宋体"/>
          <w:sz w:val="24"/>
          <w:szCs w:val="24"/>
          <w:lang w:eastAsia="zh-CN"/>
        </w:rPr>
        <w:t>招标文件</w:t>
      </w:r>
      <w:r>
        <w:rPr>
          <w:rFonts w:hint="eastAsia" w:ascii="宋体" w:hAnsi="宋体"/>
          <w:sz w:val="24"/>
          <w:szCs w:val="24"/>
        </w:rPr>
        <w:t>文件中的资格证明、</w:t>
      </w:r>
      <w:r>
        <w:rPr>
          <w:rFonts w:hint="eastAsia" w:ascii="宋体" w:hAnsi="宋体"/>
          <w:sz w:val="24"/>
          <w:szCs w:val="24"/>
          <w:highlight w:val="none"/>
          <w:lang w:val="en-US" w:eastAsia="zh-CN"/>
        </w:rPr>
        <w:t>符合</w:t>
      </w:r>
      <w:r>
        <w:rPr>
          <w:rFonts w:hint="eastAsia" w:ascii="宋体" w:hAnsi="宋体"/>
          <w:sz w:val="24"/>
          <w:szCs w:val="24"/>
        </w:rPr>
        <w:t>等进行审查，以确定</w:t>
      </w:r>
      <w:r>
        <w:rPr>
          <w:rFonts w:hint="eastAsia" w:ascii="宋体" w:hAnsi="宋体"/>
          <w:sz w:val="24"/>
          <w:szCs w:val="24"/>
          <w:lang w:eastAsia="zh-CN"/>
        </w:rPr>
        <w:t>投标人</w:t>
      </w:r>
      <w:r>
        <w:rPr>
          <w:rFonts w:hint="eastAsia" w:ascii="宋体" w:hAnsi="宋体"/>
          <w:sz w:val="24"/>
          <w:szCs w:val="24"/>
        </w:rPr>
        <w:t>是否具备</w:t>
      </w:r>
      <w:r>
        <w:rPr>
          <w:rFonts w:hint="eastAsia" w:ascii="宋体" w:hAnsi="宋体"/>
          <w:sz w:val="24"/>
          <w:szCs w:val="24"/>
          <w:lang w:eastAsia="zh-CN"/>
        </w:rPr>
        <w:t>投标</w:t>
      </w:r>
      <w:r>
        <w:rPr>
          <w:rFonts w:hint="eastAsia" w:ascii="宋体" w:hAnsi="宋体"/>
          <w:sz w:val="24"/>
          <w:szCs w:val="24"/>
        </w:rPr>
        <w:t>资格</w:t>
      </w:r>
    </w:p>
    <w:p>
      <w:pPr>
        <w:widowControl w:val="0"/>
        <w:ind w:firstLine="420"/>
        <w:jc w:val="both"/>
        <w:rPr>
          <w:rFonts w:hint="eastAsia" w:ascii="Times New Roman" w:hAnsi="Times New Roman" w:eastAsia="宋体" w:cs="Times New Roman"/>
          <w:b/>
          <w:bCs/>
          <w:kern w:val="2"/>
          <w:sz w:val="21"/>
          <w:lang w:val="en-US" w:eastAsia="zh-CN" w:bidi="ar-SA"/>
        </w:rPr>
      </w:pPr>
      <w:r>
        <w:rPr>
          <w:rFonts w:hint="eastAsia" w:ascii="宋体" w:hAnsi="宋体" w:eastAsia="宋体" w:cs="Times New Roman"/>
          <w:b/>
          <w:bCs/>
          <w:kern w:val="2"/>
          <w:sz w:val="24"/>
          <w:szCs w:val="24"/>
          <w:lang w:val="en-US" w:eastAsia="zh-CN" w:bidi="ar-SA"/>
        </w:rPr>
        <w:t>资格性审查表：</w:t>
      </w:r>
    </w:p>
    <w:p>
      <w:pPr>
        <w:pStyle w:val="5"/>
        <w:rPr>
          <w:rFonts w:hint="eastAsia"/>
        </w:rPr>
      </w:pPr>
    </w:p>
    <w:tbl>
      <w:tblPr>
        <w:tblStyle w:val="2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496"/>
        <w:gridCol w:w="290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4496" w:type="dxa"/>
            <w:vAlign w:val="center"/>
          </w:tcPr>
          <w:p>
            <w:pPr>
              <w:jc w:val="center"/>
              <w:rPr>
                <w:rFonts w:ascii="宋体" w:hAnsi="宋体"/>
                <w:color w:val="000000"/>
                <w:sz w:val="24"/>
                <w:szCs w:val="24"/>
              </w:rPr>
            </w:pPr>
            <w:r>
              <w:rPr>
                <w:rFonts w:hint="eastAsia" w:ascii="宋体" w:hAnsi="宋体"/>
                <w:color w:val="000000"/>
                <w:sz w:val="24"/>
                <w:szCs w:val="24"/>
              </w:rPr>
              <w:t>审查内容</w:t>
            </w:r>
          </w:p>
        </w:tc>
        <w:tc>
          <w:tcPr>
            <w:tcW w:w="2905" w:type="dxa"/>
            <w:vAlign w:val="center"/>
          </w:tcPr>
          <w:p>
            <w:pPr>
              <w:jc w:val="center"/>
              <w:rPr>
                <w:rFonts w:ascii="宋体" w:hAnsi="宋体"/>
                <w:color w:val="000000"/>
                <w:sz w:val="24"/>
                <w:szCs w:val="24"/>
              </w:rPr>
            </w:pPr>
            <w:r>
              <w:rPr>
                <w:rFonts w:hint="eastAsia" w:ascii="宋体" w:hAnsi="宋体"/>
                <w:color w:val="000000"/>
                <w:sz w:val="24"/>
                <w:szCs w:val="24"/>
              </w:rPr>
              <w:t>审查标准</w:t>
            </w:r>
          </w:p>
        </w:tc>
        <w:tc>
          <w:tcPr>
            <w:tcW w:w="657" w:type="dxa"/>
            <w:vAlign w:val="center"/>
          </w:tcPr>
          <w:p>
            <w:pPr>
              <w:rPr>
                <w:rFonts w:ascii="宋体" w:hAnsi="宋体"/>
                <w:color w:val="000000"/>
                <w:sz w:val="24"/>
                <w:szCs w:val="24"/>
              </w:rPr>
            </w:pPr>
            <w:r>
              <w:rPr>
                <w:rFonts w:hint="eastAsia" w:ascii="宋体" w:hAnsi="宋体"/>
                <w:color w:val="000000"/>
                <w:sz w:val="24"/>
                <w:szCs w:val="24"/>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702" w:type="dxa"/>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4496" w:type="dxa"/>
            <w:vAlign w:val="center"/>
          </w:tcPr>
          <w:p>
            <w:pPr>
              <w:adjustRightInd w:val="0"/>
              <w:snapToGrid w:val="0"/>
              <w:jc w:val="center"/>
              <w:rPr>
                <w:rFonts w:ascii="宋体" w:hAnsi="宋体"/>
                <w:color w:val="000000"/>
                <w:sz w:val="24"/>
                <w:szCs w:val="24"/>
              </w:rPr>
            </w:pPr>
            <w:r>
              <w:rPr>
                <w:rFonts w:hint="eastAsia" w:ascii="宋体" w:hAnsi="宋体" w:cs="宋体"/>
                <w:sz w:val="24"/>
                <w:szCs w:val="24"/>
                <w:lang w:val="zh-CN"/>
              </w:rPr>
              <w:t>具有独立承担民事责任能力的法人、其他组织或自然人，营业执照、组织机构代码证、税务登记证（三证合一只提供营业执照，事业单位提供事业单位法人证书，自然人应提供身份证）合法有效；</w:t>
            </w:r>
          </w:p>
        </w:tc>
        <w:tc>
          <w:tcPr>
            <w:tcW w:w="2905" w:type="dxa"/>
            <w:vAlign w:val="center"/>
          </w:tcPr>
          <w:p>
            <w:pPr>
              <w:widowControl/>
              <w:tabs>
                <w:tab w:val="left" w:pos="1620"/>
              </w:tabs>
              <w:jc w:val="center"/>
              <w:rPr>
                <w:rFonts w:ascii="宋体" w:hAnsi="宋体"/>
                <w:color w:val="000000"/>
                <w:sz w:val="24"/>
                <w:szCs w:val="24"/>
              </w:rPr>
            </w:pPr>
            <w:r>
              <w:rPr>
                <w:rFonts w:hint="eastAsia" w:ascii="宋体" w:hAnsi="宋体"/>
                <w:color w:val="000000"/>
                <w:sz w:val="24"/>
                <w:szCs w:val="24"/>
              </w:rPr>
              <w:t>提供有效的营业执照、税务登记证、组织机构代码证（或三证合一的营业执照）；</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2" w:type="dxa"/>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4496" w:type="dxa"/>
            <w:vAlign w:val="center"/>
          </w:tcPr>
          <w:p>
            <w:pPr>
              <w:widowControl/>
              <w:jc w:val="center"/>
              <w:rPr>
                <w:rFonts w:ascii="宋体" w:hAnsi="宋体"/>
                <w:color w:val="000000"/>
                <w:sz w:val="24"/>
                <w:szCs w:val="24"/>
              </w:rPr>
            </w:pPr>
            <w:r>
              <w:rPr>
                <w:rFonts w:hint="eastAsia" w:ascii="宋体" w:hAnsi="宋体" w:cs="宋体"/>
                <w:sz w:val="24"/>
                <w:szCs w:val="24"/>
                <w:lang w:val="zh-CN"/>
              </w:rPr>
              <w:t>法定代表人参加投标时，提供本人身份证；授权代表参加投标时，提供法定代表人授权书和被授权人身份证；非法人单位参照执行；</w:t>
            </w:r>
          </w:p>
        </w:tc>
        <w:tc>
          <w:tcPr>
            <w:tcW w:w="2905" w:type="dxa"/>
            <w:vAlign w:val="center"/>
          </w:tcPr>
          <w:p>
            <w:pPr>
              <w:widowControl/>
              <w:tabs>
                <w:tab w:val="left" w:pos="1620"/>
              </w:tabs>
              <w:jc w:val="center"/>
              <w:rPr>
                <w:rFonts w:hint="eastAsia" w:ascii="宋体" w:hAnsi="宋体"/>
                <w:color w:val="000000"/>
                <w:sz w:val="24"/>
                <w:szCs w:val="24"/>
              </w:rPr>
            </w:pPr>
            <w:r>
              <w:rPr>
                <w:rFonts w:hint="eastAsia" w:ascii="宋体" w:hAnsi="宋体"/>
                <w:sz w:val="24"/>
                <w:szCs w:val="24"/>
              </w:rPr>
              <w:t>按</w:t>
            </w:r>
            <w:r>
              <w:rPr>
                <w:rFonts w:hint="eastAsia" w:ascii="宋体" w:hAnsi="宋体"/>
                <w:sz w:val="24"/>
                <w:szCs w:val="24"/>
                <w:lang w:eastAsia="zh-CN"/>
              </w:rPr>
              <w:t>投标</w:t>
            </w:r>
            <w:r>
              <w:rPr>
                <w:rFonts w:hint="eastAsia" w:ascii="宋体" w:hAnsi="宋体"/>
                <w:sz w:val="24"/>
                <w:szCs w:val="24"/>
              </w:rPr>
              <w:t>文件要求提供有效的法人授权委托书和身份证</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vAlign w:val="center"/>
          </w:tcPr>
          <w:p>
            <w:pPr>
              <w:jc w:val="center"/>
              <w:rPr>
                <w:rFonts w:hint="eastAsia" w:ascii="宋体" w:hAnsi="宋体"/>
                <w:color w:val="000000"/>
                <w:sz w:val="24"/>
                <w:szCs w:val="24"/>
              </w:rPr>
            </w:pPr>
            <w:r>
              <w:rPr>
                <w:rFonts w:hint="eastAsia" w:ascii="宋体" w:hAnsi="宋体"/>
                <w:color w:val="000000"/>
                <w:sz w:val="24"/>
                <w:szCs w:val="24"/>
              </w:rPr>
              <w:t>3</w:t>
            </w:r>
          </w:p>
        </w:tc>
        <w:tc>
          <w:tcPr>
            <w:tcW w:w="4496" w:type="dxa"/>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投标单位负责人为同一人或者存在控股、管理关系的不同单位不得同时进行投标；</w:t>
            </w:r>
          </w:p>
        </w:tc>
        <w:tc>
          <w:tcPr>
            <w:tcW w:w="2905" w:type="dxa"/>
            <w:vAlign w:val="center"/>
          </w:tcPr>
          <w:p>
            <w:pPr>
              <w:jc w:val="center"/>
              <w:rPr>
                <w:rFonts w:ascii="宋体" w:hAnsi="宋体"/>
                <w:color w:val="000000"/>
                <w:sz w:val="24"/>
                <w:szCs w:val="24"/>
              </w:rPr>
            </w:pPr>
            <w:r>
              <w:rPr>
                <w:rFonts w:hint="eastAsia" w:ascii="宋体" w:hAnsi="宋体"/>
                <w:color w:val="000000"/>
                <w:sz w:val="24"/>
                <w:szCs w:val="24"/>
              </w:rPr>
              <w:t>是否</w:t>
            </w:r>
            <w:r>
              <w:rPr>
                <w:rFonts w:ascii="宋体" w:hAnsi="宋体"/>
                <w:color w:val="000000"/>
                <w:sz w:val="24"/>
                <w:szCs w:val="24"/>
              </w:rPr>
              <w:t>按照</w:t>
            </w:r>
            <w:r>
              <w:rPr>
                <w:rFonts w:hint="eastAsia" w:ascii="宋体" w:hAnsi="宋体"/>
                <w:color w:val="000000"/>
                <w:sz w:val="24"/>
                <w:szCs w:val="24"/>
                <w:lang w:eastAsia="zh-CN"/>
              </w:rPr>
              <w:t>招标</w:t>
            </w:r>
            <w:r>
              <w:rPr>
                <w:rFonts w:hint="eastAsia" w:ascii="宋体" w:hAnsi="宋体"/>
                <w:color w:val="000000"/>
                <w:sz w:val="24"/>
                <w:szCs w:val="24"/>
              </w:rPr>
              <w:t>文件要求</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2" w:type="dxa"/>
            <w:vAlign w:val="center"/>
          </w:tcPr>
          <w:p>
            <w:pPr>
              <w:jc w:val="center"/>
              <w:rPr>
                <w:rFonts w:hint="eastAsia" w:ascii="宋体" w:hAnsi="宋体"/>
                <w:color w:val="000000"/>
                <w:sz w:val="24"/>
                <w:szCs w:val="24"/>
              </w:rPr>
            </w:pPr>
            <w:r>
              <w:rPr>
                <w:rFonts w:hint="eastAsia" w:ascii="宋体" w:hAnsi="宋体"/>
                <w:color w:val="000000"/>
                <w:sz w:val="24"/>
                <w:szCs w:val="24"/>
              </w:rPr>
              <w:t>4</w:t>
            </w:r>
          </w:p>
        </w:tc>
        <w:tc>
          <w:tcPr>
            <w:tcW w:w="4496" w:type="dxa"/>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参加本次政府采购活动前3年内在经营活动中没有重大违纪的书面声明。</w:t>
            </w:r>
          </w:p>
        </w:tc>
        <w:tc>
          <w:tcPr>
            <w:tcW w:w="2905" w:type="dxa"/>
            <w:vAlign w:val="center"/>
          </w:tcPr>
          <w:p>
            <w:pPr>
              <w:rPr>
                <w:rFonts w:ascii="宋体" w:hAnsi="宋体" w:cs="宋体"/>
                <w:color w:val="FF0000"/>
                <w:kern w:val="0"/>
                <w:sz w:val="24"/>
                <w:szCs w:val="24"/>
              </w:rPr>
            </w:pPr>
            <w:r>
              <w:rPr>
                <w:rFonts w:hint="eastAsia" w:ascii="宋体" w:hAnsi="宋体"/>
                <w:color w:val="000000"/>
                <w:sz w:val="24"/>
                <w:szCs w:val="24"/>
              </w:rPr>
              <w:t>参加政府采购活动前3年内在经营活动中没有重大违法记录的书面声明</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02"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4496" w:type="dxa"/>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税收缴纳证明</w:t>
            </w:r>
          </w:p>
        </w:tc>
        <w:tc>
          <w:tcPr>
            <w:tcW w:w="2905" w:type="dxa"/>
            <w:vAlign w:val="center"/>
          </w:tcPr>
          <w:p>
            <w:pPr>
              <w:widowControl/>
              <w:jc w:val="left"/>
              <w:rPr>
                <w:rFonts w:hint="eastAsia" w:ascii="宋体" w:hAnsi="宋体" w:cs="宋体"/>
                <w:sz w:val="24"/>
                <w:szCs w:val="24"/>
                <w:lang w:val="zh-CN"/>
              </w:rPr>
            </w:pPr>
            <w:r>
              <w:rPr>
                <w:rFonts w:hint="eastAsia" w:ascii="宋体" w:hAnsi="宋体" w:cs="宋体"/>
                <w:sz w:val="24"/>
                <w:szCs w:val="24"/>
                <w:lang w:val="zh-CN"/>
              </w:rPr>
              <w:t>提供投标人20</w:t>
            </w:r>
            <w:r>
              <w:rPr>
                <w:rFonts w:hint="eastAsia" w:ascii="宋体" w:hAnsi="宋体" w:cs="宋体"/>
                <w:sz w:val="24"/>
                <w:szCs w:val="24"/>
                <w:lang w:val="en-US" w:eastAsia="zh-CN"/>
              </w:rPr>
              <w:t>21</w:t>
            </w:r>
            <w:r>
              <w:rPr>
                <w:rFonts w:hint="eastAsia" w:ascii="宋体" w:hAnsi="宋体" w:cs="宋体"/>
                <w:sz w:val="24"/>
                <w:szCs w:val="24"/>
                <w:lang w:val="zh-CN"/>
              </w:rPr>
              <w:t>年</w:t>
            </w:r>
            <w:r>
              <w:rPr>
                <w:rFonts w:hint="eastAsia" w:ascii="宋体" w:hAnsi="宋体" w:cs="宋体"/>
                <w:sz w:val="24"/>
                <w:szCs w:val="24"/>
                <w:lang w:val="en-US" w:eastAsia="zh-CN"/>
              </w:rPr>
              <w:t>6</w:t>
            </w:r>
            <w:r>
              <w:rPr>
                <w:rFonts w:hint="eastAsia" w:ascii="宋体" w:hAnsi="宋体" w:cs="宋体"/>
                <w:sz w:val="24"/>
                <w:szCs w:val="24"/>
                <w:lang w:val="zh-CN"/>
              </w:rPr>
              <w:t>月至今已缴纳任意一个月完税凭证或税务机关开具的完税证明（任意税种）；依法免税的应提供相关文件证明</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02"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4496" w:type="dxa"/>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社会保障资金缴纳证明</w:t>
            </w:r>
          </w:p>
        </w:tc>
        <w:tc>
          <w:tcPr>
            <w:tcW w:w="2905" w:type="dxa"/>
            <w:vAlign w:val="center"/>
          </w:tcPr>
          <w:p>
            <w:pPr>
              <w:widowControl/>
              <w:jc w:val="left"/>
              <w:rPr>
                <w:rFonts w:hint="eastAsia" w:ascii="宋体" w:hAnsi="宋体" w:cs="宋体"/>
                <w:sz w:val="24"/>
                <w:szCs w:val="24"/>
                <w:lang w:val="zh-CN"/>
              </w:rPr>
            </w:pPr>
            <w:r>
              <w:rPr>
                <w:rFonts w:hint="eastAsia" w:ascii="宋体" w:hAnsi="宋体" w:cs="宋体"/>
                <w:sz w:val="24"/>
                <w:szCs w:val="24"/>
                <w:lang w:val="zh-CN"/>
              </w:rPr>
              <w:t>提供投标人20</w:t>
            </w:r>
            <w:r>
              <w:rPr>
                <w:rFonts w:hint="eastAsia" w:ascii="宋体" w:hAnsi="宋体" w:cs="宋体"/>
                <w:sz w:val="24"/>
                <w:szCs w:val="24"/>
                <w:lang w:val="en-US" w:eastAsia="zh-CN"/>
              </w:rPr>
              <w:t>21</w:t>
            </w:r>
            <w:r>
              <w:rPr>
                <w:rFonts w:hint="eastAsia" w:ascii="宋体" w:hAnsi="宋体" w:cs="宋体"/>
                <w:sz w:val="24"/>
                <w:szCs w:val="24"/>
                <w:lang w:val="zh-CN"/>
              </w:rPr>
              <w:t>年</w:t>
            </w:r>
            <w:r>
              <w:rPr>
                <w:rFonts w:hint="eastAsia" w:ascii="宋体" w:hAnsi="宋体" w:cs="宋体"/>
                <w:sz w:val="24"/>
                <w:szCs w:val="24"/>
                <w:lang w:val="en-US" w:eastAsia="zh-CN"/>
              </w:rPr>
              <w:t>6</w:t>
            </w:r>
            <w:r>
              <w:rPr>
                <w:rFonts w:hint="eastAsia" w:ascii="宋体" w:hAnsi="宋体" w:cs="宋体"/>
                <w:sz w:val="24"/>
                <w:szCs w:val="24"/>
                <w:lang w:val="zh-CN"/>
              </w:rPr>
              <w:t>月至今已缴存的任意一个月的社会保障资金缴存证明或社保机构开具的社会保险参保缴费情况证明；依法不需要缴纳社会保障资金的应提供相关文件证明</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2"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4496" w:type="dxa"/>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财务状况报告</w:t>
            </w:r>
          </w:p>
        </w:tc>
        <w:tc>
          <w:tcPr>
            <w:tcW w:w="2905" w:type="dxa"/>
            <w:vAlign w:val="center"/>
          </w:tcPr>
          <w:p>
            <w:pPr>
              <w:widowControl/>
              <w:jc w:val="left"/>
              <w:rPr>
                <w:rFonts w:hint="eastAsia" w:ascii="宋体" w:hAnsi="宋体" w:cs="宋体"/>
                <w:sz w:val="24"/>
                <w:szCs w:val="24"/>
                <w:lang w:val="zh-CN"/>
              </w:rPr>
            </w:pPr>
            <w:r>
              <w:rPr>
                <w:rFonts w:hint="eastAsia" w:ascii="宋体" w:hAnsi="宋体" w:cs="宋体"/>
                <w:sz w:val="24"/>
                <w:szCs w:val="24"/>
                <w:lang w:val="zh-CN"/>
              </w:rPr>
              <w:t>提供</w:t>
            </w:r>
            <w:r>
              <w:rPr>
                <w:rFonts w:hint="eastAsia" w:ascii="宋体" w:hAnsi="宋体" w:cs="宋体"/>
                <w:sz w:val="24"/>
                <w:szCs w:val="24"/>
                <w:lang w:val="en-US" w:eastAsia="zh-CN"/>
              </w:rPr>
              <w:t>2020</w:t>
            </w:r>
            <w:r>
              <w:rPr>
                <w:rFonts w:hint="eastAsia" w:ascii="宋体" w:hAnsi="宋体" w:cs="宋体"/>
                <w:sz w:val="24"/>
                <w:szCs w:val="24"/>
                <w:lang w:val="zh-CN"/>
              </w:rPr>
              <w:t>年经审计的财务报告或开标前三个月内开户银行开具的资信证明</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2"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4496"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zh-CN"/>
              </w:rPr>
              <w:t>“信用中国”网站</w:t>
            </w:r>
            <w:r>
              <w:rPr>
                <w:rFonts w:hint="eastAsia" w:ascii="宋体" w:hAnsi="宋体" w:cs="宋体"/>
                <w:sz w:val="24"/>
                <w:szCs w:val="24"/>
                <w:lang w:val="zh-CN" w:eastAsia="zh-CN"/>
              </w:rPr>
              <w:t>和“</w:t>
            </w:r>
            <w:r>
              <w:rPr>
                <w:rFonts w:hint="eastAsia" w:ascii="宋体" w:hAnsi="宋体" w:cs="宋体"/>
                <w:sz w:val="24"/>
                <w:szCs w:val="24"/>
                <w:lang w:val="zh-CN"/>
              </w:rPr>
              <w:t>中国政府采购网</w:t>
            </w:r>
            <w:r>
              <w:rPr>
                <w:rFonts w:hint="eastAsia" w:ascii="宋体" w:hAnsi="宋体" w:cs="宋体"/>
                <w:sz w:val="24"/>
                <w:szCs w:val="24"/>
                <w:lang w:val="zh-CN" w:eastAsia="zh-CN"/>
              </w:rPr>
              <w:t>”查询截图</w:t>
            </w:r>
          </w:p>
        </w:tc>
        <w:tc>
          <w:tcPr>
            <w:tcW w:w="2905" w:type="dxa"/>
            <w:vAlign w:val="center"/>
          </w:tcPr>
          <w:p>
            <w:pPr>
              <w:widowControl/>
              <w:jc w:val="left"/>
              <w:rPr>
                <w:rFonts w:hint="eastAsia" w:ascii="宋体" w:hAnsi="宋体" w:cs="宋体"/>
                <w:sz w:val="24"/>
                <w:szCs w:val="24"/>
                <w:lang w:val="zh-CN"/>
              </w:rPr>
            </w:pPr>
            <w:r>
              <w:rPr>
                <w:rFonts w:hint="eastAsia" w:ascii="宋体" w:hAnsi="宋体" w:cs="宋体"/>
                <w:sz w:val="24"/>
                <w:szCs w:val="24"/>
                <w:lang w:val="zh-CN"/>
              </w:rPr>
              <w:t>投标人不得为“信用中国”网站</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szCs w:val="24"/>
                <w:lang w:val="zh-CN"/>
              </w:rPr>
              <w:t>和“中国政府采购网”中被列入失信被执行人、重大税收违法案件当事人名单、政府采购严重违法失信行为记录名单的单位。</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2"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496" w:type="dxa"/>
            <w:vAlign w:val="center"/>
          </w:tcPr>
          <w:p>
            <w:pPr>
              <w:widowControl/>
              <w:jc w:val="center"/>
              <w:rPr>
                <w:rFonts w:hint="eastAsia" w:ascii="宋体" w:hAnsi="宋体" w:eastAsia="宋体" w:cs="宋体"/>
                <w:sz w:val="24"/>
                <w:szCs w:val="24"/>
                <w:lang w:val="zh-CN"/>
              </w:rPr>
            </w:pPr>
            <w:r>
              <w:rPr>
                <w:rFonts w:hint="eastAsia" w:ascii="宋体" w:hAnsi="宋体" w:eastAsia="宋体" w:cs="宋体"/>
                <w:sz w:val="24"/>
                <w:szCs w:val="24"/>
                <w:lang w:val="zh-CN" w:eastAsia="zh-CN"/>
              </w:rPr>
              <w:t>具有履行合同所必需的设备和专业技术能力</w:t>
            </w:r>
          </w:p>
        </w:tc>
        <w:tc>
          <w:tcPr>
            <w:tcW w:w="2905" w:type="dxa"/>
            <w:vAlign w:val="center"/>
          </w:tcPr>
          <w:p>
            <w:pPr>
              <w:widowControl/>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具有履行合同所必需的设备和专业技术能力的承诺函</w:t>
            </w:r>
          </w:p>
        </w:tc>
        <w:tc>
          <w:tcPr>
            <w:tcW w:w="657"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2" w:type="dxa"/>
            <w:vAlign w:val="center"/>
          </w:tcPr>
          <w:p>
            <w:pPr>
              <w:widowControl/>
              <w:jc w:val="center"/>
              <w:rPr>
                <w:rFonts w:hint="eastAsia" w:ascii="宋体" w:hAnsi="宋体" w:cs="宋体"/>
                <w:sz w:val="24"/>
                <w:szCs w:val="24"/>
                <w:lang w:val="zh-CN"/>
              </w:rPr>
            </w:pPr>
          </w:p>
        </w:tc>
        <w:tc>
          <w:tcPr>
            <w:tcW w:w="7401" w:type="dxa"/>
            <w:gridSpan w:val="2"/>
            <w:vAlign w:val="center"/>
          </w:tcPr>
          <w:p>
            <w:pPr>
              <w:widowControl/>
              <w:jc w:val="center"/>
              <w:rPr>
                <w:rFonts w:hint="eastAsia" w:ascii="宋体" w:hAnsi="宋体" w:cs="宋体"/>
                <w:sz w:val="24"/>
                <w:szCs w:val="24"/>
                <w:lang w:val="zh-CN"/>
              </w:rPr>
            </w:pPr>
            <w:r>
              <w:rPr>
                <w:rFonts w:hint="eastAsia" w:ascii="宋体" w:hAnsi="宋体" w:cs="宋体"/>
                <w:sz w:val="24"/>
                <w:szCs w:val="24"/>
                <w:lang w:val="zh-CN"/>
              </w:rPr>
              <w:t>审查结果（合格或不合格）</w:t>
            </w:r>
          </w:p>
        </w:tc>
        <w:tc>
          <w:tcPr>
            <w:tcW w:w="657" w:type="dxa"/>
            <w:vAlign w:val="center"/>
          </w:tcPr>
          <w:p>
            <w:pPr>
              <w:jc w:val="center"/>
              <w:rPr>
                <w:rFonts w:ascii="宋体" w:hAnsi="宋体"/>
                <w:color w:val="000000"/>
                <w:sz w:val="24"/>
                <w:szCs w:val="24"/>
              </w:rPr>
            </w:pPr>
          </w:p>
        </w:tc>
      </w:tr>
    </w:tbl>
    <w:p>
      <w:pPr>
        <w:spacing w:afterLines="50" w:line="360" w:lineRule="auto"/>
        <w:ind w:firstLine="472" w:firstLineChars="196"/>
        <w:rPr>
          <w:rFonts w:hint="eastAsia" w:ascii="宋体" w:hAnsi="宋体"/>
          <w:b/>
          <w:bCs/>
          <w:sz w:val="24"/>
        </w:rPr>
      </w:pPr>
      <w:r>
        <w:rPr>
          <w:rFonts w:hint="eastAsia" w:ascii="宋体" w:hAnsi="宋体"/>
          <w:b/>
          <w:bCs/>
          <w:sz w:val="24"/>
        </w:rPr>
        <w:t>注：以上证件、资料在</w:t>
      </w:r>
      <w:r>
        <w:rPr>
          <w:rFonts w:hint="eastAsia" w:ascii="宋体" w:hAnsi="宋体"/>
          <w:b/>
          <w:bCs/>
          <w:sz w:val="24"/>
          <w:lang w:eastAsia="zh-CN"/>
        </w:rPr>
        <w:t>投标</w:t>
      </w:r>
      <w:r>
        <w:rPr>
          <w:rFonts w:hint="eastAsia" w:ascii="宋体" w:hAnsi="宋体"/>
          <w:b/>
          <w:bCs/>
          <w:sz w:val="24"/>
        </w:rPr>
        <w:t>文件中放置复印件并加盖公章。</w:t>
      </w:r>
    </w:p>
    <w:p>
      <w:pPr>
        <w:spacing w:afterLines="50" w:line="360" w:lineRule="auto"/>
        <w:ind w:firstLine="470" w:firstLineChars="196"/>
        <w:rPr>
          <w:rFonts w:hint="eastAsia" w:ascii="宋体" w:hAnsi="宋体"/>
          <w:sz w:val="24"/>
        </w:rPr>
        <w:sectPr>
          <w:headerReference r:id="rId9" w:type="first"/>
          <w:footerReference r:id="rId11" w:type="first"/>
          <w:headerReference r:id="rId8" w:type="default"/>
          <w:footerReference r:id="rId10" w:type="default"/>
          <w:pgSz w:w="11906" w:h="16838"/>
          <w:pgMar w:top="1418" w:right="1418" w:bottom="1418" w:left="1418" w:header="851" w:footer="992" w:gutter="0"/>
          <w:pgNumType w:fmt="decimal"/>
          <w:cols w:space="720" w:num="1"/>
          <w:titlePg/>
          <w:docGrid w:linePitch="312" w:charSpace="0"/>
        </w:sectPr>
      </w:pPr>
    </w:p>
    <w:p>
      <w:pPr>
        <w:spacing w:afterLines="50" w:line="240" w:lineRule="auto"/>
        <w:ind w:firstLine="470" w:firstLineChars="196"/>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符合性</w:t>
      </w:r>
      <w:r>
        <w:rPr>
          <w:rFonts w:hint="eastAsia" w:ascii="宋体" w:hAnsi="宋体"/>
          <w:sz w:val="24"/>
          <w:lang w:eastAsia="zh-CN"/>
        </w:rPr>
        <w:t>审查</w:t>
      </w:r>
      <w:r>
        <w:rPr>
          <w:rFonts w:hint="eastAsia" w:ascii="宋体" w:hAnsi="宋体"/>
          <w:sz w:val="24"/>
        </w:rPr>
        <w:t>。依据</w:t>
      </w:r>
      <w:r>
        <w:rPr>
          <w:rFonts w:hint="eastAsia" w:ascii="宋体" w:hAnsi="宋体"/>
          <w:sz w:val="24"/>
          <w:lang w:eastAsia="zh-CN"/>
        </w:rPr>
        <w:t>招标</w:t>
      </w:r>
      <w:r>
        <w:rPr>
          <w:rFonts w:hint="eastAsia" w:ascii="宋体" w:hAnsi="宋体"/>
          <w:sz w:val="24"/>
        </w:rPr>
        <w:t>文件的规定，从</w:t>
      </w:r>
      <w:r>
        <w:rPr>
          <w:rFonts w:hint="eastAsia" w:ascii="宋体" w:hAnsi="宋体"/>
          <w:sz w:val="24"/>
          <w:lang w:eastAsia="zh-CN"/>
        </w:rPr>
        <w:t>投标</w:t>
      </w:r>
      <w:r>
        <w:rPr>
          <w:rFonts w:hint="eastAsia" w:ascii="宋体" w:hAnsi="宋体"/>
          <w:sz w:val="24"/>
        </w:rPr>
        <w:t>文件的有效性、完整性和对</w:t>
      </w:r>
      <w:r>
        <w:rPr>
          <w:rFonts w:hint="eastAsia" w:ascii="宋体" w:hAnsi="宋体"/>
          <w:sz w:val="24"/>
          <w:lang w:eastAsia="zh-CN"/>
        </w:rPr>
        <w:t>招标</w:t>
      </w:r>
      <w:r>
        <w:rPr>
          <w:rFonts w:hint="eastAsia" w:ascii="宋体" w:hAnsi="宋体"/>
          <w:sz w:val="24"/>
        </w:rPr>
        <w:t>文件的响应程度进行审查，以确定是否对</w:t>
      </w:r>
      <w:r>
        <w:rPr>
          <w:rFonts w:hint="eastAsia" w:ascii="宋体" w:hAnsi="宋体"/>
          <w:sz w:val="24"/>
          <w:lang w:eastAsia="zh-CN"/>
        </w:rPr>
        <w:t>招标</w:t>
      </w:r>
      <w:r>
        <w:rPr>
          <w:rFonts w:hint="eastAsia" w:ascii="宋体" w:hAnsi="宋体"/>
          <w:sz w:val="24"/>
        </w:rPr>
        <w:t>文件的实质性要求作出响应。</w:t>
      </w:r>
    </w:p>
    <w:p>
      <w:pPr>
        <w:spacing w:afterLines="50" w:line="240" w:lineRule="auto"/>
        <w:ind w:firstLine="472" w:firstLineChars="196"/>
        <w:rPr>
          <w:rFonts w:hint="eastAsia" w:ascii="宋体" w:hAnsi="宋体"/>
          <w:b/>
          <w:bCs/>
          <w:sz w:val="24"/>
        </w:rPr>
      </w:pPr>
      <w:r>
        <w:rPr>
          <w:rFonts w:hint="eastAsia" w:ascii="宋体" w:hAnsi="宋体"/>
          <w:b/>
          <w:bCs/>
          <w:sz w:val="24"/>
        </w:rPr>
        <w:t>符合性审查表</w:t>
      </w:r>
      <w:r>
        <w:rPr>
          <w:rFonts w:hint="eastAsia" w:ascii="宋体" w:hAnsi="宋体"/>
          <w:b/>
          <w:bCs/>
          <w:sz w:val="24"/>
          <w:lang w:eastAsia="zh-CN"/>
        </w:rPr>
        <w:t>：</w:t>
      </w:r>
    </w:p>
    <w:tbl>
      <w:tblPr>
        <w:tblStyle w:val="29"/>
        <w:tblpPr w:leftFromText="180" w:rightFromText="180" w:vertAnchor="text" w:horzAnchor="page" w:tblpX="1775" w:tblpY="184"/>
        <w:tblOverlap w:val="never"/>
        <w:tblW w:w="84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9"/>
        <w:gridCol w:w="4249"/>
        <w:gridCol w:w="1665"/>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序号</w:t>
            </w:r>
          </w:p>
        </w:tc>
        <w:tc>
          <w:tcPr>
            <w:tcW w:w="4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审查内容</w:t>
            </w:r>
          </w:p>
        </w:tc>
        <w:tc>
          <w:tcPr>
            <w:tcW w:w="16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审查标准</w:t>
            </w:r>
          </w:p>
        </w:tc>
        <w:tc>
          <w:tcPr>
            <w:tcW w:w="18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审查结果（合格或不合格）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6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ascii="宋体" w:hAnsi="宋体"/>
                <w:sz w:val="24"/>
                <w:szCs w:val="24"/>
              </w:rPr>
              <w:t>1</w:t>
            </w:r>
          </w:p>
        </w:tc>
        <w:tc>
          <w:tcPr>
            <w:tcW w:w="42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文件按照</w:t>
            </w:r>
            <w:r>
              <w:rPr>
                <w:rFonts w:hint="eastAsia" w:ascii="宋体" w:hAnsi="宋体"/>
                <w:sz w:val="24"/>
                <w:szCs w:val="24"/>
                <w:lang w:eastAsia="zh-CN"/>
              </w:rPr>
              <w:t>招标</w:t>
            </w:r>
            <w:r>
              <w:rPr>
                <w:rFonts w:hint="eastAsia" w:ascii="宋体" w:hAnsi="宋体"/>
                <w:sz w:val="24"/>
                <w:szCs w:val="24"/>
              </w:rPr>
              <w:t>文件规定的格式、内容填写齐全，字迹清晰可辨</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是否符合</w:t>
            </w:r>
          </w:p>
        </w:tc>
        <w:tc>
          <w:tcPr>
            <w:tcW w:w="18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67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2</w:t>
            </w:r>
          </w:p>
        </w:tc>
        <w:tc>
          <w:tcPr>
            <w:tcW w:w="42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文件有效期</w:t>
            </w:r>
            <w:r>
              <w:rPr>
                <w:rFonts w:hint="eastAsia" w:ascii="宋体" w:hAnsi="宋体"/>
                <w:sz w:val="24"/>
                <w:szCs w:val="24"/>
                <w:lang w:eastAsia="zh-CN"/>
              </w:rPr>
              <w:t>是否</w:t>
            </w:r>
            <w:r>
              <w:rPr>
                <w:rFonts w:hint="eastAsia" w:ascii="宋体" w:hAnsi="宋体"/>
                <w:sz w:val="24"/>
                <w:szCs w:val="24"/>
              </w:rPr>
              <w:t>满足</w:t>
            </w:r>
            <w:r>
              <w:rPr>
                <w:rFonts w:hint="eastAsia" w:ascii="宋体" w:hAnsi="宋体"/>
                <w:sz w:val="24"/>
                <w:szCs w:val="24"/>
                <w:lang w:eastAsia="zh-CN"/>
              </w:rPr>
              <w:t>招标</w:t>
            </w:r>
            <w:r>
              <w:rPr>
                <w:rFonts w:hint="eastAsia" w:ascii="宋体" w:hAnsi="宋体"/>
                <w:sz w:val="24"/>
                <w:szCs w:val="24"/>
              </w:rPr>
              <w:t>文件要求</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是否满足</w:t>
            </w:r>
          </w:p>
        </w:tc>
        <w:tc>
          <w:tcPr>
            <w:tcW w:w="1831" w:type="dxa"/>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jc w:val="center"/>
              <w:rPr>
                <w:rFonts w:ascii="黑体" w:hAnsi="宋体"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67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24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lang w:eastAsia="zh-CN"/>
              </w:rPr>
            </w:pPr>
            <w:r>
              <w:rPr>
                <w:rFonts w:hint="eastAsia" w:ascii="宋体" w:hAnsi="宋体"/>
                <w:sz w:val="24"/>
                <w:szCs w:val="24"/>
                <w:lang w:eastAsia="zh-CN"/>
              </w:rPr>
              <w:t>质保期</w:t>
            </w:r>
          </w:p>
        </w:tc>
        <w:tc>
          <w:tcPr>
            <w:tcW w:w="166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rPr>
            </w:pPr>
            <w:r>
              <w:rPr>
                <w:rFonts w:hint="eastAsia" w:ascii="宋体" w:hAnsi="宋体"/>
                <w:sz w:val="24"/>
                <w:szCs w:val="24"/>
              </w:rPr>
              <w:t>是否满足</w:t>
            </w:r>
          </w:p>
        </w:tc>
        <w:tc>
          <w:tcPr>
            <w:tcW w:w="183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679" w:type="dxa"/>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4</w:t>
            </w:r>
          </w:p>
        </w:tc>
        <w:tc>
          <w:tcPr>
            <w:tcW w:w="424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lang w:eastAsia="zh-CN"/>
              </w:rPr>
            </w:pPr>
            <w:r>
              <w:rPr>
                <w:rFonts w:hint="eastAsia" w:ascii="宋体" w:hAnsi="宋体"/>
                <w:sz w:val="24"/>
                <w:szCs w:val="24"/>
                <w:lang w:eastAsia="zh-CN"/>
              </w:rPr>
              <w:t>交货期</w:t>
            </w:r>
          </w:p>
        </w:tc>
        <w:tc>
          <w:tcPr>
            <w:tcW w:w="166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rPr>
            </w:pPr>
            <w:r>
              <w:rPr>
                <w:rFonts w:hint="eastAsia" w:ascii="宋体" w:hAnsi="宋体"/>
                <w:sz w:val="24"/>
                <w:szCs w:val="24"/>
              </w:rPr>
              <w:t>是否满足</w:t>
            </w:r>
          </w:p>
        </w:tc>
        <w:tc>
          <w:tcPr>
            <w:tcW w:w="183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679" w:type="dxa"/>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5</w:t>
            </w:r>
          </w:p>
        </w:tc>
        <w:tc>
          <w:tcPr>
            <w:tcW w:w="424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rPr>
            </w:pPr>
            <w:r>
              <w:rPr>
                <w:rFonts w:hint="eastAsia" w:ascii="宋体" w:hAnsi="宋体"/>
                <w:sz w:val="24"/>
                <w:szCs w:val="24"/>
                <w:lang w:eastAsia="zh-CN"/>
              </w:rPr>
              <w:t>投标</w:t>
            </w:r>
            <w:r>
              <w:rPr>
                <w:rFonts w:hint="eastAsia" w:ascii="宋体" w:hAnsi="宋体"/>
                <w:sz w:val="24"/>
                <w:szCs w:val="24"/>
              </w:rPr>
              <w:t>文件</w:t>
            </w:r>
            <w:r>
              <w:rPr>
                <w:rFonts w:hint="eastAsia" w:ascii="宋体" w:hAnsi="宋体"/>
                <w:sz w:val="24"/>
                <w:szCs w:val="24"/>
                <w:lang w:eastAsia="zh-CN"/>
              </w:rPr>
              <w:t>投标人</w:t>
            </w:r>
            <w:r>
              <w:rPr>
                <w:rFonts w:hint="eastAsia" w:ascii="宋体" w:hAnsi="宋体"/>
                <w:sz w:val="24"/>
                <w:szCs w:val="24"/>
              </w:rPr>
              <w:t>的签字、盖章</w:t>
            </w:r>
            <w:r>
              <w:rPr>
                <w:rFonts w:hint="eastAsia" w:ascii="宋体" w:hAnsi="宋体"/>
                <w:sz w:val="24"/>
                <w:szCs w:val="24"/>
                <w:lang w:eastAsia="zh-CN"/>
              </w:rPr>
              <w:t>、密封</w:t>
            </w:r>
            <w:r>
              <w:rPr>
                <w:rFonts w:hint="eastAsia" w:ascii="宋体" w:hAnsi="宋体"/>
                <w:sz w:val="24"/>
                <w:szCs w:val="24"/>
              </w:rPr>
              <w:t>是否符合</w:t>
            </w:r>
            <w:r>
              <w:rPr>
                <w:rFonts w:hint="eastAsia" w:ascii="宋体" w:hAnsi="宋体"/>
                <w:sz w:val="24"/>
                <w:szCs w:val="24"/>
                <w:lang w:eastAsia="zh-CN"/>
              </w:rPr>
              <w:t>招标</w:t>
            </w:r>
            <w:r>
              <w:rPr>
                <w:rFonts w:hint="eastAsia" w:ascii="宋体" w:hAnsi="宋体"/>
                <w:sz w:val="24"/>
                <w:szCs w:val="24"/>
              </w:rPr>
              <w:t>文件规定；</w:t>
            </w:r>
          </w:p>
        </w:tc>
        <w:tc>
          <w:tcPr>
            <w:tcW w:w="166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rPr>
              <w:t>是否</w:t>
            </w:r>
            <w:r>
              <w:rPr>
                <w:rFonts w:hint="eastAsia" w:ascii="宋体" w:hAnsi="宋体"/>
                <w:sz w:val="24"/>
                <w:szCs w:val="24"/>
                <w:lang w:eastAsia="zh-CN"/>
              </w:rPr>
              <w:t>符合</w:t>
            </w:r>
          </w:p>
        </w:tc>
        <w:tc>
          <w:tcPr>
            <w:tcW w:w="183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679" w:type="dxa"/>
            <w:tcBorders>
              <w:top w:val="single" w:color="auto" w:sz="4" w:space="0"/>
              <w:left w:val="single" w:color="auto" w:sz="6" w:space="0"/>
              <w:bottom w:val="single" w:color="auto" w:sz="6" w:space="0"/>
              <w:right w:val="single" w:color="auto" w:sz="6" w:space="0"/>
            </w:tcBorders>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6</w:t>
            </w:r>
          </w:p>
        </w:tc>
        <w:tc>
          <w:tcPr>
            <w:tcW w:w="4249"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sz w:val="24"/>
                <w:szCs w:val="24"/>
                <w:lang w:eastAsia="zh-CN"/>
              </w:rPr>
            </w:pPr>
            <w:r>
              <w:rPr>
                <w:rFonts w:hint="eastAsia" w:ascii="宋体" w:hAnsi="宋体"/>
                <w:sz w:val="24"/>
                <w:szCs w:val="24"/>
                <w:lang w:eastAsia="zh-CN"/>
              </w:rPr>
              <w:t>报价唯一，且未超预算</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sz w:val="24"/>
                <w:szCs w:val="24"/>
              </w:rPr>
            </w:pPr>
            <w:r>
              <w:rPr>
                <w:rFonts w:hint="eastAsia" w:ascii="宋体" w:hAnsi="宋体"/>
                <w:sz w:val="24"/>
                <w:szCs w:val="24"/>
              </w:rPr>
              <w:t>是否</w:t>
            </w:r>
            <w:r>
              <w:rPr>
                <w:rFonts w:hint="eastAsia" w:ascii="宋体" w:hAnsi="宋体"/>
                <w:sz w:val="24"/>
                <w:szCs w:val="24"/>
                <w:lang w:eastAsia="zh-CN"/>
              </w:rPr>
              <w:t>符合</w:t>
            </w:r>
          </w:p>
        </w:tc>
        <w:tc>
          <w:tcPr>
            <w:tcW w:w="1831"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67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4249"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文件对</w:t>
            </w:r>
            <w:r>
              <w:rPr>
                <w:rFonts w:hint="eastAsia" w:ascii="宋体" w:hAnsi="宋体"/>
                <w:sz w:val="24"/>
                <w:szCs w:val="24"/>
                <w:lang w:eastAsia="zh-CN"/>
              </w:rPr>
              <w:t>招标</w:t>
            </w:r>
            <w:r>
              <w:rPr>
                <w:rFonts w:hint="eastAsia" w:ascii="宋体" w:hAnsi="宋体"/>
                <w:sz w:val="24"/>
                <w:szCs w:val="24"/>
              </w:rPr>
              <w:t>文件响应，未附有采购人不能接受条件的，不存在重大偏离。</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是否满足</w:t>
            </w:r>
          </w:p>
        </w:tc>
        <w:tc>
          <w:tcPr>
            <w:tcW w:w="18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659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审查结果（合格或不合格）</w:t>
            </w:r>
          </w:p>
        </w:tc>
        <w:tc>
          <w:tcPr>
            <w:tcW w:w="18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bl>
    <w:p>
      <w:pPr>
        <w:spacing w:beforeLines="100" w:line="360" w:lineRule="auto"/>
        <w:rPr>
          <w:rFonts w:hint="eastAsia" w:ascii="宋体" w:hAnsi="宋体"/>
          <w:sz w:val="24"/>
          <w:highlight w:val="none"/>
        </w:rPr>
      </w:pPr>
      <w:r>
        <w:rPr>
          <w:rFonts w:hint="eastAsia" w:ascii="宋体" w:hAnsi="宋体"/>
          <w:sz w:val="24"/>
          <w:szCs w:val="24"/>
          <w:highlight w:val="none"/>
        </w:rPr>
        <w:t>说明：以上各项有1项不合格，评审不予通过，作为未实质性响应招标文件。</w:t>
      </w:r>
    </w:p>
    <w:p>
      <w:pPr>
        <w:spacing w:beforeLines="100"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 xml:space="preserve"> 未通过</w:t>
      </w:r>
      <w:r>
        <w:rPr>
          <w:rFonts w:hint="eastAsia" w:ascii="宋体" w:hAnsi="宋体"/>
          <w:sz w:val="24"/>
          <w:lang w:eastAsia="zh-CN"/>
        </w:rPr>
        <w:t>资格性、</w:t>
      </w:r>
      <w:r>
        <w:rPr>
          <w:rFonts w:hint="eastAsia" w:ascii="宋体" w:hAnsi="宋体"/>
          <w:sz w:val="24"/>
        </w:rPr>
        <w:t>符合性</w:t>
      </w:r>
      <w:r>
        <w:rPr>
          <w:rFonts w:hint="eastAsia" w:ascii="宋体" w:hAnsi="宋体"/>
          <w:sz w:val="24"/>
          <w:lang w:eastAsia="zh-CN"/>
        </w:rPr>
        <w:t>审查</w:t>
      </w:r>
      <w:r>
        <w:rPr>
          <w:rFonts w:hint="eastAsia" w:ascii="宋体" w:hAnsi="宋体"/>
          <w:sz w:val="24"/>
        </w:rPr>
        <w:t>的投标</w:t>
      </w:r>
      <w:r>
        <w:rPr>
          <w:rFonts w:hint="eastAsia" w:ascii="宋体" w:hAnsi="宋体"/>
          <w:sz w:val="24"/>
          <w:lang w:eastAsia="zh-CN"/>
        </w:rPr>
        <w:t>单位</w:t>
      </w:r>
      <w:r>
        <w:rPr>
          <w:rFonts w:hint="eastAsia" w:ascii="宋体" w:hAnsi="宋体"/>
          <w:sz w:val="24"/>
        </w:rPr>
        <w:t>，不得进入后续评标环节。</w:t>
      </w:r>
    </w:p>
    <w:p>
      <w:pPr>
        <w:pStyle w:val="8"/>
        <w:spacing w:line="360" w:lineRule="auto"/>
      </w:pPr>
      <w:r>
        <w:rPr>
          <w:rFonts w:hint="eastAsia"/>
        </w:rPr>
        <w:t>3.投标文件的澄清</w:t>
      </w:r>
    </w:p>
    <w:p>
      <w:pPr>
        <w:spacing w:line="360" w:lineRule="auto"/>
        <w:ind w:firstLine="480" w:firstLineChars="200"/>
        <w:rPr>
          <w:rFonts w:ascii="宋体" w:hAnsi="宋体"/>
          <w:sz w:val="24"/>
        </w:rPr>
      </w:pPr>
      <w:r>
        <w:rPr>
          <w:rFonts w:hint="eastAsia" w:ascii="宋体" w:hAnsi="宋体"/>
          <w:sz w:val="24"/>
        </w:rPr>
        <w:t>3.1为有助于投标文件的审查、比较和评价，评委会可要求投标人对其投标文件中非实质性（投标文件中含义不明确、同类问题表述不一致或者有明显文字和计算错误的内容）的有关问题进行澄清、说明或者补正。有关澄清、说明或者补正的要求和答复应以书面（含电传、传真）形式提交，并由其法定代表人或委托代理人签字。投标人的澄清、说明或者补正不得超出投标文件的范围或者改变投标文件的实质性内容。评委会不接受投标人主动提出的澄清、说明。</w:t>
      </w:r>
    </w:p>
    <w:p>
      <w:pPr>
        <w:spacing w:line="360" w:lineRule="auto"/>
        <w:ind w:firstLine="480" w:firstLineChars="200"/>
        <w:rPr>
          <w:rFonts w:ascii="宋体" w:hAnsi="宋体"/>
          <w:sz w:val="24"/>
        </w:rPr>
      </w:pPr>
      <w:r>
        <w:rPr>
          <w:rFonts w:hint="eastAsia" w:ascii="宋体" w:hAnsi="宋体"/>
          <w:sz w:val="24"/>
        </w:rPr>
        <w:t>3.2 评委会对投标人提交的澄清、说明或者补正有疑问的，可以要求投标人进一步澄清、说明或者补正，直至满足评委会的要求。</w:t>
      </w:r>
    </w:p>
    <w:p>
      <w:pPr>
        <w:spacing w:line="360" w:lineRule="auto"/>
        <w:ind w:firstLine="480" w:firstLineChars="200"/>
        <w:rPr>
          <w:rFonts w:ascii="宋体" w:hAnsi="宋体"/>
          <w:sz w:val="24"/>
        </w:rPr>
      </w:pPr>
      <w:r>
        <w:rPr>
          <w:rFonts w:hint="eastAsia" w:ascii="宋体" w:hAnsi="宋体"/>
          <w:sz w:val="24"/>
        </w:rPr>
        <w:t>3.3 有效的书面澄清、说明或补正材料，是投标文件的补充材料，成为投标文件的组成部分。</w:t>
      </w:r>
    </w:p>
    <w:p>
      <w:pPr>
        <w:pStyle w:val="8"/>
      </w:pPr>
      <w:r>
        <w:rPr>
          <w:rFonts w:hint="eastAsia"/>
        </w:rPr>
        <w:t>4.投标文件比较与评价</w:t>
      </w:r>
    </w:p>
    <w:p>
      <w:pPr>
        <w:tabs>
          <w:tab w:val="left" w:pos="0"/>
        </w:tabs>
        <w:adjustRightInd w:val="0"/>
        <w:snapToGrid w:val="0"/>
        <w:spacing w:beforeLines="50" w:line="360" w:lineRule="auto"/>
        <w:ind w:firstLine="480" w:firstLineChars="200"/>
        <w:rPr>
          <w:rFonts w:ascii="宋体" w:hAnsi="宋体"/>
          <w:color w:val="auto"/>
          <w:sz w:val="24"/>
        </w:rPr>
      </w:pPr>
      <w:r>
        <w:rPr>
          <w:rFonts w:hint="eastAsia" w:ascii="宋体" w:hAnsi="宋体"/>
          <w:color w:val="auto"/>
          <w:sz w:val="24"/>
        </w:rPr>
        <w:t>4.1</w:t>
      </w:r>
      <w:r>
        <w:rPr>
          <w:rFonts w:hint="eastAsia" w:ascii="宋体" w:hAnsi="宋体"/>
          <w:bCs/>
          <w:color w:val="auto"/>
          <w:sz w:val="24"/>
        </w:rPr>
        <w:t>评</w:t>
      </w:r>
      <w:r>
        <w:rPr>
          <w:rFonts w:hint="eastAsia" w:ascii="宋体" w:hAnsi="宋体"/>
          <w:bCs/>
          <w:color w:val="auto"/>
          <w:sz w:val="24"/>
          <w:lang w:eastAsia="zh-CN"/>
        </w:rPr>
        <w:t>标</w:t>
      </w:r>
      <w:r>
        <w:rPr>
          <w:rFonts w:hint="eastAsia" w:ascii="宋体" w:hAnsi="宋体"/>
          <w:bCs/>
          <w:color w:val="auto"/>
          <w:sz w:val="24"/>
        </w:rPr>
        <w:t>委</w:t>
      </w:r>
      <w:r>
        <w:rPr>
          <w:rFonts w:hint="eastAsia" w:ascii="宋体" w:hAnsi="宋体"/>
          <w:bCs/>
          <w:color w:val="auto"/>
          <w:sz w:val="24"/>
          <w:lang w:eastAsia="zh-CN"/>
        </w:rPr>
        <w:t>员</w:t>
      </w:r>
      <w:r>
        <w:rPr>
          <w:rFonts w:hint="eastAsia" w:ascii="宋体" w:hAnsi="宋体"/>
          <w:bCs/>
          <w:color w:val="auto"/>
          <w:sz w:val="24"/>
        </w:rPr>
        <w:t>会应按照招标文件中规定的评标方法</w:t>
      </w:r>
      <w:r>
        <w:rPr>
          <w:rFonts w:hint="eastAsia" w:ascii="宋体" w:hAnsi="宋体"/>
          <w:color w:val="auto"/>
          <w:sz w:val="24"/>
        </w:rPr>
        <w:t>和标准，</w:t>
      </w:r>
      <w:r>
        <w:rPr>
          <w:rFonts w:hint="eastAsia" w:ascii="宋体" w:hAnsi="宋体"/>
          <w:bCs/>
          <w:color w:val="auto"/>
          <w:sz w:val="24"/>
        </w:rPr>
        <w:t>对</w:t>
      </w:r>
      <w:r>
        <w:rPr>
          <w:rFonts w:hint="eastAsia" w:ascii="宋体" w:hAnsi="宋体"/>
          <w:color w:val="auto"/>
          <w:sz w:val="24"/>
          <w:lang w:eastAsia="zh-CN"/>
        </w:rPr>
        <w:t>初步审查</w:t>
      </w:r>
      <w:r>
        <w:rPr>
          <w:rFonts w:hint="eastAsia" w:ascii="宋体" w:hAnsi="宋体"/>
          <w:bCs/>
          <w:color w:val="auto"/>
          <w:sz w:val="24"/>
        </w:rPr>
        <w:t>通过的投标文件进行商务和技术评估，综合比较与评价。</w:t>
      </w:r>
    </w:p>
    <w:p>
      <w:pPr>
        <w:pStyle w:val="8"/>
      </w:pPr>
      <w:r>
        <w:rPr>
          <w:rFonts w:hint="eastAsia"/>
        </w:rPr>
        <w:t>5.复核与核对评标结果</w:t>
      </w:r>
    </w:p>
    <w:p>
      <w:pPr>
        <w:spacing w:line="360" w:lineRule="auto"/>
        <w:ind w:firstLine="470" w:firstLineChars="196"/>
        <w:rPr>
          <w:rFonts w:ascii="宋体" w:hAnsi="宋体"/>
          <w:sz w:val="24"/>
        </w:rPr>
      </w:pPr>
      <w:r>
        <w:rPr>
          <w:rFonts w:hint="eastAsia" w:ascii="宋体" w:hAnsi="宋体"/>
          <w:sz w:val="24"/>
        </w:rPr>
        <w:t>5.1 评分汇总结束后，评标委员会应当进行复核，特别要对拟推荐中标候选人的、报价最低的、投标文件被认定无效的进行重点复核。</w:t>
      </w:r>
    </w:p>
    <w:p>
      <w:pPr>
        <w:spacing w:line="360" w:lineRule="auto"/>
        <w:ind w:firstLine="470" w:firstLineChars="196"/>
        <w:rPr>
          <w:rFonts w:ascii="宋体" w:hAnsi="宋体"/>
          <w:sz w:val="24"/>
        </w:rPr>
      </w:pPr>
      <w:r>
        <w:rPr>
          <w:rFonts w:hint="eastAsia" w:ascii="宋体" w:hAnsi="宋体"/>
          <w:sz w:val="24"/>
        </w:rPr>
        <w:t>5.2 评标结果汇总完成后，</w:t>
      </w:r>
      <w:r>
        <w:rPr>
          <w:rFonts w:ascii="宋体" w:hAnsi="宋体"/>
          <w:sz w:val="24"/>
        </w:rPr>
        <w:t>评标报告签署前，</w:t>
      </w:r>
      <w:r>
        <w:rPr>
          <w:rFonts w:hint="eastAsia" w:ascii="宋体" w:hAnsi="宋体"/>
          <w:sz w:val="24"/>
        </w:rPr>
        <w:t>采购代理机构应当</w:t>
      </w:r>
      <w:r>
        <w:rPr>
          <w:rFonts w:ascii="宋体" w:hAnsi="宋体"/>
          <w:sz w:val="24"/>
        </w:rPr>
        <w:t>核对评标结果，除下列情形外，任何人不得修改评标结果：</w:t>
      </w:r>
    </w:p>
    <w:p>
      <w:pPr>
        <w:spacing w:line="360" w:lineRule="auto"/>
        <w:ind w:firstLine="470" w:firstLineChars="196"/>
        <w:rPr>
          <w:rFonts w:ascii="宋体" w:hAnsi="宋体"/>
          <w:sz w:val="24"/>
        </w:rPr>
      </w:pPr>
      <w:r>
        <w:rPr>
          <w:rFonts w:ascii="宋体" w:hAnsi="宋体"/>
          <w:sz w:val="24"/>
        </w:rPr>
        <w:t>（</w:t>
      </w:r>
      <w:r>
        <w:rPr>
          <w:rFonts w:hint="eastAsia" w:ascii="宋体" w:hAnsi="宋体"/>
          <w:sz w:val="24"/>
        </w:rPr>
        <w:t>1</w:t>
      </w:r>
      <w:r>
        <w:rPr>
          <w:rFonts w:ascii="宋体" w:hAnsi="宋体"/>
          <w:sz w:val="24"/>
        </w:rPr>
        <w:t>）分值汇总计算错误的；</w:t>
      </w:r>
    </w:p>
    <w:p>
      <w:pPr>
        <w:spacing w:line="360" w:lineRule="auto"/>
        <w:ind w:firstLine="470" w:firstLineChars="196"/>
        <w:rPr>
          <w:rFonts w:ascii="宋体" w:hAnsi="宋体"/>
          <w:sz w:val="24"/>
        </w:rPr>
      </w:pPr>
      <w:r>
        <w:rPr>
          <w:rFonts w:ascii="宋体" w:hAnsi="宋体"/>
          <w:sz w:val="24"/>
        </w:rPr>
        <w:t>（</w:t>
      </w:r>
      <w:r>
        <w:rPr>
          <w:rFonts w:hint="eastAsia" w:ascii="宋体" w:hAnsi="宋体"/>
          <w:sz w:val="24"/>
        </w:rPr>
        <w:t>2</w:t>
      </w:r>
      <w:r>
        <w:rPr>
          <w:rFonts w:ascii="宋体" w:hAnsi="宋体"/>
          <w:sz w:val="24"/>
        </w:rPr>
        <w:t>）分项评分超出评分标准范围的；</w:t>
      </w:r>
    </w:p>
    <w:p>
      <w:pPr>
        <w:spacing w:line="360" w:lineRule="auto"/>
        <w:ind w:firstLine="470" w:firstLineChars="196"/>
        <w:rPr>
          <w:rFonts w:ascii="宋体" w:hAnsi="宋体"/>
          <w:sz w:val="24"/>
        </w:rPr>
      </w:pPr>
      <w:r>
        <w:rPr>
          <w:rFonts w:ascii="宋体" w:hAnsi="宋体"/>
          <w:sz w:val="24"/>
        </w:rPr>
        <w:t>（</w:t>
      </w:r>
      <w:r>
        <w:rPr>
          <w:rFonts w:hint="eastAsia" w:ascii="宋体" w:hAnsi="宋体"/>
          <w:sz w:val="24"/>
        </w:rPr>
        <w:t>3</w:t>
      </w:r>
      <w:r>
        <w:rPr>
          <w:rFonts w:ascii="宋体" w:hAnsi="宋体"/>
          <w:sz w:val="24"/>
        </w:rPr>
        <w:t>）评标委员会对客观评审因素评分不一致的；</w:t>
      </w:r>
    </w:p>
    <w:p>
      <w:pPr>
        <w:spacing w:line="360" w:lineRule="auto"/>
        <w:ind w:firstLine="470" w:firstLineChars="196"/>
        <w:rPr>
          <w:rFonts w:ascii="宋体" w:hAnsi="宋体"/>
          <w:sz w:val="24"/>
        </w:rPr>
      </w:pPr>
      <w:r>
        <w:rPr>
          <w:rFonts w:ascii="宋体" w:hAnsi="宋体"/>
          <w:sz w:val="24"/>
        </w:rPr>
        <w:t>经复核发现存在以上情形之一的，评标委员会应当当场修改评标结果，并在评标报告中记载</w:t>
      </w:r>
      <w:r>
        <w:rPr>
          <w:rFonts w:hint="eastAsia" w:ascii="宋体" w:hAnsi="宋体"/>
          <w:sz w:val="24"/>
        </w:rPr>
        <w:t>。</w:t>
      </w:r>
    </w:p>
    <w:p>
      <w:pPr>
        <w:pStyle w:val="8"/>
        <w:spacing w:line="360" w:lineRule="auto"/>
      </w:pPr>
      <w:r>
        <w:rPr>
          <w:rFonts w:hint="eastAsia"/>
        </w:rPr>
        <w:t>6.确定中标候选人名单</w:t>
      </w:r>
    </w:p>
    <w:p>
      <w:pPr>
        <w:spacing w:line="360" w:lineRule="auto"/>
        <w:ind w:firstLine="470" w:firstLineChars="196"/>
        <w:rPr>
          <w:rFonts w:ascii="宋体" w:hAnsi="宋体"/>
          <w:sz w:val="24"/>
        </w:rPr>
      </w:pPr>
      <w:r>
        <w:rPr>
          <w:rFonts w:hint="eastAsia" w:ascii="宋体" w:hAnsi="宋体"/>
          <w:sz w:val="24"/>
        </w:rPr>
        <w:t>定标及定标程序祥见第二章第3</w:t>
      </w:r>
      <w:r>
        <w:rPr>
          <w:rFonts w:hint="eastAsia" w:ascii="宋体" w:hAnsi="宋体"/>
          <w:sz w:val="24"/>
          <w:lang w:val="en-US" w:eastAsia="zh-CN"/>
        </w:rPr>
        <w:t>4</w:t>
      </w:r>
      <w:r>
        <w:rPr>
          <w:rFonts w:hint="eastAsia" w:ascii="宋体" w:hAnsi="宋体"/>
          <w:sz w:val="24"/>
        </w:rPr>
        <w:t>、3</w:t>
      </w:r>
      <w:r>
        <w:rPr>
          <w:rFonts w:hint="eastAsia" w:ascii="宋体" w:hAnsi="宋体"/>
          <w:sz w:val="24"/>
          <w:lang w:val="en-US" w:eastAsia="zh-CN"/>
        </w:rPr>
        <w:t>5</w:t>
      </w:r>
      <w:r>
        <w:rPr>
          <w:rFonts w:hint="eastAsia" w:ascii="宋体" w:hAnsi="宋体"/>
          <w:sz w:val="24"/>
        </w:rPr>
        <w:t>条。</w:t>
      </w:r>
    </w:p>
    <w:p>
      <w:pPr>
        <w:pStyle w:val="8"/>
        <w:spacing w:line="360" w:lineRule="auto"/>
      </w:pPr>
      <w:r>
        <w:rPr>
          <w:rFonts w:hint="eastAsia"/>
        </w:rPr>
        <w:t>7.编写评标报告</w:t>
      </w:r>
    </w:p>
    <w:p>
      <w:pPr>
        <w:spacing w:line="360" w:lineRule="auto"/>
        <w:ind w:firstLine="470" w:firstLineChars="196"/>
        <w:rPr>
          <w:rFonts w:ascii="宋体" w:hAnsi="宋体"/>
          <w:sz w:val="24"/>
        </w:rPr>
      </w:pPr>
      <w:r>
        <w:rPr>
          <w:rFonts w:hint="eastAsia" w:ascii="宋体" w:hAnsi="宋体"/>
          <w:sz w:val="24"/>
        </w:rPr>
        <w:t>7.1评标委员会在确定中标候选人名单后，应当编写评标报告并向采购人出具。评标报告应当包括以下内容：</w:t>
      </w:r>
    </w:p>
    <w:p>
      <w:pPr>
        <w:spacing w:line="360" w:lineRule="auto"/>
        <w:ind w:firstLine="470" w:firstLineChars="196"/>
        <w:rPr>
          <w:rFonts w:ascii="宋体" w:hAnsi="宋体"/>
          <w:sz w:val="24"/>
        </w:rPr>
      </w:pPr>
      <w:r>
        <w:rPr>
          <w:rFonts w:hint="eastAsia" w:ascii="宋体" w:hAnsi="宋体"/>
          <w:sz w:val="24"/>
        </w:rPr>
        <w:t>（1）招标公告刊登的媒体名称、开标日期和地点；</w:t>
      </w:r>
    </w:p>
    <w:p>
      <w:pPr>
        <w:spacing w:line="360" w:lineRule="auto"/>
        <w:ind w:firstLine="470" w:firstLineChars="196"/>
        <w:rPr>
          <w:rFonts w:ascii="宋体" w:hAnsi="宋体"/>
          <w:sz w:val="24"/>
        </w:rPr>
      </w:pPr>
      <w:r>
        <w:rPr>
          <w:rFonts w:hint="eastAsia" w:ascii="宋体" w:hAnsi="宋体"/>
          <w:sz w:val="24"/>
        </w:rPr>
        <w:t>（2）投标人名单和评标委员会成员名单；</w:t>
      </w:r>
    </w:p>
    <w:p>
      <w:pPr>
        <w:spacing w:line="360" w:lineRule="auto"/>
        <w:ind w:firstLine="470" w:firstLineChars="196"/>
        <w:rPr>
          <w:rFonts w:ascii="宋体" w:hAnsi="宋体"/>
          <w:sz w:val="24"/>
        </w:rPr>
      </w:pPr>
      <w:r>
        <w:rPr>
          <w:rFonts w:hint="eastAsia" w:ascii="宋体" w:hAnsi="宋体"/>
          <w:sz w:val="24"/>
        </w:rPr>
        <w:t>（3）评标方法和标准；</w:t>
      </w:r>
    </w:p>
    <w:p>
      <w:pPr>
        <w:spacing w:line="360" w:lineRule="auto"/>
        <w:ind w:firstLine="470" w:firstLineChars="196"/>
        <w:rPr>
          <w:rFonts w:ascii="宋体" w:hAnsi="宋体"/>
          <w:sz w:val="24"/>
        </w:rPr>
      </w:pPr>
      <w:r>
        <w:rPr>
          <w:rFonts w:hint="eastAsia" w:ascii="宋体" w:hAnsi="宋体"/>
          <w:sz w:val="24"/>
        </w:rPr>
        <w:t>（4）开标记录和评标情况及说明，包括无效投标人名单及原因；</w:t>
      </w:r>
    </w:p>
    <w:p>
      <w:pPr>
        <w:spacing w:line="360" w:lineRule="auto"/>
        <w:ind w:firstLine="470" w:firstLineChars="196"/>
        <w:rPr>
          <w:rFonts w:ascii="宋体" w:hAnsi="宋体"/>
          <w:sz w:val="24"/>
        </w:rPr>
      </w:pPr>
      <w:r>
        <w:rPr>
          <w:rFonts w:hint="eastAsia" w:ascii="宋体" w:hAnsi="宋体"/>
          <w:sz w:val="24"/>
        </w:rPr>
        <w:t>（5）评标结果，确定的中标候选人名单；</w:t>
      </w:r>
    </w:p>
    <w:p>
      <w:pPr>
        <w:spacing w:line="360" w:lineRule="auto"/>
        <w:ind w:firstLine="470" w:firstLineChars="196"/>
        <w:rPr>
          <w:rFonts w:ascii="宋体" w:hAnsi="宋体"/>
          <w:sz w:val="24"/>
        </w:rPr>
      </w:pPr>
      <w:r>
        <w:rPr>
          <w:rFonts w:hint="eastAsia" w:ascii="宋体" w:hAnsi="宋体"/>
          <w:sz w:val="24"/>
        </w:rPr>
        <w:t>（6）其他需要说明的情况，包括评标过程中投标人根据评标委员会要求进行的澄清、说明或者补正，评标委员会成员的更换等，报价最高的投标人为第一中标候选人的，对其</w:t>
      </w:r>
      <w:r>
        <w:rPr>
          <w:rFonts w:hint="eastAsia" w:ascii="宋体" w:hAnsi="宋体"/>
          <w:sz w:val="24"/>
          <w:lang w:eastAsia="zh-CN"/>
        </w:rPr>
        <w:t>中标</w:t>
      </w:r>
      <w:r>
        <w:rPr>
          <w:rFonts w:hint="eastAsia" w:ascii="宋体" w:hAnsi="宋体"/>
          <w:sz w:val="24"/>
        </w:rPr>
        <w:t>合理性予以特别书面</w:t>
      </w:r>
      <w:r>
        <w:rPr>
          <w:rFonts w:hint="eastAsia" w:ascii="宋体" w:hAnsi="宋体"/>
          <w:sz w:val="24"/>
          <w:lang w:eastAsia="zh-CN"/>
        </w:rPr>
        <w:t>说明</w:t>
      </w:r>
      <w:r>
        <w:rPr>
          <w:rFonts w:hint="eastAsia" w:ascii="宋体" w:hAnsi="宋体"/>
          <w:sz w:val="24"/>
        </w:rPr>
        <w:t>。</w:t>
      </w:r>
    </w:p>
    <w:p>
      <w:pPr>
        <w:spacing w:line="360" w:lineRule="auto"/>
        <w:ind w:firstLine="470" w:firstLineChars="196"/>
        <w:rPr>
          <w:rFonts w:ascii="宋体" w:hAnsi="宋体"/>
          <w:sz w:val="24"/>
        </w:rPr>
      </w:pPr>
      <w:r>
        <w:rPr>
          <w:rFonts w:hint="eastAsia" w:ascii="宋体" w:hAnsi="宋体"/>
          <w:sz w:val="24"/>
        </w:rPr>
        <w:t>7.2评标委员会成员应当对评标报告予以签字确认，对评标过程有不同意见的，应当在评标报告中写明理由。签字但未写明不同意见或者未说明理由的，视同无意见。拒不签字又未另行书面说明其不同意见和理由的，视同同意评标报告。</w:t>
      </w:r>
    </w:p>
    <w:p>
      <w:pPr>
        <w:pStyle w:val="4"/>
        <w:spacing w:before="0" w:afterLines="50" w:line="360" w:lineRule="auto"/>
        <w:rPr>
          <w:rFonts w:ascii="宋体" w:hAnsi="宋体" w:eastAsia="宋体"/>
          <w:bCs/>
        </w:rPr>
      </w:pPr>
      <w:bookmarkStart w:id="153" w:name="_Toc17553"/>
      <w:bookmarkStart w:id="154" w:name="_Toc9805"/>
      <w:r>
        <w:rPr>
          <w:rFonts w:hint="eastAsia" w:ascii="宋体" w:hAnsi="宋体" w:eastAsia="宋体"/>
          <w:bCs/>
        </w:rPr>
        <w:t>二、评标方法</w:t>
      </w:r>
      <w:bookmarkEnd w:id="153"/>
      <w:bookmarkEnd w:id="154"/>
    </w:p>
    <w:p>
      <w:pPr>
        <w:pStyle w:val="8"/>
        <w:spacing w:line="360" w:lineRule="auto"/>
      </w:pPr>
      <w:r>
        <w:rPr>
          <w:rFonts w:hint="eastAsia"/>
        </w:rPr>
        <w:t>8.综合评分法</w:t>
      </w:r>
    </w:p>
    <w:p>
      <w:pPr>
        <w:pStyle w:val="5"/>
        <w:spacing w:line="360" w:lineRule="auto"/>
        <w:ind w:firstLine="480" w:firstLineChars="200"/>
        <w:rPr>
          <w:rFonts w:ascii="宋体" w:hAnsi="宋体"/>
          <w:sz w:val="24"/>
          <w:szCs w:val="24"/>
        </w:rPr>
      </w:pPr>
      <w:r>
        <w:rPr>
          <w:rFonts w:hint="eastAsia" w:ascii="宋体" w:hAnsi="宋体"/>
          <w:sz w:val="24"/>
          <w:szCs w:val="24"/>
        </w:rPr>
        <w:t>本采购项目评标方法采用综合评分法。即投标文件能够最大限度的满足招标文件规定的各项综合评分标准，且经评审得分最高的投标人为中标候选人的评标方法。</w:t>
      </w:r>
    </w:p>
    <w:p>
      <w:pPr>
        <w:pStyle w:val="8"/>
        <w:spacing w:line="360" w:lineRule="auto"/>
      </w:pPr>
      <w:r>
        <w:rPr>
          <w:rFonts w:hint="eastAsia"/>
        </w:rPr>
        <w:t>9.评标细则及标准</w:t>
      </w:r>
    </w:p>
    <w:p>
      <w:pPr>
        <w:pStyle w:val="17"/>
        <w:adjustRightInd w:val="0"/>
        <w:snapToGrid w:val="0"/>
        <w:spacing w:line="360" w:lineRule="auto"/>
        <w:ind w:firstLine="480" w:firstLineChars="200"/>
        <w:rPr>
          <w:rFonts w:hAnsi="宋体"/>
          <w:bCs/>
          <w:sz w:val="24"/>
          <w:szCs w:val="24"/>
        </w:rPr>
      </w:pPr>
      <w:r>
        <w:rPr>
          <w:rFonts w:hint="eastAsia" w:hAnsi="宋体"/>
          <w:sz w:val="24"/>
        </w:rPr>
        <w:t>9.1</w:t>
      </w:r>
      <w:r>
        <w:rPr>
          <w:rFonts w:hint="eastAsia" w:hAnsi="宋体"/>
          <w:bCs/>
          <w:sz w:val="24"/>
          <w:szCs w:val="24"/>
        </w:rPr>
        <w:t>评标委员会将综合分析投标人的各项评审因素，而不以单项评审因素的优劣评选出中标单位。对所有投标人的投标评估，都采用相同的程序和标准，严格按照招标文件的要求和条件进行。</w:t>
      </w:r>
    </w:p>
    <w:p>
      <w:pPr>
        <w:tabs>
          <w:tab w:val="left" w:pos="0"/>
        </w:tabs>
        <w:adjustRightInd w:val="0"/>
        <w:snapToGrid w:val="0"/>
        <w:spacing w:line="360" w:lineRule="auto"/>
        <w:ind w:firstLine="480" w:firstLineChars="200"/>
        <w:rPr>
          <w:rFonts w:ascii="宋体" w:hAnsi="宋体"/>
          <w:sz w:val="24"/>
        </w:rPr>
      </w:pPr>
      <w:r>
        <w:rPr>
          <w:rFonts w:hint="eastAsia" w:ascii="宋体" w:hAnsi="宋体"/>
          <w:sz w:val="24"/>
        </w:rPr>
        <w:t>9.2评审因素详见打分标准，但不包括“投标人须知”第11.1条</w:t>
      </w:r>
      <w:r>
        <w:rPr>
          <w:rFonts w:hint="eastAsia" w:ascii="宋体" w:hAnsi="宋体" w:cs="宋体"/>
          <w:kern w:val="0"/>
          <w:sz w:val="24"/>
          <w:lang w:val="zh-CN"/>
        </w:rPr>
        <w:t>款</w:t>
      </w:r>
      <w:r>
        <w:rPr>
          <w:rFonts w:hint="eastAsia" w:ascii="宋体" w:hAnsi="宋体"/>
          <w:sz w:val="24"/>
        </w:rPr>
        <w:t>规定的投标人资格条件。</w:t>
      </w:r>
    </w:p>
    <w:p>
      <w:pPr>
        <w:pStyle w:val="17"/>
        <w:adjustRightInd w:val="0"/>
        <w:snapToGrid w:val="0"/>
        <w:spacing w:line="360" w:lineRule="auto"/>
        <w:ind w:left="857" w:leftChars="229" w:hanging="376" w:hangingChars="157"/>
        <w:rPr>
          <w:rFonts w:hAnsi="宋体"/>
          <w:bCs/>
          <w:sz w:val="24"/>
          <w:szCs w:val="24"/>
        </w:rPr>
      </w:pPr>
      <w:r>
        <w:rPr>
          <w:rFonts w:hint="eastAsia" w:hAnsi="宋体"/>
          <w:bCs/>
          <w:sz w:val="24"/>
          <w:szCs w:val="24"/>
        </w:rPr>
        <w:t>9.3综合评分操作程序为：</w:t>
      </w:r>
    </w:p>
    <w:p>
      <w:pPr>
        <w:pStyle w:val="19"/>
        <w:widowControl/>
        <w:tabs>
          <w:tab w:val="left" w:pos="1506"/>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9.3.1根据招标文件和评标原则，按下表《综合评分明细表》所列评分因素和各评分因素的权重进行评标。</w:t>
      </w:r>
    </w:p>
    <w:p>
      <w:pPr>
        <w:spacing w:line="360" w:lineRule="auto"/>
        <w:ind w:firstLine="480" w:firstLineChars="200"/>
        <w:rPr>
          <w:rFonts w:ascii="宋体" w:hAnsi="宋体"/>
          <w:color w:val="auto"/>
          <w:sz w:val="24"/>
        </w:rPr>
      </w:pPr>
      <w:r>
        <w:rPr>
          <w:rFonts w:hint="eastAsia" w:ascii="宋体" w:hAnsi="宋体"/>
          <w:color w:val="auto"/>
          <w:sz w:val="24"/>
        </w:rPr>
        <w:t xml:space="preserve">9.3.2 </w:t>
      </w:r>
      <w:r>
        <w:rPr>
          <w:rFonts w:hint="eastAsia"/>
          <w:color w:val="auto"/>
          <w:sz w:val="24"/>
          <w:lang w:eastAsia="zh-CN"/>
        </w:rPr>
        <w:t>投标报价分应当采用最低价优先法计算，即满足招标文件要求且投标价格最低的投标报价为评标基准价，其价格分为满分</w:t>
      </w:r>
      <w:r>
        <w:rPr>
          <w:rFonts w:hint="eastAsia" w:ascii="宋体" w:hAnsi="宋体"/>
          <w:color w:val="auto"/>
          <w:sz w:val="24"/>
        </w:rPr>
        <w:t>。</w:t>
      </w:r>
    </w:p>
    <w:p>
      <w:pPr>
        <w:spacing w:line="360" w:lineRule="auto"/>
        <w:ind w:firstLine="480" w:firstLineChars="200"/>
        <w:rPr>
          <w:rFonts w:ascii="宋体" w:hAnsi="宋体"/>
          <w:sz w:val="24"/>
        </w:rPr>
      </w:pPr>
      <w:r>
        <w:rPr>
          <w:rFonts w:hint="eastAsia" w:ascii="宋体" w:hAnsi="宋体"/>
          <w:sz w:val="24"/>
        </w:rPr>
        <w:t>9.5 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360" w:lineRule="auto"/>
        <w:ind w:firstLine="480" w:firstLineChars="200"/>
        <w:rPr>
          <w:rFonts w:ascii="宋体" w:hAnsi="宋体"/>
          <w:sz w:val="24"/>
        </w:rPr>
      </w:pPr>
      <w:r>
        <w:rPr>
          <w:rFonts w:hint="eastAsia" w:ascii="宋体" w:hAnsi="宋体"/>
          <w:sz w:val="24"/>
        </w:rPr>
        <w:t>（1）文字表述的内容含义不明确；</w:t>
      </w:r>
    </w:p>
    <w:p>
      <w:pPr>
        <w:spacing w:line="360" w:lineRule="auto"/>
        <w:ind w:firstLine="480" w:firstLineChars="200"/>
        <w:rPr>
          <w:rFonts w:ascii="宋体" w:hAnsi="宋体"/>
          <w:sz w:val="24"/>
        </w:rPr>
      </w:pPr>
      <w:r>
        <w:rPr>
          <w:rFonts w:hint="eastAsia" w:ascii="宋体" w:hAnsi="宋体"/>
          <w:sz w:val="24"/>
        </w:rPr>
        <w:t>（2）同类问题表述不一致；</w:t>
      </w:r>
    </w:p>
    <w:p>
      <w:pPr>
        <w:spacing w:line="360" w:lineRule="auto"/>
        <w:ind w:firstLine="480" w:firstLineChars="200"/>
        <w:rPr>
          <w:rFonts w:ascii="宋体" w:hAnsi="宋体"/>
          <w:sz w:val="24"/>
        </w:rPr>
      </w:pPr>
      <w:r>
        <w:rPr>
          <w:rFonts w:hint="eastAsia" w:ascii="宋体" w:hAnsi="宋体"/>
          <w:sz w:val="24"/>
        </w:rPr>
        <w:t>（3）有明显文字和计算错误；</w:t>
      </w:r>
    </w:p>
    <w:p>
      <w:pPr>
        <w:spacing w:line="360" w:lineRule="auto"/>
        <w:ind w:firstLine="480" w:firstLineChars="200"/>
        <w:rPr>
          <w:rFonts w:ascii="宋体" w:hAnsi="宋体"/>
          <w:sz w:val="24"/>
        </w:rPr>
      </w:pPr>
      <w:r>
        <w:rPr>
          <w:rFonts w:hint="eastAsia" w:ascii="宋体" w:hAnsi="宋体"/>
          <w:sz w:val="24"/>
        </w:rPr>
        <w:t>（4）提供的技术信息和数据资料不完整；</w:t>
      </w:r>
    </w:p>
    <w:p>
      <w:pPr>
        <w:spacing w:line="360" w:lineRule="auto"/>
        <w:ind w:firstLine="480" w:firstLineChars="200"/>
        <w:rPr>
          <w:rFonts w:ascii="宋体" w:hAnsi="宋体"/>
          <w:sz w:val="24"/>
        </w:rPr>
      </w:pPr>
      <w:r>
        <w:rPr>
          <w:rFonts w:hint="eastAsia" w:ascii="宋体" w:hAnsi="宋体"/>
          <w:sz w:val="24"/>
        </w:rPr>
        <w:t>（5）投标文件未按招标文件要求进行装订或未编制目录、页码；</w:t>
      </w:r>
    </w:p>
    <w:p>
      <w:pPr>
        <w:spacing w:line="360" w:lineRule="auto"/>
        <w:ind w:firstLine="480" w:firstLineChars="200"/>
        <w:rPr>
          <w:rFonts w:ascii="宋体" w:hAnsi="宋体"/>
          <w:sz w:val="24"/>
        </w:rPr>
      </w:pPr>
      <w:r>
        <w:rPr>
          <w:rFonts w:hint="eastAsia" w:ascii="宋体" w:hAnsi="宋体"/>
          <w:sz w:val="24"/>
        </w:rPr>
        <w:t>（6）评标委员会认定的其他非实质性偏离。</w:t>
      </w:r>
    </w:p>
    <w:p>
      <w:pPr>
        <w:tabs>
          <w:tab w:val="left" w:pos="7665"/>
        </w:tabs>
        <w:spacing w:line="360" w:lineRule="auto"/>
        <w:ind w:firstLine="480" w:firstLineChars="200"/>
        <w:rPr>
          <w:rFonts w:ascii="宋体" w:hAnsi="宋体"/>
          <w:sz w:val="24"/>
        </w:rPr>
      </w:pPr>
      <w:r>
        <w:rPr>
          <w:rFonts w:hint="eastAsia" w:ascii="宋体" w:hAnsi="宋体"/>
          <w:sz w:val="24"/>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pPr>
        <w:pStyle w:val="15"/>
        <w:tabs>
          <w:tab w:val="left" w:pos="600"/>
        </w:tabs>
        <w:spacing w:line="360" w:lineRule="auto"/>
        <w:ind w:firstLine="480" w:firstLineChars="200"/>
        <w:rPr>
          <w:rFonts w:hint="eastAsia" w:ascii="宋体" w:hAnsi="宋体"/>
          <w:b/>
          <w:szCs w:val="32"/>
        </w:rPr>
      </w:pPr>
      <w:r>
        <w:rPr>
          <w:rFonts w:hint="eastAsia" w:ascii="宋体" w:hAnsi="宋体"/>
          <w:sz w:val="24"/>
          <w:szCs w:val="24"/>
        </w:rPr>
        <w:t xml:space="preserve">9.6 </w:t>
      </w:r>
      <w:r>
        <w:rPr>
          <w:rFonts w:hint="eastAsia" w:ascii="宋体" w:hAnsi="宋体"/>
          <w:bCs/>
          <w:sz w:val="24"/>
          <w:szCs w:val="24"/>
        </w:rPr>
        <w:t>本采购项目</w:t>
      </w:r>
      <w:r>
        <w:rPr>
          <w:rFonts w:hint="eastAsia" w:ascii="宋体" w:hAnsi="宋体"/>
          <w:sz w:val="24"/>
          <w:szCs w:val="24"/>
        </w:rPr>
        <w:t>的评标因素和标准见下列综合评分明细表（总计100分）。</w:t>
      </w:r>
    </w:p>
    <w:p>
      <w:pPr>
        <w:pStyle w:val="15"/>
        <w:tabs>
          <w:tab w:val="left" w:pos="600"/>
        </w:tabs>
        <w:spacing w:beforeLines="100" w:line="360" w:lineRule="auto"/>
        <w:ind w:firstLine="0"/>
        <w:jc w:val="center"/>
        <w:rPr>
          <w:rFonts w:ascii="宋体" w:hAnsi="宋体"/>
          <w:b/>
          <w:color w:val="auto"/>
          <w:szCs w:val="32"/>
        </w:rPr>
      </w:pPr>
      <w:r>
        <w:rPr>
          <w:rFonts w:hint="eastAsia" w:ascii="宋体" w:hAnsi="宋体"/>
          <w:b/>
          <w:color w:val="auto"/>
          <w:szCs w:val="32"/>
        </w:rPr>
        <w:t>综合评分明细表</w:t>
      </w:r>
    </w:p>
    <w:tbl>
      <w:tblPr>
        <w:tblStyle w:val="29"/>
        <w:tblW w:w="8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25"/>
        <w:gridCol w:w="517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2" w:type="dxa"/>
            <w:noWrap w:val="0"/>
            <w:vAlign w:val="center"/>
          </w:tcPr>
          <w:p>
            <w:pPr>
              <w:tabs>
                <w:tab w:val="left" w:pos="1988"/>
              </w:tabs>
              <w:spacing w:line="276" w:lineRule="auto"/>
              <w:jc w:val="center"/>
              <w:rPr>
                <w:rFonts w:ascii="宋体" w:hAnsi="宋体" w:cs="仿宋_GB2312"/>
                <w:b/>
                <w:bCs/>
                <w:sz w:val="24"/>
                <w:szCs w:val="24"/>
              </w:rPr>
            </w:pPr>
            <w:r>
              <w:rPr>
                <w:rFonts w:hint="eastAsia" w:ascii="宋体" w:hAnsi="宋体" w:cs="仿宋_GB2312"/>
                <w:b/>
                <w:bCs/>
                <w:sz w:val="24"/>
                <w:szCs w:val="24"/>
              </w:rPr>
              <w:t>评标因素</w:t>
            </w:r>
          </w:p>
        </w:tc>
        <w:tc>
          <w:tcPr>
            <w:tcW w:w="1325" w:type="dxa"/>
            <w:noWrap w:val="0"/>
            <w:vAlign w:val="center"/>
          </w:tcPr>
          <w:p>
            <w:pPr>
              <w:tabs>
                <w:tab w:val="left" w:pos="1988"/>
              </w:tabs>
              <w:spacing w:line="276" w:lineRule="auto"/>
              <w:jc w:val="center"/>
              <w:rPr>
                <w:rFonts w:ascii="宋体" w:hAnsi="宋体" w:cs="仿宋_GB2312"/>
                <w:b/>
                <w:bCs/>
                <w:sz w:val="24"/>
                <w:szCs w:val="24"/>
              </w:rPr>
            </w:pPr>
            <w:r>
              <w:rPr>
                <w:rFonts w:hint="eastAsia" w:ascii="宋体" w:hAnsi="宋体" w:cs="仿宋_GB2312"/>
                <w:b/>
                <w:bCs/>
                <w:sz w:val="24"/>
                <w:szCs w:val="24"/>
              </w:rPr>
              <w:t>分值（分）</w:t>
            </w:r>
          </w:p>
        </w:tc>
        <w:tc>
          <w:tcPr>
            <w:tcW w:w="5175" w:type="dxa"/>
            <w:noWrap w:val="0"/>
            <w:vAlign w:val="center"/>
          </w:tcPr>
          <w:p>
            <w:pPr>
              <w:tabs>
                <w:tab w:val="left" w:pos="1988"/>
              </w:tabs>
              <w:spacing w:line="276" w:lineRule="auto"/>
              <w:jc w:val="center"/>
              <w:rPr>
                <w:rFonts w:ascii="宋体" w:hAnsi="宋体" w:cs="仿宋_GB2312"/>
                <w:b/>
                <w:bCs/>
                <w:sz w:val="24"/>
                <w:szCs w:val="24"/>
              </w:rPr>
            </w:pPr>
            <w:r>
              <w:rPr>
                <w:rFonts w:hint="eastAsia" w:ascii="宋体" w:hAnsi="宋体" w:cs="仿宋_GB2312"/>
                <w:b/>
                <w:bCs/>
                <w:sz w:val="24"/>
                <w:szCs w:val="24"/>
              </w:rPr>
              <w:t>评分标准</w:t>
            </w:r>
          </w:p>
        </w:tc>
        <w:tc>
          <w:tcPr>
            <w:tcW w:w="906" w:type="dxa"/>
            <w:noWrap w:val="0"/>
            <w:vAlign w:val="center"/>
          </w:tcPr>
          <w:p>
            <w:pPr>
              <w:tabs>
                <w:tab w:val="left" w:pos="1988"/>
              </w:tabs>
              <w:spacing w:line="276" w:lineRule="auto"/>
              <w:jc w:val="center"/>
              <w:rPr>
                <w:rFonts w:ascii="宋体" w:hAnsi="宋体" w:cs="仿宋_GB2312"/>
                <w:b/>
                <w:bCs/>
                <w:sz w:val="24"/>
                <w:szCs w:val="24"/>
              </w:rPr>
            </w:pPr>
            <w:r>
              <w:rPr>
                <w:rFonts w:hint="eastAsia" w:ascii="宋体" w:hAnsi="宋体"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22" w:type="dxa"/>
            <w:noWrap w:val="0"/>
            <w:vAlign w:val="center"/>
          </w:tcPr>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投标总价</w:t>
            </w:r>
          </w:p>
        </w:tc>
        <w:tc>
          <w:tcPr>
            <w:tcW w:w="1325" w:type="dxa"/>
            <w:noWrap w:val="0"/>
            <w:vAlign w:val="center"/>
          </w:tcPr>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30</w:t>
            </w:r>
          </w:p>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（分）</w:t>
            </w:r>
          </w:p>
        </w:tc>
        <w:tc>
          <w:tcPr>
            <w:tcW w:w="5175" w:type="dxa"/>
            <w:noWrap w:val="0"/>
            <w:vAlign w:val="center"/>
          </w:tcPr>
          <w:p>
            <w:pPr>
              <w:adjustRightInd w:val="0"/>
              <w:snapToGrid w:val="0"/>
              <w:spacing w:line="276" w:lineRule="auto"/>
              <w:ind w:firstLine="480" w:firstLineChars="200"/>
              <w:rPr>
                <w:rFonts w:ascii="宋体" w:hAnsi="宋体" w:cs="仿宋_GB2312"/>
                <w:sz w:val="24"/>
                <w:szCs w:val="24"/>
              </w:rPr>
            </w:pPr>
            <w:r>
              <w:rPr>
                <w:rFonts w:hint="eastAsia" w:ascii="宋体" w:hAnsi="宋体" w:cs="仿宋_GB2312"/>
                <w:sz w:val="24"/>
                <w:szCs w:val="24"/>
              </w:rPr>
              <w:t>满足</w:t>
            </w:r>
            <w:r>
              <w:rPr>
                <w:rFonts w:hint="eastAsia" w:ascii="宋体" w:hAnsi="宋体" w:cs="仿宋_GB2312"/>
                <w:sz w:val="24"/>
                <w:szCs w:val="24"/>
                <w:lang w:eastAsia="zh-CN"/>
              </w:rPr>
              <w:t>招标</w:t>
            </w:r>
            <w:r>
              <w:rPr>
                <w:rFonts w:hint="eastAsia" w:ascii="宋体" w:hAnsi="宋体" w:cs="仿宋_GB2312"/>
                <w:sz w:val="24"/>
                <w:szCs w:val="24"/>
              </w:rPr>
              <w:t>文件要求且</w:t>
            </w:r>
            <w:r>
              <w:rPr>
                <w:rFonts w:hint="eastAsia" w:ascii="宋体" w:hAnsi="宋体" w:cs="仿宋_GB2312"/>
                <w:sz w:val="24"/>
                <w:szCs w:val="24"/>
                <w:lang w:eastAsia="zh-CN"/>
              </w:rPr>
              <w:t>投标报价</w:t>
            </w:r>
            <w:r>
              <w:rPr>
                <w:rFonts w:hint="eastAsia" w:ascii="宋体" w:hAnsi="宋体" w:cs="仿宋_GB2312"/>
                <w:sz w:val="24"/>
                <w:szCs w:val="24"/>
              </w:rPr>
              <w:t>最低的</w:t>
            </w:r>
            <w:r>
              <w:rPr>
                <w:rFonts w:hint="eastAsia" w:ascii="宋体" w:hAnsi="宋体" w:cs="仿宋_GB2312"/>
                <w:sz w:val="24"/>
                <w:szCs w:val="24"/>
                <w:lang w:eastAsia="zh-CN"/>
              </w:rPr>
              <w:t>投标</w:t>
            </w:r>
            <w:r>
              <w:rPr>
                <w:rFonts w:hint="eastAsia" w:ascii="宋体" w:hAnsi="宋体" w:cs="仿宋_GB2312"/>
                <w:sz w:val="24"/>
                <w:szCs w:val="24"/>
              </w:rPr>
              <w:t>报价为</w:t>
            </w:r>
            <w:r>
              <w:rPr>
                <w:rFonts w:hint="eastAsia" w:ascii="宋体" w:hAnsi="宋体" w:cs="仿宋_GB2312"/>
                <w:sz w:val="24"/>
                <w:szCs w:val="24"/>
                <w:lang w:eastAsia="zh-CN"/>
              </w:rPr>
              <w:t>评标</w:t>
            </w:r>
            <w:r>
              <w:rPr>
                <w:rFonts w:hint="eastAsia" w:ascii="宋体" w:hAnsi="宋体" w:cs="仿宋_GB2312"/>
                <w:sz w:val="24"/>
                <w:szCs w:val="24"/>
              </w:rPr>
              <w:t>基准价，其价格分为满分。其他</w:t>
            </w:r>
            <w:r>
              <w:rPr>
                <w:rFonts w:hint="eastAsia" w:ascii="宋体" w:hAnsi="宋体" w:cs="仿宋_GB2312"/>
                <w:sz w:val="24"/>
                <w:szCs w:val="24"/>
                <w:lang w:eastAsia="zh-CN"/>
              </w:rPr>
              <w:t>供应商</w:t>
            </w:r>
            <w:r>
              <w:rPr>
                <w:rFonts w:hint="eastAsia" w:ascii="宋体" w:hAnsi="宋体" w:cs="仿宋_GB2312"/>
                <w:sz w:val="24"/>
                <w:szCs w:val="24"/>
              </w:rPr>
              <w:t>的价格分统一按照下列公式计算：报价得分=（</w:t>
            </w:r>
            <w:r>
              <w:rPr>
                <w:rFonts w:hint="eastAsia" w:ascii="宋体" w:hAnsi="宋体" w:cs="仿宋_GB2312"/>
                <w:sz w:val="24"/>
                <w:szCs w:val="24"/>
                <w:lang w:eastAsia="zh-CN"/>
              </w:rPr>
              <w:t>评标</w:t>
            </w:r>
            <w:r>
              <w:rPr>
                <w:rFonts w:hint="eastAsia" w:ascii="宋体" w:hAnsi="宋体" w:cs="仿宋_GB2312"/>
                <w:sz w:val="24"/>
                <w:szCs w:val="24"/>
              </w:rPr>
              <w:t>基准价/</w:t>
            </w:r>
            <w:r>
              <w:rPr>
                <w:rFonts w:hint="eastAsia" w:ascii="宋体" w:hAnsi="宋体" w:cs="仿宋_GB2312"/>
                <w:sz w:val="24"/>
                <w:szCs w:val="24"/>
                <w:lang w:eastAsia="zh-CN"/>
              </w:rPr>
              <w:t>投标</w:t>
            </w:r>
            <w:r>
              <w:rPr>
                <w:rFonts w:hint="eastAsia" w:ascii="宋体" w:hAnsi="宋体" w:cs="仿宋_GB2312"/>
                <w:sz w:val="24"/>
                <w:szCs w:val="24"/>
              </w:rPr>
              <w:t>报价）×30</w:t>
            </w:r>
          </w:p>
          <w:p>
            <w:pPr>
              <w:adjustRightInd w:val="0"/>
              <w:snapToGrid w:val="0"/>
              <w:spacing w:line="276" w:lineRule="auto"/>
              <w:ind w:firstLine="480" w:firstLineChars="200"/>
              <w:rPr>
                <w:rFonts w:ascii="宋体" w:hAnsi="宋体" w:cs="仿宋_GB2312"/>
                <w:sz w:val="24"/>
                <w:szCs w:val="24"/>
              </w:rPr>
            </w:pPr>
            <w:r>
              <w:rPr>
                <w:rFonts w:hint="eastAsia" w:ascii="宋体" w:hAnsi="宋体" w:cs="仿宋_GB2312"/>
                <w:sz w:val="24"/>
                <w:szCs w:val="24"/>
              </w:rPr>
              <w:t>符合</w:t>
            </w:r>
            <w:r>
              <w:rPr>
                <w:rFonts w:hint="eastAsia" w:ascii="宋体" w:hAnsi="宋体" w:cs="仿宋_GB2312"/>
                <w:sz w:val="24"/>
                <w:szCs w:val="24"/>
                <w:lang w:eastAsia="zh-CN"/>
              </w:rPr>
              <w:t>招标</w:t>
            </w:r>
            <w:r>
              <w:rPr>
                <w:rFonts w:hint="eastAsia" w:ascii="宋体" w:hAnsi="宋体" w:cs="仿宋_GB2312"/>
                <w:sz w:val="24"/>
                <w:szCs w:val="24"/>
              </w:rPr>
              <w:t>文件规定的小微企业、监狱企业优惠条件的供应商，价格给予6%的扣除，用扣除后的价格参与评审。</w:t>
            </w:r>
          </w:p>
        </w:tc>
        <w:tc>
          <w:tcPr>
            <w:tcW w:w="906" w:type="dxa"/>
            <w:noWrap w:val="0"/>
            <w:vAlign w:val="top"/>
          </w:tcPr>
          <w:p>
            <w:pPr>
              <w:adjustRightInd w:val="0"/>
              <w:snapToGrid w:val="0"/>
              <w:spacing w:line="276" w:lineRule="auto"/>
              <w:ind w:firstLine="240" w:firstLineChars="100"/>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2" w:type="dxa"/>
            <w:noWrap w:val="0"/>
            <w:vAlign w:val="center"/>
          </w:tcPr>
          <w:p>
            <w:pPr>
              <w:adjustRightInd w:val="0"/>
              <w:snapToGrid w:val="0"/>
              <w:spacing w:line="276" w:lineRule="auto"/>
              <w:jc w:val="center"/>
              <w:rPr>
                <w:rFonts w:hint="eastAsia" w:ascii="宋体" w:hAnsi="宋体" w:eastAsia="宋体" w:cs="仿宋_GB2312"/>
                <w:sz w:val="24"/>
                <w:szCs w:val="24"/>
                <w:lang w:eastAsia="zh-CN"/>
              </w:rPr>
            </w:pPr>
            <w:r>
              <w:rPr>
                <w:rFonts w:hint="eastAsia" w:ascii="宋体" w:hAnsi="宋体" w:cs="仿宋_GB2312"/>
                <w:sz w:val="24"/>
                <w:szCs w:val="24"/>
              </w:rPr>
              <w:t>技术参数</w:t>
            </w:r>
          </w:p>
        </w:tc>
        <w:tc>
          <w:tcPr>
            <w:tcW w:w="1325" w:type="dxa"/>
            <w:noWrap w:val="0"/>
            <w:vAlign w:val="center"/>
          </w:tcPr>
          <w:p>
            <w:pPr>
              <w:adjustRightInd w:val="0"/>
              <w:snapToGrid w:val="0"/>
              <w:spacing w:line="276" w:lineRule="auto"/>
              <w:ind w:firstLine="120" w:firstLineChars="50"/>
              <w:jc w:val="center"/>
              <w:rPr>
                <w:rFonts w:ascii="宋体" w:hAnsi="宋体" w:cs="仿宋_GB2312"/>
                <w:sz w:val="24"/>
                <w:szCs w:val="24"/>
              </w:rPr>
            </w:pPr>
            <w:r>
              <w:rPr>
                <w:rFonts w:hint="eastAsia" w:ascii="宋体" w:hAnsi="宋体" w:cs="仿宋_GB2312"/>
                <w:sz w:val="24"/>
                <w:szCs w:val="24"/>
                <w:lang w:val="en-US" w:eastAsia="zh-CN"/>
              </w:rPr>
              <w:t>30</w:t>
            </w:r>
            <w:r>
              <w:rPr>
                <w:rFonts w:hint="eastAsia" w:ascii="宋体" w:hAnsi="宋体" w:cs="仿宋_GB2312"/>
                <w:sz w:val="24"/>
                <w:szCs w:val="24"/>
              </w:rPr>
              <w:t>（分）</w:t>
            </w:r>
          </w:p>
        </w:tc>
        <w:tc>
          <w:tcPr>
            <w:tcW w:w="5175" w:type="dxa"/>
            <w:noWrap w:val="0"/>
            <w:vAlign w:val="center"/>
          </w:tcPr>
          <w:p>
            <w:pPr>
              <w:adjustRightInd w:val="0"/>
              <w:snapToGrid w:val="0"/>
              <w:spacing w:line="276" w:lineRule="auto"/>
              <w:ind w:firstLine="480" w:firstLineChars="200"/>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所用设备和基本设施情况，</w:t>
            </w:r>
            <w:r>
              <w:rPr>
                <w:rFonts w:hint="eastAsia" w:ascii="宋体" w:hAnsi="宋体" w:cs="仿宋_GB2312"/>
                <w:sz w:val="24"/>
                <w:szCs w:val="24"/>
                <w:lang w:eastAsia="zh-CN"/>
              </w:rPr>
              <w:t>所用</w:t>
            </w:r>
            <w:r>
              <w:rPr>
                <w:rFonts w:hint="eastAsia" w:ascii="宋体" w:hAnsi="宋体" w:cs="仿宋_GB2312"/>
                <w:sz w:val="24"/>
                <w:szCs w:val="24"/>
              </w:rPr>
              <w:t>设备</w:t>
            </w:r>
            <w:r>
              <w:rPr>
                <w:rFonts w:hint="eastAsia" w:ascii="宋体" w:hAnsi="宋体" w:cs="仿宋_GB2312"/>
                <w:sz w:val="24"/>
                <w:szCs w:val="24"/>
                <w:lang w:eastAsia="zh-CN"/>
              </w:rPr>
              <w:t>性能先进、科学，标准实用性强，完全满足项目所需，计</w:t>
            </w:r>
            <w:r>
              <w:rPr>
                <w:rFonts w:hint="eastAsia" w:ascii="宋体" w:hAnsi="宋体" w:cs="仿宋_GB2312"/>
                <w:sz w:val="24"/>
                <w:szCs w:val="24"/>
                <w:lang w:val="en-US" w:eastAsia="zh-CN"/>
              </w:rPr>
              <w:t>11</w:t>
            </w:r>
            <w:r>
              <w:rPr>
                <w:rFonts w:hint="eastAsia" w:ascii="宋体" w:hAnsi="宋体" w:cs="仿宋_GB2312"/>
                <w:sz w:val="24"/>
                <w:szCs w:val="24"/>
              </w:rPr>
              <w:t>-</w:t>
            </w:r>
            <w:r>
              <w:rPr>
                <w:rFonts w:hint="eastAsia" w:ascii="宋体" w:hAnsi="宋体" w:cs="仿宋_GB2312"/>
                <w:sz w:val="24"/>
                <w:szCs w:val="24"/>
                <w:lang w:val="en-US" w:eastAsia="zh-CN"/>
              </w:rPr>
              <w:t>15</w:t>
            </w:r>
            <w:r>
              <w:rPr>
                <w:rFonts w:hint="eastAsia" w:ascii="宋体" w:hAnsi="宋体" w:cs="仿宋_GB2312"/>
                <w:sz w:val="24"/>
                <w:szCs w:val="24"/>
              </w:rPr>
              <w:t>分</w:t>
            </w:r>
            <w:r>
              <w:rPr>
                <w:rFonts w:hint="eastAsia" w:ascii="宋体" w:hAnsi="宋体" w:cs="仿宋_GB2312"/>
                <w:sz w:val="24"/>
                <w:szCs w:val="24"/>
                <w:lang w:eastAsia="zh-CN"/>
              </w:rPr>
              <w:t>。所用</w:t>
            </w:r>
            <w:r>
              <w:rPr>
                <w:rFonts w:hint="eastAsia" w:ascii="宋体" w:hAnsi="宋体" w:cs="仿宋_GB2312"/>
                <w:sz w:val="24"/>
                <w:szCs w:val="24"/>
              </w:rPr>
              <w:t>设备</w:t>
            </w:r>
            <w:r>
              <w:rPr>
                <w:rFonts w:hint="eastAsia" w:ascii="宋体" w:hAnsi="宋体" w:cs="仿宋_GB2312"/>
                <w:sz w:val="24"/>
                <w:szCs w:val="24"/>
                <w:lang w:eastAsia="zh-CN"/>
              </w:rPr>
              <w:t>性能一般、标准实用性一般，可以满足项目所需，计</w:t>
            </w:r>
            <w:r>
              <w:rPr>
                <w:rFonts w:hint="eastAsia" w:ascii="宋体" w:hAnsi="宋体" w:cs="仿宋_GB2312"/>
                <w:sz w:val="24"/>
                <w:szCs w:val="24"/>
                <w:lang w:val="en-US" w:eastAsia="zh-CN"/>
              </w:rPr>
              <w:t>6</w:t>
            </w:r>
            <w:r>
              <w:rPr>
                <w:rFonts w:hint="eastAsia" w:ascii="宋体" w:hAnsi="宋体" w:cs="仿宋_GB2312"/>
                <w:sz w:val="24"/>
                <w:szCs w:val="24"/>
              </w:rPr>
              <w:t>-</w:t>
            </w:r>
            <w:r>
              <w:rPr>
                <w:rFonts w:hint="eastAsia" w:ascii="宋体" w:hAnsi="宋体" w:cs="仿宋_GB2312"/>
                <w:sz w:val="24"/>
                <w:szCs w:val="24"/>
                <w:lang w:val="en-US" w:eastAsia="zh-CN"/>
              </w:rPr>
              <w:t>11</w:t>
            </w:r>
            <w:r>
              <w:rPr>
                <w:rFonts w:hint="eastAsia" w:ascii="宋体" w:hAnsi="宋体" w:cs="仿宋_GB2312"/>
                <w:sz w:val="24"/>
                <w:szCs w:val="24"/>
              </w:rPr>
              <w:t>分</w:t>
            </w:r>
            <w:r>
              <w:rPr>
                <w:rFonts w:hint="eastAsia" w:ascii="宋体" w:hAnsi="宋体" w:cs="仿宋_GB2312"/>
                <w:sz w:val="24"/>
                <w:szCs w:val="24"/>
                <w:lang w:eastAsia="zh-CN"/>
              </w:rPr>
              <w:t>。所用</w:t>
            </w:r>
            <w:r>
              <w:rPr>
                <w:rFonts w:hint="eastAsia" w:ascii="宋体" w:hAnsi="宋体" w:cs="仿宋_GB2312"/>
                <w:sz w:val="24"/>
                <w:szCs w:val="24"/>
              </w:rPr>
              <w:t>设备</w:t>
            </w:r>
            <w:r>
              <w:rPr>
                <w:rFonts w:hint="eastAsia" w:ascii="宋体" w:hAnsi="宋体" w:cs="仿宋_GB2312"/>
                <w:sz w:val="24"/>
                <w:szCs w:val="24"/>
                <w:lang w:eastAsia="zh-CN"/>
              </w:rPr>
              <w:t>性能较差、标准实用性差，基本满足项目所需，计</w:t>
            </w:r>
            <w:r>
              <w:rPr>
                <w:rFonts w:hint="eastAsia" w:ascii="宋体" w:hAnsi="宋体" w:cs="仿宋_GB2312"/>
                <w:sz w:val="24"/>
                <w:szCs w:val="24"/>
                <w:lang w:val="en-US" w:eastAsia="zh-CN"/>
              </w:rPr>
              <w:t>0</w:t>
            </w:r>
            <w:r>
              <w:rPr>
                <w:rFonts w:hint="eastAsia" w:ascii="宋体" w:hAnsi="宋体" w:cs="仿宋_GB2312"/>
                <w:sz w:val="24"/>
                <w:szCs w:val="24"/>
              </w:rPr>
              <w:t>-</w:t>
            </w:r>
            <w:r>
              <w:rPr>
                <w:rFonts w:hint="eastAsia" w:ascii="宋体" w:hAnsi="宋体" w:cs="仿宋_GB2312"/>
                <w:sz w:val="24"/>
                <w:szCs w:val="24"/>
                <w:lang w:val="en-US" w:eastAsia="zh-CN"/>
              </w:rPr>
              <w:t>6</w:t>
            </w:r>
            <w:r>
              <w:rPr>
                <w:rFonts w:hint="eastAsia" w:ascii="宋体" w:hAnsi="宋体" w:cs="仿宋_GB2312"/>
                <w:sz w:val="24"/>
                <w:szCs w:val="24"/>
              </w:rPr>
              <w:t>分。</w:t>
            </w:r>
          </w:p>
          <w:p>
            <w:pPr>
              <w:adjustRightInd w:val="0"/>
              <w:snapToGrid w:val="0"/>
              <w:spacing w:line="276" w:lineRule="auto"/>
              <w:ind w:firstLine="480" w:firstLineChars="200"/>
              <w:rPr>
                <w:rFonts w:hint="default" w:ascii="宋体" w:hAnsi="宋体" w:cs="仿宋_GB2312"/>
                <w:sz w:val="24"/>
                <w:szCs w:val="24"/>
                <w:lang w:val="en-US"/>
              </w:rPr>
            </w:pPr>
            <w:r>
              <w:rPr>
                <w:rFonts w:hint="eastAsia" w:ascii="宋体" w:hAnsi="宋体" w:cs="仿宋_GB2312"/>
                <w:sz w:val="24"/>
                <w:szCs w:val="24"/>
                <w:lang w:val="en-US" w:eastAsia="zh-CN"/>
              </w:rPr>
              <w:t>2.所用设备性能稳定、安全、便于操作</w:t>
            </w:r>
            <w:r>
              <w:rPr>
                <w:rFonts w:hint="eastAsia" w:ascii="宋体" w:hAnsi="宋体" w:cs="仿宋_GB2312"/>
                <w:sz w:val="24"/>
                <w:szCs w:val="24"/>
                <w:lang w:eastAsia="zh-CN"/>
              </w:rPr>
              <w:t>，提供证明材料予以证明，证明材料完全可以支撑所用设备参数性能的计</w:t>
            </w:r>
            <w:r>
              <w:rPr>
                <w:rFonts w:hint="eastAsia" w:ascii="宋体" w:hAnsi="宋体" w:cs="仿宋_GB2312"/>
                <w:sz w:val="24"/>
                <w:szCs w:val="24"/>
                <w:lang w:val="en-US" w:eastAsia="zh-CN"/>
              </w:rPr>
              <w:t>11</w:t>
            </w:r>
            <w:r>
              <w:rPr>
                <w:rFonts w:hint="eastAsia" w:ascii="宋体" w:hAnsi="宋体" w:cs="仿宋_GB2312"/>
                <w:sz w:val="24"/>
                <w:szCs w:val="24"/>
              </w:rPr>
              <w:t>-</w:t>
            </w:r>
            <w:r>
              <w:rPr>
                <w:rFonts w:hint="eastAsia" w:ascii="宋体" w:hAnsi="宋体" w:cs="仿宋_GB2312"/>
                <w:sz w:val="24"/>
                <w:szCs w:val="24"/>
                <w:lang w:val="en-US" w:eastAsia="zh-CN"/>
              </w:rPr>
              <w:t>15</w:t>
            </w:r>
            <w:r>
              <w:rPr>
                <w:rFonts w:hint="eastAsia" w:ascii="宋体" w:hAnsi="宋体" w:cs="仿宋_GB2312"/>
                <w:sz w:val="24"/>
                <w:szCs w:val="24"/>
              </w:rPr>
              <w:t>分</w:t>
            </w:r>
            <w:r>
              <w:rPr>
                <w:rFonts w:hint="eastAsia" w:ascii="宋体" w:hAnsi="宋体" w:cs="仿宋_GB2312"/>
                <w:sz w:val="24"/>
                <w:szCs w:val="24"/>
                <w:lang w:eastAsia="zh-CN"/>
              </w:rPr>
              <w:t>，证明材料基本可以支撑设备参数性能的计</w:t>
            </w:r>
            <w:r>
              <w:rPr>
                <w:rFonts w:hint="eastAsia" w:ascii="宋体" w:hAnsi="宋体" w:cs="仿宋_GB2312"/>
                <w:sz w:val="24"/>
                <w:szCs w:val="24"/>
                <w:lang w:val="en-US" w:eastAsia="zh-CN"/>
              </w:rPr>
              <w:t>6-11分，</w:t>
            </w:r>
            <w:r>
              <w:rPr>
                <w:rFonts w:hint="eastAsia" w:ascii="宋体" w:hAnsi="宋体" w:cs="仿宋_GB2312"/>
                <w:sz w:val="24"/>
                <w:szCs w:val="24"/>
                <w:lang w:eastAsia="zh-CN"/>
              </w:rPr>
              <w:t>证明材料只能支撑部分设备参数性能的计</w:t>
            </w:r>
            <w:r>
              <w:rPr>
                <w:rFonts w:hint="eastAsia" w:ascii="宋体" w:hAnsi="宋体" w:cs="仿宋_GB2312"/>
                <w:sz w:val="24"/>
                <w:szCs w:val="24"/>
                <w:lang w:val="en-US" w:eastAsia="zh-CN"/>
              </w:rPr>
              <w:t>0-6分。（证明材料包括但不限于质检报告、厂商授权等。）</w:t>
            </w:r>
          </w:p>
        </w:tc>
        <w:tc>
          <w:tcPr>
            <w:tcW w:w="906" w:type="dxa"/>
            <w:noWrap w:val="0"/>
            <w:vAlign w:val="top"/>
          </w:tcPr>
          <w:p>
            <w:pPr>
              <w:adjustRightInd w:val="0"/>
              <w:snapToGrid w:val="0"/>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2" w:type="dxa"/>
            <w:vMerge w:val="restart"/>
            <w:noWrap w:val="0"/>
            <w:vAlign w:val="center"/>
          </w:tcPr>
          <w:p>
            <w:pPr>
              <w:adjustRightInd w:val="0"/>
              <w:snapToGrid w:val="0"/>
              <w:spacing w:line="276" w:lineRule="auto"/>
              <w:jc w:val="center"/>
              <w:rPr>
                <w:rFonts w:ascii="宋体" w:hAnsi="宋体" w:cs="仿宋_GB2312"/>
                <w:sz w:val="24"/>
                <w:szCs w:val="24"/>
              </w:rPr>
            </w:pPr>
            <w:r>
              <w:rPr>
                <w:rFonts w:hint="eastAsia" w:ascii="宋体" w:hAnsi="宋体" w:cs="仿宋_GB2312"/>
                <w:sz w:val="24"/>
                <w:szCs w:val="24"/>
                <w:lang w:eastAsia="zh-CN"/>
              </w:rPr>
              <w:t>技术</w:t>
            </w:r>
            <w:r>
              <w:rPr>
                <w:rFonts w:hint="eastAsia" w:ascii="宋体" w:hAnsi="宋体" w:cs="仿宋_GB2312"/>
                <w:sz w:val="24"/>
                <w:szCs w:val="24"/>
              </w:rPr>
              <w:t>方案</w:t>
            </w:r>
          </w:p>
        </w:tc>
        <w:tc>
          <w:tcPr>
            <w:tcW w:w="1325" w:type="dxa"/>
            <w:noWrap w:val="0"/>
            <w:vAlign w:val="center"/>
          </w:tcPr>
          <w:p>
            <w:pPr>
              <w:adjustRightInd w:val="0"/>
              <w:snapToGrid w:val="0"/>
              <w:spacing w:line="276" w:lineRule="auto"/>
              <w:rPr>
                <w:rFonts w:ascii="宋体" w:hAnsi="宋体" w:cs="仿宋_GB2312"/>
                <w:sz w:val="24"/>
                <w:szCs w:val="24"/>
                <w:highlight w:val="none"/>
              </w:rPr>
            </w:pPr>
            <w:r>
              <w:rPr>
                <w:rFonts w:hint="eastAsia" w:ascii="宋体" w:hAnsi="宋体" w:cs="仿宋_GB2312"/>
                <w:sz w:val="24"/>
                <w:szCs w:val="24"/>
                <w:highlight w:val="none"/>
              </w:rPr>
              <w:t>人员配备</w:t>
            </w:r>
          </w:p>
          <w:p>
            <w:pPr>
              <w:adjustRightInd w:val="0"/>
              <w:snapToGrid w:val="0"/>
              <w:spacing w:line="276" w:lineRule="auto"/>
              <w:ind w:firstLine="120" w:firstLineChars="50"/>
              <w:jc w:val="left"/>
              <w:rPr>
                <w:rFonts w:ascii="宋体" w:hAnsi="宋体" w:cs="仿宋_GB2312"/>
                <w:sz w:val="24"/>
                <w:szCs w:val="24"/>
                <w:highlight w:val="yellow"/>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6</w:t>
            </w:r>
            <w:r>
              <w:rPr>
                <w:rFonts w:hint="eastAsia" w:ascii="宋体" w:hAnsi="宋体" w:cs="仿宋_GB2312"/>
                <w:sz w:val="24"/>
                <w:szCs w:val="24"/>
                <w:highlight w:val="none"/>
              </w:rPr>
              <w:t>分）</w:t>
            </w:r>
          </w:p>
        </w:tc>
        <w:tc>
          <w:tcPr>
            <w:tcW w:w="5175" w:type="dxa"/>
            <w:noWrap w:val="0"/>
            <w:vAlign w:val="top"/>
          </w:tcPr>
          <w:p>
            <w:pPr>
              <w:adjustRightInd w:val="0"/>
              <w:snapToGrid w:val="0"/>
              <w:spacing w:line="276" w:lineRule="auto"/>
              <w:ind w:firstLine="480" w:firstLineChars="200"/>
              <w:jc w:val="left"/>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项目团队信息和分工信息</w:t>
            </w:r>
            <w:r>
              <w:rPr>
                <w:rFonts w:hint="eastAsia" w:ascii="宋体" w:hAnsi="宋体" w:cs="仿宋_GB2312"/>
                <w:sz w:val="24"/>
                <w:szCs w:val="24"/>
                <w:highlight w:val="none"/>
                <w:lang w:eastAsia="zh-CN"/>
              </w:rPr>
              <w:t>完整明确</w:t>
            </w:r>
            <w:r>
              <w:rPr>
                <w:rFonts w:hint="eastAsia" w:ascii="宋体" w:hAnsi="宋体" w:cs="仿宋_GB2312"/>
                <w:sz w:val="24"/>
                <w:szCs w:val="24"/>
                <w:highlight w:val="none"/>
              </w:rPr>
              <w:t>，项目负责人信息明确，组织结构完整</w:t>
            </w:r>
            <w:r>
              <w:rPr>
                <w:rFonts w:hint="eastAsia" w:ascii="宋体" w:hAnsi="宋体" w:cs="仿宋_GB2312"/>
                <w:sz w:val="24"/>
                <w:szCs w:val="24"/>
                <w:highlight w:val="none"/>
                <w:lang w:eastAsia="zh-CN"/>
              </w:rPr>
              <w:t>，人员配备合理计</w:t>
            </w:r>
            <w:r>
              <w:rPr>
                <w:rFonts w:hint="eastAsia" w:ascii="宋体" w:hAnsi="宋体" w:cs="仿宋_GB2312"/>
                <w:sz w:val="24"/>
                <w:szCs w:val="24"/>
                <w:highlight w:val="none"/>
                <w:lang w:val="en-US" w:eastAsia="zh-CN"/>
              </w:rPr>
              <w:t>4-6分。</w:t>
            </w:r>
          </w:p>
          <w:p>
            <w:pPr>
              <w:adjustRightInd w:val="0"/>
              <w:snapToGrid w:val="0"/>
              <w:spacing w:line="276" w:lineRule="auto"/>
              <w:ind w:firstLine="480" w:firstLineChars="200"/>
              <w:jc w:val="left"/>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项目团队信息和分工信息</w:t>
            </w:r>
            <w:r>
              <w:rPr>
                <w:rFonts w:hint="eastAsia" w:ascii="宋体" w:hAnsi="宋体" w:cs="仿宋_GB2312"/>
                <w:sz w:val="24"/>
                <w:szCs w:val="24"/>
                <w:highlight w:val="none"/>
                <w:lang w:eastAsia="zh-CN"/>
              </w:rPr>
              <w:t>较为完整明确，</w:t>
            </w:r>
            <w:r>
              <w:rPr>
                <w:rFonts w:hint="eastAsia" w:ascii="宋体" w:hAnsi="宋体" w:cs="仿宋_GB2312"/>
                <w:sz w:val="24"/>
                <w:szCs w:val="24"/>
                <w:highlight w:val="none"/>
              </w:rPr>
              <w:t>项目负责人信息</w:t>
            </w:r>
            <w:r>
              <w:rPr>
                <w:rFonts w:hint="eastAsia" w:ascii="宋体" w:hAnsi="宋体" w:cs="仿宋_GB2312"/>
                <w:sz w:val="24"/>
                <w:szCs w:val="24"/>
                <w:highlight w:val="none"/>
                <w:lang w:eastAsia="zh-CN"/>
              </w:rPr>
              <w:t>比较</w:t>
            </w:r>
            <w:r>
              <w:rPr>
                <w:rFonts w:hint="eastAsia" w:ascii="宋体" w:hAnsi="宋体" w:cs="仿宋_GB2312"/>
                <w:sz w:val="24"/>
                <w:szCs w:val="24"/>
                <w:highlight w:val="none"/>
              </w:rPr>
              <w:t>明确，组织结构</w:t>
            </w:r>
            <w:r>
              <w:rPr>
                <w:rFonts w:hint="eastAsia" w:ascii="宋体" w:hAnsi="宋体" w:cs="仿宋_GB2312"/>
                <w:sz w:val="24"/>
                <w:szCs w:val="24"/>
                <w:highlight w:val="none"/>
                <w:lang w:eastAsia="zh-CN"/>
              </w:rPr>
              <w:t>较为</w:t>
            </w:r>
            <w:r>
              <w:rPr>
                <w:rFonts w:hint="eastAsia" w:ascii="宋体" w:hAnsi="宋体" w:cs="仿宋_GB2312"/>
                <w:sz w:val="24"/>
                <w:szCs w:val="24"/>
                <w:highlight w:val="none"/>
              </w:rPr>
              <w:t>完整</w:t>
            </w:r>
            <w:r>
              <w:rPr>
                <w:rFonts w:hint="eastAsia" w:ascii="宋体" w:hAnsi="宋体" w:cs="仿宋_GB2312"/>
                <w:sz w:val="24"/>
                <w:szCs w:val="24"/>
                <w:highlight w:val="none"/>
                <w:lang w:eastAsia="zh-CN"/>
              </w:rPr>
              <w:t>，人员配备比较合理，计</w:t>
            </w:r>
            <w:r>
              <w:rPr>
                <w:rFonts w:hint="eastAsia" w:ascii="宋体" w:hAnsi="宋体" w:cs="仿宋_GB2312"/>
                <w:sz w:val="24"/>
                <w:szCs w:val="24"/>
                <w:highlight w:val="none"/>
                <w:lang w:val="en-US" w:eastAsia="zh-CN"/>
              </w:rPr>
              <w:t>2-4分。</w:t>
            </w:r>
          </w:p>
          <w:p>
            <w:pPr>
              <w:adjustRightInd w:val="0"/>
              <w:snapToGrid w:val="0"/>
              <w:spacing w:line="276" w:lineRule="auto"/>
              <w:ind w:firstLine="480" w:firstLineChars="200"/>
              <w:jc w:val="left"/>
              <w:rPr>
                <w:rFonts w:hint="default" w:ascii="宋体" w:hAnsi="宋体" w:cs="仿宋_GB2312"/>
                <w:sz w:val="24"/>
                <w:szCs w:val="24"/>
                <w:highlight w:val="yellow"/>
                <w:lang w:val="en-US"/>
              </w:rPr>
            </w:pPr>
            <w:r>
              <w:rPr>
                <w:rFonts w:hint="eastAsia" w:ascii="宋体" w:hAnsi="宋体" w:cs="仿宋_GB2312"/>
                <w:sz w:val="24"/>
                <w:szCs w:val="24"/>
                <w:highlight w:val="none"/>
                <w:lang w:val="en-US" w:eastAsia="zh-CN"/>
              </w:rPr>
              <w:t xml:space="preserve"> 3.</w:t>
            </w:r>
            <w:r>
              <w:rPr>
                <w:rFonts w:hint="eastAsia" w:ascii="宋体" w:hAnsi="宋体" w:cs="仿宋_GB2312"/>
                <w:sz w:val="24"/>
                <w:szCs w:val="24"/>
                <w:highlight w:val="none"/>
              </w:rPr>
              <w:t>项目团队信息和分工信息</w:t>
            </w:r>
            <w:r>
              <w:rPr>
                <w:rFonts w:hint="eastAsia" w:ascii="宋体" w:hAnsi="宋体" w:cs="仿宋_GB2312"/>
                <w:sz w:val="24"/>
                <w:szCs w:val="24"/>
                <w:highlight w:val="none"/>
                <w:lang w:eastAsia="zh-CN"/>
              </w:rPr>
              <w:t>混乱，</w:t>
            </w:r>
            <w:r>
              <w:rPr>
                <w:rFonts w:hint="eastAsia" w:ascii="宋体" w:hAnsi="宋体" w:cs="仿宋_GB2312"/>
                <w:sz w:val="24"/>
                <w:szCs w:val="24"/>
                <w:highlight w:val="none"/>
              </w:rPr>
              <w:t>项目负责人信息</w:t>
            </w:r>
            <w:r>
              <w:rPr>
                <w:rFonts w:hint="eastAsia" w:ascii="宋体" w:hAnsi="宋体" w:cs="仿宋_GB2312"/>
                <w:sz w:val="24"/>
                <w:szCs w:val="24"/>
                <w:highlight w:val="none"/>
                <w:lang w:eastAsia="zh-CN"/>
              </w:rPr>
              <w:t>不完整</w:t>
            </w:r>
            <w:r>
              <w:rPr>
                <w:rFonts w:hint="eastAsia" w:ascii="宋体" w:hAnsi="宋体" w:cs="仿宋_GB2312"/>
                <w:sz w:val="24"/>
                <w:szCs w:val="24"/>
                <w:highlight w:val="none"/>
              </w:rPr>
              <w:t>，组织结构</w:t>
            </w:r>
            <w:r>
              <w:rPr>
                <w:rFonts w:hint="eastAsia" w:ascii="宋体" w:hAnsi="宋体" w:cs="仿宋_GB2312"/>
                <w:sz w:val="24"/>
                <w:szCs w:val="24"/>
                <w:highlight w:val="none"/>
                <w:lang w:eastAsia="zh-CN"/>
              </w:rPr>
              <w:t>不</w:t>
            </w:r>
            <w:r>
              <w:rPr>
                <w:rFonts w:hint="eastAsia" w:ascii="宋体" w:hAnsi="宋体" w:cs="仿宋_GB2312"/>
                <w:sz w:val="24"/>
                <w:szCs w:val="24"/>
                <w:highlight w:val="none"/>
              </w:rPr>
              <w:t>完整</w:t>
            </w:r>
            <w:r>
              <w:rPr>
                <w:rFonts w:hint="eastAsia" w:ascii="宋体" w:hAnsi="宋体" w:cs="仿宋_GB2312"/>
                <w:sz w:val="24"/>
                <w:szCs w:val="24"/>
                <w:highlight w:val="none"/>
                <w:lang w:eastAsia="zh-CN"/>
              </w:rPr>
              <w:t>，人员配备不合理，计</w:t>
            </w:r>
            <w:r>
              <w:rPr>
                <w:rFonts w:hint="eastAsia" w:ascii="宋体" w:hAnsi="宋体" w:cs="仿宋_GB2312"/>
                <w:sz w:val="24"/>
                <w:szCs w:val="24"/>
                <w:highlight w:val="none"/>
                <w:lang w:val="en-US" w:eastAsia="zh-CN"/>
              </w:rPr>
              <w:t>0-2分。</w:t>
            </w:r>
          </w:p>
        </w:tc>
        <w:tc>
          <w:tcPr>
            <w:tcW w:w="906" w:type="dxa"/>
            <w:noWrap w:val="0"/>
            <w:vAlign w:val="top"/>
          </w:tcPr>
          <w:p>
            <w:pPr>
              <w:adjustRightInd w:val="0"/>
              <w:snapToGrid w:val="0"/>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22" w:type="dxa"/>
            <w:vMerge w:val="continue"/>
            <w:noWrap w:val="0"/>
            <w:vAlign w:val="center"/>
          </w:tcPr>
          <w:p>
            <w:pPr>
              <w:tabs>
                <w:tab w:val="left" w:pos="1988"/>
              </w:tabs>
              <w:spacing w:line="276" w:lineRule="auto"/>
              <w:rPr>
                <w:rFonts w:ascii="宋体" w:hAnsi="宋体" w:cs="仿宋_GB2312"/>
                <w:sz w:val="24"/>
                <w:szCs w:val="24"/>
              </w:rPr>
            </w:pPr>
          </w:p>
        </w:tc>
        <w:tc>
          <w:tcPr>
            <w:tcW w:w="1325" w:type="dxa"/>
            <w:noWrap w:val="0"/>
            <w:vAlign w:val="center"/>
          </w:tcPr>
          <w:p>
            <w:pPr>
              <w:adjustRightInd w:val="0"/>
              <w:snapToGrid w:val="0"/>
              <w:spacing w:line="276" w:lineRule="auto"/>
              <w:jc w:val="left"/>
              <w:rPr>
                <w:rFonts w:hint="eastAsia" w:ascii="宋体" w:hAnsi="宋体" w:cs="仿宋_GB2312"/>
                <w:sz w:val="24"/>
                <w:szCs w:val="24"/>
                <w:lang w:eastAsia="zh-CN"/>
              </w:rPr>
            </w:pPr>
            <w:r>
              <w:rPr>
                <w:rFonts w:hint="eastAsia" w:ascii="宋体" w:hAnsi="宋体" w:cs="仿宋_GB2312"/>
                <w:sz w:val="24"/>
                <w:szCs w:val="24"/>
                <w:lang w:eastAsia="zh-CN"/>
              </w:rPr>
              <w:t>实施方案</w:t>
            </w:r>
          </w:p>
          <w:p>
            <w:pPr>
              <w:adjustRightInd w:val="0"/>
              <w:snapToGrid w:val="0"/>
              <w:spacing w:line="276" w:lineRule="auto"/>
              <w:jc w:val="left"/>
              <w:rPr>
                <w:rFonts w:hint="eastAsia" w:ascii="宋体" w:hAnsi="宋体" w:cs="仿宋_GB2312"/>
                <w:sz w:val="24"/>
                <w:szCs w:val="24"/>
              </w:rPr>
            </w:pPr>
            <w:r>
              <w:rPr>
                <w:rFonts w:hint="eastAsia" w:ascii="宋体" w:hAnsi="宋体" w:cs="仿宋_GB2312"/>
                <w:sz w:val="24"/>
                <w:szCs w:val="24"/>
              </w:rPr>
              <w:t>（</w:t>
            </w:r>
            <w:r>
              <w:rPr>
                <w:rFonts w:hint="eastAsia" w:ascii="宋体" w:hAnsi="宋体" w:cs="仿宋_GB2312"/>
                <w:sz w:val="24"/>
                <w:szCs w:val="24"/>
                <w:lang w:val="en-US" w:eastAsia="zh-CN"/>
              </w:rPr>
              <w:t>6</w:t>
            </w:r>
            <w:r>
              <w:rPr>
                <w:rFonts w:hint="eastAsia" w:ascii="宋体" w:hAnsi="宋体" w:cs="仿宋_GB2312"/>
                <w:sz w:val="24"/>
                <w:szCs w:val="24"/>
              </w:rPr>
              <w:t>分）</w:t>
            </w:r>
          </w:p>
        </w:tc>
        <w:tc>
          <w:tcPr>
            <w:tcW w:w="5175" w:type="dxa"/>
            <w:noWrap w:val="0"/>
            <w:vAlign w:val="center"/>
          </w:tcPr>
          <w:p>
            <w:pPr>
              <w:adjustRightInd w:val="0"/>
              <w:snapToGrid w:val="0"/>
              <w:spacing w:line="276" w:lineRule="auto"/>
              <w:ind w:firstLine="480" w:firstLineChars="200"/>
              <w:jc w:val="left"/>
              <w:rPr>
                <w:rFonts w:hint="eastAsia" w:ascii="宋体" w:hAnsi="宋体" w:cs="仿宋_GB2312"/>
                <w:sz w:val="24"/>
                <w:szCs w:val="24"/>
              </w:rPr>
            </w:pPr>
            <w:r>
              <w:rPr>
                <w:rFonts w:hint="eastAsia" w:ascii="宋体" w:hAnsi="宋体" w:cs="仿宋_GB2312"/>
                <w:sz w:val="24"/>
                <w:szCs w:val="24"/>
              </w:rPr>
              <w:t>根据投标人针对本项目制定的实施方案（包括项目整体目标、项目需求、技术路线、系统功能、安装运输、安全方案等）科学性、合理性、可操作性强得</w:t>
            </w:r>
            <w:r>
              <w:rPr>
                <w:rFonts w:hint="eastAsia" w:ascii="宋体" w:hAnsi="宋体" w:cs="仿宋_GB2312"/>
                <w:sz w:val="24"/>
                <w:szCs w:val="24"/>
                <w:lang w:val="en-US" w:eastAsia="zh-CN"/>
              </w:rPr>
              <w:t>4-6</w:t>
            </w:r>
            <w:r>
              <w:rPr>
                <w:rFonts w:hint="eastAsia" w:ascii="宋体" w:hAnsi="宋体" w:cs="仿宋_GB2312"/>
                <w:sz w:val="24"/>
                <w:szCs w:val="24"/>
              </w:rPr>
              <w:t>分；实施方案科学性、合理性、可操作性基本满足该项目得</w:t>
            </w:r>
            <w:r>
              <w:rPr>
                <w:rFonts w:hint="eastAsia" w:ascii="宋体" w:hAnsi="宋体" w:cs="仿宋_GB2312"/>
                <w:sz w:val="24"/>
                <w:szCs w:val="24"/>
                <w:lang w:val="en-US" w:eastAsia="zh-CN"/>
              </w:rPr>
              <w:t>2-4</w:t>
            </w:r>
            <w:r>
              <w:rPr>
                <w:rFonts w:hint="eastAsia" w:ascii="宋体" w:hAnsi="宋体" w:cs="仿宋_GB2312"/>
                <w:sz w:val="24"/>
                <w:szCs w:val="24"/>
              </w:rPr>
              <w:t>分；方案不完整或合理性低</w:t>
            </w:r>
            <w:r>
              <w:rPr>
                <w:rFonts w:hint="eastAsia" w:ascii="宋体" w:hAnsi="宋体" w:cs="仿宋_GB2312"/>
                <w:sz w:val="24"/>
                <w:szCs w:val="24"/>
                <w:lang w:eastAsia="zh-CN"/>
              </w:rPr>
              <w:t>很难满足该项目得</w:t>
            </w:r>
            <w:r>
              <w:rPr>
                <w:rFonts w:hint="eastAsia" w:ascii="宋体" w:hAnsi="宋体" w:cs="仿宋_GB2312"/>
                <w:sz w:val="24"/>
                <w:szCs w:val="24"/>
                <w:lang w:val="en-US" w:eastAsia="zh-CN"/>
              </w:rPr>
              <w:t>0-2分</w:t>
            </w:r>
            <w:r>
              <w:rPr>
                <w:rFonts w:hint="eastAsia" w:ascii="宋体" w:hAnsi="宋体" w:cs="仿宋_GB2312"/>
                <w:sz w:val="24"/>
                <w:szCs w:val="24"/>
              </w:rPr>
              <w:t>。</w:t>
            </w:r>
          </w:p>
        </w:tc>
        <w:tc>
          <w:tcPr>
            <w:tcW w:w="906" w:type="dxa"/>
            <w:noWrap w:val="0"/>
            <w:vAlign w:val="top"/>
          </w:tcPr>
          <w:p>
            <w:pPr>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722" w:type="dxa"/>
            <w:vMerge w:val="continue"/>
            <w:noWrap w:val="0"/>
            <w:vAlign w:val="center"/>
          </w:tcPr>
          <w:p>
            <w:pPr>
              <w:tabs>
                <w:tab w:val="left" w:pos="1988"/>
              </w:tabs>
              <w:spacing w:line="276" w:lineRule="auto"/>
              <w:jc w:val="center"/>
              <w:rPr>
                <w:rFonts w:ascii="宋体" w:hAnsi="宋体" w:cs="仿宋_GB2312"/>
                <w:sz w:val="24"/>
                <w:szCs w:val="24"/>
              </w:rPr>
            </w:pPr>
          </w:p>
        </w:tc>
        <w:tc>
          <w:tcPr>
            <w:tcW w:w="1325" w:type="dxa"/>
            <w:noWrap w:val="0"/>
            <w:vAlign w:val="center"/>
          </w:tcPr>
          <w:p>
            <w:pPr>
              <w:adjustRightInd w:val="0"/>
              <w:snapToGrid w:val="0"/>
              <w:spacing w:line="320" w:lineRule="exact"/>
              <w:jc w:val="center"/>
              <w:rPr>
                <w:rFonts w:ascii="宋体" w:hAnsi="宋体" w:cs="仿宋_GB2312"/>
                <w:sz w:val="24"/>
                <w:szCs w:val="24"/>
              </w:rPr>
            </w:pPr>
            <w:r>
              <w:rPr>
                <w:rFonts w:hint="eastAsia" w:ascii="宋体" w:hAnsi="宋体" w:cs="仿宋_GB2312"/>
                <w:sz w:val="24"/>
                <w:szCs w:val="24"/>
              </w:rPr>
              <w:t>应急处理</w:t>
            </w:r>
          </w:p>
          <w:p>
            <w:pPr>
              <w:adjustRightInd w:val="0"/>
              <w:snapToGrid w:val="0"/>
              <w:spacing w:line="320" w:lineRule="exact"/>
              <w:jc w:val="center"/>
              <w:rPr>
                <w:rFonts w:ascii="宋体" w:hAnsi="宋体" w:cs="仿宋_GB2312"/>
                <w:sz w:val="24"/>
                <w:szCs w:val="24"/>
              </w:rPr>
            </w:pPr>
            <w:r>
              <w:rPr>
                <w:rFonts w:hint="eastAsia" w:ascii="宋体" w:hAnsi="宋体" w:cs="仿宋_GB2312"/>
                <w:sz w:val="24"/>
                <w:szCs w:val="24"/>
              </w:rPr>
              <w:t>方案</w:t>
            </w:r>
          </w:p>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w:t>
            </w:r>
            <w:r>
              <w:rPr>
                <w:rFonts w:hint="eastAsia" w:ascii="宋体" w:hAnsi="宋体" w:cs="仿宋_GB2312"/>
                <w:sz w:val="24"/>
                <w:szCs w:val="24"/>
                <w:lang w:val="en-US" w:eastAsia="zh-CN"/>
              </w:rPr>
              <w:t>5</w:t>
            </w:r>
            <w:r>
              <w:rPr>
                <w:rFonts w:hint="eastAsia" w:ascii="宋体" w:hAnsi="宋体" w:cs="仿宋_GB2312"/>
                <w:sz w:val="24"/>
                <w:szCs w:val="24"/>
              </w:rPr>
              <w:t>分）</w:t>
            </w:r>
          </w:p>
        </w:tc>
        <w:tc>
          <w:tcPr>
            <w:tcW w:w="5175" w:type="dxa"/>
            <w:noWrap w:val="0"/>
            <w:vAlign w:val="center"/>
          </w:tcPr>
          <w:p>
            <w:pPr>
              <w:adjustRightInd w:val="0"/>
              <w:snapToGrid w:val="0"/>
              <w:spacing w:line="276" w:lineRule="auto"/>
              <w:ind w:firstLine="480" w:firstLineChars="200"/>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1.</w:t>
            </w:r>
            <w:r>
              <w:rPr>
                <w:rFonts w:hint="eastAsia" w:ascii="宋体" w:hAnsi="宋体" w:cs="仿宋_GB2312"/>
                <w:sz w:val="24"/>
                <w:szCs w:val="24"/>
              </w:rPr>
              <w:t>对项目实施过程突发的紧急状况有合理化建议及相关措施</w:t>
            </w:r>
            <w:r>
              <w:rPr>
                <w:rFonts w:hint="eastAsia" w:ascii="宋体" w:hAnsi="宋体" w:cs="仿宋_GB2312"/>
                <w:sz w:val="24"/>
                <w:szCs w:val="24"/>
                <w:lang w:eastAsia="zh-CN"/>
              </w:rPr>
              <w:t>可行</w:t>
            </w:r>
            <w:r>
              <w:rPr>
                <w:rFonts w:hint="eastAsia" w:ascii="宋体" w:hAnsi="宋体" w:cs="仿宋_GB2312"/>
                <w:sz w:val="24"/>
                <w:szCs w:val="24"/>
              </w:rPr>
              <w:t>，处理方式</w:t>
            </w:r>
            <w:r>
              <w:rPr>
                <w:rFonts w:hint="eastAsia" w:ascii="宋体" w:hAnsi="宋体" w:cs="仿宋_GB2312"/>
                <w:sz w:val="24"/>
                <w:szCs w:val="24"/>
                <w:lang w:eastAsia="zh-CN"/>
              </w:rPr>
              <w:t>可行</w:t>
            </w:r>
            <w:r>
              <w:rPr>
                <w:rFonts w:hint="eastAsia" w:ascii="宋体" w:hAnsi="宋体" w:cs="仿宋_GB2312"/>
                <w:sz w:val="24"/>
                <w:szCs w:val="24"/>
              </w:rPr>
              <w:t>、处理人员配备</w:t>
            </w:r>
            <w:r>
              <w:rPr>
                <w:rFonts w:hint="eastAsia" w:ascii="宋体" w:hAnsi="宋体" w:cs="仿宋_GB2312"/>
                <w:sz w:val="24"/>
                <w:szCs w:val="24"/>
                <w:lang w:eastAsia="zh-CN"/>
              </w:rPr>
              <w:t>合理</w:t>
            </w:r>
            <w:r>
              <w:rPr>
                <w:rFonts w:hint="eastAsia" w:ascii="宋体" w:hAnsi="宋体" w:cs="仿宋_GB2312"/>
                <w:sz w:val="24"/>
                <w:szCs w:val="24"/>
              </w:rPr>
              <w:t>、响应时间</w:t>
            </w:r>
            <w:r>
              <w:rPr>
                <w:rFonts w:hint="eastAsia" w:ascii="宋体" w:hAnsi="宋体" w:cs="仿宋_GB2312"/>
                <w:sz w:val="24"/>
                <w:szCs w:val="24"/>
                <w:lang w:eastAsia="zh-CN"/>
              </w:rPr>
              <w:t>短</w:t>
            </w:r>
            <w:r>
              <w:rPr>
                <w:rFonts w:hint="eastAsia" w:ascii="宋体" w:hAnsi="宋体" w:cs="仿宋_GB2312"/>
                <w:sz w:val="24"/>
                <w:szCs w:val="24"/>
              </w:rPr>
              <w:t>、故障处理</w:t>
            </w:r>
            <w:r>
              <w:rPr>
                <w:rFonts w:hint="eastAsia" w:ascii="宋体" w:hAnsi="宋体" w:cs="仿宋_GB2312"/>
                <w:sz w:val="24"/>
                <w:szCs w:val="24"/>
                <w:lang w:eastAsia="zh-CN"/>
              </w:rPr>
              <w:t>迅速计</w:t>
            </w:r>
            <w:r>
              <w:rPr>
                <w:rFonts w:hint="eastAsia" w:ascii="宋体" w:hAnsi="宋体" w:cs="仿宋_GB2312"/>
                <w:sz w:val="24"/>
                <w:szCs w:val="24"/>
                <w:lang w:val="en-US" w:eastAsia="zh-CN"/>
              </w:rPr>
              <w:t>4-5分。</w:t>
            </w:r>
          </w:p>
          <w:p>
            <w:pPr>
              <w:adjustRightInd w:val="0"/>
              <w:snapToGrid w:val="0"/>
              <w:spacing w:line="276" w:lineRule="auto"/>
              <w:ind w:firstLine="480" w:firstLineChars="200"/>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2.</w:t>
            </w:r>
            <w:r>
              <w:rPr>
                <w:rFonts w:hint="eastAsia" w:ascii="宋体" w:hAnsi="宋体" w:cs="仿宋_GB2312"/>
                <w:sz w:val="24"/>
                <w:szCs w:val="24"/>
              </w:rPr>
              <w:t>对项目实施过程突发的紧急状况有合理化建议及相关措施</w:t>
            </w:r>
            <w:r>
              <w:rPr>
                <w:rFonts w:hint="eastAsia" w:ascii="宋体" w:hAnsi="宋体" w:cs="仿宋_GB2312"/>
                <w:sz w:val="24"/>
                <w:szCs w:val="24"/>
                <w:lang w:eastAsia="zh-CN"/>
              </w:rPr>
              <w:t>基本可行</w:t>
            </w:r>
            <w:r>
              <w:rPr>
                <w:rFonts w:hint="eastAsia" w:ascii="宋体" w:hAnsi="宋体" w:cs="仿宋_GB2312"/>
                <w:sz w:val="24"/>
                <w:szCs w:val="24"/>
              </w:rPr>
              <w:t>，处理方式</w:t>
            </w:r>
            <w:r>
              <w:rPr>
                <w:rFonts w:hint="eastAsia" w:ascii="宋体" w:hAnsi="宋体" w:cs="仿宋_GB2312"/>
                <w:sz w:val="24"/>
                <w:szCs w:val="24"/>
                <w:lang w:eastAsia="zh-CN"/>
              </w:rPr>
              <w:t>基本可行</w:t>
            </w:r>
            <w:r>
              <w:rPr>
                <w:rFonts w:hint="eastAsia" w:ascii="宋体" w:hAnsi="宋体" w:cs="仿宋_GB2312"/>
                <w:sz w:val="24"/>
                <w:szCs w:val="24"/>
              </w:rPr>
              <w:t>、处理人员配备</w:t>
            </w:r>
            <w:r>
              <w:rPr>
                <w:rFonts w:hint="eastAsia" w:ascii="宋体" w:hAnsi="宋体" w:cs="仿宋_GB2312"/>
                <w:sz w:val="24"/>
                <w:szCs w:val="24"/>
                <w:lang w:eastAsia="zh-CN"/>
              </w:rPr>
              <w:t>较为合理</w:t>
            </w:r>
            <w:r>
              <w:rPr>
                <w:rFonts w:hint="eastAsia" w:ascii="宋体" w:hAnsi="宋体" w:cs="仿宋_GB2312"/>
                <w:sz w:val="24"/>
                <w:szCs w:val="24"/>
              </w:rPr>
              <w:t>、响应时间</w:t>
            </w:r>
            <w:r>
              <w:rPr>
                <w:rFonts w:hint="eastAsia" w:ascii="宋体" w:hAnsi="宋体" w:cs="仿宋_GB2312"/>
                <w:sz w:val="24"/>
                <w:szCs w:val="24"/>
                <w:lang w:eastAsia="zh-CN"/>
              </w:rPr>
              <w:t>短</w:t>
            </w:r>
            <w:r>
              <w:rPr>
                <w:rFonts w:hint="eastAsia" w:ascii="宋体" w:hAnsi="宋体" w:cs="仿宋_GB2312"/>
                <w:sz w:val="24"/>
                <w:szCs w:val="24"/>
              </w:rPr>
              <w:t>、故障处理</w:t>
            </w:r>
            <w:r>
              <w:rPr>
                <w:rFonts w:hint="eastAsia" w:ascii="宋体" w:hAnsi="宋体" w:cs="仿宋_GB2312"/>
                <w:sz w:val="24"/>
                <w:szCs w:val="24"/>
                <w:lang w:eastAsia="zh-CN"/>
              </w:rPr>
              <w:t>迅速计</w:t>
            </w:r>
            <w:r>
              <w:rPr>
                <w:rFonts w:hint="eastAsia" w:ascii="宋体" w:hAnsi="宋体" w:cs="仿宋_GB2312"/>
                <w:sz w:val="24"/>
                <w:szCs w:val="24"/>
                <w:lang w:val="en-US" w:eastAsia="zh-CN"/>
              </w:rPr>
              <w:t>2-4分。</w:t>
            </w:r>
          </w:p>
          <w:p>
            <w:pPr>
              <w:adjustRightInd w:val="0"/>
              <w:snapToGrid w:val="0"/>
              <w:spacing w:line="276" w:lineRule="auto"/>
              <w:ind w:firstLine="480" w:firstLineChars="200"/>
              <w:jc w:val="left"/>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3.</w:t>
            </w:r>
            <w:r>
              <w:rPr>
                <w:rFonts w:hint="eastAsia" w:ascii="宋体" w:hAnsi="宋体" w:cs="仿宋_GB2312"/>
                <w:sz w:val="24"/>
                <w:szCs w:val="24"/>
              </w:rPr>
              <w:t>对项目实施过程突发的紧急状况有合理化建议及相关措施</w:t>
            </w:r>
            <w:r>
              <w:rPr>
                <w:rFonts w:hint="eastAsia" w:ascii="宋体" w:hAnsi="宋体" w:cs="仿宋_GB2312"/>
                <w:sz w:val="24"/>
                <w:szCs w:val="24"/>
                <w:lang w:eastAsia="zh-CN"/>
              </w:rPr>
              <w:t>一般</w:t>
            </w:r>
            <w:r>
              <w:rPr>
                <w:rFonts w:hint="eastAsia" w:ascii="宋体" w:hAnsi="宋体" w:cs="仿宋_GB2312"/>
                <w:sz w:val="24"/>
                <w:szCs w:val="24"/>
              </w:rPr>
              <w:t>，处理方式</w:t>
            </w:r>
            <w:r>
              <w:rPr>
                <w:rFonts w:hint="eastAsia" w:ascii="宋体" w:hAnsi="宋体" w:cs="仿宋_GB2312"/>
                <w:sz w:val="24"/>
                <w:szCs w:val="24"/>
                <w:lang w:eastAsia="zh-CN"/>
              </w:rPr>
              <w:t>基本一般</w:t>
            </w:r>
            <w:r>
              <w:rPr>
                <w:rFonts w:hint="eastAsia" w:ascii="宋体" w:hAnsi="宋体" w:cs="仿宋_GB2312"/>
                <w:sz w:val="24"/>
                <w:szCs w:val="24"/>
              </w:rPr>
              <w:t>、处理人员配备</w:t>
            </w:r>
            <w:r>
              <w:rPr>
                <w:rFonts w:hint="eastAsia" w:ascii="宋体" w:hAnsi="宋体" w:cs="仿宋_GB2312"/>
                <w:sz w:val="24"/>
                <w:szCs w:val="24"/>
                <w:lang w:eastAsia="zh-CN"/>
              </w:rPr>
              <w:t>不合理</w:t>
            </w:r>
            <w:r>
              <w:rPr>
                <w:rFonts w:hint="eastAsia" w:ascii="宋体" w:hAnsi="宋体" w:cs="仿宋_GB2312"/>
                <w:sz w:val="24"/>
                <w:szCs w:val="24"/>
              </w:rPr>
              <w:t>、响应时间</w:t>
            </w:r>
            <w:r>
              <w:rPr>
                <w:rFonts w:hint="eastAsia" w:ascii="宋体" w:hAnsi="宋体" w:cs="仿宋_GB2312"/>
                <w:sz w:val="24"/>
                <w:szCs w:val="24"/>
                <w:lang w:eastAsia="zh-CN"/>
              </w:rPr>
              <w:t>长</w:t>
            </w:r>
            <w:r>
              <w:rPr>
                <w:rFonts w:hint="eastAsia" w:ascii="宋体" w:hAnsi="宋体" w:cs="仿宋_GB2312"/>
                <w:sz w:val="24"/>
                <w:szCs w:val="24"/>
              </w:rPr>
              <w:t>、故障处理</w:t>
            </w:r>
            <w:r>
              <w:rPr>
                <w:rFonts w:hint="eastAsia" w:ascii="宋体" w:hAnsi="宋体" w:cs="仿宋_GB2312"/>
                <w:sz w:val="24"/>
                <w:szCs w:val="24"/>
                <w:lang w:eastAsia="zh-CN"/>
              </w:rPr>
              <w:t>耗时长计</w:t>
            </w:r>
            <w:r>
              <w:rPr>
                <w:rFonts w:hint="eastAsia" w:ascii="宋体" w:hAnsi="宋体" w:cs="仿宋_GB2312"/>
                <w:sz w:val="24"/>
                <w:szCs w:val="24"/>
                <w:lang w:val="en-US" w:eastAsia="zh-CN"/>
              </w:rPr>
              <w:t>0-2分。</w:t>
            </w:r>
          </w:p>
        </w:tc>
        <w:tc>
          <w:tcPr>
            <w:tcW w:w="906" w:type="dxa"/>
            <w:noWrap w:val="0"/>
            <w:vAlign w:val="top"/>
          </w:tcPr>
          <w:p>
            <w:pPr>
              <w:keepNext/>
              <w:adjustRightInd w:val="0"/>
              <w:snapToGrid w:val="0"/>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22" w:type="dxa"/>
            <w:noWrap w:val="0"/>
            <w:vAlign w:val="center"/>
          </w:tcPr>
          <w:p>
            <w:pPr>
              <w:tabs>
                <w:tab w:val="left" w:pos="1988"/>
              </w:tabs>
              <w:spacing w:line="276" w:lineRule="auto"/>
              <w:jc w:val="center"/>
              <w:rPr>
                <w:rFonts w:hint="eastAsia" w:ascii="宋体" w:hAnsi="宋体" w:eastAsia="宋体" w:cs="仿宋_GB2312"/>
                <w:sz w:val="24"/>
                <w:szCs w:val="24"/>
                <w:lang w:eastAsia="zh-CN"/>
              </w:rPr>
            </w:pPr>
            <w:r>
              <w:rPr>
                <w:rFonts w:hint="eastAsia" w:ascii="宋体" w:hAnsi="宋体" w:cs="仿宋_GB2312"/>
                <w:sz w:val="24"/>
                <w:szCs w:val="24"/>
                <w:lang w:eastAsia="zh-CN"/>
              </w:rPr>
              <w:t>质量保证</w:t>
            </w:r>
          </w:p>
        </w:tc>
        <w:tc>
          <w:tcPr>
            <w:tcW w:w="1325" w:type="dxa"/>
            <w:noWrap w:val="0"/>
            <w:vAlign w:val="center"/>
          </w:tcPr>
          <w:p>
            <w:pPr>
              <w:tabs>
                <w:tab w:val="left" w:pos="1988"/>
              </w:tabs>
              <w:spacing w:line="276" w:lineRule="auto"/>
              <w:jc w:val="center"/>
              <w:rPr>
                <w:rFonts w:hint="default" w:ascii="宋体" w:hAnsi="宋体" w:eastAsia="宋体" w:cs="仿宋_GB2312"/>
                <w:sz w:val="24"/>
                <w:szCs w:val="24"/>
                <w:lang w:val="en-US" w:eastAsia="zh-CN"/>
              </w:rPr>
            </w:pPr>
            <w:r>
              <w:rPr>
                <w:rFonts w:hint="eastAsia"/>
                <w:sz w:val="24"/>
                <w:szCs w:val="22"/>
                <w:lang w:val="en-US" w:eastAsia="zh-CN"/>
              </w:rPr>
              <w:t>10分</w:t>
            </w:r>
          </w:p>
        </w:tc>
        <w:tc>
          <w:tcPr>
            <w:tcW w:w="5175" w:type="dxa"/>
            <w:noWrap w:val="0"/>
            <w:vAlign w:val="center"/>
          </w:tcPr>
          <w:p>
            <w:pPr>
              <w:adjustRightInd w:val="0"/>
              <w:snapToGrid w:val="0"/>
              <w:spacing w:line="276" w:lineRule="auto"/>
              <w:ind w:firstLine="480" w:firstLineChars="200"/>
              <w:jc w:val="left"/>
              <w:rPr>
                <w:rFonts w:hint="default" w:ascii="宋体" w:hAnsi="宋体" w:cs="仿宋_GB2312"/>
                <w:sz w:val="24"/>
                <w:szCs w:val="24"/>
                <w:lang w:val="en-US" w:eastAsia="zh-CN"/>
              </w:rPr>
            </w:pPr>
            <w:r>
              <w:rPr>
                <w:rFonts w:hint="eastAsia" w:ascii="宋体" w:hAnsi="宋体" w:cs="仿宋_GB2312"/>
                <w:sz w:val="24"/>
                <w:szCs w:val="24"/>
                <w:lang w:val="en-US" w:eastAsia="zh-CN"/>
              </w:rPr>
              <w:t>产品供应渠道正常，无假货、水货，无不良市场反馈，检验手续合法有效、无产权纠纷，投标人提供产品渠道合法的证明文件，齐全计7-10分，资料比较齐全或表述基本一致计4-7分，资料短缺、表述不一致或未提供计0-4分。</w:t>
            </w:r>
          </w:p>
        </w:tc>
        <w:tc>
          <w:tcPr>
            <w:tcW w:w="906" w:type="dxa"/>
            <w:noWrap w:val="0"/>
            <w:vAlign w:val="top"/>
          </w:tcPr>
          <w:p>
            <w:pPr>
              <w:keepNext/>
              <w:adjustRightInd w:val="0"/>
              <w:snapToGrid w:val="0"/>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22" w:type="dxa"/>
            <w:noWrap w:val="0"/>
            <w:vAlign w:val="center"/>
          </w:tcPr>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售后服务</w:t>
            </w:r>
          </w:p>
          <w:p>
            <w:pPr>
              <w:tabs>
                <w:tab w:val="left" w:pos="1988"/>
              </w:tabs>
              <w:spacing w:line="276" w:lineRule="auto"/>
              <w:jc w:val="center"/>
              <w:rPr>
                <w:rFonts w:ascii="宋体" w:hAnsi="宋体" w:cs="仿宋_GB2312"/>
                <w:sz w:val="24"/>
                <w:szCs w:val="24"/>
              </w:rPr>
            </w:pPr>
            <w:r>
              <w:rPr>
                <w:rFonts w:hint="eastAsia" w:ascii="宋体" w:hAnsi="宋体" w:cs="仿宋_GB2312"/>
                <w:sz w:val="24"/>
                <w:szCs w:val="24"/>
              </w:rPr>
              <w:t>方案</w:t>
            </w:r>
          </w:p>
        </w:tc>
        <w:tc>
          <w:tcPr>
            <w:tcW w:w="1325" w:type="dxa"/>
            <w:noWrap w:val="0"/>
            <w:vAlign w:val="center"/>
          </w:tcPr>
          <w:p>
            <w:pPr>
              <w:tabs>
                <w:tab w:val="left" w:pos="1988"/>
              </w:tabs>
              <w:spacing w:line="276" w:lineRule="auto"/>
              <w:jc w:val="center"/>
              <w:rPr>
                <w:rFonts w:hint="default" w:ascii="宋体" w:hAnsi="宋体" w:eastAsia="宋体" w:cs="仿宋_GB2312"/>
                <w:sz w:val="24"/>
                <w:szCs w:val="24"/>
                <w:lang w:val="en-US" w:eastAsia="zh-CN"/>
              </w:rPr>
            </w:pPr>
            <w:r>
              <w:rPr>
                <w:rFonts w:ascii="宋体" w:hAnsi="宋体" w:cs="仿宋_GB2312"/>
                <w:sz w:val="24"/>
                <w:szCs w:val="24"/>
              </w:rPr>
              <w:t>1</w:t>
            </w:r>
            <w:r>
              <w:rPr>
                <w:rFonts w:hint="eastAsia" w:ascii="宋体" w:hAnsi="宋体" w:cs="仿宋_GB2312"/>
                <w:sz w:val="24"/>
                <w:szCs w:val="24"/>
                <w:lang w:val="en-US" w:eastAsia="zh-CN"/>
              </w:rPr>
              <w:t>0</w:t>
            </w:r>
          </w:p>
          <w:p>
            <w:pPr>
              <w:tabs>
                <w:tab w:val="left" w:pos="1988"/>
              </w:tabs>
              <w:spacing w:line="276" w:lineRule="auto"/>
              <w:jc w:val="center"/>
              <w:rPr>
                <w:rFonts w:ascii="宋体" w:hAnsi="宋体" w:cs="仿宋_GB2312"/>
                <w:color w:val="FF0000"/>
                <w:sz w:val="24"/>
                <w:szCs w:val="24"/>
              </w:rPr>
            </w:pPr>
            <w:r>
              <w:rPr>
                <w:rFonts w:hint="eastAsia" w:ascii="宋体" w:hAnsi="宋体" w:cs="仿宋_GB2312"/>
                <w:sz w:val="24"/>
                <w:szCs w:val="24"/>
              </w:rPr>
              <w:t>（分）</w:t>
            </w:r>
          </w:p>
        </w:tc>
        <w:tc>
          <w:tcPr>
            <w:tcW w:w="5175" w:type="dxa"/>
            <w:noWrap w:val="0"/>
            <w:vAlign w:val="center"/>
          </w:tcPr>
          <w:p>
            <w:pPr>
              <w:adjustRightInd w:val="0"/>
              <w:snapToGrid w:val="0"/>
              <w:spacing w:line="276" w:lineRule="auto"/>
              <w:ind w:firstLine="480" w:firstLineChars="200"/>
              <w:jc w:val="left"/>
              <w:rPr>
                <w:rFonts w:hint="eastAsia" w:ascii="宋体" w:hAnsi="宋体" w:cs="仿宋_GB2312"/>
                <w:sz w:val="24"/>
                <w:szCs w:val="24"/>
              </w:rPr>
            </w:pPr>
            <w:r>
              <w:rPr>
                <w:rFonts w:hint="eastAsia" w:ascii="宋体" w:hAnsi="宋体" w:cs="仿宋_GB2312"/>
                <w:sz w:val="24"/>
                <w:szCs w:val="24"/>
              </w:rPr>
              <w:t>1、售后服务方案详细、具体、可行（包括</w:t>
            </w:r>
            <w:r>
              <w:rPr>
                <w:rFonts w:hint="eastAsia" w:ascii="宋体" w:hAnsi="宋体" w:cs="仿宋_GB2312"/>
                <w:sz w:val="24"/>
                <w:szCs w:val="24"/>
                <w:lang w:eastAsia="zh-CN"/>
              </w:rPr>
              <w:t>但不限于</w:t>
            </w:r>
            <w:r>
              <w:rPr>
                <w:rFonts w:hint="eastAsia" w:ascii="宋体" w:hAnsi="宋体" w:cs="仿宋_GB2312"/>
                <w:sz w:val="24"/>
                <w:szCs w:val="24"/>
              </w:rPr>
              <w:t>投标人售后服务网点的设定、拟投入售后服务人员配置情况、项目交付用户后出现故障响应时间等），根据优劣计0-</w:t>
            </w:r>
            <w:r>
              <w:rPr>
                <w:rFonts w:hint="eastAsia" w:ascii="宋体" w:hAnsi="宋体" w:cs="仿宋_GB2312"/>
                <w:sz w:val="24"/>
                <w:szCs w:val="24"/>
                <w:lang w:val="en-US" w:eastAsia="zh-CN"/>
              </w:rPr>
              <w:t>5</w:t>
            </w:r>
            <w:r>
              <w:rPr>
                <w:rFonts w:hint="eastAsia" w:ascii="宋体" w:hAnsi="宋体" w:cs="仿宋_GB2312"/>
                <w:sz w:val="24"/>
                <w:szCs w:val="24"/>
              </w:rPr>
              <w:t>分；</w:t>
            </w:r>
          </w:p>
          <w:p>
            <w:pPr>
              <w:adjustRightInd w:val="0"/>
              <w:snapToGrid w:val="0"/>
              <w:spacing w:line="276" w:lineRule="auto"/>
              <w:ind w:firstLine="480" w:firstLineChars="200"/>
              <w:jc w:val="left"/>
              <w:rPr>
                <w:rFonts w:hint="eastAsia" w:ascii="宋体" w:hAnsi="宋体" w:cs="仿宋_GB2312"/>
                <w:sz w:val="24"/>
                <w:szCs w:val="24"/>
              </w:rPr>
            </w:pPr>
            <w:r>
              <w:rPr>
                <w:rFonts w:hint="eastAsia" w:ascii="宋体" w:hAnsi="宋体" w:cs="仿宋_GB2312"/>
                <w:sz w:val="24"/>
                <w:szCs w:val="24"/>
                <w:lang w:val="en-US" w:eastAsia="zh-CN"/>
              </w:rPr>
              <w:t>2、根据有效投标人投标文件中提供的培训方案的可实施性、科学性及拟投入培训人员的专业性等进行对比，人员组织构架设置及域管理培训科学性强，符合本项目实际情况，服务流程具有创新性、针对性强得4-5分；人员组织构架设置及域管理培训科学性合理，符合本项目实际情况，服务流程无新意、针对性一般得2-4分；人员组织构架设置及域管理培训科学性不合理，不符合本项目实际情况，服务流程无新意、针对性差得0-2分。</w:t>
            </w:r>
          </w:p>
        </w:tc>
        <w:tc>
          <w:tcPr>
            <w:tcW w:w="906" w:type="dxa"/>
            <w:noWrap w:val="0"/>
            <w:vAlign w:val="top"/>
          </w:tcPr>
          <w:p>
            <w:pPr>
              <w:keepNext/>
              <w:adjustRightInd w:val="0"/>
              <w:snapToGrid w:val="0"/>
              <w:spacing w:line="276"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2" w:type="dxa"/>
            <w:noWrap w:val="0"/>
            <w:vAlign w:val="center"/>
          </w:tcPr>
          <w:p>
            <w:pPr>
              <w:tabs>
                <w:tab w:val="left" w:pos="1988"/>
              </w:tabs>
              <w:spacing w:line="276" w:lineRule="auto"/>
              <w:jc w:val="center"/>
              <w:rPr>
                <w:rFonts w:ascii="宋体" w:hAnsi="宋体" w:cs="仿宋_GB2312"/>
                <w:sz w:val="24"/>
                <w:szCs w:val="24"/>
              </w:rPr>
            </w:pPr>
            <w:r>
              <w:rPr>
                <w:rFonts w:hint="eastAsia" w:ascii="宋体" w:hAnsi="宋体"/>
                <w:sz w:val="24"/>
                <w:szCs w:val="24"/>
              </w:rPr>
              <w:t>业绩</w:t>
            </w:r>
          </w:p>
        </w:tc>
        <w:tc>
          <w:tcPr>
            <w:tcW w:w="1325" w:type="dxa"/>
            <w:noWrap w:val="0"/>
            <w:vAlign w:val="center"/>
          </w:tcPr>
          <w:p>
            <w:pPr>
              <w:adjustRightInd w:val="0"/>
              <w:snapToGrid w:val="0"/>
              <w:spacing w:line="276" w:lineRule="auto"/>
              <w:ind w:firstLine="120" w:firstLineChars="50"/>
              <w:jc w:val="center"/>
              <w:rPr>
                <w:rFonts w:ascii="宋体" w:hAnsi="宋体" w:cs="仿宋_GB2312"/>
                <w:sz w:val="24"/>
                <w:szCs w:val="24"/>
                <w:highlight w:val="none"/>
              </w:rPr>
            </w:pP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（分）</w:t>
            </w:r>
          </w:p>
        </w:tc>
        <w:tc>
          <w:tcPr>
            <w:tcW w:w="5175" w:type="dxa"/>
            <w:noWrap w:val="0"/>
            <w:vAlign w:val="center"/>
          </w:tcPr>
          <w:p>
            <w:pPr>
              <w:adjustRightInd w:val="0"/>
              <w:snapToGrid w:val="0"/>
              <w:spacing w:line="276" w:lineRule="auto"/>
              <w:ind w:firstLine="480" w:firstLineChars="200"/>
              <w:jc w:val="left"/>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201</w:t>
            </w:r>
            <w:r>
              <w:rPr>
                <w:rFonts w:hint="eastAsia" w:ascii="宋体" w:hAnsi="宋体" w:cs="仿宋_GB2312"/>
                <w:sz w:val="24"/>
                <w:szCs w:val="24"/>
                <w:highlight w:val="none"/>
                <w:lang w:val="en-US" w:eastAsia="zh-CN"/>
              </w:rPr>
              <w:t>9</w:t>
            </w:r>
            <w:r>
              <w:rPr>
                <w:rFonts w:hint="eastAsia" w:ascii="宋体" w:hAnsi="宋体" w:cs="仿宋_GB2312"/>
                <w:sz w:val="24"/>
                <w:szCs w:val="24"/>
                <w:highlight w:val="none"/>
              </w:rPr>
              <w:t>年</w:t>
            </w:r>
            <w:r>
              <w:rPr>
                <w:rFonts w:hint="eastAsia" w:ascii="宋体" w:hAnsi="宋体" w:cs="仿宋_GB2312"/>
                <w:sz w:val="24"/>
                <w:szCs w:val="24"/>
                <w:highlight w:val="none"/>
                <w:lang w:val="en-US" w:eastAsia="zh-CN"/>
              </w:rPr>
              <w:t>3月</w:t>
            </w:r>
            <w:r>
              <w:rPr>
                <w:rFonts w:hint="eastAsia" w:ascii="宋体" w:hAnsi="宋体" w:cs="仿宋_GB2312"/>
                <w:sz w:val="24"/>
                <w:szCs w:val="24"/>
                <w:highlight w:val="none"/>
              </w:rPr>
              <w:t>至今同类业绩，每提供一份</w:t>
            </w:r>
            <w:r>
              <w:rPr>
                <w:rFonts w:hint="eastAsia" w:ascii="宋体" w:hAnsi="宋体" w:cs="仿宋_GB2312"/>
                <w:sz w:val="24"/>
                <w:szCs w:val="24"/>
                <w:highlight w:val="none"/>
                <w:lang w:eastAsia="zh-CN"/>
              </w:rPr>
              <w:t>中标通知书或合同协议书</w:t>
            </w:r>
            <w:r>
              <w:rPr>
                <w:rFonts w:hint="eastAsia" w:ascii="宋体" w:hAnsi="宋体" w:cs="仿宋_GB2312"/>
                <w:sz w:val="24"/>
                <w:szCs w:val="24"/>
                <w:highlight w:val="none"/>
              </w:rPr>
              <w:t>得</w:t>
            </w: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分，最高</w:t>
            </w: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分</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未提供不得分</w:t>
            </w:r>
            <w:r>
              <w:rPr>
                <w:rFonts w:hint="eastAsia" w:ascii="宋体" w:hAnsi="宋体" w:cs="仿宋_GB2312"/>
                <w:sz w:val="24"/>
                <w:szCs w:val="24"/>
                <w:highlight w:val="none"/>
                <w:lang w:eastAsia="zh-CN"/>
              </w:rPr>
              <w:t>。</w:t>
            </w:r>
          </w:p>
        </w:tc>
        <w:tc>
          <w:tcPr>
            <w:tcW w:w="906" w:type="dxa"/>
            <w:noWrap w:val="0"/>
            <w:vAlign w:val="top"/>
          </w:tcPr>
          <w:p>
            <w:pPr>
              <w:keepNext/>
              <w:adjustRightInd w:val="0"/>
              <w:snapToGrid w:val="0"/>
              <w:spacing w:line="276" w:lineRule="auto"/>
              <w:rPr>
                <w:rFonts w:ascii="宋体" w:hAnsi="宋体" w:cs="仿宋_GB2312"/>
                <w:sz w:val="24"/>
                <w:szCs w:val="24"/>
                <w:highlight w:val="yellow"/>
              </w:rPr>
            </w:pPr>
          </w:p>
        </w:tc>
      </w:tr>
    </w:tbl>
    <w:p>
      <w:pPr>
        <w:pStyle w:val="8"/>
        <w:numPr>
          <w:ilvl w:val="4"/>
          <w:numId w:val="0"/>
        </w:numPr>
        <w:ind w:leftChars="0"/>
      </w:pPr>
      <w:r>
        <w:rPr>
          <w:rFonts w:hint="eastAsia"/>
        </w:rPr>
        <w:t>1</w:t>
      </w:r>
      <w:r>
        <w:rPr>
          <w:rFonts w:hint="eastAsia"/>
          <w:lang w:val="en-US" w:eastAsia="zh-CN"/>
        </w:rPr>
        <w:t>0</w:t>
      </w:r>
      <w:r>
        <w:rPr>
          <w:rFonts w:hint="eastAsia"/>
        </w:rPr>
        <w:t>.特殊情况的处理</w:t>
      </w:r>
    </w:p>
    <w:p>
      <w:pPr>
        <w:widowControl/>
        <w:autoSpaceDE w:val="0"/>
        <w:autoSpaceDN w:val="0"/>
        <w:spacing w:line="360" w:lineRule="auto"/>
        <w:ind w:right="53"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.1 投标文件中如果出现计算错误，可按以下原则进行修正：</w:t>
      </w:r>
    </w:p>
    <w:p>
      <w:pPr>
        <w:spacing w:line="360" w:lineRule="auto"/>
        <w:ind w:firstLine="360" w:firstLineChars="150"/>
        <w:rPr>
          <w:rFonts w:ascii="宋体" w:hAnsi="宋体"/>
          <w:sz w:val="24"/>
        </w:rPr>
      </w:pPr>
      <w:r>
        <w:rPr>
          <w:rFonts w:hint="eastAsia" w:ascii="宋体" w:hAnsi="宋体"/>
          <w:sz w:val="24"/>
        </w:rPr>
        <w:t>（1）投标文件中的大写金额与小写金额不一致的，以大写金额为准；</w:t>
      </w:r>
    </w:p>
    <w:p>
      <w:pPr>
        <w:spacing w:line="360" w:lineRule="auto"/>
        <w:ind w:firstLine="360" w:firstLineChars="150"/>
        <w:rPr>
          <w:rFonts w:ascii="宋体" w:hAnsi="宋体"/>
          <w:sz w:val="24"/>
        </w:rPr>
      </w:pPr>
      <w:r>
        <w:rPr>
          <w:rFonts w:hint="eastAsia" w:ascii="宋体" w:hAnsi="宋体"/>
          <w:sz w:val="24"/>
        </w:rPr>
        <w:t>（2）投标文件中的总价金额与按单价计算的汇总金额不一致的，以单价计算的汇总金额为准；</w:t>
      </w:r>
    </w:p>
    <w:p>
      <w:pPr>
        <w:spacing w:line="360" w:lineRule="auto"/>
        <w:ind w:firstLine="360" w:firstLineChars="150"/>
        <w:rPr>
          <w:rFonts w:ascii="宋体" w:hAnsi="宋体"/>
          <w:sz w:val="24"/>
        </w:rPr>
      </w:pPr>
      <w:r>
        <w:rPr>
          <w:rFonts w:hint="eastAsia" w:ascii="宋体" w:hAnsi="宋体"/>
          <w:sz w:val="24"/>
        </w:rPr>
        <w:t>（3）投标文件中的单价金额有明显小数点错误的，以总价为准，并修改单价；</w:t>
      </w:r>
    </w:p>
    <w:p>
      <w:pPr>
        <w:spacing w:line="360" w:lineRule="auto"/>
        <w:ind w:firstLine="360" w:firstLineChars="150"/>
        <w:rPr>
          <w:rFonts w:ascii="宋体" w:hAnsi="宋体"/>
          <w:sz w:val="24"/>
        </w:rPr>
      </w:pPr>
      <w:r>
        <w:rPr>
          <w:rFonts w:hint="eastAsia" w:ascii="宋体" w:hAnsi="宋体"/>
          <w:sz w:val="24"/>
        </w:rPr>
        <w:t>（4）投标文件中有</w:t>
      </w:r>
      <w:r>
        <w:rPr>
          <w:rFonts w:hint="eastAsia" w:ascii="宋体" w:hAnsi="宋体"/>
          <w:color w:val="auto"/>
          <w:sz w:val="24"/>
          <w:highlight w:val="none"/>
        </w:rPr>
        <w:t>关分项表</w:t>
      </w:r>
      <w:r>
        <w:rPr>
          <w:rFonts w:hint="eastAsia" w:ascii="宋体" w:hAnsi="宋体"/>
          <w:sz w:val="24"/>
        </w:rPr>
        <w:t>内容与“开标一览表”不一致的，以“</w:t>
      </w:r>
      <w:r>
        <w:rPr>
          <w:rFonts w:hint="eastAsia" w:ascii="宋体" w:hAnsi="宋体"/>
          <w:sz w:val="24"/>
          <w:lang w:eastAsia="zh-CN"/>
        </w:rPr>
        <w:t>分项报价</w:t>
      </w:r>
      <w:r>
        <w:rPr>
          <w:rFonts w:hint="eastAsia" w:ascii="宋体" w:hAnsi="宋体"/>
          <w:sz w:val="24"/>
        </w:rPr>
        <w:t>表”为准；</w:t>
      </w:r>
    </w:p>
    <w:p>
      <w:pPr>
        <w:pStyle w:val="24"/>
        <w:ind w:firstLine="360" w:firstLineChars="150"/>
        <w:rPr>
          <w:rFonts w:ascii="宋体" w:hAnsi="宋体" w:eastAsia="宋体"/>
          <w:sz w:val="24"/>
          <w:szCs w:val="24"/>
        </w:rPr>
      </w:pPr>
      <w:r>
        <w:rPr>
          <w:rFonts w:hint="eastAsia" w:ascii="宋体" w:hAnsi="宋体" w:eastAsia="宋体"/>
          <w:sz w:val="24"/>
          <w:szCs w:val="24"/>
        </w:rPr>
        <w:t>（5）投标文件中图表与文字表述不一致的，以文字表述为准；</w:t>
      </w:r>
    </w:p>
    <w:p>
      <w:pPr>
        <w:widowControl/>
        <w:autoSpaceDE w:val="0"/>
        <w:autoSpaceDN w:val="0"/>
        <w:spacing w:line="360" w:lineRule="auto"/>
        <w:ind w:right="53" w:firstLine="360" w:firstLineChars="150"/>
        <w:textAlignment w:val="bottom"/>
        <w:rPr>
          <w:rFonts w:ascii="宋体" w:hAnsi="宋体"/>
          <w:sz w:val="24"/>
        </w:rPr>
      </w:pPr>
      <w:r>
        <w:rPr>
          <w:rFonts w:hint="eastAsia" w:ascii="宋体" w:hAnsi="宋体"/>
          <w:sz w:val="24"/>
        </w:rPr>
        <w:t>（6）投标文件正本与副本不一致的，以正本为准；</w:t>
      </w:r>
    </w:p>
    <w:p>
      <w:pPr>
        <w:pStyle w:val="5"/>
        <w:spacing w:line="360" w:lineRule="auto"/>
        <w:ind w:firstLine="360" w:firstLineChars="150"/>
        <w:rPr>
          <w:rFonts w:ascii="宋体" w:hAnsi="宋体"/>
          <w:sz w:val="24"/>
          <w:szCs w:val="24"/>
        </w:rPr>
      </w:pPr>
      <w:r>
        <w:rPr>
          <w:rFonts w:hint="eastAsia" w:ascii="宋体" w:hAnsi="宋体"/>
          <w:sz w:val="24"/>
          <w:szCs w:val="24"/>
        </w:rPr>
        <w:t>（7）对不同文字文本投标文件的解释发生异议的，以中文文本为准。</w:t>
      </w:r>
    </w:p>
    <w:p>
      <w:pPr>
        <w:widowControl/>
        <w:autoSpaceDE w:val="0"/>
        <w:autoSpaceDN w:val="0"/>
        <w:spacing w:line="360" w:lineRule="auto"/>
        <w:ind w:right="51" w:firstLine="482" w:firstLineChars="200"/>
        <w:textAlignment w:val="bottom"/>
        <w:rPr>
          <w:rFonts w:hint="eastAsia" w:ascii="宋体" w:hAnsi="宋体"/>
          <w:b/>
          <w:sz w:val="24"/>
        </w:rPr>
      </w:pPr>
      <w:r>
        <w:rPr>
          <w:rFonts w:hint="eastAsia" w:ascii="宋体" w:hAnsi="宋体"/>
          <w:b/>
          <w:sz w:val="24"/>
        </w:rPr>
        <w:t>按上述修正错误的方法调整的投标报价应对投标人具有约束力。如果投标人不接受修正后的价格，其投标将被拒绝。</w:t>
      </w:r>
    </w:p>
    <w:p>
      <w:pPr>
        <w:widowControl/>
        <w:autoSpaceDE w:val="0"/>
        <w:autoSpaceDN w:val="0"/>
        <w:spacing w:line="360" w:lineRule="auto"/>
        <w:ind w:right="53" w:firstLine="480" w:firstLineChars="200"/>
        <w:textAlignment w:val="bottom"/>
      </w:pPr>
      <w:r>
        <w:rPr>
          <w:rFonts w:hint="eastAsia" w:ascii="宋体" w:hAnsi="宋体"/>
          <w:sz w:val="24"/>
          <w:lang w:val="en-US" w:eastAsia="zh-CN"/>
        </w:rPr>
        <w:t>10.2</w:t>
      </w:r>
      <w:r>
        <w:rPr>
          <w:rFonts w:hint="eastAsia" w:ascii="宋体" w:hAnsi="宋体"/>
          <w:sz w:val="24"/>
        </w:rPr>
        <w:t>提供虚假证明，开具虚假资质，出现虚假应答，除按无效标处理外，还进行相应的处罚；</w:t>
      </w:r>
    </w:p>
    <w:p>
      <w:pPr>
        <w:widowControl/>
        <w:autoSpaceDE w:val="0"/>
        <w:autoSpaceDN w:val="0"/>
        <w:spacing w:line="360" w:lineRule="auto"/>
        <w:ind w:right="53" w:firstLine="480" w:firstLineChars="200"/>
        <w:textAlignment w:val="bottom"/>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评标过程中，各种数字的计算结果，均保留两位小数</w:t>
      </w:r>
      <w:r>
        <w:rPr>
          <w:rFonts w:hint="eastAsia" w:ascii="宋体" w:hAnsi="宋体"/>
          <w:sz w:val="24"/>
          <w:lang w:eastAsia="zh-CN"/>
        </w:rPr>
        <w:t>。</w:t>
      </w:r>
    </w:p>
    <w:p>
      <w:pPr>
        <w:widowControl/>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4</w:t>
      </w:r>
      <w:r>
        <w:rPr>
          <w:rFonts w:hint="eastAsia" w:ascii="宋体" w:hAnsi="宋体"/>
          <w:sz w:val="24"/>
        </w:rPr>
        <w:t xml:space="preserve"> 相同品牌的处理</w:t>
      </w:r>
    </w:p>
    <w:p>
      <w:pPr>
        <w:widowControl/>
        <w:autoSpaceDE w:val="0"/>
        <w:autoSpaceDN w:val="0"/>
        <w:spacing w:line="360" w:lineRule="auto"/>
        <w:ind w:right="53" w:firstLine="480" w:firstLineChars="200"/>
        <w:textAlignment w:val="bottom"/>
        <w:rPr>
          <w:color w:val="C00000"/>
          <w:sz w:val="24"/>
          <w:szCs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4</w:t>
      </w:r>
      <w:r>
        <w:rPr>
          <w:rFonts w:hint="eastAsia" w:ascii="宋体" w:hAnsi="宋体"/>
          <w:sz w:val="24"/>
        </w:rPr>
        <w:t>.1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2"/>
        <w:spacing w:line="360" w:lineRule="auto"/>
        <w:ind w:firstLine="472" w:firstLineChars="197"/>
        <w:rPr>
          <w:rFonts w:hAnsi="宋体"/>
          <w:sz w:val="24"/>
          <w:szCs w:val="24"/>
        </w:rPr>
      </w:pPr>
      <w:r>
        <w:rPr>
          <w:rFonts w:hint="eastAsia" w:hAnsi="宋体"/>
          <w:sz w:val="24"/>
          <w:szCs w:val="24"/>
        </w:rPr>
        <w:t>1</w:t>
      </w:r>
      <w:r>
        <w:rPr>
          <w:rFonts w:hint="eastAsia" w:hAnsi="宋体"/>
          <w:sz w:val="24"/>
          <w:szCs w:val="24"/>
          <w:lang w:val="en-US" w:eastAsia="zh-CN"/>
        </w:rPr>
        <w:t>0</w:t>
      </w:r>
      <w:r>
        <w:rPr>
          <w:rFonts w:hint="eastAsia" w:hAnsi="宋体"/>
          <w:sz w:val="24"/>
          <w:szCs w:val="24"/>
        </w:rPr>
        <w:t>.</w:t>
      </w:r>
      <w:r>
        <w:rPr>
          <w:rFonts w:hint="eastAsia" w:hAnsi="宋体"/>
          <w:sz w:val="24"/>
          <w:szCs w:val="24"/>
          <w:lang w:val="en-US" w:eastAsia="zh-CN"/>
        </w:rPr>
        <w:t>5</w:t>
      </w:r>
      <w:r>
        <w:rPr>
          <w:rFonts w:hint="eastAsia" w:hAnsi="宋体"/>
          <w:sz w:val="24"/>
          <w:szCs w:val="24"/>
        </w:rPr>
        <w:t>评标报告签署后，采购人或者采购代理机构发现存在本章5.2条情形之一的，应当组织原评标委员会进行重新评审，重新评审改变中标结果的，书面报本级财政部门认定。</w:t>
      </w:r>
    </w:p>
    <w:p>
      <w:pPr>
        <w:pStyle w:val="5"/>
        <w:spacing w:line="360" w:lineRule="auto"/>
        <w:ind w:firstLine="525"/>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评标争议处理原则</w:t>
      </w:r>
    </w:p>
    <w:p>
      <w:pPr>
        <w:pStyle w:val="5"/>
        <w:spacing w:line="360" w:lineRule="auto"/>
        <w:ind w:firstLine="525"/>
        <w:rPr>
          <w:rFonts w:ascii="宋体" w:hAnsi="宋体"/>
          <w:sz w:val="24"/>
          <w:szCs w:val="24"/>
        </w:rPr>
      </w:pPr>
      <w:r>
        <w:rPr>
          <w:rFonts w:hint="eastAsia" w:ascii="宋体" w:hAnsi="宋体"/>
          <w:sz w:val="24"/>
          <w:szCs w:val="24"/>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pPr>
        <w:pStyle w:val="4"/>
        <w:spacing w:before="0" w:afterLines="50" w:line="360" w:lineRule="auto"/>
        <w:rPr>
          <w:rFonts w:ascii="宋体" w:hAnsi="宋体" w:eastAsia="宋体"/>
          <w:bCs/>
        </w:rPr>
      </w:pPr>
      <w:bookmarkStart w:id="155" w:name="_Toc107"/>
      <w:bookmarkStart w:id="156" w:name="_Toc834"/>
      <w:r>
        <w:rPr>
          <w:rFonts w:hint="eastAsia" w:ascii="宋体" w:hAnsi="宋体" w:eastAsia="宋体"/>
          <w:bCs/>
        </w:rPr>
        <w:t>三、评标专家义务与纪律</w:t>
      </w:r>
      <w:bookmarkEnd w:id="155"/>
      <w:bookmarkEnd w:id="156"/>
    </w:p>
    <w:p>
      <w:pPr>
        <w:pStyle w:val="8"/>
      </w:pPr>
      <w:r>
        <w:rPr>
          <w:rFonts w:hint="eastAsia"/>
        </w:rPr>
        <w:t>1</w:t>
      </w:r>
      <w:r>
        <w:rPr>
          <w:rFonts w:hint="eastAsia"/>
          <w:lang w:val="en-US" w:eastAsia="zh-CN"/>
        </w:rPr>
        <w:t>1</w:t>
      </w:r>
      <w:r>
        <w:rPr>
          <w:rFonts w:hint="eastAsia"/>
        </w:rPr>
        <w:t>.评标专家在政府采购活动中承担以下义务：</w:t>
      </w:r>
    </w:p>
    <w:p>
      <w:pPr>
        <w:widowControl/>
        <w:autoSpaceDE w:val="0"/>
        <w:autoSpaceDN w:val="0"/>
        <w:spacing w:line="360" w:lineRule="auto"/>
        <w:ind w:right="51"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.1 遵纪守法，客观、公正、廉洁地履行职责。</w:t>
      </w:r>
    </w:p>
    <w:p>
      <w:pPr>
        <w:widowControl/>
        <w:autoSpaceDE w:val="0"/>
        <w:autoSpaceDN w:val="0"/>
        <w:spacing w:line="360" w:lineRule="auto"/>
        <w:ind w:right="51"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 按照政府采购法律法规和采购文件的规定要求对投标人的资格条件和投标人提供的产品价格、技术、商务、服务等方面严格进行评判，提供科学合理、公平公正的评审意见，参与起草评审报告，并予签字确认。</w:t>
      </w:r>
    </w:p>
    <w:p>
      <w:pPr>
        <w:widowControl/>
        <w:autoSpaceDE w:val="0"/>
        <w:autoSpaceDN w:val="0"/>
        <w:spacing w:line="360" w:lineRule="auto"/>
        <w:ind w:right="51"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 保守秘密。不得透露采购文件咨询情况，不得泄漏投标人的投标文件及知悉的商业秘密，不得向投标人透露评审情况。</w:t>
      </w:r>
    </w:p>
    <w:p>
      <w:pPr>
        <w:widowControl/>
        <w:autoSpaceDE w:val="0"/>
        <w:autoSpaceDN w:val="0"/>
        <w:spacing w:line="360" w:lineRule="auto"/>
        <w:ind w:right="53"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 发现投标人在政府采购活动中有不正当竞争或恶意串通等违规行为，及时向</w:t>
      </w:r>
    </w:p>
    <w:p>
      <w:pPr>
        <w:widowControl/>
        <w:autoSpaceDE w:val="0"/>
        <w:autoSpaceDN w:val="0"/>
        <w:spacing w:line="360" w:lineRule="auto"/>
        <w:ind w:right="51"/>
        <w:textAlignment w:val="bottom"/>
        <w:rPr>
          <w:rFonts w:ascii="宋体" w:hAnsi="宋体"/>
          <w:sz w:val="24"/>
        </w:rPr>
      </w:pPr>
      <w:r>
        <w:rPr>
          <w:rFonts w:hint="eastAsia" w:ascii="宋体" w:hAnsi="宋体"/>
          <w:sz w:val="24"/>
        </w:rPr>
        <w:t>政府采购评审工作的组织者或财政部门报告并加以制止。发现采购人、政府采购代理机构及其工作人员在政府采购活动中有干预评审、发表倾向性和歧视性言论、受贿或者接受投标人的其他好处及其他违法违规行为，及时向财政部门报告。</w:t>
      </w:r>
    </w:p>
    <w:p>
      <w:pPr>
        <w:widowControl/>
        <w:autoSpaceDE w:val="0"/>
        <w:autoSpaceDN w:val="0"/>
        <w:spacing w:line="360" w:lineRule="auto"/>
        <w:ind w:right="53"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.5 解答有关方面对政府采购评审工作中有关问题的询问，配合采购人或者政府采购代理机构答复投标人质疑，配合财政部门的投诉处理工作等事宜。</w:t>
      </w:r>
    </w:p>
    <w:p>
      <w:pPr>
        <w:widowControl/>
        <w:autoSpaceDE w:val="0"/>
        <w:autoSpaceDN w:val="0"/>
        <w:spacing w:line="360" w:lineRule="auto"/>
        <w:ind w:right="53" w:firstLine="480" w:firstLineChars="200"/>
        <w:textAlignment w:val="bottom"/>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.6 法律、法规和规章规定的其他义务。</w:t>
      </w:r>
    </w:p>
    <w:p>
      <w:pPr>
        <w:pStyle w:val="8"/>
      </w:pPr>
      <w:r>
        <w:rPr>
          <w:rFonts w:hint="eastAsia"/>
        </w:rPr>
        <w:t>1</w:t>
      </w:r>
      <w:r>
        <w:rPr>
          <w:rFonts w:hint="eastAsia"/>
          <w:lang w:val="en-US" w:eastAsia="zh-CN"/>
        </w:rPr>
        <w:t>2</w:t>
      </w:r>
      <w:r>
        <w:rPr>
          <w:rFonts w:hint="eastAsia"/>
        </w:rPr>
        <w:t>.</w:t>
      </w:r>
      <w:r>
        <w:t>在评标中，评标委员会及其成员不得有下列行为：</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1</w:t>
      </w:r>
      <w:r>
        <w:rPr>
          <w:rFonts w:ascii="Helvetica" w:hAnsi="Helvetica"/>
          <w:sz w:val="24"/>
          <w:szCs w:val="24"/>
        </w:rPr>
        <w:t>）确定参与评标至评标结束前私自接触投标人；</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2</w:t>
      </w:r>
      <w:r>
        <w:rPr>
          <w:rFonts w:ascii="Helvetica" w:hAnsi="Helvetica"/>
          <w:sz w:val="24"/>
          <w:szCs w:val="24"/>
        </w:rPr>
        <w:t>）接受</w:t>
      </w:r>
      <w:r>
        <w:rPr>
          <w:rFonts w:hint="eastAsia" w:ascii="Helvetica" w:hAnsi="Helvetica"/>
          <w:sz w:val="24"/>
          <w:szCs w:val="24"/>
        </w:rPr>
        <w:t>投标人</w:t>
      </w:r>
      <w:r>
        <w:rPr>
          <w:rFonts w:ascii="Helvetica" w:hAnsi="Helvetica"/>
          <w:sz w:val="24"/>
          <w:szCs w:val="24"/>
        </w:rPr>
        <w:t>提出的与投标文件不一致的澄清和说明；</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3</w:t>
      </w:r>
      <w:r>
        <w:rPr>
          <w:rFonts w:ascii="Helvetica" w:hAnsi="Helvetica"/>
          <w:sz w:val="24"/>
          <w:szCs w:val="24"/>
        </w:rPr>
        <w:t>）征询采购人的倾向性意见；</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4</w:t>
      </w:r>
      <w:r>
        <w:rPr>
          <w:rFonts w:ascii="Helvetica" w:hAnsi="Helvetica"/>
          <w:sz w:val="24"/>
          <w:szCs w:val="24"/>
        </w:rPr>
        <w:t>）对主观评审因素协商评分；</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5</w:t>
      </w:r>
      <w:r>
        <w:rPr>
          <w:rFonts w:ascii="Helvetica" w:hAnsi="Helvetica"/>
          <w:sz w:val="24"/>
          <w:szCs w:val="24"/>
        </w:rPr>
        <w:t>）对客观评审因素评分不一致；</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6</w:t>
      </w:r>
      <w:r>
        <w:rPr>
          <w:rFonts w:ascii="Helvetica" w:hAnsi="Helvetica"/>
          <w:sz w:val="24"/>
          <w:szCs w:val="24"/>
        </w:rPr>
        <w:t>）在评标过程中擅离职守，影响评标程序正常进行的；</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ascii="Helvetica" w:hAnsi="Helvetica"/>
          <w:sz w:val="24"/>
          <w:szCs w:val="24"/>
        </w:rPr>
        <w:t>（</w:t>
      </w:r>
      <w:r>
        <w:rPr>
          <w:rFonts w:hint="eastAsia" w:ascii="Helvetica" w:hAnsi="Helvetica"/>
          <w:sz w:val="24"/>
          <w:szCs w:val="24"/>
        </w:rPr>
        <w:t>7</w:t>
      </w:r>
      <w:r>
        <w:rPr>
          <w:rFonts w:ascii="Helvetica" w:hAnsi="Helvetica"/>
          <w:sz w:val="24"/>
          <w:szCs w:val="24"/>
        </w:rPr>
        <w:t>）记录、复制或带走任何评标资料。</w:t>
      </w:r>
    </w:p>
    <w:p>
      <w:pPr>
        <w:pStyle w:val="26"/>
        <w:shd w:val="clear" w:color="auto" w:fill="FFFFFF"/>
        <w:spacing w:before="0" w:beforeAutospacing="0" w:after="0" w:afterAutospacing="0" w:line="360" w:lineRule="auto"/>
        <w:ind w:firstLine="480" w:firstLineChars="200"/>
        <w:rPr>
          <w:rFonts w:ascii="Helvetica" w:hAnsi="Helvetica"/>
          <w:sz w:val="24"/>
          <w:szCs w:val="24"/>
        </w:rPr>
      </w:pPr>
      <w:r>
        <w:rPr>
          <w:rFonts w:hint="eastAsia" w:ascii="Helvetica" w:hAnsi="Helvetica"/>
          <w:sz w:val="24"/>
          <w:szCs w:val="24"/>
        </w:rPr>
        <w:t>（8）有关部门（机构）制定的其他评审工作纪律。</w:t>
      </w:r>
    </w:p>
    <w:p>
      <w:pPr>
        <w:pStyle w:val="26"/>
        <w:shd w:val="clear" w:color="auto" w:fill="FFFFFF"/>
        <w:spacing w:before="0" w:beforeAutospacing="0" w:after="0" w:afterAutospacing="0" w:line="360" w:lineRule="auto"/>
        <w:ind w:firstLine="480" w:firstLineChars="200"/>
        <w:rPr>
          <w:rFonts w:ascii="宋体" w:hAnsi="宋体"/>
          <w:sz w:val="44"/>
          <w:szCs w:val="44"/>
        </w:rPr>
      </w:pPr>
      <w:r>
        <w:rPr>
          <w:rFonts w:ascii="Helvetica" w:hAnsi="Helvetica"/>
          <w:sz w:val="24"/>
          <w:szCs w:val="24"/>
        </w:rPr>
        <w:t>评标委员会成员有前款第一至四项行为之一的，其评审意见无效。</w:t>
      </w:r>
      <w:r>
        <w:rPr>
          <w:rFonts w:ascii="宋体" w:hAnsi="宋体"/>
          <w:sz w:val="44"/>
          <w:szCs w:val="44"/>
        </w:rPr>
        <w:br w:type="page"/>
      </w:r>
      <w:bookmarkStart w:id="157" w:name="_Toc531253636"/>
      <w:bookmarkStart w:id="158" w:name="_Toc11006"/>
      <w:r>
        <w:rPr>
          <w:rFonts w:hint="eastAsia"/>
          <w:sz w:val="44"/>
          <w:szCs w:val="44"/>
          <w:lang w:val="en-US" w:eastAsia="zh-CN"/>
        </w:rPr>
        <w:t xml:space="preserve">     </w:t>
      </w:r>
      <w:r>
        <w:rPr>
          <w:rFonts w:hint="eastAsia" w:ascii="Times New Roman" w:hAnsi="Times New Roman" w:eastAsia="宋体" w:cs="Times New Roman"/>
          <w:b/>
          <w:kern w:val="44"/>
          <w:sz w:val="44"/>
          <w:szCs w:val="44"/>
          <w:lang w:val="en-US" w:eastAsia="zh-CN" w:bidi="ar-SA"/>
        </w:rPr>
        <w:t xml:space="preserve">     第五章 采购内容及要求</w:t>
      </w:r>
      <w:bookmarkEnd w:id="150"/>
      <w:bookmarkEnd w:id="157"/>
      <w:bookmarkEnd w:id="158"/>
    </w:p>
    <w:p>
      <w:pPr>
        <w:pStyle w:val="4"/>
        <w:spacing w:before="0" w:afterLines="50" w:line="240" w:lineRule="auto"/>
        <w:rPr>
          <w:rFonts w:hint="eastAsia" w:ascii="宋体" w:hAnsi="宋体" w:eastAsia="宋体"/>
          <w:bCs/>
          <w:sz w:val="24"/>
          <w:szCs w:val="24"/>
          <w:lang w:val="en-US" w:eastAsia="zh-CN"/>
        </w:rPr>
      </w:pPr>
      <w:bookmarkStart w:id="159" w:name="_Toc20426"/>
      <w:bookmarkStart w:id="160" w:name="_Toc3963"/>
      <w:bookmarkStart w:id="161" w:name="_Toc217446094"/>
      <w:r>
        <w:rPr>
          <w:rFonts w:hint="eastAsia" w:ascii="宋体" w:hAnsi="宋体" w:eastAsia="宋体"/>
          <w:bCs/>
          <w:sz w:val="24"/>
          <w:szCs w:val="24"/>
          <w:lang w:val="en-US" w:eastAsia="zh-CN"/>
        </w:rPr>
        <w:t>一、服务要求：</w:t>
      </w:r>
      <w:bookmarkEnd w:id="159"/>
      <w:bookmarkEnd w:id="160"/>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1、交货地点：采购人指定地点</w:t>
      </w:r>
    </w:p>
    <w:p>
      <w:pPr>
        <w:spacing w:line="360" w:lineRule="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2、交货期：</w:t>
      </w:r>
      <w:r>
        <w:rPr>
          <w:rFonts w:hint="eastAsia" w:ascii="宋体" w:hAnsi="宋体" w:cs="Times New Roman"/>
          <w:color w:val="000000"/>
          <w:sz w:val="24"/>
          <w:highlight w:val="none"/>
          <w:lang w:val="zh-CN" w:eastAsia="zh-CN"/>
        </w:rPr>
        <w:t>合同签订后</w:t>
      </w:r>
      <w:r>
        <w:rPr>
          <w:rFonts w:hint="eastAsia" w:ascii="宋体" w:hAnsi="宋体" w:cs="Times New Roman"/>
          <w:color w:val="000000"/>
          <w:sz w:val="24"/>
          <w:highlight w:val="none"/>
          <w:u w:val="single"/>
          <w:lang w:val="en-US" w:eastAsia="zh-CN"/>
        </w:rPr>
        <w:t xml:space="preserve"> 60 </w:t>
      </w:r>
      <w:r>
        <w:rPr>
          <w:rFonts w:hint="eastAsia" w:ascii="宋体" w:hAnsi="宋体" w:cs="Times New Roman"/>
          <w:color w:val="000000"/>
          <w:sz w:val="24"/>
          <w:highlight w:val="none"/>
          <w:u w:val="none"/>
          <w:lang w:val="en-US" w:eastAsia="zh-CN"/>
        </w:rPr>
        <w:t>个</w:t>
      </w:r>
      <w:r>
        <w:rPr>
          <w:rFonts w:hint="eastAsia" w:ascii="宋体" w:hAnsi="宋体" w:cs="Times New Roman"/>
          <w:color w:val="000000"/>
          <w:sz w:val="24"/>
          <w:highlight w:val="none"/>
          <w:lang w:val="en-US" w:eastAsia="zh-CN"/>
        </w:rPr>
        <w:t>日历天供货安装调试完毕。</w:t>
      </w:r>
    </w:p>
    <w:p>
      <w:pPr>
        <w:pStyle w:val="5"/>
        <w:spacing w:line="360" w:lineRule="auto"/>
        <w:ind w:left="0" w:leftChars="0" w:firstLine="0" w:firstLineChars="0"/>
        <w:rPr>
          <w:rFonts w:hint="eastAsia"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3、质保期：</w:t>
      </w:r>
      <w:r>
        <w:rPr>
          <w:rFonts w:hint="eastAsia" w:ascii="宋体" w:hAnsi="宋体"/>
          <w:color w:val="auto"/>
          <w:sz w:val="24"/>
          <w:highlight w:val="none"/>
          <w:lang w:val="en-US" w:eastAsia="zh-CN"/>
        </w:rPr>
        <w:t>自</w:t>
      </w:r>
      <w:r>
        <w:rPr>
          <w:rFonts w:hint="eastAsia" w:cs="Times New Roman"/>
          <w:color w:val="auto"/>
          <w:kern w:val="2"/>
          <w:sz w:val="24"/>
          <w:szCs w:val="24"/>
          <w:highlight w:val="none"/>
          <w:lang w:val="en-US" w:eastAsia="zh-CN" w:bidi="ar-SA"/>
        </w:rPr>
        <w:t>验收合格后</w:t>
      </w:r>
      <w:r>
        <w:rPr>
          <w:rFonts w:hint="eastAsia" w:cs="Times New Roman"/>
          <w:color w:val="auto"/>
          <w:kern w:val="2"/>
          <w:sz w:val="24"/>
          <w:szCs w:val="24"/>
          <w:highlight w:val="none"/>
          <w:u w:val="single"/>
          <w:lang w:val="en-US" w:eastAsia="zh-CN" w:bidi="ar-SA"/>
        </w:rPr>
        <w:t xml:space="preserve"> 1 </w:t>
      </w:r>
      <w:r>
        <w:rPr>
          <w:rFonts w:hint="eastAsia" w:cs="Times New Roman"/>
          <w:color w:val="auto"/>
          <w:kern w:val="2"/>
          <w:sz w:val="24"/>
          <w:szCs w:val="24"/>
          <w:highlight w:val="none"/>
          <w:lang w:val="en-US" w:eastAsia="zh-CN" w:bidi="ar-SA"/>
        </w:rPr>
        <w:t>年。</w:t>
      </w:r>
    </w:p>
    <w:p>
      <w:pPr>
        <w:pStyle w:val="4"/>
        <w:spacing w:before="0" w:afterLines="50" w:line="240" w:lineRule="auto"/>
        <w:rPr>
          <w:rFonts w:hint="eastAsia" w:ascii="宋体" w:hAnsi="宋体" w:eastAsia="宋体"/>
          <w:bCs/>
          <w:sz w:val="24"/>
          <w:szCs w:val="24"/>
          <w:lang w:val="en-US" w:eastAsia="zh-CN"/>
        </w:rPr>
      </w:pPr>
      <w:bookmarkStart w:id="162" w:name="_Toc13866"/>
      <w:bookmarkStart w:id="163" w:name="_Toc3492"/>
      <w:r>
        <w:rPr>
          <w:rFonts w:hint="eastAsia" w:ascii="宋体" w:hAnsi="宋体" w:eastAsia="宋体"/>
          <w:bCs/>
          <w:sz w:val="24"/>
          <w:szCs w:val="24"/>
          <w:lang w:val="en-US" w:eastAsia="zh-CN"/>
        </w:rPr>
        <w:t>二、验收：</w:t>
      </w:r>
      <w:bookmarkEnd w:id="162"/>
      <w:bookmarkEnd w:id="163"/>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1、产品运抵采购人所在地现场后，采购人与供货商共同验收，验收结果双方认可。</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2、必须保证投标商品的完整性，能满足全部功能的使用。</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提供的产品（技术指标除另作规定外）均应符合行业相关标准。必须对供货的的商品进行检验。由采购人组织验收，并出具验收结果和意见，供货商负责向验收组提交验收所需文件和相关资料（如检测报告等）。</w:t>
      </w:r>
    </w:p>
    <w:p>
      <w:pPr>
        <w:spacing w:line="360" w:lineRule="auto"/>
        <w:rPr>
          <w:rFonts w:hint="eastAsia" w:ascii="宋体" w:hAnsi="宋体"/>
          <w:color w:val="auto"/>
          <w:sz w:val="24"/>
          <w:lang w:val="en-US" w:eastAsia="zh-CN"/>
        </w:rPr>
      </w:pPr>
      <w:r>
        <w:rPr>
          <w:rFonts w:hint="eastAsia" w:ascii="宋体" w:hAnsi="宋体" w:eastAsia="宋体" w:cs="Times New Roman"/>
          <w:kern w:val="2"/>
          <w:sz w:val="24"/>
          <w:szCs w:val="24"/>
          <w:lang w:val="en-US" w:eastAsia="zh-CN" w:bidi="ar-SA"/>
        </w:rPr>
        <w:t>4、产品的包装应为生产厂商出产时的原包装，包装箱内必须附有详细的装箱清单。</w:t>
      </w:r>
    </w:p>
    <w:p>
      <w:pPr>
        <w:pStyle w:val="4"/>
        <w:spacing w:before="0" w:afterLines="50" w:line="240" w:lineRule="auto"/>
        <w:rPr>
          <w:rFonts w:hint="eastAsia" w:ascii="宋体" w:hAnsi="宋体" w:eastAsia="宋体"/>
          <w:bCs/>
          <w:sz w:val="24"/>
          <w:szCs w:val="24"/>
          <w:lang w:val="en-US" w:eastAsia="zh-CN"/>
        </w:rPr>
      </w:pPr>
      <w:bookmarkStart w:id="164" w:name="_Toc31887"/>
      <w:bookmarkStart w:id="165" w:name="_Toc31218"/>
      <w:r>
        <w:rPr>
          <w:rFonts w:hint="eastAsia" w:ascii="宋体" w:hAnsi="宋体" w:eastAsia="宋体"/>
          <w:bCs/>
          <w:sz w:val="24"/>
          <w:szCs w:val="24"/>
          <w:lang w:val="en-US" w:eastAsia="zh-CN"/>
        </w:rPr>
        <w:t>三、完成时限及付款方式：</w:t>
      </w:r>
      <w:bookmarkEnd w:id="164"/>
      <w:bookmarkEnd w:id="165"/>
    </w:p>
    <w:p>
      <w:pPr>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w:t>
      </w:r>
      <w:r>
        <w:rPr>
          <w:rFonts w:hint="eastAsia" w:ascii="宋体" w:hAnsi="宋体" w:eastAsia="宋体"/>
          <w:bCs/>
          <w:sz w:val="24"/>
          <w:szCs w:val="24"/>
          <w:highlight w:val="none"/>
          <w:lang w:val="en-US" w:eastAsia="zh-CN"/>
        </w:rPr>
        <w:t>完成时限</w:t>
      </w:r>
      <w:r>
        <w:rPr>
          <w:rFonts w:hint="eastAsia" w:ascii="宋体" w:hAnsi="宋体"/>
          <w:bCs/>
          <w:sz w:val="24"/>
          <w:szCs w:val="24"/>
          <w:highlight w:val="none"/>
          <w:lang w:val="en-US" w:eastAsia="zh-CN"/>
        </w:rPr>
        <w:t>:按照采购人要求。</w:t>
      </w:r>
    </w:p>
    <w:p>
      <w:pPr>
        <w:autoSpaceDE w:val="0"/>
        <w:autoSpaceDN w:val="0"/>
        <w:adjustRightInd w:val="0"/>
        <w:snapToGrid w:val="0"/>
        <w:spacing w:line="360" w:lineRule="auto"/>
        <w:rPr>
          <w:rFonts w:hint="eastAsia" w:ascii="宋体" w:hAnsi="宋体" w:eastAsia="宋体" w:cs="宋体"/>
          <w:color w:val="000000"/>
          <w:sz w:val="24"/>
          <w:highlight w:val="yellow"/>
          <w:lang w:eastAsia="zh-CN"/>
        </w:rPr>
      </w:pPr>
      <w:r>
        <w:rPr>
          <w:rFonts w:hint="eastAsia" w:ascii="宋体" w:hAnsi="宋体" w:cs="Times New Roman"/>
          <w:kern w:val="2"/>
          <w:sz w:val="24"/>
          <w:szCs w:val="24"/>
          <w:highlight w:val="none"/>
          <w:lang w:val="en-US" w:eastAsia="zh-CN" w:bidi="ar-SA"/>
        </w:rPr>
        <w:t>2、</w:t>
      </w:r>
      <w:r>
        <w:rPr>
          <w:rFonts w:hint="eastAsia" w:ascii="宋体" w:hAnsi="宋体"/>
          <w:sz w:val="24"/>
          <w:highlight w:val="none"/>
        </w:rPr>
        <w:t>付款：</w:t>
      </w:r>
      <w:r>
        <w:rPr>
          <w:rFonts w:hint="eastAsia" w:ascii="宋体" w:hAnsi="宋体" w:cs="宋体"/>
          <w:color w:val="000000"/>
          <w:sz w:val="24"/>
          <w:highlight w:val="none"/>
        </w:rPr>
        <w:t>设备到货验收完成支付</w:t>
      </w:r>
      <w:r>
        <w:rPr>
          <w:rFonts w:hint="eastAsia" w:ascii="宋体" w:hAnsi="宋体" w:cs="宋体"/>
          <w:color w:val="000000"/>
          <w:sz w:val="24"/>
          <w:highlight w:val="none"/>
          <w:u w:val="single"/>
        </w:rPr>
        <w:t>30%</w:t>
      </w:r>
      <w:r>
        <w:rPr>
          <w:rFonts w:hint="eastAsia" w:ascii="宋体" w:hAnsi="宋体" w:cs="宋体"/>
          <w:color w:val="000000"/>
          <w:sz w:val="24"/>
          <w:highlight w:val="none"/>
        </w:rPr>
        <w:t>的合同款</w:t>
      </w:r>
      <w:r>
        <w:rPr>
          <w:rFonts w:hint="eastAsia" w:ascii="宋体" w:hAnsi="宋体" w:cs="宋体"/>
          <w:color w:val="000000"/>
          <w:sz w:val="24"/>
          <w:highlight w:val="none"/>
          <w:lang w:eastAsia="zh-CN"/>
        </w:rPr>
        <w:t>；</w:t>
      </w:r>
      <w:r>
        <w:rPr>
          <w:rFonts w:hint="eastAsia" w:ascii="宋体" w:hAnsi="宋体" w:cs="宋体"/>
          <w:color w:val="000000"/>
          <w:sz w:val="24"/>
          <w:highlight w:val="none"/>
        </w:rPr>
        <w:t>设备安装调试完毕</w:t>
      </w:r>
      <w:r>
        <w:rPr>
          <w:rFonts w:hint="eastAsia" w:ascii="宋体" w:hAnsi="宋体" w:cs="宋体"/>
          <w:color w:val="000000"/>
          <w:sz w:val="24"/>
          <w:highlight w:val="none"/>
          <w:lang w:eastAsia="zh-CN"/>
        </w:rPr>
        <w:t>后、</w:t>
      </w:r>
      <w:r>
        <w:rPr>
          <w:rFonts w:hint="eastAsia" w:ascii="宋体" w:hAnsi="宋体" w:cs="宋体"/>
          <w:color w:val="000000"/>
          <w:sz w:val="24"/>
          <w:highlight w:val="none"/>
        </w:rPr>
        <w:t>试运行、检测、仪器质量检查等最终验收合格</w:t>
      </w:r>
      <w:r>
        <w:rPr>
          <w:rFonts w:hint="eastAsia" w:ascii="宋体" w:hAnsi="宋体" w:cs="宋体"/>
          <w:color w:val="000000"/>
          <w:sz w:val="24"/>
          <w:highlight w:val="none"/>
          <w:lang w:eastAsia="zh-CN"/>
        </w:rPr>
        <w:t>且空气质量检测合格并出具检测报告</w:t>
      </w:r>
      <w:r>
        <w:rPr>
          <w:rFonts w:hint="eastAsia" w:ascii="宋体" w:hAnsi="宋体" w:cs="宋体"/>
          <w:color w:val="000000"/>
          <w:sz w:val="24"/>
          <w:highlight w:val="none"/>
        </w:rPr>
        <w:t>后支付</w:t>
      </w:r>
      <w:r>
        <w:rPr>
          <w:rFonts w:hint="eastAsia" w:ascii="宋体" w:hAnsi="宋体" w:cs="宋体"/>
          <w:color w:val="000000"/>
          <w:sz w:val="24"/>
          <w:highlight w:val="none"/>
          <w:u w:val="single"/>
          <w:lang w:val="en-US" w:eastAsia="zh-CN"/>
        </w:rPr>
        <w:t>6</w:t>
      </w:r>
      <w:r>
        <w:rPr>
          <w:rFonts w:hint="eastAsia" w:ascii="宋体" w:hAnsi="宋体" w:cs="宋体"/>
          <w:color w:val="000000"/>
          <w:sz w:val="24"/>
          <w:highlight w:val="none"/>
          <w:u w:val="single"/>
        </w:rPr>
        <w:t>5%</w:t>
      </w:r>
      <w:r>
        <w:rPr>
          <w:rFonts w:hint="eastAsia" w:ascii="宋体" w:hAnsi="宋体" w:cs="宋体"/>
          <w:color w:val="000000"/>
          <w:sz w:val="24"/>
          <w:highlight w:val="none"/>
        </w:rPr>
        <w:t>的合同款，剩余</w:t>
      </w:r>
      <w:r>
        <w:rPr>
          <w:rFonts w:hint="eastAsia" w:ascii="宋体" w:hAnsi="宋体" w:cs="宋体"/>
          <w:color w:val="000000"/>
          <w:sz w:val="24"/>
          <w:highlight w:val="none"/>
          <w:u w:val="single"/>
        </w:rPr>
        <w:t>5%</w:t>
      </w:r>
      <w:r>
        <w:rPr>
          <w:rFonts w:hint="eastAsia" w:ascii="宋体" w:hAnsi="宋体" w:cs="宋体"/>
          <w:color w:val="000000"/>
          <w:sz w:val="24"/>
          <w:highlight w:val="none"/>
        </w:rPr>
        <w:t>合同款作为质保金，自</w:t>
      </w:r>
      <w:r>
        <w:rPr>
          <w:rFonts w:hint="eastAsia" w:ascii="宋体" w:hAnsi="宋体" w:cs="宋体"/>
          <w:color w:val="000000"/>
          <w:sz w:val="24"/>
          <w:highlight w:val="none"/>
          <w:lang w:val="en-US" w:eastAsia="zh-CN"/>
        </w:rPr>
        <w:t>质保期满后</w:t>
      </w:r>
      <w:r>
        <w:rPr>
          <w:rFonts w:hint="eastAsia" w:ascii="宋体" w:hAnsi="宋体" w:cs="宋体"/>
          <w:color w:val="000000"/>
          <w:sz w:val="24"/>
          <w:highlight w:val="none"/>
        </w:rPr>
        <w:t>无息退还。</w:t>
      </w:r>
    </w:p>
    <w:p>
      <w:pPr>
        <w:pStyle w:val="4"/>
        <w:spacing w:before="0" w:afterLines="50" w:line="240" w:lineRule="auto"/>
        <w:rPr>
          <w:rFonts w:hint="eastAsia" w:ascii="宋体" w:hAnsi="宋体" w:eastAsia="宋体"/>
          <w:bCs/>
          <w:sz w:val="24"/>
          <w:szCs w:val="24"/>
          <w:highlight w:val="none"/>
          <w:lang w:val="en-US" w:eastAsia="zh-CN"/>
        </w:rPr>
      </w:pPr>
      <w:bookmarkStart w:id="166" w:name="_Toc25726"/>
      <w:bookmarkStart w:id="167" w:name="_Toc19099"/>
      <w:r>
        <w:rPr>
          <w:rFonts w:hint="eastAsia" w:ascii="宋体" w:hAnsi="宋体" w:eastAsia="宋体"/>
          <w:bCs/>
          <w:sz w:val="24"/>
          <w:szCs w:val="24"/>
          <w:highlight w:val="none"/>
          <w:lang w:val="en-US" w:eastAsia="zh-CN"/>
        </w:rPr>
        <w:t>四、违约责任：</w:t>
      </w:r>
      <w:bookmarkEnd w:id="166"/>
      <w:bookmarkEnd w:id="167"/>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1、按《中华人民共和国</w:t>
      </w:r>
      <w:r>
        <w:rPr>
          <w:rFonts w:hint="eastAsia" w:ascii="宋体" w:hAnsi="宋体"/>
          <w:sz w:val="24"/>
          <w:lang w:val="en-US" w:eastAsia="zh-CN"/>
        </w:rPr>
        <w:t>民法典</w:t>
      </w:r>
      <w:r>
        <w:rPr>
          <w:rFonts w:hint="eastAsia" w:ascii="宋体" w:hAnsi="宋体" w:eastAsia="宋体" w:cs="Times New Roman"/>
          <w:kern w:val="2"/>
          <w:sz w:val="24"/>
          <w:szCs w:val="24"/>
          <w:lang w:val="en-US" w:eastAsia="zh-CN" w:bidi="ar-SA"/>
        </w:rPr>
        <w:t>》中的相关条款执行。</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2、未按合同要求提供产品或产品质量不能满足技术要求，采购人有权终止合同，并对供方违约行为进行追究，同时按《政府采购法》的有关规定进行处罚。</w:t>
      </w:r>
    </w:p>
    <w:p>
      <w:pPr>
        <w:pStyle w:val="4"/>
        <w:spacing w:before="0" w:afterLines="50" w:line="240" w:lineRule="auto"/>
        <w:rPr>
          <w:rFonts w:hint="eastAsia" w:ascii="宋体" w:hAnsi="宋体" w:eastAsia="宋体"/>
          <w:bCs/>
          <w:sz w:val="24"/>
          <w:szCs w:val="24"/>
          <w:lang w:val="en-US" w:eastAsia="zh-CN"/>
        </w:rPr>
        <w:sectPr>
          <w:pgSz w:w="11906" w:h="16838"/>
          <w:pgMar w:top="1418" w:right="1418" w:bottom="1418" w:left="1418" w:header="851" w:footer="992" w:gutter="0"/>
          <w:pgNumType w:fmt="decimal"/>
          <w:cols w:space="720" w:num="1"/>
          <w:titlePg/>
          <w:docGrid w:linePitch="312" w:charSpace="0"/>
        </w:sectPr>
      </w:pPr>
      <w:bookmarkStart w:id="168" w:name="_Toc17481"/>
      <w:bookmarkStart w:id="169" w:name="_Toc31254"/>
      <w:r>
        <w:rPr>
          <w:rFonts w:hint="eastAsia" w:ascii="宋体" w:hAnsi="宋体" w:eastAsia="宋体"/>
          <w:bCs/>
          <w:sz w:val="24"/>
          <w:szCs w:val="24"/>
          <w:lang w:val="en-US" w:eastAsia="zh-CN"/>
        </w:rPr>
        <w:t>五、技术参数及配置（以下所列参数应提供相应的证明资料，包含但不限于检测报告、产品彩页、功能截图等）：</w:t>
      </w:r>
      <w:bookmarkEnd w:id="168"/>
      <w:bookmarkEnd w:id="169"/>
    </w:p>
    <w:p>
      <w:pPr>
        <w:rPr>
          <w:rFonts w:hint="eastAsia"/>
          <w:lang w:val="en-US" w:eastAsia="zh-CN"/>
        </w:rPr>
      </w:pPr>
      <w:r>
        <w:rPr>
          <w:rFonts w:hint="eastAsia"/>
          <w:lang w:val="en-US" w:eastAsia="zh-CN"/>
        </w:rPr>
        <w:t>1、西安经开第四幼儿园</w:t>
      </w:r>
      <w:r>
        <w:rPr>
          <w:rFonts w:hint="eastAsia"/>
          <w:lang w:val="en-US" w:eastAsia="zh-CN"/>
        </w:rPr>
        <w:br w:type="textWrapping"/>
      </w:r>
    </w:p>
    <w:tbl>
      <w:tblPr>
        <w:tblStyle w:val="29"/>
        <w:tblW w:w="14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2331"/>
        <w:gridCol w:w="1563"/>
        <w:gridCol w:w="8085"/>
        <w:gridCol w:w="846"/>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幼儿课桌椅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凳子</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3"/>
                <w:lang w:val="en-US" w:eastAsia="zh-CN" w:bidi="ar"/>
              </w:rPr>
              <w:t>尺寸：座高295mm。</w:t>
            </w:r>
            <w:r>
              <w:rPr>
                <w:rStyle w:val="83"/>
                <w:lang w:val="en-US" w:eastAsia="zh-CN" w:bidi="ar"/>
              </w:rPr>
              <w:br w:type="textWrapping"/>
            </w:r>
            <w:r>
              <w:rPr>
                <w:rStyle w:val="83"/>
                <w:lang w:val="en-US" w:eastAsia="zh-CN" w:bidi="ar"/>
              </w:rPr>
              <w:t>1、椅脚采用30mm</w:t>
            </w:r>
            <w:r>
              <w:rPr>
                <w:rStyle w:val="84"/>
                <w:rFonts w:eastAsia="宋体"/>
                <w:lang w:val="en-US" w:eastAsia="zh-CN" w:bidi="ar"/>
              </w:rPr>
              <w:t>×</w:t>
            </w:r>
            <w:r>
              <w:rPr>
                <w:rStyle w:val="83"/>
                <w:lang w:val="en-US" w:eastAsia="zh-CN" w:bidi="ar"/>
              </w:rPr>
              <w:t xml:space="preserve">30mm橡胶木，凳面及椅背采用15mm厚橡胶木，表面清水油漆处理。   </w:t>
            </w:r>
            <w:r>
              <w:rPr>
                <w:rStyle w:val="83"/>
                <w:lang w:val="en-US" w:eastAsia="zh-CN" w:bidi="ar"/>
              </w:rPr>
              <w:br w:type="textWrapping"/>
            </w:r>
            <w:r>
              <w:rPr>
                <w:rStyle w:val="83"/>
                <w:lang w:val="en-US" w:eastAsia="zh-CN" w:bidi="ar"/>
              </w:rPr>
              <w:t xml:space="preserve">2、椅脚底部配以耐磨塑胶PP脚钉。    </w:t>
            </w:r>
            <w:r>
              <w:rPr>
                <w:rStyle w:val="83"/>
                <w:lang w:val="en-US" w:eastAsia="zh-CN" w:bidi="ar"/>
              </w:rPr>
              <w:br w:type="textWrapping"/>
            </w:r>
            <w:r>
              <w:rPr>
                <w:rStyle w:val="83"/>
                <w:lang w:val="en-US" w:eastAsia="zh-CN" w:bidi="ar"/>
              </w:rPr>
              <w:t xml:space="preserve">3、榫卯结构。    </w:t>
            </w:r>
            <w:r>
              <w:rPr>
                <w:rStyle w:val="83"/>
                <w:lang w:val="en-US" w:eastAsia="zh-CN" w:bidi="ar"/>
              </w:rPr>
              <w:br w:type="textWrapping"/>
            </w:r>
            <w:r>
              <w:rPr>
                <w:rStyle w:val="83"/>
                <w:lang w:val="en-US" w:eastAsia="zh-CN" w:bidi="ar"/>
              </w:rPr>
              <w:t xml:space="preserve">4、左右两侧加横档设计。    </w:t>
            </w:r>
            <w:r>
              <w:rPr>
                <w:rStyle w:val="83"/>
                <w:lang w:val="en-US" w:eastAsia="zh-CN" w:bidi="ar"/>
              </w:rPr>
              <w:br w:type="textWrapping"/>
            </w:r>
            <w:r>
              <w:rPr>
                <w:rStyle w:val="83"/>
                <w:lang w:val="en-US" w:eastAsia="zh-CN" w:bidi="ar"/>
              </w:rPr>
              <w:t>5、结构稳固，不易倾翻，产品质量符合GB28007-2011儿童家具通用技术条件的要求。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半圆桌</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边长1200mm、高600mm。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2、表面水性清水油漆。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3、桌脚采用直径48mm桦木，表面喷涂清水油漆。桌面背面设置有4个ABS连接件，桌脚使用螺旋安装方式与桌面连接，方便拆卸 。桌脚底部配置塑料脚套。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4、含水率符合当地年平均平衡含水率要求。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半圆桌</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边长1200mm高度：550mm。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2、表面水性清水油漆。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3、桌脚采用直径48mm桦木，表面喷涂清水油漆。桌面背面设置有4个ABS连接件，桌脚使用螺旋安装方式与桌面连接，方便拆卸 。桌脚底部配置塑料脚套。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4、含水率符合当地年平均平衡含水率要求。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幼儿课桌</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桌面尺寸：约1200mm×600mm。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2、表面水性清水油漆。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3、桌脚采用直径48mm桦木，表面喷涂清水油漆。桌面背面设置有4个ABS连接件，桌脚使用螺旋安装方式与桌面连接，方便拆卸 。桌脚底部配置塑料脚套。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4、含水率符合当地年平均平衡含水率要求。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bl>
    <w:p>
      <w:pPr>
        <w:rPr>
          <w:rFonts w:hint="eastAsia" w:eastAsiaTheme="minorEastAsia"/>
          <w:lang w:val="en-US" w:eastAsia="zh-CN"/>
        </w:rPr>
      </w:pPr>
      <w:r>
        <w:rPr>
          <w:rFonts w:hint="eastAsia" w:eastAsiaTheme="minorEastAsia"/>
          <w:lang w:val="en-US" w:eastAsia="zh-CN"/>
        </w:rPr>
        <w:br w:type="page"/>
      </w:r>
    </w:p>
    <w:p>
      <w:pPr>
        <w:rPr>
          <w:rFonts w:hint="eastAsia"/>
          <w:lang w:val="en-US" w:eastAsia="zh-CN"/>
        </w:rPr>
      </w:pPr>
      <w:r>
        <w:rPr>
          <w:rFonts w:hint="eastAsia"/>
          <w:lang w:val="en-US" w:eastAsia="zh-CN"/>
        </w:rPr>
        <w:t>2、西安经开第五幼儿园</w:t>
      </w:r>
      <w:r>
        <w:rPr>
          <w:rFonts w:hint="eastAsia"/>
          <w:lang w:val="en-US" w:eastAsia="zh-CN"/>
        </w:rPr>
        <w:br w:type="textWrapping"/>
      </w:r>
    </w:p>
    <w:tbl>
      <w:tblPr>
        <w:tblStyle w:val="29"/>
        <w:tblW w:w="14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2"/>
        <w:gridCol w:w="2237"/>
        <w:gridCol w:w="2071"/>
        <w:gridCol w:w="7138"/>
        <w:gridCol w:w="983"/>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幼儿课桌椅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班级长方桌</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0"/>
                <w:lang w:val="en-US" w:eastAsia="zh-CN" w:bidi="ar"/>
              </w:rPr>
              <w:t>六人长方桌/规格：1200mm×600mm×580mm材质：橡胶木</w:t>
            </w:r>
            <w:r>
              <w:rPr>
                <w:rStyle w:val="70"/>
                <w:lang w:val="en-US" w:eastAsia="zh-CN" w:bidi="ar"/>
              </w:rPr>
              <w:br w:type="textWrapping"/>
            </w:r>
            <w:r>
              <w:rPr>
                <w:rStyle w:val="70"/>
                <w:lang w:val="en-US" w:eastAsia="zh-CN" w:bidi="ar"/>
              </w:rPr>
              <w:t>1、桌面采用25mm厚橡胶木指接板。</w:t>
            </w:r>
            <w:r>
              <w:rPr>
                <w:rStyle w:val="70"/>
                <w:lang w:val="en-US" w:eastAsia="zh-CN" w:bidi="ar"/>
              </w:rPr>
              <w:br w:type="textWrapping"/>
            </w:r>
            <w:r>
              <w:rPr>
                <w:rStyle w:val="70"/>
                <w:lang w:val="en-US" w:eastAsia="zh-CN" w:bidi="ar"/>
              </w:rPr>
              <w:t>2、桌腿采用橡木或者同等密度的实木（截面尺寸</w:t>
            </w:r>
            <w:r>
              <w:rPr>
                <w:rFonts w:ascii="Arial" w:hAnsi="Arial" w:eastAsia="宋体" w:cs="Arial"/>
                <w:i w:val="0"/>
                <w:iCs w:val="0"/>
                <w:color w:val="000000"/>
                <w:kern w:val="0"/>
                <w:sz w:val="22"/>
                <w:szCs w:val="22"/>
                <w:u w:val="none"/>
                <w:lang w:val="en-US" w:eastAsia="zh-CN" w:bidi="ar"/>
              </w:rPr>
              <w:t>≥</w:t>
            </w:r>
            <w:r>
              <w:rPr>
                <w:rStyle w:val="70"/>
                <w:lang w:val="en-US" w:eastAsia="zh-CN" w:bidi="ar"/>
              </w:rPr>
              <w:t>50mm</w:t>
            </w:r>
            <w:r>
              <w:rPr>
                <w:rFonts w:ascii="Arial" w:hAnsi="Arial" w:eastAsia="宋体" w:cs="Arial"/>
                <w:i w:val="0"/>
                <w:iCs w:val="0"/>
                <w:color w:val="000000"/>
                <w:kern w:val="0"/>
                <w:sz w:val="22"/>
                <w:szCs w:val="22"/>
                <w:u w:val="none"/>
                <w:lang w:val="en-US" w:eastAsia="zh-CN" w:bidi="ar"/>
              </w:rPr>
              <w:t>×</w:t>
            </w:r>
            <w:r>
              <w:rPr>
                <w:rStyle w:val="70"/>
                <w:lang w:val="en-US" w:eastAsia="zh-CN" w:bidi="ar"/>
              </w:rPr>
              <w:t>50mm),含水率符合本地年平均平衡含水率。</w:t>
            </w:r>
            <w:r>
              <w:rPr>
                <w:rStyle w:val="70"/>
                <w:lang w:val="en-US" w:eastAsia="zh-CN" w:bidi="ar"/>
              </w:rPr>
              <w:br w:type="textWrapping"/>
            </w:r>
            <w:r>
              <w:rPr>
                <w:rStyle w:val="70"/>
                <w:lang w:val="en-US" w:eastAsia="zh-CN" w:bidi="ar"/>
              </w:rPr>
              <w:t>3、桌腿同桌面连接处增加金属大角码连接件（钢板厚度＞1.5mm）</w:t>
            </w:r>
            <w:r>
              <w:rPr>
                <w:rStyle w:val="70"/>
                <w:lang w:val="en-US" w:eastAsia="zh-CN" w:bidi="ar"/>
              </w:rPr>
              <w:br w:type="textWrapping"/>
            </w:r>
            <w:r>
              <w:rPr>
                <w:rStyle w:val="70"/>
                <w:lang w:val="en-US" w:eastAsia="zh-CN" w:bidi="ar"/>
              </w:rPr>
              <w:t>4、所有边缘倒圆处理</w:t>
            </w:r>
            <w:r>
              <w:rPr>
                <w:rStyle w:val="70"/>
                <w:lang w:val="en-US" w:eastAsia="zh-CN" w:bidi="ar"/>
              </w:rPr>
              <w:br w:type="textWrapping"/>
            </w:r>
            <w:r>
              <w:rPr>
                <w:rStyle w:val="70"/>
                <w:lang w:val="en-US" w:eastAsia="zh-CN" w:bidi="ar"/>
              </w:rPr>
              <w:t>5、表面水性清水油漆涂饰。</w:t>
            </w:r>
            <w:r>
              <w:rPr>
                <w:rStyle w:val="70"/>
                <w:lang w:val="en-US" w:eastAsia="zh-CN" w:bidi="ar"/>
              </w:rPr>
              <w:br w:type="textWrapping"/>
            </w:r>
            <w:r>
              <w:rPr>
                <w:rStyle w:val="70"/>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班级四人方桌</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橡胶木四人方桌/规格：600mm×600mm×580mm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1、桌面采用25mm厚橡胶木指接板。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2、桌腿采用橡木或者同等密度的实木（截面尺寸≥50mm×50mm),含水率符合本地年平均平衡含水率。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3、桌腿同桌面连接处增加金属大角码连接件（钢板厚度＞1.5mm）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4、所有边缘倒圆处理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5、表面水性清水油漆涂饰。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班级半圆桌</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橡胶木圆桌/规格：直径800mm×高580mm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1、桌面采用25mm厚橡胶木指接板。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2、桌腿采用橡木或者同等密度的实木（截面尺寸≥50mm×50mm),含水率符合本地年平均平衡含水率。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3、桌腿同桌面连接处增加金属大角码连接件（钢板厚度＞1.5mm）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4、所有边缘倒圆处理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5、表面水性清水油漆涂饰。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幼儿椅子</w:t>
            </w:r>
          </w:p>
        </w:tc>
        <w:tc>
          <w:tcPr>
            <w:tcW w:w="7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橡胶木幼儿椅子/规格：座高270mm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1、椅面采用18mm厚橡胶木指接板。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2、椅腿采用橡木或者同等密度的实木,含水率符合本地年平均平衡含水率。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3、榫卯结构，连接件加固。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4、所有边缘倒圆处理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5、表面水性清水油漆涂饰。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3、西安经开第七幼儿园</w:t>
      </w:r>
      <w:r>
        <w:rPr>
          <w:rFonts w:hint="eastAsia"/>
          <w:lang w:val="en-US" w:eastAsia="zh-CN"/>
        </w:rPr>
        <w:br w:type="textWrapping"/>
      </w:r>
    </w:p>
    <w:tbl>
      <w:tblPr>
        <w:tblStyle w:val="29"/>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196"/>
        <w:gridCol w:w="1633"/>
        <w:gridCol w:w="7827"/>
        <w:gridCol w:w="1253"/>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8"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w:t>
            </w:r>
            <w:r>
              <w:rPr>
                <w:rFonts w:hint="eastAsia" w:ascii="宋体" w:hAnsi="宋体" w:cs="宋体"/>
                <w:i w:val="0"/>
                <w:iCs w:val="0"/>
                <w:color w:val="000000"/>
                <w:kern w:val="0"/>
                <w:sz w:val="20"/>
                <w:szCs w:val="20"/>
                <w:u w:val="none"/>
                <w:lang w:val="en-US" w:eastAsia="zh-CN" w:bidi="ar"/>
              </w:rPr>
              <w:t>桌子</w:t>
            </w:r>
          </w:p>
        </w:tc>
        <w:tc>
          <w:tcPr>
            <w:tcW w:w="7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桌子42张，长1200mm×宽600mm×高500mm；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桌子21张，长1200mm×宽600mm×高550mm;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1、桌面采用25mm厚橡胶木指接板。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2、桌腿采用橡木或者同等密度的实木（截面尺寸≥50mm×50mm),含水率符合本地年平均平衡含水率。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3、桌腿同桌面连接处增加金属大角码连接件（钢板厚度＞1.5mm）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4、所有边缘倒圆处理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5、表面水性清水油漆涂饰。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幼儿椅子</w:t>
            </w:r>
          </w:p>
        </w:tc>
        <w:tc>
          <w:tcPr>
            <w:tcW w:w="7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椅子宽270mm，凳面高290mm，椅背高570mm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1、椅面采用18mm厚橡胶木指接板。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2、椅腿采用橡木或者同等密度的实木,含水率符合本地年平均平衡含水率。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3、榫卯结构，连接件加固。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4、所有边缘倒圆处理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5、表面水性清水油漆涂饰。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6、符合（GB-28007-2011)儿童家具标准各项要求。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4、西安经开第十幼儿园</w:t>
      </w:r>
      <w:r>
        <w:rPr>
          <w:rFonts w:hint="eastAsia"/>
          <w:lang w:val="en-US" w:eastAsia="zh-CN"/>
        </w:rPr>
        <w:br w:type="textWrapping"/>
      </w:r>
    </w:p>
    <w:tbl>
      <w:tblPr>
        <w:tblStyle w:val="29"/>
        <w:tblW w:w="14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8"/>
        <w:gridCol w:w="1786"/>
        <w:gridCol w:w="2185"/>
        <w:gridCol w:w="5447"/>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设施设备名称</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具体货物名称</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幼儿桌子</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    1200mm×600mm×530mm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1、桌面采用25mm厚橡胶木指接板。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2、桌腿采用橡木或者同等密度的实木（截面尺寸≥50mm×50mm),含水率符合本地年平均平衡含水率。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3、桌腿同桌面连接处增加金属大角码连接件（钢板厚度＞1.5mm）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4、所有边缘倒圆处理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5、表面水性清水油漆涂饰。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6、符合（GB-28007-2011)儿童家具标准各项要求。</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幼儿凳子</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  295mm×300mm×530mm，座高280mm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凳</w:t>
            </w:r>
            <w:r>
              <w:rPr>
                <w:rFonts w:hint="eastAsia" w:ascii="宋体" w:hAnsi="宋体" w:eastAsia="宋体" w:cs="宋体"/>
                <w:i w:val="0"/>
                <w:iCs w:val="0"/>
                <w:color w:val="000000"/>
                <w:kern w:val="0"/>
                <w:sz w:val="20"/>
                <w:szCs w:val="20"/>
                <w:u w:val="none"/>
                <w:lang w:val="en-US" w:eastAsia="zh-CN" w:bidi="ar"/>
              </w:rPr>
              <w:t>面采用18mm厚橡胶木指接板。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凳</w:t>
            </w:r>
            <w:r>
              <w:rPr>
                <w:rFonts w:hint="eastAsia" w:ascii="宋体" w:hAnsi="宋体" w:eastAsia="宋体" w:cs="宋体"/>
                <w:i w:val="0"/>
                <w:iCs w:val="0"/>
                <w:color w:val="000000"/>
                <w:kern w:val="0"/>
                <w:sz w:val="20"/>
                <w:szCs w:val="20"/>
                <w:u w:val="none"/>
                <w:lang w:val="en-US" w:eastAsia="zh-CN" w:bidi="ar"/>
              </w:rPr>
              <w:t>腿采用橡木或者同等密度的实木,含水率符合本地年平均平衡含水率。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3、榫卯结构，连接件加固。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4、所有边缘倒圆处理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5、表面水性清水油漆涂饰。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6、符合（GB-28007-2011)儿童家具标准各项要求。</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r>
    </w:tbl>
    <w:p>
      <w:pPr>
        <w:rPr>
          <w:rFonts w:hint="default" w:eastAsiaTheme="minorEastAsia"/>
          <w:lang w:val="en-US" w:eastAsia="zh-CN"/>
        </w:rPr>
      </w:pPr>
      <w:r>
        <w:rPr>
          <w:rFonts w:hint="default" w:eastAsiaTheme="minorEastAsia"/>
          <w:lang w:val="en-US" w:eastAsia="zh-CN"/>
        </w:rPr>
        <w:br w:type="page"/>
      </w:r>
    </w:p>
    <w:p>
      <w:pPr>
        <w:rPr>
          <w:rFonts w:hint="default" w:eastAsiaTheme="minorEastAsia"/>
          <w:lang w:val="en-US" w:eastAsia="zh-CN"/>
        </w:rPr>
      </w:pPr>
      <w:r>
        <w:rPr>
          <w:rFonts w:hint="eastAsia"/>
          <w:lang w:val="en-US" w:eastAsia="zh-CN"/>
        </w:rPr>
        <w:t>5、</w:t>
      </w:r>
      <w:r>
        <w:rPr>
          <w:rFonts w:hint="default" w:eastAsiaTheme="minorEastAsia"/>
          <w:lang w:val="en-US" w:eastAsia="zh-CN"/>
        </w:rPr>
        <w:t>西安经开第二小学</w:t>
      </w:r>
      <w:r>
        <w:rPr>
          <w:rFonts w:hint="default" w:eastAsiaTheme="minorEastAsia"/>
          <w:lang w:val="en-US" w:eastAsia="zh-CN"/>
        </w:rPr>
        <w:br w:type="textWrapping"/>
      </w:r>
    </w:p>
    <w:tbl>
      <w:tblPr>
        <w:tblStyle w:val="29"/>
        <w:tblW w:w="14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260"/>
        <w:gridCol w:w="1777"/>
        <w:gridCol w:w="8261"/>
        <w:gridCol w:w="1039"/>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设施设备名称</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具体货物名称</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3"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单人课桌椅</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规格尺寸：620mm×420mm×760mm    ①桌面尺寸：620mm×420mm×18mm，桌内沿采用弧度设计，桌面采用环保E1级三聚氰胺板实木颗粒，采用注塑包边,桌面四角处采用防撞设计。桌腿：桌立腿采用45mm×25mm×1.2mm椭圆钢管   规格尺寸：390mm×370mm×440mm ①座板：390mm×370mm，形状中后部内陷，采用PP工程塑料经模具注塑一次成型②椅腿：脚腿采用35mm×17mm×1.5mm椭圆管焊接成型；底脚拉筋采用φ16×1.2mm圆管。③靠背：390mm×370mm，形状中间内陷。桌斗：采用≥0.8mm厚领轧钢板一次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bookmarkStart w:id="260" w:name="_GoBack"/>
            <w:bookmarkEnd w:id="26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6、西安经开第四小学</w:t>
      </w:r>
      <w:r>
        <w:rPr>
          <w:rFonts w:hint="eastAsia"/>
          <w:lang w:val="en-US" w:eastAsia="zh-CN"/>
        </w:rPr>
        <w:br w:type="textWrapping"/>
      </w:r>
    </w:p>
    <w:tbl>
      <w:tblPr>
        <w:tblStyle w:val="29"/>
        <w:tblW w:w="14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2104"/>
        <w:gridCol w:w="2964"/>
        <w:gridCol w:w="6327"/>
        <w:gridCol w:w="109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设施设备名称</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3"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单人课桌椅</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规格尺寸：620mm×420mm×760mm    ①桌面尺寸：620mm×420mm×18mm，桌内沿采用弧度设计，桌面采用环保E1级三聚氰胺板实木颗粒，采用注塑包边,桌面四角处采用防撞设计。桌腿：桌立腿采用45mm×25mm×1.2mm椭圆钢管   规格尺寸：390mm×370mm×440mm ①座板：390mm×370mm，形状中后部内陷，采用PP工程塑料经模具注塑一次成型②椅腿：脚腿采用35mm×17mm×1.5mm椭圆管焊接成型；底脚拉筋采用φ16×1.2mm圆管。③靠背：390mm×370mm，形状中间内陷。桌斗：采用≥0.8mm厚领轧钢板一次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7、西安经开第七小学</w:t>
      </w:r>
      <w:r>
        <w:rPr>
          <w:rFonts w:hint="eastAsia"/>
          <w:lang w:val="en-US" w:eastAsia="zh-CN"/>
        </w:rPr>
        <w:br w:type="textWrapping"/>
      </w:r>
    </w:p>
    <w:tbl>
      <w:tblPr>
        <w:tblStyle w:val="29"/>
        <w:tblW w:w="14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2016"/>
        <w:gridCol w:w="2180"/>
        <w:gridCol w:w="7410"/>
        <w:gridCol w:w="827"/>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设施设备名称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7"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单人课桌椅</w:t>
            </w:r>
          </w:p>
        </w:tc>
        <w:tc>
          <w:tcPr>
            <w:tcW w:w="7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650mm×450mm×700-760mm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1.桌面板采用ABS注塑一次成型；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2.桌斗:同桌面配套标准桌斗。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3.管材:桌架采用 30mm×50mm×1.2mm 椭圆管磨具焊接而成。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4.桌下架横管采用 40mm×20mm×1.2mm 椭圆管模具焊接而成。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5.椅架:采用20mm×40 mm ×1.2mm 椭圆管焊接而成。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6.座背板:采用ABS塑模具一次成型而成。所有钢架经过高温静电喷粉。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1200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8、西安经开第八小学</w:t>
      </w:r>
      <w:r>
        <w:rPr>
          <w:rFonts w:hint="eastAsia"/>
          <w:lang w:val="en-US" w:eastAsia="zh-CN"/>
        </w:rPr>
        <w:br w:type="textWrapping"/>
      </w:r>
    </w:p>
    <w:tbl>
      <w:tblPr>
        <w:tblStyle w:val="29"/>
        <w:tblW w:w="14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241"/>
        <w:gridCol w:w="1568"/>
        <w:gridCol w:w="8666"/>
        <w:gridCol w:w="1110"/>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设施设备名称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双人课桌椅</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1200mm×450mm×750mm，桌面长1200mm宽450mm厚25mm、采用E1级多层板、两面帖防火板，桌面四边采用一次性无接头注塑封边工艺、桌面正前方须有不小于200mm×30mm的一次性注塑成型的内钳式笔槽，两个杯托不小于50mm。外连接管采用1.2mm厚的30mm×60mm的椭圆管、书包勾承重不低于10公斤;焊口平整光滑、无假焊、漏焊现象;表面处理采用粉末静电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9、西安经开第十小学</w:t>
      </w:r>
      <w:r>
        <w:rPr>
          <w:rFonts w:hint="eastAsia"/>
          <w:lang w:val="en-US" w:eastAsia="zh-CN"/>
        </w:rPr>
        <w:br w:type="textWrapping"/>
      </w:r>
    </w:p>
    <w:tbl>
      <w:tblPr>
        <w:tblStyle w:val="29"/>
        <w:tblW w:w="14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1546"/>
        <w:gridCol w:w="1623"/>
        <w:gridCol w:w="7948"/>
        <w:gridCol w:w="122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双人课桌椅</w:t>
            </w:r>
          </w:p>
        </w:tc>
        <w:tc>
          <w:tcPr>
            <w:tcW w:w="7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钢木名称 双人课桌椅 规格 桌整体规格约为740mm×400mm×1200mm，凳子管约为25mm×25mm，整体规格约为400mm×350mm×1150mm。桌凳架颜色（如若中标，需与学校沟通确认颜色，根据学校要求提供颜色）。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面板部分:采用E1级双贴面防火板（多层板），厚度≥15mm。骨架部分:课桌主管采用国标不低于1.5mm厚的25mm×50mm椭圆管，课斗撑管约为20mm×20mm的方管，厚度不低于1.2mm，课桌斗采用不低于1mm厚的冷板一次冲压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10、西安经开第十八小学</w:t>
      </w:r>
      <w:r>
        <w:rPr>
          <w:rFonts w:hint="eastAsia"/>
          <w:lang w:val="en-US" w:eastAsia="zh-CN"/>
        </w:rPr>
        <w:br w:type="textWrapping"/>
      </w:r>
    </w:p>
    <w:tbl>
      <w:tblPr>
        <w:tblStyle w:val="29"/>
        <w:tblW w:w="14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1804"/>
        <w:gridCol w:w="1712"/>
        <w:gridCol w:w="6619"/>
        <w:gridCol w:w="1263"/>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主要参数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课桌椅规格尺寸：620mm×420mm×760mm    390mm×370mm×440mm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课桌技术参数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①桌面尺寸：620mm×420mm×18mm，桌内沿采用弧度设计，桌面采用环保E1级实木颗粒免漆板(MFC)，注塑包边,桌面四角防撞设计。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②前面挡板：500mm×360mm×18mm，采用环保E1级实木颗粒免漆板(MFC)，镶铝合金装饰条，封边采用1.5mm优质PVC封边。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③桌腿：桌立腿采用45mm×25mm×1.2mm椭圆钢管；右侧吊钩可承重10公斤。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④护脚：一侧为调节支脚，PP工程塑料，五金联接件采用镀锌、镀铬件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课椅技术参数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①座板：390mm×370mm，形状中后部内陷，采用PP工程塑料经模具注塑一次成型。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②椅腿采用厚度≥1.2mm椭圆管，底脚拉筋采用厚度≥1.2mm圆管。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③靠背：420mm×220mm，形状中间内陷，采用PP工程塑料经模具注塑一次成型。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④底脚套：PP工程塑料，防滑、耐磨。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表面处理：所有金属表面粉末静电喷涂处理。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餐桌椅</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铁架加304不锈钢面板1200mm×800mm×750mm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四位凳子配一个餐桌</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11、西安经开第十九小学</w:t>
      </w:r>
      <w:r>
        <w:rPr>
          <w:rFonts w:hint="eastAsia"/>
          <w:lang w:val="en-US" w:eastAsia="zh-CN"/>
        </w:rPr>
        <w:br w:type="textWrapping"/>
      </w:r>
    </w:p>
    <w:tbl>
      <w:tblPr>
        <w:tblStyle w:val="29"/>
        <w:tblW w:w="14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214"/>
        <w:gridCol w:w="1214"/>
        <w:gridCol w:w="7121"/>
        <w:gridCol w:w="1711"/>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主要参数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7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课桌椅规格尺寸：620mm×420mm×760mm    390mm×370mm×440mm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课桌技术参数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①桌面尺寸：620mm×420mm×18mm，桌内沿采用弧度设计，桌面采用环保E1级实木颗粒免漆板(MFC)，注塑包边,桌面四角防撞设计。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②前面挡板：500mm×360mm×18mm，采用环保E1级实木颗粒免漆板(MFC)，镶铝合金装饰条，封边采用1.5mm优质PVC封边。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③桌腿：桌立腿采用45mm×25mm×1.2mm椭圆钢管；右侧吊钩可承重10公斤。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④护脚：一侧为调节支脚，PP工程塑料，五金联接件采用镀锌、镀铬件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课椅技术参数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①座板：390mm×370mm，形状中后部内陷，采用PP工程塑料经模具注塑一次成型。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②椅腿采用厚度≥1.2mm椭圆管，底脚拉筋采用厚度≥1.2mm圆管。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③靠背：420mm×220mm，形状中间内陷，采用PP工程塑料经模具注塑一次成型。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④底脚套：PP工程塑料，防滑、耐磨。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表面处理：所有金属表面粉末静电喷涂处理。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餐桌椅</w:t>
            </w:r>
          </w:p>
        </w:tc>
        <w:tc>
          <w:tcPr>
            <w:tcW w:w="7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铁架加304不锈钢面板1200mm×800mm×750mm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四位凳子配一个餐桌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12、西安市经开第三中学</w:t>
      </w:r>
      <w:r>
        <w:rPr>
          <w:rFonts w:hint="eastAsia"/>
          <w:lang w:val="en-US" w:eastAsia="zh-CN"/>
        </w:rPr>
        <w:br w:type="textWrapping"/>
      </w:r>
    </w:p>
    <w:tbl>
      <w:tblPr>
        <w:tblStyle w:val="29"/>
        <w:tblW w:w="14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1212"/>
        <w:gridCol w:w="2728"/>
        <w:gridCol w:w="7311"/>
        <w:gridCol w:w="104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单人课桌椅</w:t>
            </w:r>
          </w:p>
        </w:tc>
        <w:tc>
          <w:tcPr>
            <w:tcW w:w="7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650mm×450mm×650-770mm/400mm×360mm×400-460mm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桌：颜色为天蓝色、白色塑料注塑封边，使用一级环保PP聚乙烯材质注塑，外观光泽润滑无接口。外桌腿为30mm×60mm×1.2mm椭圆钢管，内桌腿为20mm×50mm×1.2mm。桌斗为500mm×350mm×180mm采用国家标准为0.8mm厚冷轧钢板。凳面为340mm×240mm×18mm，凳面为注塑封边板，外观为人性化设计，凳面四周为一次成型注塑封边，使用一级环保PP聚乙烯材质注塑，外观光泽润滑无接口。椅子为双立柱升降靠背椅，椅面为400mm×360mm，靠背面为400mm×170mm，椅子座面和靠背面采用中纤维双贴面，外观为人性化设计，凳面四周为一次成型注塑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13、西安市经开第六中学</w:t>
      </w:r>
      <w:r>
        <w:rPr>
          <w:rFonts w:hint="eastAsia"/>
          <w:lang w:val="en-US" w:eastAsia="zh-CN"/>
        </w:rPr>
        <w:br w:type="textWrapping"/>
      </w:r>
    </w:p>
    <w:tbl>
      <w:tblPr>
        <w:tblStyle w:val="29"/>
        <w:tblW w:w="14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938"/>
        <w:gridCol w:w="1769"/>
        <w:gridCol w:w="8928"/>
        <w:gridCol w:w="703"/>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设施设备名称</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具体货物名称</w:t>
            </w:r>
          </w:p>
        </w:tc>
        <w:tc>
          <w:tcPr>
            <w:tcW w:w="8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7"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单人课桌椅</w:t>
            </w:r>
          </w:p>
        </w:tc>
        <w:tc>
          <w:tcPr>
            <w:tcW w:w="8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课桌规格尺寸：600mm×400mm×690mm-780mm；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桌面板：桌面长600mm×宽400mm×厚18mm。材质：E1级中密度纤维板（防火板）双贴面（MDF)，PVC全包封边桌面靠人体端为宽35mm鸭嘴边。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桌铁架:桌腿内管采用20㎜×50㎜×1.2mm的椭圆管，桌子为双柱升降式；可升降范围690㎜-780mm;桌斗钢板厚度≥0.8mm，桌脚套采用优质原生塑料注塑成型。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升降凳:规格：270mm×370mm×412mm-420mm;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凳面板:凳面：长370mm×宽270mm×厚18mm（长宽正负偏离2mm)材质：E1级中密度纤维板（防火板）双贴面（MDF)。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凳架:凳腿内管采用20mm×50mm×1.2mm的椭圆管，所有连接焊接牢固、圆润光滑无皱褶无毛刺无锐角；凳脚下部都带橡胶脚套.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14、西安市经开第二学校</w:t>
      </w:r>
      <w:r>
        <w:rPr>
          <w:rFonts w:hint="eastAsia"/>
          <w:lang w:val="en-US" w:eastAsia="zh-CN"/>
        </w:rPr>
        <w:br w:type="textWrapping"/>
      </w:r>
    </w:p>
    <w:tbl>
      <w:tblPr>
        <w:tblStyle w:val="29"/>
        <w:tblW w:w="14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845"/>
        <w:gridCol w:w="1297"/>
        <w:gridCol w:w="9027"/>
        <w:gridCol w:w="688"/>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具体货物名称</w:t>
            </w:r>
          </w:p>
        </w:tc>
        <w:tc>
          <w:tcPr>
            <w:tcW w:w="9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主要参数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课桌椅</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单人课桌椅</w:t>
            </w:r>
          </w:p>
        </w:tc>
        <w:tc>
          <w:tcPr>
            <w:tcW w:w="9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1.板材:规格:620mm×宽450mm×高750mm ,桌面厚度采用≥18mmE1级三聚氰胺双饰面板注塑封边制成。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2.桌斗:500mm×340mm×15mm ,采用厚度≥0.8mm钢板冲压一次成型。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3.管材:桌架采用 30mm×50mm×1.2mm 椭圆管磨具焊接而成。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4.桌下架横管采用40mm×20mm×1.2mm 椭圆管模具焊接而成。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5.椅架:采用20mm ×40 mm ×1.2 mm椭圆管焊接而成。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6.座背板:采用中空吹塑模具一次成型而成。所有钢架经过高温静电喷粉。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r>
    </w:tbl>
    <w:p>
      <w:pPr>
        <w:rPr>
          <w:rFonts w:hint="default" w:eastAsiaTheme="minorEastAsia"/>
          <w:lang w:val="en-US" w:eastAsia="zh-CN"/>
        </w:rPr>
      </w:pPr>
      <w:r>
        <w:rPr>
          <w:rFonts w:hint="default" w:eastAsiaTheme="minorEastAsia"/>
          <w:lang w:val="en-US" w:eastAsia="zh-CN"/>
        </w:rPr>
        <w:br w:type="page"/>
      </w:r>
    </w:p>
    <w:p>
      <w:pPr>
        <w:rPr>
          <w:rFonts w:hint="eastAsia"/>
          <w:lang w:val="en-US" w:eastAsia="zh-CN"/>
        </w:rPr>
      </w:pPr>
      <w:r>
        <w:rPr>
          <w:rFonts w:hint="eastAsia"/>
          <w:lang w:val="en-US" w:eastAsia="zh-CN"/>
        </w:rPr>
        <w:t>15、西安市经开第五学校</w:t>
      </w:r>
      <w:r>
        <w:rPr>
          <w:rFonts w:hint="eastAsia"/>
          <w:lang w:val="en-US" w:eastAsia="zh-CN"/>
        </w:rPr>
        <w:br w:type="textWrapping"/>
      </w:r>
    </w:p>
    <w:tbl>
      <w:tblPr>
        <w:tblStyle w:val="29"/>
        <w:tblW w:w="14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030"/>
        <w:gridCol w:w="1030"/>
        <w:gridCol w:w="9846"/>
        <w:gridCol w:w="762"/>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设施设备名称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具体货物名称</w:t>
            </w:r>
          </w:p>
        </w:tc>
        <w:tc>
          <w:tcPr>
            <w:tcW w:w="9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9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课桌椅规格尺寸：620mm×420mm×760mm    390mm×370mm×440mm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课桌技术参数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①桌面尺寸：620mm×420mm×18mm，桌内沿采用弧度设计，桌面采用环保E1级实木颗粒免漆板(MFC)，注塑包边,桌面四角防撞设计。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②前面挡板：500mm×360mm×18mm，采用环保E1级实木颗粒免漆板(MFC)，镶铝合金装饰条，封边采用1.5mm优质PVC封边。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③桌腿：桌立腿采用45mm×25mm×1.2mm椭圆钢管；右侧吊钩可承重10公斤。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④护脚：一侧为调节支脚，PP工程塑料，五金联接件采用镀锌、镀铬件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课椅技术参数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①座板：390mm×370mm，形状中后部内陷，采用PP工程塑料经模具注塑一次成型。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②椅腿采用厚度≥1.2mm椭圆管，底脚拉筋采用厚度≥1.2mm圆管。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③靠背：420mm×220mm，形状中间内陷，采用PP工程塑料经模具注塑一次成型。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④底脚套：PP工程塑料，防滑、耐磨。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表面处理：所有金属表面粉末静电喷涂处理。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bl>
    <w:p>
      <w:pPr>
        <w:rPr>
          <w:rFonts w:hint="default" w:eastAsiaTheme="minorEastAsia"/>
          <w:lang w:val="en-US" w:eastAsia="zh-CN"/>
        </w:rPr>
      </w:pPr>
    </w:p>
    <w:p/>
    <w:p>
      <w:pPr>
        <w:pStyle w:val="5"/>
        <w:ind w:left="0" w:leftChars="0" w:firstLine="0" w:firstLineChars="0"/>
        <w:rPr>
          <w:rFonts w:hint="eastAsia" w:ascii="宋体" w:hAnsi="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备注：以上执行标准如有更新，请以最新现行标准为准。</w:t>
      </w:r>
    </w:p>
    <w:p>
      <w:pPr>
        <w:pStyle w:val="5"/>
        <w:rPr>
          <w:rFonts w:hint="eastAsia"/>
          <w:lang w:val="en-US" w:eastAsia="zh-CN"/>
        </w:rPr>
      </w:pPr>
    </w:p>
    <w:p>
      <w:pPr>
        <w:pStyle w:val="5"/>
        <w:ind w:left="0" w:leftChars="0" w:firstLine="0" w:firstLineChars="0"/>
        <w:rPr>
          <w:rFonts w:hint="eastAsia"/>
          <w:b/>
          <w:bCs/>
          <w:lang w:val="en-US" w:eastAsia="zh-CN"/>
        </w:rPr>
        <w:sectPr>
          <w:headerReference r:id="rId13" w:type="first"/>
          <w:footerReference r:id="rId15" w:type="first"/>
          <w:headerReference r:id="rId12" w:type="default"/>
          <w:footerReference r:id="rId14" w:type="default"/>
          <w:pgSz w:w="16838" w:h="11906" w:orient="landscape"/>
          <w:pgMar w:top="1418" w:right="1418" w:bottom="1418" w:left="1418" w:header="851" w:footer="992" w:gutter="0"/>
          <w:pgNumType w:fmt="decimal"/>
          <w:cols w:space="720" w:num="1"/>
          <w:titlePg/>
          <w:docGrid w:linePitch="312" w:charSpace="0"/>
        </w:sectPr>
      </w:pPr>
    </w:p>
    <w:bookmarkEnd w:id="161"/>
    <w:p>
      <w:pPr>
        <w:bidi w:val="0"/>
      </w:pPr>
    </w:p>
    <w:p>
      <w:pPr>
        <w:pStyle w:val="3"/>
        <w:numPr>
          <w:ilvl w:val="0"/>
          <w:numId w:val="4"/>
        </w:numPr>
        <w:ind w:firstLine="1767" w:firstLineChars="400"/>
        <w:jc w:val="both"/>
        <w:rPr>
          <w:rFonts w:hint="eastAsia"/>
          <w:sz w:val="44"/>
          <w:szCs w:val="44"/>
        </w:rPr>
      </w:pPr>
      <w:bookmarkStart w:id="170" w:name="_Toc17235"/>
      <w:r>
        <w:rPr>
          <w:rFonts w:hint="eastAsia"/>
          <w:sz w:val="44"/>
          <w:szCs w:val="44"/>
        </w:rPr>
        <w:t>合同</w:t>
      </w:r>
      <w:r>
        <w:rPr>
          <w:rFonts w:hint="eastAsia"/>
          <w:sz w:val="44"/>
          <w:szCs w:val="44"/>
          <w:lang w:eastAsia="zh-CN"/>
        </w:rPr>
        <w:t>草案</w:t>
      </w:r>
      <w:r>
        <w:rPr>
          <w:rFonts w:hint="eastAsia"/>
          <w:sz w:val="44"/>
          <w:szCs w:val="44"/>
        </w:rPr>
        <w:t>条款</w:t>
      </w:r>
      <w:bookmarkEnd w:id="170"/>
    </w:p>
    <w:p>
      <w:pPr>
        <w:numPr>
          <w:ilvl w:val="0"/>
          <w:numId w:val="0"/>
        </w:numPr>
        <w:ind w:firstLine="723" w:firstLineChars="300"/>
        <w:rPr>
          <w:rFonts w:hint="eastAsia"/>
          <w:b/>
          <w:bCs/>
          <w:sz w:val="24"/>
          <w:szCs w:val="32"/>
          <w:lang w:eastAsia="zh-CN"/>
        </w:rPr>
      </w:pPr>
      <w:r>
        <w:rPr>
          <w:rFonts w:hint="eastAsia"/>
          <w:b/>
          <w:bCs/>
          <w:sz w:val="24"/>
          <w:szCs w:val="32"/>
          <w:lang w:eastAsia="zh-CN"/>
        </w:rPr>
        <w:t>合同模板，仅供参考。</w:t>
      </w:r>
    </w:p>
    <w:p>
      <w:pPr>
        <w:pStyle w:val="43"/>
        <w:rPr>
          <w:rFonts w:hint="eastAsia"/>
          <w:lang w:eastAsia="zh-CN"/>
        </w:rPr>
      </w:pPr>
    </w:p>
    <w:p>
      <w:pPr>
        <w:tabs>
          <w:tab w:val="left" w:pos="735"/>
        </w:tabs>
        <w:autoSpaceDE w:val="0"/>
        <w:autoSpaceDN w:val="0"/>
        <w:adjustRightInd w:val="0"/>
        <w:snapToGrid w:val="0"/>
        <w:spacing w:line="360" w:lineRule="auto"/>
        <w:ind w:firstLine="631"/>
        <w:rPr>
          <w:rFonts w:hint="eastAsia" w:ascii="宋体" w:hAnsi="宋体" w:cs="宋体"/>
          <w:b/>
          <w:bCs/>
          <w:sz w:val="24"/>
          <w:szCs w:val="24"/>
          <w:lang w:val="zh-CN"/>
        </w:rPr>
      </w:pPr>
      <w:r>
        <w:rPr>
          <w:rFonts w:hint="eastAsia" w:ascii="宋体" w:hAnsi="宋体" w:cs="宋体"/>
          <w:b/>
          <w:bCs/>
          <w:sz w:val="24"/>
          <w:szCs w:val="24"/>
          <w:lang w:val="zh-CN"/>
        </w:rPr>
        <w:t>甲方：</w:t>
      </w:r>
      <w:r>
        <w:rPr>
          <w:rFonts w:hint="eastAsia" w:ascii="宋体" w:hAnsi="宋体" w:cs="宋体"/>
          <w:bCs/>
          <w:sz w:val="24"/>
          <w:szCs w:val="24"/>
          <w:lang w:val="zh-CN"/>
        </w:rPr>
        <w:t>（前款所称采购人）</w:t>
      </w:r>
    </w:p>
    <w:p>
      <w:pPr>
        <w:tabs>
          <w:tab w:val="left" w:pos="735"/>
        </w:tabs>
        <w:autoSpaceDE w:val="0"/>
        <w:autoSpaceDN w:val="0"/>
        <w:adjustRightInd w:val="0"/>
        <w:snapToGrid w:val="0"/>
        <w:spacing w:line="360" w:lineRule="auto"/>
        <w:ind w:firstLine="631"/>
        <w:rPr>
          <w:rFonts w:hint="eastAsia" w:ascii="宋体" w:hAnsi="宋体" w:cs="宋体"/>
          <w:bCs/>
          <w:sz w:val="24"/>
          <w:szCs w:val="24"/>
          <w:lang w:val="zh-CN"/>
        </w:rPr>
      </w:pPr>
      <w:r>
        <w:rPr>
          <w:rFonts w:hint="eastAsia" w:ascii="宋体" w:hAnsi="宋体" w:cs="宋体"/>
          <w:b/>
          <w:bCs/>
          <w:sz w:val="24"/>
          <w:szCs w:val="24"/>
          <w:lang w:val="zh-CN"/>
        </w:rPr>
        <w:t>乙方：</w:t>
      </w:r>
      <w:r>
        <w:rPr>
          <w:rFonts w:hint="eastAsia" w:ascii="宋体" w:hAnsi="宋体" w:cs="宋体"/>
          <w:bCs/>
          <w:sz w:val="24"/>
          <w:szCs w:val="24"/>
          <w:lang w:val="zh-CN"/>
        </w:rPr>
        <w:t>（前款所称中标单位）</w:t>
      </w:r>
    </w:p>
    <w:p>
      <w:pPr>
        <w:pStyle w:val="4"/>
        <w:bidi w:val="0"/>
        <w:rPr>
          <w:rFonts w:hint="eastAsia" w:ascii="宋体" w:hAnsi="宋体" w:eastAsia="宋体" w:cs="宋体"/>
          <w:sz w:val="24"/>
          <w:szCs w:val="24"/>
          <w:lang w:val="zh-CN"/>
        </w:rPr>
      </w:pPr>
      <w:bookmarkStart w:id="171" w:name="_Toc31593"/>
      <w:bookmarkStart w:id="172" w:name="_Toc1896"/>
      <w:r>
        <w:rPr>
          <w:rFonts w:hint="eastAsia" w:ascii="宋体" w:hAnsi="宋体" w:eastAsia="宋体" w:cs="宋体"/>
          <w:sz w:val="24"/>
          <w:szCs w:val="24"/>
          <w:lang w:val="zh-CN"/>
        </w:rPr>
        <w:t>一、合同内容:</w:t>
      </w:r>
      <w:bookmarkEnd w:id="171"/>
      <w:bookmarkEnd w:id="172"/>
    </w:p>
    <w:p>
      <w:pPr>
        <w:pStyle w:val="4"/>
        <w:bidi w:val="0"/>
        <w:spacing w:line="240" w:lineRule="auto"/>
        <w:rPr>
          <w:rFonts w:hint="eastAsia" w:ascii="宋体" w:hAnsi="宋体" w:eastAsia="宋体" w:cs="宋体"/>
          <w:sz w:val="24"/>
          <w:szCs w:val="24"/>
          <w:lang w:val="zh-CN"/>
        </w:rPr>
      </w:pPr>
      <w:bookmarkStart w:id="173" w:name="_Toc13753"/>
      <w:bookmarkStart w:id="174" w:name="_Toc16955"/>
      <w:r>
        <w:rPr>
          <w:rFonts w:hint="eastAsia" w:ascii="宋体" w:hAnsi="宋体" w:eastAsia="宋体" w:cs="宋体"/>
          <w:sz w:val="24"/>
          <w:szCs w:val="24"/>
          <w:lang w:val="zh-CN"/>
        </w:rPr>
        <w:t>二、合同价款：</w:t>
      </w:r>
      <w:bookmarkEnd w:id="173"/>
      <w:bookmarkEnd w:id="174"/>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1、合同总价：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2、合同总价：包括新设备制造费、保管费、运杂费、装卸费、保险费、管理费、改造费、安装调试费、垃圾清运费检测验收费、专用工具、备品备件、技术资料、培训费、税金及其它相关的一切费用。</w:t>
      </w:r>
    </w:p>
    <w:p>
      <w:pPr>
        <w:tabs>
          <w:tab w:val="left" w:pos="735"/>
        </w:tabs>
        <w:adjustRightInd w:val="0"/>
        <w:snapToGrid w:val="0"/>
        <w:spacing w:line="360" w:lineRule="auto"/>
        <w:ind w:firstLine="504" w:firstLineChars="210"/>
        <w:rPr>
          <w:rFonts w:hint="eastAsia" w:ascii="宋体" w:hAnsi="宋体" w:cs="宋体"/>
          <w:sz w:val="24"/>
          <w:szCs w:val="24"/>
        </w:rPr>
      </w:pPr>
      <w:r>
        <w:rPr>
          <w:rFonts w:hint="eastAsia" w:ascii="宋体" w:hAnsi="宋体" w:cs="宋体"/>
          <w:sz w:val="24"/>
          <w:szCs w:val="24"/>
        </w:rPr>
        <w:t>3、合同总价一次包死，不受市场价变化的影响。</w:t>
      </w:r>
    </w:p>
    <w:p>
      <w:pPr>
        <w:pStyle w:val="4"/>
        <w:bidi w:val="0"/>
        <w:spacing w:line="240" w:lineRule="auto"/>
        <w:rPr>
          <w:rFonts w:hint="eastAsia" w:ascii="宋体" w:hAnsi="宋体" w:eastAsia="宋体" w:cs="宋体"/>
          <w:sz w:val="24"/>
          <w:szCs w:val="24"/>
          <w:lang w:val="zh-CN"/>
        </w:rPr>
      </w:pPr>
      <w:bookmarkStart w:id="175" w:name="_Toc13431"/>
      <w:bookmarkStart w:id="176" w:name="_Toc18956"/>
      <w:r>
        <w:rPr>
          <w:rFonts w:hint="eastAsia" w:ascii="宋体" w:hAnsi="宋体" w:eastAsia="宋体" w:cs="宋体"/>
          <w:sz w:val="24"/>
          <w:szCs w:val="24"/>
          <w:lang w:val="zh-CN"/>
        </w:rPr>
        <w:t>三、合同结算：</w:t>
      </w:r>
      <w:bookmarkEnd w:id="175"/>
      <w:bookmarkEnd w:id="176"/>
    </w:p>
    <w:p>
      <w:pPr>
        <w:autoSpaceDE w:val="0"/>
        <w:autoSpaceDN w:val="0"/>
        <w:adjustRightInd w:val="0"/>
        <w:snapToGrid w:val="0"/>
        <w:spacing w:line="360" w:lineRule="auto"/>
        <w:ind w:firstLine="646"/>
        <w:rPr>
          <w:rFonts w:hint="eastAsia" w:ascii="宋体" w:hAnsi="宋体" w:cs="宋体"/>
          <w:color w:val="000000"/>
          <w:sz w:val="24"/>
          <w:szCs w:val="24"/>
          <w:highlight w:val="none"/>
        </w:rPr>
      </w:pPr>
      <w:r>
        <w:rPr>
          <w:rFonts w:hint="eastAsia" w:ascii="宋体" w:hAnsi="宋体" w:cs="宋体"/>
          <w:color w:val="000000"/>
          <w:sz w:val="24"/>
          <w:szCs w:val="24"/>
          <w:highlight w:val="none"/>
        </w:rPr>
        <w:t>1、付款比例：</w:t>
      </w:r>
    </w:p>
    <w:p>
      <w:pPr>
        <w:autoSpaceDE w:val="0"/>
        <w:autoSpaceDN w:val="0"/>
        <w:adjustRightInd w:val="0"/>
        <w:snapToGrid w:val="0"/>
        <w:spacing w:line="360" w:lineRule="auto"/>
        <w:ind w:firstLine="645"/>
        <w:rPr>
          <w:rFonts w:hint="eastAsia" w:ascii="宋体" w:hAnsi="宋体" w:cs="宋体"/>
          <w:color w:val="000000"/>
          <w:sz w:val="24"/>
          <w:highlight w:val="none"/>
        </w:rPr>
      </w:pPr>
      <w:r>
        <w:rPr>
          <w:rFonts w:hint="eastAsia" w:ascii="宋体" w:hAnsi="宋体" w:cs="宋体"/>
          <w:color w:val="000000"/>
          <w:sz w:val="24"/>
          <w:highlight w:val="none"/>
        </w:rPr>
        <w:t>设备到货验收完成支付</w:t>
      </w:r>
      <w:r>
        <w:rPr>
          <w:rFonts w:hint="eastAsia" w:ascii="宋体" w:hAnsi="宋体" w:cs="宋体"/>
          <w:color w:val="000000"/>
          <w:sz w:val="24"/>
          <w:highlight w:val="none"/>
          <w:u w:val="single"/>
        </w:rPr>
        <w:t>30%</w:t>
      </w:r>
      <w:r>
        <w:rPr>
          <w:rFonts w:hint="eastAsia" w:ascii="宋体" w:hAnsi="宋体" w:cs="宋体"/>
          <w:color w:val="000000"/>
          <w:sz w:val="24"/>
          <w:highlight w:val="none"/>
        </w:rPr>
        <w:t>的合同款</w:t>
      </w:r>
      <w:r>
        <w:rPr>
          <w:rFonts w:hint="eastAsia" w:ascii="宋体" w:hAnsi="宋体" w:cs="宋体"/>
          <w:color w:val="000000"/>
          <w:sz w:val="24"/>
          <w:highlight w:val="none"/>
          <w:lang w:eastAsia="zh-CN"/>
        </w:rPr>
        <w:t>；</w:t>
      </w:r>
      <w:r>
        <w:rPr>
          <w:rFonts w:hint="eastAsia" w:ascii="宋体" w:hAnsi="宋体" w:cs="宋体"/>
          <w:color w:val="000000"/>
          <w:sz w:val="24"/>
          <w:highlight w:val="none"/>
        </w:rPr>
        <w:t>设备安装调试完毕</w:t>
      </w:r>
      <w:r>
        <w:rPr>
          <w:rFonts w:hint="eastAsia" w:ascii="宋体" w:hAnsi="宋体" w:cs="宋体"/>
          <w:color w:val="000000"/>
          <w:sz w:val="24"/>
          <w:highlight w:val="none"/>
          <w:lang w:eastAsia="zh-CN"/>
        </w:rPr>
        <w:t>后、</w:t>
      </w:r>
      <w:r>
        <w:rPr>
          <w:rFonts w:hint="eastAsia" w:ascii="宋体" w:hAnsi="宋体" w:cs="宋体"/>
          <w:color w:val="000000"/>
          <w:sz w:val="24"/>
          <w:highlight w:val="none"/>
        </w:rPr>
        <w:t>试运行、检测、仪器质量检查等最终验收合格</w:t>
      </w:r>
      <w:r>
        <w:rPr>
          <w:rFonts w:hint="eastAsia" w:ascii="宋体" w:hAnsi="宋体" w:cs="宋体"/>
          <w:color w:val="000000"/>
          <w:sz w:val="24"/>
          <w:highlight w:val="none"/>
          <w:lang w:eastAsia="zh-CN"/>
        </w:rPr>
        <w:t>且空气质量检测合格并出具检测报告</w:t>
      </w:r>
      <w:r>
        <w:rPr>
          <w:rFonts w:hint="eastAsia" w:ascii="宋体" w:hAnsi="宋体" w:cs="宋体"/>
          <w:color w:val="000000"/>
          <w:sz w:val="24"/>
          <w:highlight w:val="none"/>
        </w:rPr>
        <w:t>后支付</w:t>
      </w:r>
      <w:r>
        <w:rPr>
          <w:rFonts w:hint="eastAsia" w:ascii="宋体" w:hAnsi="宋体" w:cs="宋体"/>
          <w:color w:val="000000"/>
          <w:sz w:val="24"/>
          <w:highlight w:val="none"/>
          <w:u w:val="single"/>
          <w:lang w:val="en-US" w:eastAsia="zh-CN"/>
        </w:rPr>
        <w:t>6</w:t>
      </w:r>
      <w:r>
        <w:rPr>
          <w:rFonts w:hint="eastAsia" w:ascii="宋体" w:hAnsi="宋体" w:cs="宋体"/>
          <w:color w:val="000000"/>
          <w:sz w:val="24"/>
          <w:highlight w:val="none"/>
          <w:u w:val="single"/>
        </w:rPr>
        <w:t>5%</w:t>
      </w:r>
      <w:r>
        <w:rPr>
          <w:rFonts w:hint="eastAsia" w:ascii="宋体" w:hAnsi="宋体" w:cs="宋体"/>
          <w:color w:val="000000"/>
          <w:sz w:val="24"/>
          <w:highlight w:val="none"/>
        </w:rPr>
        <w:t>的合同款，剩余</w:t>
      </w:r>
      <w:r>
        <w:rPr>
          <w:rFonts w:hint="eastAsia" w:ascii="宋体" w:hAnsi="宋体" w:cs="宋体"/>
          <w:color w:val="000000"/>
          <w:sz w:val="24"/>
          <w:highlight w:val="none"/>
          <w:u w:val="single"/>
        </w:rPr>
        <w:t>5%</w:t>
      </w:r>
      <w:r>
        <w:rPr>
          <w:rFonts w:hint="eastAsia" w:ascii="宋体" w:hAnsi="宋体" w:cs="宋体"/>
          <w:color w:val="000000"/>
          <w:sz w:val="24"/>
          <w:highlight w:val="none"/>
        </w:rPr>
        <w:t>合同款作为质保金，自</w:t>
      </w:r>
      <w:r>
        <w:rPr>
          <w:rFonts w:hint="eastAsia" w:ascii="宋体" w:hAnsi="宋体" w:cs="宋体"/>
          <w:color w:val="000000"/>
          <w:sz w:val="24"/>
          <w:highlight w:val="none"/>
          <w:lang w:val="en-US" w:eastAsia="zh-CN"/>
        </w:rPr>
        <w:t>质保期满后</w:t>
      </w:r>
      <w:r>
        <w:rPr>
          <w:rFonts w:hint="eastAsia" w:ascii="宋体" w:hAnsi="宋体" w:cs="宋体"/>
          <w:color w:val="000000"/>
          <w:sz w:val="24"/>
          <w:highlight w:val="none"/>
        </w:rPr>
        <w:t>无息退还。</w:t>
      </w:r>
    </w:p>
    <w:p>
      <w:pPr>
        <w:autoSpaceDE w:val="0"/>
        <w:autoSpaceDN w:val="0"/>
        <w:adjustRightInd w:val="0"/>
        <w:snapToGrid w:val="0"/>
        <w:spacing w:line="360" w:lineRule="auto"/>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2、结算方式：由采购双方签订合同时具体约定。</w:t>
      </w:r>
    </w:p>
    <w:p>
      <w:pPr>
        <w:autoSpaceDE w:val="0"/>
        <w:autoSpaceDN w:val="0"/>
        <w:adjustRightInd w:val="0"/>
        <w:snapToGrid w:val="0"/>
        <w:spacing w:line="240" w:lineRule="auto"/>
        <w:ind w:firstLine="645"/>
        <w:rPr>
          <w:rFonts w:hint="eastAsia" w:ascii="宋体" w:hAnsi="宋体" w:cs="宋体"/>
          <w:color w:val="FF0000"/>
          <w:sz w:val="24"/>
          <w:szCs w:val="24"/>
          <w:highlight w:val="none"/>
        </w:rPr>
      </w:pPr>
      <w:r>
        <w:rPr>
          <w:rFonts w:hint="eastAsia" w:ascii="宋体" w:hAnsi="宋体" w:cs="宋体"/>
          <w:color w:val="000000"/>
          <w:sz w:val="24"/>
          <w:szCs w:val="24"/>
          <w:highlight w:val="none"/>
        </w:rPr>
        <w:t>3、结算单位：由</w:t>
      </w:r>
      <w:r>
        <w:rPr>
          <w:rFonts w:hint="eastAsia" w:ascii="宋体" w:hAnsi="宋体" w:cs="宋体"/>
          <w:color w:val="000000"/>
          <w:sz w:val="24"/>
          <w:szCs w:val="24"/>
          <w:highlight w:val="none"/>
          <w:u w:val="single"/>
        </w:rPr>
        <w:t>甲方</w:t>
      </w:r>
      <w:r>
        <w:rPr>
          <w:rFonts w:hint="eastAsia" w:ascii="宋体" w:hAnsi="宋体" w:cs="宋体"/>
          <w:color w:val="000000"/>
          <w:sz w:val="24"/>
          <w:szCs w:val="24"/>
          <w:highlight w:val="none"/>
        </w:rPr>
        <w:t>负责结算，乙方开具合同总价数的全额发票交采购人。</w:t>
      </w:r>
    </w:p>
    <w:p>
      <w:pPr>
        <w:pStyle w:val="4"/>
        <w:bidi w:val="0"/>
        <w:spacing w:line="240" w:lineRule="auto"/>
        <w:rPr>
          <w:rFonts w:hint="eastAsia" w:ascii="宋体" w:hAnsi="宋体" w:eastAsia="宋体" w:cs="宋体"/>
          <w:sz w:val="24"/>
          <w:szCs w:val="24"/>
          <w:highlight w:val="none"/>
          <w:lang w:val="zh-CN"/>
        </w:rPr>
      </w:pPr>
      <w:bookmarkStart w:id="177" w:name="_Toc3546"/>
      <w:bookmarkStart w:id="178" w:name="_Toc22900"/>
      <w:r>
        <w:rPr>
          <w:rFonts w:hint="eastAsia" w:ascii="宋体" w:hAnsi="宋体" w:eastAsia="宋体" w:cs="宋体"/>
          <w:sz w:val="24"/>
          <w:szCs w:val="24"/>
          <w:highlight w:val="none"/>
          <w:lang w:val="zh-CN"/>
        </w:rPr>
        <w:t>四、交货条件:</w:t>
      </w:r>
      <w:bookmarkEnd w:id="177"/>
      <w:bookmarkEnd w:id="178"/>
    </w:p>
    <w:p>
      <w:pPr>
        <w:tabs>
          <w:tab w:val="left" w:pos="735"/>
        </w:tabs>
        <w:autoSpaceDE w:val="0"/>
        <w:autoSpaceDN w:val="0"/>
        <w:adjustRightInd w:val="0"/>
        <w:snapToGrid w:val="0"/>
        <w:spacing w:line="360" w:lineRule="auto"/>
        <w:ind w:firstLine="631"/>
        <w:rPr>
          <w:rFonts w:hint="eastAsia" w:ascii="宋体" w:hAnsi="宋体" w:cs="宋体"/>
          <w:bCs/>
          <w:sz w:val="24"/>
          <w:szCs w:val="24"/>
          <w:highlight w:val="none"/>
          <w:lang w:val="zh-CN"/>
        </w:rPr>
      </w:pPr>
      <w:r>
        <w:rPr>
          <w:rFonts w:hint="eastAsia" w:ascii="宋体" w:hAnsi="宋体" w:cs="宋体"/>
          <w:bCs/>
          <w:sz w:val="24"/>
          <w:szCs w:val="24"/>
          <w:highlight w:val="none"/>
          <w:lang w:val="zh-CN"/>
        </w:rPr>
        <w:t>1、交货地点：甲方指定地点</w:t>
      </w:r>
    </w:p>
    <w:p>
      <w:pPr>
        <w:autoSpaceDE w:val="0"/>
        <w:autoSpaceDN w:val="0"/>
        <w:adjustRightInd w:val="0"/>
        <w:snapToGrid w:val="0"/>
        <w:spacing w:line="240" w:lineRule="auto"/>
        <w:ind w:firstLine="645"/>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2、交货期：</w:t>
      </w:r>
      <w:r>
        <w:rPr>
          <w:rFonts w:hint="eastAsia" w:ascii="宋体" w:hAnsi="宋体" w:cs="宋体"/>
          <w:color w:val="auto"/>
          <w:sz w:val="24"/>
          <w:szCs w:val="24"/>
          <w:highlight w:val="none"/>
          <w:lang w:val="zh-CN" w:eastAsia="zh-CN"/>
        </w:rPr>
        <w:t>合同签订后</w:t>
      </w:r>
      <w:r>
        <w:rPr>
          <w:rFonts w:hint="eastAsia" w:ascii="宋体" w:hAnsi="宋体" w:cs="宋体"/>
          <w:color w:val="auto"/>
          <w:sz w:val="24"/>
          <w:szCs w:val="24"/>
          <w:highlight w:val="none"/>
          <w:u w:val="single"/>
          <w:lang w:val="en-US" w:eastAsia="zh-CN"/>
        </w:rPr>
        <w:t xml:space="preserve"> 60 </w:t>
      </w:r>
      <w:r>
        <w:rPr>
          <w:rFonts w:hint="eastAsia" w:ascii="宋体" w:hAnsi="宋体" w:cs="宋体"/>
          <w:color w:val="auto"/>
          <w:sz w:val="24"/>
          <w:szCs w:val="24"/>
          <w:highlight w:val="none"/>
          <w:u w:val="none"/>
          <w:lang w:val="en-US" w:eastAsia="zh-CN"/>
        </w:rPr>
        <w:t>个</w:t>
      </w:r>
      <w:r>
        <w:rPr>
          <w:rFonts w:hint="eastAsia" w:ascii="宋体" w:hAnsi="宋体" w:cs="宋体"/>
          <w:color w:val="auto"/>
          <w:sz w:val="24"/>
          <w:szCs w:val="24"/>
          <w:highlight w:val="none"/>
          <w:lang w:val="en-US" w:eastAsia="zh-CN"/>
        </w:rPr>
        <w:t>日历天供货安装调试完毕。</w:t>
      </w:r>
    </w:p>
    <w:p>
      <w:pPr>
        <w:pStyle w:val="4"/>
        <w:bidi w:val="0"/>
        <w:spacing w:line="240" w:lineRule="auto"/>
        <w:rPr>
          <w:rFonts w:hint="eastAsia" w:ascii="宋体" w:hAnsi="宋体" w:eastAsia="宋体" w:cs="宋体"/>
          <w:b w:val="0"/>
          <w:bCs/>
          <w:kern w:val="2"/>
          <w:sz w:val="24"/>
          <w:szCs w:val="24"/>
          <w:highlight w:val="none"/>
          <w:lang w:val="zh-CN" w:eastAsia="zh-CN" w:bidi="ar-SA"/>
        </w:rPr>
      </w:pPr>
      <w:bookmarkStart w:id="179" w:name="_Toc9437"/>
      <w:bookmarkStart w:id="180" w:name="_Toc1926"/>
      <w:r>
        <w:rPr>
          <w:rFonts w:hint="eastAsia" w:ascii="宋体" w:hAnsi="宋体" w:eastAsia="宋体" w:cs="宋体"/>
          <w:sz w:val="24"/>
          <w:szCs w:val="24"/>
          <w:highlight w:val="none"/>
          <w:lang w:val="zh-CN"/>
        </w:rPr>
        <w:t>五、运输：</w:t>
      </w:r>
      <w:bookmarkEnd w:id="179"/>
      <w:bookmarkEnd w:id="180"/>
    </w:p>
    <w:p>
      <w:pPr>
        <w:adjustRightInd w:val="0"/>
        <w:snapToGrid w:val="0"/>
        <w:spacing w:line="360" w:lineRule="auto"/>
        <w:ind w:firstLine="645"/>
        <w:rPr>
          <w:rFonts w:hint="eastAsia" w:ascii="宋体" w:hAnsi="宋体" w:cs="宋体"/>
          <w:color w:val="000000"/>
          <w:sz w:val="24"/>
          <w:szCs w:val="24"/>
        </w:rPr>
      </w:pPr>
      <w:r>
        <w:rPr>
          <w:rFonts w:hint="eastAsia" w:ascii="宋体" w:hAnsi="宋体" w:cs="宋体"/>
          <w:color w:val="000000"/>
          <w:sz w:val="24"/>
          <w:szCs w:val="24"/>
        </w:rPr>
        <w:t>1、乙方负责所有货物的运输。确保货物安全、完整到达使用地点，运杂费用包含在总价内，包括货物从供货地点到使用地点的运输费、保险费、搬运费等。</w:t>
      </w:r>
    </w:p>
    <w:p>
      <w:pPr>
        <w:adjustRightInd w:val="0"/>
        <w:snapToGrid w:val="0"/>
        <w:spacing w:line="360" w:lineRule="auto"/>
        <w:ind w:firstLine="645"/>
        <w:rPr>
          <w:rFonts w:hint="eastAsia" w:ascii="宋体" w:hAnsi="宋体" w:cs="宋体"/>
          <w:sz w:val="24"/>
          <w:szCs w:val="24"/>
        </w:rPr>
      </w:pPr>
      <w:r>
        <w:rPr>
          <w:rFonts w:hint="eastAsia" w:ascii="宋体" w:hAnsi="宋体" w:cs="宋体"/>
          <w:color w:val="000000"/>
          <w:sz w:val="24"/>
          <w:szCs w:val="24"/>
        </w:rPr>
        <w:t>2、所有货物在运输、搬运、安装、拆除、改造的过程中，造成甲方损失的，由乙方为甲方修复或更新。</w:t>
      </w:r>
    </w:p>
    <w:p>
      <w:pPr>
        <w:pStyle w:val="4"/>
        <w:bidi w:val="0"/>
        <w:spacing w:line="240" w:lineRule="auto"/>
        <w:rPr>
          <w:rFonts w:hint="eastAsia" w:ascii="宋体" w:hAnsi="宋体" w:eastAsia="宋体" w:cs="宋体"/>
          <w:sz w:val="24"/>
          <w:szCs w:val="24"/>
          <w:lang w:val="zh-CN"/>
        </w:rPr>
      </w:pPr>
      <w:bookmarkStart w:id="181" w:name="_Toc7164"/>
      <w:bookmarkStart w:id="182" w:name="_Toc25630"/>
      <w:r>
        <w:rPr>
          <w:rFonts w:hint="eastAsia" w:ascii="宋体" w:hAnsi="宋体" w:eastAsia="宋体" w:cs="宋体"/>
          <w:sz w:val="24"/>
          <w:szCs w:val="24"/>
          <w:lang w:val="zh-CN"/>
        </w:rPr>
        <w:t>六、质量保证：</w:t>
      </w:r>
      <w:bookmarkEnd w:id="181"/>
      <w:bookmarkEnd w:id="182"/>
    </w:p>
    <w:p>
      <w:pPr>
        <w:adjustRightInd w:val="0"/>
        <w:snapToGrid w:val="0"/>
        <w:spacing w:line="360" w:lineRule="auto"/>
        <w:ind w:firstLine="645"/>
        <w:rPr>
          <w:rFonts w:hint="eastAsia" w:ascii="宋体" w:hAnsi="宋体" w:cs="宋体"/>
          <w:color w:val="000000"/>
          <w:sz w:val="24"/>
          <w:szCs w:val="24"/>
        </w:rPr>
      </w:pPr>
      <w:r>
        <w:rPr>
          <w:rFonts w:hint="eastAsia" w:ascii="宋体" w:hAnsi="宋体" w:cs="宋体"/>
          <w:color w:val="000000"/>
          <w:sz w:val="24"/>
          <w:szCs w:val="24"/>
        </w:rPr>
        <w:t>1、乙方提供货物必须是原品牌制造厂制造的最新工艺、生产的最新产品。</w:t>
      </w:r>
    </w:p>
    <w:p>
      <w:pPr>
        <w:adjustRightInd w:val="0"/>
        <w:snapToGrid w:val="0"/>
        <w:spacing w:line="360" w:lineRule="auto"/>
        <w:ind w:firstLine="645"/>
        <w:rPr>
          <w:rFonts w:hint="eastAsia" w:ascii="宋体" w:hAnsi="宋体" w:cs="宋体"/>
          <w:color w:val="000000"/>
          <w:sz w:val="24"/>
          <w:szCs w:val="24"/>
        </w:rPr>
      </w:pPr>
      <w:r>
        <w:rPr>
          <w:rFonts w:hint="eastAsia" w:ascii="宋体" w:hAnsi="宋体" w:cs="宋体"/>
          <w:color w:val="000000"/>
          <w:sz w:val="24"/>
          <w:szCs w:val="24"/>
        </w:rPr>
        <w:t>2、所供货物必须是经过办理正常手续的全新产品。</w:t>
      </w:r>
    </w:p>
    <w:p>
      <w:pPr>
        <w:adjustRightInd w:val="0"/>
        <w:snapToGrid w:val="0"/>
        <w:spacing w:line="360" w:lineRule="auto"/>
        <w:ind w:firstLine="645"/>
        <w:rPr>
          <w:rFonts w:hint="eastAsia" w:ascii="宋体" w:hAnsi="宋体" w:cs="宋体"/>
          <w:color w:val="000000"/>
          <w:sz w:val="24"/>
          <w:szCs w:val="24"/>
        </w:rPr>
      </w:pPr>
      <w:r>
        <w:rPr>
          <w:rFonts w:hint="eastAsia" w:ascii="宋体" w:hAnsi="宋体" w:cs="宋体"/>
          <w:color w:val="000000"/>
          <w:sz w:val="24"/>
          <w:szCs w:val="24"/>
        </w:rPr>
        <w:t>3、所供货物是经过国家法定检验、注册、准许市场销售的合法产品。</w:t>
      </w:r>
    </w:p>
    <w:p>
      <w:pPr>
        <w:adjustRightInd w:val="0"/>
        <w:snapToGrid w:val="0"/>
        <w:spacing w:line="360" w:lineRule="auto"/>
        <w:ind w:firstLine="645"/>
        <w:rPr>
          <w:rFonts w:hint="eastAsia" w:ascii="宋体" w:hAnsi="宋体" w:cs="宋体"/>
          <w:color w:val="000000"/>
          <w:sz w:val="24"/>
          <w:szCs w:val="24"/>
        </w:rPr>
      </w:pPr>
      <w:r>
        <w:rPr>
          <w:rFonts w:hint="eastAsia" w:ascii="宋体" w:hAnsi="宋体" w:cs="宋体"/>
          <w:color w:val="000000"/>
          <w:sz w:val="24"/>
          <w:szCs w:val="24"/>
        </w:rPr>
        <w:t>4、货物性能稳定、具有较好的使用效果，质量保证措施完善，符合国家相关标准。</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highlight w:val="none"/>
        </w:rPr>
        <w:t>5、</w:t>
      </w:r>
      <w:r>
        <w:rPr>
          <w:rFonts w:hint="eastAsia" w:cs="Times New Roman"/>
          <w:kern w:val="2"/>
          <w:sz w:val="24"/>
          <w:szCs w:val="24"/>
          <w:highlight w:val="none"/>
          <w:lang w:val="zh-CN" w:eastAsia="zh-CN" w:bidi="ar-SA"/>
        </w:rPr>
        <w:t>质保期为验收合格后</w:t>
      </w:r>
      <w:r>
        <w:rPr>
          <w:rFonts w:hint="eastAsia" w:cs="Times New Roman"/>
          <w:kern w:val="2"/>
          <w:sz w:val="24"/>
          <w:szCs w:val="24"/>
          <w:highlight w:val="none"/>
          <w:lang w:val="en-US" w:eastAsia="zh-CN" w:bidi="ar-SA"/>
        </w:rPr>
        <w:t>1年</w:t>
      </w:r>
      <w:r>
        <w:rPr>
          <w:rFonts w:hint="eastAsia" w:ascii="宋体" w:hAnsi="宋体" w:cs="宋体"/>
          <w:sz w:val="24"/>
          <w:szCs w:val="24"/>
          <w:highlight w:val="none"/>
        </w:rPr>
        <w:t>，质</w:t>
      </w:r>
      <w:r>
        <w:rPr>
          <w:rFonts w:hint="eastAsia" w:ascii="宋体" w:hAnsi="宋体" w:cs="宋体"/>
          <w:sz w:val="24"/>
          <w:szCs w:val="24"/>
        </w:rPr>
        <w:t>保期内维保标准不得低于国家标准及相关规定，如超过</w:t>
      </w:r>
      <w:r>
        <w:rPr>
          <w:rFonts w:hint="eastAsia" w:ascii="宋体" w:hAnsi="宋体" w:cs="宋体"/>
          <w:sz w:val="24"/>
          <w:szCs w:val="24"/>
          <w:lang w:val="en-US" w:eastAsia="zh-CN"/>
        </w:rPr>
        <w:t>5</w:t>
      </w:r>
      <w:r>
        <w:rPr>
          <w:rFonts w:hint="eastAsia" w:ascii="宋体" w:hAnsi="宋体" w:cs="宋体"/>
          <w:sz w:val="24"/>
          <w:szCs w:val="24"/>
        </w:rPr>
        <w:t>年，则按供应商承诺执行，并在合同签订过程中明确。</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rPr>
        <w:t>6、包装要求</w:t>
      </w:r>
    </w:p>
    <w:p>
      <w:pPr>
        <w:adjustRightInd w:val="0"/>
        <w:snapToGrid w:val="0"/>
        <w:spacing w:line="360" w:lineRule="auto"/>
        <w:ind w:firstLine="645"/>
        <w:rPr>
          <w:rFonts w:hint="eastAsia" w:ascii="宋体" w:hAnsi="宋体" w:cs="宋体"/>
          <w:sz w:val="24"/>
          <w:szCs w:val="24"/>
        </w:rPr>
      </w:pPr>
      <w:r>
        <w:rPr>
          <w:rFonts w:hint="eastAsia" w:ascii="宋体" w:hAnsi="宋体" w:cs="宋体"/>
          <w:color w:val="000000"/>
          <w:sz w:val="24"/>
          <w:szCs w:val="24"/>
        </w:rPr>
        <w:t>6-1、除合同另有规定外，乙方提供的全部货物，均应按标准保护措施进行包装，并确保货物安全</w:t>
      </w:r>
      <w:r>
        <w:rPr>
          <w:rFonts w:hint="eastAsia" w:ascii="宋体" w:hAnsi="宋体" w:cs="宋体"/>
          <w:sz w:val="24"/>
          <w:szCs w:val="24"/>
        </w:rPr>
        <w:t>无损运抵甲方指定地点。</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rPr>
        <w:t>6-2、每一个包装箱内应附一份详细装箱单和质量合格证。</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rPr>
        <w:t>7、知识产权：乙方应保证甲方在使用该货物或其任何一部分时免受第三方提出侵犯其专利权、商标权或工业设计权的起诉。</w:t>
      </w:r>
    </w:p>
    <w:p>
      <w:pPr>
        <w:pStyle w:val="4"/>
        <w:bidi w:val="0"/>
        <w:spacing w:line="240" w:lineRule="auto"/>
        <w:rPr>
          <w:rFonts w:hint="eastAsia" w:ascii="宋体" w:hAnsi="宋体" w:eastAsia="宋体" w:cs="宋体"/>
          <w:sz w:val="24"/>
          <w:szCs w:val="24"/>
          <w:lang w:val="zh-CN"/>
        </w:rPr>
      </w:pPr>
      <w:bookmarkStart w:id="183" w:name="_Toc26330"/>
      <w:bookmarkStart w:id="184" w:name="_Toc20761"/>
      <w:r>
        <w:rPr>
          <w:rFonts w:hint="eastAsia" w:ascii="宋体" w:hAnsi="宋体" w:eastAsia="宋体" w:cs="宋体"/>
          <w:sz w:val="24"/>
          <w:szCs w:val="24"/>
          <w:lang w:val="zh-CN"/>
        </w:rPr>
        <w:t>七、技术服务：</w:t>
      </w:r>
      <w:bookmarkEnd w:id="183"/>
      <w:bookmarkEnd w:id="184"/>
    </w:p>
    <w:p>
      <w:pPr>
        <w:snapToGrid w:val="0"/>
        <w:spacing w:line="360" w:lineRule="auto"/>
        <w:ind w:firstLine="482" w:firstLineChars="201"/>
        <w:rPr>
          <w:rFonts w:hint="eastAsia" w:ascii="宋体" w:hAnsi="宋体" w:cs="宋体"/>
          <w:sz w:val="24"/>
          <w:szCs w:val="24"/>
        </w:rPr>
      </w:pPr>
      <w:r>
        <w:rPr>
          <w:rFonts w:hint="eastAsia" w:ascii="宋体" w:hAnsi="宋体" w:cs="宋体"/>
          <w:sz w:val="24"/>
          <w:szCs w:val="24"/>
        </w:rPr>
        <w:t>1、对技术服务的要求：乙方应随同货物提供相应的中文技术文件(包括产品合格证、装箱、清单、操作手册、使用说明。检测报告、维护手册、服务指南等资料)，现场安装、调试、试运行技术保障服务。</w:t>
      </w:r>
    </w:p>
    <w:p>
      <w:pPr>
        <w:snapToGrid w:val="0"/>
        <w:spacing w:line="360" w:lineRule="auto"/>
        <w:ind w:left="645"/>
        <w:rPr>
          <w:rFonts w:hint="eastAsia" w:ascii="宋体" w:hAnsi="宋体" w:cs="宋体"/>
          <w:sz w:val="24"/>
          <w:szCs w:val="24"/>
        </w:rPr>
      </w:pPr>
      <w:r>
        <w:rPr>
          <w:rFonts w:hint="eastAsia" w:ascii="宋体" w:hAnsi="宋体" w:cs="宋体"/>
          <w:sz w:val="24"/>
          <w:szCs w:val="24"/>
        </w:rPr>
        <w:t>2、技术资料：</w:t>
      </w:r>
    </w:p>
    <w:p>
      <w:pPr>
        <w:snapToGrid w:val="0"/>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2-1、产品合格证及检验报告；</w:t>
      </w:r>
    </w:p>
    <w:p>
      <w:pPr>
        <w:snapToGrid w:val="0"/>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2-2、产品使用说明书（中文）；</w:t>
      </w:r>
    </w:p>
    <w:p>
      <w:pPr>
        <w:snapToGrid w:val="0"/>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2-3、其他技术资料。</w:t>
      </w:r>
    </w:p>
    <w:p>
      <w:pPr>
        <w:snapToGrid w:val="0"/>
        <w:spacing w:line="360" w:lineRule="auto"/>
        <w:ind w:left="645"/>
        <w:rPr>
          <w:rFonts w:hint="eastAsia" w:ascii="宋体" w:hAnsi="宋体" w:cs="宋体"/>
          <w:sz w:val="24"/>
          <w:szCs w:val="24"/>
        </w:rPr>
      </w:pPr>
      <w:r>
        <w:rPr>
          <w:rFonts w:hint="eastAsia" w:ascii="宋体" w:hAnsi="宋体" w:cs="宋体"/>
          <w:sz w:val="24"/>
          <w:szCs w:val="24"/>
        </w:rPr>
        <w:t>3、售后服务</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3-1、</w:t>
      </w:r>
      <w:r>
        <w:rPr>
          <w:rFonts w:hint="eastAsia" w:ascii="宋体" w:hAnsi="宋体" w:cs="宋体"/>
          <w:color w:val="000000"/>
          <w:sz w:val="24"/>
          <w:szCs w:val="24"/>
        </w:rPr>
        <w:t>质保期内维保标准不得低于国家标准及相关规定。</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3-2、如果乙方在收到通知后2天内没有弥补缺陷，甲方可采取必要的补救措施，但其风险和费用将由乙方承担，甲方根据合同规定对乙方行使的其它权力不受影响。甲方亦可从合同价款中扣回索赔金额。</w:t>
      </w:r>
    </w:p>
    <w:p>
      <w:pPr>
        <w:snapToGrid w:val="0"/>
        <w:spacing w:line="360" w:lineRule="auto"/>
        <w:ind w:left="645"/>
        <w:rPr>
          <w:rFonts w:hint="eastAsia" w:ascii="宋体" w:hAnsi="宋体" w:cs="宋体"/>
          <w:sz w:val="24"/>
          <w:szCs w:val="24"/>
        </w:rPr>
      </w:pPr>
      <w:r>
        <w:rPr>
          <w:rFonts w:hint="eastAsia" w:ascii="宋体" w:hAnsi="宋体" w:cs="宋体"/>
          <w:sz w:val="24"/>
          <w:szCs w:val="24"/>
        </w:rPr>
        <w:t>4、伴随服务</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4-1、乙方应提供相应的中文的技术文件。</w:t>
      </w:r>
    </w:p>
    <w:p>
      <w:pPr>
        <w:snapToGrid w:val="0"/>
        <w:spacing w:line="360" w:lineRule="auto"/>
        <w:ind w:left="645"/>
        <w:rPr>
          <w:rFonts w:hint="eastAsia" w:ascii="宋体" w:hAnsi="宋体" w:cs="宋体"/>
          <w:sz w:val="24"/>
          <w:szCs w:val="24"/>
        </w:rPr>
      </w:pPr>
      <w:r>
        <w:rPr>
          <w:rFonts w:hint="eastAsia" w:ascii="宋体" w:hAnsi="宋体" w:cs="宋体"/>
          <w:sz w:val="24"/>
          <w:szCs w:val="24"/>
        </w:rPr>
        <w:t>4-2、必须的其它技术资料。</w:t>
      </w:r>
    </w:p>
    <w:p>
      <w:pPr>
        <w:snapToGrid w:val="0"/>
        <w:spacing w:line="240" w:lineRule="auto"/>
        <w:ind w:left="645"/>
        <w:rPr>
          <w:rFonts w:hint="eastAsia" w:ascii="宋体" w:hAnsi="宋体" w:cs="宋体"/>
          <w:sz w:val="24"/>
          <w:szCs w:val="24"/>
        </w:rPr>
      </w:pPr>
      <w:r>
        <w:rPr>
          <w:rFonts w:hint="eastAsia" w:ascii="宋体" w:hAnsi="宋体" w:cs="宋体"/>
          <w:sz w:val="24"/>
          <w:szCs w:val="24"/>
        </w:rPr>
        <w:t>4-3、伴随服务的费用已含在合同价中，不单独进行支付。</w:t>
      </w:r>
    </w:p>
    <w:p>
      <w:pPr>
        <w:pStyle w:val="4"/>
        <w:bidi w:val="0"/>
        <w:spacing w:line="240" w:lineRule="auto"/>
        <w:rPr>
          <w:rFonts w:hint="eastAsia" w:ascii="宋体" w:hAnsi="宋体" w:eastAsia="宋体" w:cs="宋体"/>
          <w:sz w:val="24"/>
          <w:szCs w:val="24"/>
          <w:lang w:val="zh-CN"/>
        </w:rPr>
      </w:pPr>
      <w:bookmarkStart w:id="185" w:name="_Toc28234"/>
      <w:bookmarkStart w:id="186" w:name="_Toc13698"/>
      <w:r>
        <w:rPr>
          <w:rFonts w:hint="eastAsia" w:ascii="宋体" w:hAnsi="宋体" w:eastAsia="宋体" w:cs="宋体"/>
          <w:sz w:val="24"/>
          <w:szCs w:val="24"/>
          <w:lang w:val="zh-CN"/>
        </w:rPr>
        <w:t>八、验收：</w:t>
      </w:r>
      <w:bookmarkEnd w:id="185"/>
      <w:bookmarkEnd w:id="186"/>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1、通过检验的货物方可进行安装、调试、达到使用条件时由采购单位负责组织验收，或者邀请有关专家、质检机构、采购代理机构共同进行验收,验收费用由</w:t>
      </w:r>
      <w:r>
        <w:rPr>
          <w:rFonts w:hint="eastAsia" w:ascii="宋体" w:hAnsi="宋体" w:cs="宋体"/>
          <w:color w:val="000000"/>
          <w:sz w:val="24"/>
          <w:szCs w:val="24"/>
          <w:lang w:eastAsia="zh-CN"/>
        </w:rPr>
        <w:t>中标单位</w:t>
      </w:r>
      <w:r>
        <w:rPr>
          <w:rFonts w:hint="eastAsia" w:ascii="宋体" w:hAnsi="宋体" w:cs="宋体"/>
          <w:color w:val="000000"/>
          <w:sz w:val="24"/>
          <w:szCs w:val="24"/>
        </w:rPr>
        <w:t>支付(备注：如有验收需向采购代理机构支付金额2000-3000元不等)；验收合格须交接项目实施的全部资料，并填写政府采购项目验收报告单。验收须以合同、</w:t>
      </w:r>
      <w:r>
        <w:rPr>
          <w:rFonts w:hint="eastAsia" w:ascii="宋体" w:hAnsi="宋体" w:cs="宋体"/>
          <w:color w:val="000000"/>
          <w:sz w:val="24"/>
          <w:szCs w:val="24"/>
          <w:lang w:eastAsia="zh-CN"/>
        </w:rPr>
        <w:t>招标</w:t>
      </w:r>
      <w:r>
        <w:rPr>
          <w:rFonts w:hint="eastAsia" w:ascii="宋体" w:hAnsi="宋体" w:cs="宋体"/>
          <w:color w:val="000000"/>
          <w:sz w:val="24"/>
          <w:szCs w:val="24"/>
        </w:rPr>
        <w:t>文件及</w:t>
      </w:r>
      <w:r>
        <w:rPr>
          <w:rFonts w:hint="eastAsia" w:ascii="宋体" w:hAnsi="宋体" w:cs="宋体"/>
          <w:color w:val="000000"/>
          <w:sz w:val="24"/>
          <w:szCs w:val="24"/>
          <w:lang w:eastAsia="zh-CN"/>
        </w:rPr>
        <w:t>投标</w:t>
      </w:r>
      <w:r>
        <w:rPr>
          <w:rFonts w:hint="eastAsia" w:ascii="宋体" w:hAnsi="宋体" w:cs="宋体"/>
          <w:color w:val="000000"/>
          <w:sz w:val="24"/>
          <w:szCs w:val="24"/>
        </w:rPr>
        <w:t>文件、澄清、及国家相应的标准、规范等为依据。</w:t>
      </w:r>
    </w:p>
    <w:p>
      <w:pPr>
        <w:adjustRightInd w:val="0"/>
        <w:snapToGrid w:val="0"/>
        <w:spacing w:line="360" w:lineRule="auto"/>
        <w:ind w:firstLine="645"/>
        <w:rPr>
          <w:rFonts w:hint="eastAsia" w:ascii="宋体" w:hAnsi="宋体" w:cs="宋体"/>
          <w:sz w:val="24"/>
          <w:szCs w:val="24"/>
        </w:rPr>
      </w:pPr>
      <w:r>
        <w:rPr>
          <w:rFonts w:hint="eastAsia" w:ascii="宋体" w:hAnsi="宋体" w:cs="宋体"/>
          <w:color w:val="000000"/>
          <w:sz w:val="24"/>
          <w:szCs w:val="24"/>
        </w:rPr>
        <w:t>3、质保期满后：由乙方出具质保期运行质量报告，作为质保金支付依据，若存在质量问题，应按相应规定协商处理。</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rPr>
        <w:t>4、验收依据：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4-1、合同文本、合同附件、</w:t>
      </w:r>
      <w:r>
        <w:rPr>
          <w:rFonts w:hint="eastAsia" w:ascii="宋体" w:hAnsi="宋体" w:cs="宋体"/>
          <w:sz w:val="24"/>
          <w:szCs w:val="24"/>
          <w:lang w:eastAsia="zh-CN"/>
        </w:rPr>
        <w:t>招标</w:t>
      </w:r>
      <w:r>
        <w:rPr>
          <w:rFonts w:hint="eastAsia" w:ascii="宋体" w:hAnsi="宋体" w:cs="宋体"/>
          <w:sz w:val="24"/>
          <w:szCs w:val="24"/>
        </w:rPr>
        <w:t>文件、</w:t>
      </w:r>
      <w:r>
        <w:rPr>
          <w:rFonts w:hint="eastAsia" w:ascii="宋体" w:hAnsi="宋体" w:cs="宋体"/>
          <w:sz w:val="24"/>
          <w:szCs w:val="24"/>
          <w:lang w:eastAsia="zh-CN"/>
        </w:rPr>
        <w:t>投标</w:t>
      </w:r>
      <w:r>
        <w:rPr>
          <w:rFonts w:hint="eastAsia" w:ascii="宋体" w:hAnsi="宋体" w:cs="宋体"/>
          <w:sz w:val="24"/>
          <w:szCs w:val="24"/>
        </w:rPr>
        <w:t>文件。</w:t>
      </w:r>
    </w:p>
    <w:p>
      <w:pPr>
        <w:snapToGrid w:val="0"/>
        <w:spacing w:line="240" w:lineRule="auto"/>
        <w:ind w:right="893" w:firstLine="480" w:firstLineChars="200"/>
        <w:rPr>
          <w:rFonts w:hint="eastAsia" w:ascii="宋体" w:hAnsi="宋体" w:cs="宋体"/>
          <w:sz w:val="24"/>
          <w:szCs w:val="24"/>
        </w:rPr>
      </w:pPr>
      <w:r>
        <w:rPr>
          <w:rFonts w:hint="eastAsia" w:ascii="宋体" w:hAnsi="宋体" w:cs="宋体"/>
          <w:sz w:val="24"/>
          <w:szCs w:val="24"/>
        </w:rPr>
        <w:t>4-2、国内相应的标准、规范。</w:t>
      </w:r>
    </w:p>
    <w:p>
      <w:pPr>
        <w:pStyle w:val="4"/>
        <w:bidi w:val="0"/>
        <w:spacing w:line="240" w:lineRule="auto"/>
        <w:rPr>
          <w:rFonts w:hint="eastAsia" w:ascii="宋体" w:hAnsi="宋体" w:eastAsia="宋体" w:cs="宋体"/>
          <w:sz w:val="24"/>
          <w:szCs w:val="24"/>
          <w:lang w:val="zh-CN"/>
        </w:rPr>
      </w:pPr>
      <w:bookmarkStart w:id="187" w:name="_Toc17276"/>
      <w:bookmarkStart w:id="188" w:name="_Toc23939"/>
      <w:r>
        <w:rPr>
          <w:rFonts w:hint="eastAsia" w:ascii="宋体" w:hAnsi="宋体" w:eastAsia="宋体" w:cs="宋体"/>
          <w:sz w:val="24"/>
          <w:szCs w:val="24"/>
          <w:lang w:val="zh-CN"/>
        </w:rPr>
        <w:t>九、违约责任：</w:t>
      </w:r>
      <w:bookmarkEnd w:id="187"/>
      <w:bookmarkEnd w:id="188"/>
    </w:p>
    <w:p>
      <w:pPr>
        <w:adjustRightInd w:val="0"/>
        <w:snapToGrid w:val="0"/>
        <w:spacing w:line="360" w:lineRule="auto"/>
        <w:ind w:left="645"/>
        <w:rPr>
          <w:rFonts w:hint="eastAsia" w:ascii="宋体" w:hAnsi="宋体" w:cs="宋体"/>
          <w:sz w:val="24"/>
          <w:szCs w:val="24"/>
        </w:rPr>
      </w:pPr>
      <w:r>
        <w:rPr>
          <w:rFonts w:hint="eastAsia" w:ascii="宋体" w:hAnsi="宋体" w:cs="宋体"/>
          <w:sz w:val="24"/>
          <w:szCs w:val="24"/>
        </w:rPr>
        <w:t>1、按《</w:t>
      </w:r>
      <w:r>
        <w:rPr>
          <w:rFonts w:hint="eastAsia" w:ascii="宋体" w:hAnsi="宋体" w:cs="宋体"/>
          <w:sz w:val="24"/>
          <w:highlight w:val="none"/>
          <w:lang w:val="en-US" w:eastAsia="zh-CN"/>
        </w:rPr>
        <w:t>中华人民共和国民法典</w:t>
      </w:r>
      <w:r>
        <w:rPr>
          <w:rFonts w:hint="eastAsia" w:ascii="宋体" w:hAnsi="宋体" w:cs="宋体"/>
          <w:sz w:val="24"/>
          <w:szCs w:val="24"/>
        </w:rPr>
        <w:t>》中的相关条款执行。</w:t>
      </w:r>
    </w:p>
    <w:p>
      <w:pPr>
        <w:adjustRightInd w:val="0"/>
        <w:snapToGrid w:val="0"/>
        <w:spacing w:line="360" w:lineRule="auto"/>
        <w:ind w:firstLine="482" w:firstLineChars="201"/>
        <w:rPr>
          <w:rFonts w:hint="eastAsia" w:ascii="宋体" w:hAnsi="宋体" w:cs="宋体"/>
          <w:sz w:val="24"/>
          <w:szCs w:val="24"/>
        </w:rPr>
      </w:pPr>
      <w:r>
        <w:rPr>
          <w:rFonts w:hint="eastAsia" w:ascii="宋体" w:hAnsi="宋体" w:cs="宋体"/>
          <w:sz w:val="24"/>
          <w:szCs w:val="24"/>
        </w:rPr>
        <w:t>2、本合同履行期间，如乙方未能按照本合同约定完成相应目标成效要求，甲方有权要求乙方按照本合同总价款30%支付违约金，同时甲方有权视乙方违约情况决定是否单方解除本合同，并要求乙方赔偿甲方损失。</w:t>
      </w:r>
    </w:p>
    <w:p>
      <w:pPr>
        <w:adjustRightInd w:val="0"/>
        <w:snapToGrid w:val="0"/>
        <w:spacing w:line="360" w:lineRule="auto"/>
        <w:ind w:firstLine="482" w:firstLineChars="201"/>
        <w:rPr>
          <w:rFonts w:hint="eastAsia" w:ascii="宋体" w:hAnsi="宋体" w:cs="宋体"/>
          <w:sz w:val="24"/>
          <w:szCs w:val="24"/>
        </w:rPr>
      </w:pPr>
      <w:r>
        <w:rPr>
          <w:rFonts w:hint="eastAsia" w:ascii="宋体" w:hAnsi="宋体" w:cs="宋体"/>
          <w:sz w:val="24"/>
          <w:szCs w:val="24"/>
        </w:rPr>
        <w:t>3、除本合同另有约定或因不可抗力情形之外，任何一方因违反本合同项下的任何义务或保证与承诺不实的，即构成违约，应向对方承担违约责任，赔偿因违反合同而给对方造成的全部实际产生的直接经济损失。</w:t>
      </w:r>
    </w:p>
    <w:p>
      <w:pPr>
        <w:adjustRightInd w:val="0"/>
        <w:snapToGrid w:val="0"/>
        <w:spacing w:line="360" w:lineRule="auto"/>
        <w:ind w:firstLine="645"/>
        <w:rPr>
          <w:rFonts w:hint="eastAsia" w:ascii="宋体" w:hAnsi="宋体" w:cs="宋体"/>
          <w:sz w:val="24"/>
          <w:szCs w:val="24"/>
        </w:rPr>
      </w:pPr>
      <w:r>
        <w:rPr>
          <w:rFonts w:hint="eastAsia" w:ascii="宋体" w:hAnsi="宋体" w:cs="宋体"/>
          <w:sz w:val="24"/>
          <w:szCs w:val="24"/>
        </w:rPr>
        <w:t>4、违约终止合同：未按合同要求提供货物或质量不能满足技术要求，甲方会同监督机构有权终止合同，对乙方违约行为进行追究，同时按政府采购法的有关规定进行相应的处罚。</w:t>
      </w:r>
    </w:p>
    <w:p>
      <w:pPr>
        <w:pStyle w:val="4"/>
        <w:bidi w:val="0"/>
        <w:spacing w:line="240" w:lineRule="auto"/>
        <w:rPr>
          <w:rFonts w:hint="eastAsia" w:ascii="宋体" w:hAnsi="宋体" w:eastAsia="宋体" w:cs="宋体"/>
          <w:sz w:val="24"/>
          <w:szCs w:val="24"/>
          <w:lang w:val="zh-CN"/>
        </w:rPr>
      </w:pPr>
      <w:bookmarkStart w:id="189" w:name="_Toc21667"/>
      <w:bookmarkStart w:id="190" w:name="_Toc8686"/>
      <w:r>
        <w:rPr>
          <w:rFonts w:hint="eastAsia" w:ascii="宋体" w:hAnsi="宋体" w:eastAsia="宋体" w:cs="宋体"/>
          <w:sz w:val="24"/>
          <w:szCs w:val="24"/>
          <w:lang w:val="zh-CN"/>
        </w:rPr>
        <w:t>十、合同组成：</w:t>
      </w:r>
      <w:bookmarkEnd w:id="189"/>
      <w:bookmarkEnd w:id="190"/>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2、合同文件</w:t>
      </w:r>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3、国家相关规范及标准</w:t>
      </w:r>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4、供货设备技术规格及参数表</w:t>
      </w:r>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招标</w:t>
      </w:r>
      <w:r>
        <w:rPr>
          <w:rFonts w:hint="eastAsia" w:ascii="宋体" w:hAnsi="宋体" w:eastAsia="宋体" w:cs="宋体"/>
          <w:sz w:val="24"/>
          <w:szCs w:val="24"/>
        </w:rPr>
        <w:t>文件</w:t>
      </w:r>
    </w:p>
    <w:p>
      <w:pPr>
        <w:adjustRightInd w:val="0"/>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pStyle w:val="4"/>
        <w:bidi w:val="0"/>
        <w:spacing w:line="240" w:lineRule="auto"/>
        <w:rPr>
          <w:rFonts w:hint="eastAsia" w:ascii="宋体" w:hAnsi="宋体" w:eastAsia="宋体" w:cs="宋体"/>
          <w:sz w:val="24"/>
          <w:szCs w:val="24"/>
          <w:lang w:val="zh-CN"/>
        </w:rPr>
      </w:pPr>
      <w:bookmarkStart w:id="191" w:name="_Toc27099"/>
      <w:bookmarkStart w:id="192" w:name="_Toc30300"/>
      <w:r>
        <w:rPr>
          <w:rFonts w:hint="eastAsia" w:ascii="宋体" w:hAnsi="宋体" w:eastAsia="宋体" w:cs="宋体"/>
          <w:sz w:val="24"/>
          <w:szCs w:val="24"/>
          <w:lang w:val="zh-CN"/>
        </w:rPr>
        <w:t>十一、合同生效及其它：</w:t>
      </w:r>
      <w:bookmarkEnd w:id="191"/>
      <w:bookmarkEnd w:id="192"/>
    </w:p>
    <w:p>
      <w:pPr>
        <w:widowControl/>
        <w:autoSpaceDE w:val="0"/>
        <w:autoSpaceDN w:val="0"/>
        <w:snapToGrid w:val="0"/>
        <w:spacing w:line="360" w:lineRule="auto"/>
        <w:ind w:right="-110"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2、本合同正本一式</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份，甲方、乙方双方分别执</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份。</w:t>
      </w:r>
    </w:p>
    <w:p>
      <w:pPr>
        <w:widowControl/>
        <w:tabs>
          <w:tab w:val="left" w:pos="8391"/>
        </w:tabs>
        <w:autoSpaceDE w:val="0"/>
        <w:autoSpaceDN w:val="0"/>
        <w:snapToGrid w:val="0"/>
        <w:spacing w:line="360" w:lineRule="auto"/>
        <w:ind w:right="-69" w:firstLine="480" w:firstLineChars="200"/>
        <w:textAlignment w:val="bottom"/>
        <w:rPr>
          <w:rFonts w:hint="eastAsia" w:ascii="宋体" w:hAnsi="宋体" w:cs="宋体"/>
          <w:kern w:val="0"/>
          <w:sz w:val="24"/>
          <w:szCs w:val="24"/>
        </w:rPr>
      </w:pPr>
      <w:r>
        <w:rPr>
          <w:rFonts w:hint="eastAsia" w:ascii="宋体" w:hAnsi="宋体" w:cs="宋体"/>
          <w:kern w:val="0"/>
          <w:sz w:val="24"/>
          <w:szCs w:val="24"/>
        </w:rPr>
        <w:t>3、合同经甲乙双方盖章、签字后生效，合同签订地点为</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widowControl/>
        <w:tabs>
          <w:tab w:val="left" w:pos="8391"/>
        </w:tabs>
        <w:autoSpaceDE w:val="0"/>
        <w:autoSpaceDN w:val="0"/>
        <w:snapToGrid w:val="0"/>
        <w:spacing w:line="360" w:lineRule="auto"/>
        <w:ind w:right="-69"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4、生效时间：    年  月  日</w:t>
      </w:r>
    </w:p>
    <w:p>
      <w:pPr>
        <w:widowControl/>
        <w:tabs>
          <w:tab w:val="left" w:pos="8391"/>
        </w:tabs>
        <w:autoSpaceDE w:val="0"/>
        <w:autoSpaceDN w:val="0"/>
        <w:snapToGrid w:val="0"/>
        <w:spacing w:line="360" w:lineRule="auto"/>
        <w:ind w:right="-69" w:firstLine="1120" w:firstLineChars="350"/>
        <w:textAlignment w:val="bottom"/>
        <w:rPr>
          <w:rFonts w:hint="eastAsia" w:ascii="宋体" w:hAnsi="宋体" w:cs="宋体"/>
          <w:kern w:val="0"/>
          <w:sz w:val="32"/>
          <w:szCs w:val="32"/>
        </w:rPr>
      </w:pPr>
    </w:p>
    <w:tbl>
      <w:tblPr>
        <w:tblStyle w:val="29"/>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vAlign w:val="top"/>
          </w:tcPr>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甲方名称</w:t>
            </w:r>
            <w:r>
              <w:rPr>
                <w:rFonts w:hint="eastAsia" w:ascii="宋体" w:hAnsi="宋体" w:cs="宋体"/>
                <w:spacing w:val="-20"/>
                <w:kern w:val="0"/>
                <w:sz w:val="24"/>
                <w:szCs w:val="24"/>
              </w:rPr>
              <w:t>（盖章）</w:t>
            </w:r>
            <w:r>
              <w:rPr>
                <w:rFonts w:hint="eastAsia" w:ascii="宋体" w:hAnsi="宋体" w:cs="宋体"/>
                <w:kern w:val="0"/>
                <w:sz w:val="24"/>
                <w:szCs w:val="24"/>
              </w:rPr>
              <w:t>:</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地址：</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代表人（签字）：</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电话：</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开户银行：</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帐号：</w:t>
            </w:r>
          </w:p>
        </w:tc>
        <w:tc>
          <w:tcPr>
            <w:tcW w:w="4643" w:type="dxa"/>
            <w:vAlign w:val="top"/>
          </w:tcPr>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乙方名称</w:t>
            </w:r>
            <w:r>
              <w:rPr>
                <w:rFonts w:hint="eastAsia" w:ascii="宋体" w:hAnsi="宋体" w:cs="宋体"/>
                <w:spacing w:val="-20"/>
                <w:kern w:val="0"/>
                <w:sz w:val="24"/>
                <w:szCs w:val="24"/>
              </w:rPr>
              <w:t>（盖章）</w:t>
            </w:r>
            <w:r>
              <w:rPr>
                <w:rFonts w:hint="eastAsia" w:ascii="宋体" w:hAnsi="宋体" w:cs="宋体"/>
                <w:kern w:val="0"/>
                <w:sz w:val="24"/>
                <w:szCs w:val="24"/>
              </w:rPr>
              <w:t>:</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地址：</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代表人（签字）：</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电话：</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开户银行：</w:t>
            </w:r>
          </w:p>
          <w:p>
            <w:pPr>
              <w:widowControl/>
              <w:autoSpaceDE w:val="0"/>
              <w:autoSpaceDN w:val="0"/>
              <w:snapToGrid w:val="0"/>
              <w:spacing w:line="360" w:lineRule="auto"/>
              <w:ind w:right="-154"/>
              <w:textAlignment w:val="bottom"/>
              <w:rPr>
                <w:rFonts w:hint="eastAsia" w:ascii="宋体" w:hAnsi="宋体" w:cs="宋体"/>
                <w:kern w:val="0"/>
                <w:sz w:val="24"/>
                <w:szCs w:val="24"/>
              </w:rPr>
            </w:pPr>
            <w:r>
              <w:rPr>
                <w:rFonts w:hint="eastAsia" w:ascii="宋体" w:hAnsi="宋体" w:cs="宋体"/>
                <w:kern w:val="0"/>
                <w:sz w:val="24"/>
                <w:szCs w:val="24"/>
              </w:rPr>
              <w:t>帐号：</w:t>
            </w:r>
          </w:p>
        </w:tc>
      </w:tr>
    </w:tbl>
    <w:p>
      <w:pPr>
        <w:widowControl/>
        <w:autoSpaceDE w:val="0"/>
        <w:autoSpaceDN w:val="0"/>
        <w:snapToGrid w:val="0"/>
        <w:spacing w:line="360" w:lineRule="auto"/>
        <w:ind w:right="-154"/>
        <w:textAlignment w:val="bottom"/>
        <w:rPr>
          <w:rFonts w:hint="eastAsia" w:ascii="宋体" w:hAnsi="宋体" w:cs="宋体"/>
          <w:kern w:val="0"/>
          <w:sz w:val="24"/>
          <w:szCs w:val="24"/>
        </w:rPr>
      </w:pPr>
    </w:p>
    <w:p>
      <w:pPr>
        <w:widowControl/>
        <w:autoSpaceDE w:val="0"/>
        <w:autoSpaceDN w:val="0"/>
        <w:snapToGrid w:val="0"/>
        <w:spacing w:line="360" w:lineRule="auto"/>
        <w:ind w:right="-154"/>
        <w:textAlignment w:val="bottom"/>
        <w:rPr>
          <w:rFonts w:hint="eastAsia" w:ascii="宋体" w:hAnsi="宋体" w:cs="宋体"/>
          <w:kern w:val="0"/>
          <w:sz w:val="24"/>
          <w:szCs w:val="24"/>
        </w:rPr>
      </w:pPr>
    </w:p>
    <w:p>
      <w:pPr>
        <w:bidi w:val="0"/>
        <w:rPr>
          <w:rFonts w:hint="eastAsia"/>
        </w:rPr>
      </w:pPr>
      <w:r>
        <w:rPr>
          <w:rFonts w:hint="eastAsia" w:cs="Tahoma"/>
          <w:color w:val="666666"/>
          <w:szCs w:val="28"/>
        </w:rPr>
        <w:t xml:space="preserve">     </w:t>
      </w:r>
      <w:r>
        <w:rPr>
          <w:rFonts w:hint="eastAsia"/>
        </w:rPr>
        <w:t xml:space="preserve">         </w:t>
      </w:r>
    </w:p>
    <w:p>
      <w:pPr>
        <w:bidi w:val="0"/>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bookmarkEnd w:id="144"/>
    <w:p>
      <w:pPr>
        <w:pStyle w:val="3"/>
        <w:spacing w:line="240" w:lineRule="auto"/>
        <w:ind w:firstLine="2209" w:firstLineChars="500"/>
        <w:jc w:val="both"/>
        <w:rPr>
          <w:rFonts w:ascii="仿宋_GB2312" w:eastAsia="仿宋_GB2312"/>
          <w:b/>
          <w:sz w:val="32"/>
          <w:szCs w:val="32"/>
        </w:rPr>
      </w:pPr>
      <w:bookmarkStart w:id="193" w:name="_Toc8793"/>
      <w:r>
        <w:rPr>
          <w:rFonts w:hint="eastAsia"/>
          <w:sz w:val="44"/>
          <w:szCs w:val="44"/>
        </w:rPr>
        <w:t>第七章 投标</w:t>
      </w:r>
      <w:r>
        <w:rPr>
          <w:rFonts w:hint="eastAsia"/>
          <w:b/>
          <w:bCs w:val="0"/>
          <w:sz w:val="44"/>
          <w:szCs w:val="44"/>
        </w:rPr>
        <w:t>文</w:t>
      </w:r>
      <w:r>
        <w:rPr>
          <w:rFonts w:hint="eastAsia"/>
          <w:sz w:val="44"/>
          <w:szCs w:val="44"/>
        </w:rPr>
        <w:t>件格式</w:t>
      </w:r>
      <w:bookmarkEnd w:id="193"/>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rPr>
      </w:pPr>
      <w:r>
        <w:rPr>
          <w:rFonts w:hint="eastAsia" w:ascii="宋体" w:hAnsi="宋体"/>
          <w:sz w:val="24"/>
        </w:rPr>
        <w:t>投标文件编制说明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rPr>
      </w:pPr>
      <w:r>
        <w:rPr>
          <w:rFonts w:hint="eastAsia" w:ascii="宋体" w:hAnsi="宋体"/>
          <w:sz w:val="24"/>
        </w:rPr>
        <w:t>1、投标人编制投标文件前，请详细阅读招标文件，根据</w:t>
      </w:r>
      <w:r>
        <w:rPr>
          <w:rFonts w:hint="eastAsia" w:ascii="宋体" w:hAnsi="宋体"/>
          <w:sz w:val="24"/>
          <w:lang w:eastAsia="zh-CN"/>
        </w:rPr>
        <w:t>同正项目管理有限公司</w:t>
      </w:r>
      <w:r>
        <w:rPr>
          <w:rFonts w:hint="eastAsia" w:ascii="宋体" w:hAnsi="宋体"/>
          <w:sz w:val="24"/>
        </w:rPr>
        <w:t>提供的投标文件格式，理解文件中的每一项要求。</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rPr>
      </w:pPr>
      <w:r>
        <w:rPr>
          <w:rFonts w:hint="eastAsia" w:ascii="宋体" w:hAnsi="宋体"/>
          <w:sz w:val="24"/>
        </w:rPr>
        <w:t>2、投标文件的编制须按照样本格式提供的内容，做出逐一明确的答复；投标人认为有必要，还可以做其它补充说明。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rPr>
      </w:pPr>
      <w:r>
        <w:rPr>
          <w:rFonts w:hint="eastAsia" w:ascii="宋体" w:hAnsi="宋体"/>
          <w:sz w:val="24"/>
        </w:rPr>
        <w:t>3、全部编制完成，并加盖印章后，按规定分别装订成册。</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rPr>
      </w:pPr>
      <w:r>
        <w:rPr>
          <w:rFonts w:hint="eastAsia" w:ascii="宋体" w:hAnsi="宋体"/>
          <w:sz w:val="24"/>
        </w:rPr>
        <w:t>4、未按招标文件提供的投标文件格式制作投标文件的，视为无实质性响应招标文件。</w:t>
      </w:r>
    </w:p>
    <w:p>
      <w:pPr>
        <w:spacing w:line="400" w:lineRule="exact"/>
        <w:ind w:firstLine="570"/>
        <w:rPr>
          <w:rFonts w:ascii="宋体" w:hAnsi="宋体"/>
          <w:b/>
          <w:sz w:val="24"/>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spacing w:line="400" w:lineRule="exact"/>
        <w:ind w:firstLine="570"/>
        <w:rPr>
          <w:rFonts w:ascii="仿宋_GB2312" w:hAnsi="宋体" w:eastAsia="仿宋_GB2312"/>
          <w:b/>
          <w:sz w:val="28"/>
          <w:szCs w:val="28"/>
        </w:rPr>
      </w:pPr>
    </w:p>
    <w:p>
      <w:pPr>
        <w:pStyle w:val="5"/>
        <w:spacing w:beforeLines="50"/>
        <w:ind w:firstLine="6831" w:firstLineChars="2430"/>
        <w:rPr>
          <w:rFonts w:hint="eastAsia" w:ascii="宋体" w:hAnsi="宋体"/>
          <w:b/>
          <w:sz w:val="28"/>
          <w:szCs w:val="28"/>
        </w:rPr>
      </w:pPr>
      <w:bookmarkStart w:id="194" w:name="_Toc531253660"/>
      <w:bookmarkStart w:id="195" w:name="_Toc217446082"/>
    </w:p>
    <w:p>
      <w:pPr>
        <w:pStyle w:val="5"/>
        <w:spacing w:beforeLines="50"/>
        <w:ind w:firstLine="6831" w:firstLineChars="2430"/>
        <w:rPr>
          <w:rFonts w:hint="eastAsia" w:ascii="宋体" w:hAnsi="宋体"/>
          <w:b/>
          <w:sz w:val="28"/>
          <w:szCs w:val="28"/>
        </w:rPr>
      </w:pPr>
    </w:p>
    <w:p>
      <w:pPr>
        <w:pStyle w:val="5"/>
        <w:spacing w:beforeLines="50"/>
        <w:ind w:firstLine="6831" w:firstLineChars="2430"/>
        <w:rPr>
          <w:rFonts w:ascii="宋体" w:hAnsi="宋体"/>
          <w:b/>
          <w:sz w:val="28"/>
          <w:szCs w:val="28"/>
        </w:rPr>
      </w:pPr>
      <w:r>
        <w:rPr>
          <w:rFonts w:hint="eastAsia" w:ascii="宋体" w:hAnsi="宋体"/>
          <w:b/>
          <w:sz w:val="28"/>
          <w:szCs w:val="28"/>
        </w:rPr>
        <w:t>正本/副本</w:t>
      </w:r>
      <w:bookmarkEnd w:id="194"/>
    </w:p>
    <w:p>
      <w:pPr>
        <w:pStyle w:val="5"/>
        <w:spacing w:beforeLines="50"/>
        <w:ind w:firstLine="0"/>
        <w:rPr>
          <w:rFonts w:ascii="宋体" w:hAnsi="宋体"/>
          <w:b/>
          <w:sz w:val="28"/>
          <w:szCs w:val="28"/>
        </w:rPr>
      </w:pPr>
      <w:r>
        <w:rPr>
          <w:rFonts w:hint="eastAsia" w:ascii="宋体" w:hAnsi="宋体"/>
          <w:b/>
          <w:sz w:val="28"/>
          <w:szCs w:val="28"/>
        </w:rPr>
        <w:t xml:space="preserve">政府采购项目 </w:t>
      </w:r>
    </w:p>
    <w:p>
      <w:pPr>
        <w:pStyle w:val="5"/>
        <w:spacing w:beforeLines="50"/>
        <w:ind w:firstLine="0"/>
        <w:rPr>
          <w:rFonts w:hint="default" w:ascii="宋体" w:hAnsi="宋体" w:eastAsia="宋体"/>
          <w:b/>
          <w:sz w:val="28"/>
          <w:szCs w:val="28"/>
          <w:lang w:val="en-US" w:eastAsia="zh-CN"/>
        </w:rPr>
      </w:pPr>
      <w:r>
        <w:rPr>
          <w:rFonts w:hint="eastAsia" w:ascii="宋体" w:hAnsi="宋体"/>
          <w:b/>
          <w:sz w:val="28"/>
          <w:szCs w:val="28"/>
        </w:rPr>
        <w:t>采购项目编</w:t>
      </w:r>
      <w:r>
        <w:rPr>
          <w:rFonts w:hint="eastAsia" w:ascii="宋体" w:hAnsi="宋体"/>
          <w:b/>
          <w:color w:val="auto"/>
          <w:sz w:val="28"/>
          <w:szCs w:val="28"/>
        </w:rPr>
        <w:t>号：</w:t>
      </w:r>
      <w:r>
        <w:rPr>
          <w:rFonts w:hint="eastAsia" w:ascii="宋体" w:hAnsi="宋体"/>
          <w:b/>
          <w:color w:val="auto"/>
          <w:sz w:val="28"/>
          <w:szCs w:val="28"/>
          <w:lang w:eastAsia="zh-CN"/>
        </w:rPr>
        <w:t>TZZB-2022063C</w:t>
      </w:r>
    </w:p>
    <w:p>
      <w:pPr>
        <w:rPr>
          <w:rFonts w:ascii="宋体" w:hAnsi="宋体"/>
          <w:b/>
          <w:sz w:val="52"/>
          <w:szCs w:val="52"/>
        </w:rPr>
      </w:pPr>
    </w:p>
    <w:p>
      <w:pPr>
        <w:pStyle w:val="17"/>
        <w:adjustRightInd w:val="0"/>
        <w:snapToGrid w:val="0"/>
        <w:spacing w:line="360" w:lineRule="auto"/>
        <w:jc w:val="center"/>
        <w:rPr>
          <w:rFonts w:ascii="黑体" w:hAnsi="华文中宋" w:eastAsia="黑体"/>
          <w:sz w:val="76"/>
          <w:szCs w:val="84"/>
        </w:rPr>
      </w:pPr>
      <w:r>
        <w:rPr>
          <w:rFonts w:hint="eastAsia" w:hAnsi="宋体" w:eastAsia="黑体"/>
          <w:b/>
          <w:sz w:val="48"/>
          <w:szCs w:val="44"/>
          <w:lang w:eastAsia="zh-CN"/>
        </w:rPr>
        <w:t>经开区2022年直属公办学校、幼儿园设施设备政府采购项目（课桌椅）</w:t>
      </w:r>
    </w:p>
    <w:p>
      <w:pPr>
        <w:pStyle w:val="17"/>
        <w:adjustRightInd w:val="0"/>
        <w:snapToGrid w:val="0"/>
        <w:spacing w:line="360" w:lineRule="auto"/>
        <w:jc w:val="both"/>
        <w:rPr>
          <w:rFonts w:hint="eastAsia" w:hAnsi="宋体"/>
          <w:b/>
          <w:sz w:val="84"/>
          <w:szCs w:val="84"/>
        </w:rPr>
      </w:pPr>
    </w:p>
    <w:p>
      <w:pPr>
        <w:pStyle w:val="17"/>
        <w:adjustRightInd w:val="0"/>
        <w:snapToGrid w:val="0"/>
        <w:spacing w:line="360" w:lineRule="auto"/>
        <w:jc w:val="center"/>
        <w:rPr>
          <w:rFonts w:hAnsi="宋体"/>
          <w:b/>
          <w:sz w:val="84"/>
          <w:szCs w:val="84"/>
        </w:rPr>
      </w:pPr>
      <w:r>
        <w:rPr>
          <w:rFonts w:hint="eastAsia" w:hAnsi="宋体"/>
          <w:b/>
          <w:sz w:val="84"/>
          <w:szCs w:val="84"/>
        </w:rPr>
        <w:t>投标文件</w:t>
      </w:r>
    </w:p>
    <w:p>
      <w:pPr>
        <w:pStyle w:val="5"/>
        <w:rPr>
          <w:sz w:val="28"/>
          <w:szCs w:val="28"/>
        </w:rPr>
      </w:pPr>
    </w:p>
    <w:p>
      <w:pPr>
        <w:pStyle w:val="5"/>
        <w:rPr>
          <w:sz w:val="28"/>
          <w:szCs w:val="28"/>
        </w:rPr>
      </w:pPr>
    </w:p>
    <w:p>
      <w:pPr>
        <w:pStyle w:val="5"/>
        <w:spacing w:beforeLines="50"/>
        <w:ind w:firstLine="1630" w:firstLineChars="580"/>
        <w:rPr>
          <w:rFonts w:ascii="宋体" w:hAnsi="宋体"/>
          <w:b/>
          <w:sz w:val="28"/>
          <w:szCs w:val="28"/>
        </w:rPr>
      </w:pPr>
    </w:p>
    <w:p>
      <w:pPr>
        <w:pStyle w:val="5"/>
        <w:spacing w:beforeLines="50"/>
        <w:ind w:firstLine="1630" w:firstLineChars="580"/>
        <w:rPr>
          <w:rFonts w:ascii="宋体" w:hAnsi="宋体"/>
          <w:b/>
          <w:sz w:val="28"/>
          <w:szCs w:val="28"/>
        </w:rPr>
      </w:pPr>
    </w:p>
    <w:p>
      <w:pPr>
        <w:pStyle w:val="5"/>
        <w:spacing w:beforeLines="50"/>
        <w:ind w:firstLine="1630" w:firstLineChars="580"/>
        <w:rPr>
          <w:rFonts w:ascii="宋体" w:hAnsi="宋体"/>
          <w:b/>
          <w:bCs/>
          <w:sz w:val="28"/>
          <w:szCs w:val="28"/>
        </w:rPr>
      </w:pPr>
      <w:r>
        <w:rPr>
          <w:rFonts w:hint="eastAsia" w:ascii="宋体" w:hAnsi="宋体"/>
          <w:b/>
          <w:bCs/>
          <w:sz w:val="28"/>
          <w:szCs w:val="28"/>
        </w:rPr>
        <w:t>投  标 人：</w:t>
      </w:r>
      <w:r>
        <w:rPr>
          <w:rFonts w:hint="eastAsia" w:ascii="宋体" w:hAnsi="宋体"/>
          <w:b/>
          <w:bCs/>
          <w:sz w:val="28"/>
          <w:szCs w:val="28"/>
          <w:u w:val="single"/>
        </w:rPr>
        <w:t xml:space="preserve">                       </w:t>
      </w:r>
      <w:r>
        <w:rPr>
          <w:rFonts w:hint="eastAsia" w:ascii="宋体" w:hAnsi="宋体"/>
          <w:b/>
          <w:bCs/>
          <w:sz w:val="28"/>
          <w:szCs w:val="28"/>
        </w:rPr>
        <w:t>（盖章）</w:t>
      </w:r>
    </w:p>
    <w:p>
      <w:pPr>
        <w:pStyle w:val="5"/>
        <w:spacing w:beforeLines="50"/>
        <w:ind w:firstLine="1630" w:firstLineChars="580"/>
        <w:rPr>
          <w:rFonts w:ascii="宋体" w:hAnsi="宋体"/>
          <w:b/>
          <w:bCs/>
          <w:sz w:val="28"/>
          <w:szCs w:val="28"/>
        </w:rPr>
      </w:pPr>
      <w:r>
        <w:rPr>
          <w:rFonts w:hint="eastAsia" w:ascii="宋体" w:hAnsi="宋体"/>
          <w:b/>
          <w:sz w:val="28"/>
          <w:szCs w:val="28"/>
        </w:rPr>
        <w:t>法定代表人/授权代表：</w:t>
      </w:r>
      <w:r>
        <w:rPr>
          <w:rFonts w:hint="eastAsia" w:ascii="宋体" w:hAnsi="宋体"/>
          <w:b/>
          <w:sz w:val="28"/>
          <w:szCs w:val="28"/>
          <w:u w:val="single"/>
        </w:rPr>
        <w:t xml:space="preserve">             </w:t>
      </w:r>
      <w:r>
        <w:rPr>
          <w:rFonts w:hint="eastAsia" w:ascii="宋体" w:hAnsi="宋体"/>
          <w:b/>
          <w:bCs/>
          <w:sz w:val="28"/>
          <w:szCs w:val="28"/>
        </w:rPr>
        <w:t>（签字</w:t>
      </w:r>
      <w:r>
        <w:rPr>
          <w:rFonts w:hint="eastAsia" w:ascii="宋体" w:hAnsi="宋体"/>
          <w:b/>
          <w:bCs/>
          <w:sz w:val="28"/>
          <w:szCs w:val="28"/>
          <w:lang w:eastAsia="zh-CN"/>
        </w:rPr>
        <w:t>或盖章</w:t>
      </w:r>
      <w:r>
        <w:rPr>
          <w:rFonts w:hint="eastAsia" w:ascii="宋体" w:hAnsi="宋体"/>
          <w:b/>
          <w:bCs/>
          <w:sz w:val="28"/>
          <w:szCs w:val="28"/>
        </w:rPr>
        <w:t>）</w:t>
      </w:r>
    </w:p>
    <w:p>
      <w:pPr>
        <w:pStyle w:val="5"/>
        <w:spacing w:beforeLines="50"/>
        <w:ind w:firstLine="1630" w:firstLineChars="580"/>
        <w:rPr>
          <w:rFonts w:ascii="宋体" w:hAnsi="宋体"/>
          <w:b/>
          <w:bCs/>
          <w:sz w:val="28"/>
          <w:szCs w:val="28"/>
        </w:rPr>
      </w:pPr>
      <w:r>
        <w:rPr>
          <w:rFonts w:hint="eastAsia" w:ascii="宋体" w:hAnsi="宋体"/>
          <w:b/>
          <w:bCs/>
          <w:sz w:val="28"/>
          <w:szCs w:val="28"/>
        </w:rPr>
        <w:t>日    期：</w:t>
      </w:r>
      <w:r>
        <w:rPr>
          <w:rFonts w:hint="eastAsia" w:ascii="宋体" w:hAnsi="宋体"/>
          <w:b/>
          <w:bCs/>
          <w:sz w:val="28"/>
          <w:szCs w:val="28"/>
          <w:u w:val="single"/>
        </w:rPr>
        <w:t xml:space="preserve">         </w:t>
      </w:r>
      <w:r>
        <w:rPr>
          <w:rFonts w:hint="eastAsia" w:ascii="宋体" w:hAnsi="宋体"/>
          <w:b/>
          <w:bCs/>
          <w:sz w:val="28"/>
          <w:szCs w:val="28"/>
        </w:rPr>
        <w:t>年</w:t>
      </w:r>
      <w:r>
        <w:rPr>
          <w:rFonts w:hint="eastAsia" w:ascii="宋体" w:hAnsi="宋体"/>
          <w:b/>
          <w:bCs/>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hint="eastAsia" w:ascii="宋体" w:hAnsi="宋体"/>
          <w:b/>
          <w:bCs/>
          <w:sz w:val="28"/>
          <w:szCs w:val="28"/>
        </w:rPr>
        <w:t>日</w:t>
      </w:r>
    </w:p>
    <w:p>
      <w:pPr>
        <w:pStyle w:val="5"/>
        <w:spacing w:beforeLines="50"/>
        <w:ind w:firstLine="2088" w:firstLineChars="580"/>
        <w:rPr>
          <w:rFonts w:ascii="仿宋_GB2312" w:eastAsia="仿宋_GB2312"/>
          <w:sz w:val="36"/>
          <w:szCs w:val="36"/>
        </w:rPr>
      </w:pPr>
    </w:p>
    <w:p>
      <w:pPr>
        <w:pStyle w:val="5"/>
        <w:spacing w:beforeLines="50"/>
        <w:ind w:firstLine="2088" w:firstLineChars="580"/>
        <w:rPr>
          <w:rFonts w:ascii="仿宋_GB2312" w:eastAsia="仿宋_GB2312"/>
          <w:sz w:val="36"/>
          <w:szCs w:val="36"/>
        </w:rPr>
      </w:pPr>
    </w:p>
    <w:p>
      <w:pPr>
        <w:pStyle w:val="5"/>
        <w:spacing w:beforeLines="50" w:afterLines="50"/>
        <w:ind w:firstLine="0"/>
        <w:jc w:val="center"/>
        <w:rPr>
          <w:b/>
          <w:sz w:val="44"/>
          <w:szCs w:val="44"/>
        </w:rPr>
      </w:pPr>
    </w:p>
    <w:p>
      <w:pPr>
        <w:pStyle w:val="5"/>
        <w:spacing w:beforeLines="50" w:afterLines="50"/>
        <w:ind w:firstLine="0"/>
        <w:jc w:val="center"/>
        <w:rPr>
          <w:b/>
          <w:sz w:val="44"/>
          <w:szCs w:val="44"/>
        </w:rPr>
      </w:pPr>
    </w:p>
    <w:p>
      <w:pPr>
        <w:pStyle w:val="5"/>
        <w:spacing w:beforeLines="50" w:afterLines="50"/>
        <w:ind w:firstLine="0"/>
        <w:jc w:val="center"/>
        <w:rPr>
          <w:b/>
          <w:sz w:val="44"/>
          <w:szCs w:val="44"/>
        </w:rPr>
      </w:pPr>
    </w:p>
    <w:p>
      <w:pPr>
        <w:pStyle w:val="5"/>
        <w:spacing w:beforeLines="50" w:afterLines="50"/>
        <w:ind w:firstLine="3975" w:firstLineChars="900"/>
        <w:jc w:val="both"/>
        <w:rPr>
          <w:b/>
          <w:sz w:val="44"/>
          <w:szCs w:val="44"/>
        </w:rPr>
      </w:pPr>
      <w:r>
        <w:rPr>
          <w:rFonts w:hint="eastAsia"/>
          <w:b/>
          <w:sz w:val="44"/>
          <w:szCs w:val="44"/>
        </w:rPr>
        <w:t>目  录</w:t>
      </w:r>
    </w:p>
    <w:p>
      <w:pPr>
        <w:spacing w:line="360" w:lineRule="auto"/>
        <w:rPr>
          <w:b/>
          <w:sz w:val="24"/>
        </w:rPr>
      </w:pPr>
    </w:p>
    <w:p>
      <w:pPr>
        <w:spacing w:line="360" w:lineRule="auto"/>
        <w:ind w:firstLine="960" w:firstLineChars="400"/>
        <w:rPr>
          <w:rFonts w:ascii="宋体" w:hAnsi="宋体"/>
          <w:b/>
          <w:bCs/>
          <w:sz w:val="24"/>
          <w:lang w:val="zh-CN"/>
        </w:rPr>
      </w:pPr>
      <w:r>
        <w:rPr>
          <w:rFonts w:hint="eastAsia" w:ascii="宋体" w:hAnsi="宋体"/>
          <w:sz w:val="24"/>
        </w:rPr>
        <w:t xml:space="preserve">    </w:t>
      </w:r>
    </w:p>
    <w:p>
      <w:pPr>
        <w:spacing w:line="360" w:lineRule="auto"/>
        <w:ind w:firstLine="964" w:firstLineChars="400"/>
        <w:rPr>
          <w:rFonts w:ascii="宋体" w:hAnsi="宋体"/>
          <w:b/>
          <w:sz w:val="24"/>
        </w:rPr>
      </w:pPr>
      <w:r>
        <w:rPr>
          <w:rFonts w:hint="eastAsia" w:ascii="宋体" w:hAnsi="宋体"/>
          <w:b/>
          <w:sz w:val="24"/>
        </w:rPr>
        <w:t>一、 投标函 （格式）………………………………………页码</w:t>
      </w:r>
    </w:p>
    <w:p>
      <w:pPr>
        <w:spacing w:line="360" w:lineRule="auto"/>
        <w:ind w:firstLine="964" w:firstLineChars="400"/>
        <w:rPr>
          <w:rFonts w:ascii="宋体" w:hAnsi="宋体"/>
          <w:b/>
          <w:sz w:val="24"/>
        </w:rPr>
      </w:pPr>
      <w:r>
        <w:rPr>
          <w:rFonts w:hint="eastAsia" w:ascii="宋体" w:hAnsi="宋体"/>
          <w:b/>
          <w:sz w:val="24"/>
        </w:rPr>
        <w:t>二、 开标一览表 ……………………………………………</w:t>
      </w:r>
      <w:r>
        <w:rPr>
          <w:rFonts w:hint="eastAsia" w:ascii="宋体" w:hAnsi="宋体"/>
          <w:b/>
          <w:sz w:val="24"/>
          <w:lang w:val="en-US" w:eastAsia="zh-CN"/>
        </w:rPr>
        <w:t xml:space="preserve"> </w:t>
      </w:r>
      <w:r>
        <w:rPr>
          <w:rFonts w:hint="eastAsia" w:ascii="宋体" w:hAnsi="宋体"/>
          <w:b/>
          <w:sz w:val="24"/>
        </w:rPr>
        <w:t>页码</w:t>
      </w:r>
    </w:p>
    <w:p>
      <w:pPr>
        <w:spacing w:line="360" w:lineRule="auto"/>
        <w:ind w:firstLine="964" w:firstLineChars="400"/>
        <w:rPr>
          <w:rFonts w:ascii="宋体" w:hAnsi="宋体"/>
          <w:b/>
          <w:sz w:val="24"/>
        </w:rPr>
      </w:pPr>
      <w:r>
        <w:rPr>
          <w:rFonts w:ascii="宋体" w:hAnsi="宋体"/>
          <w:b/>
          <w:sz w:val="24"/>
        </w:rPr>
        <w:t>三、</w:t>
      </w:r>
      <w:r>
        <w:rPr>
          <w:rFonts w:hint="eastAsia" w:ascii="宋体" w:hAnsi="宋体"/>
          <w:b/>
          <w:sz w:val="24"/>
        </w:rPr>
        <w:t xml:space="preserve"> </w:t>
      </w:r>
      <w:r>
        <w:rPr>
          <w:rFonts w:ascii="宋体" w:hAnsi="宋体"/>
          <w:b/>
          <w:sz w:val="24"/>
        </w:rPr>
        <w:t>货物（产品）分项报价表 …………………………</w:t>
      </w:r>
      <w:r>
        <w:rPr>
          <w:rFonts w:hint="eastAsia" w:ascii="宋体" w:hAnsi="宋体"/>
          <w:b/>
          <w:sz w:val="24"/>
        </w:rPr>
        <w:t>…页码</w:t>
      </w:r>
    </w:p>
    <w:p>
      <w:pPr>
        <w:spacing w:line="360" w:lineRule="auto"/>
        <w:ind w:firstLine="964" w:firstLineChars="400"/>
        <w:rPr>
          <w:rFonts w:ascii="宋体" w:hAnsi="宋体"/>
          <w:b/>
          <w:sz w:val="24"/>
        </w:rPr>
      </w:pPr>
      <w:r>
        <w:rPr>
          <w:rFonts w:ascii="宋体" w:hAnsi="宋体"/>
          <w:b/>
          <w:sz w:val="24"/>
        </w:rPr>
        <w:t>四、</w:t>
      </w:r>
      <w:r>
        <w:rPr>
          <w:rFonts w:hint="eastAsia" w:ascii="宋体" w:hAnsi="宋体"/>
          <w:b/>
          <w:sz w:val="24"/>
        </w:rPr>
        <w:t xml:space="preserve"> 节能环保、环境标志产品明细表</w:t>
      </w:r>
      <w:r>
        <w:rPr>
          <w:rFonts w:ascii="宋体" w:hAnsi="宋体"/>
          <w:b/>
          <w:sz w:val="24"/>
        </w:rPr>
        <w:t>…………………</w:t>
      </w:r>
      <w:r>
        <w:rPr>
          <w:rFonts w:hint="eastAsia" w:ascii="宋体" w:hAnsi="宋体"/>
          <w:b/>
          <w:sz w:val="24"/>
        </w:rPr>
        <w:t>……页码</w:t>
      </w:r>
    </w:p>
    <w:p>
      <w:pPr>
        <w:spacing w:line="360" w:lineRule="auto"/>
        <w:ind w:firstLine="964" w:firstLineChars="400"/>
        <w:rPr>
          <w:rFonts w:ascii="宋体" w:hAnsi="宋体"/>
          <w:b/>
          <w:sz w:val="24"/>
        </w:rPr>
      </w:pPr>
      <w:r>
        <w:rPr>
          <w:rFonts w:hint="eastAsia" w:ascii="宋体" w:hAnsi="宋体"/>
          <w:b/>
          <w:sz w:val="24"/>
          <w:lang w:eastAsia="zh-CN"/>
        </w:rPr>
        <w:t>五</w:t>
      </w:r>
      <w:r>
        <w:rPr>
          <w:rFonts w:ascii="宋体" w:hAnsi="宋体"/>
          <w:b/>
          <w:sz w:val="24"/>
        </w:rPr>
        <w:t>、</w:t>
      </w:r>
      <w:r>
        <w:rPr>
          <w:rFonts w:hint="eastAsia" w:ascii="宋体" w:hAnsi="宋体"/>
          <w:b/>
          <w:sz w:val="24"/>
        </w:rPr>
        <w:t xml:space="preserve"> </w:t>
      </w:r>
      <w:r>
        <w:rPr>
          <w:rFonts w:ascii="宋体" w:hAnsi="宋体"/>
          <w:b/>
          <w:sz w:val="24"/>
        </w:rPr>
        <w:t>技术规格偏离表 ………………………………………</w:t>
      </w:r>
      <w:r>
        <w:rPr>
          <w:rFonts w:hint="eastAsia" w:ascii="宋体" w:hAnsi="宋体"/>
          <w:b/>
          <w:sz w:val="24"/>
        </w:rPr>
        <w:t>页码</w:t>
      </w:r>
    </w:p>
    <w:p>
      <w:pPr>
        <w:spacing w:line="360" w:lineRule="auto"/>
        <w:ind w:firstLine="964" w:firstLineChars="400"/>
        <w:rPr>
          <w:rFonts w:ascii="宋体" w:hAnsi="宋体"/>
          <w:b/>
          <w:sz w:val="24"/>
        </w:rPr>
      </w:pPr>
      <w:r>
        <w:rPr>
          <w:rFonts w:hint="eastAsia" w:ascii="宋体" w:hAnsi="宋体"/>
          <w:b/>
          <w:sz w:val="24"/>
          <w:lang w:eastAsia="zh-CN"/>
        </w:rPr>
        <w:t>六</w:t>
      </w:r>
      <w:r>
        <w:rPr>
          <w:rFonts w:hint="eastAsia" w:ascii="宋体" w:hAnsi="宋体"/>
          <w:b/>
          <w:sz w:val="24"/>
        </w:rPr>
        <w:t>、 商务要求偏离表 ………………………………………页码</w:t>
      </w:r>
    </w:p>
    <w:p>
      <w:pPr>
        <w:spacing w:line="360" w:lineRule="auto"/>
        <w:ind w:firstLine="964" w:firstLineChars="400"/>
        <w:rPr>
          <w:rFonts w:ascii="宋体" w:hAnsi="宋体"/>
          <w:b/>
          <w:sz w:val="24"/>
        </w:rPr>
      </w:pPr>
      <w:r>
        <w:rPr>
          <w:rFonts w:hint="eastAsia" w:ascii="宋体" w:hAnsi="宋体"/>
          <w:b/>
          <w:sz w:val="24"/>
          <w:lang w:eastAsia="zh-CN"/>
        </w:rPr>
        <w:t>七</w:t>
      </w:r>
      <w:r>
        <w:rPr>
          <w:rFonts w:hint="eastAsia" w:ascii="宋体" w:hAnsi="宋体"/>
          <w:b/>
          <w:sz w:val="24"/>
        </w:rPr>
        <w:t>、 技术方案 ………………………………………………页码</w:t>
      </w:r>
    </w:p>
    <w:p>
      <w:pPr>
        <w:spacing w:line="360" w:lineRule="auto"/>
        <w:ind w:firstLine="964" w:firstLineChars="400"/>
        <w:rPr>
          <w:rFonts w:ascii="宋体" w:hAnsi="宋体"/>
          <w:b/>
          <w:sz w:val="24"/>
        </w:rPr>
      </w:pPr>
      <w:r>
        <w:rPr>
          <w:rFonts w:hint="eastAsia" w:ascii="宋体" w:hAnsi="宋体"/>
          <w:b/>
          <w:sz w:val="24"/>
          <w:lang w:eastAsia="zh-CN"/>
        </w:rPr>
        <w:t>八</w:t>
      </w:r>
      <w:r>
        <w:rPr>
          <w:rFonts w:hint="eastAsia" w:ascii="宋体" w:hAnsi="宋体"/>
          <w:b/>
          <w:sz w:val="24"/>
        </w:rPr>
        <w:t>、 投标人资格证明文件 …………………………………页码</w:t>
      </w:r>
    </w:p>
    <w:p>
      <w:pPr>
        <w:spacing w:line="360" w:lineRule="auto"/>
        <w:ind w:firstLine="964" w:firstLineChars="400"/>
        <w:rPr>
          <w:rFonts w:ascii="宋体" w:hAnsi="宋体"/>
          <w:b/>
          <w:sz w:val="24"/>
        </w:rPr>
      </w:pPr>
      <w:r>
        <w:rPr>
          <w:rFonts w:hint="eastAsia" w:ascii="宋体" w:hAnsi="宋体"/>
          <w:b/>
          <w:sz w:val="24"/>
          <w:lang w:eastAsia="zh-CN"/>
        </w:rPr>
        <w:t>九</w:t>
      </w:r>
      <w:r>
        <w:rPr>
          <w:rFonts w:hint="eastAsia" w:ascii="宋体" w:hAnsi="宋体"/>
          <w:b/>
          <w:sz w:val="24"/>
        </w:rPr>
        <w:t>、近年业绩的有关证明材料………………………………页码</w:t>
      </w:r>
    </w:p>
    <w:p>
      <w:pPr>
        <w:spacing w:line="360" w:lineRule="auto"/>
        <w:ind w:firstLine="964" w:firstLineChars="400"/>
        <w:rPr>
          <w:rFonts w:ascii="宋体" w:hAnsi="宋体"/>
          <w:b/>
          <w:sz w:val="24"/>
        </w:rPr>
      </w:pPr>
      <w:r>
        <w:rPr>
          <w:rFonts w:hint="eastAsia" w:ascii="宋体" w:hAnsi="宋体"/>
          <w:b/>
          <w:sz w:val="24"/>
        </w:rPr>
        <w:t>十、投标人企业关系关联承诺书…………………………页码</w:t>
      </w:r>
    </w:p>
    <w:p>
      <w:pPr>
        <w:spacing w:line="360" w:lineRule="auto"/>
        <w:ind w:firstLine="964" w:firstLineChars="400"/>
        <w:rPr>
          <w:rFonts w:ascii="宋体" w:hAnsi="宋体"/>
          <w:b/>
          <w:sz w:val="24"/>
        </w:rPr>
      </w:pPr>
      <w:r>
        <w:rPr>
          <w:rFonts w:hint="eastAsia" w:ascii="宋体" w:hAnsi="宋体"/>
          <w:b/>
          <w:sz w:val="24"/>
        </w:rPr>
        <w:t>十</w:t>
      </w:r>
      <w:r>
        <w:rPr>
          <w:rFonts w:hint="eastAsia" w:ascii="宋体" w:hAnsi="宋体"/>
          <w:b/>
          <w:sz w:val="24"/>
          <w:lang w:eastAsia="zh-CN"/>
        </w:rPr>
        <w:t>一</w:t>
      </w:r>
      <w:r>
        <w:rPr>
          <w:rFonts w:hint="eastAsia" w:ascii="宋体" w:hAnsi="宋体"/>
          <w:b/>
          <w:sz w:val="24"/>
        </w:rPr>
        <w:t>、拒绝政府采购领域商业贿赂承诺书…………………页码</w:t>
      </w:r>
    </w:p>
    <w:p>
      <w:pPr>
        <w:spacing w:line="360" w:lineRule="auto"/>
        <w:ind w:left="1539" w:leftChars="456" w:hanging="581" w:hangingChars="241"/>
        <w:rPr>
          <w:rFonts w:ascii="宋体" w:hAnsi="宋体"/>
          <w:b/>
          <w:sz w:val="24"/>
        </w:rPr>
      </w:pPr>
      <w:r>
        <w:rPr>
          <w:rFonts w:hint="eastAsia" w:ascii="宋体" w:hAnsi="宋体"/>
          <w:b/>
          <w:sz w:val="24"/>
        </w:rPr>
        <w:t>十</w:t>
      </w:r>
      <w:r>
        <w:rPr>
          <w:rFonts w:hint="eastAsia" w:ascii="宋体" w:hAnsi="宋体"/>
          <w:b/>
          <w:sz w:val="24"/>
          <w:lang w:eastAsia="zh-CN"/>
        </w:rPr>
        <w:t>二</w:t>
      </w:r>
      <w:r>
        <w:rPr>
          <w:rFonts w:hint="eastAsia" w:ascii="宋体" w:hAnsi="宋体"/>
          <w:b/>
          <w:sz w:val="24"/>
        </w:rPr>
        <w:t>、落实政府采购政策需提供的相关</w:t>
      </w:r>
      <w:r>
        <w:rPr>
          <w:rFonts w:hint="eastAsia" w:ascii="宋体" w:hAnsi="宋体"/>
          <w:b/>
          <w:sz w:val="24"/>
          <w:lang w:eastAsia="zh-CN"/>
        </w:rPr>
        <w:t>资料</w:t>
      </w:r>
      <w:r>
        <w:rPr>
          <w:rFonts w:hint="eastAsia" w:ascii="宋体" w:hAnsi="宋体"/>
          <w:b/>
          <w:sz w:val="24"/>
        </w:rPr>
        <w:t>及投标人</w:t>
      </w:r>
      <w:r>
        <w:rPr>
          <w:rFonts w:ascii="宋体" w:hAnsi="宋体"/>
          <w:b/>
          <w:sz w:val="24"/>
        </w:rPr>
        <w:t>认为有</w:t>
      </w:r>
    </w:p>
    <w:p>
      <w:pPr>
        <w:spacing w:line="360" w:lineRule="auto"/>
        <w:ind w:left="1535" w:leftChars="731" w:firstLine="236" w:firstLineChars="98"/>
        <w:rPr>
          <w:rFonts w:ascii="宋体" w:hAnsi="宋体"/>
          <w:b/>
          <w:sz w:val="24"/>
        </w:rPr>
        <w:sectPr>
          <w:headerReference r:id="rId17" w:type="first"/>
          <w:footerReference r:id="rId19" w:type="first"/>
          <w:headerReference r:id="rId16" w:type="default"/>
          <w:footerReference r:id="rId18" w:type="default"/>
          <w:pgSz w:w="11906" w:h="16838"/>
          <w:pgMar w:top="1418" w:right="1418" w:bottom="1418" w:left="1418" w:header="851" w:footer="992" w:gutter="0"/>
          <w:pgNumType w:fmt="decimal"/>
          <w:cols w:space="720" w:num="1"/>
          <w:titlePg/>
          <w:docGrid w:linePitch="312" w:charSpace="0"/>
        </w:sectPr>
      </w:pPr>
      <w:r>
        <w:rPr>
          <w:rFonts w:ascii="宋体" w:hAnsi="宋体"/>
          <w:b/>
          <w:sz w:val="24"/>
        </w:rPr>
        <w:t>必要</w:t>
      </w:r>
      <w:r>
        <w:rPr>
          <w:rFonts w:hint="eastAsia" w:ascii="宋体" w:hAnsi="宋体"/>
          <w:b/>
          <w:sz w:val="24"/>
          <w:lang w:eastAsia="zh-CN"/>
        </w:rPr>
        <w:t>提供的其它资料</w:t>
      </w:r>
      <w:r>
        <w:rPr>
          <w:rFonts w:hint="eastAsia" w:ascii="宋体" w:hAnsi="宋体"/>
          <w:b/>
          <w:sz w:val="24"/>
        </w:rPr>
        <w:t>…………………………………页码</w:t>
      </w:r>
    </w:p>
    <w:bookmarkEnd w:id="195"/>
    <w:p>
      <w:pPr>
        <w:pStyle w:val="4"/>
        <w:spacing w:before="0" w:afterLines="50" w:line="360" w:lineRule="auto"/>
        <w:jc w:val="center"/>
        <w:rPr>
          <w:rFonts w:ascii="宋体" w:hAnsi="宋体" w:eastAsia="宋体"/>
          <w:bCs/>
        </w:rPr>
      </w:pPr>
      <w:bookmarkStart w:id="196" w:name="_Toc23011"/>
      <w:bookmarkStart w:id="197" w:name="_Toc26825"/>
      <w:r>
        <w:rPr>
          <w:rFonts w:hint="eastAsia" w:ascii="宋体" w:hAnsi="宋体" w:eastAsia="宋体"/>
          <w:bCs/>
        </w:rPr>
        <w:t>一、投标函（格式）</w:t>
      </w:r>
      <w:bookmarkEnd w:id="196"/>
      <w:bookmarkEnd w:id="197"/>
    </w:p>
    <w:p>
      <w:pPr>
        <w:pStyle w:val="80"/>
        <w:spacing w:line="360" w:lineRule="exact"/>
        <w:rPr>
          <w:rFonts w:ascii="宋体" w:hAnsi="宋体"/>
          <w:b/>
          <w:bCs/>
          <w:sz w:val="24"/>
          <w:szCs w:val="24"/>
        </w:rPr>
      </w:pPr>
      <w:r>
        <w:rPr>
          <w:rFonts w:hint="eastAsia" w:ascii="宋体" w:hAnsi="宋体"/>
          <w:b/>
          <w:bCs/>
          <w:sz w:val="24"/>
          <w:szCs w:val="24"/>
          <w:lang w:eastAsia="zh-CN"/>
        </w:rPr>
        <w:t>同正项目管理有限公司</w:t>
      </w:r>
      <w:r>
        <w:rPr>
          <w:rFonts w:hint="eastAsia" w:ascii="宋体" w:hAnsi="宋体"/>
          <w:b/>
          <w:bCs/>
          <w:sz w:val="24"/>
          <w:szCs w:val="24"/>
        </w:rPr>
        <w:t>：</w:t>
      </w:r>
    </w:p>
    <w:p>
      <w:pPr>
        <w:pStyle w:val="80"/>
        <w:spacing w:line="360" w:lineRule="exact"/>
        <w:ind w:firstLine="480" w:firstLineChars="200"/>
        <w:rPr>
          <w:rFonts w:ascii="宋体" w:hAnsi="宋体"/>
          <w:sz w:val="24"/>
          <w:szCs w:val="24"/>
        </w:rPr>
      </w:pPr>
      <w:r>
        <w:rPr>
          <w:rFonts w:hint="eastAsia" w:ascii="宋体" w:hAnsi="宋体"/>
          <w:sz w:val="24"/>
          <w:szCs w:val="24"/>
        </w:rPr>
        <w:t>我单位收到贵公司关于</w:t>
      </w:r>
      <w:r>
        <w:rPr>
          <w:rFonts w:hint="eastAsia" w:ascii="宋体" w:hAnsi="宋体"/>
          <w:sz w:val="24"/>
          <w:szCs w:val="24"/>
          <w:lang w:eastAsia="zh-CN"/>
        </w:rPr>
        <w:t>经开区2022年直属公办学校、幼儿园设施设备政府采购项目（课桌椅）</w:t>
      </w:r>
      <w:r>
        <w:rPr>
          <w:rFonts w:hint="eastAsia" w:ascii="宋体" w:hAnsi="宋体"/>
          <w:sz w:val="24"/>
          <w:szCs w:val="24"/>
        </w:rPr>
        <w:t>（项目编号：</w:t>
      </w:r>
      <w:r>
        <w:rPr>
          <w:rFonts w:hint="eastAsia" w:ascii="宋体" w:hAnsi="宋体"/>
          <w:color w:val="auto"/>
          <w:sz w:val="24"/>
          <w:szCs w:val="24"/>
          <w:lang w:eastAsia="zh-CN"/>
        </w:rPr>
        <w:t>TZZB-2022063C</w:t>
      </w:r>
      <w:r>
        <w:rPr>
          <w:rFonts w:hint="eastAsia" w:ascii="宋体" w:hAnsi="宋体"/>
          <w:color w:val="auto"/>
          <w:sz w:val="24"/>
          <w:szCs w:val="24"/>
        </w:rPr>
        <w:t>）</w:t>
      </w:r>
      <w:r>
        <w:rPr>
          <w:rFonts w:hint="eastAsia" w:ascii="宋体" w:hAnsi="宋体"/>
          <w:sz w:val="24"/>
          <w:szCs w:val="24"/>
        </w:rPr>
        <w:t>的招标文件，经详细研究，我们决定参加本次项目招标活动并投标。</w:t>
      </w:r>
      <w:r>
        <w:rPr>
          <w:rFonts w:hint="eastAsia" w:ascii="宋体" w:hAnsi="宋体"/>
          <w:bCs/>
          <w:sz w:val="24"/>
          <w:szCs w:val="24"/>
        </w:rPr>
        <w:t>我方正式授权</w:t>
      </w:r>
      <w:r>
        <w:rPr>
          <w:rFonts w:hint="eastAsia" w:ascii="宋体" w:hAnsi="宋体"/>
          <w:bCs/>
          <w:sz w:val="24"/>
          <w:szCs w:val="24"/>
          <w:u w:val="single"/>
        </w:rPr>
        <w:t>（姓名、职务）</w:t>
      </w:r>
      <w:r>
        <w:rPr>
          <w:rFonts w:hint="eastAsia" w:ascii="宋体" w:hAnsi="宋体"/>
          <w:bCs/>
          <w:sz w:val="24"/>
          <w:szCs w:val="24"/>
        </w:rPr>
        <w:t xml:space="preserve">代表我方 </w:t>
      </w:r>
      <w:r>
        <w:rPr>
          <w:rFonts w:hint="eastAsia" w:ascii="宋体" w:hAnsi="宋体"/>
          <w:bCs/>
          <w:sz w:val="24"/>
          <w:szCs w:val="24"/>
          <w:u w:val="single"/>
        </w:rPr>
        <w:t xml:space="preserve">             （投标人名称）</w:t>
      </w:r>
      <w:r>
        <w:rPr>
          <w:rFonts w:hint="eastAsia" w:ascii="宋体" w:hAnsi="宋体"/>
          <w:bCs/>
          <w:sz w:val="24"/>
          <w:szCs w:val="24"/>
        </w:rPr>
        <w:t>全权处理本项目投标的有关事宜。</w:t>
      </w:r>
      <w:r>
        <w:rPr>
          <w:rFonts w:hint="eastAsia" w:ascii="宋体" w:hAnsi="宋体"/>
          <w:sz w:val="24"/>
          <w:szCs w:val="24"/>
        </w:rPr>
        <w:t>为此，我方郑重声明以下诸点，并负法律责任。</w:t>
      </w:r>
    </w:p>
    <w:p>
      <w:pPr>
        <w:pStyle w:val="80"/>
        <w:spacing w:line="360" w:lineRule="exact"/>
        <w:ind w:firstLine="480" w:firstLineChars="200"/>
        <w:rPr>
          <w:rFonts w:ascii="宋体" w:hAnsi="宋体"/>
          <w:sz w:val="24"/>
          <w:szCs w:val="24"/>
        </w:rPr>
      </w:pPr>
      <w:r>
        <w:rPr>
          <w:rFonts w:hint="eastAsia" w:ascii="宋体" w:hAnsi="宋体"/>
          <w:sz w:val="24"/>
          <w:szCs w:val="24"/>
        </w:rPr>
        <w:t>一、愿意按照招标文件中的一切要求，</w:t>
      </w:r>
      <w:r>
        <w:rPr>
          <w:rFonts w:hint="eastAsia" w:ascii="宋体" w:hAnsi="宋体"/>
          <w:spacing w:val="-20"/>
          <w:sz w:val="24"/>
          <w:szCs w:val="24"/>
        </w:rPr>
        <w:t>向采购人</w:t>
      </w:r>
      <w:r>
        <w:rPr>
          <w:rFonts w:ascii="宋体" w:hAnsi="宋体"/>
          <w:spacing w:val="-20"/>
          <w:sz w:val="24"/>
          <w:szCs w:val="24"/>
        </w:rPr>
        <w:t>提供所需所有货</w:t>
      </w:r>
      <w:r>
        <w:rPr>
          <w:rFonts w:ascii="宋体" w:hAnsi="宋体"/>
          <w:sz w:val="24"/>
          <w:szCs w:val="24"/>
        </w:rPr>
        <w:t>物（产品）及相应服务。</w:t>
      </w:r>
    </w:p>
    <w:p>
      <w:pPr>
        <w:pStyle w:val="80"/>
        <w:spacing w:line="360" w:lineRule="exact"/>
        <w:ind w:firstLine="480" w:firstLineChars="200"/>
        <w:rPr>
          <w:rFonts w:ascii="宋体" w:hAnsi="宋体"/>
          <w:sz w:val="24"/>
          <w:szCs w:val="24"/>
        </w:rPr>
      </w:pPr>
      <w:r>
        <w:rPr>
          <w:rFonts w:hint="eastAsia" w:ascii="宋体" w:hAnsi="宋体"/>
          <w:sz w:val="24"/>
          <w:szCs w:val="24"/>
        </w:rPr>
        <w:t>二、</w:t>
      </w:r>
      <w:r>
        <w:rPr>
          <w:rFonts w:hint="eastAsia" w:ascii="宋体" w:hAnsi="宋体" w:cs="Times New Roman"/>
          <w:spacing w:val="-20"/>
          <w:sz w:val="24"/>
          <w:szCs w:val="24"/>
        </w:rPr>
        <w:t>按招标文件的规定，我公司的投标总报价为人民币（大写）：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i/>
          <w:sz w:val="24"/>
          <w:szCs w:val="24"/>
          <w:u w:val="single"/>
        </w:rPr>
        <w:t xml:space="preserve">     </w:t>
      </w:r>
      <w:r>
        <w:rPr>
          <w:rFonts w:hint="eastAsia" w:ascii="宋体" w:hAnsi="宋体"/>
          <w:sz w:val="24"/>
          <w:szCs w:val="24"/>
        </w:rPr>
        <w:t>元）。</w:t>
      </w:r>
    </w:p>
    <w:p>
      <w:pPr>
        <w:pStyle w:val="80"/>
        <w:spacing w:line="360" w:lineRule="exact"/>
        <w:ind w:firstLine="480" w:firstLineChars="200"/>
        <w:rPr>
          <w:rFonts w:ascii="宋体" w:hAnsi="宋体"/>
          <w:sz w:val="24"/>
          <w:szCs w:val="24"/>
        </w:rPr>
      </w:pPr>
      <w:r>
        <w:rPr>
          <w:rFonts w:hint="eastAsia" w:ascii="宋体" w:hAnsi="宋体"/>
          <w:sz w:val="24"/>
          <w:szCs w:val="24"/>
        </w:rPr>
        <w:t>三、我方提交的投标文件正本一份、副本</w:t>
      </w:r>
      <w:r>
        <w:rPr>
          <w:rFonts w:hint="eastAsia" w:ascii="宋体" w:hAnsi="宋体"/>
          <w:sz w:val="24"/>
          <w:szCs w:val="24"/>
          <w:lang w:eastAsia="zh-CN"/>
        </w:rPr>
        <w:t>二</w:t>
      </w:r>
      <w:r>
        <w:rPr>
          <w:rFonts w:hint="eastAsia" w:ascii="宋体" w:hAnsi="宋体"/>
          <w:sz w:val="24"/>
          <w:szCs w:val="24"/>
        </w:rPr>
        <w:t>份及电子版一份，</w:t>
      </w:r>
      <w:r>
        <w:rPr>
          <w:rFonts w:ascii="宋体" w:hAnsi="宋体"/>
          <w:sz w:val="24"/>
          <w:szCs w:val="24"/>
        </w:rPr>
        <w:t>并保证</w:t>
      </w:r>
      <w:r>
        <w:rPr>
          <w:rFonts w:hint="eastAsia" w:ascii="宋体" w:hAnsi="宋体"/>
          <w:sz w:val="24"/>
          <w:szCs w:val="24"/>
        </w:rPr>
        <w:t>投标</w:t>
      </w:r>
      <w:r>
        <w:rPr>
          <w:rFonts w:ascii="宋体" w:hAnsi="宋体"/>
          <w:sz w:val="24"/>
          <w:szCs w:val="24"/>
        </w:rPr>
        <w:t>文件提供的数据和材料真实、准确。否则，愿承担</w:t>
      </w:r>
      <w:r>
        <w:rPr>
          <w:rFonts w:hint="eastAsia" w:ascii="宋体" w:hAnsi="宋体"/>
          <w:sz w:val="24"/>
          <w:szCs w:val="24"/>
        </w:rPr>
        <w:t>相关</w:t>
      </w:r>
      <w:r>
        <w:rPr>
          <w:rFonts w:ascii="宋体" w:hAnsi="宋体"/>
          <w:sz w:val="24"/>
          <w:szCs w:val="24"/>
        </w:rPr>
        <w:t>的法律责任。</w:t>
      </w:r>
    </w:p>
    <w:p>
      <w:pPr>
        <w:pStyle w:val="80"/>
        <w:spacing w:line="360" w:lineRule="exact"/>
        <w:ind w:firstLine="480" w:firstLineChars="200"/>
        <w:rPr>
          <w:rFonts w:ascii="宋体" w:hAnsi="宋体"/>
          <w:sz w:val="24"/>
          <w:szCs w:val="24"/>
        </w:rPr>
      </w:pPr>
      <w:r>
        <w:rPr>
          <w:rFonts w:hint="eastAsia" w:ascii="宋体" w:hAnsi="宋体"/>
          <w:sz w:val="24"/>
          <w:szCs w:val="24"/>
        </w:rPr>
        <w:t>四、我方已详细阅读了招标文件，</w:t>
      </w:r>
      <w:r>
        <w:rPr>
          <w:rFonts w:hint="eastAsia" w:ascii="宋体" w:hAnsi="宋体"/>
          <w:bCs/>
          <w:sz w:val="24"/>
          <w:szCs w:val="24"/>
        </w:rPr>
        <w:t>并同意和放弃对招标文件不明或误解而询问、质疑和投诉的权利。</w:t>
      </w:r>
    </w:p>
    <w:p>
      <w:pPr>
        <w:pStyle w:val="80"/>
        <w:spacing w:line="36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、我方愿意向贵方提供任何与本</w:t>
      </w:r>
      <w:r>
        <w:rPr>
          <w:rFonts w:hint="eastAsia" w:ascii="宋体" w:hAnsi="宋体"/>
          <w:sz w:val="24"/>
          <w:szCs w:val="24"/>
        </w:rPr>
        <w:t>次招标</w:t>
      </w:r>
      <w:r>
        <w:rPr>
          <w:rFonts w:ascii="宋体" w:hAnsi="宋体"/>
          <w:sz w:val="24"/>
          <w:szCs w:val="24"/>
        </w:rPr>
        <w:t>有关的数据、情况、样品</w:t>
      </w:r>
      <w:r>
        <w:rPr>
          <w:rFonts w:hint="eastAsia" w:ascii="宋体" w:hAnsi="宋体"/>
          <w:sz w:val="24"/>
          <w:szCs w:val="24"/>
        </w:rPr>
        <w:t>（如涉及）</w:t>
      </w:r>
      <w:r>
        <w:rPr>
          <w:rFonts w:ascii="宋体" w:hAnsi="宋体"/>
          <w:sz w:val="24"/>
          <w:szCs w:val="24"/>
        </w:rPr>
        <w:t>和技术资料</w:t>
      </w:r>
      <w:r>
        <w:rPr>
          <w:rFonts w:hint="eastAsia" w:ascii="宋体" w:hAnsi="宋体"/>
          <w:sz w:val="24"/>
          <w:szCs w:val="24"/>
        </w:rPr>
        <w:t>，</w:t>
      </w:r>
      <w:r>
        <w:rPr>
          <w:rFonts w:ascii="宋体" w:hAnsi="宋体"/>
          <w:sz w:val="24"/>
          <w:szCs w:val="24"/>
        </w:rPr>
        <w:t>若贵方需要，我方愿意提供我方</w:t>
      </w:r>
      <w:r>
        <w:rPr>
          <w:rFonts w:hint="eastAsia" w:ascii="宋体" w:hAnsi="宋体"/>
          <w:sz w:val="24"/>
          <w:szCs w:val="24"/>
        </w:rPr>
        <w:t>做出</w:t>
      </w:r>
      <w:r>
        <w:rPr>
          <w:rFonts w:ascii="宋体" w:hAnsi="宋体"/>
          <w:sz w:val="24"/>
          <w:szCs w:val="24"/>
        </w:rPr>
        <w:t>的一切承诺的证明材料。</w:t>
      </w:r>
    </w:p>
    <w:p>
      <w:pPr>
        <w:pStyle w:val="80"/>
        <w:spacing w:line="360" w:lineRule="exact"/>
        <w:ind w:firstLine="480" w:firstLineChars="200"/>
        <w:rPr>
          <w:rFonts w:ascii="宋体" w:hAnsi="宋体"/>
          <w:sz w:val="24"/>
          <w:szCs w:val="24"/>
        </w:rPr>
      </w:pPr>
      <w:r>
        <w:rPr>
          <w:rFonts w:hint="eastAsia" w:ascii="宋体" w:hAnsi="宋体"/>
          <w:sz w:val="24"/>
          <w:szCs w:val="24"/>
        </w:rPr>
        <w:t>六、我方承诺投标有效期</w:t>
      </w:r>
      <w:r>
        <w:rPr>
          <w:rFonts w:ascii="宋体" w:hAnsi="宋体"/>
          <w:sz w:val="24"/>
          <w:szCs w:val="24"/>
        </w:rPr>
        <w:t>为自开标之日起</w:t>
      </w:r>
      <w:r>
        <w:rPr>
          <w:rFonts w:hint="eastAsia" w:ascii="宋体" w:hAnsi="宋体"/>
          <w:sz w:val="24"/>
          <w:szCs w:val="24"/>
          <w:u w:val="single"/>
        </w:rPr>
        <w:t xml:space="preserve"> </w:t>
      </w:r>
      <w:r>
        <w:rPr>
          <w:rFonts w:hint="eastAsia" w:ascii="宋体" w:hAnsi="宋体"/>
          <w:sz w:val="24"/>
          <w:szCs w:val="24"/>
          <w:u w:val="single"/>
          <w:lang w:val="en-US" w:eastAsia="zh-CN"/>
        </w:rPr>
        <w:t>90</w:t>
      </w:r>
      <w:r>
        <w:rPr>
          <w:rFonts w:hint="eastAsia" w:ascii="宋体" w:hAnsi="宋体"/>
          <w:sz w:val="24"/>
          <w:szCs w:val="24"/>
          <w:u w:val="single"/>
        </w:rPr>
        <w:t xml:space="preserve"> </w:t>
      </w:r>
      <w:r>
        <w:rPr>
          <w:rFonts w:ascii="宋体" w:hAnsi="宋体"/>
          <w:sz w:val="24"/>
          <w:szCs w:val="24"/>
        </w:rPr>
        <w:t>个日历日</w:t>
      </w:r>
      <w:r>
        <w:rPr>
          <w:rFonts w:hint="eastAsia" w:ascii="宋体" w:hAnsi="宋体"/>
          <w:sz w:val="24"/>
          <w:szCs w:val="24"/>
        </w:rPr>
        <w:t>。开标后在规定的投标有效期内撤回投标，我们愿接受政府采购的有关处罚决定。</w:t>
      </w:r>
    </w:p>
    <w:p>
      <w:pPr>
        <w:pStyle w:val="80"/>
        <w:spacing w:line="36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我方承诺遵守《中华人民共和国</w:t>
      </w:r>
      <w:r>
        <w:rPr>
          <w:rFonts w:hint="eastAsia" w:ascii="宋体" w:hAnsi="宋体"/>
          <w:sz w:val="24"/>
          <w:szCs w:val="24"/>
        </w:rPr>
        <w:t>政府采购</w:t>
      </w:r>
      <w:r>
        <w:rPr>
          <w:rFonts w:ascii="宋体" w:hAnsi="宋体"/>
          <w:sz w:val="24"/>
          <w:szCs w:val="24"/>
        </w:rPr>
        <w:t>法》及其实施条例的有关规定，保证在获得</w:t>
      </w:r>
      <w:r>
        <w:rPr>
          <w:rFonts w:hint="eastAsia" w:ascii="宋体" w:hAnsi="宋体"/>
          <w:sz w:val="24"/>
          <w:szCs w:val="24"/>
        </w:rPr>
        <w:t>中标</w:t>
      </w:r>
      <w:r>
        <w:rPr>
          <w:rFonts w:ascii="宋体" w:hAnsi="宋体"/>
          <w:sz w:val="24"/>
          <w:szCs w:val="24"/>
        </w:rPr>
        <w:t>资格后：</w:t>
      </w:r>
    </w:p>
    <w:p>
      <w:pPr>
        <w:pStyle w:val="80"/>
        <w:spacing w:line="360" w:lineRule="exact"/>
        <w:ind w:firstLine="480" w:firstLineChars="200"/>
        <w:rPr>
          <w:rFonts w:ascii="宋体" w:hAnsi="宋体"/>
          <w:sz w:val="24"/>
          <w:szCs w:val="24"/>
        </w:rPr>
      </w:pPr>
      <w:r>
        <w:rPr>
          <w:rFonts w:ascii="宋体" w:hAnsi="宋体"/>
          <w:sz w:val="24"/>
          <w:szCs w:val="24"/>
        </w:rPr>
        <w:t>（1）按照</w:t>
      </w:r>
      <w:r>
        <w:rPr>
          <w:rFonts w:hint="eastAsia" w:ascii="宋体" w:hAnsi="宋体"/>
          <w:sz w:val="24"/>
          <w:szCs w:val="24"/>
        </w:rPr>
        <w:t>招标</w:t>
      </w:r>
      <w:r>
        <w:rPr>
          <w:rFonts w:ascii="宋体" w:hAnsi="宋体"/>
          <w:sz w:val="24"/>
          <w:szCs w:val="24"/>
        </w:rPr>
        <w:t xml:space="preserve">文件确定的事项签订合同，履行双方所签订的合同，并承担合同规定的责任和义务； </w:t>
      </w:r>
    </w:p>
    <w:p>
      <w:pPr>
        <w:pStyle w:val="80"/>
        <w:spacing w:line="360" w:lineRule="exact"/>
        <w:ind w:firstLine="480" w:firstLineChars="200"/>
        <w:rPr>
          <w:rFonts w:ascii="宋体" w:hAnsi="宋体"/>
          <w:sz w:val="24"/>
          <w:szCs w:val="24"/>
        </w:rPr>
      </w:pPr>
      <w:r>
        <w:rPr>
          <w:rFonts w:ascii="宋体" w:hAnsi="宋体"/>
          <w:sz w:val="24"/>
          <w:szCs w:val="24"/>
        </w:rPr>
        <w:t>（2）我方保证按规定和标准向贵方缴纳</w:t>
      </w:r>
      <w:r>
        <w:rPr>
          <w:rFonts w:hint="eastAsia" w:ascii="宋体" w:hAnsi="宋体"/>
          <w:sz w:val="24"/>
          <w:szCs w:val="24"/>
        </w:rPr>
        <w:t>中标</w:t>
      </w:r>
      <w:r>
        <w:rPr>
          <w:rFonts w:ascii="宋体" w:hAnsi="宋体"/>
          <w:sz w:val="24"/>
          <w:szCs w:val="24"/>
        </w:rPr>
        <w:t>服务费；</w:t>
      </w:r>
    </w:p>
    <w:p>
      <w:pPr>
        <w:pStyle w:val="80"/>
        <w:spacing w:line="36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投标文件有效期延长至合同履行完毕。</w:t>
      </w:r>
    </w:p>
    <w:p>
      <w:pPr>
        <w:pStyle w:val="80"/>
        <w:spacing w:line="36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、我方完全理解最低报价不是</w:t>
      </w:r>
      <w:r>
        <w:rPr>
          <w:rFonts w:hint="eastAsia" w:ascii="宋体" w:hAnsi="宋体"/>
          <w:sz w:val="24"/>
          <w:szCs w:val="24"/>
        </w:rPr>
        <w:t>中标</w:t>
      </w:r>
      <w:r>
        <w:rPr>
          <w:rFonts w:ascii="宋体" w:hAnsi="宋体"/>
          <w:sz w:val="24"/>
          <w:szCs w:val="24"/>
        </w:rPr>
        <w:t>的唯一条件，并尊重</w:t>
      </w:r>
      <w:r>
        <w:rPr>
          <w:rFonts w:hint="eastAsia" w:ascii="宋体" w:hAnsi="宋体"/>
          <w:sz w:val="24"/>
          <w:szCs w:val="24"/>
        </w:rPr>
        <w:t>评标委员会</w:t>
      </w:r>
      <w:r>
        <w:rPr>
          <w:rFonts w:ascii="宋体" w:hAnsi="宋体"/>
          <w:sz w:val="24"/>
          <w:szCs w:val="24"/>
        </w:rPr>
        <w:t>的</w:t>
      </w:r>
      <w:r>
        <w:rPr>
          <w:rFonts w:hint="eastAsia" w:ascii="宋体" w:hAnsi="宋体"/>
          <w:sz w:val="24"/>
          <w:szCs w:val="24"/>
        </w:rPr>
        <w:t>评标结论和定标结果。</w:t>
      </w:r>
    </w:p>
    <w:p>
      <w:pPr>
        <w:pStyle w:val="80"/>
        <w:spacing w:line="360" w:lineRule="exact"/>
        <w:ind w:firstLine="480" w:firstLineChars="200"/>
        <w:rPr>
          <w:rFonts w:ascii="宋体" w:hAnsi="宋体"/>
          <w:sz w:val="24"/>
          <w:szCs w:val="24"/>
        </w:rPr>
      </w:pPr>
      <w:r>
        <w:rPr>
          <w:rFonts w:hint="eastAsia" w:ascii="宋体" w:hAnsi="宋体"/>
          <w:sz w:val="24"/>
          <w:szCs w:val="24"/>
        </w:rPr>
        <w:t>九、一旦我方中标,我方同意与使用单位签订保密协议。</w:t>
      </w:r>
    </w:p>
    <w:p>
      <w:pPr>
        <w:pStyle w:val="80"/>
        <w:spacing w:line="360" w:lineRule="exact"/>
        <w:ind w:firstLine="480" w:firstLineChars="200"/>
        <w:rPr>
          <w:rFonts w:ascii="宋体" w:hAnsi="宋体"/>
          <w:sz w:val="24"/>
          <w:szCs w:val="24"/>
        </w:rPr>
      </w:pPr>
      <w:r>
        <w:rPr>
          <w:rFonts w:hint="eastAsia" w:ascii="宋体" w:hAnsi="宋体"/>
          <w:sz w:val="24"/>
          <w:szCs w:val="24"/>
        </w:rPr>
        <w:t>十、有关于本投标文件的函电，请按下列地址联系：</w:t>
      </w:r>
    </w:p>
    <w:p>
      <w:pPr>
        <w:pStyle w:val="80"/>
        <w:spacing w:line="360" w:lineRule="exact"/>
        <w:ind w:firstLine="480" w:firstLineChars="200"/>
        <w:rPr>
          <w:rFonts w:ascii="宋体" w:hAnsi="宋体"/>
          <w:b/>
          <w:sz w:val="24"/>
          <w:szCs w:val="24"/>
          <w:u w:val="single"/>
        </w:rPr>
      </w:pPr>
      <w:r>
        <w:rPr>
          <w:rFonts w:hint="eastAsia" w:ascii="宋体" w:hAnsi="宋体"/>
          <w:sz w:val="24"/>
          <w:szCs w:val="24"/>
        </w:rPr>
        <w:t>投标人全称（盖章）：</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开户银行：</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账    号：</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电    话：</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传    真：</w:t>
      </w:r>
      <w:r>
        <w:rPr>
          <w:rFonts w:hint="eastAsia" w:ascii="宋体" w:hAnsi="宋体"/>
          <w:b/>
          <w:sz w:val="24"/>
          <w:szCs w:val="24"/>
          <w:u w:val="single"/>
        </w:rPr>
        <w:t xml:space="preserve">                                          </w:t>
      </w:r>
    </w:p>
    <w:p>
      <w:pPr>
        <w:pStyle w:val="80"/>
        <w:spacing w:line="360" w:lineRule="exact"/>
        <w:ind w:firstLine="480" w:firstLineChars="200"/>
        <w:rPr>
          <w:rFonts w:ascii="宋体" w:hAnsi="宋体"/>
          <w:sz w:val="24"/>
          <w:szCs w:val="24"/>
        </w:rPr>
      </w:pPr>
      <w:r>
        <w:rPr>
          <w:rFonts w:hint="eastAsia" w:ascii="宋体" w:hAnsi="宋体"/>
          <w:sz w:val="24"/>
          <w:szCs w:val="24"/>
        </w:rPr>
        <w:t>邮    编：</w:t>
      </w:r>
      <w:r>
        <w:rPr>
          <w:rFonts w:hint="eastAsia" w:ascii="宋体" w:hAnsi="宋体"/>
          <w:b/>
          <w:sz w:val="24"/>
          <w:szCs w:val="24"/>
          <w:u w:val="single"/>
        </w:rPr>
        <w:t xml:space="preserve">                                          </w:t>
      </w:r>
      <w:r>
        <w:rPr>
          <w:rFonts w:hint="eastAsia" w:ascii="宋体" w:hAnsi="宋体"/>
          <w:sz w:val="24"/>
          <w:szCs w:val="24"/>
        </w:rPr>
        <w:t xml:space="preserve"> </w:t>
      </w:r>
    </w:p>
    <w:p>
      <w:pPr>
        <w:pStyle w:val="80"/>
        <w:spacing w:line="360" w:lineRule="exact"/>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0"/>
        <w:spacing w:line="360" w:lineRule="exact"/>
        <w:sectPr>
          <w:pgSz w:w="11906" w:h="16838"/>
          <w:pgMar w:top="1418" w:right="1418" w:bottom="1418" w:left="1418" w:header="851" w:footer="992" w:gutter="0"/>
          <w:pgNumType w:fmt="decimal"/>
          <w:cols w:space="720" w:num="1"/>
          <w:docGrid w:linePitch="312" w:charSpace="0"/>
        </w:sectPr>
      </w:pPr>
      <w:r>
        <w:rPr>
          <w:rFonts w:hint="eastAsia"/>
        </w:rPr>
        <w:t>注：除可填报项目外对本投标函的任何修改将被视为非实质性响应投标从而导致该投标被拒绝。</w:t>
      </w:r>
    </w:p>
    <w:p>
      <w:pPr>
        <w:pStyle w:val="4"/>
        <w:spacing w:before="0" w:afterLines="50" w:line="360" w:lineRule="auto"/>
        <w:ind w:firstLine="3373" w:firstLineChars="1200"/>
        <w:rPr>
          <w:rFonts w:ascii="宋体" w:hAnsi="宋体" w:eastAsia="宋体"/>
          <w:bCs/>
        </w:rPr>
      </w:pPr>
      <w:bookmarkStart w:id="198" w:name="_Toc29669"/>
      <w:bookmarkStart w:id="199" w:name="_Toc12917"/>
      <w:bookmarkStart w:id="200" w:name="_Toc529953002"/>
      <w:r>
        <w:rPr>
          <w:rFonts w:hint="eastAsia" w:ascii="宋体" w:hAnsi="宋体" w:eastAsia="宋体"/>
          <w:bCs/>
        </w:rPr>
        <w:t>二、</w:t>
      </w:r>
      <w:r>
        <w:rPr>
          <w:rFonts w:ascii="宋体" w:hAnsi="宋体" w:eastAsia="宋体"/>
          <w:bCs/>
        </w:rPr>
        <w:t>开标一览表</w:t>
      </w:r>
      <w:bookmarkEnd w:id="198"/>
      <w:bookmarkEnd w:id="199"/>
      <w:bookmarkEnd w:id="200"/>
    </w:p>
    <w:p>
      <w:pPr>
        <w:pStyle w:val="5"/>
        <w:rPr>
          <w:rFonts w:hint="eastAsia" w:eastAsia="宋体"/>
          <w:lang w:eastAsia="zh-CN"/>
        </w:rPr>
      </w:pPr>
    </w:p>
    <w:p>
      <w:pPr>
        <w:pStyle w:val="80"/>
        <w:spacing w:line="400" w:lineRule="exact"/>
        <w:rPr>
          <w:rFonts w:hint="eastAsia"/>
          <w:color w:val="FF0000"/>
        </w:rPr>
      </w:pPr>
      <w:r>
        <w:rPr>
          <w:rFonts w:hint="eastAsia"/>
        </w:rPr>
        <w:t xml:space="preserve"> </w:t>
      </w:r>
      <w:r>
        <w:rPr>
          <w:rFonts w:hint="eastAsia" w:ascii="宋体" w:hAnsi="宋体" w:eastAsia="宋体" w:cs="宋体"/>
          <w:sz w:val="24"/>
          <w:szCs w:val="24"/>
        </w:rPr>
        <w:t xml:space="preserve"> 项目</w:t>
      </w:r>
      <w:r>
        <w:rPr>
          <w:rFonts w:hint="eastAsia" w:ascii="宋体" w:hAnsi="宋体" w:cs="宋体"/>
          <w:sz w:val="24"/>
          <w:szCs w:val="24"/>
          <w:lang w:eastAsia="zh-CN"/>
        </w:rPr>
        <w:t>名称</w:t>
      </w:r>
      <w:r>
        <w:rPr>
          <w:rFonts w:hint="eastAsia" w:ascii="宋体" w:hAnsi="宋体" w:eastAsia="宋体" w:cs="宋体"/>
          <w:sz w:val="24"/>
          <w:szCs w:val="24"/>
        </w:rPr>
        <w:t>：</w:t>
      </w:r>
      <w:r>
        <w:rPr>
          <w:rFonts w:hint="eastAsia"/>
          <w:sz w:val="24"/>
          <w:szCs w:val="24"/>
          <w:lang w:eastAsia="zh-CN"/>
        </w:rPr>
        <w:t>经开区2022年直属公办学校、幼儿园设施设备政府采购项目（课桌椅）</w:t>
      </w:r>
    </w:p>
    <w:p>
      <w:pPr>
        <w:pStyle w:val="80"/>
        <w:spacing w:line="400" w:lineRule="exact"/>
        <w:ind w:firstLine="240" w:firstLineChars="100"/>
        <w:rPr>
          <w:rFonts w:hint="eastAsia" w:ascii="宋体" w:hAnsi="宋体" w:eastAsia="宋体" w:cs="宋体"/>
          <w:b/>
          <w:sz w:val="24"/>
          <w:szCs w:val="24"/>
        </w:rPr>
      </w:pPr>
      <w:r>
        <w:rPr>
          <w:rFonts w:hint="eastAsia" w:ascii="宋体" w:hAnsi="宋体" w:eastAsia="宋体" w:cs="宋体"/>
          <w:sz w:val="24"/>
          <w:szCs w:val="24"/>
        </w:rPr>
        <w:t>项目编号：</w:t>
      </w:r>
      <w:r>
        <w:rPr>
          <w:rFonts w:hint="eastAsia" w:ascii="宋体" w:hAnsi="宋体" w:cs="宋体"/>
          <w:sz w:val="24"/>
          <w:szCs w:val="24"/>
          <w:lang w:eastAsia="zh-CN"/>
        </w:rPr>
        <w:t>TZZB-2022063C</w:t>
      </w:r>
      <w:r>
        <w:rPr>
          <w:rFonts w:hint="eastAsia"/>
        </w:rPr>
        <w:t xml:space="preserve">          </w:t>
      </w:r>
      <w:r>
        <w:rPr>
          <w:rFonts w:hint="eastAsia"/>
          <w:b/>
        </w:rPr>
        <w:t xml:space="preserve">                             </w:t>
      </w:r>
      <w:r>
        <w:rPr>
          <w:rFonts w:hint="eastAsia"/>
          <w:b/>
          <w:lang w:val="en-US" w:eastAsia="zh-CN"/>
        </w:rPr>
        <w:t xml:space="preserve">     </w:t>
      </w:r>
      <w:r>
        <w:rPr>
          <w:rFonts w:hint="eastAsia" w:ascii="宋体" w:hAnsi="宋体" w:eastAsia="宋体" w:cs="宋体"/>
          <w:b/>
          <w:sz w:val="24"/>
          <w:szCs w:val="24"/>
        </w:rPr>
        <w:t xml:space="preserve"> 单位:元</w:t>
      </w:r>
    </w:p>
    <w:tbl>
      <w:tblPr>
        <w:tblStyle w:val="29"/>
        <w:tblW w:w="8778" w:type="dxa"/>
        <w:jc w:val="center"/>
        <w:tblLayout w:type="fixed"/>
        <w:tblCellMar>
          <w:top w:w="0" w:type="dxa"/>
          <w:left w:w="108" w:type="dxa"/>
          <w:bottom w:w="0" w:type="dxa"/>
          <w:right w:w="108" w:type="dxa"/>
        </w:tblCellMar>
      </w:tblPr>
      <w:tblGrid>
        <w:gridCol w:w="3125"/>
        <w:gridCol w:w="1691"/>
        <w:gridCol w:w="1701"/>
        <w:gridCol w:w="2261"/>
      </w:tblGrid>
      <w:tr>
        <w:tblPrEx>
          <w:tblCellMar>
            <w:top w:w="0" w:type="dxa"/>
            <w:left w:w="108" w:type="dxa"/>
            <w:bottom w:w="0" w:type="dxa"/>
            <w:right w:w="108" w:type="dxa"/>
          </w:tblCellMar>
        </w:tblPrEx>
        <w:trPr>
          <w:trHeight w:val="1558" w:hRule="atLeast"/>
          <w:jc w:val="center"/>
        </w:trPr>
        <w:tc>
          <w:tcPr>
            <w:tcW w:w="3125" w:type="dxa"/>
            <w:tcBorders>
              <w:top w:val="single" w:color="auto" w:sz="6" w:space="0"/>
              <w:left w:val="single" w:color="auto" w:sz="6" w:space="0"/>
              <w:bottom w:val="single" w:color="auto" w:sz="4" w:space="0"/>
              <w:right w:val="single" w:color="auto" w:sz="6" w:space="0"/>
              <w:tl2br w:val="single" w:color="auto" w:sz="6" w:space="0"/>
            </w:tcBorders>
          </w:tcPr>
          <w:p>
            <w:pPr>
              <w:pStyle w:val="80"/>
              <w:spacing w:line="400" w:lineRule="exact"/>
              <w:rPr>
                <w:sz w:val="24"/>
                <w:szCs w:val="24"/>
              </w:rPr>
            </w:pPr>
          </w:p>
          <w:p>
            <w:pPr>
              <w:pStyle w:val="80"/>
              <w:spacing w:line="400" w:lineRule="exact"/>
              <w:ind w:firstLine="1920" w:firstLineChars="800"/>
              <w:rPr>
                <w:sz w:val="24"/>
                <w:szCs w:val="24"/>
              </w:rPr>
            </w:pPr>
            <w:r>
              <w:rPr>
                <w:rFonts w:hint="eastAsia"/>
                <w:sz w:val="24"/>
                <w:szCs w:val="24"/>
              </w:rPr>
              <w:t>报价内容</w:t>
            </w:r>
          </w:p>
          <w:p>
            <w:pPr>
              <w:pStyle w:val="80"/>
              <w:spacing w:line="400" w:lineRule="exact"/>
              <w:rPr>
                <w:sz w:val="24"/>
                <w:szCs w:val="24"/>
              </w:rPr>
            </w:pPr>
            <w:r>
              <w:rPr>
                <w:rFonts w:hint="eastAsia"/>
                <w:sz w:val="24"/>
                <w:szCs w:val="24"/>
                <w:lang w:eastAsia="zh-CN"/>
              </w:rPr>
              <w:t>投标单位</w:t>
            </w:r>
            <w:r>
              <w:rPr>
                <w:rFonts w:hint="eastAsia"/>
                <w:sz w:val="24"/>
                <w:szCs w:val="24"/>
              </w:rPr>
              <w:t>名称</w:t>
            </w:r>
          </w:p>
          <w:p>
            <w:pPr>
              <w:pStyle w:val="80"/>
              <w:spacing w:line="400" w:lineRule="exact"/>
              <w:rPr>
                <w:sz w:val="24"/>
                <w:szCs w:val="24"/>
              </w:rPr>
            </w:pPr>
          </w:p>
        </w:tc>
        <w:tc>
          <w:tcPr>
            <w:tcW w:w="1691" w:type="dxa"/>
            <w:tcBorders>
              <w:top w:val="single" w:color="auto" w:sz="6" w:space="0"/>
              <w:left w:val="nil"/>
              <w:bottom w:val="single" w:color="auto" w:sz="6" w:space="0"/>
              <w:right w:val="single" w:color="auto" w:sz="6" w:space="0"/>
            </w:tcBorders>
            <w:vAlign w:val="center"/>
          </w:tcPr>
          <w:p>
            <w:pPr>
              <w:pStyle w:val="80"/>
              <w:spacing w:line="400" w:lineRule="exact"/>
              <w:jc w:val="center"/>
              <w:rPr>
                <w:rFonts w:hint="eastAsia" w:eastAsia="宋体"/>
                <w:sz w:val="24"/>
                <w:szCs w:val="24"/>
                <w:lang w:eastAsia="zh-CN"/>
              </w:rPr>
            </w:pPr>
            <w:r>
              <w:rPr>
                <w:rFonts w:hint="eastAsia"/>
                <w:sz w:val="24"/>
                <w:szCs w:val="24"/>
              </w:rPr>
              <w:t>总报价</w:t>
            </w:r>
          </w:p>
        </w:tc>
        <w:tc>
          <w:tcPr>
            <w:tcW w:w="1701" w:type="dxa"/>
            <w:tcBorders>
              <w:top w:val="single" w:color="auto" w:sz="6" w:space="0"/>
              <w:left w:val="single" w:color="auto" w:sz="4" w:space="0"/>
              <w:bottom w:val="single" w:color="auto" w:sz="6" w:space="0"/>
              <w:right w:val="single" w:color="auto" w:sz="4" w:space="0"/>
            </w:tcBorders>
            <w:vAlign w:val="center"/>
          </w:tcPr>
          <w:p>
            <w:pPr>
              <w:pStyle w:val="80"/>
              <w:spacing w:line="400" w:lineRule="exact"/>
              <w:jc w:val="center"/>
              <w:rPr>
                <w:rFonts w:hint="eastAsia"/>
                <w:sz w:val="24"/>
                <w:szCs w:val="24"/>
              </w:rPr>
            </w:pPr>
            <w:r>
              <w:rPr>
                <w:rFonts w:hint="eastAsia"/>
                <w:sz w:val="24"/>
                <w:szCs w:val="24"/>
              </w:rPr>
              <w:t>交货期</w:t>
            </w:r>
          </w:p>
          <w:p>
            <w:pPr>
              <w:pStyle w:val="80"/>
              <w:spacing w:line="400" w:lineRule="exact"/>
              <w:jc w:val="center"/>
              <w:rPr>
                <w:rFonts w:hint="eastAsia" w:eastAsia="宋体"/>
                <w:sz w:val="24"/>
                <w:szCs w:val="24"/>
                <w:lang w:eastAsia="zh-CN"/>
              </w:rPr>
            </w:pPr>
            <w:r>
              <w:rPr>
                <w:rFonts w:hint="eastAsia"/>
                <w:sz w:val="24"/>
                <w:szCs w:val="24"/>
                <w:lang w:eastAsia="zh-CN"/>
              </w:rPr>
              <w:t>（日历天）</w:t>
            </w:r>
          </w:p>
        </w:tc>
        <w:tc>
          <w:tcPr>
            <w:tcW w:w="2261" w:type="dxa"/>
            <w:tcBorders>
              <w:top w:val="single" w:color="auto" w:sz="6" w:space="0"/>
              <w:left w:val="nil"/>
              <w:bottom w:val="single" w:color="auto" w:sz="6" w:space="0"/>
              <w:right w:val="single" w:color="auto" w:sz="6" w:space="0"/>
            </w:tcBorders>
            <w:vAlign w:val="center"/>
          </w:tcPr>
          <w:p>
            <w:pPr>
              <w:pStyle w:val="80"/>
              <w:spacing w:line="400" w:lineRule="exact"/>
              <w:jc w:val="center"/>
              <w:rPr>
                <w:rFonts w:hint="eastAsia"/>
                <w:sz w:val="24"/>
                <w:szCs w:val="24"/>
              </w:rPr>
            </w:pPr>
            <w:r>
              <w:rPr>
                <w:rFonts w:hint="eastAsia"/>
                <w:sz w:val="24"/>
                <w:szCs w:val="24"/>
              </w:rPr>
              <w:t>质保期</w:t>
            </w:r>
          </w:p>
          <w:p>
            <w:pPr>
              <w:pStyle w:val="80"/>
              <w:spacing w:line="400" w:lineRule="exact"/>
              <w:jc w:val="center"/>
              <w:rPr>
                <w:rFonts w:hint="default" w:eastAsia="宋体"/>
                <w:sz w:val="24"/>
                <w:szCs w:val="24"/>
                <w:lang w:val="en-US" w:eastAsia="zh-CN"/>
              </w:rPr>
            </w:pPr>
            <w:r>
              <w:rPr>
                <w:rFonts w:hint="eastAsia"/>
                <w:sz w:val="24"/>
                <w:szCs w:val="24"/>
                <w:lang w:val="en-US" w:eastAsia="zh-CN"/>
              </w:rPr>
              <w:t>(年)</w:t>
            </w:r>
          </w:p>
        </w:tc>
      </w:tr>
      <w:tr>
        <w:tblPrEx>
          <w:tblCellMar>
            <w:top w:w="0" w:type="dxa"/>
            <w:left w:w="108" w:type="dxa"/>
            <w:bottom w:w="0" w:type="dxa"/>
            <w:right w:w="108" w:type="dxa"/>
          </w:tblCellMar>
        </w:tblPrEx>
        <w:trPr>
          <w:trHeight w:val="1592" w:hRule="atLeast"/>
          <w:jc w:val="center"/>
        </w:trPr>
        <w:tc>
          <w:tcPr>
            <w:tcW w:w="3125" w:type="dxa"/>
            <w:tcBorders>
              <w:top w:val="single" w:color="auto" w:sz="4" w:space="0"/>
              <w:left w:val="single" w:color="auto" w:sz="6" w:space="0"/>
              <w:bottom w:val="single" w:color="auto" w:sz="6" w:space="0"/>
              <w:right w:val="single" w:color="auto" w:sz="6" w:space="0"/>
            </w:tcBorders>
            <w:vAlign w:val="center"/>
          </w:tcPr>
          <w:p>
            <w:pPr>
              <w:pStyle w:val="80"/>
              <w:spacing w:line="400" w:lineRule="exact"/>
              <w:jc w:val="center"/>
              <w:rPr>
                <w:rFonts w:hint="eastAsia" w:eastAsia="宋体"/>
                <w:sz w:val="24"/>
                <w:szCs w:val="24"/>
                <w:lang w:eastAsia="zh-CN"/>
              </w:rPr>
            </w:pPr>
          </w:p>
        </w:tc>
        <w:tc>
          <w:tcPr>
            <w:tcW w:w="1691" w:type="dxa"/>
            <w:tcBorders>
              <w:top w:val="single" w:color="auto" w:sz="6" w:space="0"/>
              <w:left w:val="nil"/>
              <w:bottom w:val="single" w:color="auto" w:sz="6" w:space="0"/>
              <w:right w:val="single" w:color="auto" w:sz="6" w:space="0"/>
            </w:tcBorders>
            <w:vAlign w:val="center"/>
          </w:tcPr>
          <w:p>
            <w:pPr>
              <w:pStyle w:val="80"/>
              <w:spacing w:line="400" w:lineRule="exact"/>
              <w:jc w:val="center"/>
              <w:rPr>
                <w:sz w:val="24"/>
                <w:szCs w:val="24"/>
              </w:rPr>
            </w:pPr>
          </w:p>
        </w:tc>
        <w:tc>
          <w:tcPr>
            <w:tcW w:w="1701" w:type="dxa"/>
            <w:tcBorders>
              <w:top w:val="single" w:color="auto" w:sz="6" w:space="0"/>
              <w:left w:val="single" w:color="auto" w:sz="4" w:space="0"/>
              <w:bottom w:val="single" w:color="auto" w:sz="6" w:space="0"/>
              <w:right w:val="single" w:color="auto" w:sz="4" w:space="0"/>
            </w:tcBorders>
            <w:vAlign w:val="center"/>
          </w:tcPr>
          <w:p>
            <w:pPr>
              <w:pStyle w:val="80"/>
              <w:spacing w:line="400" w:lineRule="exact"/>
              <w:rPr>
                <w:sz w:val="24"/>
                <w:szCs w:val="24"/>
              </w:rPr>
            </w:pPr>
          </w:p>
        </w:tc>
        <w:tc>
          <w:tcPr>
            <w:tcW w:w="2261" w:type="dxa"/>
            <w:tcBorders>
              <w:top w:val="single" w:color="auto" w:sz="6" w:space="0"/>
              <w:left w:val="nil"/>
              <w:bottom w:val="single" w:color="auto" w:sz="6" w:space="0"/>
              <w:right w:val="single" w:color="auto" w:sz="6" w:space="0"/>
            </w:tcBorders>
            <w:vAlign w:val="center"/>
          </w:tcPr>
          <w:p>
            <w:pPr>
              <w:pStyle w:val="80"/>
              <w:spacing w:line="400" w:lineRule="exact"/>
              <w:rPr>
                <w:sz w:val="24"/>
                <w:szCs w:val="24"/>
              </w:rPr>
            </w:pPr>
          </w:p>
        </w:tc>
      </w:tr>
      <w:tr>
        <w:tblPrEx>
          <w:tblCellMar>
            <w:top w:w="0" w:type="dxa"/>
            <w:left w:w="108" w:type="dxa"/>
            <w:bottom w:w="0" w:type="dxa"/>
            <w:right w:w="108" w:type="dxa"/>
          </w:tblCellMar>
        </w:tblPrEx>
        <w:trPr>
          <w:trHeight w:val="1199" w:hRule="atLeast"/>
          <w:jc w:val="center"/>
        </w:trPr>
        <w:tc>
          <w:tcPr>
            <w:tcW w:w="8778" w:type="dxa"/>
            <w:gridSpan w:val="4"/>
            <w:tcBorders>
              <w:top w:val="single" w:color="auto" w:sz="6" w:space="0"/>
              <w:left w:val="single" w:color="auto" w:sz="6" w:space="0"/>
              <w:bottom w:val="single" w:color="auto" w:sz="6" w:space="0"/>
              <w:right w:val="single" w:color="auto" w:sz="6" w:space="0"/>
            </w:tcBorders>
            <w:vAlign w:val="center"/>
          </w:tcPr>
          <w:p>
            <w:pPr>
              <w:pStyle w:val="80"/>
              <w:spacing w:line="400" w:lineRule="exact"/>
              <w:rPr>
                <w:sz w:val="24"/>
                <w:szCs w:val="24"/>
              </w:rPr>
            </w:pPr>
            <w:r>
              <w:rPr>
                <w:rFonts w:hint="eastAsia"/>
                <w:sz w:val="24"/>
                <w:szCs w:val="24"/>
              </w:rPr>
              <w:t>合计：（人民币大写）                      ￥</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元</w:t>
            </w:r>
          </w:p>
        </w:tc>
      </w:tr>
    </w:tbl>
    <w:p>
      <w:pPr>
        <w:pStyle w:val="80"/>
        <w:spacing w:line="400" w:lineRule="exact"/>
        <w:rPr>
          <w:rFonts w:ascii="宋体" w:hAnsi="宋体"/>
          <w:sz w:val="24"/>
          <w:szCs w:val="24"/>
        </w:rPr>
      </w:pPr>
      <w:r>
        <w:rPr>
          <w:rFonts w:hint="eastAsia" w:ascii="宋体" w:hAnsi="宋体"/>
          <w:sz w:val="24"/>
          <w:szCs w:val="24"/>
        </w:rPr>
        <w:t>说明</w:t>
      </w:r>
      <w:r>
        <w:rPr>
          <w:rFonts w:hint="eastAsia" w:ascii="宋体" w:hAnsi="宋体"/>
          <w:b/>
          <w:sz w:val="24"/>
          <w:szCs w:val="24"/>
        </w:rPr>
        <w:t>：</w:t>
      </w:r>
      <w:r>
        <w:rPr>
          <w:rFonts w:hint="eastAsia" w:ascii="宋体" w:hAnsi="宋体"/>
          <w:sz w:val="24"/>
          <w:szCs w:val="24"/>
        </w:rPr>
        <w:t>1、报价应按总报价填写，大小写不一致时，以大写为准；</w:t>
      </w:r>
    </w:p>
    <w:p>
      <w:pPr>
        <w:pStyle w:val="80"/>
        <w:spacing w:line="400" w:lineRule="exact"/>
        <w:rPr>
          <w:rFonts w:ascii="宋体" w:hAnsi="宋体"/>
          <w:sz w:val="24"/>
          <w:szCs w:val="24"/>
        </w:rPr>
      </w:pPr>
      <w:r>
        <w:rPr>
          <w:rFonts w:hint="eastAsia" w:ascii="宋体" w:hAnsi="宋体"/>
          <w:sz w:val="24"/>
          <w:szCs w:val="24"/>
        </w:rPr>
        <w:t>2、“开标一览表”以</w:t>
      </w:r>
      <w:r>
        <w:rPr>
          <w:rFonts w:hint="eastAsia" w:ascii="宋体" w:hAnsi="宋体"/>
          <w:sz w:val="24"/>
          <w:szCs w:val="24"/>
          <w:lang w:eastAsia="zh-CN"/>
        </w:rPr>
        <w:t>标段</w:t>
      </w:r>
      <w:r>
        <w:rPr>
          <w:rFonts w:hint="eastAsia" w:ascii="宋体" w:hAnsi="宋体"/>
          <w:sz w:val="24"/>
          <w:szCs w:val="24"/>
        </w:rPr>
        <w:t>为单位填写；（如有分</w:t>
      </w:r>
      <w:r>
        <w:rPr>
          <w:rFonts w:hint="eastAsia" w:ascii="宋体" w:hAnsi="宋体"/>
          <w:sz w:val="24"/>
          <w:szCs w:val="24"/>
          <w:lang w:eastAsia="zh-CN"/>
        </w:rPr>
        <w:t>标段</w:t>
      </w:r>
      <w:r>
        <w:rPr>
          <w:rFonts w:hint="eastAsia" w:ascii="宋体" w:hAnsi="宋体"/>
          <w:sz w:val="24"/>
          <w:szCs w:val="24"/>
        </w:rPr>
        <w:t>）</w:t>
      </w:r>
    </w:p>
    <w:p>
      <w:pPr>
        <w:pStyle w:val="80"/>
        <w:spacing w:line="400" w:lineRule="exact"/>
        <w:rPr>
          <w:rFonts w:hint="eastAsia" w:ascii="宋体" w:hAnsi="宋体"/>
          <w:sz w:val="24"/>
          <w:szCs w:val="24"/>
        </w:rPr>
      </w:pPr>
      <w:r>
        <w:rPr>
          <w:rFonts w:hint="eastAsia" w:ascii="宋体" w:hAnsi="宋体"/>
          <w:sz w:val="24"/>
          <w:szCs w:val="24"/>
        </w:rPr>
        <w:t>3、本表所列各项数据与投标文件其他地方表述不一致时，以本表为准。</w:t>
      </w:r>
    </w:p>
    <w:p>
      <w:pPr>
        <w:pStyle w:val="80"/>
        <w:spacing w:line="400" w:lineRule="exact"/>
        <w:rPr>
          <w:rFonts w:hint="eastAsia" w:ascii="宋体" w:hAnsi="宋体" w:eastAsia="宋体"/>
          <w:sz w:val="24"/>
          <w:szCs w:val="24"/>
          <w:lang w:val="en-US" w:eastAsia="zh-CN"/>
        </w:rPr>
      </w:pPr>
      <w:r>
        <w:rPr>
          <w:rFonts w:hint="eastAsia" w:ascii="宋体" w:hAnsi="宋体"/>
          <w:sz w:val="24"/>
          <w:szCs w:val="24"/>
          <w:lang w:val="en-US" w:eastAsia="zh-CN"/>
        </w:rPr>
        <w:t>4、报价保留小数点后两位。</w:t>
      </w:r>
    </w:p>
    <w:p>
      <w:pPr>
        <w:pStyle w:val="80"/>
        <w:spacing w:line="400" w:lineRule="exact"/>
      </w:pPr>
    </w:p>
    <w:p>
      <w:pPr>
        <w:pStyle w:val="80"/>
        <w:spacing w:line="400" w:lineRule="exact"/>
      </w:pPr>
    </w:p>
    <w:p>
      <w:pPr>
        <w:pStyle w:val="80"/>
        <w:spacing w:line="400" w:lineRule="exact"/>
      </w:pPr>
    </w:p>
    <w:p>
      <w:pPr>
        <w:pStyle w:val="80"/>
        <w:spacing w:line="400" w:lineRule="exact"/>
      </w:pPr>
    </w:p>
    <w:p>
      <w:pPr>
        <w:pStyle w:val="80"/>
        <w:spacing w:line="400" w:lineRule="exact"/>
        <w:ind w:firstLine="3720" w:firstLineChars="155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720" w:firstLineChars="155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720" w:firstLineChars="1550"/>
        <w:rPr>
          <w:rFonts w:ascii="宋体" w:hAnsi="宋体"/>
          <w:sz w:val="24"/>
          <w:szCs w:val="24"/>
          <w:u w:val="single"/>
        </w:rPr>
      </w:pPr>
      <w:bookmarkStart w:id="201" w:name="_Toc511832003"/>
      <w:bookmarkStart w:id="202" w:name="_Toc475451554"/>
      <w:bookmarkStart w:id="203" w:name="_Toc475451801"/>
      <w:bookmarkStart w:id="204" w:name="_Toc473056004"/>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rPr>
          <w:b w:val="0"/>
          <w:bCs/>
        </w:rPr>
      </w:pPr>
      <w:r>
        <w:rPr>
          <w:b w:val="0"/>
          <w:bCs/>
        </w:rPr>
        <w:br w:type="page"/>
      </w:r>
      <w:bookmarkStart w:id="205" w:name="_Toc18936"/>
      <w:bookmarkStart w:id="206" w:name="_Toc30959"/>
      <w:r>
        <w:rPr>
          <w:rFonts w:hint="eastAsia" w:ascii="宋体" w:hAnsi="宋体" w:eastAsia="宋体"/>
          <w:bCs/>
        </w:rPr>
        <w:t>三、货物（产品）分项报价表</w:t>
      </w:r>
      <w:bookmarkEnd w:id="201"/>
      <w:bookmarkEnd w:id="205"/>
      <w:bookmarkEnd w:id="206"/>
    </w:p>
    <w:p>
      <w:pPr>
        <w:pStyle w:val="80"/>
        <w:spacing w:line="400" w:lineRule="exact"/>
        <w:rPr>
          <w:rFonts w:hint="eastAsia" w:ascii="宋体" w:hAnsi="宋体"/>
          <w:bCs/>
          <w:sz w:val="24"/>
          <w:szCs w:val="24"/>
        </w:rPr>
      </w:pPr>
      <w:r>
        <w:rPr>
          <w:rFonts w:hint="eastAsia" w:ascii="宋体" w:hAnsi="宋体"/>
          <w:bCs/>
          <w:sz w:val="24"/>
          <w:szCs w:val="24"/>
        </w:rPr>
        <w:t>项目名称：                                                         项目编号：</w:t>
      </w:r>
    </w:p>
    <w:tbl>
      <w:tblPr>
        <w:tblStyle w:val="29"/>
        <w:tblW w:w="94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5"/>
        <w:gridCol w:w="1110"/>
        <w:gridCol w:w="1104"/>
        <w:gridCol w:w="1206"/>
        <w:gridCol w:w="720"/>
        <w:gridCol w:w="73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00" w:type="dxa"/>
            <w:vAlign w:val="center"/>
          </w:tcPr>
          <w:p>
            <w:pPr>
              <w:pStyle w:val="80"/>
              <w:spacing w:line="400" w:lineRule="exact"/>
              <w:rPr>
                <w:rFonts w:ascii="宋体" w:hAnsi="宋体"/>
                <w:sz w:val="24"/>
                <w:szCs w:val="24"/>
              </w:rPr>
            </w:pPr>
            <w:r>
              <w:rPr>
                <w:rFonts w:hint="eastAsia" w:ascii="宋体" w:hAnsi="宋体"/>
                <w:sz w:val="24"/>
                <w:szCs w:val="24"/>
              </w:rPr>
              <w:t>序号</w:t>
            </w:r>
          </w:p>
        </w:tc>
        <w:tc>
          <w:tcPr>
            <w:tcW w:w="1725" w:type="dxa"/>
            <w:vAlign w:val="center"/>
          </w:tcPr>
          <w:p>
            <w:pPr>
              <w:pStyle w:val="80"/>
              <w:spacing w:line="400" w:lineRule="exact"/>
              <w:jc w:val="center"/>
              <w:rPr>
                <w:rFonts w:ascii="宋体" w:hAnsi="宋体"/>
                <w:sz w:val="24"/>
                <w:szCs w:val="24"/>
              </w:rPr>
            </w:pPr>
            <w:r>
              <w:rPr>
                <w:rFonts w:hint="eastAsia" w:ascii="宋体" w:hAnsi="宋体"/>
                <w:sz w:val="24"/>
                <w:szCs w:val="24"/>
              </w:rPr>
              <w:t>货物名称</w:t>
            </w:r>
          </w:p>
        </w:tc>
        <w:tc>
          <w:tcPr>
            <w:tcW w:w="1110" w:type="dxa"/>
            <w:vAlign w:val="center"/>
          </w:tcPr>
          <w:p>
            <w:pPr>
              <w:pStyle w:val="80"/>
              <w:spacing w:line="400" w:lineRule="exact"/>
              <w:jc w:val="center"/>
              <w:rPr>
                <w:rFonts w:ascii="宋体" w:hAnsi="宋体"/>
                <w:sz w:val="24"/>
                <w:szCs w:val="24"/>
              </w:rPr>
            </w:pPr>
            <w:r>
              <w:rPr>
                <w:rFonts w:hint="eastAsia" w:ascii="宋体" w:hAnsi="宋体"/>
                <w:sz w:val="24"/>
                <w:szCs w:val="24"/>
              </w:rPr>
              <w:t>品牌</w:t>
            </w:r>
          </w:p>
        </w:tc>
        <w:tc>
          <w:tcPr>
            <w:tcW w:w="1104" w:type="dxa"/>
            <w:vAlign w:val="center"/>
          </w:tcPr>
          <w:p>
            <w:pPr>
              <w:pStyle w:val="80"/>
              <w:spacing w:line="400" w:lineRule="exact"/>
              <w:jc w:val="center"/>
              <w:rPr>
                <w:rFonts w:ascii="宋体" w:hAnsi="宋体"/>
                <w:sz w:val="24"/>
                <w:szCs w:val="24"/>
              </w:rPr>
            </w:pPr>
            <w:r>
              <w:rPr>
                <w:rFonts w:hint="eastAsia" w:ascii="宋体" w:hAnsi="宋体"/>
                <w:sz w:val="24"/>
                <w:szCs w:val="24"/>
              </w:rPr>
              <w:t>型号</w:t>
            </w:r>
          </w:p>
          <w:p>
            <w:pPr>
              <w:pStyle w:val="80"/>
              <w:spacing w:line="400" w:lineRule="exact"/>
              <w:jc w:val="center"/>
              <w:rPr>
                <w:rFonts w:ascii="宋体" w:hAnsi="宋体"/>
                <w:sz w:val="24"/>
                <w:szCs w:val="24"/>
              </w:rPr>
            </w:pPr>
            <w:r>
              <w:rPr>
                <w:rFonts w:hint="eastAsia" w:ascii="宋体" w:hAnsi="宋体"/>
                <w:sz w:val="24"/>
                <w:szCs w:val="24"/>
              </w:rPr>
              <w:t>规格</w:t>
            </w:r>
          </w:p>
        </w:tc>
        <w:tc>
          <w:tcPr>
            <w:tcW w:w="1206" w:type="dxa"/>
            <w:vAlign w:val="center"/>
          </w:tcPr>
          <w:p>
            <w:pPr>
              <w:pStyle w:val="80"/>
              <w:spacing w:line="400" w:lineRule="exact"/>
              <w:jc w:val="center"/>
              <w:rPr>
                <w:rFonts w:ascii="宋体" w:hAnsi="宋体"/>
                <w:sz w:val="24"/>
                <w:szCs w:val="24"/>
              </w:rPr>
            </w:pPr>
            <w:r>
              <w:rPr>
                <w:rFonts w:hint="eastAsia" w:ascii="宋体" w:hAnsi="宋体"/>
                <w:sz w:val="24"/>
                <w:szCs w:val="24"/>
              </w:rPr>
              <w:t>制造</w:t>
            </w:r>
          </w:p>
          <w:p>
            <w:pPr>
              <w:pStyle w:val="80"/>
              <w:spacing w:line="400" w:lineRule="exact"/>
              <w:jc w:val="center"/>
              <w:rPr>
                <w:rFonts w:ascii="宋体" w:hAnsi="宋体"/>
                <w:sz w:val="24"/>
                <w:szCs w:val="24"/>
              </w:rPr>
            </w:pPr>
            <w:r>
              <w:rPr>
                <w:rFonts w:hint="eastAsia" w:ascii="宋体" w:hAnsi="宋体"/>
                <w:sz w:val="24"/>
                <w:szCs w:val="24"/>
              </w:rPr>
              <w:t>厂商</w:t>
            </w:r>
          </w:p>
        </w:tc>
        <w:tc>
          <w:tcPr>
            <w:tcW w:w="720" w:type="dxa"/>
            <w:vAlign w:val="center"/>
          </w:tcPr>
          <w:p>
            <w:pPr>
              <w:pStyle w:val="80"/>
              <w:spacing w:line="400" w:lineRule="exact"/>
              <w:jc w:val="center"/>
              <w:rPr>
                <w:rFonts w:ascii="宋体" w:hAnsi="宋体"/>
                <w:sz w:val="24"/>
                <w:szCs w:val="24"/>
              </w:rPr>
            </w:pPr>
            <w:r>
              <w:rPr>
                <w:rFonts w:hint="eastAsia" w:ascii="宋体" w:hAnsi="宋体"/>
                <w:sz w:val="24"/>
                <w:szCs w:val="24"/>
              </w:rPr>
              <w:t>数量</w:t>
            </w:r>
          </w:p>
        </w:tc>
        <w:tc>
          <w:tcPr>
            <w:tcW w:w="735" w:type="dxa"/>
            <w:vAlign w:val="center"/>
          </w:tcPr>
          <w:p>
            <w:pPr>
              <w:pStyle w:val="80"/>
              <w:spacing w:line="400" w:lineRule="exact"/>
              <w:jc w:val="center"/>
              <w:rPr>
                <w:rFonts w:ascii="宋体" w:hAnsi="宋体"/>
                <w:sz w:val="24"/>
                <w:szCs w:val="24"/>
              </w:rPr>
            </w:pPr>
            <w:r>
              <w:rPr>
                <w:rFonts w:hint="eastAsia" w:ascii="宋体" w:hAnsi="宋体"/>
                <w:sz w:val="24"/>
                <w:szCs w:val="24"/>
              </w:rPr>
              <w:t>单位</w:t>
            </w:r>
          </w:p>
        </w:tc>
        <w:tc>
          <w:tcPr>
            <w:tcW w:w="1114" w:type="dxa"/>
            <w:vAlign w:val="center"/>
          </w:tcPr>
          <w:p>
            <w:pPr>
              <w:pStyle w:val="80"/>
              <w:spacing w:line="400" w:lineRule="exact"/>
              <w:jc w:val="center"/>
              <w:rPr>
                <w:rFonts w:ascii="宋体" w:hAnsi="宋体"/>
                <w:sz w:val="24"/>
                <w:szCs w:val="24"/>
              </w:rPr>
            </w:pPr>
            <w:r>
              <w:rPr>
                <w:rFonts w:hint="eastAsia" w:ascii="宋体" w:hAnsi="宋体"/>
                <w:sz w:val="24"/>
                <w:szCs w:val="24"/>
              </w:rPr>
              <w:t>单价（元）</w:t>
            </w:r>
          </w:p>
        </w:tc>
        <w:tc>
          <w:tcPr>
            <w:tcW w:w="1115" w:type="dxa"/>
          </w:tcPr>
          <w:p>
            <w:pPr>
              <w:pStyle w:val="80"/>
              <w:spacing w:line="400" w:lineRule="exact"/>
              <w:jc w:val="center"/>
              <w:rPr>
                <w:rFonts w:ascii="宋体" w:hAnsi="宋体"/>
                <w:sz w:val="24"/>
                <w:szCs w:val="24"/>
              </w:rPr>
            </w:pPr>
            <w:r>
              <w:rPr>
                <w:rFonts w:hint="eastAsia" w:ascii="宋体" w:hAnsi="宋体"/>
                <w:sz w:val="24"/>
                <w:szCs w:val="24"/>
              </w:rPr>
              <w:t>总价</w:t>
            </w:r>
          </w:p>
          <w:p>
            <w:pPr>
              <w:pStyle w:val="80"/>
              <w:spacing w:line="400" w:lineRule="exact"/>
              <w:jc w:val="center"/>
              <w:rPr>
                <w:rFonts w:ascii="宋体" w:hAnsi="宋体"/>
                <w:sz w:val="24"/>
                <w:szCs w:val="24"/>
              </w:rPr>
            </w:pPr>
            <w:r>
              <w:rPr>
                <w:rFonts w:hint="eastAsia" w:ascii="宋体" w:hAnsi="宋体"/>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vAlign w:val="center"/>
          </w:tcPr>
          <w:p>
            <w:pPr>
              <w:pStyle w:val="80"/>
              <w:spacing w:line="400" w:lineRule="exact"/>
              <w:rPr>
                <w:rFonts w:ascii="宋体" w:hAnsi="宋体"/>
                <w:sz w:val="24"/>
                <w:szCs w:val="24"/>
              </w:rPr>
            </w:pPr>
          </w:p>
        </w:tc>
        <w:tc>
          <w:tcPr>
            <w:tcW w:w="1725" w:type="dxa"/>
            <w:vAlign w:val="center"/>
          </w:tcPr>
          <w:p>
            <w:pPr>
              <w:pStyle w:val="80"/>
              <w:spacing w:line="400" w:lineRule="exact"/>
              <w:rPr>
                <w:rFonts w:ascii="宋体" w:hAnsi="宋体"/>
                <w:sz w:val="24"/>
                <w:szCs w:val="24"/>
              </w:rPr>
            </w:pPr>
          </w:p>
        </w:tc>
        <w:tc>
          <w:tcPr>
            <w:tcW w:w="1110" w:type="dxa"/>
          </w:tcPr>
          <w:p>
            <w:pPr>
              <w:pStyle w:val="80"/>
              <w:spacing w:line="400" w:lineRule="exact"/>
              <w:rPr>
                <w:rFonts w:ascii="宋体" w:hAnsi="宋体"/>
                <w:sz w:val="24"/>
                <w:szCs w:val="24"/>
              </w:rPr>
            </w:pPr>
          </w:p>
        </w:tc>
        <w:tc>
          <w:tcPr>
            <w:tcW w:w="1104" w:type="dxa"/>
          </w:tcPr>
          <w:p>
            <w:pPr>
              <w:pStyle w:val="80"/>
              <w:spacing w:line="400" w:lineRule="exact"/>
              <w:rPr>
                <w:rFonts w:ascii="宋体" w:hAnsi="宋体"/>
                <w:sz w:val="24"/>
                <w:szCs w:val="24"/>
              </w:rPr>
            </w:pPr>
          </w:p>
        </w:tc>
        <w:tc>
          <w:tcPr>
            <w:tcW w:w="1206" w:type="dxa"/>
          </w:tcPr>
          <w:p>
            <w:pPr>
              <w:pStyle w:val="80"/>
              <w:spacing w:line="400" w:lineRule="exact"/>
              <w:rPr>
                <w:rFonts w:ascii="宋体" w:hAnsi="宋体"/>
                <w:sz w:val="24"/>
                <w:szCs w:val="24"/>
              </w:rPr>
            </w:pPr>
          </w:p>
        </w:tc>
        <w:tc>
          <w:tcPr>
            <w:tcW w:w="720" w:type="dxa"/>
          </w:tcPr>
          <w:p>
            <w:pPr>
              <w:pStyle w:val="80"/>
              <w:spacing w:line="400" w:lineRule="exact"/>
              <w:rPr>
                <w:rFonts w:ascii="宋体" w:hAnsi="宋体"/>
                <w:sz w:val="24"/>
                <w:szCs w:val="24"/>
              </w:rPr>
            </w:pPr>
          </w:p>
        </w:tc>
        <w:tc>
          <w:tcPr>
            <w:tcW w:w="735" w:type="dxa"/>
          </w:tcPr>
          <w:p>
            <w:pPr>
              <w:pStyle w:val="80"/>
              <w:spacing w:line="400" w:lineRule="exact"/>
              <w:rPr>
                <w:rFonts w:ascii="宋体" w:hAnsi="宋体"/>
                <w:sz w:val="24"/>
                <w:szCs w:val="24"/>
              </w:rPr>
            </w:pPr>
          </w:p>
        </w:tc>
        <w:tc>
          <w:tcPr>
            <w:tcW w:w="1114" w:type="dxa"/>
            <w:vAlign w:val="center"/>
          </w:tcPr>
          <w:p>
            <w:pPr>
              <w:pStyle w:val="80"/>
              <w:spacing w:line="400" w:lineRule="exact"/>
              <w:rPr>
                <w:rFonts w:ascii="宋体" w:hAnsi="宋体"/>
                <w:sz w:val="24"/>
                <w:szCs w:val="24"/>
              </w:rPr>
            </w:pPr>
          </w:p>
        </w:tc>
        <w:tc>
          <w:tcPr>
            <w:tcW w:w="1115"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25" w:type="dxa"/>
            <w:gridSpan w:val="2"/>
            <w:vAlign w:val="center"/>
          </w:tcPr>
          <w:p>
            <w:pPr>
              <w:pStyle w:val="80"/>
              <w:spacing w:line="400" w:lineRule="exact"/>
              <w:rPr>
                <w:rFonts w:ascii="宋体" w:hAnsi="宋体"/>
                <w:sz w:val="24"/>
                <w:szCs w:val="24"/>
              </w:rPr>
            </w:pPr>
            <w:r>
              <w:rPr>
                <w:rFonts w:hint="eastAsia" w:ascii="宋体" w:hAnsi="宋体"/>
                <w:sz w:val="24"/>
                <w:szCs w:val="24"/>
              </w:rPr>
              <w:t>合计（大写）</w:t>
            </w:r>
          </w:p>
        </w:tc>
        <w:tc>
          <w:tcPr>
            <w:tcW w:w="7104" w:type="dxa"/>
            <w:gridSpan w:val="7"/>
            <w:vAlign w:val="center"/>
          </w:tcPr>
          <w:p>
            <w:pPr>
              <w:pStyle w:val="80"/>
              <w:spacing w:line="400" w:lineRule="exact"/>
              <w:rPr>
                <w:rFonts w:ascii="宋体" w:hAnsi="宋体"/>
                <w:sz w:val="24"/>
                <w:szCs w:val="24"/>
              </w:rPr>
            </w:pPr>
          </w:p>
        </w:tc>
      </w:tr>
    </w:tbl>
    <w:p>
      <w:pPr>
        <w:pStyle w:val="80"/>
        <w:spacing w:line="400" w:lineRule="exact"/>
        <w:rPr>
          <w:rFonts w:ascii="宋体" w:hAnsi="宋体"/>
          <w:sz w:val="24"/>
          <w:szCs w:val="24"/>
        </w:rPr>
      </w:pPr>
      <w:r>
        <w:rPr>
          <w:rFonts w:hint="eastAsia" w:ascii="宋体" w:hAnsi="宋体"/>
          <w:sz w:val="24"/>
          <w:szCs w:val="24"/>
        </w:rPr>
        <w:t>说明：投标人必须按“货物（产品）分项报价表”的</w:t>
      </w:r>
      <w:r>
        <w:rPr>
          <w:rFonts w:hint="eastAsia" w:ascii="宋体" w:hAnsi="宋体"/>
          <w:sz w:val="24"/>
          <w:szCs w:val="24"/>
          <w:lang w:val="en-US" w:eastAsia="zh-CN"/>
        </w:rPr>
        <w:t>内容</w:t>
      </w:r>
      <w:r>
        <w:rPr>
          <w:rFonts w:hint="eastAsia" w:ascii="宋体" w:hAnsi="宋体"/>
          <w:sz w:val="24"/>
          <w:szCs w:val="24"/>
        </w:rPr>
        <w:t>详细报出投标总报价的各个组成部分的报价，否则作无效响应处理，报价以元为单位</w:t>
      </w:r>
      <w:r>
        <w:rPr>
          <w:rFonts w:hint="eastAsia" w:ascii="宋体" w:hAnsi="宋体"/>
          <w:sz w:val="24"/>
          <w:szCs w:val="24"/>
          <w:lang w:eastAsia="zh-CN"/>
        </w:rPr>
        <w:t>，保留小数点后两位</w:t>
      </w:r>
      <w:r>
        <w:rPr>
          <w:rFonts w:hint="eastAsia" w:ascii="宋体" w:hAnsi="宋体"/>
          <w:sz w:val="24"/>
          <w:szCs w:val="24"/>
        </w:rPr>
        <w:t>，若没有注册商标和具体型号须注明。</w:t>
      </w: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3600" w:firstLineChars="150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600" w:firstLineChars="150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600" w:firstLineChars="15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bookmarkEnd w:id="202"/>
    <w:bookmarkEnd w:id="203"/>
    <w:bookmarkEnd w:id="204"/>
    <w:p>
      <w:pPr>
        <w:pStyle w:val="80"/>
        <w:spacing w:line="400" w:lineRule="exact"/>
        <w:rPr>
          <w:b/>
          <w:bCs/>
        </w:rPr>
        <w:sectPr>
          <w:pgSz w:w="11906" w:h="16838"/>
          <w:pgMar w:top="1418" w:right="1418" w:bottom="1418" w:left="1418" w:header="851" w:footer="992" w:gutter="0"/>
          <w:pgNumType w:fmt="decimal"/>
          <w:cols w:space="720" w:num="1"/>
          <w:docGrid w:type="lines" w:linePitch="312" w:charSpace="0"/>
        </w:sectPr>
      </w:pPr>
    </w:p>
    <w:p>
      <w:pPr>
        <w:pStyle w:val="4"/>
        <w:spacing w:before="0" w:afterLines="50" w:line="360" w:lineRule="auto"/>
        <w:ind w:firstLine="1968" w:firstLineChars="700"/>
        <w:rPr>
          <w:rFonts w:ascii="宋体" w:hAnsi="宋体" w:eastAsia="宋体"/>
          <w:bCs/>
        </w:rPr>
      </w:pPr>
      <w:bookmarkStart w:id="207" w:name="_Toc529953003"/>
      <w:bookmarkStart w:id="208" w:name="_Toc27912"/>
      <w:bookmarkStart w:id="209" w:name="_Toc29141"/>
      <w:bookmarkStart w:id="210" w:name="_Toc511832006"/>
      <w:bookmarkStart w:id="211" w:name="_Toc473056003"/>
      <w:r>
        <w:rPr>
          <w:rFonts w:ascii="宋体" w:hAnsi="宋体" w:eastAsia="宋体"/>
          <w:bCs/>
        </w:rPr>
        <w:t>四、</w:t>
      </w:r>
      <w:r>
        <w:rPr>
          <w:rFonts w:hint="eastAsia" w:ascii="宋体" w:hAnsi="宋体" w:eastAsia="宋体"/>
          <w:bCs/>
        </w:rPr>
        <w:t>节能环保、环境标志产品</w:t>
      </w:r>
      <w:bookmarkEnd w:id="207"/>
      <w:r>
        <w:rPr>
          <w:rFonts w:hint="eastAsia" w:ascii="宋体" w:hAnsi="宋体" w:eastAsia="宋体"/>
          <w:bCs/>
        </w:rPr>
        <w:t>明细表</w:t>
      </w:r>
      <w:bookmarkEnd w:id="208"/>
      <w:bookmarkEnd w:id="209"/>
    </w:p>
    <w:p>
      <w:pPr>
        <w:pStyle w:val="80"/>
        <w:spacing w:line="400" w:lineRule="exact"/>
        <w:ind w:firstLine="480" w:firstLineChars="200"/>
        <w:rPr>
          <w:rFonts w:ascii="宋体" w:hAnsi="宋体"/>
          <w:b/>
          <w:bCs/>
          <w:sz w:val="24"/>
          <w:szCs w:val="24"/>
        </w:rPr>
      </w:pPr>
      <w:r>
        <w:rPr>
          <w:rFonts w:hint="eastAsia" w:ascii="宋体" w:hAnsi="宋体"/>
          <w:bCs/>
          <w:sz w:val="24"/>
          <w:szCs w:val="24"/>
        </w:rPr>
        <w:t>项目名称：                                               项目编号：</w:t>
      </w:r>
    </w:p>
    <w:tbl>
      <w:tblPr>
        <w:tblStyle w:val="29"/>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序</w:t>
            </w:r>
          </w:p>
          <w:p>
            <w:pPr>
              <w:pStyle w:val="80"/>
              <w:spacing w:line="400" w:lineRule="exact"/>
              <w:jc w:val="center"/>
              <w:rPr>
                <w:rFonts w:ascii="宋体" w:hAnsi="宋体"/>
                <w:sz w:val="24"/>
                <w:szCs w:val="24"/>
              </w:rPr>
            </w:pPr>
            <w:r>
              <w:rPr>
                <w:rFonts w:hint="eastAsia" w:ascii="宋体" w:hAnsi="宋体"/>
                <w:sz w:val="24"/>
                <w:szCs w:val="24"/>
              </w:rPr>
              <w:t>号</w:t>
            </w:r>
          </w:p>
        </w:tc>
        <w:tc>
          <w:tcPr>
            <w:tcW w:w="1554"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产品</w:t>
            </w:r>
          </w:p>
          <w:p>
            <w:pPr>
              <w:pStyle w:val="80"/>
              <w:spacing w:line="400" w:lineRule="exact"/>
              <w:jc w:val="center"/>
              <w:rPr>
                <w:rFonts w:ascii="宋体" w:hAnsi="宋体"/>
                <w:sz w:val="24"/>
                <w:szCs w:val="24"/>
              </w:rPr>
            </w:pPr>
            <w:r>
              <w:rPr>
                <w:rFonts w:hint="eastAsia" w:ascii="宋体" w:hAnsi="宋体"/>
                <w:sz w:val="24"/>
                <w:szCs w:val="24"/>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pStyle w:val="80"/>
              <w:spacing w:line="400" w:lineRule="exact"/>
              <w:jc w:val="center"/>
              <w:rPr>
                <w:rFonts w:ascii="宋体" w:hAnsi="宋体"/>
                <w:sz w:val="24"/>
                <w:szCs w:val="24"/>
              </w:rPr>
            </w:pPr>
            <w:r>
              <w:rPr>
                <w:rFonts w:hint="eastAsia" w:ascii="宋体" w:hAnsi="宋体"/>
                <w:sz w:val="24"/>
                <w:szCs w:val="24"/>
              </w:rPr>
              <w:t>制造</w:t>
            </w:r>
          </w:p>
          <w:p>
            <w:pPr>
              <w:pStyle w:val="80"/>
              <w:spacing w:line="400" w:lineRule="exact"/>
              <w:jc w:val="center"/>
              <w:rPr>
                <w:rFonts w:ascii="宋体" w:hAnsi="宋体"/>
                <w:sz w:val="24"/>
                <w:szCs w:val="24"/>
              </w:rPr>
            </w:pPr>
            <w:r>
              <w:rPr>
                <w:rFonts w:hint="eastAsia" w:ascii="宋体" w:hAnsi="宋体"/>
                <w:sz w:val="24"/>
                <w:szCs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规格</w:t>
            </w:r>
          </w:p>
          <w:p>
            <w:pPr>
              <w:pStyle w:val="80"/>
              <w:spacing w:line="400" w:lineRule="exact"/>
              <w:jc w:val="center"/>
              <w:rPr>
                <w:rFonts w:ascii="宋体" w:hAnsi="宋体"/>
                <w:sz w:val="24"/>
                <w:szCs w:val="24"/>
              </w:rPr>
            </w:pPr>
            <w:r>
              <w:rPr>
                <w:rFonts w:hint="eastAsia" w:ascii="宋体" w:hAnsi="宋体"/>
                <w:sz w:val="24"/>
                <w:szCs w:val="24"/>
              </w:rPr>
              <w:t>型号</w:t>
            </w: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jc w:val="center"/>
              <w:rPr>
                <w:rFonts w:ascii="宋体" w:hAnsi="宋体"/>
                <w:sz w:val="24"/>
                <w:szCs w:val="24"/>
              </w:rPr>
            </w:pPr>
            <w:r>
              <w:rPr>
                <w:rFonts w:hint="eastAsia" w:ascii="宋体" w:hAnsi="宋体"/>
                <w:sz w:val="24"/>
                <w:szCs w:val="24"/>
              </w:rPr>
              <w:t>类</w:t>
            </w:r>
          </w:p>
          <w:p>
            <w:pPr>
              <w:pStyle w:val="80"/>
              <w:spacing w:line="400" w:lineRule="exact"/>
              <w:jc w:val="center"/>
              <w:rPr>
                <w:rFonts w:ascii="宋体" w:hAnsi="宋体"/>
                <w:sz w:val="24"/>
                <w:szCs w:val="24"/>
              </w:rPr>
            </w:pPr>
            <w:r>
              <w:rPr>
                <w:rFonts w:hint="eastAsia" w:ascii="宋体" w:hAnsi="宋体"/>
                <w:sz w:val="24"/>
                <w:szCs w:val="24"/>
              </w:rPr>
              <w:t>别</w:t>
            </w:r>
          </w:p>
        </w:tc>
        <w:tc>
          <w:tcPr>
            <w:tcW w:w="167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认证证书</w:t>
            </w:r>
          </w:p>
          <w:p>
            <w:pPr>
              <w:pStyle w:val="80"/>
              <w:spacing w:line="400" w:lineRule="exact"/>
              <w:jc w:val="center"/>
              <w:rPr>
                <w:rFonts w:ascii="宋体" w:hAnsi="宋体"/>
                <w:sz w:val="24"/>
                <w:szCs w:val="24"/>
              </w:rPr>
            </w:pPr>
            <w:r>
              <w:rPr>
                <w:rFonts w:hint="eastAsia" w:ascii="宋体" w:hAnsi="宋体"/>
                <w:sz w:val="24"/>
                <w:szCs w:val="24"/>
              </w:rPr>
              <w:t>编号</w:t>
            </w:r>
          </w:p>
        </w:tc>
        <w:tc>
          <w:tcPr>
            <w:tcW w:w="71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数</w:t>
            </w:r>
          </w:p>
          <w:p>
            <w:pPr>
              <w:pStyle w:val="80"/>
              <w:spacing w:line="400" w:lineRule="exact"/>
              <w:jc w:val="center"/>
              <w:rPr>
                <w:rFonts w:ascii="宋体" w:hAnsi="宋体"/>
                <w:sz w:val="24"/>
                <w:szCs w:val="24"/>
              </w:rPr>
            </w:pPr>
            <w:r>
              <w:rPr>
                <w:rFonts w:hint="eastAsia" w:ascii="宋体" w:hAnsi="宋体"/>
                <w:sz w:val="24"/>
                <w:szCs w:val="24"/>
              </w:rPr>
              <w:t>量</w:t>
            </w:r>
          </w:p>
        </w:tc>
        <w:tc>
          <w:tcPr>
            <w:tcW w:w="71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单</w:t>
            </w:r>
          </w:p>
          <w:p>
            <w:pPr>
              <w:pStyle w:val="80"/>
              <w:spacing w:line="400" w:lineRule="exact"/>
              <w:jc w:val="center"/>
              <w:rPr>
                <w:rFonts w:ascii="宋体" w:hAnsi="宋体"/>
                <w:sz w:val="24"/>
                <w:szCs w:val="24"/>
              </w:rPr>
            </w:pPr>
            <w:r>
              <w:rPr>
                <w:rFonts w:hint="eastAsia" w:ascii="宋体" w:hAnsi="宋体"/>
                <w:sz w:val="24"/>
                <w:szCs w:val="24"/>
              </w:rPr>
              <w:t>价</w:t>
            </w:r>
          </w:p>
        </w:tc>
        <w:tc>
          <w:tcPr>
            <w:tcW w:w="71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jc w:val="center"/>
              <w:rPr>
                <w:rFonts w:ascii="宋体" w:hAnsi="宋体"/>
                <w:sz w:val="24"/>
                <w:szCs w:val="24"/>
              </w:rPr>
            </w:pPr>
            <w:r>
              <w:rPr>
                <w:rFonts w:hint="eastAsia" w:ascii="宋体" w:hAnsi="宋体"/>
                <w:sz w:val="24"/>
                <w:szCs w:val="24"/>
              </w:rPr>
              <w:t>总</w:t>
            </w:r>
          </w:p>
          <w:p>
            <w:pPr>
              <w:pStyle w:val="80"/>
              <w:spacing w:line="400" w:lineRule="exact"/>
              <w:jc w:val="center"/>
              <w:rPr>
                <w:rFonts w:ascii="宋体" w:hAnsi="宋体"/>
                <w:sz w:val="24"/>
                <w:szCs w:val="24"/>
              </w:rPr>
            </w:pPr>
            <w:r>
              <w:rPr>
                <w:rFonts w:hint="eastAsia" w:ascii="宋体" w:hAnsi="宋体"/>
                <w:sz w:val="24"/>
                <w:szCs w:val="24"/>
              </w:rPr>
              <w:t>价</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554"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036" w:type="dxa"/>
            <w:tcBorders>
              <w:top w:val="single" w:color="auto" w:sz="6" w:space="0"/>
              <w:left w:val="single" w:color="auto" w:sz="6" w:space="0"/>
              <w:bottom w:val="single" w:color="auto" w:sz="6" w:space="0"/>
              <w:right w:val="single" w:color="auto" w:sz="4" w:space="0"/>
            </w:tcBorders>
          </w:tcPr>
          <w:p>
            <w:pPr>
              <w:pStyle w:val="80"/>
              <w:spacing w:line="400" w:lineRule="exact"/>
              <w:rPr>
                <w:rFonts w:ascii="宋体" w:hAnsi="宋体"/>
                <w:sz w:val="24"/>
                <w:szCs w:val="24"/>
              </w:rPr>
            </w:pPr>
          </w:p>
        </w:tc>
        <w:tc>
          <w:tcPr>
            <w:tcW w:w="1036" w:type="dxa"/>
            <w:tcBorders>
              <w:top w:val="single" w:color="auto" w:sz="6" w:space="0"/>
              <w:left w:val="single" w:color="auto" w:sz="4"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67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554"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036" w:type="dxa"/>
            <w:tcBorders>
              <w:top w:val="single" w:color="auto" w:sz="6" w:space="0"/>
              <w:left w:val="single" w:color="auto" w:sz="6" w:space="0"/>
              <w:bottom w:val="single" w:color="auto" w:sz="6" w:space="0"/>
              <w:right w:val="single" w:color="auto" w:sz="4" w:space="0"/>
            </w:tcBorders>
          </w:tcPr>
          <w:p>
            <w:pPr>
              <w:pStyle w:val="80"/>
              <w:spacing w:line="400" w:lineRule="exact"/>
              <w:rPr>
                <w:rFonts w:ascii="宋体" w:hAnsi="宋体"/>
                <w:sz w:val="24"/>
                <w:szCs w:val="24"/>
              </w:rPr>
            </w:pPr>
          </w:p>
        </w:tc>
        <w:tc>
          <w:tcPr>
            <w:tcW w:w="1036" w:type="dxa"/>
            <w:tcBorders>
              <w:top w:val="single" w:color="auto" w:sz="6" w:space="0"/>
              <w:left w:val="single" w:color="auto" w:sz="4"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67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554"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036" w:type="dxa"/>
            <w:tcBorders>
              <w:top w:val="single" w:color="auto" w:sz="6" w:space="0"/>
              <w:left w:val="single" w:color="auto" w:sz="6" w:space="0"/>
              <w:bottom w:val="single" w:color="auto" w:sz="6" w:space="0"/>
              <w:right w:val="single" w:color="auto" w:sz="4" w:space="0"/>
            </w:tcBorders>
          </w:tcPr>
          <w:p>
            <w:pPr>
              <w:pStyle w:val="80"/>
              <w:spacing w:line="400" w:lineRule="exact"/>
              <w:rPr>
                <w:rFonts w:ascii="宋体" w:hAnsi="宋体"/>
                <w:sz w:val="24"/>
                <w:szCs w:val="24"/>
              </w:rPr>
            </w:pPr>
          </w:p>
        </w:tc>
        <w:tc>
          <w:tcPr>
            <w:tcW w:w="1036" w:type="dxa"/>
            <w:tcBorders>
              <w:top w:val="single" w:color="auto" w:sz="6" w:space="0"/>
              <w:left w:val="single" w:color="auto" w:sz="4"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67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554"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036" w:type="dxa"/>
            <w:tcBorders>
              <w:top w:val="single" w:color="auto" w:sz="6" w:space="0"/>
              <w:left w:val="single" w:color="auto" w:sz="6" w:space="0"/>
              <w:bottom w:val="single" w:color="auto" w:sz="6" w:space="0"/>
              <w:right w:val="single" w:color="auto" w:sz="4" w:space="0"/>
            </w:tcBorders>
          </w:tcPr>
          <w:p>
            <w:pPr>
              <w:pStyle w:val="80"/>
              <w:spacing w:line="400" w:lineRule="exact"/>
              <w:rPr>
                <w:rFonts w:ascii="宋体" w:hAnsi="宋体"/>
                <w:sz w:val="24"/>
                <w:szCs w:val="24"/>
              </w:rPr>
            </w:pPr>
          </w:p>
        </w:tc>
        <w:tc>
          <w:tcPr>
            <w:tcW w:w="1036" w:type="dxa"/>
            <w:tcBorders>
              <w:top w:val="single" w:color="auto" w:sz="6" w:space="0"/>
              <w:left w:val="single" w:color="auto" w:sz="4"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67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554"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036" w:type="dxa"/>
            <w:tcBorders>
              <w:top w:val="single" w:color="auto" w:sz="6" w:space="0"/>
              <w:left w:val="single" w:color="auto" w:sz="6" w:space="0"/>
              <w:bottom w:val="single" w:color="auto" w:sz="6" w:space="0"/>
              <w:right w:val="single" w:color="auto" w:sz="4" w:space="0"/>
            </w:tcBorders>
          </w:tcPr>
          <w:p>
            <w:pPr>
              <w:pStyle w:val="80"/>
              <w:spacing w:line="400" w:lineRule="exact"/>
              <w:rPr>
                <w:rFonts w:ascii="宋体" w:hAnsi="宋体"/>
                <w:sz w:val="24"/>
                <w:szCs w:val="24"/>
              </w:rPr>
            </w:pPr>
          </w:p>
        </w:tc>
        <w:tc>
          <w:tcPr>
            <w:tcW w:w="1036" w:type="dxa"/>
            <w:tcBorders>
              <w:top w:val="single" w:color="auto" w:sz="6" w:space="0"/>
              <w:left w:val="single" w:color="auto" w:sz="4"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167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c>
          <w:tcPr>
            <w:tcW w:w="716" w:type="dxa"/>
            <w:tcBorders>
              <w:top w:val="single" w:color="auto" w:sz="6" w:space="0"/>
              <w:left w:val="single" w:color="auto" w:sz="6" w:space="0"/>
              <w:bottom w:val="single" w:color="auto" w:sz="6" w:space="0"/>
              <w:right w:val="single" w:color="auto" w:sz="6" w:space="0"/>
            </w:tcBorders>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pStyle w:val="80"/>
              <w:spacing w:line="400" w:lineRule="exact"/>
              <w:rPr>
                <w:rFonts w:ascii="宋体" w:hAnsi="宋体"/>
                <w:sz w:val="24"/>
                <w:szCs w:val="24"/>
              </w:rPr>
            </w:pPr>
            <w:r>
              <w:rPr>
                <w:rFonts w:hint="eastAsia" w:ascii="宋体" w:hAnsi="宋体"/>
                <w:sz w:val="24"/>
                <w:szCs w:val="24"/>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pStyle w:val="80"/>
              <w:spacing w:line="400" w:lineRule="exact"/>
              <w:rPr>
                <w:rFonts w:ascii="宋体" w:hAnsi="宋体"/>
                <w:sz w:val="24"/>
                <w:szCs w:val="24"/>
              </w:rPr>
            </w:pPr>
          </w:p>
        </w:tc>
      </w:tr>
      <w:tr>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pStyle w:val="80"/>
              <w:spacing w:line="400" w:lineRule="exact"/>
              <w:rPr>
                <w:rFonts w:ascii="宋体" w:hAnsi="宋体"/>
                <w:sz w:val="24"/>
                <w:szCs w:val="24"/>
              </w:rPr>
            </w:pPr>
            <w:r>
              <w:rPr>
                <w:rFonts w:hint="eastAsia" w:ascii="宋体" w:hAnsi="宋体"/>
                <w:sz w:val="24"/>
                <w:szCs w:val="24"/>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pStyle w:val="80"/>
              <w:spacing w:line="400" w:lineRule="exact"/>
              <w:rPr>
                <w:rFonts w:ascii="宋体" w:hAnsi="宋体"/>
                <w:sz w:val="24"/>
                <w:szCs w:val="24"/>
              </w:rPr>
            </w:pPr>
          </w:p>
        </w:tc>
      </w:tr>
    </w:tbl>
    <w:p>
      <w:pPr>
        <w:pStyle w:val="80"/>
        <w:spacing w:line="400" w:lineRule="exact"/>
        <w:rPr>
          <w:rFonts w:ascii="宋体" w:hAnsi="宋体"/>
          <w:sz w:val="24"/>
          <w:szCs w:val="24"/>
        </w:rPr>
      </w:pPr>
      <w:r>
        <w:rPr>
          <w:rFonts w:hint="eastAsia" w:ascii="宋体" w:hAnsi="宋体"/>
          <w:sz w:val="24"/>
          <w:szCs w:val="24"/>
        </w:rPr>
        <w:t>注：1.如投标产品为节能环保、环境标志产品，须按格式逐项填写，并附相关证明，否则评审时不予计分。</w:t>
      </w:r>
    </w:p>
    <w:p>
      <w:pPr>
        <w:pStyle w:val="80"/>
        <w:spacing w:line="400" w:lineRule="exact"/>
        <w:rPr>
          <w:rFonts w:ascii="宋体" w:hAnsi="宋体"/>
          <w:sz w:val="24"/>
          <w:szCs w:val="24"/>
        </w:rPr>
      </w:pPr>
      <w:r>
        <w:rPr>
          <w:rFonts w:hint="eastAsia" w:ascii="宋体" w:hAnsi="宋体"/>
          <w:sz w:val="24"/>
          <w:szCs w:val="24"/>
        </w:rPr>
        <w:t>2.类别填写：节能环保产品或环境标志产品。</w:t>
      </w:r>
    </w:p>
    <w:p>
      <w:pPr>
        <w:pStyle w:val="80"/>
        <w:spacing w:line="400" w:lineRule="exact"/>
        <w:rPr>
          <w:rFonts w:ascii="宋体" w:hAnsi="宋体"/>
          <w:sz w:val="24"/>
          <w:szCs w:val="24"/>
        </w:rPr>
      </w:pPr>
      <w:r>
        <w:rPr>
          <w:rFonts w:hint="eastAsia" w:ascii="宋体" w:hAnsi="宋体"/>
          <w:sz w:val="24"/>
          <w:szCs w:val="24"/>
        </w:rPr>
        <w:t>3. 投标人所投产品若有符合要求,以开标前一天中国政府采购网上公示的最新一期清单为准，投标人提供网上截图并醒目标识。</w:t>
      </w:r>
    </w:p>
    <w:p>
      <w:pPr>
        <w:pStyle w:val="80"/>
        <w:spacing w:line="400" w:lineRule="exact"/>
        <w:rPr>
          <w:rFonts w:ascii="宋体" w:hAnsi="宋体"/>
          <w:sz w:val="24"/>
          <w:szCs w:val="24"/>
        </w:rPr>
      </w:pPr>
      <w:r>
        <w:rPr>
          <w:rFonts w:hint="eastAsia" w:ascii="宋体" w:hAnsi="宋体"/>
          <w:sz w:val="24"/>
          <w:szCs w:val="24"/>
        </w:rPr>
        <w:t>4.</w:t>
      </w:r>
      <w:r>
        <w:rPr>
          <w:rFonts w:hint="eastAsia" w:ascii="宋体" w:hAnsi="宋体"/>
          <w:bCs/>
          <w:sz w:val="24"/>
          <w:szCs w:val="24"/>
        </w:rPr>
        <w:t xml:space="preserve"> 未按上述要求提供、</w:t>
      </w:r>
      <w:r>
        <w:rPr>
          <w:rFonts w:hint="eastAsia" w:ascii="宋体" w:hAnsi="宋体"/>
          <w:sz w:val="24"/>
          <w:szCs w:val="24"/>
        </w:rPr>
        <w:t>填写</w:t>
      </w:r>
      <w:r>
        <w:rPr>
          <w:rFonts w:hint="eastAsia" w:ascii="宋体" w:hAnsi="宋体"/>
          <w:bCs/>
          <w:sz w:val="24"/>
          <w:szCs w:val="24"/>
        </w:rPr>
        <w:t>的，评审时不予以考虑。</w:t>
      </w:r>
    </w:p>
    <w:p>
      <w:pPr>
        <w:pStyle w:val="80"/>
        <w:spacing w:line="400" w:lineRule="exact"/>
        <w:rPr>
          <w:rFonts w:ascii="宋体" w:hAnsi="宋体"/>
          <w:sz w:val="24"/>
          <w:szCs w:val="24"/>
        </w:rPr>
      </w:pPr>
    </w:p>
    <w:p>
      <w:pPr>
        <w:pStyle w:val="80"/>
        <w:spacing w:line="400" w:lineRule="exact"/>
        <w:ind w:firstLine="3600" w:firstLineChars="1500"/>
        <w:rPr>
          <w:rFonts w:ascii="宋体" w:hAnsi="宋体"/>
          <w:sz w:val="24"/>
          <w:szCs w:val="24"/>
        </w:rPr>
      </w:pPr>
    </w:p>
    <w:p>
      <w:pPr>
        <w:pStyle w:val="80"/>
        <w:spacing w:line="400" w:lineRule="exact"/>
        <w:ind w:firstLine="3600" w:firstLineChars="1500"/>
        <w:rPr>
          <w:rFonts w:ascii="宋体" w:hAnsi="宋体"/>
          <w:sz w:val="24"/>
          <w:szCs w:val="24"/>
        </w:rPr>
      </w:pPr>
    </w:p>
    <w:p>
      <w:pPr>
        <w:pStyle w:val="80"/>
        <w:spacing w:line="400" w:lineRule="exact"/>
        <w:ind w:firstLine="3600" w:firstLineChars="150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600" w:firstLineChars="150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600" w:firstLineChars="15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80"/>
        <w:spacing w:line="400" w:lineRule="exact"/>
        <w:ind w:firstLine="3960" w:firstLineChars="1650"/>
        <w:sectPr>
          <w:headerReference r:id="rId20" w:type="even"/>
          <w:pgSz w:w="11906" w:h="16838"/>
          <w:pgMar w:top="1418" w:right="1418" w:bottom="1418" w:left="1418" w:header="851" w:footer="992" w:gutter="0"/>
          <w:pgNumType w:fmt="decimal"/>
          <w:cols w:space="720" w:num="1"/>
          <w:docGrid w:linePitch="312" w:charSpace="0"/>
        </w:sectPr>
      </w:pPr>
      <w:r>
        <w:rPr>
          <w:rFonts w:ascii="宋体" w:hAnsi="宋体"/>
          <w:b w:val="0"/>
          <w:bCs/>
          <w:sz w:val="24"/>
          <w:szCs w:val="24"/>
        </w:rPr>
        <w:br w:type="page"/>
      </w:r>
      <w:bookmarkStart w:id="212" w:name="_Toc529953005"/>
    </w:p>
    <w:p>
      <w:pPr>
        <w:pStyle w:val="4"/>
        <w:spacing w:before="0" w:afterLines="50" w:line="360" w:lineRule="auto"/>
        <w:ind w:firstLine="2811" w:firstLineChars="1000"/>
        <w:rPr>
          <w:rFonts w:ascii="宋体" w:hAnsi="宋体" w:eastAsia="宋体"/>
          <w:bCs/>
        </w:rPr>
      </w:pPr>
      <w:bookmarkStart w:id="213" w:name="_Toc11142"/>
      <w:bookmarkStart w:id="214" w:name="_Toc12671"/>
      <w:r>
        <w:rPr>
          <w:rFonts w:hint="eastAsia" w:ascii="宋体" w:hAnsi="宋体" w:eastAsia="宋体"/>
          <w:bCs/>
          <w:lang w:eastAsia="zh-CN"/>
        </w:rPr>
        <w:t>五</w:t>
      </w:r>
      <w:r>
        <w:rPr>
          <w:rFonts w:ascii="宋体" w:hAnsi="宋体" w:eastAsia="宋体"/>
          <w:bCs/>
        </w:rPr>
        <w:t>、</w:t>
      </w:r>
      <w:bookmarkEnd w:id="210"/>
      <w:bookmarkEnd w:id="211"/>
      <w:r>
        <w:rPr>
          <w:rFonts w:ascii="宋体" w:hAnsi="宋体" w:eastAsia="宋体"/>
          <w:bCs/>
        </w:rPr>
        <w:t>技术规格偏离表</w:t>
      </w:r>
      <w:bookmarkEnd w:id="212"/>
      <w:bookmarkEnd w:id="213"/>
      <w:bookmarkEnd w:id="214"/>
    </w:p>
    <w:p>
      <w:pPr>
        <w:pStyle w:val="80"/>
        <w:spacing w:line="400" w:lineRule="exact"/>
        <w:ind w:firstLine="360" w:firstLineChars="150"/>
        <w:rPr>
          <w:rFonts w:ascii="宋体" w:hAnsi="宋体"/>
          <w:sz w:val="24"/>
          <w:szCs w:val="24"/>
        </w:rPr>
      </w:pPr>
      <w:r>
        <w:rPr>
          <w:rFonts w:hint="eastAsia" w:ascii="宋体" w:hAnsi="宋体"/>
          <w:sz w:val="24"/>
          <w:szCs w:val="24"/>
        </w:rPr>
        <w:t>项目名称：                                         项目编号：</w:t>
      </w:r>
    </w:p>
    <w:tbl>
      <w:tblPr>
        <w:tblStyle w:val="29"/>
        <w:tblW w:w="80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40"/>
        <w:gridCol w:w="1259"/>
        <w:gridCol w:w="2790"/>
        <w:gridCol w:w="893"/>
        <w:gridCol w:w="1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75"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序号</w:t>
            </w:r>
          </w:p>
        </w:tc>
        <w:tc>
          <w:tcPr>
            <w:tcW w:w="840" w:type="dxa"/>
            <w:vAlign w:val="center"/>
          </w:tcPr>
          <w:p>
            <w:pPr>
              <w:pStyle w:val="80"/>
              <w:spacing w:line="400" w:lineRule="exact"/>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名称</w:t>
            </w:r>
          </w:p>
        </w:tc>
        <w:tc>
          <w:tcPr>
            <w:tcW w:w="1259" w:type="dxa"/>
            <w:vAlign w:val="center"/>
          </w:tcPr>
          <w:p>
            <w:pPr>
              <w:pStyle w:val="80"/>
              <w:spacing w:line="400" w:lineRule="exact"/>
              <w:jc w:val="center"/>
              <w:rPr>
                <w:rFonts w:ascii="宋体" w:hAnsi="宋体"/>
                <w:b/>
                <w:sz w:val="24"/>
                <w:szCs w:val="24"/>
              </w:rPr>
            </w:pPr>
            <w:r>
              <w:rPr>
                <w:rFonts w:hint="eastAsia" w:ascii="宋体" w:hAnsi="宋体"/>
                <w:b/>
                <w:sz w:val="24"/>
                <w:szCs w:val="24"/>
              </w:rPr>
              <w:t>采购规格及</w:t>
            </w:r>
          </w:p>
          <w:p>
            <w:pPr>
              <w:pStyle w:val="80"/>
              <w:spacing w:line="400" w:lineRule="exact"/>
              <w:jc w:val="center"/>
              <w:rPr>
                <w:rFonts w:ascii="宋体" w:hAnsi="宋体"/>
                <w:b/>
                <w:bCs/>
                <w:sz w:val="24"/>
                <w:szCs w:val="24"/>
              </w:rPr>
            </w:pPr>
            <w:r>
              <w:rPr>
                <w:rFonts w:hint="eastAsia" w:ascii="宋体" w:hAnsi="宋体"/>
                <w:b/>
                <w:sz w:val="24"/>
                <w:szCs w:val="24"/>
              </w:rPr>
              <w:t>技术需求</w:t>
            </w:r>
          </w:p>
        </w:tc>
        <w:tc>
          <w:tcPr>
            <w:tcW w:w="2790" w:type="dxa"/>
            <w:vAlign w:val="center"/>
          </w:tcPr>
          <w:p>
            <w:pPr>
              <w:pStyle w:val="80"/>
              <w:spacing w:line="400" w:lineRule="exact"/>
              <w:jc w:val="center"/>
              <w:rPr>
                <w:rFonts w:ascii="宋体" w:hAnsi="宋体"/>
                <w:b/>
                <w:sz w:val="24"/>
                <w:szCs w:val="24"/>
              </w:rPr>
            </w:pPr>
            <w:r>
              <w:rPr>
                <w:rFonts w:hint="eastAsia" w:ascii="宋体" w:hAnsi="宋体"/>
                <w:b/>
                <w:sz w:val="24"/>
                <w:szCs w:val="24"/>
              </w:rPr>
              <w:t>投标文件规格及</w:t>
            </w:r>
          </w:p>
          <w:p>
            <w:pPr>
              <w:pStyle w:val="80"/>
              <w:spacing w:line="400" w:lineRule="exact"/>
              <w:jc w:val="center"/>
              <w:rPr>
                <w:rFonts w:ascii="宋体" w:hAnsi="宋体"/>
                <w:b/>
                <w:sz w:val="24"/>
                <w:szCs w:val="24"/>
              </w:rPr>
            </w:pPr>
            <w:r>
              <w:rPr>
                <w:rFonts w:hint="eastAsia" w:ascii="宋体" w:hAnsi="宋体"/>
                <w:b/>
                <w:sz w:val="24"/>
                <w:szCs w:val="24"/>
              </w:rPr>
              <w:t>技术参数</w:t>
            </w:r>
          </w:p>
        </w:tc>
        <w:tc>
          <w:tcPr>
            <w:tcW w:w="893"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偏离</w:t>
            </w:r>
          </w:p>
        </w:tc>
        <w:tc>
          <w:tcPr>
            <w:tcW w:w="1786"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偏离</w:t>
            </w:r>
          </w:p>
          <w:p>
            <w:pPr>
              <w:pStyle w:val="80"/>
              <w:spacing w:line="400" w:lineRule="exact"/>
              <w:jc w:val="center"/>
              <w:rPr>
                <w:rFonts w:ascii="宋体" w:hAnsi="宋体"/>
                <w:b/>
                <w:bCs/>
                <w:sz w:val="24"/>
                <w:szCs w:val="24"/>
              </w:rPr>
            </w:pPr>
            <w:r>
              <w:rPr>
                <w:rFonts w:hint="eastAsia" w:ascii="宋体" w:hAnsi="宋体"/>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75" w:type="dxa"/>
          </w:tcPr>
          <w:p>
            <w:pPr>
              <w:pStyle w:val="80"/>
              <w:spacing w:line="400" w:lineRule="exact"/>
              <w:rPr>
                <w:rFonts w:ascii="宋体" w:hAnsi="宋体"/>
                <w:bCs/>
                <w:sz w:val="24"/>
                <w:szCs w:val="24"/>
              </w:rPr>
            </w:pPr>
          </w:p>
        </w:tc>
        <w:tc>
          <w:tcPr>
            <w:tcW w:w="840" w:type="dxa"/>
          </w:tcPr>
          <w:p>
            <w:pPr>
              <w:pStyle w:val="80"/>
              <w:spacing w:line="400" w:lineRule="exact"/>
              <w:rPr>
                <w:rFonts w:ascii="宋体" w:hAnsi="宋体"/>
                <w:bCs/>
                <w:sz w:val="24"/>
                <w:szCs w:val="24"/>
              </w:rPr>
            </w:pPr>
          </w:p>
        </w:tc>
        <w:tc>
          <w:tcPr>
            <w:tcW w:w="1259" w:type="dxa"/>
          </w:tcPr>
          <w:p>
            <w:pPr>
              <w:pStyle w:val="80"/>
              <w:spacing w:line="400" w:lineRule="exact"/>
              <w:rPr>
                <w:rFonts w:ascii="宋体" w:hAnsi="宋体"/>
                <w:bCs/>
                <w:sz w:val="24"/>
                <w:szCs w:val="24"/>
              </w:rPr>
            </w:pPr>
          </w:p>
        </w:tc>
        <w:tc>
          <w:tcPr>
            <w:tcW w:w="2790" w:type="dxa"/>
          </w:tcPr>
          <w:p>
            <w:pPr>
              <w:pStyle w:val="80"/>
              <w:spacing w:line="400" w:lineRule="exact"/>
              <w:rPr>
                <w:rFonts w:ascii="宋体" w:hAnsi="宋体"/>
                <w:bCs/>
                <w:sz w:val="24"/>
                <w:szCs w:val="24"/>
              </w:rPr>
            </w:pPr>
          </w:p>
        </w:tc>
        <w:tc>
          <w:tcPr>
            <w:tcW w:w="893" w:type="dxa"/>
          </w:tcPr>
          <w:p>
            <w:pPr>
              <w:pStyle w:val="80"/>
              <w:spacing w:line="400" w:lineRule="exact"/>
              <w:rPr>
                <w:rFonts w:ascii="宋体" w:hAnsi="宋体"/>
                <w:bCs/>
                <w:sz w:val="24"/>
                <w:szCs w:val="24"/>
              </w:rPr>
            </w:pPr>
          </w:p>
        </w:tc>
        <w:tc>
          <w:tcPr>
            <w:tcW w:w="1786" w:type="dxa"/>
          </w:tcPr>
          <w:p>
            <w:pPr>
              <w:pStyle w:val="80"/>
              <w:spacing w:line="400" w:lineRule="exact"/>
              <w:rPr>
                <w:rFonts w:ascii="宋体" w:hAnsi="宋体"/>
                <w:bCs/>
                <w:sz w:val="24"/>
                <w:szCs w:val="24"/>
              </w:rPr>
            </w:pPr>
          </w:p>
        </w:tc>
      </w:tr>
    </w:tbl>
    <w:p>
      <w:pPr>
        <w:pStyle w:val="80"/>
        <w:spacing w:line="400" w:lineRule="exact"/>
        <w:rPr>
          <w:rFonts w:ascii="宋体" w:hAnsi="宋体"/>
          <w:b/>
          <w:bCs/>
          <w:sz w:val="24"/>
          <w:szCs w:val="24"/>
        </w:rPr>
      </w:pPr>
      <w:r>
        <w:rPr>
          <w:rFonts w:hint="eastAsia" w:ascii="宋体" w:hAnsi="宋体"/>
          <w:b/>
          <w:bCs/>
          <w:sz w:val="24"/>
          <w:szCs w:val="24"/>
        </w:rPr>
        <w:t>说明：</w:t>
      </w:r>
    </w:p>
    <w:p>
      <w:pPr>
        <w:pStyle w:val="80"/>
        <w:spacing w:line="400" w:lineRule="exact"/>
        <w:rPr>
          <w:rFonts w:ascii="宋体" w:hAnsi="宋体"/>
          <w:b/>
          <w:bCs/>
          <w:sz w:val="24"/>
        </w:rPr>
      </w:pPr>
      <w:r>
        <w:rPr>
          <w:rFonts w:hint="eastAsia" w:ascii="宋体" w:hAnsi="宋体"/>
          <w:b/>
          <w:bCs/>
          <w:sz w:val="24"/>
        </w:rPr>
        <w:t>1.本表须逐</w:t>
      </w:r>
      <w:r>
        <w:rPr>
          <w:rFonts w:hint="eastAsia" w:ascii="宋体" w:hAnsi="宋体"/>
          <w:b/>
          <w:bCs/>
          <w:sz w:val="24"/>
          <w:lang w:eastAsia="zh-CN"/>
        </w:rPr>
        <w:t>如实</w:t>
      </w:r>
      <w:r>
        <w:rPr>
          <w:rFonts w:hint="eastAsia" w:ascii="宋体" w:hAnsi="宋体"/>
          <w:b/>
          <w:bCs/>
          <w:sz w:val="24"/>
        </w:rPr>
        <w:t>填写，不得空缺；如空缺将视为没有实质性响应招标文件。</w:t>
      </w:r>
    </w:p>
    <w:p>
      <w:pPr>
        <w:pStyle w:val="80"/>
        <w:spacing w:line="400" w:lineRule="exact"/>
        <w:rPr>
          <w:rFonts w:ascii="宋体" w:hAnsi="宋体"/>
          <w:b/>
          <w:bCs/>
          <w:sz w:val="24"/>
        </w:rPr>
      </w:pPr>
      <w:r>
        <w:rPr>
          <w:rFonts w:hint="eastAsia" w:ascii="宋体" w:hAnsi="宋体"/>
          <w:b/>
          <w:bCs/>
          <w:sz w:val="24"/>
        </w:rPr>
        <w:t>2.偏离填写：</w:t>
      </w:r>
      <w:r>
        <w:rPr>
          <w:rFonts w:hint="eastAsia" w:ascii="宋体" w:hAnsi="宋体"/>
          <w:b/>
          <w:bCs/>
          <w:sz w:val="24"/>
          <w:lang w:eastAsia="zh-CN"/>
        </w:rPr>
        <w:t>优于</w:t>
      </w:r>
      <w:r>
        <w:rPr>
          <w:rFonts w:hint="eastAsia" w:ascii="宋体" w:hAnsi="宋体"/>
          <w:b/>
          <w:bCs/>
          <w:sz w:val="24"/>
        </w:rPr>
        <w:t>、</w:t>
      </w:r>
      <w:r>
        <w:rPr>
          <w:rFonts w:hint="eastAsia" w:ascii="宋体" w:hAnsi="宋体"/>
          <w:b/>
          <w:bCs/>
          <w:sz w:val="24"/>
          <w:lang w:eastAsia="zh-CN"/>
        </w:rPr>
        <w:t>低于</w:t>
      </w:r>
      <w:r>
        <w:rPr>
          <w:rFonts w:hint="eastAsia" w:ascii="宋体" w:hAnsi="宋体"/>
          <w:b/>
          <w:bCs/>
          <w:sz w:val="24"/>
        </w:rPr>
        <w:t>、相同。</w:t>
      </w:r>
    </w:p>
    <w:p>
      <w:pPr>
        <w:pStyle w:val="80"/>
        <w:spacing w:line="400" w:lineRule="exact"/>
        <w:rPr>
          <w:rFonts w:ascii="宋体" w:hAnsi="宋体"/>
          <w:b/>
          <w:bCs/>
          <w:sz w:val="24"/>
        </w:rPr>
      </w:pPr>
      <w:r>
        <w:rPr>
          <w:rFonts w:hint="eastAsia" w:ascii="宋体" w:hAnsi="宋体"/>
          <w:b/>
          <w:bCs/>
          <w:sz w:val="24"/>
        </w:rPr>
        <w:t>3.投标人必须据实填写，不得虚假响应，否则将取消其投标或中标资格，并按有关规定进行处罚。</w:t>
      </w:r>
    </w:p>
    <w:p>
      <w:pPr>
        <w:pStyle w:val="80"/>
        <w:spacing w:line="400" w:lineRule="exact"/>
        <w:rPr>
          <w:rFonts w:ascii="宋体" w:hAnsi="宋体"/>
          <w:b/>
          <w:bCs/>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3840" w:firstLineChars="160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840" w:firstLineChars="160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840" w:firstLineChars="16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jc w:val="center"/>
        <w:rPr>
          <w:b w:val="0"/>
          <w:bCs/>
        </w:rPr>
      </w:pPr>
      <w:r>
        <w:rPr>
          <w:rFonts w:ascii="宋体" w:hAnsi="宋体"/>
          <w:b w:val="0"/>
          <w:bCs/>
          <w:sz w:val="24"/>
          <w:szCs w:val="24"/>
        </w:rPr>
        <w:br w:type="page"/>
      </w:r>
      <w:bookmarkStart w:id="215" w:name="_Toc23506"/>
      <w:bookmarkStart w:id="216" w:name="_Toc7162"/>
      <w:bookmarkStart w:id="217" w:name="_Toc511832007"/>
      <w:bookmarkStart w:id="218" w:name="_Toc529953006"/>
      <w:r>
        <w:rPr>
          <w:rFonts w:hint="eastAsia" w:ascii="宋体" w:hAnsi="宋体" w:eastAsia="宋体"/>
          <w:bCs/>
          <w:lang w:eastAsia="zh-CN"/>
        </w:rPr>
        <w:t>六</w:t>
      </w:r>
      <w:r>
        <w:rPr>
          <w:rFonts w:ascii="宋体" w:hAnsi="宋体" w:eastAsia="宋体"/>
          <w:bCs/>
        </w:rPr>
        <w:t>、</w:t>
      </w:r>
      <w:r>
        <w:rPr>
          <w:rFonts w:hint="eastAsia" w:ascii="宋体" w:hAnsi="宋体" w:eastAsia="宋体"/>
          <w:bCs/>
        </w:rPr>
        <w:t>商务要求</w:t>
      </w:r>
      <w:r>
        <w:rPr>
          <w:rFonts w:ascii="宋体" w:hAnsi="宋体" w:eastAsia="宋体"/>
          <w:bCs/>
        </w:rPr>
        <w:t>偏离表</w:t>
      </w:r>
      <w:bookmarkEnd w:id="215"/>
      <w:bookmarkEnd w:id="216"/>
      <w:bookmarkEnd w:id="217"/>
      <w:bookmarkEnd w:id="218"/>
    </w:p>
    <w:p>
      <w:pPr>
        <w:pStyle w:val="80"/>
        <w:spacing w:line="400" w:lineRule="exact"/>
        <w:ind w:firstLine="600" w:firstLineChars="250"/>
        <w:rPr>
          <w:rFonts w:ascii="宋体" w:hAnsi="宋体"/>
          <w:sz w:val="24"/>
          <w:szCs w:val="24"/>
        </w:rPr>
      </w:pPr>
      <w:r>
        <w:rPr>
          <w:rFonts w:hint="eastAsia" w:ascii="宋体" w:hAnsi="宋体"/>
          <w:bCs/>
          <w:sz w:val="24"/>
          <w:szCs w:val="24"/>
        </w:rPr>
        <w:t>项目名称：                                项目编号：</w:t>
      </w:r>
    </w:p>
    <w:tbl>
      <w:tblPr>
        <w:tblStyle w:val="29"/>
        <w:tblW w:w="78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06"/>
        <w:gridCol w:w="2541"/>
        <w:gridCol w:w="952"/>
        <w:gridCol w:w="1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5"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序号</w:t>
            </w:r>
          </w:p>
        </w:tc>
        <w:tc>
          <w:tcPr>
            <w:tcW w:w="1906"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采购商务要求</w:t>
            </w:r>
          </w:p>
        </w:tc>
        <w:tc>
          <w:tcPr>
            <w:tcW w:w="2541"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投标文件商务响应</w:t>
            </w:r>
          </w:p>
        </w:tc>
        <w:tc>
          <w:tcPr>
            <w:tcW w:w="952"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偏离</w:t>
            </w:r>
          </w:p>
        </w:tc>
        <w:tc>
          <w:tcPr>
            <w:tcW w:w="1544" w:type="dxa"/>
            <w:vAlign w:val="center"/>
          </w:tcPr>
          <w:p>
            <w:pPr>
              <w:pStyle w:val="80"/>
              <w:spacing w:line="400" w:lineRule="exact"/>
              <w:jc w:val="center"/>
              <w:rPr>
                <w:rFonts w:ascii="宋体" w:hAnsi="宋体"/>
                <w:b/>
                <w:bCs/>
                <w:sz w:val="24"/>
                <w:szCs w:val="24"/>
              </w:rPr>
            </w:pPr>
            <w:r>
              <w:rPr>
                <w:rFonts w:hint="eastAsia" w:ascii="宋体" w:hAnsi="宋体"/>
                <w:b/>
                <w:bCs/>
                <w:sz w:val="24"/>
                <w:szCs w:val="24"/>
              </w:rPr>
              <w:t>偏离</w:t>
            </w:r>
          </w:p>
          <w:p>
            <w:pPr>
              <w:pStyle w:val="80"/>
              <w:spacing w:line="400" w:lineRule="exact"/>
              <w:jc w:val="center"/>
              <w:rPr>
                <w:rFonts w:ascii="宋体" w:hAnsi="宋体"/>
                <w:b/>
                <w:bCs/>
                <w:sz w:val="24"/>
                <w:szCs w:val="24"/>
              </w:rPr>
            </w:pPr>
            <w:r>
              <w:rPr>
                <w:rFonts w:hint="eastAsia" w:ascii="宋体" w:hAnsi="宋体"/>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75" w:type="dxa"/>
          </w:tcPr>
          <w:p>
            <w:pPr>
              <w:pStyle w:val="80"/>
              <w:spacing w:line="400" w:lineRule="exact"/>
              <w:rPr>
                <w:rFonts w:ascii="宋体" w:hAnsi="宋体"/>
                <w:bCs/>
                <w:sz w:val="24"/>
                <w:szCs w:val="24"/>
              </w:rPr>
            </w:pPr>
          </w:p>
        </w:tc>
        <w:tc>
          <w:tcPr>
            <w:tcW w:w="1906" w:type="dxa"/>
          </w:tcPr>
          <w:p>
            <w:pPr>
              <w:pStyle w:val="80"/>
              <w:spacing w:line="400" w:lineRule="exact"/>
              <w:rPr>
                <w:rFonts w:ascii="宋体" w:hAnsi="宋体"/>
                <w:bCs/>
                <w:sz w:val="24"/>
                <w:szCs w:val="24"/>
              </w:rPr>
            </w:pPr>
          </w:p>
        </w:tc>
        <w:tc>
          <w:tcPr>
            <w:tcW w:w="2541" w:type="dxa"/>
          </w:tcPr>
          <w:p>
            <w:pPr>
              <w:pStyle w:val="80"/>
              <w:spacing w:line="400" w:lineRule="exact"/>
              <w:rPr>
                <w:rFonts w:ascii="宋体" w:hAnsi="宋体"/>
                <w:bCs/>
                <w:sz w:val="24"/>
                <w:szCs w:val="24"/>
              </w:rPr>
            </w:pPr>
          </w:p>
        </w:tc>
        <w:tc>
          <w:tcPr>
            <w:tcW w:w="952" w:type="dxa"/>
          </w:tcPr>
          <w:p>
            <w:pPr>
              <w:pStyle w:val="80"/>
              <w:spacing w:line="400" w:lineRule="exact"/>
              <w:rPr>
                <w:rFonts w:ascii="宋体" w:hAnsi="宋体"/>
                <w:bCs/>
                <w:sz w:val="24"/>
                <w:szCs w:val="24"/>
              </w:rPr>
            </w:pPr>
          </w:p>
        </w:tc>
        <w:tc>
          <w:tcPr>
            <w:tcW w:w="1544"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75" w:type="dxa"/>
          </w:tcPr>
          <w:p>
            <w:pPr>
              <w:pStyle w:val="80"/>
              <w:spacing w:line="400" w:lineRule="exact"/>
              <w:rPr>
                <w:rFonts w:ascii="宋体" w:hAnsi="宋体"/>
                <w:bCs/>
                <w:sz w:val="24"/>
                <w:szCs w:val="24"/>
              </w:rPr>
            </w:pPr>
          </w:p>
        </w:tc>
        <w:tc>
          <w:tcPr>
            <w:tcW w:w="1906" w:type="dxa"/>
          </w:tcPr>
          <w:p>
            <w:pPr>
              <w:pStyle w:val="80"/>
              <w:spacing w:line="400" w:lineRule="exact"/>
              <w:rPr>
                <w:rFonts w:ascii="宋体" w:hAnsi="宋体"/>
                <w:bCs/>
                <w:sz w:val="24"/>
                <w:szCs w:val="24"/>
              </w:rPr>
            </w:pPr>
          </w:p>
        </w:tc>
        <w:tc>
          <w:tcPr>
            <w:tcW w:w="2541" w:type="dxa"/>
          </w:tcPr>
          <w:p>
            <w:pPr>
              <w:pStyle w:val="80"/>
              <w:spacing w:line="400" w:lineRule="exact"/>
              <w:rPr>
                <w:rFonts w:ascii="宋体" w:hAnsi="宋体"/>
                <w:bCs/>
                <w:sz w:val="24"/>
                <w:szCs w:val="24"/>
              </w:rPr>
            </w:pPr>
          </w:p>
        </w:tc>
        <w:tc>
          <w:tcPr>
            <w:tcW w:w="952" w:type="dxa"/>
          </w:tcPr>
          <w:p>
            <w:pPr>
              <w:pStyle w:val="80"/>
              <w:spacing w:line="400" w:lineRule="exact"/>
              <w:rPr>
                <w:rFonts w:ascii="宋体" w:hAnsi="宋体"/>
                <w:bCs/>
                <w:sz w:val="24"/>
                <w:szCs w:val="24"/>
              </w:rPr>
            </w:pPr>
          </w:p>
        </w:tc>
        <w:tc>
          <w:tcPr>
            <w:tcW w:w="1544"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75" w:type="dxa"/>
          </w:tcPr>
          <w:p>
            <w:pPr>
              <w:pStyle w:val="80"/>
              <w:spacing w:line="400" w:lineRule="exact"/>
              <w:rPr>
                <w:rFonts w:ascii="宋体" w:hAnsi="宋体"/>
                <w:bCs/>
                <w:sz w:val="24"/>
                <w:szCs w:val="24"/>
              </w:rPr>
            </w:pPr>
          </w:p>
        </w:tc>
        <w:tc>
          <w:tcPr>
            <w:tcW w:w="1906" w:type="dxa"/>
          </w:tcPr>
          <w:p>
            <w:pPr>
              <w:pStyle w:val="80"/>
              <w:spacing w:line="400" w:lineRule="exact"/>
              <w:rPr>
                <w:rFonts w:ascii="宋体" w:hAnsi="宋体"/>
                <w:bCs/>
                <w:sz w:val="24"/>
                <w:szCs w:val="24"/>
              </w:rPr>
            </w:pPr>
          </w:p>
        </w:tc>
        <w:tc>
          <w:tcPr>
            <w:tcW w:w="2541" w:type="dxa"/>
          </w:tcPr>
          <w:p>
            <w:pPr>
              <w:pStyle w:val="80"/>
              <w:spacing w:line="400" w:lineRule="exact"/>
              <w:rPr>
                <w:rFonts w:ascii="宋体" w:hAnsi="宋体"/>
                <w:bCs/>
                <w:sz w:val="24"/>
                <w:szCs w:val="24"/>
              </w:rPr>
            </w:pPr>
          </w:p>
        </w:tc>
        <w:tc>
          <w:tcPr>
            <w:tcW w:w="952" w:type="dxa"/>
          </w:tcPr>
          <w:p>
            <w:pPr>
              <w:pStyle w:val="80"/>
              <w:spacing w:line="400" w:lineRule="exact"/>
              <w:rPr>
                <w:rFonts w:ascii="宋体" w:hAnsi="宋体"/>
                <w:bCs/>
                <w:sz w:val="24"/>
                <w:szCs w:val="24"/>
              </w:rPr>
            </w:pPr>
          </w:p>
        </w:tc>
        <w:tc>
          <w:tcPr>
            <w:tcW w:w="1544"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75" w:type="dxa"/>
          </w:tcPr>
          <w:p>
            <w:pPr>
              <w:pStyle w:val="80"/>
              <w:spacing w:line="400" w:lineRule="exact"/>
              <w:rPr>
                <w:rFonts w:ascii="宋体" w:hAnsi="宋体"/>
                <w:bCs/>
                <w:sz w:val="24"/>
                <w:szCs w:val="24"/>
              </w:rPr>
            </w:pPr>
          </w:p>
        </w:tc>
        <w:tc>
          <w:tcPr>
            <w:tcW w:w="1906" w:type="dxa"/>
          </w:tcPr>
          <w:p>
            <w:pPr>
              <w:pStyle w:val="80"/>
              <w:spacing w:line="400" w:lineRule="exact"/>
              <w:rPr>
                <w:rFonts w:ascii="宋体" w:hAnsi="宋体"/>
                <w:bCs/>
                <w:sz w:val="24"/>
                <w:szCs w:val="24"/>
              </w:rPr>
            </w:pPr>
          </w:p>
        </w:tc>
        <w:tc>
          <w:tcPr>
            <w:tcW w:w="2541" w:type="dxa"/>
          </w:tcPr>
          <w:p>
            <w:pPr>
              <w:pStyle w:val="80"/>
              <w:spacing w:line="400" w:lineRule="exact"/>
              <w:rPr>
                <w:rFonts w:ascii="宋体" w:hAnsi="宋体"/>
                <w:bCs/>
                <w:sz w:val="24"/>
                <w:szCs w:val="24"/>
              </w:rPr>
            </w:pPr>
          </w:p>
        </w:tc>
        <w:tc>
          <w:tcPr>
            <w:tcW w:w="952" w:type="dxa"/>
          </w:tcPr>
          <w:p>
            <w:pPr>
              <w:pStyle w:val="80"/>
              <w:spacing w:line="400" w:lineRule="exact"/>
              <w:rPr>
                <w:rFonts w:ascii="宋体" w:hAnsi="宋体"/>
                <w:bCs/>
                <w:sz w:val="24"/>
                <w:szCs w:val="24"/>
              </w:rPr>
            </w:pPr>
          </w:p>
        </w:tc>
        <w:tc>
          <w:tcPr>
            <w:tcW w:w="1544" w:type="dxa"/>
          </w:tcPr>
          <w:p>
            <w:pPr>
              <w:pStyle w:val="80"/>
              <w:spacing w:line="400" w:lineRule="exact"/>
              <w:rPr>
                <w:rFonts w:ascii="宋体" w:hAnsi="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75" w:type="dxa"/>
          </w:tcPr>
          <w:p>
            <w:pPr>
              <w:pStyle w:val="80"/>
              <w:spacing w:line="400" w:lineRule="exact"/>
              <w:rPr>
                <w:rFonts w:ascii="宋体" w:hAnsi="宋体"/>
                <w:bCs/>
                <w:sz w:val="24"/>
                <w:szCs w:val="24"/>
              </w:rPr>
            </w:pPr>
          </w:p>
        </w:tc>
        <w:tc>
          <w:tcPr>
            <w:tcW w:w="1906" w:type="dxa"/>
          </w:tcPr>
          <w:p>
            <w:pPr>
              <w:pStyle w:val="80"/>
              <w:spacing w:line="400" w:lineRule="exact"/>
              <w:rPr>
                <w:rFonts w:ascii="宋体" w:hAnsi="宋体"/>
                <w:bCs/>
                <w:sz w:val="24"/>
                <w:szCs w:val="24"/>
              </w:rPr>
            </w:pPr>
          </w:p>
        </w:tc>
        <w:tc>
          <w:tcPr>
            <w:tcW w:w="2541" w:type="dxa"/>
          </w:tcPr>
          <w:p>
            <w:pPr>
              <w:pStyle w:val="80"/>
              <w:spacing w:line="400" w:lineRule="exact"/>
              <w:rPr>
                <w:rFonts w:ascii="宋体" w:hAnsi="宋体"/>
                <w:bCs/>
                <w:sz w:val="24"/>
                <w:szCs w:val="24"/>
              </w:rPr>
            </w:pPr>
          </w:p>
        </w:tc>
        <w:tc>
          <w:tcPr>
            <w:tcW w:w="952" w:type="dxa"/>
          </w:tcPr>
          <w:p>
            <w:pPr>
              <w:pStyle w:val="80"/>
              <w:spacing w:line="400" w:lineRule="exact"/>
              <w:rPr>
                <w:rFonts w:ascii="宋体" w:hAnsi="宋体"/>
                <w:bCs/>
                <w:sz w:val="24"/>
                <w:szCs w:val="24"/>
              </w:rPr>
            </w:pPr>
          </w:p>
        </w:tc>
        <w:tc>
          <w:tcPr>
            <w:tcW w:w="1544" w:type="dxa"/>
          </w:tcPr>
          <w:p>
            <w:pPr>
              <w:pStyle w:val="80"/>
              <w:spacing w:line="400" w:lineRule="exact"/>
              <w:rPr>
                <w:rFonts w:ascii="宋体" w:hAnsi="宋体"/>
                <w:bCs/>
                <w:sz w:val="24"/>
                <w:szCs w:val="24"/>
              </w:rPr>
            </w:pPr>
          </w:p>
        </w:tc>
      </w:tr>
    </w:tbl>
    <w:p>
      <w:pPr>
        <w:pStyle w:val="80"/>
        <w:spacing w:line="400" w:lineRule="exact"/>
        <w:rPr>
          <w:rFonts w:ascii="宋体" w:hAnsi="宋体"/>
          <w:b/>
          <w:bCs/>
          <w:sz w:val="24"/>
          <w:szCs w:val="24"/>
        </w:rPr>
      </w:pPr>
      <w:r>
        <w:rPr>
          <w:rFonts w:hint="eastAsia" w:ascii="宋体" w:hAnsi="宋体"/>
          <w:b/>
          <w:bCs/>
          <w:sz w:val="24"/>
          <w:szCs w:val="24"/>
        </w:rPr>
        <w:t>说明：</w:t>
      </w:r>
    </w:p>
    <w:p>
      <w:pPr>
        <w:pStyle w:val="80"/>
        <w:spacing w:line="400" w:lineRule="exact"/>
        <w:rPr>
          <w:rFonts w:ascii="宋体" w:hAnsi="宋体"/>
          <w:b/>
          <w:bCs/>
          <w:sz w:val="24"/>
        </w:rPr>
      </w:pPr>
      <w:r>
        <w:rPr>
          <w:rFonts w:hint="eastAsia" w:ascii="宋体" w:hAnsi="宋体"/>
          <w:b/>
          <w:bCs/>
          <w:sz w:val="24"/>
        </w:rPr>
        <w:t>1.本表须逐</w:t>
      </w:r>
      <w:r>
        <w:rPr>
          <w:rFonts w:hint="eastAsia" w:ascii="宋体" w:hAnsi="宋体"/>
          <w:b/>
          <w:bCs/>
          <w:sz w:val="24"/>
          <w:lang w:eastAsia="zh-CN"/>
        </w:rPr>
        <w:t>如实</w:t>
      </w:r>
      <w:r>
        <w:rPr>
          <w:rFonts w:hint="eastAsia" w:ascii="宋体" w:hAnsi="宋体"/>
          <w:b/>
          <w:bCs/>
          <w:sz w:val="24"/>
        </w:rPr>
        <w:t>填写，不得空缺；如空缺将视为没有实质性响应招标文件。</w:t>
      </w:r>
    </w:p>
    <w:p>
      <w:pPr>
        <w:pStyle w:val="80"/>
        <w:spacing w:line="400" w:lineRule="exact"/>
        <w:rPr>
          <w:rFonts w:ascii="宋体" w:hAnsi="宋体"/>
          <w:b/>
          <w:bCs/>
          <w:sz w:val="24"/>
        </w:rPr>
      </w:pPr>
      <w:r>
        <w:rPr>
          <w:rFonts w:hint="eastAsia" w:ascii="宋体" w:hAnsi="宋体"/>
          <w:b/>
          <w:bCs/>
          <w:sz w:val="24"/>
        </w:rPr>
        <w:t>2.偏离填写：</w:t>
      </w:r>
      <w:r>
        <w:rPr>
          <w:rFonts w:hint="eastAsia" w:ascii="宋体" w:hAnsi="宋体"/>
          <w:b/>
          <w:bCs/>
          <w:sz w:val="24"/>
          <w:lang w:eastAsia="zh-CN"/>
        </w:rPr>
        <w:t>优于</w:t>
      </w:r>
      <w:r>
        <w:rPr>
          <w:rFonts w:hint="eastAsia" w:ascii="宋体" w:hAnsi="宋体"/>
          <w:b/>
          <w:bCs/>
          <w:sz w:val="24"/>
        </w:rPr>
        <w:t>、</w:t>
      </w:r>
      <w:r>
        <w:rPr>
          <w:rFonts w:hint="eastAsia" w:ascii="宋体" w:hAnsi="宋体"/>
          <w:b/>
          <w:bCs/>
          <w:sz w:val="24"/>
          <w:lang w:eastAsia="zh-CN"/>
        </w:rPr>
        <w:t>低于</w:t>
      </w:r>
      <w:r>
        <w:rPr>
          <w:rFonts w:hint="eastAsia" w:ascii="宋体" w:hAnsi="宋体"/>
          <w:b/>
          <w:bCs/>
          <w:sz w:val="24"/>
        </w:rPr>
        <w:t>、相同。</w:t>
      </w:r>
    </w:p>
    <w:p>
      <w:pPr>
        <w:pStyle w:val="80"/>
        <w:spacing w:line="400" w:lineRule="exact"/>
        <w:rPr>
          <w:rFonts w:ascii="宋体" w:hAnsi="宋体"/>
          <w:b/>
          <w:bCs/>
          <w:sz w:val="24"/>
        </w:rPr>
      </w:pPr>
      <w:r>
        <w:rPr>
          <w:rFonts w:hint="eastAsia" w:ascii="宋体" w:hAnsi="宋体"/>
          <w:b/>
          <w:bCs/>
          <w:sz w:val="24"/>
        </w:rPr>
        <w:t>3.投标人必须据实填写，不得虚假响应，否则将取消其投标或中标资格，并按有关规定进行处罚。</w:t>
      </w: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3240" w:firstLineChars="135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240" w:firstLineChars="135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240" w:firstLineChars="135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jc w:val="center"/>
        <w:rPr>
          <w:b w:val="0"/>
          <w:bCs/>
        </w:rPr>
      </w:pPr>
      <w:r>
        <w:rPr>
          <w:rFonts w:ascii="宋体" w:hAnsi="宋体"/>
          <w:b w:val="0"/>
          <w:sz w:val="24"/>
          <w:szCs w:val="24"/>
        </w:rPr>
        <w:br w:type="page"/>
      </w:r>
      <w:bookmarkStart w:id="219" w:name="_Toc473056005"/>
      <w:bookmarkStart w:id="220" w:name="_Toc475451555"/>
      <w:bookmarkStart w:id="221" w:name="_Toc475451802"/>
      <w:bookmarkStart w:id="222" w:name="_Toc13221"/>
      <w:bookmarkStart w:id="223" w:name="_Toc511832008"/>
      <w:bookmarkStart w:id="224" w:name="_Toc4599"/>
      <w:bookmarkStart w:id="225" w:name="_Toc529953007"/>
      <w:r>
        <w:rPr>
          <w:rFonts w:hint="eastAsia" w:ascii="宋体" w:hAnsi="宋体" w:eastAsia="宋体"/>
          <w:bCs/>
          <w:lang w:val="en-US" w:eastAsia="zh-CN"/>
        </w:rPr>
        <w:t>七、</w:t>
      </w:r>
      <w:bookmarkEnd w:id="219"/>
      <w:bookmarkEnd w:id="220"/>
      <w:bookmarkEnd w:id="221"/>
      <w:r>
        <w:rPr>
          <w:rFonts w:hint="eastAsia" w:ascii="宋体" w:hAnsi="宋体" w:eastAsia="宋体"/>
          <w:bCs/>
          <w:lang w:val="en-US" w:eastAsia="zh-CN"/>
        </w:rPr>
        <w:t>技术方案</w:t>
      </w:r>
      <w:bookmarkEnd w:id="222"/>
      <w:bookmarkEnd w:id="223"/>
      <w:bookmarkEnd w:id="224"/>
      <w:bookmarkEnd w:id="225"/>
    </w:p>
    <w:p>
      <w:pPr>
        <w:pStyle w:val="80"/>
        <w:spacing w:line="400" w:lineRule="exact"/>
        <w:rPr>
          <w:rFonts w:hint="eastAsia" w:ascii="宋体" w:hAnsi="宋体"/>
          <w:sz w:val="24"/>
        </w:rPr>
      </w:pPr>
    </w:p>
    <w:p>
      <w:pPr>
        <w:pStyle w:val="80"/>
        <w:spacing w:line="400" w:lineRule="exact"/>
        <w:jc w:val="center"/>
        <w:rPr>
          <w:rFonts w:hint="eastAsia" w:ascii="宋体" w:hAnsi="宋体"/>
          <w:sz w:val="24"/>
        </w:rPr>
      </w:pPr>
      <w:bookmarkStart w:id="226" w:name="_Toc511832009"/>
      <w:r>
        <w:rPr>
          <w:rFonts w:hint="eastAsia" w:ascii="宋体" w:hAnsi="宋体"/>
          <w:sz w:val="24"/>
        </w:rPr>
        <w:t>各</w:t>
      </w:r>
      <w:r>
        <w:rPr>
          <w:rFonts w:hint="eastAsia" w:ascii="宋体" w:hAnsi="宋体"/>
          <w:sz w:val="24"/>
          <w:lang w:eastAsia="zh-CN"/>
        </w:rPr>
        <w:t>投标人</w:t>
      </w:r>
      <w:r>
        <w:rPr>
          <w:rFonts w:hint="eastAsia" w:ascii="宋体" w:hAnsi="宋体"/>
          <w:sz w:val="24"/>
        </w:rPr>
        <w:t>根据采购需求及评标办法技术方案评审内容描述</w:t>
      </w:r>
    </w:p>
    <w:p>
      <w:pPr>
        <w:autoSpaceDE w:val="0"/>
        <w:autoSpaceDN w:val="0"/>
        <w:adjustRightInd w:val="0"/>
        <w:spacing w:line="348" w:lineRule="auto"/>
        <w:jc w:val="center"/>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投标人</w:t>
      </w:r>
      <w:r>
        <w:rPr>
          <w:rFonts w:hint="eastAsia" w:ascii="宋体" w:hAnsi="宋体" w:cs="宋体"/>
          <w:b/>
          <w:bCs/>
          <w:sz w:val="24"/>
          <w:szCs w:val="24"/>
        </w:rPr>
        <w:t>格式自行拟定）</w:t>
      </w:r>
    </w:p>
    <w:p>
      <w:pPr>
        <w:pStyle w:val="4"/>
        <w:jc w:val="center"/>
      </w:pPr>
      <w:r>
        <w:br w:type="page"/>
      </w:r>
      <w:bookmarkStart w:id="227" w:name="_Toc11768"/>
      <w:bookmarkStart w:id="228" w:name="_Toc529953008"/>
      <w:bookmarkStart w:id="229" w:name="_Toc14882"/>
      <w:r>
        <w:rPr>
          <w:rFonts w:hint="eastAsia" w:ascii="宋体" w:hAnsi="宋体" w:eastAsia="宋体"/>
          <w:bCs/>
          <w:lang w:val="en-US" w:eastAsia="zh-CN"/>
        </w:rPr>
        <w:t>八 、投标人资格证明文件</w:t>
      </w:r>
      <w:bookmarkEnd w:id="226"/>
      <w:bookmarkEnd w:id="227"/>
      <w:bookmarkEnd w:id="228"/>
      <w:bookmarkEnd w:id="229"/>
    </w:p>
    <w:p>
      <w:pPr>
        <w:tabs>
          <w:tab w:val="left" w:pos="9030"/>
        </w:tabs>
        <w:snapToGrid w:val="0"/>
        <w:spacing w:line="360" w:lineRule="auto"/>
        <w:ind w:right="-65" w:firstLine="480" w:firstLineChars="200"/>
        <w:rPr>
          <w:rFonts w:hint="eastAsia" w:ascii="宋体" w:hAnsi="宋体" w:cs="宋体"/>
          <w:bCs/>
          <w:sz w:val="24"/>
          <w:szCs w:val="24"/>
        </w:rPr>
      </w:pPr>
      <w:r>
        <w:rPr>
          <w:rFonts w:hint="eastAsia" w:ascii="宋体" w:hAnsi="宋体" w:cs="宋体"/>
          <w:bCs/>
          <w:sz w:val="24"/>
          <w:szCs w:val="24"/>
          <w:lang w:eastAsia="zh-CN"/>
        </w:rPr>
        <w:t>投标人</w:t>
      </w:r>
      <w:r>
        <w:rPr>
          <w:rFonts w:hint="eastAsia" w:ascii="宋体" w:hAnsi="宋体" w:cs="宋体"/>
          <w:bCs/>
          <w:sz w:val="24"/>
          <w:szCs w:val="24"/>
        </w:rPr>
        <w:t>资格要求：</w:t>
      </w:r>
    </w:p>
    <w:p>
      <w:pPr>
        <w:tabs>
          <w:tab w:val="left" w:pos="9030"/>
        </w:tabs>
        <w:snapToGrid w:val="0"/>
        <w:spacing w:line="360" w:lineRule="auto"/>
        <w:ind w:right="-65"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cs="宋体"/>
          <w:kern w:val="0"/>
          <w:sz w:val="24"/>
          <w:lang w:eastAsia="zh-CN"/>
        </w:rPr>
        <w:t>具有独立承担民事责任能力的法人、其他组织或自然人，营业执照、组织机构代码证、税务登记证（三证合一只提供营业执照，事业单位提供事业单位法人证书，自然人应提供身份证）合法有效</w:t>
      </w:r>
      <w:r>
        <w:rPr>
          <w:rFonts w:hint="eastAsia" w:ascii="宋体" w:hAnsi="宋体" w:cs="宋体"/>
          <w:bCs/>
          <w:sz w:val="24"/>
          <w:szCs w:val="24"/>
          <w:lang w:val="en-US" w:eastAsia="zh-CN"/>
        </w:rPr>
        <w:t xml:space="preserve">； </w:t>
      </w:r>
    </w:p>
    <w:p>
      <w:pPr>
        <w:tabs>
          <w:tab w:val="left" w:pos="9030"/>
        </w:tabs>
        <w:snapToGrid w:val="0"/>
        <w:spacing w:line="360" w:lineRule="auto"/>
        <w:ind w:right="-65"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cs="宋体"/>
          <w:kern w:val="0"/>
          <w:sz w:val="24"/>
          <w:lang w:eastAsia="zh-CN"/>
        </w:rPr>
        <w:t>法定代表人参加投标时，提供本人身份证；授权代表参加投标时，提供法定代表人授权书和被授权人身份证；非法人单位参照执行</w:t>
      </w:r>
      <w:r>
        <w:rPr>
          <w:rFonts w:hint="eastAsia" w:ascii="宋体" w:hAnsi="宋体" w:cs="宋体"/>
          <w:bCs/>
          <w:sz w:val="24"/>
          <w:szCs w:val="24"/>
          <w:lang w:val="en-US" w:eastAsia="zh-CN"/>
        </w:rPr>
        <w:t>；</w:t>
      </w:r>
    </w:p>
    <w:p>
      <w:pPr>
        <w:tabs>
          <w:tab w:val="left" w:pos="9030"/>
        </w:tabs>
        <w:snapToGrid w:val="0"/>
        <w:spacing w:line="360" w:lineRule="auto"/>
        <w:ind w:right="-65"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w:t>
      </w:r>
      <w:r>
        <w:rPr>
          <w:rFonts w:hint="eastAsia" w:ascii="宋体" w:hAnsi="宋体" w:cs="宋体"/>
          <w:kern w:val="0"/>
          <w:sz w:val="24"/>
          <w:lang w:eastAsia="zh-CN"/>
        </w:rPr>
        <w:t>投标单位负责人为同一人或者存在控股、管理关系的不同单位不得同时进行投标</w:t>
      </w:r>
      <w:r>
        <w:rPr>
          <w:rFonts w:hint="eastAsia" w:ascii="宋体" w:hAnsi="宋体" w:cs="宋体"/>
          <w:kern w:val="0"/>
          <w:sz w:val="24"/>
          <w:lang w:val="en-US" w:eastAsia="zh-CN"/>
        </w:rPr>
        <w:t>；</w:t>
      </w:r>
    </w:p>
    <w:p>
      <w:pPr>
        <w:tabs>
          <w:tab w:val="left" w:pos="9030"/>
        </w:tabs>
        <w:snapToGrid w:val="0"/>
        <w:spacing w:line="360" w:lineRule="auto"/>
        <w:ind w:right="-65"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w:t>
      </w:r>
      <w:r>
        <w:rPr>
          <w:rFonts w:hint="eastAsia" w:ascii="宋体" w:hAnsi="宋体" w:cs="宋体"/>
          <w:kern w:val="0"/>
          <w:sz w:val="24"/>
          <w:lang w:eastAsia="zh-CN"/>
        </w:rPr>
        <w:t>参加政府采购活动前三年内，在经营活动中没有重大违法记录的书面声明</w:t>
      </w:r>
      <w:r>
        <w:rPr>
          <w:rFonts w:hint="eastAsia" w:ascii="宋体" w:hAnsi="宋体" w:cs="宋体"/>
          <w:kern w:val="0"/>
          <w:sz w:val="24"/>
          <w:lang w:val="en-US" w:eastAsia="zh-CN"/>
        </w:rPr>
        <w:t>；</w:t>
      </w:r>
    </w:p>
    <w:p>
      <w:pPr>
        <w:tabs>
          <w:tab w:val="left" w:pos="9030"/>
        </w:tabs>
        <w:snapToGrid w:val="0"/>
        <w:spacing w:line="360" w:lineRule="auto"/>
        <w:ind w:right="-65"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lang w:eastAsia="zh-CN"/>
        </w:rPr>
        <w:t>税收缴纳证明：提供投标人202</w:t>
      </w:r>
      <w:r>
        <w:rPr>
          <w:rFonts w:hint="eastAsia" w:ascii="宋体" w:hAnsi="宋体" w:cs="宋体"/>
          <w:kern w:val="0"/>
          <w:sz w:val="24"/>
          <w:lang w:val="en-US" w:eastAsia="zh-CN"/>
        </w:rPr>
        <w:t>1</w:t>
      </w:r>
      <w:r>
        <w:rPr>
          <w:rFonts w:hint="eastAsia" w:ascii="宋体" w:hAnsi="宋体" w:cs="宋体"/>
          <w:kern w:val="0"/>
          <w:sz w:val="24"/>
          <w:lang w:eastAsia="zh-CN"/>
        </w:rPr>
        <w:t>年</w:t>
      </w:r>
      <w:r>
        <w:rPr>
          <w:rFonts w:hint="eastAsia" w:ascii="宋体" w:hAnsi="宋体" w:cs="宋体"/>
          <w:kern w:val="0"/>
          <w:sz w:val="24"/>
          <w:lang w:val="en-US" w:eastAsia="zh-CN"/>
        </w:rPr>
        <w:t>6</w:t>
      </w:r>
      <w:r>
        <w:rPr>
          <w:rFonts w:hint="eastAsia" w:ascii="宋体" w:hAnsi="宋体" w:cs="宋体"/>
          <w:kern w:val="0"/>
          <w:sz w:val="24"/>
          <w:lang w:eastAsia="zh-CN"/>
        </w:rPr>
        <w:t>月至今已缴纳任意一个月完税凭证或税务机关开具的完税证明（任意税种）；依法免税的应提供相关文件证明</w:t>
      </w:r>
      <w:r>
        <w:rPr>
          <w:rFonts w:hint="eastAsia" w:ascii="宋体" w:hAnsi="宋体" w:cs="宋体"/>
          <w:kern w:val="0"/>
          <w:sz w:val="24"/>
          <w:lang w:val="en-US" w:eastAsia="zh-CN"/>
        </w:rPr>
        <w:t>；</w:t>
      </w:r>
    </w:p>
    <w:p>
      <w:pPr>
        <w:tabs>
          <w:tab w:val="left" w:pos="9030"/>
        </w:tabs>
        <w:snapToGrid w:val="0"/>
        <w:spacing w:line="360" w:lineRule="auto"/>
        <w:ind w:right="-65" w:firstLine="480" w:firstLineChars="200"/>
        <w:rPr>
          <w:rFonts w:hint="eastAsia" w:ascii="宋体" w:hAnsi="宋体" w:cs="宋体"/>
          <w:kern w:val="0"/>
          <w:sz w:val="24"/>
          <w:lang w:eastAsia="zh-CN"/>
        </w:rPr>
      </w:pPr>
      <w:r>
        <w:rPr>
          <w:rFonts w:hint="eastAsia" w:ascii="宋体" w:hAnsi="宋体" w:cs="宋体"/>
          <w:kern w:val="0"/>
          <w:sz w:val="24"/>
          <w:lang w:val="en-US" w:eastAsia="zh-CN"/>
        </w:rPr>
        <w:t>6、</w:t>
      </w:r>
      <w:r>
        <w:rPr>
          <w:rFonts w:hint="eastAsia" w:ascii="宋体" w:hAnsi="宋体" w:cs="宋体"/>
          <w:kern w:val="0"/>
          <w:sz w:val="24"/>
          <w:lang w:eastAsia="zh-CN"/>
        </w:rPr>
        <w:t>社会保障资金缴纳证明：提供投标人202</w:t>
      </w:r>
      <w:r>
        <w:rPr>
          <w:rFonts w:hint="eastAsia" w:ascii="宋体" w:hAnsi="宋体" w:cs="宋体"/>
          <w:kern w:val="0"/>
          <w:sz w:val="24"/>
          <w:lang w:val="en-US" w:eastAsia="zh-CN"/>
        </w:rPr>
        <w:t>1</w:t>
      </w:r>
      <w:r>
        <w:rPr>
          <w:rFonts w:hint="eastAsia" w:ascii="宋体" w:hAnsi="宋体" w:cs="宋体"/>
          <w:kern w:val="0"/>
          <w:sz w:val="24"/>
          <w:lang w:eastAsia="zh-CN"/>
        </w:rPr>
        <w:t>年</w:t>
      </w:r>
      <w:r>
        <w:rPr>
          <w:rFonts w:hint="eastAsia" w:ascii="宋体" w:hAnsi="宋体" w:cs="宋体"/>
          <w:kern w:val="0"/>
          <w:sz w:val="24"/>
          <w:lang w:val="en-US" w:eastAsia="zh-CN"/>
        </w:rPr>
        <w:t>6</w:t>
      </w:r>
      <w:r>
        <w:rPr>
          <w:rFonts w:hint="eastAsia" w:ascii="宋体" w:hAnsi="宋体" w:cs="宋体"/>
          <w:kern w:val="0"/>
          <w:sz w:val="24"/>
          <w:lang w:eastAsia="zh-CN"/>
        </w:rPr>
        <w:t>月至今已缴存的任意一个月的社会保障资金缴存证明或社保机构开具的社会保险参保缴费情况证明；依法不需要缴纳社会保障资金的应提供相关文件证明；</w:t>
      </w:r>
    </w:p>
    <w:p>
      <w:pPr>
        <w:tabs>
          <w:tab w:val="left" w:pos="9030"/>
        </w:tabs>
        <w:snapToGrid w:val="0"/>
        <w:spacing w:line="360" w:lineRule="auto"/>
        <w:ind w:right="-65" w:firstLine="480" w:firstLineChars="200"/>
        <w:rPr>
          <w:rFonts w:hint="eastAsia" w:ascii="宋体" w:hAnsi="宋体" w:cs="宋体"/>
          <w:kern w:val="0"/>
          <w:sz w:val="24"/>
          <w:lang w:eastAsia="zh-CN"/>
        </w:rPr>
      </w:pPr>
      <w:r>
        <w:rPr>
          <w:rFonts w:hint="eastAsia" w:ascii="宋体" w:hAnsi="宋体" w:cs="宋体"/>
          <w:kern w:val="0"/>
          <w:sz w:val="24"/>
          <w:lang w:val="en-US" w:eastAsia="zh-CN"/>
        </w:rPr>
        <w:t>7、</w:t>
      </w:r>
      <w:r>
        <w:rPr>
          <w:rFonts w:hint="eastAsia" w:ascii="宋体" w:hAnsi="宋体" w:cs="宋体"/>
          <w:kern w:val="0"/>
          <w:sz w:val="24"/>
          <w:lang w:eastAsia="zh-CN"/>
        </w:rPr>
        <w:t>财务状况报告：提供20</w:t>
      </w:r>
      <w:r>
        <w:rPr>
          <w:rFonts w:hint="eastAsia" w:ascii="宋体" w:hAnsi="宋体" w:cs="宋体"/>
          <w:kern w:val="0"/>
          <w:sz w:val="24"/>
          <w:lang w:val="en-US" w:eastAsia="zh-CN"/>
        </w:rPr>
        <w:t>20</w:t>
      </w:r>
      <w:r>
        <w:rPr>
          <w:rFonts w:hint="eastAsia" w:ascii="宋体" w:hAnsi="宋体" w:cs="宋体"/>
          <w:kern w:val="0"/>
          <w:sz w:val="24"/>
          <w:lang w:eastAsia="zh-CN"/>
        </w:rPr>
        <w:t>年经审计的财务报告或开标前三个月内开户银行开具的资信证明；</w:t>
      </w:r>
    </w:p>
    <w:p>
      <w:pPr>
        <w:tabs>
          <w:tab w:val="left" w:pos="9030"/>
        </w:tabs>
        <w:snapToGrid w:val="0"/>
        <w:spacing w:line="360" w:lineRule="auto"/>
        <w:ind w:right="-65"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8、投标人不得为“信用中国”网站（www.creditchina.gov.cn）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kern w:val="0"/>
          <w:sz w:val="24"/>
          <w:lang w:val="en-US" w:eastAsia="zh-CN"/>
        </w:rPr>
        <w:t>和中国政府采购网（www.ccgp.gov.cn）中被列入失信被执行人、重大税收违法案件当事人名单、政府采购严重违法失信行为记录名单的单位；</w:t>
      </w:r>
    </w:p>
    <w:p>
      <w:pPr>
        <w:pStyle w:val="28"/>
        <w:rPr>
          <w:rFonts w:hint="eastAsia"/>
          <w:lang w:val="en-US" w:eastAsia="zh-CN"/>
        </w:rPr>
      </w:pPr>
      <w:r>
        <w:rPr>
          <w:rFonts w:hint="eastAsia" w:ascii="宋体" w:hAnsi="宋体" w:eastAsia="宋体" w:cs="宋体"/>
          <w:kern w:val="0"/>
          <w:sz w:val="24"/>
          <w:lang w:val="en-US" w:eastAsia="zh-CN"/>
        </w:rPr>
        <w:t>9、具有履行合同所必需的设备和专业技术能力。</w:t>
      </w:r>
    </w:p>
    <w:p>
      <w:pPr>
        <w:pStyle w:val="5"/>
        <w:rPr>
          <w:rFonts w:hint="eastAsia"/>
          <w:lang w:val="en-US" w:eastAsia="zh-CN"/>
        </w:rPr>
      </w:pPr>
    </w:p>
    <w:p>
      <w:pPr>
        <w:tabs>
          <w:tab w:val="left" w:pos="9030"/>
        </w:tabs>
        <w:snapToGrid w:val="0"/>
        <w:spacing w:line="360" w:lineRule="auto"/>
        <w:ind w:right="-65"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注：本项目不允许联合体投标；</w:t>
      </w:r>
    </w:p>
    <w:p>
      <w:pPr>
        <w:pStyle w:val="80"/>
        <w:spacing w:line="400" w:lineRule="exact"/>
        <w:ind w:firstLine="480" w:firstLineChars="200"/>
        <w:rPr>
          <w:rFonts w:hint="eastAsia" w:ascii="宋体" w:hAnsi="宋体" w:eastAsia="宋体" w:cs="宋体"/>
          <w:bCs/>
          <w:kern w:val="2"/>
          <w:sz w:val="24"/>
          <w:szCs w:val="24"/>
          <w:lang w:val="en-US" w:eastAsia="zh-CN" w:bidi="ar-SA"/>
        </w:rPr>
      </w:pPr>
    </w:p>
    <w:p>
      <w:pPr>
        <w:pStyle w:val="80"/>
        <w:spacing w:line="400" w:lineRule="exact"/>
        <w:rPr>
          <w:rFonts w:hint="eastAsia"/>
          <w:b/>
          <w:sz w:val="28"/>
          <w:szCs w:val="24"/>
          <w:lang w:val="en-US" w:eastAsia="zh-CN"/>
        </w:rPr>
      </w:pPr>
      <w:bookmarkStart w:id="230" w:name="_Toc511832011"/>
      <w:bookmarkStart w:id="231" w:name="_Toc529953010"/>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jc w:val="center"/>
        <w:rPr>
          <w:rFonts w:hint="eastAsia" w:eastAsia="宋体"/>
          <w:b/>
          <w:sz w:val="28"/>
          <w:szCs w:val="24"/>
          <w:lang w:val="en-US" w:eastAsia="zh-CN"/>
        </w:rPr>
      </w:pPr>
      <w:r>
        <w:rPr>
          <w:rFonts w:hint="eastAsia"/>
          <w:b/>
          <w:sz w:val="28"/>
          <w:szCs w:val="24"/>
          <w:lang w:val="en-US" w:eastAsia="zh-CN"/>
        </w:rPr>
        <w:t>1</w:t>
      </w:r>
      <w:r>
        <w:rPr>
          <w:b/>
          <w:sz w:val="28"/>
          <w:szCs w:val="24"/>
        </w:rPr>
        <w:t>.</w:t>
      </w:r>
      <w:r>
        <w:rPr>
          <w:rFonts w:hint="eastAsia" w:ascii="Times New Roman" w:hAnsi="Times New Roman" w:cs="Times New Roman"/>
          <w:b/>
          <w:sz w:val="28"/>
          <w:szCs w:val="24"/>
          <w:lang w:eastAsia="zh-CN"/>
        </w:rPr>
        <w:t>具有独立承担民事责任能力的法人、其他组织或自然人，营业执照、组织机构代码证、税务登记证（三证合一只提供营业执照，事业单位提供事业单位法人证书，自然人应提供身份证）合法有效</w:t>
      </w:r>
      <w:r>
        <w:rPr>
          <w:rFonts w:hint="eastAsia" w:ascii="Times New Roman" w:hAnsi="Times New Roman" w:cs="Times New Roman"/>
          <w:b/>
          <w:sz w:val="28"/>
          <w:szCs w:val="24"/>
          <w:lang w:val="en-US" w:eastAsia="zh-CN"/>
        </w:rPr>
        <w:t>；</w:t>
      </w:r>
      <w:r>
        <w:rPr>
          <w:rFonts w:hint="eastAsia" w:ascii="宋体" w:hAnsi="宋体" w:cs="宋体"/>
          <w:bCs/>
          <w:sz w:val="24"/>
          <w:szCs w:val="24"/>
          <w:lang w:val="en-US" w:eastAsia="zh-CN"/>
        </w:rPr>
        <w:t xml:space="preserve"> </w:t>
      </w: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rPr>
          <w:rFonts w:hint="eastAsia"/>
          <w:b/>
          <w:sz w:val="28"/>
          <w:szCs w:val="24"/>
          <w:lang w:val="en-US" w:eastAsia="zh-CN"/>
        </w:rPr>
      </w:pPr>
    </w:p>
    <w:p>
      <w:pPr>
        <w:pStyle w:val="80"/>
        <w:spacing w:line="400" w:lineRule="exact"/>
        <w:jc w:val="center"/>
        <w:rPr>
          <w:rFonts w:hint="eastAsia"/>
          <w:b/>
          <w:sz w:val="28"/>
          <w:szCs w:val="24"/>
          <w:lang w:val="en-US" w:eastAsia="zh-CN"/>
        </w:rPr>
      </w:pPr>
    </w:p>
    <w:p>
      <w:pPr>
        <w:pStyle w:val="80"/>
        <w:spacing w:line="400" w:lineRule="exact"/>
        <w:jc w:val="center"/>
        <w:rPr>
          <w:rFonts w:ascii="宋体" w:hAnsi="宋体"/>
          <w:b/>
          <w:sz w:val="24"/>
        </w:rPr>
      </w:pPr>
      <w:r>
        <w:rPr>
          <w:rFonts w:hint="eastAsia"/>
          <w:b/>
          <w:sz w:val="28"/>
          <w:szCs w:val="24"/>
          <w:lang w:val="en-US" w:eastAsia="zh-CN"/>
        </w:rPr>
        <w:t>2</w:t>
      </w:r>
      <w:r>
        <w:rPr>
          <w:b/>
          <w:sz w:val="28"/>
          <w:szCs w:val="24"/>
        </w:rPr>
        <w:t>.</w:t>
      </w:r>
      <w:r>
        <w:rPr>
          <w:rFonts w:hint="eastAsia"/>
          <w:b/>
          <w:sz w:val="28"/>
          <w:szCs w:val="24"/>
        </w:rPr>
        <w:t>法定代表人（单位负责人）身份证明及</w:t>
      </w:r>
      <w:r>
        <w:rPr>
          <w:b/>
          <w:sz w:val="28"/>
          <w:szCs w:val="24"/>
        </w:rPr>
        <w:t>法定代表人授权书</w:t>
      </w:r>
      <w:bookmarkEnd w:id="230"/>
      <w:bookmarkEnd w:id="231"/>
    </w:p>
    <w:p>
      <w:pPr>
        <w:pStyle w:val="80"/>
        <w:spacing w:line="400" w:lineRule="exact"/>
        <w:jc w:val="center"/>
        <w:rPr>
          <w:rFonts w:ascii="宋体" w:hAnsi="宋体"/>
          <w:b/>
          <w:sz w:val="24"/>
          <w:szCs w:val="24"/>
        </w:rPr>
      </w:pPr>
      <w:bookmarkStart w:id="232" w:name="_Toc529953011"/>
      <w:bookmarkStart w:id="233" w:name="_Toc511832012"/>
      <w:r>
        <w:rPr>
          <w:rFonts w:hint="eastAsia" w:ascii="宋体" w:hAnsi="宋体"/>
          <w:b/>
          <w:sz w:val="24"/>
          <w:szCs w:val="24"/>
        </w:rPr>
        <w:t>（1）</w:t>
      </w:r>
      <w:r>
        <w:rPr>
          <w:rFonts w:ascii="宋体" w:hAnsi="宋体"/>
          <w:b/>
          <w:sz w:val="24"/>
          <w:szCs w:val="24"/>
        </w:rPr>
        <w:t>法定代表人</w:t>
      </w:r>
      <w:r>
        <w:rPr>
          <w:rFonts w:hint="eastAsia" w:ascii="宋体" w:hAnsi="宋体"/>
          <w:b/>
          <w:sz w:val="24"/>
          <w:szCs w:val="24"/>
        </w:rPr>
        <w:t>（单位负责人）</w:t>
      </w:r>
      <w:r>
        <w:rPr>
          <w:rFonts w:ascii="宋体" w:hAnsi="宋体"/>
          <w:b/>
          <w:sz w:val="24"/>
          <w:szCs w:val="24"/>
        </w:rPr>
        <w:t>身份证明</w:t>
      </w:r>
      <w:bookmarkEnd w:id="232"/>
      <w:bookmarkEnd w:id="233"/>
    </w:p>
    <w:p>
      <w:pPr>
        <w:pStyle w:val="80"/>
        <w:spacing w:line="400" w:lineRule="exact"/>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w:t>
      </w:r>
      <w:r>
        <w:rPr>
          <w:rFonts w:hint="eastAsia" w:ascii="宋体" w:hAnsi="宋体"/>
          <w:sz w:val="24"/>
          <w:szCs w:val="24"/>
        </w:rPr>
        <w:t xml:space="preserve"> </w:t>
      </w:r>
    </w:p>
    <w:p>
      <w:pPr>
        <w:pStyle w:val="80"/>
        <w:spacing w:line="400" w:lineRule="exact"/>
        <w:rPr>
          <w:rFonts w:ascii="宋体" w:hAnsi="宋体"/>
          <w:sz w:val="24"/>
          <w:szCs w:val="24"/>
        </w:rPr>
      </w:pPr>
      <w:r>
        <w:rPr>
          <w:rFonts w:hint="eastAsia" w:ascii="宋体" w:hAnsi="宋体"/>
          <w:sz w:val="24"/>
          <w:szCs w:val="24"/>
        </w:rPr>
        <w:t>统一社会信用代码：</w:t>
      </w:r>
      <w:r>
        <w:rPr>
          <w:rFonts w:hint="eastAsia" w:ascii="宋体" w:hAnsi="宋体"/>
          <w:sz w:val="24"/>
          <w:szCs w:val="24"/>
          <w:u w:val="single"/>
        </w:rPr>
        <w:t xml:space="preserve">                                  </w:t>
      </w:r>
    </w:p>
    <w:p>
      <w:pPr>
        <w:pStyle w:val="80"/>
        <w:spacing w:line="400" w:lineRule="exact"/>
        <w:rPr>
          <w:rFonts w:ascii="宋体" w:hAnsi="宋体"/>
          <w:sz w:val="24"/>
          <w:szCs w:val="24"/>
          <w:u w:val="single"/>
        </w:rPr>
      </w:pPr>
      <w:r>
        <w:rPr>
          <w:rFonts w:hint="eastAsia" w:ascii="宋体" w:hAnsi="宋体"/>
          <w:sz w:val="24"/>
          <w:szCs w:val="24"/>
        </w:rPr>
        <w:t>注册地址：</w:t>
      </w:r>
      <w:r>
        <w:rPr>
          <w:rFonts w:hint="eastAsia" w:ascii="宋体" w:hAnsi="宋体"/>
          <w:sz w:val="24"/>
          <w:szCs w:val="24"/>
          <w:u w:val="single"/>
        </w:rPr>
        <w:t xml:space="preserve">                                          </w:t>
      </w:r>
    </w:p>
    <w:p>
      <w:pPr>
        <w:pStyle w:val="80"/>
        <w:spacing w:line="400" w:lineRule="exact"/>
        <w:rPr>
          <w:rFonts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80"/>
        <w:spacing w:line="400" w:lineRule="exact"/>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r>
        <w:rPr>
          <w:rFonts w:hint="eastAsia" w:ascii="宋体" w:hAnsi="宋体"/>
          <w:sz w:val="24"/>
          <w:szCs w:val="24"/>
        </w:rPr>
        <w:t xml:space="preserve"> 系</w:t>
      </w:r>
      <w:r>
        <w:rPr>
          <w:rFonts w:hint="eastAsia" w:ascii="宋体" w:hAnsi="宋体"/>
          <w:sz w:val="24"/>
          <w:szCs w:val="24"/>
          <w:u w:val="single"/>
        </w:rPr>
        <w:t xml:space="preserve">            </w:t>
      </w:r>
      <w:r>
        <w:rPr>
          <w:rFonts w:hint="eastAsia" w:ascii="宋体" w:hAnsi="宋体"/>
          <w:sz w:val="24"/>
          <w:szCs w:val="24"/>
        </w:rPr>
        <w:t>（投标人名称）的法定代表人（单位负责人）。</w:t>
      </w:r>
    </w:p>
    <w:p>
      <w:pPr>
        <w:pStyle w:val="80"/>
        <w:spacing w:line="400" w:lineRule="exact"/>
        <w:rPr>
          <w:rFonts w:ascii="宋体" w:hAnsi="宋体"/>
          <w:sz w:val="24"/>
          <w:szCs w:val="24"/>
        </w:rPr>
      </w:pPr>
      <w:r>
        <w:rPr>
          <w:rFonts w:hint="eastAsia" w:ascii="宋体" w:hAnsi="宋体"/>
          <w:sz w:val="24"/>
          <w:szCs w:val="24"/>
        </w:rPr>
        <w:t>特此证明。</w:t>
      </w:r>
    </w:p>
    <w:p>
      <w:pPr>
        <w:pStyle w:val="80"/>
        <w:spacing w:line="400" w:lineRule="exact"/>
        <w:rPr>
          <w:rFonts w:ascii="宋体" w:hAnsi="宋体"/>
          <w:sz w:val="24"/>
          <w:szCs w:val="24"/>
        </w:rPr>
      </w:pPr>
    </w:p>
    <w:p>
      <w:pPr>
        <w:pStyle w:val="80"/>
        <w:spacing w:line="400" w:lineRule="exact"/>
        <w:rPr>
          <w:rFonts w:ascii="宋体" w:hAnsi="宋体"/>
          <w:sz w:val="24"/>
          <w:szCs w:val="24"/>
        </w:rPr>
      </w:pPr>
    </w:p>
    <w:tbl>
      <w:tblPr>
        <w:tblStyle w:val="29"/>
        <w:tblW w:w="7996" w:type="dxa"/>
        <w:tblInd w:w="540" w:type="dxa"/>
        <w:tblLayout w:type="fixed"/>
        <w:tblCellMar>
          <w:top w:w="0" w:type="dxa"/>
          <w:left w:w="108" w:type="dxa"/>
          <w:bottom w:w="0" w:type="dxa"/>
          <w:right w:w="108" w:type="dxa"/>
        </w:tblCellMar>
      </w:tblPr>
      <w:tblGrid>
        <w:gridCol w:w="7996"/>
      </w:tblGrid>
      <w:tr>
        <w:tblPrEx>
          <w:tblCellMar>
            <w:top w:w="0" w:type="dxa"/>
            <w:left w:w="108" w:type="dxa"/>
            <w:bottom w:w="0" w:type="dxa"/>
            <w:right w:w="108" w:type="dxa"/>
          </w:tblCellMar>
        </w:tblPrEx>
        <w:trPr>
          <w:trHeight w:val="2818" w:hRule="atLeast"/>
        </w:trPr>
        <w:tc>
          <w:tcPr>
            <w:tcW w:w="7996" w:type="dxa"/>
            <w:tcBorders>
              <w:top w:val="single" w:color="auto" w:sz="6" w:space="0"/>
              <w:left w:val="single" w:color="auto" w:sz="6" w:space="0"/>
              <w:bottom w:val="single" w:color="auto" w:sz="6" w:space="0"/>
              <w:right w:val="single" w:color="auto" w:sz="6" w:space="0"/>
            </w:tcBorders>
            <w:vAlign w:val="center"/>
          </w:tcPr>
          <w:p>
            <w:pPr>
              <w:pStyle w:val="80"/>
              <w:spacing w:line="400" w:lineRule="exact"/>
              <w:rPr>
                <w:rFonts w:ascii="宋体" w:hAnsi="宋体"/>
                <w:sz w:val="24"/>
                <w:szCs w:val="24"/>
                <w:u w:val="single"/>
              </w:rPr>
            </w:pPr>
            <w:r>
              <w:rPr>
                <w:rFonts w:hint="eastAsia" w:ascii="宋体" w:hAnsi="宋体"/>
                <w:sz w:val="24"/>
                <w:szCs w:val="24"/>
              </w:rPr>
              <w:t>法定代表人（单位负责人）身份证复印件（加盖公章）</w:t>
            </w:r>
          </w:p>
          <w:p>
            <w:pPr>
              <w:pStyle w:val="80"/>
              <w:spacing w:line="400" w:lineRule="exact"/>
              <w:rPr>
                <w:rFonts w:ascii="宋体" w:hAnsi="宋体"/>
                <w:sz w:val="24"/>
                <w:szCs w:val="24"/>
                <w:u w:val="single"/>
              </w:rPr>
            </w:pPr>
          </w:p>
        </w:tc>
      </w:tr>
    </w:tbl>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4440" w:firstLineChars="185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4440" w:firstLineChars="1850"/>
        <w:rPr>
          <w:rFonts w:ascii="宋体" w:hAnsi="宋体"/>
          <w:sz w:val="24"/>
          <w:szCs w:val="24"/>
          <w:u w:val="single"/>
        </w:rPr>
      </w:pPr>
      <w:r>
        <w:rPr>
          <w:rFonts w:hint="eastAsia" w:ascii="宋体" w:hAnsi="宋体"/>
          <w:sz w:val="24"/>
          <w:szCs w:val="24"/>
        </w:rPr>
        <w:t>法定代表人（签字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4440" w:firstLineChars="185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center"/>
        <w:rPr>
          <w:rFonts w:ascii="宋体" w:hAnsi="宋体"/>
          <w:b/>
          <w:bCs/>
          <w:sz w:val="24"/>
          <w:szCs w:val="24"/>
        </w:rPr>
      </w:pPr>
    </w:p>
    <w:p>
      <w:pPr>
        <w:pStyle w:val="80"/>
        <w:spacing w:line="400" w:lineRule="exact"/>
        <w:jc w:val="both"/>
        <w:rPr>
          <w:rFonts w:ascii="宋体" w:hAnsi="宋体"/>
          <w:b/>
          <w:sz w:val="24"/>
          <w:szCs w:val="24"/>
        </w:rPr>
      </w:pPr>
      <w:r>
        <w:rPr>
          <w:rFonts w:ascii="宋体" w:hAnsi="宋体"/>
          <w:b/>
          <w:bCs/>
          <w:sz w:val="24"/>
          <w:szCs w:val="24"/>
        </w:rPr>
        <w:br w:type="page"/>
      </w:r>
      <w:bookmarkStart w:id="234" w:name="_Toc511832013"/>
      <w:bookmarkStart w:id="235" w:name="_Toc529953012"/>
      <w:r>
        <w:rPr>
          <w:rFonts w:hint="eastAsia" w:ascii="宋体" w:hAnsi="宋体"/>
          <w:b/>
          <w:bCs/>
          <w:sz w:val="24"/>
          <w:szCs w:val="24"/>
          <w:lang w:val="en-US" w:eastAsia="zh-CN"/>
        </w:rPr>
        <w:t xml:space="preserve">                       </w:t>
      </w:r>
      <w:r>
        <w:rPr>
          <w:rFonts w:hint="eastAsia" w:ascii="宋体" w:hAnsi="宋体"/>
          <w:b/>
          <w:sz w:val="24"/>
          <w:szCs w:val="24"/>
        </w:rPr>
        <w:t>（2）</w:t>
      </w:r>
      <w:r>
        <w:rPr>
          <w:rFonts w:ascii="宋体" w:hAnsi="宋体"/>
          <w:b/>
          <w:sz w:val="24"/>
          <w:szCs w:val="24"/>
        </w:rPr>
        <w:t>法定代表人授权书</w:t>
      </w:r>
      <w:bookmarkEnd w:id="234"/>
      <w:bookmarkEnd w:id="235"/>
    </w:p>
    <w:p>
      <w:pPr>
        <w:pStyle w:val="80"/>
        <w:spacing w:line="400" w:lineRule="exact"/>
        <w:jc w:val="both"/>
        <w:rPr>
          <w:rFonts w:ascii="宋体" w:hAnsi="宋体"/>
          <w:sz w:val="24"/>
          <w:szCs w:val="24"/>
        </w:rPr>
      </w:pPr>
      <w:r>
        <w:rPr>
          <w:rFonts w:hint="eastAsia" w:ascii="宋体" w:hAnsi="宋体"/>
          <w:sz w:val="24"/>
          <w:szCs w:val="24"/>
          <w:lang w:eastAsia="zh-CN"/>
        </w:rPr>
        <w:t>同正项目管理有限公司</w:t>
      </w:r>
      <w:r>
        <w:rPr>
          <w:rFonts w:hint="eastAsia" w:ascii="宋体" w:hAnsi="宋体"/>
          <w:sz w:val="24"/>
          <w:szCs w:val="24"/>
        </w:rPr>
        <w:t>：</w:t>
      </w:r>
    </w:p>
    <w:p>
      <w:pPr>
        <w:pStyle w:val="80"/>
        <w:spacing w:line="400" w:lineRule="exact"/>
        <w:ind w:firstLine="480" w:firstLineChars="200"/>
        <w:rPr>
          <w:rFonts w:ascii="宋体" w:hAnsi="宋体"/>
          <w:sz w:val="24"/>
          <w:szCs w:val="24"/>
        </w:rPr>
      </w:pPr>
      <w:r>
        <w:rPr>
          <w:rFonts w:hint="eastAsia" w:ascii="宋体" w:hAnsi="宋体"/>
          <w:sz w:val="24"/>
          <w:szCs w:val="24"/>
        </w:rPr>
        <w:t>注册于</w:t>
      </w:r>
      <w:r>
        <w:rPr>
          <w:rFonts w:hint="eastAsia" w:ascii="宋体" w:hAnsi="宋体"/>
          <w:sz w:val="24"/>
          <w:szCs w:val="24"/>
          <w:u w:val="single"/>
        </w:rPr>
        <w:t xml:space="preserve">      （工商行政管理局名称）</w:t>
      </w:r>
      <w:r>
        <w:rPr>
          <w:rFonts w:hint="eastAsia" w:ascii="宋体" w:hAnsi="宋体"/>
          <w:sz w:val="24"/>
          <w:szCs w:val="24"/>
        </w:rPr>
        <w:t>之</w:t>
      </w:r>
      <w:r>
        <w:rPr>
          <w:rFonts w:hint="eastAsia" w:ascii="宋体" w:hAnsi="宋体"/>
          <w:sz w:val="24"/>
          <w:szCs w:val="24"/>
          <w:u w:val="single"/>
        </w:rPr>
        <w:t xml:space="preserve">     （投标人全称）</w:t>
      </w:r>
      <w:r>
        <w:rPr>
          <w:rFonts w:hint="eastAsia" w:ascii="宋体" w:hAnsi="宋体"/>
          <w:sz w:val="24"/>
          <w:szCs w:val="24"/>
        </w:rPr>
        <w:t>的法定代表人（单位负责人）</w:t>
      </w:r>
      <w:r>
        <w:rPr>
          <w:rFonts w:hint="eastAsia" w:ascii="宋体" w:hAnsi="宋体"/>
          <w:sz w:val="24"/>
          <w:szCs w:val="24"/>
          <w:u w:val="single"/>
        </w:rPr>
        <w:t xml:space="preserve">      （姓名）</w:t>
      </w:r>
      <w:r>
        <w:rPr>
          <w:rFonts w:hint="eastAsia" w:ascii="宋体" w:hAnsi="宋体"/>
          <w:sz w:val="24"/>
          <w:szCs w:val="24"/>
        </w:rPr>
        <w:t>授权</w:t>
      </w:r>
      <w:r>
        <w:rPr>
          <w:rFonts w:hint="eastAsia" w:ascii="宋体" w:hAnsi="宋体"/>
          <w:sz w:val="24"/>
          <w:szCs w:val="24"/>
          <w:u w:val="single"/>
        </w:rPr>
        <w:t xml:space="preserve">     （被授权人姓名）</w:t>
      </w:r>
      <w:r>
        <w:rPr>
          <w:rFonts w:hint="eastAsia" w:ascii="宋体" w:hAnsi="宋体"/>
          <w:sz w:val="24"/>
          <w:szCs w:val="24"/>
        </w:rPr>
        <w:t>为我方合法委托代理人。代理人根据授权，以我方名义签署、澄清、说明、递交、撤回、修改</w:t>
      </w:r>
      <w:r>
        <w:rPr>
          <w:rFonts w:hint="eastAsia" w:ascii="宋体" w:hAnsi="宋体"/>
          <w:sz w:val="24"/>
          <w:szCs w:val="24"/>
          <w:u w:val="single"/>
        </w:rPr>
        <w:t xml:space="preserve">     （项目名称）           </w:t>
      </w:r>
      <w:r>
        <w:rPr>
          <w:rFonts w:hint="eastAsia" w:ascii="宋体" w:hAnsi="宋体"/>
          <w:sz w:val="24"/>
          <w:szCs w:val="24"/>
        </w:rPr>
        <w:t>投标文件、签订合同和处理有关事宜，其法律后果由我方承担。</w:t>
      </w:r>
    </w:p>
    <w:p>
      <w:pPr>
        <w:pStyle w:val="80"/>
        <w:spacing w:line="400" w:lineRule="exact"/>
        <w:rPr>
          <w:rFonts w:ascii="宋体" w:hAnsi="宋体"/>
          <w:sz w:val="24"/>
          <w:szCs w:val="24"/>
        </w:rPr>
      </w:pPr>
      <w:r>
        <w:rPr>
          <w:rFonts w:hint="eastAsia" w:ascii="宋体" w:hAnsi="宋体"/>
          <w:sz w:val="24"/>
          <w:szCs w:val="24"/>
        </w:rPr>
        <w:t>代理人无转委托权。</w:t>
      </w:r>
    </w:p>
    <w:p>
      <w:pPr>
        <w:pStyle w:val="80"/>
        <w:spacing w:line="400" w:lineRule="exact"/>
        <w:rPr>
          <w:rFonts w:ascii="宋体" w:hAnsi="宋体"/>
          <w:sz w:val="24"/>
          <w:szCs w:val="24"/>
        </w:rPr>
      </w:pPr>
      <w:r>
        <w:rPr>
          <w:rFonts w:hint="eastAsia" w:ascii="宋体" w:hAnsi="宋体"/>
          <w:sz w:val="24"/>
          <w:szCs w:val="24"/>
        </w:rPr>
        <w:t>投  标  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（盖单位公章）</w:t>
      </w:r>
    </w:p>
    <w:p>
      <w:pPr>
        <w:pStyle w:val="80"/>
        <w:spacing w:line="400" w:lineRule="exact"/>
        <w:rPr>
          <w:rFonts w:ascii="宋体" w:hAnsi="宋体"/>
          <w:sz w:val="24"/>
          <w:szCs w:val="24"/>
        </w:rPr>
      </w:pPr>
      <w:r>
        <w:rPr>
          <w:rFonts w:hint="eastAsia" w:ascii="宋体" w:hAnsi="宋体"/>
          <w:sz w:val="24"/>
          <w:szCs w:val="24"/>
        </w:rPr>
        <w:t>法定代表人（单位负责人）：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w:t>
      </w:r>
      <w:r>
        <w:rPr>
          <w:rFonts w:hint="eastAsia" w:ascii="宋体" w:hAnsi="宋体"/>
          <w:sz w:val="24"/>
          <w:szCs w:val="24"/>
          <w:lang w:eastAsia="zh-CN"/>
        </w:rPr>
        <w:t>或盖章</w:t>
      </w:r>
      <w:r>
        <w:rPr>
          <w:rFonts w:hint="eastAsia" w:ascii="宋体" w:hAnsi="宋体"/>
          <w:sz w:val="24"/>
          <w:szCs w:val="24"/>
        </w:rPr>
        <w:t>）</w:t>
      </w:r>
    </w:p>
    <w:p>
      <w:pPr>
        <w:pStyle w:val="80"/>
        <w:spacing w:line="400" w:lineRule="exact"/>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pStyle w:val="80"/>
        <w:spacing w:line="400" w:lineRule="exact"/>
        <w:rPr>
          <w:rFonts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w:t>
      </w:r>
      <w:r>
        <w:rPr>
          <w:rFonts w:hint="eastAsia" w:ascii="宋体" w:hAnsi="宋体"/>
          <w:sz w:val="24"/>
          <w:szCs w:val="24"/>
          <w:lang w:eastAsia="zh-CN"/>
        </w:rPr>
        <w:t>或盖章</w:t>
      </w:r>
      <w:r>
        <w:rPr>
          <w:rFonts w:hint="eastAsia" w:ascii="宋体" w:hAnsi="宋体"/>
          <w:sz w:val="24"/>
          <w:szCs w:val="24"/>
        </w:rPr>
        <w:t>）</w:t>
      </w:r>
    </w:p>
    <w:p>
      <w:pPr>
        <w:pStyle w:val="80"/>
        <w:spacing w:line="400" w:lineRule="exact"/>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pStyle w:val="80"/>
        <w:spacing w:line="400" w:lineRule="exact"/>
        <w:ind w:firstLine="5760" w:firstLineChars="24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80"/>
        <w:spacing w:line="400" w:lineRule="exact"/>
        <w:rPr>
          <w:rFonts w:ascii="宋体" w:hAnsi="宋体"/>
          <w:bCs/>
          <w:sz w:val="24"/>
          <w:szCs w:val="24"/>
        </w:rPr>
      </w:pPr>
      <w:r>
        <w:rPr>
          <w:rFonts w:ascii="宋体" w:hAnsi="宋体"/>
          <w:bCs/>
          <w:sz w:val="24"/>
          <w:szCs w:val="24"/>
        </w:rPr>
        <mc:AlternateContent>
          <mc:Choice Requires="wps">
            <w:drawing>
              <wp:anchor distT="0" distB="0" distL="114300" distR="114300" simplePos="0" relativeHeight="251660288" behindDoc="0" locked="0" layoutInCell="1" allowOverlap="1">
                <wp:simplePos x="0" y="0"/>
                <wp:positionH relativeFrom="column">
                  <wp:posOffset>3075940</wp:posOffset>
                </wp:positionH>
                <wp:positionV relativeFrom="paragraph">
                  <wp:posOffset>88900</wp:posOffset>
                </wp:positionV>
                <wp:extent cx="2867025" cy="1584960"/>
                <wp:effectExtent l="4445" t="4445" r="5080" b="10795"/>
                <wp:wrapNone/>
                <wp:docPr id="2" name="文本框 3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加盖公章）</w:t>
                            </w:r>
                          </w:p>
                        </w:txbxContent>
                      </wps:txbx>
                      <wps:bodyPr upright="1"/>
                    </wps:wsp>
                  </a:graphicData>
                </a:graphic>
              </wp:anchor>
            </w:drawing>
          </mc:Choice>
          <mc:Fallback>
            <w:pict>
              <v:shape id="文本框 31" o:spid="_x0000_s1026" o:spt="202" type="#_x0000_t202" style="position:absolute;left:0pt;margin-left:242.2pt;margin-top:7pt;height:124.8pt;width:225.75pt;z-index:251660288;mso-width-relative:page;mso-height-relative:page;" fillcolor="#FFFFFF" filled="t" stroked="t" coordsize="21600,21600" o:gfxdata="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SE/x2QAAAAoBAAAPAAAAAAAAAAEA&#10;IAAAACIAAABkcnMvZG93bnJldi54bWxQSwECFAAUAAAACACHTuJAq7Wm4A4CAAA4BAAADgAAAAAA&#10;AAABACAAAAAoAQAAZHJzL2Uyb0RvYy54bWxQSwUGAAAAAAYABgBZAQAAqAU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加盖公章）</w:t>
                      </w:r>
                    </w:p>
                  </w:txbxContent>
                </v:textbox>
              </v:shape>
            </w:pict>
          </mc:Fallback>
        </mc:AlternateContent>
      </w: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1" name="文本框 30"/>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（加盖公章）</w:t>
                            </w:r>
                          </w:p>
                        </w:txbxContent>
                      </wps:txbx>
                      <wps:bodyPr upright="1"/>
                    </wps:wsp>
                  </a:graphicData>
                </a:graphic>
              </wp:anchor>
            </w:drawing>
          </mc:Choice>
          <mc:Fallback>
            <w:pict>
              <v:shape id="文本框 30" o:spid="_x0000_s1026" o:spt="202" type="#_x0000_t202" style="position:absolute;left:0pt;margin-left:-9pt;margin-top:7.8pt;height:124.8pt;width:225.75pt;z-index:251659264;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YwgDaAAAACgEAAA8AAAAAAAAAAQAg&#10;AAAAIgAAAGRycy9kb3ducmV2LnhtbFBLAQIUABQAAAAIAIdO4kDG7pPwDAIAADgEAAAOAAAAAAAA&#10;AAEAIAAAACk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（加盖公章）</w:t>
                      </w:r>
                    </w:p>
                  </w:txbxContent>
                </v:textbox>
              </v:shape>
            </w:pict>
          </mc:Fallback>
        </mc:AlternateContent>
      </w: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bCs/>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b/>
          <w:sz w:val="28"/>
          <w:szCs w:val="28"/>
        </w:rPr>
      </w:pPr>
      <w:r>
        <w:rPr>
          <w:rFonts w:hint="eastAsia" w:ascii="宋体" w:hAnsi="宋体"/>
          <w:b/>
          <w:sz w:val="28"/>
          <w:szCs w:val="28"/>
        </w:rPr>
        <w:t>本授权有效期为自开标之日起</w:t>
      </w:r>
      <w:r>
        <w:rPr>
          <w:rFonts w:hint="eastAsia" w:ascii="宋体" w:hAnsi="宋体"/>
          <w:b/>
          <w:sz w:val="28"/>
          <w:szCs w:val="28"/>
          <w:lang w:val="en-US" w:eastAsia="zh-CN"/>
        </w:rPr>
        <w:t>90日历</w:t>
      </w:r>
      <w:r>
        <w:rPr>
          <w:rFonts w:hint="eastAsia" w:ascii="宋体" w:hAnsi="宋体"/>
          <w:b/>
          <w:sz w:val="28"/>
          <w:szCs w:val="28"/>
        </w:rPr>
        <w:t>天，</w:t>
      </w:r>
      <w:r>
        <w:rPr>
          <w:rFonts w:ascii="宋体" w:hAnsi="宋体"/>
          <w:b/>
          <w:sz w:val="28"/>
          <w:szCs w:val="28"/>
        </w:rPr>
        <w:t>仅限授权代表参加</w:t>
      </w:r>
      <w:r>
        <w:rPr>
          <w:rFonts w:hint="eastAsia" w:ascii="宋体" w:hAnsi="宋体"/>
          <w:b/>
          <w:sz w:val="28"/>
          <w:szCs w:val="28"/>
        </w:rPr>
        <w:t>投标</w:t>
      </w:r>
      <w:r>
        <w:rPr>
          <w:rFonts w:ascii="宋体" w:hAnsi="宋体"/>
          <w:b/>
          <w:sz w:val="28"/>
          <w:szCs w:val="28"/>
        </w:rPr>
        <w:t>时提供</w:t>
      </w:r>
    </w:p>
    <w:p>
      <w:pPr>
        <w:pStyle w:val="80"/>
        <w:spacing w:line="400" w:lineRule="exact"/>
      </w:pPr>
    </w:p>
    <w:p>
      <w:pPr>
        <w:pStyle w:val="80"/>
        <w:spacing w:line="400" w:lineRule="exact"/>
      </w:pPr>
    </w:p>
    <w:p>
      <w:pPr>
        <w:pStyle w:val="80"/>
        <w:spacing w:line="400" w:lineRule="exact"/>
      </w:pPr>
    </w:p>
    <w:p>
      <w:pPr>
        <w:pStyle w:val="80"/>
        <w:spacing w:line="400" w:lineRule="exact"/>
      </w:pPr>
    </w:p>
    <w:p>
      <w:pPr>
        <w:pStyle w:val="80"/>
        <w:spacing w:line="400" w:lineRule="exact"/>
      </w:pPr>
    </w:p>
    <w:p>
      <w:pPr>
        <w:pStyle w:val="80"/>
        <w:spacing w:line="400" w:lineRule="exact"/>
      </w:pPr>
    </w:p>
    <w:p>
      <w:pPr>
        <w:pStyle w:val="80"/>
        <w:spacing w:line="400" w:lineRule="exact"/>
      </w:pPr>
    </w:p>
    <w:p>
      <w:pPr>
        <w:pStyle w:val="80"/>
        <w:spacing w:line="400" w:lineRule="exact"/>
        <w:rPr>
          <w:rFonts w:ascii="宋体" w:hAnsi="宋体"/>
          <w:sz w:val="24"/>
          <w:szCs w:val="24"/>
        </w:rPr>
      </w:pPr>
      <w:r>
        <w:br w:type="page"/>
      </w:r>
      <w:bookmarkStart w:id="236" w:name="_Toc529953014"/>
    </w:p>
    <w:bookmarkEnd w:id="236"/>
    <w:p>
      <w:pPr>
        <w:rPr>
          <w:rFonts w:hint="eastAsia" w:ascii="Times New Roman" w:hAnsi="Times New Roman" w:eastAsia="宋体" w:cs="Times New Roman"/>
          <w:b/>
          <w:kern w:val="2"/>
          <w:sz w:val="28"/>
          <w:szCs w:val="24"/>
          <w:lang w:val="en-US" w:eastAsia="zh-CN" w:bidi="ar-SA"/>
        </w:rPr>
      </w:pPr>
      <w:bookmarkStart w:id="237" w:name="_Toc529953015"/>
      <w:r>
        <w:rPr>
          <w:rFonts w:hint="eastAsia" w:ascii="Times New Roman" w:hAnsi="Times New Roman" w:eastAsia="宋体" w:cs="Times New Roman"/>
          <w:b/>
          <w:kern w:val="2"/>
          <w:sz w:val="28"/>
          <w:szCs w:val="24"/>
          <w:lang w:val="en-US" w:eastAsia="zh-CN" w:bidi="ar-SA"/>
        </w:rPr>
        <w:t>3.投标</w:t>
      </w:r>
      <w:r>
        <w:rPr>
          <w:rFonts w:hint="eastAsia" w:ascii="Times New Roman" w:hAnsi="Times New Roman" w:cs="Times New Roman"/>
          <w:b/>
          <w:kern w:val="2"/>
          <w:sz w:val="28"/>
          <w:szCs w:val="24"/>
          <w:lang w:val="en-US" w:eastAsia="zh-CN" w:bidi="ar-SA"/>
        </w:rPr>
        <w:t>单位</w:t>
      </w:r>
      <w:r>
        <w:rPr>
          <w:rFonts w:hint="eastAsia" w:ascii="Times New Roman" w:hAnsi="Times New Roman" w:eastAsia="宋体" w:cs="Times New Roman"/>
          <w:b/>
          <w:kern w:val="2"/>
          <w:sz w:val="28"/>
          <w:szCs w:val="24"/>
          <w:lang w:val="en-US" w:eastAsia="zh-CN" w:bidi="ar-SA"/>
        </w:rPr>
        <w:t>负责人为同一人或者存在控股、管理关系的不同单位不得同时进行投标。</w:t>
      </w:r>
      <w:r>
        <w:rPr>
          <w:rFonts w:hint="eastAsia" w:ascii="Times New Roman" w:hAnsi="Times New Roman" w:cs="Times New Roman"/>
          <w:b/>
          <w:kern w:val="2"/>
          <w:sz w:val="28"/>
          <w:szCs w:val="24"/>
          <w:lang w:val="en-US" w:eastAsia="zh-CN" w:bidi="ar-SA"/>
        </w:rPr>
        <w:t>（提</w:t>
      </w:r>
      <w:r>
        <w:rPr>
          <w:rFonts w:hint="eastAsia" w:ascii="Times New Roman" w:hAnsi="Times New Roman" w:eastAsia="宋体" w:cs="Times New Roman"/>
          <w:b/>
          <w:kern w:val="2"/>
          <w:sz w:val="28"/>
          <w:szCs w:val="24"/>
          <w:lang w:val="en-US" w:eastAsia="zh-CN" w:bidi="ar-SA"/>
        </w:rPr>
        <w:t>供投标人企业关系关联承诺书）</w:t>
      </w: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rPr>
          <w:rFonts w:hint="eastAsia" w:ascii="宋体" w:hAnsi="宋体"/>
          <w:b/>
          <w:sz w:val="24"/>
          <w:lang w:val="en-US" w:eastAsia="zh-CN"/>
        </w:rPr>
      </w:pPr>
    </w:p>
    <w:p>
      <w:pPr>
        <w:pStyle w:val="5"/>
        <w:rPr>
          <w:rFonts w:hint="eastAsia" w:ascii="宋体" w:hAnsi="宋体"/>
          <w:b/>
          <w:sz w:val="24"/>
          <w:lang w:val="en-US" w:eastAsia="zh-CN"/>
        </w:rPr>
      </w:pPr>
    </w:p>
    <w:p>
      <w:pPr>
        <w:pStyle w:val="5"/>
        <w:rPr>
          <w:rFonts w:hint="eastAsia" w:ascii="宋体" w:hAnsi="宋体"/>
          <w:b/>
          <w:sz w:val="24"/>
          <w:lang w:val="en-US" w:eastAsia="zh-CN"/>
        </w:rPr>
      </w:pPr>
    </w:p>
    <w:p>
      <w:pPr>
        <w:rPr>
          <w:rFonts w:hint="eastAsia" w:ascii="宋体" w:hAnsi="宋体"/>
          <w:b/>
          <w:sz w:val="24"/>
          <w:lang w:val="en-US" w:eastAsia="zh-CN"/>
        </w:rPr>
      </w:pPr>
    </w:p>
    <w:p>
      <w:pPr>
        <w:rPr>
          <w:rFonts w:hint="eastAsia" w:ascii="Times New Roman" w:hAnsi="Times New Roman" w:eastAsia="宋体" w:cs="Times New Roman"/>
          <w:b/>
          <w:kern w:val="2"/>
          <w:sz w:val="28"/>
          <w:szCs w:val="24"/>
          <w:lang w:val="en-US" w:eastAsia="zh-CN" w:bidi="ar-SA"/>
        </w:rPr>
      </w:pPr>
    </w:p>
    <w:p>
      <w:pPr>
        <w:jc w:val="center"/>
        <w:rPr>
          <w:rFonts w:ascii="宋体" w:hAnsi="宋体"/>
          <w:sz w:val="24"/>
          <w:szCs w:val="24"/>
        </w:rPr>
      </w:pPr>
      <w:r>
        <w:rPr>
          <w:rFonts w:hint="eastAsia" w:ascii="Times New Roman" w:hAnsi="Times New Roman" w:eastAsia="宋体" w:cs="Times New Roman"/>
          <w:b/>
          <w:kern w:val="2"/>
          <w:sz w:val="28"/>
          <w:szCs w:val="24"/>
          <w:lang w:val="en-US" w:eastAsia="zh-CN" w:bidi="ar-SA"/>
        </w:rPr>
        <w:t>4.参加政府采购活动前三年内无重大违法记录的书面声明</w:t>
      </w:r>
      <w:bookmarkEnd w:id="237"/>
    </w:p>
    <w:p>
      <w:pPr>
        <w:pStyle w:val="80"/>
        <w:spacing w:line="400" w:lineRule="exact"/>
        <w:rPr>
          <w:rFonts w:hint="eastAsia" w:ascii="宋体" w:hAnsi="宋体"/>
          <w:sz w:val="24"/>
          <w:szCs w:val="24"/>
          <w:lang w:eastAsia="zh-CN"/>
        </w:rPr>
      </w:pPr>
      <w:bookmarkStart w:id="238" w:name="_Toc475451804"/>
      <w:bookmarkStart w:id="239" w:name="_Toc473056008"/>
      <w:bookmarkStart w:id="240" w:name="_Toc475451557"/>
    </w:p>
    <w:p>
      <w:pPr>
        <w:pStyle w:val="80"/>
        <w:spacing w:line="400" w:lineRule="exact"/>
        <w:rPr>
          <w:rFonts w:hint="eastAsia" w:ascii="宋体" w:hAnsi="宋体"/>
          <w:sz w:val="24"/>
          <w:szCs w:val="24"/>
        </w:rPr>
      </w:pPr>
      <w:r>
        <w:rPr>
          <w:rFonts w:hint="eastAsia" w:ascii="宋体" w:hAnsi="宋体"/>
          <w:sz w:val="24"/>
          <w:szCs w:val="24"/>
          <w:lang w:eastAsia="zh-CN"/>
        </w:rPr>
        <w:t>同正项目管理有限公司</w:t>
      </w:r>
      <w:r>
        <w:rPr>
          <w:rFonts w:ascii="宋体" w:hAnsi="宋体"/>
          <w:sz w:val="24"/>
          <w:szCs w:val="24"/>
        </w:rPr>
        <w:t>：</w:t>
      </w:r>
      <w:r>
        <w:rPr>
          <w:rFonts w:ascii="宋体" w:hAnsi="宋体"/>
          <w:sz w:val="24"/>
          <w:szCs w:val="24"/>
        </w:rPr>
        <w:br w:type="textWrapping"/>
      </w:r>
      <w:r>
        <w:rPr>
          <w:rFonts w:hint="eastAsia" w:ascii="宋体" w:hAnsi="宋体"/>
          <w:sz w:val="24"/>
          <w:szCs w:val="24"/>
        </w:rPr>
        <w:t xml:space="preserve">    </w:t>
      </w:r>
    </w:p>
    <w:p>
      <w:pPr>
        <w:pStyle w:val="80"/>
        <w:spacing w:line="400" w:lineRule="exact"/>
        <w:ind w:firstLine="480" w:firstLineChars="200"/>
        <w:rPr>
          <w:rFonts w:ascii="宋体" w:hAnsi="宋体"/>
          <w:sz w:val="24"/>
          <w:szCs w:val="24"/>
        </w:rPr>
      </w:pPr>
      <w:r>
        <w:rPr>
          <w:rFonts w:ascii="宋体" w:hAnsi="宋体"/>
          <w:sz w:val="24"/>
          <w:szCs w:val="24"/>
        </w:rPr>
        <w:t>我方_______________（</w:t>
      </w:r>
      <w:r>
        <w:rPr>
          <w:rFonts w:hint="eastAsia" w:ascii="宋体" w:hAnsi="宋体"/>
          <w:sz w:val="24"/>
          <w:szCs w:val="24"/>
        </w:rPr>
        <w:t>投标人</w:t>
      </w:r>
      <w:r>
        <w:rPr>
          <w:rFonts w:ascii="宋体" w:hAnsi="宋体"/>
          <w:sz w:val="24"/>
          <w:szCs w:val="24"/>
        </w:rPr>
        <w:t>名称）郑重声明在参加本次政府采购活动前3年内的经营活动没有重大违法记录。如有不实，我方将无条件地退出本项目的采购活动，并遵照《政府采购法》有关"提供虚假材料的规定"接受处罚。</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特此声明。</w:t>
      </w: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4080" w:firstLineChars="1700"/>
        <w:jc w:val="both"/>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4080" w:firstLineChars="1700"/>
        <w:rPr>
          <w:rFonts w:ascii="宋体" w:hAnsi="宋体"/>
          <w:sz w:val="24"/>
          <w:szCs w:val="24"/>
          <w:u w:val="single"/>
        </w:rPr>
      </w:pPr>
      <w:r>
        <w:rPr>
          <w:rFonts w:hint="eastAsia" w:ascii="宋体" w:hAnsi="宋体"/>
          <w:sz w:val="24"/>
          <w:szCs w:val="24"/>
        </w:rPr>
        <w:t>法定代表人（签字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4080" w:firstLineChars="17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ind w:firstLine="420" w:firstLineChars="200"/>
        <w:jc w:val="center"/>
        <w:rPr>
          <w:rFonts w:hint="default" w:ascii="Times New Roman" w:hAnsi="Times New Roman" w:eastAsia="宋体" w:cs="Times New Roman"/>
          <w:b/>
          <w:kern w:val="2"/>
          <w:sz w:val="28"/>
          <w:szCs w:val="24"/>
          <w:lang w:val="en-US" w:eastAsia="zh-CN" w:bidi="ar-SA"/>
        </w:rPr>
      </w:pPr>
      <w:r>
        <w:rPr>
          <w:u w:val="single"/>
        </w:rPr>
        <w:br w:type="page"/>
      </w:r>
      <w:bookmarkStart w:id="241" w:name="_Toc529953016"/>
      <w:r>
        <w:rPr>
          <w:rFonts w:hint="eastAsia" w:ascii="Times New Roman" w:hAnsi="Times New Roman" w:eastAsia="宋体" w:cs="Times New Roman"/>
          <w:b/>
          <w:kern w:val="2"/>
          <w:sz w:val="28"/>
          <w:szCs w:val="24"/>
          <w:lang w:val="en-US" w:eastAsia="zh-CN" w:bidi="ar-SA"/>
        </w:rPr>
        <w:t xml:space="preserve"> 5.税收缴纳证明</w:t>
      </w:r>
    </w:p>
    <w:p>
      <w:pPr>
        <w:jc w:val="left"/>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r>
        <w:rPr>
          <w:rFonts w:hint="eastAsia" w:ascii="Times New Roman" w:hAnsi="Times New Roman" w:eastAsia="宋体" w:cs="Times New Roman"/>
          <w:b/>
          <w:kern w:val="2"/>
          <w:sz w:val="28"/>
          <w:szCs w:val="24"/>
          <w:lang w:val="en-US" w:eastAsia="zh-CN" w:bidi="ar-SA"/>
        </w:rPr>
        <w:t xml:space="preserve"> </w:t>
      </w:r>
      <w:r>
        <w:rPr>
          <w:rFonts w:hint="eastAsia" w:cs="Times New Roman"/>
          <w:b/>
          <w:kern w:val="2"/>
          <w:sz w:val="28"/>
          <w:szCs w:val="24"/>
          <w:lang w:val="en-US" w:eastAsia="zh-CN" w:bidi="ar-SA"/>
        </w:rPr>
        <w:t xml:space="preserve">                   6</w:t>
      </w:r>
      <w:r>
        <w:rPr>
          <w:rFonts w:hint="eastAsia" w:ascii="Times New Roman" w:hAnsi="Times New Roman" w:eastAsia="宋体" w:cs="Times New Roman"/>
          <w:b/>
          <w:kern w:val="2"/>
          <w:sz w:val="28"/>
          <w:szCs w:val="24"/>
          <w:lang w:val="en-US" w:eastAsia="zh-CN" w:bidi="ar-SA"/>
        </w:rPr>
        <w:t>.社会保障资金缴纳证明</w:t>
      </w: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r>
        <w:rPr>
          <w:rFonts w:hint="eastAsia" w:cs="宋体"/>
          <w:kern w:val="0"/>
          <w:sz w:val="24"/>
          <w:lang w:val="en-US" w:eastAsia="zh-CN"/>
        </w:rPr>
        <w:t xml:space="preserve">              </w:t>
      </w:r>
      <w:r>
        <w:rPr>
          <w:rFonts w:hint="eastAsia" w:ascii="Times New Roman" w:hAnsi="Times New Roman" w:eastAsia="宋体" w:cs="Times New Roman"/>
          <w:b/>
          <w:kern w:val="2"/>
          <w:sz w:val="28"/>
          <w:szCs w:val="24"/>
          <w:lang w:val="en-US" w:eastAsia="zh-CN" w:bidi="ar-SA"/>
        </w:rPr>
        <w:t>7. 财务状况报告或资信证明</w:t>
      </w: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pStyle w:val="43"/>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center"/>
        <w:rPr>
          <w:rFonts w:hint="default" w:ascii="Times New Roman" w:hAnsi="Times New Roman" w:eastAsia="宋体" w:cs="Times New Roman"/>
          <w:b/>
          <w:kern w:val="2"/>
          <w:sz w:val="28"/>
          <w:szCs w:val="24"/>
          <w:lang w:val="en-US" w:eastAsia="zh-CN" w:bidi="ar-SA"/>
        </w:rPr>
      </w:pPr>
      <w:r>
        <w:rPr>
          <w:rFonts w:hint="eastAsia" w:cs="Times New Roman"/>
          <w:b/>
          <w:kern w:val="2"/>
          <w:sz w:val="28"/>
          <w:szCs w:val="24"/>
          <w:lang w:val="en-US" w:eastAsia="zh-CN" w:bidi="ar-SA"/>
        </w:rPr>
        <w:t>8</w:t>
      </w:r>
      <w:r>
        <w:rPr>
          <w:rFonts w:hint="eastAsia" w:ascii="Times New Roman" w:hAnsi="Times New Roman" w:eastAsia="宋体" w:cs="Times New Roman"/>
          <w:b/>
          <w:kern w:val="2"/>
          <w:sz w:val="28"/>
          <w:szCs w:val="24"/>
          <w:lang w:val="en-US" w:eastAsia="zh-CN" w:bidi="ar-SA"/>
        </w:rPr>
        <w:t>.“信用中国”网站和“中国政府采购网”网站查询截图</w:t>
      </w: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pStyle w:val="5"/>
        <w:rPr>
          <w:rFonts w:hint="eastAsia"/>
          <w:lang w:val="en-US" w:eastAsia="zh-CN"/>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jc w:val="left"/>
        <w:rPr>
          <w:rFonts w:hint="eastAsia" w:ascii="Times New Roman" w:hAnsi="Times New Roman" w:eastAsia="宋体" w:cs="Times New Roman"/>
          <w:b/>
          <w:kern w:val="2"/>
          <w:sz w:val="28"/>
          <w:szCs w:val="24"/>
          <w:lang w:val="en-US" w:eastAsia="zh-CN" w:bidi="ar-SA"/>
        </w:rPr>
      </w:pPr>
    </w:p>
    <w:p>
      <w:pPr>
        <w:pStyle w:val="43"/>
        <w:widowControl/>
        <w:numPr>
          <w:ilvl w:val="0"/>
          <w:numId w:val="0"/>
        </w:numPr>
        <w:ind w:firstLine="843" w:firstLineChars="300"/>
        <w:jc w:val="left"/>
        <w:rPr>
          <w:rFonts w:hint="eastAsia" w:cs="宋体"/>
          <w:b/>
          <w:bCs/>
          <w:color w:val="auto"/>
          <w:sz w:val="28"/>
          <w:szCs w:val="28"/>
          <w:highlight w:val="none"/>
          <w:lang w:val="en-US" w:eastAsia="zh-CN"/>
        </w:rPr>
      </w:pPr>
      <w:r>
        <w:rPr>
          <w:rFonts w:hint="eastAsia" w:cs="Times New Roman"/>
          <w:b/>
          <w:kern w:val="2"/>
          <w:sz w:val="28"/>
          <w:szCs w:val="24"/>
          <w:highlight w:val="none"/>
          <w:lang w:val="en-US" w:eastAsia="zh-CN" w:bidi="ar-SA"/>
        </w:rPr>
        <w:t>9</w:t>
      </w:r>
      <w:r>
        <w:rPr>
          <w:rFonts w:hint="eastAsia" w:ascii="Times New Roman" w:hAnsi="Times New Roman" w:eastAsia="宋体" w:cs="Times New Roman"/>
          <w:b/>
          <w:kern w:val="2"/>
          <w:sz w:val="28"/>
          <w:szCs w:val="24"/>
          <w:highlight w:val="none"/>
          <w:lang w:val="en-US" w:eastAsia="zh-CN" w:bidi="ar-SA"/>
        </w:rPr>
        <w:t>.</w:t>
      </w:r>
      <w:r>
        <w:rPr>
          <w:rFonts w:hint="eastAsia" w:cs="宋体"/>
          <w:b/>
          <w:bCs/>
          <w:color w:val="auto"/>
          <w:sz w:val="28"/>
          <w:szCs w:val="28"/>
          <w:highlight w:val="none"/>
          <w:lang w:val="en-US" w:eastAsia="zh-CN"/>
        </w:rPr>
        <w:t>具有履行合同所必需的设备和专业技术能力（格式自拟）</w:t>
      </w:r>
    </w:p>
    <w:p>
      <w:pPr>
        <w:pStyle w:val="43"/>
        <w:widowControl/>
        <w:numPr>
          <w:ilvl w:val="0"/>
          <w:numId w:val="0"/>
        </w:numPr>
        <w:ind w:leftChars="200"/>
        <w:jc w:val="left"/>
        <w:rPr>
          <w:rFonts w:hint="eastAsia" w:cs="宋体"/>
          <w:b/>
          <w:bCs/>
          <w:color w:val="auto"/>
          <w:sz w:val="28"/>
          <w:szCs w:val="28"/>
          <w:highlight w:val="green"/>
          <w:lang w:val="en-US" w:eastAsia="zh-CN"/>
        </w:rPr>
      </w:pPr>
    </w:p>
    <w:p>
      <w:pPr>
        <w:pStyle w:val="43"/>
        <w:widowControl/>
        <w:numPr>
          <w:ilvl w:val="0"/>
          <w:numId w:val="0"/>
        </w:numPr>
        <w:ind w:leftChars="200"/>
        <w:jc w:val="left"/>
        <w:rPr>
          <w:rFonts w:hint="eastAsia" w:cs="宋体"/>
          <w:b/>
          <w:bCs/>
          <w:color w:val="auto"/>
          <w:sz w:val="28"/>
          <w:szCs w:val="28"/>
          <w:highlight w:val="green"/>
          <w:lang w:val="en-US" w:eastAsia="zh-CN"/>
        </w:rPr>
      </w:pPr>
    </w:p>
    <w:p>
      <w:pPr>
        <w:pStyle w:val="80"/>
        <w:spacing w:line="400" w:lineRule="exact"/>
        <w:rPr>
          <w:rFonts w:hint="eastAsia" w:ascii="Times New Roman" w:hAnsi="Times New Roman" w:eastAsia="宋体" w:cs="Times New Roman"/>
          <w:b/>
          <w:kern w:val="2"/>
          <w:sz w:val="28"/>
          <w:szCs w:val="24"/>
          <w:highlight w:val="green"/>
          <w:lang w:val="en-US" w:eastAsia="zh-CN" w:bidi="ar-SA"/>
        </w:rPr>
      </w:pPr>
    </w:p>
    <w:p>
      <w:pPr>
        <w:rPr>
          <w:rFonts w:hint="eastAsia" w:cs="Times New Roman"/>
          <w:b/>
          <w:kern w:val="2"/>
          <w:sz w:val="28"/>
          <w:szCs w:val="24"/>
          <w:lang w:val="en-US" w:eastAsia="zh-CN" w:bidi="ar-SA"/>
        </w:rPr>
      </w:pPr>
      <w:r>
        <w:rPr>
          <w:rFonts w:hint="eastAsia" w:cs="Times New Roman"/>
          <w:b/>
          <w:kern w:val="2"/>
          <w:sz w:val="28"/>
          <w:szCs w:val="24"/>
          <w:lang w:val="en-US" w:eastAsia="zh-CN" w:bidi="ar-SA"/>
        </w:rPr>
        <w:br w:type="page"/>
      </w:r>
    </w:p>
    <w:p>
      <w:pPr>
        <w:pStyle w:val="80"/>
        <w:spacing w:line="400" w:lineRule="exact"/>
        <w:rPr>
          <w:rFonts w:hint="eastAsia" w:ascii="宋体" w:hAnsi="宋体" w:eastAsia="宋体"/>
          <w:b/>
          <w:sz w:val="24"/>
          <w:szCs w:val="24"/>
          <w:lang w:eastAsia="zh-CN"/>
        </w:rPr>
      </w:pPr>
      <w:r>
        <w:rPr>
          <w:rFonts w:hint="eastAsia" w:cs="Times New Roman"/>
          <w:b/>
          <w:kern w:val="2"/>
          <w:sz w:val="28"/>
          <w:szCs w:val="24"/>
          <w:lang w:val="en-US" w:eastAsia="zh-CN" w:bidi="ar-SA"/>
        </w:rPr>
        <w:t>10.</w:t>
      </w:r>
      <w:r>
        <w:rPr>
          <w:rFonts w:hint="eastAsia" w:ascii="Times New Roman" w:hAnsi="Times New Roman" w:eastAsia="宋体" w:cs="Times New Roman"/>
          <w:b/>
          <w:kern w:val="2"/>
          <w:sz w:val="28"/>
          <w:szCs w:val="24"/>
          <w:lang w:val="en-US" w:eastAsia="zh-CN" w:bidi="ar-SA"/>
        </w:rPr>
        <w:t>招标文件要求的其他证明文件</w:t>
      </w:r>
      <w:bookmarkEnd w:id="241"/>
      <w:r>
        <w:rPr>
          <w:rFonts w:hint="eastAsia" w:ascii="Times New Roman" w:hAnsi="Times New Roman" w:eastAsia="宋体" w:cs="Times New Roman"/>
          <w:b/>
          <w:kern w:val="2"/>
          <w:sz w:val="28"/>
          <w:szCs w:val="24"/>
          <w:lang w:val="en-US" w:eastAsia="zh-CN" w:bidi="ar-SA"/>
        </w:rPr>
        <w:t>和投标人认为有必要提供的其他证明文件</w:t>
      </w:r>
    </w:p>
    <w:p>
      <w:pPr>
        <w:pStyle w:val="4"/>
        <w:spacing w:before="0" w:afterLines="50" w:line="360" w:lineRule="auto"/>
        <w:jc w:val="center"/>
        <w:rPr>
          <w:b w:val="0"/>
          <w:bCs/>
        </w:rPr>
      </w:pPr>
      <w:r>
        <w:rPr>
          <w:b w:val="0"/>
        </w:rPr>
        <w:br w:type="page"/>
      </w:r>
      <w:bookmarkEnd w:id="238"/>
      <w:bookmarkEnd w:id="239"/>
      <w:bookmarkEnd w:id="240"/>
      <w:bookmarkStart w:id="242" w:name="_Toc26379"/>
      <w:bookmarkStart w:id="243" w:name="_Toc511832019"/>
      <w:bookmarkStart w:id="244" w:name="_Toc17068"/>
      <w:bookmarkStart w:id="245" w:name="_Toc529953018"/>
      <w:r>
        <w:rPr>
          <w:rFonts w:hint="eastAsia" w:ascii="宋体" w:hAnsi="宋体" w:eastAsia="宋体"/>
          <w:bCs/>
          <w:lang w:eastAsia="zh-CN"/>
        </w:rPr>
        <w:t>九</w:t>
      </w:r>
      <w:r>
        <w:rPr>
          <w:rFonts w:hint="eastAsia" w:ascii="宋体" w:hAnsi="宋体" w:eastAsia="宋体"/>
          <w:bCs/>
        </w:rPr>
        <w:t>、</w:t>
      </w:r>
      <w:r>
        <w:rPr>
          <w:rFonts w:ascii="宋体" w:hAnsi="宋体" w:eastAsia="宋体"/>
          <w:bCs/>
        </w:rPr>
        <w:t>近年业绩的有关证明材料</w:t>
      </w:r>
      <w:bookmarkEnd w:id="242"/>
      <w:bookmarkEnd w:id="243"/>
      <w:bookmarkEnd w:id="244"/>
      <w:bookmarkEnd w:id="245"/>
    </w:p>
    <w:tbl>
      <w:tblPr>
        <w:tblStyle w:val="29"/>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2"/>
        <w:gridCol w:w="1353"/>
        <w:gridCol w:w="1953"/>
        <w:gridCol w:w="1984"/>
        <w:gridCol w:w="1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0" w:type="dxa"/>
            <w:vAlign w:val="center"/>
          </w:tcPr>
          <w:p>
            <w:pPr>
              <w:pStyle w:val="80"/>
              <w:spacing w:line="400" w:lineRule="exact"/>
              <w:rPr>
                <w:rFonts w:ascii="宋体" w:hAnsi="宋体"/>
                <w:b/>
                <w:sz w:val="24"/>
                <w:szCs w:val="24"/>
              </w:rPr>
            </w:pPr>
            <w:r>
              <w:rPr>
                <w:rFonts w:hint="eastAsia" w:ascii="宋体" w:hAnsi="宋体"/>
                <w:b/>
                <w:sz w:val="24"/>
                <w:szCs w:val="24"/>
              </w:rPr>
              <w:t>序号</w:t>
            </w:r>
          </w:p>
        </w:tc>
        <w:tc>
          <w:tcPr>
            <w:tcW w:w="1692" w:type="dxa"/>
            <w:vAlign w:val="center"/>
          </w:tcPr>
          <w:p>
            <w:pPr>
              <w:pStyle w:val="80"/>
              <w:spacing w:line="400" w:lineRule="exact"/>
              <w:jc w:val="center"/>
              <w:rPr>
                <w:rFonts w:ascii="宋体" w:hAnsi="宋体"/>
                <w:b/>
                <w:sz w:val="24"/>
                <w:szCs w:val="24"/>
              </w:rPr>
            </w:pPr>
            <w:r>
              <w:rPr>
                <w:rFonts w:hint="eastAsia" w:ascii="宋体" w:hAnsi="宋体"/>
                <w:b/>
                <w:sz w:val="24"/>
                <w:szCs w:val="24"/>
              </w:rPr>
              <w:t>项目名称</w:t>
            </w:r>
          </w:p>
        </w:tc>
        <w:tc>
          <w:tcPr>
            <w:tcW w:w="1353" w:type="dxa"/>
            <w:vAlign w:val="center"/>
          </w:tcPr>
          <w:p>
            <w:pPr>
              <w:pStyle w:val="80"/>
              <w:spacing w:line="400" w:lineRule="exact"/>
              <w:jc w:val="center"/>
              <w:rPr>
                <w:rFonts w:ascii="宋体" w:hAnsi="宋体"/>
                <w:b/>
                <w:sz w:val="24"/>
                <w:szCs w:val="24"/>
              </w:rPr>
            </w:pPr>
            <w:r>
              <w:rPr>
                <w:rFonts w:hint="eastAsia" w:ascii="宋体" w:hAnsi="宋体"/>
                <w:b/>
                <w:sz w:val="24"/>
                <w:szCs w:val="24"/>
              </w:rPr>
              <w:t>合同金额</w:t>
            </w:r>
          </w:p>
        </w:tc>
        <w:tc>
          <w:tcPr>
            <w:tcW w:w="1953" w:type="dxa"/>
            <w:vAlign w:val="center"/>
          </w:tcPr>
          <w:p>
            <w:pPr>
              <w:pStyle w:val="80"/>
              <w:spacing w:line="400" w:lineRule="exact"/>
              <w:jc w:val="center"/>
              <w:rPr>
                <w:rFonts w:ascii="宋体" w:hAnsi="宋体"/>
                <w:b/>
                <w:sz w:val="24"/>
                <w:szCs w:val="24"/>
              </w:rPr>
            </w:pPr>
            <w:r>
              <w:rPr>
                <w:rFonts w:hint="eastAsia" w:ascii="宋体" w:hAnsi="宋体"/>
                <w:b/>
                <w:sz w:val="24"/>
                <w:szCs w:val="24"/>
              </w:rPr>
              <w:t>合同签订时间及完成时间</w:t>
            </w:r>
          </w:p>
        </w:tc>
        <w:tc>
          <w:tcPr>
            <w:tcW w:w="1984" w:type="dxa"/>
            <w:vAlign w:val="center"/>
          </w:tcPr>
          <w:p>
            <w:pPr>
              <w:pStyle w:val="80"/>
              <w:spacing w:line="400" w:lineRule="exact"/>
              <w:jc w:val="center"/>
              <w:rPr>
                <w:rFonts w:ascii="宋体" w:hAnsi="宋体"/>
                <w:b/>
                <w:sz w:val="24"/>
                <w:szCs w:val="24"/>
              </w:rPr>
            </w:pPr>
            <w:r>
              <w:rPr>
                <w:rFonts w:hint="eastAsia" w:ascii="宋体" w:hAnsi="宋体"/>
                <w:b/>
                <w:sz w:val="24"/>
                <w:szCs w:val="24"/>
              </w:rPr>
              <w:t>用户名称及联系方式</w:t>
            </w:r>
          </w:p>
        </w:tc>
        <w:tc>
          <w:tcPr>
            <w:tcW w:w="1656" w:type="dxa"/>
            <w:vAlign w:val="center"/>
          </w:tcPr>
          <w:p>
            <w:pPr>
              <w:pStyle w:val="80"/>
              <w:spacing w:line="400" w:lineRule="exact"/>
              <w:jc w:val="center"/>
              <w:rPr>
                <w:rFonts w:ascii="宋体" w:hAnsi="宋体"/>
                <w:b/>
                <w:sz w:val="24"/>
                <w:szCs w:val="24"/>
              </w:rPr>
            </w:pPr>
            <w:r>
              <w:rPr>
                <w:rFonts w:hint="eastAsia" w:ascii="宋体" w:hAnsi="宋体"/>
                <w:b/>
                <w:sz w:val="24"/>
                <w:szCs w:val="24"/>
              </w:rPr>
              <w:t>完成质量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0"/>
              <w:spacing w:line="400" w:lineRule="exact"/>
              <w:rPr>
                <w:rFonts w:ascii="宋体" w:hAnsi="宋体"/>
                <w:sz w:val="24"/>
                <w:szCs w:val="24"/>
              </w:rPr>
            </w:pPr>
          </w:p>
        </w:tc>
        <w:tc>
          <w:tcPr>
            <w:tcW w:w="1692" w:type="dxa"/>
          </w:tcPr>
          <w:p>
            <w:pPr>
              <w:pStyle w:val="80"/>
              <w:spacing w:line="400" w:lineRule="exact"/>
              <w:rPr>
                <w:rFonts w:ascii="宋体" w:hAnsi="宋体"/>
                <w:sz w:val="24"/>
                <w:szCs w:val="24"/>
              </w:rPr>
            </w:pPr>
          </w:p>
        </w:tc>
        <w:tc>
          <w:tcPr>
            <w:tcW w:w="1353" w:type="dxa"/>
          </w:tcPr>
          <w:p>
            <w:pPr>
              <w:pStyle w:val="80"/>
              <w:spacing w:line="400" w:lineRule="exact"/>
              <w:rPr>
                <w:rFonts w:ascii="宋体" w:hAnsi="宋体"/>
                <w:sz w:val="24"/>
                <w:szCs w:val="24"/>
              </w:rPr>
            </w:pPr>
          </w:p>
        </w:tc>
        <w:tc>
          <w:tcPr>
            <w:tcW w:w="1953" w:type="dxa"/>
          </w:tcPr>
          <w:p>
            <w:pPr>
              <w:pStyle w:val="80"/>
              <w:spacing w:line="400" w:lineRule="exact"/>
              <w:rPr>
                <w:rFonts w:ascii="宋体" w:hAnsi="宋体"/>
                <w:sz w:val="24"/>
                <w:szCs w:val="24"/>
              </w:rPr>
            </w:pPr>
          </w:p>
        </w:tc>
        <w:tc>
          <w:tcPr>
            <w:tcW w:w="1984" w:type="dxa"/>
          </w:tcPr>
          <w:p>
            <w:pPr>
              <w:pStyle w:val="80"/>
              <w:spacing w:line="400" w:lineRule="exact"/>
              <w:rPr>
                <w:rFonts w:ascii="宋体" w:hAnsi="宋体"/>
                <w:sz w:val="24"/>
                <w:szCs w:val="24"/>
              </w:rPr>
            </w:pPr>
          </w:p>
        </w:tc>
        <w:tc>
          <w:tcPr>
            <w:tcW w:w="1656" w:type="dxa"/>
          </w:tcPr>
          <w:p>
            <w:pPr>
              <w:pStyle w:val="80"/>
              <w:spacing w:line="400" w:lineRule="exact"/>
              <w:rPr>
                <w:rFonts w:ascii="宋体" w:hAnsi="宋体"/>
                <w:sz w:val="24"/>
                <w:szCs w:val="24"/>
              </w:rPr>
            </w:pPr>
          </w:p>
        </w:tc>
      </w:tr>
    </w:tbl>
    <w:p>
      <w:pPr>
        <w:pStyle w:val="80"/>
        <w:spacing w:line="400" w:lineRule="exact"/>
        <w:rPr>
          <w:rFonts w:ascii="宋体" w:hAnsi="宋体"/>
          <w:sz w:val="24"/>
          <w:szCs w:val="24"/>
        </w:rPr>
      </w:pPr>
    </w:p>
    <w:p>
      <w:pPr>
        <w:pStyle w:val="80"/>
        <w:spacing w:line="400" w:lineRule="exact"/>
        <w:rPr>
          <w:rFonts w:ascii="宋体" w:hAnsi="宋体"/>
          <w:sz w:val="24"/>
          <w:szCs w:val="24"/>
        </w:rPr>
      </w:pPr>
      <w:r>
        <w:rPr>
          <w:rFonts w:ascii="宋体" w:hAnsi="宋体"/>
          <w:sz w:val="24"/>
          <w:szCs w:val="24"/>
        </w:rPr>
        <w:t>说明：1</w:t>
      </w:r>
      <w:r>
        <w:rPr>
          <w:rFonts w:hint="eastAsia" w:ascii="宋体" w:hAnsi="宋体"/>
          <w:sz w:val="24"/>
          <w:szCs w:val="24"/>
        </w:rPr>
        <w:t>.本表后附合同复印件加盖投标人公章，</w:t>
      </w:r>
      <w:r>
        <w:rPr>
          <w:rFonts w:ascii="宋体" w:hAnsi="宋体"/>
          <w:sz w:val="24"/>
          <w:szCs w:val="24"/>
        </w:rPr>
        <w:t>签订时间及金额以合同中的内容为准。</w:t>
      </w:r>
    </w:p>
    <w:p>
      <w:pPr>
        <w:pStyle w:val="80"/>
        <w:spacing w:line="400" w:lineRule="exact"/>
        <w:rPr>
          <w:rFonts w:ascii="宋体" w:hAnsi="宋体"/>
          <w:sz w:val="24"/>
          <w:szCs w:val="24"/>
        </w:rPr>
      </w:pPr>
      <w:r>
        <w:rPr>
          <w:rFonts w:ascii="宋体" w:hAnsi="宋体"/>
          <w:sz w:val="24"/>
          <w:szCs w:val="24"/>
        </w:rPr>
        <w:t>2</w:t>
      </w:r>
      <w:r>
        <w:rPr>
          <w:rFonts w:hint="eastAsia" w:ascii="宋体" w:hAnsi="宋体"/>
          <w:sz w:val="24"/>
          <w:szCs w:val="24"/>
        </w:rPr>
        <w:t>.投标人</w:t>
      </w:r>
      <w:r>
        <w:rPr>
          <w:rFonts w:ascii="宋体" w:hAnsi="宋体"/>
          <w:sz w:val="24"/>
          <w:szCs w:val="24"/>
        </w:rPr>
        <w:t>应如实列出以上情况，如有隐瞒，一经查实将导致其</w:t>
      </w:r>
      <w:r>
        <w:rPr>
          <w:rFonts w:hint="eastAsia" w:ascii="宋体" w:hAnsi="宋体"/>
          <w:sz w:val="24"/>
          <w:szCs w:val="24"/>
        </w:rPr>
        <w:t>投标</w:t>
      </w:r>
      <w:r>
        <w:rPr>
          <w:rFonts w:ascii="宋体" w:hAnsi="宋体"/>
          <w:sz w:val="24"/>
          <w:szCs w:val="24"/>
        </w:rPr>
        <w:t>文件被拒绝。</w:t>
      </w:r>
    </w:p>
    <w:p>
      <w:pPr>
        <w:pStyle w:val="80"/>
        <w:spacing w:line="400" w:lineRule="exac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未按上述要求提供、填写的，评审时不予以考虑。</w:t>
      </w: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3840" w:firstLineChars="160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840" w:firstLineChars="1600"/>
        <w:rPr>
          <w:rFonts w:ascii="宋体" w:hAnsi="宋体"/>
          <w:sz w:val="24"/>
          <w:szCs w:val="24"/>
          <w:u w:val="single"/>
        </w:rPr>
      </w:pPr>
      <w:r>
        <w:rPr>
          <w:rFonts w:hint="eastAsia" w:ascii="宋体" w:hAnsi="宋体"/>
          <w:sz w:val="24"/>
          <w:szCs w:val="24"/>
        </w:rPr>
        <w:t>法定代表人/授权代表（签字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840" w:firstLineChars="16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jc w:val="center"/>
        <w:rPr>
          <w:b w:val="0"/>
          <w:bCs/>
          <w:sz w:val="36"/>
          <w:szCs w:val="36"/>
        </w:rPr>
      </w:pPr>
      <w:bookmarkStart w:id="246" w:name="_Toc529953019"/>
      <w:r>
        <w:rPr>
          <w:b w:val="0"/>
          <w:bCs/>
        </w:rPr>
        <w:br w:type="page"/>
      </w:r>
      <w:bookmarkStart w:id="247" w:name="_Toc1945"/>
      <w:bookmarkStart w:id="248" w:name="_Toc31586"/>
      <w:r>
        <w:rPr>
          <w:rFonts w:hint="eastAsia" w:ascii="宋体" w:hAnsi="宋体" w:eastAsia="宋体"/>
          <w:bCs/>
        </w:rPr>
        <w:t>十、投标人企业关系关联承诺书</w:t>
      </w:r>
      <w:bookmarkEnd w:id="246"/>
      <w:bookmarkEnd w:id="247"/>
      <w:bookmarkEnd w:id="248"/>
    </w:p>
    <w:p>
      <w:pPr>
        <w:pStyle w:val="80"/>
        <w:spacing w:line="400" w:lineRule="exact"/>
        <w:rPr>
          <w:rFonts w:ascii="宋体" w:hAnsi="宋体"/>
          <w:sz w:val="24"/>
          <w:szCs w:val="24"/>
        </w:rPr>
      </w:pPr>
      <w:r>
        <w:rPr>
          <w:rFonts w:hint="eastAsia" w:ascii="宋体" w:hAnsi="宋体"/>
          <w:sz w:val="24"/>
          <w:szCs w:val="24"/>
        </w:rPr>
        <w:t>一、投标人股东及股权证明(提供相关证明材料)。</w:t>
      </w:r>
    </w:p>
    <w:p>
      <w:pPr>
        <w:pStyle w:val="80"/>
        <w:spacing w:line="400" w:lineRule="exact"/>
        <w:rPr>
          <w:rFonts w:ascii="宋体" w:hAnsi="宋体"/>
          <w:sz w:val="24"/>
          <w:szCs w:val="24"/>
        </w:rPr>
      </w:pPr>
      <w:r>
        <w:rPr>
          <w:rFonts w:hint="eastAsia" w:ascii="宋体" w:hAnsi="宋体"/>
          <w:sz w:val="24"/>
          <w:szCs w:val="24"/>
        </w:rPr>
        <w:t>二、投标人在本项目投标中，不存在与其它投标</w:t>
      </w:r>
      <w:r>
        <w:rPr>
          <w:rFonts w:hint="eastAsia" w:ascii="宋体" w:hAnsi="宋体"/>
          <w:sz w:val="24"/>
          <w:szCs w:val="24"/>
          <w:lang w:eastAsia="zh-CN"/>
        </w:rPr>
        <w:t>单位</w:t>
      </w:r>
      <w:r>
        <w:rPr>
          <w:rFonts w:hint="eastAsia" w:ascii="宋体" w:hAnsi="宋体"/>
          <w:sz w:val="24"/>
          <w:szCs w:val="24"/>
        </w:rPr>
        <w:t>负责人为同一人，有控股、管理等关联关系承诺。</w:t>
      </w:r>
    </w:p>
    <w:p>
      <w:pPr>
        <w:pStyle w:val="80"/>
        <w:spacing w:line="400" w:lineRule="exact"/>
        <w:rPr>
          <w:rFonts w:ascii="宋体" w:hAnsi="宋体"/>
          <w:sz w:val="24"/>
          <w:szCs w:val="24"/>
        </w:rPr>
      </w:pPr>
      <w:r>
        <w:rPr>
          <w:rFonts w:hint="eastAsia" w:ascii="宋体" w:hAnsi="宋体"/>
          <w:sz w:val="24"/>
          <w:szCs w:val="24"/>
        </w:rPr>
        <w:t>1.管理关系说明：</w:t>
      </w:r>
    </w:p>
    <w:p>
      <w:pPr>
        <w:pStyle w:val="80"/>
        <w:spacing w:line="400" w:lineRule="exact"/>
        <w:rPr>
          <w:rFonts w:ascii="宋体" w:hAnsi="宋体"/>
          <w:sz w:val="24"/>
          <w:szCs w:val="24"/>
          <w:u w:val="single"/>
        </w:rPr>
      </w:pPr>
      <w:r>
        <w:rPr>
          <w:rFonts w:hint="eastAsia" w:ascii="宋体" w:hAnsi="宋体"/>
          <w:sz w:val="24"/>
          <w:szCs w:val="24"/>
        </w:rPr>
        <w:t>我单位管理的具有独立法人的下属单位：</w:t>
      </w:r>
      <w:r>
        <w:rPr>
          <w:rFonts w:hint="eastAsia" w:ascii="宋体" w:hAnsi="宋体"/>
          <w:sz w:val="24"/>
          <w:szCs w:val="24"/>
          <w:u w:val="single"/>
        </w:rPr>
        <w:t xml:space="preserve">      </w:t>
      </w:r>
      <w:r>
        <w:rPr>
          <w:rFonts w:hint="eastAsia" w:ascii="宋体" w:hAnsi="宋体"/>
          <w:sz w:val="24"/>
          <w:szCs w:val="24"/>
        </w:rPr>
        <w:t>(没有填无)。</w:t>
      </w:r>
    </w:p>
    <w:p>
      <w:pPr>
        <w:pStyle w:val="80"/>
        <w:spacing w:line="400" w:lineRule="exact"/>
        <w:rPr>
          <w:rFonts w:ascii="宋体" w:hAnsi="宋体"/>
          <w:sz w:val="24"/>
          <w:szCs w:val="24"/>
        </w:rPr>
      </w:pPr>
      <w:r>
        <w:rPr>
          <w:rFonts w:hint="eastAsia" w:ascii="宋体" w:hAnsi="宋体"/>
          <w:sz w:val="24"/>
          <w:szCs w:val="24"/>
        </w:rPr>
        <w:t xml:space="preserve">我单位的上级管理单位 </w:t>
      </w:r>
      <w:r>
        <w:rPr>
          <w:rFonts w:hint="eastAsia" w:ascii="宋体" w:hAnsi="宋体"/>
          <w:sz w:val="24"/>
          <w:szCs w:val="24"/>
          <w:u w:val="single"/>
        </w:rPr>
        <w:t xml:space="preserve">            </w:t>
      </w:r>
      <w:r>
        <w:rPr>
          <w:rFonts w:hint="eastAsia" w:ascii="宋体" w:hAnsi="宋体"/>
          <w:sz w:val="24"/>
          <w:szCs w:val="24"/>
        </w:rPr>
        <w:t xml:space="preserve"> (没有填无)。</w:t>
      </w:r>
    </w:p>
    <w:p>
      <w:pPr>
        <w:pStyle w:val="80"/>
        <w:spacing w:line="400" w:lineRule="exact"/>
        <w:rPr>
          <w:rFonts w:ascii="宋体" w:hAnsi="宋体"/>
          <w:sz w:val="24"/>
          <w:szCs w:val="24"/>
        </w:rPr>
      </w:pPr>
      <w:r>
        <w:rPr>
          <w:rFonts w:hint="eastAsia" w:ascii="宋体" w:hAnsi="宋体"/>
          <w:sz w:val="24"/>
          <w:szCs w:val="24"/>
        </w:rPr>
        <w:t>2.股权关系说明：</w:t>
      </w:r>
    </w:p>
    <w:p>
      <w:pPr>
        <w:pStyle w:val="80"/>
        <w:spacing w:line="400" w:lineRule="exact"/>
        <w:rPr>
          <w:rFonts w:ascii="宋体" w:hAnsi="宋体"/>
          <w:sz w:val="24"/>
          <w:szCs w:val="24"/>
        </w:rPr>
      </w:pPr>
      <w:r>
        <w:rPr>
          <w:rFonts w:hint="eastAsia" w:ascii="宋体" w:hAnsi="宋体"/>
          <w:sz w:val="24"/>
          <w:szCs w:val="24"/>
        </w:rPr>
        <w:t>我单位控股的单位</w:t>
      </w:r>
      <w:r>
        <w:rPr>
          <w:rFonts w:hint="eastAsia" w:ascii="宋体" w:hAnsi="宋体"/>
          <w:sz w:val="24"/>
          <w:szCs w:val="24"/>
          <w:u w:val="single"/>
        </w:rPr>
        <w:t xml:space="preserve">          </w:t>
      </w:r>
      <w:r>
        <w:rPr>
          <w:rFonts w:hint="eastAsia" w:ascii="宋体" w:hAnsi="宋体"/>
          <w:sz w:val="24"/>
          <w:szCs w:val="24"/>
        </w:rPr>
        <w:t>(没有填无) 。</w:t>
      </w:r>
    </w:p>
    <w:p>
      <w:pPr>
        <w:pStyle w:val="80"/>
        <w:spacing w:line="400" w:lineRule="exact"/>
        <w:rPr>
          <w:rFonts w:ascii="宋体" w:hAnsi="宋体"/>
          <w:sz w:val="24"/>
          <w:szCs w:val="24"/>
        </w:rPr>
      </w:pPr>
      <w:r>
        <w:rPr>
          <w:rFonts w:hint="eastAsia" w:ascii="宋体" w:hAnsi="宋体"/>
          <w:sz w:val="24"/>
          <w:szCs w:val="24"/>
        </w:rPr>
        <w:t>我单位</w:t>
      </w:r>
      <w:r>
        <w:rPr>
          <w:rFonts w:hint="eastAsia" w:ascii="宋体" w:hAnsi="宋体"/>
          <w:sz w:val="24"/>
          <w:szCs w:val="24"/>
          <w:u w:val="single"/>
        </w:rPr>
        <w:t xml:space="preserve">      </w:t>
      </w:r>
      <w:r>
        <w:rPr>
          <w:rFonts w:hint="eastAsia" w:ascii="宋体" w:hAnsi="宋体"/>
          <w:sz w:val="24"/>
          <w:szCs w:val="24"/>
        </w:rPr>
        <w:t>(没有填无)被</w:t>
      </w:r>
      <w:r>
        <w:rPr>
          <w:rFonts w:hint="eastAsia" w:ascii="宋体" w:hAnsi="宋体"/>
          <w:sz w:val="24"/>
          <w:szCs w:val="24"/>
          <w:u w:val="single"/>
        </w:rPr>
        <w:t xml:space="preserve">   （控股单位全称）  </w:t>
      </w:r>
      <w:r>
        <w:rPr>
          <w:rFonts w:hint="eastAsia" w:ascii="宋体" w:hAnsi="宋体"/>
          <w:sz w:val="24"/>
          <w:szCs w:val="24"/>
        </w:rPr>
        <w:t>单位控股。</w:t>
      </w:r>
    </w:p>
    <w:p>
      <w:pPr>
        <w:pStyle w:val="80"/>
        <w:spacing w:line="400" w:lineRule="exact"/>
        <w:rPr>
          <w:rFonts w:ascii="宋体" w:hAnsi="宋体"/>
          <w:sz w:val="24"/>
          <w:szCs w:val="24"/>
        </w:rPr>
      </w:pPr>
      <w:r>
        <w:rPr>
          <w:rFonts w:hint="eastAsia" w:ascii="宋体" w:hAnsi="宋体"/>
          <w:sz w:val="24"/>
          <w:szCs w:val="24"/>
        </w:rPr>
        <w:t>3.单位负责人：</w:t>
      </w:r>
      <w:r>
        <w:rPr>
          <w:rFonts w:hint="eastAsia" w:ascii="宋体" w:hAnsi="宋体"/>
          <w:sz w:val="24"/>
          <w:szCs w:val="24"/>
          <w:u w:val="single"/>
        </w:rPr>
        <w:t xml:space="preserve">        </w:t>
      </w:r>
      <w:r>
        <w:rPr>
          <w:rFonts w:hint="eastAsia" w:ascii="宋体" w:hAnsi="宋体"/>
          <w:sz w:val="24"/>
          <w:szCs w:val="24"/>
        </w:rPr>
        <w:t xml:space="preserve"> (没有填无)。</w:t>
      </w:r>
    </w:p>
    <w:p>
      <w:pPr>
        <w:pStyle w:val="80"/>
        <w:spacing w:line="400" w:lineRule="exact"/>
        <w:rPr>
          <w:rFonts w:ascii="宋体" w:hAnsi="宋体"/>
          <w:sz w:val="24"/>
          <w:szCs w:val="24"/>
        </w:rPr>
      </w:pPr>
      <w:r>
        <w:rPr>
          <w:rFonts w:hint="eastAsia" w:ascii="宋体" w:hAnsi="宋体"/>
          <w:sz w:val="24"/>
          <w:szCs w:val="24"/>
        </w:rPr>
        <w:t>三、我单位</w:t>
      </w:r>
      <w:r>
        <w:rPr>
          <w:rFonts w:hint="eastAsia" w:ascii="宋体" w:hAnsi="宋体"/>
          <w:sz w:val="24"/>
          <w:szCs w:val="24"/>
          <w:u w:val="single"/>
        </w:rPr>
        <w:t xml:space="preserve">          </w:t>
      </w:r>
      <w:r>
        <w:rPr>
          <w:rFonts w:hint="eastAsia" w:ascii="宋体" w:hAnsi="宋体"/>
          <w:sz w:val="24"/>
          <w:szCs w:val="24"/>
        </w:rPr>
        <w:t>（是或否） 为本采购项目提供过整体设计、规范编制或者项目管理、监理、检测等服务的投标人。</w:t>
      </w:r>
    </w:p>
    <w:p>
      <w:pPr>
        <w:pStyle w:val="80"/>
        <w:spacing w:line="400" w:lineRule="exact"/>
        <w:rPr>
          <w:rFonts w:ascii="宋体" w:hAnsi="宋体"/>
          <w:sz w:val="24"/>
          <w:szCs w:val="24"/>
        </w:rPr>
      </w:pPr>
      <w:r>
        <w:rPr>
          <w:rFonts w:hint="eastAsia" w:ascii="宋体" w:hAnsi="宋体"/>
          <w:sz w:val="24"/>
          <w:szCs w:val="24"/>
        </w:rPr>
        <w:t>四、其他与本项目有关的利害关系说明。</w:t>
      </w:r>
    </w:p>
    <w:p>
      <w:pPr>
        <w:pStyle w:val="80"/>
        <w:spacing w:line="400" w:lineRule="exact"/>
        <w:rPr>
          <w:rFonts w:ascii="宋体" w:hAnsi="宋体"/>
          <w:sz w:val="24"/>
          <w:szCs w:val="24"/>
        </w:rPr>
      </w:pPr>
      <w:r>
        <w:rPr>
          <w:rFonts w:hint="eastAsia" w:ascii="宋体" w:hAnsi="宋体"/>
          <w:sz w:val="24"/>
          <w:szCs w:val="24"/>
        </w:rPr>
        <w:t>我单位承诺以上说明真实有效，无虚假内容或隐瞒。</w:t>
      </w:r>
    </w:p>
    <w:p>
      <w:pPr>
        <w:pStyle w:val="80"/>
        <w:spacing w:line="400" w:lineRule="exact"/>
        <w:rPr>
          <w:rFonts w:ascii="宋体" w:hAnsi="宋体"/>
          <w:sz w:val="24"/>
          <w:szCs w:val="24"/>
        </w:rPr>
      </w:pPr>
    </w:p>
    <w:p>
      <w:pPr>
        <w:pStyle w:val="80"/>
        <w:spacing w:line="400" w:lineRule="exact"/>
        <w:rPr>
          <w:rFonts w:ascii="宋体" w:hAnsi="宋体"/>
          <w:b/>
          <w:sz w:val="24"/>
          <w:szCs w:val="24"/>
        </w:rPr>
      </w:pPr>
    </w:p>
    <w:p>
      <w:pPr>
        <w:pStyle w:val="80"/>
        <w:spacing w:line="400" w:lineRule="exact"/>
        <w:rPr>
          <w:rFonts w:ascii="宋体" w:hAnsi="宋体"/>
          <w:b/>
          <w:sz w:val="24"/>
          <w:szCs w:val="24"/>
        </w:rPr>
      </w:pPr>
    </w:p>
    <w:p>
      <w:pPr>
        <w:pStyle w:val="80"/>
        <w:spacing w:line="400" w:lineRule="exact"/>
        <w:rPr>
          <w:rFonts w:ascii="宋体" w:hAnsi="宋体"/>
          <w:b/>
          <w:sz w:val="24"/>
          <w:szCs w:val="24"/>
        </w:rPr>
      </w:pPr>
    </w:p>
    <w:p>
      <w:pPr>
        <w:pStyle w:val="80"/>
        <w:spacing w:line="400" w:lineRule="exact"/>
        <w:ind w:firstLine="2760" w:firstLineChars="1150"/>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2760" w:firstLineChars="1150"/>
        <w:rPr>
          <w:rFonts w:ascii="宋体" w:hAnsi="宋体"/>
          <w:sz w:val="24"/>
          <w:szCs w:val="24"/>
          <w:u w:val="single"/>
        </w:rPr>
      </w:pPr>
      <w:r>
        <w:rPr>
          <w:rFonts w:hint="eastAsia" w:ascii="宋体" w:hAnsi="宋体"/>
          <w:sz w:val="24"/>
          <w:szCs w:val="24"/>
        </w:rPr>
        <w:t>法定代表人（签字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2760" w:firstLineChars="115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jc w:val="center"/>
        <w:rPr>
          <w:b w:val="0"/>
          <w:bCs/>
        </w:rPr>
      </w:pPr>
      <w:r>
        <w:rPr>
          <w:u w:val="single"/>
        </w:rPr>
        <w:br w:type="page"/>
      </w:r>
      <w:bookmarkStart w:id="249" w:name="_Toc529953020"/>
      <w:bookmarkStart w:id="250" w:name="_Toc6296"/>
      <w:bookmarkStart w:id="251" w:name="_Toc14373"/>
      <w:r>
        <w:rPr>
          <w:rFonts w:hint="eastAsia" w:ascii="宋体" w:hAnsi="宋体" w:eastAsia="宋体"/>
          <w:bCs/>
        </w:rPr>
        <w:t>十</w:t>
      </w:r>
      <w:r>
        <w:rPr>
          <w:rFonts w:hint="eastAsia" w:ascii="宋体" w:hAnsi="宋体" w:eastAsia="宋体"/>
          <w:bCs/>
          <w:lang w:eastAsia="zh-CN"/>
        </w:rPr>
        <w:t>一</w:t>
      </w:r>
      <w:r>
        <w:rPr>
          <w:rFonts w:hint="eastAsia" w:ascii="宋体" w:hAnsi="宋体" w:eastAsia="宋体"/>
          <w:bCs/>
        </w:rPr>
        <w:t>、</w:t>
      </w:r>
      <w:r>
        <w:rPr>
          <w:rFonts w:ascii="宋体" w:hAnsi="宋体" w:eastAsia="宋体"/>
          <w:bCs/>
        </w:rPr>
        <w:t>拒绝政府采购领域商业贿赂承诺书</w:t>
      </w:r>
      <w:bookmarkEnd w:id="249"/>
      <w:bookmarkEnd w:id="250"/>
      <w:bookmarkEnd w:id="251"/>
    </w:p>
    <w:p>
      <w:pPr>
        <w:pStyle w:val="80"/>
        <w:spacing w:line="400" w:lineRule="exact"/>
        <w:rPr>
          <w:rFonts w:ascii="宋体" w:hAnsi="宋体"/>
          <w:sz w:val="24"/>
          <w:szCs w:val="24"/>
        </w:rPr>
      </w:pPr>
      <w:r>
        <w:rPr>
          <w:rFonts w:hint="eastAsia" w:ascii="宋体" w:hAnsi="宋体"/>
          <w:sz w:val="24"/>
          <w:szCs w:val="24"/>
        </w:rPr>
        <w:t>为响应党中央、国务院关于治理政府采购领域商业贿赂行为的号召，我公司在此庄严承诺：</w:t>
      </w:r>
      <w:r>
        <w:rPr>
          <w:rFonts w:hint="eastAsia" w:ascii="宋体" w:hAnsi="宋体"/>
          <w:sz w:val="24"/>
          <w:szCs w:val="24"/>
        </w:rPr>
        <w:br w:type="textWrapping"/>
      </w:r>
      <w:r>
        <w:rPr>
          <w:rFonts w:hint="eastAsia" w:ascii="宋体" w:hAnsi="宋体"/>
          <w:sz w:val="24"/>
          <w:szCs w:val="24"/>
        </w:rPr>
        <w:t xml:space="preserve">    一、在参与政府采购活动中遵纪守法、诚信经营、公平竞标。</w:t>
      </w:r>
      <w:r>
        <w:rPr>
          <w:rFonts w:hint="eastAsia" w:ascii="宋体" w:hAnsi="宋体"/>
          <w:sz w:val="24"/>
          <w:szCs w:val="24"/>
        </w:rPr>
        <w:br w:type="textWrapping"/>
      </w:r>
      <w:r>
        <w:rPr>
          <w:rFonts w:hint="eastAsia" w:ascii="宋体" w:hAnsi="宋体"/>
          <w:sz w:val="24"/>
          <w:szCs w:val="24"/>
        </w:rPr>
        <w:t xml:space="preserve">    二、不向政府采购人、采购代理机构和政府采购评审专家进行任何形式的商业贿赂以谋取交易机会。</w:t>
      </w:r>
      <w:r>
        <w:rPr>
          <w:rFonts w:hint="eastAsia" w:ascii="宋体" w:hAnsi="宋体"/>
          <w:sz w:val="24"/>
          <w:szCs w:val="24"/>
        </w:rPr>
        <w:br w:type="textWrapping"/>
      </w:r>
      <w:r>
        <w:rPr>
          <w:rFonts w:hint="eastAsia" w:ascii="宋体" w:hAnsi="宋体"/>
          <w:sz w:val="24"/>
          <w:szCs w:val="24"/>
        </w:rPr>
        <w:t xml:space="preserve">    三、不向政府采购代理机构和采购人提供虚假资质证明文件或采用虚假应标方式参与政府采购市场竞争并谋取中标、成交。</w:t>
      </w:r>
      <w:r>
        <w:rPr>
          <w:rFonts w:hint="eastAsia" w:ascii="宋体" w:hAnsi="宋体"/>
          <w:sz w:val="24"/>
          <w:szCs w:val="24"/>
        </w:rPr>
        <w:br w:type="textWrapping"/>
      </w:r>
      <w:r>
        <w:rPr>
          <w:rFonts w:hint="eastAsia" w:ascii="宋体" w:hAnsi="宋体"/>
          <w:sz w:val="24"/>
          <w:szCs w:val="24"/>
        </w:rPr>
        <w:t xml:space="preserve">    四、不采取“围标、陪标”等商业欺诈手段获得政府采购订单。</w:t>
      </w:r>
      <w:r>
        <w:rPr>
          <w:rFonts w:hint="eastAsia" w:ascii="宋体" w:hAnsi="宋体"/>
          <w:sz w:val="24"/>
          <w:szCs w:val="24"/>
        </w:rPr>
        <w:br w:type="textWrapping"/>
      </w:r>
      <w:r>
        <w:rPr>
          <w:rFonts w:hint="eastAsia" w:ascii="宋体" w:hAnsi="宋体"/>
          <w:sz w:val="24"/>
          <w:szCs w:val="24"/>
        </w:rPr>
        <w:t xml:space="preserve">    五、不采取不正当手段诋毁、排挤其他投标人。</w:t>
      </w:r>
      <w:r>
        <w:rPr>
          <w:rFonts w:hint="eastAsia" w:ascii="宋体" w:hAnsi="宋体"/>
          <w:sz w:val="24"/>
          <w:szCs w:val="24"/>
        </w:rPr>
        <w:br w:type="textWrapping"/>
      </w:r>
      <w:r>
        <w:rPr>
          <w:rFonts w:hint="eastAsia" w:ascii="宋体" w:hAnsi="宋体"/>
          <w:sz w:val="24"/>
          <w:szCs w:val="24"/>
        </w:rPr>
        <w:t xml:space="preserve">    六、不在提供货物和服务时“偷梁换柱、以次充好”损害采购人的合法权益。</w:t>
      </w:r>
      <w:r>
        <w:rPr>
          <w:rFonts w:hint="eastAsia" w:ascii="宋体" w:hAnsi="宋体"/>
          <w:sz w:val="24"/>
          <w:szCs w:val="24"/>
        </w:rPr>
        <w:br w:type="textWrapping"/>
      </w:r>
      <w:r>
        <w:rPr>
          <w:rFonts w:hint="eastAsia" w:ascii="宋体" w:hAnsi="宋体"/>
          <w:sz w:val="24"/>
          <w:szCs w:val="24"/>
        </w:rPr>
        <w:t xml:space="preserve">    七、不与采购人、采购代理机构、政府采购评审专家或其它投标人恶意串通，进行质疑和投诉，维护政府采购市场秩序。</w:t>
      </w:r>
      <w:r>
        <w:rPr>
          <w:rFonts w:hint="eastAsia" w:ascii="宋体" w:hAnsi="宋体"/>
          <w:sz w:val="24"/>
          <w:szCs w:val="24"/>
        </w:rPr>
        <w:br w:type="textWrapping"/>
      </w:r>
      <w:r>
        <w:rPr>
          <w:rFonts w:hint="eastAsia" w:ascii="宋体" w:hAnsi="宋体"/>
          <w:sz w:val="24"/>
          <w:szCs w:val="24"/>
        </w:rPr>
        <w:t xml:space="preserve">    八、尊重和接受政府采购监督管理部门的监督和政府采购代理机构招标采购要求，承担因违约行为给采购人造成的损失。</w:t>
      </w:r>
      <w:r>
        <w:rPr>
          <w:rFonts w:hint="eastAsia" w:ascii="宋体" w:hAnsi="宋体"/>
          <w:sz w:val="24"/>
          <w:szCs w:val="24"/>
        </w:rPr>
        <w:br w:type="textWrapping"/>
      </w:r>
      <w:r>
        <w:rPr>
          <w:rFonts w:hint="eastAsia" w:ascii="宋体" w:hAnsi="宋体"/>
          <w:sz w:val="24"/>
          <w:szCs w:val="24"/>
        </w:rPr>
        <w:t xml:space="preserve">    九、不发生其他有悖于政府采购公开、公平、公正和诚信原则的行为</w:t>
      </w:r>
      <w:r>
        <w:rPr>
          <w:rFonts w:ascii="宋体" w:hAnsi="宋体"/>
          <w:sz w:val="24"/>
          <w:szCs w:val="24"/>
        </w:rPr>
        <w:t>。</w:t>
      </w:r>
      <w:r>
        <w:rPr>
          <w:rFonts w:hint="eastAsia" w:ascii="宋体" w:hAnsi="宋体"/>
          <w:sz w:val="24"/>
          <w:szCs w:val="24"/>
        </w:rPr>
        <w:t xml:space="preserve">                                    </w:t>
      </w: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rPr>
          <w:rFonts w:ascii="宋体" w:hAnsi="宋体"/>
          <w:sz w:val="24"/>
          <w:szCs w:val="24"/>
        </w:rPr>
      </w:pPr>
    </w:p>
    <w:p>
      <w:pPr>
        <w:pStyle w:val="80"/>
        <w:spacing w:line="400" w:lineRule="exact"/>
        <w:ind w:firstLine="3720" w:firstLineChars="1550"/>
        <w:rPr>
          <w:rFonts w:hint="eastAsia"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pPr>
        <w:pStyle w:val="80"/>
        <w:spacing w:line="400" w:lineRule="exact"/>
        <w:ind w:firstLine="3720" w:firstLineChars="1550"/>
        <w:rPr>
          <w:rFonts w:hint="eastAsia" w:ascii="宋体" w:hAnsi="宋体"/>
          <w:sz w:val="24"/>
          <w:szCs w:val="24"/>
        </w:rPr>
      </w:pPr>
      <w:r>
        <w:rPr>
          <w:rFonts w:hint="eastAsia" w:ascii="宋体" w:hAnsi="宋体"/>
          <w:sz w:val="24"/>
          <w:szCs w:val="24"/>
        </w:rPr>
        <w:t>法定代表人（签字</w:t>
      </w:r>
      <w:r>
        <w:rPr>
          <w:rFonts w:hint="eastAsia" w:ascii="宋体" w:hAnsi="宋体"/>
          <w:sz w:val="24"/>
          <w:szCs w:val="24"/>
          <w:lang w:eastAsia="zh-CN"/>
        </w:rPr>
        <w:t>或盖章</w:t>
      </w:r>
      <w:r>
        <w:rPr>
          <w:rFonts w:hint="eastAsia" w:ascii="宋体" w:hAnsi="宋体"/>
          <w:sz w:val="24"/>
          <w:szCs w:val="24"/>
        </w:rPr>
        <w:t>）：</w:t>
      </w:r>
      <w:r>
        <w:rPr>
          <w:rFonts w:hint="eastAsia" w:ascii="宋体" w:hAnsi="宋体"/>
          <w:sz w:val="24"/>
          <w:szCs w:val="24"/>
          <w:u w:val="single"/>
        </w:rPr>
        <w:t xml:space="preserve">              </w:t>
      </w:r>
    </w:p>
    <w:p>
      <w:pPr>
        <w:pStyle w:val="80"/>
        <w:spacing w:line="400" w:lineRule="exact"/>
        <w:ind w:firstLine="3720" w:firstLineChars="155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pStyle w:val="4"/>
        <w:spacing w:before="0" w:afterLines="50" w:line="360" w:lineRule="auto"/>
        <w:rPr>
          <w:rFonts w:hint="eastAsia" w:ascii="宋体" w:hAnsi="宋体" w:eastAsia="宋体"/>
          <w:bCs/>
          <w:lang w:eastAsia="zh-CN"/>
        </w:rPr>
      </w:pPr>
      <w:r>
        <w:rPr>
          <w:u w:val="single"/>
        </w:rPr>
        <w:br w:type="page"/>
      </w:r>
      <w:bookmarkStart w:id="252" w:name="_Toc473056009"/>
      <w:bookmarkStart w:id="253" w:name="_Toc475451559"/>
      <w:bookmarkStart w:id="254" w:name="_Toc529953021"/>
      <w:bookmarkStart w:id="255" w:name="_Toc475451806"/>
      <w:bookmarkStart w:id="256" w:name="_Toc10101"/>
      <w:bookmarkStart w:id="257" w:name="_Toc6075"/>
      <w:r>
        <w:rPr>
          <w:rFonts w:hint="eastAsia" w:ascii="宋体" w:hAnsi="宋体" w:eastAsia="宋体"/>
          <w:bCs/>
        </w:rPr>
        <w:t>十</w:t>
      </w:r>
      <w:r>
        <w:rPr>
          <w:rFonts w:hint="eastAsia" w:ascii="宋体" w:hAnsi="宋体" w:eastAsia="宋体"/>
          <w:bCs/>
          <w:lang w:eastAsia="zh-CN"/>
        </w:rPr>
        <w:t>二</w:t>
      </w:r>
      <w:r>
        <w:rPr>
          <w:rFonts w:ascii="宋体" w:hAnsi="宋体" w:eastAsia="宋体"/>
          <w:bCs/>
        </w:rPr>
        <w:t>、</w:t>
      </w:r>
      <w:r>
        <w:rPr>
          <w:rFonts w:hint="eastAsia" w:ascii="宋体" w:hAnsi="宋体" w:eastAsia="宋体"/>
          <w:bCs/>
        </w:rPr>
        <w:t>落实政府采购政策需提供的相关</w:t>
      </w:r>
      <w:r>
        <w:rPr>
          <w:rFonts w:hint="eastAsia" w:ascii="宋体" w:hAnsi="宋体" w:eastAsia="宋体"/>
          <w:bCs/>
          <w:lang w:eastAsia="zh-CN"/>
        </w:rPr>
        <w:t>资</w:t>
      </w:r>
      <w:r>
        <w:rPr>
          <w:rFonts w:hint="eastAsia" w:ascii="宋体" w:hAnsi="宋体" w:eastAsia="宋体"/>
          <w:bCs/>
        </w:rPr>
        <w:t>料及投标人</w:t>
      </w:r>
      <w:r>
        <w:rPr>
          <w:rFonts w:ascii="宋体" w:hAnsi="宋体" w:eastAsia="宋体"/>
          <w:bCs/>
        </w:rPr>
        <w:t>认为有必要</w:t>
      </w:r>
      <w:bookmarkEnd w:id="252"/>
      <w:bookmarkEnd w:id="253"/>
      <w:bookmarkEnd w:id="254"/>
      <w:bookmarkEnd w:id="255"/>
      <w:r>
        <w:rPr>
          <w:rFonts w:hint="eastAsia" w:ascii="宋体" w:hAnsi="宋体" w:eastAsia="宋体"/>
          <w:bCs/>
          <w:lang w:eastAsia="zh-CN"/>
        </w:rPr>
        <w:t>提供的其它资料</w:t>
      </w:r>
      <w:bookmarkEnd w:id="256"/>
      <w:bookmarkEnd w:id="257"/>
    </w:p>
    <w:p>
      <w:pPr>
        <w:pStyle w:val="80"/>
        <w:spacing w:line="400" w:lineRule="exact"/>
      </w:pPr>
    </w:p>
    <w:p>
      <w:pPr>
        <w:pStyle w:val="80"/>
        <w:spacing w:line="340" w:lineRule="exact"/>
        <w:ind w:firstLine="945" w:firstLineChars="450"/>
        <w:rPr>
          <w:rFonts w:ascii="仿宋_GB2312" w:hAnsi="仿宋" w:eastAsia="仿宋_GB2312"/>
        </w:rPr>
      </w:pPr>
      <w:r>
        <w:br w:type="page"/>
      </w:r>
    </w:p>
    <w:p>
      <w:pPr>
        <w:pStyle w:val="80"/>
        <w:spacing w:line="400" w:lineRule="exact"/>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1</w:t>
      </w:r>
      <w:r>
        <w:rPr>
          <w:rFonts w:hint="eastAsia" w:ascii="宋体" w:hAnsi="宋体"/>
          <w:b/>
          <w:sz w:val="28"/>
          <w:szCs w:val="28"/>
        </w:rPr>
        <w:t>：</w:t>
      </w:r>
    </w:p>
    <w:p>
      <w:pPr>
        <w:spacing w:line="588" w:lineRule="exact"/>
        <w:jc w:val="center"/>
        <w:rPr>
          <w:rFonts w:hint="eastAsia" w:ascii="宋体" w:hAnsi="宋体"/>
          <w:b/>
          <w:spacing w:val="6"/>
          <w:sz w:val="36"/>
          <w:szCs w:val="36"/>
        </w:rPr>
      </w:pPr>
      <w:r>
        <w:rPr>
          <w:rFonts w:hint="eastAsia" w:ascii="宋体" w:hAnsi="宋体"/>
          <w:b/>
          <w:spacing w:val="6"/>
          <w:sz w:val="36"/>
          <w:szCs w:val="36"/>
          <w:lang w:val="en-US" w:eastAsia="zh-CN"/>
        </w:rPr>
        <w:t xml:space="preserve">中小企业声明函（货物）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 xml:space="preserve">采购活动，提供的货物全部由符合政策要求的中小企业制造。相关企业（含联合体中的中小企业、签订分包意向协议的中小企业）的具体情况如下：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 </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 xml:space="preserve"> ，属于（采购文件中明确的所属行业）行业；制造商为（企业名称），从业人员</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万元，属于（中型企业、小型企业、微型企业）；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 </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 xml:space="preserve"> ，属于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行业；制造商为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万元，属于（中型企业、小型企业、微型企业）；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本企业对上述声明内容的真实性负责。如有虚假，将依法承担相应责任。 </w:t>
      </w:r>
    </w:p>
    <w:p>
      <w:pPr>
        <w:spacing w:line="360" w:lineRule="auto"/>
        <w:ind w:firstLine="480" w:firstLineChars="200"/>
        <w:jc w:val="right"/>
        <w:rPr>
          <w:rFonts w:hint="eastAsia" w:ascii="宋体" w:hAnsi="宋体" w:eastAsia="宋体" w:cs="Times New Roman"/>
          <w:kern w:val="2"/>
          <w:sz w:val="24"/>
          <w:szCs w:val="24"/>
          <w:lang w:val="en-US" w:eastAsia="zh-CN" w:bidi="ar-SA"/>
        </w:rPr>
      </w:pPr>
    </w:p>
    <w:p>
      <w:pPr>
        <w:spacing w:line="360" w:lineRule="auto"/>
        <w:ind w:firstLine="480" w:firstLineChars="200"/>
        <w:jc w:val="right"/>
        <w:rPr>
          <w:rFonts w:hint="eastAsia" w:ascii="宋体" w:hAnsi="宋体" w:eastAsia="宋体" w:cs="Times New Roman"/>
          <w:kern w:val="2"/>
          <w:sz w:val="24"/>
          <w:szCs w:val="24"/>
          <w:lang w:val="en-US" w:eastAsia="zh-CN" w:bidi="ar-SA"/>
        </w:rPr>
      </w:pPr>
    </w:p>
    <w:p>
      <w:pPr>
        <w:spacing w:line="360" w:lineRule="auto"/>
        <w:ind w:firstLine="480" w:firstLineChars="200"/>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企业名称（盖章）： </w:t>
      </w:r>
    </w:p>
    <w:p>
      <w:pPr>
        <w:spacing w:line="360" w:lineRule="auto"/>
        <w:ind w:firstLine="480" w:firstLineChars="200"/>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日 期： </w:t>
      </w: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spacing w:line="588" w:lineRule="exact"/>
        <w:jc w:val="center"/>
        <w:rPr>
          <w:rFonts w:ascii="宋体" w:hAnsi="宋体"/>
          <w:b/>
          <w:spacing w:val="6"/>
          <w:sz w:val="36"/>
          <w:szCs w:val="36"/>
        </w:rPr>
      </w:pPr>
      <w:bookmarkStart w:id="258" w:name="OLE_LINK14"/>
      <w:bookmarkStart w:id="259" w:name="OLE_LINK13"/>
    </w:p>
    <w:p>
      <w:pPr>
        <w:spacing w:line="588" w:lineRule="exact"/>
        <w:jc w:val="center"/>
        <w:rPr>
          <w:rFonts w:ascii="宋体" w:hAnsi="宋体"/>
          <w:b/>
          <w:spacing w:val="6"/>
          <w:sz w:val="36"/>
          <w:szCs w:val="36"/>
        </w:rPr>
      </w:pPr>
      <w:r>
        <w:rPr>
          <w:rFonts w:hint="eastAsia" w:ascii="宋体" w:hAnsi="宋体"/>
          <w:b/>
          <w:spacing w:val="6"/>
          <w:sz w:val="36"/>
          <w:szCs w:val="36"/>
        </w:rPr>
        <w:t>残疾人福利性单位声明函</w:t>
      </w:r>
    </w:p>
    <w:bookmarkEnd w:id="258"/>
    <w:bookmarkEnd w:id="259"/>
    <w:p>
      <w:pPr>
        <w:spacing w:line="588" w:lineRule="exact"/>
        <w:rPr>
          <w:rFonts w:ascii="仿宋_GB2312" w:eastAsia="仿宋_GB2312"/>
          <w:b/>
          <w:spacing w:val="6"/>
          <w:sz w:val="30"/>
          <w:szCs w:val="30"/>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p>
    <w:p>
      <w:pPr>
        <w:tabs>
          <w:tab w:val="left" w:pos="4860"/>
        </w:tabs>
        <w:spacing w:line="360" w:lineRule="auto"/>
        <w:ind w:right="1560" w:firstLine="504" w:firstLineChars="200"/>
        <w:jc w:val="center"/>
        <w:rPr>
          <w:rFonts w:ascii="宋体" w:hAnsi="宋体"/>
          <w:spacing w:val="6"/>
          <w:sz w:val="24"/>
        </w:rPr>
      </w:pPr>
      <w:r>
        <w:rPr>
          <w:rFonts w:ascii="宋体" w:hAnsi="宋体"/>
          <w:spacing w:val="6"/>
          <w:sz w:val="24"/>
        </w:rPr>
        <w:t xml:space="preserve">              </w:t>
      </w:r>
      <w:r>
        <w:rPr>
          <w:rFonts w:hint="eastAsia" w:ascii="宋体" w:hAnsi="宋体"/>
          <w:spacing w:val="6"/>
          <w:sz w:val="24"/>
        </w:rPr>
        <w:t xml:space="preserve">     单位名称：</w:t>
      </w:r>
      <w:r>
        <w:rPr>
          <w:rFonts w:hint="eastAsia" w:ascii="宋体" w:hAnsi="宋体"/>
          <w:spacing w:val="6"/>
          <w:sz w:val="24"/>
          <w:u w:val="single"/>
        </w:rPr>
        <w:t xml:space="preserve">              </w:t>
      </w:r>
      <w:r>
        <w:rPr>
          <w:rFonts w:hint="eastAsia" w:ascii="宋体" w:hAnsi="宋体"/>
          <w:spacing w:val="6"/>
          <w:sz w:val="24"/>
        </w:rPr>
        <w:t>（盖单位章）：</w:t>
      </w:r>
    </w:p>
    <w:p>
      <w:pPr>
        <w:tabs>
          <w:tab w:val="left" w:pos="4860"/>
        </w:tabs>
        <w:spacing w:line="360" w:lineRule="auto"/>
        <w:ind w:right="1560" w:firstLine="504" w:firstLineChars="200"/>
        <w:jc w:val="center"/>
        <w:rPr>
          <w:rFonts w:ascii="宋体" w:hAnsi="宋体"/>
          <w:spacing w:val="6"/>
          <w:sz w:val="24"/>
        </w:rPr>
      </w:pPr>
      <w:r>
        <w:rPr>
          <w:rFonts w:ascii="宋体" w:hAnsi="宋体"/>
          <w:spacing w:val="6"/>
          <w:sz w:val="24"/>
        </w:rPr>
        <w:t xml:space="preserve"> </w:t>
      </w:r>
    </w:p>
    <w:p>
      <w:pPr>
        <w:tabs>
          <w:tab w:val="left" w:pos="4860"/>
        </w:tabs>
        <w:spacing w:line="360" w:lineRule="auto"/>
        <w:ind w:right="1560" w:firstLine="504" w:firstLineChars="200"/>
        <w:jc w:val="center"/>
        <w:rPr>
          <w:rFonts w:ascii="宋体" w:hAnsi="宋体"/>
          <w:sz w:val="24"/>
        </w:rPr>
      </w:pPr>
      <w:r>
        <w:rPr>
          <w:rFonts w:hint="eastAsia" w:ascii="宋体" w:hAnsi="宋体"/>
          <w:spacing w:val="6"/>
          <w:sz w:val="24"/>
        </w:rPr>
        <w:t xml:space="preserve">                  日</w:t>
      </w:r>
      <w:r>
        <w:rPr>
          <w:rFonts w:ascii="宋体" w:hAnsi="宋体"/>
          <w:spacing w:val="6"/>
          <w:sz w:val="24"/>
        </w:rPr>
        <w:t xml:space="preserve">  </w:t>
      </w:r>
      <w:r>
        <w:rPr>
          <w:rFonts w:hint="eastAsia" w:ascii="宋体" w:hAnsi="宋体"/>
          <w:spacing w:val="6"/>
          <w:sz w:val="24"/>
        </w:rPr>
        <w:t>期：    年   月  日</w:t>
      </w:r>
    </w:p>
    <w:p>
      <w:pPr>
        <w:adjustRightInd w:val="0"/>
        <w:snapToGrid w:val="0"/>
        <w:spacing w:line="360" w:lineRule="auto"/>
        <w:rPr>
          <w:rFonts w:ascii="宋体" w:hAnsi="宋体"/>
          <w:b/>
          <w:sz w:val="24"/>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line="360" w:lineRule="exact"/>
        <w:ind w:firstLine="525" w:firstLineChars="250"/>
        <w:rPr>
          <w:rFonts w:ascii="仿宋_GB2312" w:hAnsi="宋体" w:eastAsia="仿宋_GB2312"/>
          <w:szCs w:val="21"/>
        </w:rPr>
      </w:pPr>
      <w:r>
        <w:rPr>
          <w:rFonts w:hint="eastAsia" w:ascii="仿宋_GB2312" w:hAnsi="宋体" w:eastAsia="仿宋_GB2312"/>
          <w:szCs w:val="21"/>
        </w:rPr>
        <w:t>说明：</w:t>
      </w:r>
      <w:r>
        <w:rPr>
          <w:rFonts w:hint="eastAsia" w:ascii="仿宋_GB2312" w:hAnsi="宋体" w:eastAsia="仿宋_GB2312"/>
          <w:bCs/>
          <w:szCs w:val="21"/>
        </w:rPr>
        <w:t>未按上述要求提供、</w:t>
      </w:r>
      <w:r>
        <w:rPr>
          <w:rFonts w:hint="eastAsia" w:ascii="仿宋_GB2312" w:hAnsi="宋体" w:eastAsia="仿宋_GB2312"/>
          <w:szCs w:val="21"/>
        </w:rPr>
        <w:t>填写</w:t>
      </w:r>
      <w:r>
        <w:rPr>
          <w:rFonts w:hint="eastAsia" w:ascii="仿宋_GB2312" w:hAnsi="宋体" w:eastAsia="仿宋_GB2312"/>
          <w:bCs/>
          <w:szCs w:val="21"/>
        </w:rPr>
        <w:t>的，评审时不予以考虑。</w:t>
      </w:r>
    </w:p>
    <w:p>
      <w:pPr>
        <w:pStyle w:val="80"/>
        <w:spacing w:line="400" w:lineRule="exact"/>
      </w:pPr>
    </w:p>
    <w:sectPr>
      <w:footerReference r:id="rId21"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swiss"/>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default" w:eastAsia="宋体"/>
        <w:b/>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p>
  <w:p>
    <w:pPr>
      <w:pStyle w:val="21"/>
    </w:pPr>
    <w:r>
      <w:rPr>
        <w:rFonts w:hint="eastAsia"/>
        <w:kern w:val="0"/>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eastAsia" w:eastAsia="宋体"/>
        <w:b/>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p>
  <w:p>
    <w:pPr>
      <w:pStyle w:val="21"/>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default" w:eastAsia="宋体"/>
        <w:b/>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p>
    <w:pPr>
      <w:pStyle w:val="21"/>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default" w:eastAsia="宋体"/>
        <w:b/>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p>
    <w:pPr>
      <w:pStyle w:val="21"/>
    </w:pPr>
    <w:r>
      <w:rPr>
        <w:rFonts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b/>
        <w:kern w:val="0"/>
        <w:szCs w:val="21"/>
        <w:lang w:eastAsia="zh-CN"/>
      </w:rPr>
      <w:t>同正项目管理有限公司</w: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default" w:eastAsia="宋体"/>
        <w:b/>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p>
    <w:pPr>
      <w:pStyle w:val="21"/>
    </w:pPr>
    <w:r>
      <w:rPr>
        <w:rFonts w:hint="eastAsia"/>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b/>
        <w:kern w:val="0"/>
        <w:szCs w:val="21"/>
        <w:lang w:eastAsia="zh-CN"/>
      </w:rPr>
      <w:t>同正项目管理有限公司</w: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exact"/>
      <w:ind w:right="357"/>
      <w:jc w:val="both"/>
      <w:rPr>
        <w:rFonts w:hint="default" w:eastAsia="宋体"/>
        <w:b/>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p>
    <w:pPr>
      <w:pStyle w:val="21"/>
    </w:pPr>
    <w:r>
      <w:rPr>
        <w:rFonts w:hint="eastAsia"/>
        <w:kern w:val="0"/>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b/>
        <w:kern w:val="0"/>
        <w:szCs w:val="21"/>
        <w:lang w:eastAsia="zh-CN"/>
      </w:rPr>
      <w:t>同正项目管理有限公司</w:t>
    </w:r>
    <w:r>
      <w:rPr>
        <w:rFonts w:hint="eastAsia"/>
        <w:b/>
        <w:kern w:val="0"/>
        <w:szCs w:val="21"/>
        <w:lang w:val="en-US" w:eastAsia="zh-CN"/>
      </w:rPr>
      <w:t xml:space="preserve"> </w: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TZZB-2022063C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2843"/>
        <w:tab w:val="clear" w:pos="4153"/>
      </w:tabs>
      <w:jc w:val="both"/>
      <w:rPr>
        <w:rFonts w:hint="eastAsia" w:eastAsia="宋体"/>
        <w:lang w:eastAsia="zh-CN"/>
      </w:rPr>
    </w:pP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p>
    <w:pPr>
      <w:pStyle w:val="22"/>
      <w:pBdr>
        <w:bottom w:val="none" w:color="auto" w:sz="0" w:space="1"/>
      </w:pBdr>
      <w:tabs>
        <w:tab w:val="left" w:pos="2843"/>
        <w:tab w:val="clear" w:pos="4153"/>
      </w:tabs>
      <w:jc w:val="both"/>
      <w:rPr>
        <w:rFonts w:hint="eastAsia" w:eastAsia="宋体"/>
        <w:lang w:eastAsia="zh-CN"/>
      </w:rPr>
    </w:pP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p>
    <w:pPr>
      <w:pStyle w:val="22"/>
      <w:pBdr>
        <w:bottom w:val="none" w:color="auto" w:sz="0" w:space="1"/>
      </w:pBdr>
      <w:tabs>
        <w:tab w:val="left" w:pos="2843"/>
        <w:tab w:val="clear" w:pos="4153"/>
      </w:tabs>
      <w:jc w:val="both"/>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宋体" w:hAnsi="宋体" w:eastAsia="宋体"/>
        <w:lang w:val="en-US" w:eastAsia="zh-CN"/>
      </w:rPr>
    </w:pPr>
    <w:r>
      <w:rPr>
        <w:rFonts w:hint="eastAsia" w:ascii="宋体" w:hAnsi="宋体"/>
        <w:lang w:eastAsia="zh-CN"/>
      </w:rPr>
      <w:t>经开区2022年直属公办学校、幼儿园设施设备政府采购项目（课桌椅）</w:t>
    </w:r>
    <w:r>
      <w:rPr>
        <w:rFonts w:hint="eastAsia" w:ascii="宋体" w:hAnsi="宋体"/>
      </w:rPr>
      <w:t xml:space="preserve">      </w:t>
    </w:r>
    <w:r>
      <w:rPr>
        <w:rFonts w:hint="eastAsia" w:ascii="宋体" w:hAnsi="宋体"/>
        <w:lang w:val="en-US" w:eastAsia="zh-CN"/>
      </w:rPr>
      <w:t xml:space="preserve">   </w:t>
    </w:r>
  </w:p>
  <w:p>
    <w:pPr>
      <w:pStyle w:val="22"/>
      <w:pBdr>
        <w:bottom w:val="none" w:color="auto" w:sz="0" w:space="1"/>
      </w:pBdr>
      <w:tabs>
        <w:tab w:val="left" w:pos="2843"/>
        <w:tab w:val="clear" w:pos="4153"/>
      </w:tabs>
      <w:jc w:val="both"/>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09AA"/>
    <w:multiLevelType w:val="singleLevel"/>
    <w:tmpl w:val="841609AA"/>
    <w:lvl w:ilvl="0" w:tentative="0">
      <w:start w:val="1"/>
      <w:numFmt w:val="decimal"/>
      <w:suff w:val="nothing"/>
      <w:lvlText w:val="%1、"/>
      <w:lvlJc w:val="left"/>
      <w:pPr>
        <w:ind w:left="-27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2">
    <w:nsid w:val="5830F148"/>
    <w:multiLevelType w:val="singleLevel"/>
    <w:tmpl w:val="5830F148"/>
    <w:lvl w:ilvl="0" w:tentative="0">
      <w:start w:val="5"/>
      <w:numFmt w:val="chineseCounting"/>
      <w:suff w:val="nothing"/>
      <w:lvlText w:val="%1、"/>
      <w:lvlJc w:val="left"/>
      <w:rPr>
        <w:rFonts w:hint="eastAsia"/>
      </w:rPr>
    </w:lvl>
  </w:abstractNum>
  <w:abstractNum w:abstractNumId="3">
    <w:nsid w:val="77CE88D5"/>
    <w:multiLevelType w:val="singleLevel"/>
    <w:tmpl w:val="77CE88D5"/>
    <w:lvl w:ilvl="0" w:tentative="0">
      <w:start w:val="6"/>
      <w:numFmt w:val="chineseCounting"/>
      <w:suff w:val="space"/>
      <w:lvlText w:val="第%1章"/>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8D"/>
    <w:rsid w:val="00002057"/>
    <w:rsid w:val="000022B9"/>
    <w:rsid w:val="00002489"/>
    <w:rsid w:val="00002731"/>
    <w:rsid w:val="0000276D"/>
    <w:rsid w:val="00002821"/>
    <w:rsid w:val="00002860"/>
    <w:rsid w:val="00002D2F"/>
    <w:rsid w:val="00002F7A"/>
    <w:rsid w:val="00003046"/>
    <w:rsid w:val="0000311F"/>
    <w:rsid w:val="00003134"/>
    <w:rsid w:val="00003C7F"/>
    <w:rsid w:val="000041F5"/>
    <w:rsid w:val="000045BF"/>
    <w:rsid w:val="00005385"/>
    <w:rsid w:val="00005492"/>
    <w:rsid w:val="00006265"/>
    <w:rsid w:val="0000684A"/>
    <w:rsid w:val="00006F76"/>
    <w:rsid w:val="00007D47"/>
    <w:rsid w:val="00010248"/>
    <w:rsid w:val="00010F17"/>
    <w:rsid w:val="000112F4"/>
    <w:rsid w:val="000118A4"/>
    <w:rsid w:val="0001197D"/>
    <w:rsid w:val="00011AD6"/>
    <w:rsid w:val="0001236F"/>
    <w:rsid w:val="000127CA"/>
    <w:rsid w:val="0001292D"/>
    <w:rsid w:val="000131A6"/>
    <w:rsid w:val="00013744"/>
    <w:rsid w:val="000137B7"/>
    <w:rsid w:val="000146D2"/>
    <w:rsid w:val="00015FE2"/>
    <w:rsid w:val="0001623F"/>
    <w:rsid w:val="00016B35"/>
    <w:rsid w:val="00016C29"/>
    <w:rsid w:val="00016E5C"/>
    <w:rsid w:val="000175F2"/>
    <w:rsid w:val="000178E0"/>
    <w:rsid w:val="00017F51"/>
    <w:rsid w:val="000200BB"/>
    <w:rsid w:val="00021CB5"/>
    <w:rsid w:val="00022627"/>
    <w:rsid w:val="0002333B"/>
    <w:rsid w:val="0002418E"/>
    <w:rsid w:val="00025C41"/>
    <w:rsid w:val="000261A3"/>
    <w:rsid w:val="000263D5"/>
    <w:rsid w:val="00026B21"/>
    <w:rsid w:val="000278C2"/>
    <w:rsid w:val="0003048D"/>
    <w:rsid w:val="00030697"/>
    <w:rsid w:val="0003181B"/>
    <w:rsid w:val="00031D3B"/>
    <w:rsid w:val="00032FB2"/>
    <w:rsid w:val="000342F8"/>
    <w:rsid w:val="000349A2"/>
    <w:rsid w:val="00035EA8"/>
    <w:rsid w:val="00035FC8"/>
    <w:rsid w:val="00036413"/>
    <w:rsid w:val="00036BD5"/>
    <w:rsid w:val="00036C69"/>
    <w:rsid w:val="00036E4A"/>
    <w:rsid w:val="00037195"/>
    <w:rsid w:val="00037A03"/>
    <w:rsid w:val="00037B9C"/>
    <w:rsid w:val="00040272"/>
    <w:rsid w:val="0004036F"/>
    <w:rsid w:val="0004048D"/>
    <w:rsid w:val="00040783"/>
    <w:rsid w:val="000408AE"/>
    <w:rsid w:val="00040921"/>
    <w:rsid w:val="0004115D"/>
    <w:rsid w:val="000420AB"/>
    <w:rsid w:val="00042B88"/>
    <w:rsid w:val="000433B9"/>
    <w:rsid w:val="000443F3"/>
    <w:rsid w:val="00044742"/>
    <w:rsid w:val="00044D85"/>
    <w:rsid w:val="0004577D"/>
    <w:rsid w:val="0004598F"/>
    <w:rsid w:val="00046582"/>
    <w:rsid w:val="000465F6"/>
    <w:rsid w:val="00047BA3"/>
    <w:rsid w:val="000501D5"/>
    <w:rsid w:val="00050BC1"/>
    <w:rsid w:val="00050FDF"/>
    <w:rsid w:val="000515EB"/>
    <w:rsid w:val="00051F6F"/>
    <w:rsid w:val="00052F51"/>
    <w:rsid w:val="00052FFD"/>
    <w:rsid w:val="00053172"/>
    <w:rsid w:val="00053B3D"/>
    <w:rsid w:val="000544AB"/>
    <w:rsid w:val="00054888"/>
    <w:rsid w:val="000555BF"/>
    <w:rsid w:val="0005587C"/>
    <w:rsid w:val="000558FB"/>
    <w:rsid w:val="000561CD"/>
    <w:rsid w:val="000578D3"/>
    <w:rsid w:val="000607C0"/>
    <w:rsid w:val="00060B4C"/>
    <w:rsid w:val="0006207C"/>
    <w:rsid w:val="00062414"/>
    <w:rsid w:val="0006332A"/>
    <w:rsid w:val="00063CD5"/>
    <w:rsid w:val="00064FB9"/>
    <w:rsid w:val="000652B7"/>
    <w:rsid w:val="000652F1"/>
    <w:rsid w:val="00065C33"/>
    <w:rsid w:val="00065FB8"/>
    <w:rsid w:val="0006604A"/>
    <w:rsid w:val="000668A3"/>
    <w:rsid w:val="00066B90"/>
    <w:rsid w:val="0006703E"/>
    <w:rsid w:val="00070033"/>
    <w:rsid w:val="00070763"/>
    <w:rsid w:val="00070D7C"/>
    <w:rsid w:val="00070EF4"/>
    <w:rsid w:val="0007142D"/>
    <w:rsid w:val="000715A5"/>
    <w:rsid w:val="00071701"/>
    <w:rsid w:val="0007190E"/>
    <w:rsid w:val="00072537"/>
    <w:rsid w:val="00072590"/>
    <w:rsid w:val="000727D1"/>
    <w:rsid w:val="00072FDD"/>
    <w:rsid w:val="000731E2"/>
    <w:rsid w:val="000733C7"/>
    <w:rsid w:val="000739FB"/>
    <w:rsid w:val="00073A54"/>
    <w:rsid w:val="00075104"/>
    <w:rsid w:val="00075E0B"/>
    <w:rsid w:val="00076569"/>
    <w:rsid w:val="00076C1E"/>
    <w:rsid w:val="00077254"/>
    <w:rsid w:val="0007760B"/>
    <w:rsid w:val="000778E1"/>
    <w:rsid w:val="0007790A"/>
    <w:rsid w:val="00077933"/>
    <w:rsid w:val="000779F1"/>
    <w:rsid w:val="00080440"/>
    <w:rsid w:val="0008086F"/>
    <w:rsid w:val="00080CE2"/>
    <w:rsid w:val="00081035"/>
    <w:rsid w:val="000820DA"/>
    <w:rsid w:val="000825C8"/>
    <w:rsid w:val="0008287C"/>
    <w:rsid w:val="000837F0"/>
    <w:rsid w:val="00086728"/>
    <w:rsid w:val="00086742"/>
    <w:rsid w:val="000868AC"/>
    <w:rsid w:val="00086AD8"/>
    <w:rsid w:val="00087280"/>
    <w:rsid w:val="00087B42"/>
    <w:rsid w:val="00087F31"/>
    <w:rsid w:val="0009005B"/>
    <w:rsid w:val="000905D5"/>
    <w:rsid w:val="00090CA3"/>
    <w:rsid w:val="000910C7"/>
    <w:rsid w:val="00091119"/>
    <w:rsid w:val="00092075"/>
    <w:rsid w:val="00093E47"/>
    <w:rsid w:val="000945C6"/>
    <w:rsid w:val="00094B9D"/>
    <w:rsid w:val="00095192"/>
    <w:rsid w:val="00095796"/>
    <w:rsid w:val="00095797"/>
    <w:rsid w:val="00095EC0"/>
    <w:rsid w:val="00096538"/>
    <w:rsid w:val="00096778"/>
    <w:rsid w:val="00096E8E"/>
    <w:rsid w:val="0009711C"/>
    <w:rsid w:val="00097288"/>
    <w:rsid w:val="00097367"/>
    <w:rsid w:val="000979BF"/>
    <w:rsid w:val="00097B28"/>
    <w:rsid w:val="000A01F0"/>
    <w:rsid w:val="000A098B"/>
    <w:rsid w:val="000A1564"/>
    <w:rsid w:val="000A2E15"/>
    <w:rsid w:val="000A2E94"/>
    <w:rsid w:val="000A3022"/>
    <w:rsid w:val="000A3CF2"/>
    <w:rsid w:val="000A3D69"/>
    <w:rsid w:val="000A3FB7"/>
    <w:rsid w:val="000A403F"/>
    <w:rsid w:val="000A45DB"/>
    <w:rsid w:val="000A52E5"/>
    <w:rsid w:val="000A5DAD"/>
    <w:rsid w:val="000A646C"/>
    <w:rsid w:val="000A6776"/>
    <w:rsid w:val="000A6CAA"/>
    <w:rsid w:val="000B0B6E"/>
    <w:rsid w:val="000B0E51"/>
    <w:rsid w:val="000B12AF"/>
    <w:rsid w:val="000B1C06"/>
    <w:rsid w:val="000B2517"/>
    <w:rsid w:val="000B27F3"/>
    <w:rsid w:val="000B339B"/>
    <w:rsid w:val="000B3430"/>
    <w:rsid w:val="000B3E77"/>
    <w:rsid w:val="000B4E8C"/>
    <w:rsid w:val="000B5BFB"/>
    <w:rsid w:val="000B5F7E"/>
    <w:rsid w:val="000B7D3D"/>
    <w:rsid w:val="000C0130"/>
    <w:rsid w:val="000C03C2"/>
    <w:rsid w:val="000C14AC"/>
    <w:rsid w:val="000C18DA"/>
    <w:rsid w:val="000C1A60"/>
    <w:rsid w:val="000C21CB"/>
    <w:rsid w:val="000C24D7"/>
    <w:rsid w:val="000C31D9"/>
    <w:rsid w:val="000C45B5"/>
    <w:rsid w:val="000C5B36"/>
    <w:rsid w:val="000C6149"/>
    <w:rsid w:val="000C6174"/>
    <w:rsid w:val="000C6BD2"/>
    <w:rsid w:val="000C6D58"/>
    <w:rsid w:val="000D05D5"/>
    <w:rsid w:val="000D06C7"/>
    <w:rsid w:val="000D09C2"/>
    <w:rsid w:val="000D0A06"/>
    <w:rsid w:val="000D0A4B"/>
    <w:rsid w:val="000D0AC8"/>
    <w:rsid w:val="000D0BCD"/>
    <w:rsid w:val="000D11D7"/>
    <w:rsid w:val="000D14D4"/>
    <w:rsid w:val="000D1697"/>
    <w:rsid w:val="000D1DB6"/>
    <w:rsid w:val="000D211D"/>
    <w:rsid w:val="000D216A"/>
    <w:rsid w:val="000D25C7"/>
    <w:rsid w:val="000D264E"/>
    <w:rsid w:val="000D2F26"/>
    <w:rsid w:val="000D30FF"/>
    <w:rsid w:val="000D38E9"/>
    <w:rsid w:val="000D3EA9"/>
    <w:rsid w:val="000D3EB8"/>
    <w:rsid w:val="000D48DB"/>
    <w:rsid w:val="000D49E9"/>
    <w:rsid w:val="000D4C2D"/>
    <w:rsid w:val="000D4E6D"/>
    <w:rsid w:val="000D539E"/>
    <w:rsid w:val="000D5FC0"/>
    <w:rsid w:val="000D769C"/>
    <w:rsid w:val="000D77E0"/>
    <w:rsid w:val="000D7A6E"/>
    <w:rsid w:val="000D7A9E"/>
    <w:rsid w:val="000D7C09"/>
    <w:rsid w:val="000D7EFB"/>
    <w:rsid w:val="000E000E"/>
    <w:rsid w:val="000E0283"/>
    <w:rsid w:val="000E1184"/>
    <w:rsid w:val="000E1A70"/>
    <w:rsid w:val="000E2CEF"/>
    <w:rsid w:val="000E31AC"/>
    <w:rsid w:val="000E451E"/>
    <w:rsid w:val="000E45DD"/>
    <w:rsid w:val="000E47AD"/>
    <w:rsid w:val="000E4FFE"/>
    <w:rsid w:val="000E62FD"/>
    <w:rsid w:val="000E6384"/>
    <w:rsid w:val="000E65DB"/>
    <w:rsid w:val="000E66A1"/>
    <w:rsid w:val="000E6BED"/>
    <w:rsid w:val="000E7856"/>
    <w:rsid w:val="000E793B"/>
    <w:rsid w:val="000E7DDB"/>
    <w:rsid w:val="000F00AD"/>
    <w:rsid w:val="000F099F"/>
    <w:rsid w:val="000F1020"/>
    <w:rsid w:val="000F13C1"/>
    <w:rsid w:val="000F1761"/>
    <w:rsid w:val="000F193D"/>
    <w:rsid w:val="000F1970"/>
    <w:rsid w:val="000F1B02"/>
    <w:rsid w:val="000F1F4E"/>
    <w:rsid w:val="000F1FD4"/>
    <w:rsid w:val="000F2C30"/>
    <w:rsid w:val="000F2E35"/>
    <w:rsid w:val="000F2FCF"/>
    <w:rsid w:val="000F3AFE"/>
    <w:rsid w:val="000F3E34"/>
    <w:rsid w:val="000F43DA"/>
    <w:rsid w:val="000F519C"/>
    <w:rsid w:val="000F5C58"/>
    <w:rsid w:val="000F5E8E"/>
    <w:rsid w:val="000F69A3"/>
    <w:rsid w:val="000F6A2E"/>
    <w:rsid w:val="000F6F99"/>
    <w:rsid w:val="000F733B"/>
    <w:rsid w:val="000F7663"/>
    <w:rsid w:val="000F7EF6"/>
    <w:rsid w:val="0010099C"/>
    <w:rsid w:val="00100FA4"/>
    <w:rsid w:val="00101A1D"/>
    <w:rsid w:val="00101E57"/>
    <w:rsid w:val="00101F4A"/>
    <w:rsid w:val="001024D2"/>
    <w:rsid w:val="00102BC2"/>
    <w:rsid w:val="0010303F"/>
    <w:rsid w:val="00103533"/>
    <w:rsid w:val="00103D15"/>
    <w:rsid w:val="0010458A"/>
    <w:rsid w:val="00104D09"/>
    <w:rsid w:val="00104DCA"/>
    <w:rsid w:val="00105895"/>
    <w:rsid w:val="001059AB"/>
    <w:rsid w:val="00105F3A"/>
    <w:rsid w:val="0010644B"/>
    <w:rsid w:val="00107250"/>
    <w:rsid w:val="0010740C"/>
    <w:rsid w:val="001101E6"/>
    <w:rsid w:val="001102CC"/>
    <w:rsid w:val="001108D9"/>
    <w:rsid w:val="0011098D"/>
    <w:rsid w:val="00110D6A"/>
    <w:rsid w:val="001111A8"/>
    <w:rsid w:val="001113C7"/>
    <w:rsid w:val="00111706"/>
    <w:rsid w:val="0011178F"/>
    <w:rsid w:val="00112B8C"/>
    <w:rsid w:val="00112CEE"/>
    <w:rsid w:val="00113254"/>
    <w:rsid w:val="00113423"/>
    <w:rsid w:val="00113F51"/>
    <w:rsid w:val="001141FE"/>
    <w:rsid w:val="0011531B"/>
    <w:rsid w:val="00115838"/>
    <w:rsid w:val="00115AE4"/>
    <w:rsid w:val="00116653"/>
    <w:rsid w:val="00116CE8"/>
    <w:rsid w:val="00116FE0"/>
    <w:rsid w:val="001174C6"/>
    <w:rsid w:val="00117D26"/>
    <w:rsid w:val="0012021A"/>
    <w:rsid w:val="00120252"/>
    <w:rsid w:val="00120A54"/>
    <w:rsid w:val="00120BA6"/>
    <w:rsid w:val="001215FD"/>
    <w:rsid w:val="001220CA"/>
    <w:rsid w:val="0012286F"/>
    <w:rsid w:val="00122CA1"/>
    <w:rsid w:val="00122EFF"/>
    <w:rsid w:val="00123532"/>
    <w:rsid w:val="00123B12"/>
    <w:rsid w:val="00123B2E"/>
    <w:rsid w:val="00125695"/>
    <w:rsid w:val="00125C2F"/>
    <w:rsid w:val="00126512"/>
    <w:rsid w:val="00126678"/>
    <w:rsid w:val="00126766"/>
    <w:rsid w:val="001267D4"/>
    <w:rsid w:val="001268B6"/>
    <w:rsid w:val="00126AE4"/>
    <w:rsid w:val="0012786D"/>
    <w:rsid w:val="0013012F"/>
    <w:rsid w:val="00130CFE"/>
    <w:rsid w:val="00131051"/>
    <w:rsid w:val="001317B6"/>
    <w:rsid w:val="00131B20"/>
    <w:rsid w:val="00131BBC"/>
    <w:rsid w:val="0013256C"/>
    <w:rsid w:val="00132A93"/>
    <w:rsid w:val="00133065"/>
    <w:rsid w:val="001337AC"/>
    <w:rsid w:val="00133A69"/>
    <w:rsid w:val="00134014"/>
    <w:rsid w:val="00134D81"/>
    <w:rsid w:val="00135617"/>
    <w:rsid w:val="00135B77"/>
    <w:rsid w:val="00135D48"/>
    <w:rsid w:val="00136192"/>
    <w:rsid w:val="001361C5"/>
    <w:rsid w:val="001361E5"/>
    <w:rsid w:val="00136CCD"/>
    <w:rsid w:val="001376FA"/>
    <w:rsid w:val="00137821"/>
    <w:rsid w:val="001378DA"/>
    <w:rsid w:val="00137E4B"/>
    <w:rsid w:val="00140600"/>
    <w:rsid w:val="00140BA7"/>
    <w:rsid w:val="00140D50"/>
    <w:rsid w:val="001419B6"/>
    <w:rsid w:val="00141B50"/>
    <w:rsid w:val="00142467"/>
    <w:rsid w:val="0014288E"/>
    <w:rsid w:val="00142FBD"/>
    <w:rsid w:val="0014361E"/>
    <w:rsid w:val="001437ED"/>
    <w:rsid w:val="00143F43"/>
    <w:rsid w:val="00144026"/>
    <w:rsid w:val="001441BB"/>
    <w:rsid w:val="0014435D"/>
    <w:rsid w:val="001449BE"/>
    <w:rsid w:val="00146234"/>
    <w:rsid w:val="001465C2"/>
    <w:rsid w:val="00147313"/>
    <w:rsid w:val="0015079F"/>
    <w:rsid w:val="001509FC"/>
    <w:rsid w:val="00150FD4"/>
    <w:rsid w:val="00151A8A"/>
    <w:rsid w:val="001520A4"/>
    <w:rsid w:val="001521FF"/>
    <w:rsid w:val="001542EC"/>
    <w:rsid w:val="0015453C"/>
    <w:rsid w:val="001545AE"/>
    <w:rsid w:val="0015590F"/>
    <w:rsid w:val="00156387"/>
    <w:rsid w:val="00157456"/>
    <w:rsid w:val="0015776D"/>
    <w:rsid w:val="00160013"/>
    <w:rsid w:val="0016023F"/>
    <w:rsid w:val="001607AB"/>
    <w:rsid w:val="00161D4D"/>
    <w:rsid w:val="00162993"/>
    <w:rsid w:val="00163765"/>
    <w:rsid w:val="00163B7B"/>
    <w:rsid w:val="00164149"/>
    <w:rsid w:val="00164C1D"/>
    <w:rsid w:val="00164E9E"/>
    <w:rsid w:val="0016572F"/>
    <w:rsid w:val="00165A35"/>
    <w:rsid w:val="0017046B"/>
    <w:rsid w:val="001706FD"/>
    <w:rsid w:val="001707E5"/>
    <w:rsid w:val="00171298"/>
    <w:rsid w:val="001725EA"/>
    <w:rsid w:val="00172789"/>
    <w:rsid w:val="00173043"/>
    <w:rsid w:val="001730A8"/>
    <w:rsid w:val="0017384A"/>
    <w:rsid w:val="001738D3"/>
    <w:rsid w:val="00174B09"/>
    <w:rsid w:val="00174EA1"/>
    <w:rsid w:val="00174F76"/>
    <w:rsid w:val="0017522E"/>
    <w:rsid w:val="00175725"/>
    <w:rsid w:val="00175AA6"/>
    <w:rsid w:val="00175E9D"/>
    <w:rsid w:val="00176668"/>
    <w:rsid w:val="00176D84"/>
    <w:rsid w:val="001774B3"/>
    <w:rsid w:val="001774B5"/>
    <w:rsid w:val="00177AF7"/>
    <w:rsid w:val="001815CF"/>
    <w:rsid w:val="00181D03"/>
    <w:rsid w:val="00181EAD"/>
    <w:rsid w:val="001821F6"/>
    <w:rsid w:val="001823CD"/>
    <w:rsid w:val="001831B0"/>
    <w:rsid w:val="00184663"/>
    <w:rsid w:val="00184D2C"/>
    <w:rsid w:val="00184DB2"/>
    <w:rsid w:val="0018523A"/>
    <w:rsid w:val="0018591B"/>
    <w:rsid w:val="00185E20"/>
    <w:rsid w:val="00187096"/>
    <w:rsid w:val="0018716C"/>
    <w:rsid w:val="001872B7"/>
    <w:rsid w:val="00187616"/>
    <w:rsid w:val="001901DB"/>
    <w:rsid w:val="001905BD"/>
    <w:rsid w:val="00190FA0"/>
    <w:rsid w:val="0019113C"/>
    <w:rsid w:val="001919B3"/>
    <w:rsid w:val="001926DC"/>
    <w:rsid w:val="00192D0E"/>
    <w:rsid w:val="00193330"/>
    <w:rsid w:val="00193B58"/>
    <w:rsid w:val="00193DB8"/>
    <w:rsid w:val="001941A7"/>
    <w:rsid w:val="001947A6"/>
    <w:rsid w:val="00194A2D"/>
    <w:rsid w:val="0019512D"/>
    <w:rsid w:val="0019512F"/>
    <w:rsid w:val="001954E4"/>
    <w:rsid w:val="0019722F"/>
    <w:rsid w:val="0019724F"/>
    <w:rsid w:val="00197939"/>
    <w:rsid w:val="00197B44"/>
    <w:rsid w:val="00197CA6"/>
    <w:rsid w:val="001A1C85"/>
    <w:rsid w:val="001A25B5"/>
    <w:rsid w:val="001A2859"/>
    <w:rsid w:val="001A2C2E"/>
    <w:rsid w:val="001A31E7"/>
    <w:rsid w:val="001A44E1"/>
    <w:rsid w:val="001A48D6"/>
    <w:rsid w:val="001A48F5"/>
    <w:rsid w:val="001A4F43"/>
    <w:rsid w:val="001A58FC"/>
    <w:rsid w:val="001A71AB"/>
    <w:rsid w:val="001A7783"/>
    <w:rsid w:val="001A7948"/>
    <w:rsid w:val="001A7998"/>
    <w:rsid w:val="001A7A85"/>
    <w:rsid w:val="001B0180"/>
    <w:rsid w:val="001B0F19"/>
    <w:rsid w:val="001B0F7A"/>
    <w:rsid w:val="001B1BCC"/>
    <w:rsid w:val="001B25D5"/>
    <w:rsid w:val="001B4452"/>
    <w:rsid w:val="001B4995"/>
    <w:rsid w:val="001B614E"/>
    <w:rsid w:val="001B62A7"/>
    <w:rsid w:val="001B62FC"/>
    <w:rsid w:val="001B6719"/>
    <w:rsid w:val="001B6748"/>
    <w:rsid w:val="001B67E2"/>
    <w:rsid w:val="001B692C"/>
    <w:rsid w:val="001B7B63"/>
    <w:rsid w:val="001C057A"/>
    <w:rsid w:val="001C0E0B"/>
    <w:rsid w:val="001C0FDC"/>
    <w:rsid w:val="001C1B0E"/>
    <w:rsid w:val="001C287C"/>
    <w:rsid w:val="001C2B9C"/>
    <w:rsid w:val="001C3466"/>
    <w:rsid w:val="001C3B9F"/>
    <w:rsid w:val="001C3E5E"/>
    <w:rsid w:val="001C4011"/>
    <w:rsid w:val="001C41E6"/>
    <w:rsid w:val="001C455E"/>
    <w:rsid w:val="001C4B6B"/>
    <w:rsid w:val="001C5087"/>
    <w:rsid w:val="001C52AA"/>
    <w:rsid w:val="001C6628"/>
    <w:rsid w:val="001C6A94"/>
    <w:rsid w:val="001C7670"/>
    <w:rsid w:val="001C771D"/>
    <w:rsid w:val="001C7A24"/>
    <w:rsid w:val="001D0DDC"/>
    <w:rsid w:val="001D0F4C"/>
    <w:rsid w:val="001D1538"/>
    <w:rsid w:val="001D19F9"/>
    <w:rsid w:val="001D2962"/>
    <w:rsid w:val="001D4463"/>
    <w:rsid w:val="001D4A63"/>
    <w:rsid w:val="001D56D9"/>
    <w:rsid w:val="001D5987"/>
    <w:rsid w:val="001D59C7"/>
    <w:rsid w:val="001D62C4"/>
    <w:rsid w:val="001D6CB4"/>
    <w:rsid w:val="001D7177"/>
    <w:rsid w:val="001D73CF"/>
    <w:rsid w:val="001D7DBF"/>
    <w:rsid w:val="001E0136"/>
    <w:rsid w:val="001E0CF4"/>
    <w:rsid w:val="001E1F03"/>
    <w:rsid w:val="001E225A"/>
    <w:rsid w:val="001E304C"/>
    <w:rsid w:val="001E308D"/>
    <w:rsid w:val="001E3C15"/>
    <w:rsid w:val="001E582D"/>
    <w:rsid w:val="001E6720"/>
    <w:rsid w:val="001E7BF3"/>
    <w:rsid w:val="001F090D"/>
    <w:rsid w:val="001F0B5F"/>
    <w:rsid w:val="001F13A2"/>
    <w:rsid w:val="001F13F9"/>
    <w:rsid w:val="001F1DD4"/>
    <w:rsid w:val="001F1E16"/>
    <w:rsid w:val="001F224F"/>
    <w:rsid w:val="001F277B"/>
    <w:rsid w:val="001F3490"/>
    <w:rsid w:val="001F4047"/>
    <w:rsid w:val="001F4494"/>
    <w:rsid w:val="001F4764"/>
    <w:rsid w:val="001F48FA"/>
    <w:rsid w:val="001F4A1A"/>
    <w:rsid w:val="001F4EE5"/>
    <w:rsid w:val="001F58EA"/>
    <w:rsid w:val="001F5CC9"/>
    <w:rsid w:val="001F652E"/>
    <w:rsid w:val="001F6596"/>
    <w:rsid w:val="001F65A6"/>
    <w:rsid w:val="001F660A"/>
    <w:rsid w:val="001F6C15"/>
    <w:rsid w:val="001F6FCF"/>
    <w:rsid w:val="001F7A03"/>
    <w:rsid w:val="001F7B87"/>
    <w:rsid w:val="001F7CCB"/>
    <w:rsid w:val="001F7D2E"/>
    <w:rsid w:val="002004F1"/>
    <w:rsid w:val="002008E8"/>
    <w:rsid w:val="00200F81"/>
    <w:rsid w:val="00201BA6"/>
    <w:rsid w:val="00201E8C"/>
    <w:rsid w:val="0020209C"/>
    <w:rsid w:val="00203443"/>
    <w:rsid w:val="00204283"/>
    <w:rsid w:val="00204FEB"/>
    <w:rsid w:val="002050F9"/>
    <w:rsid w:val="00205916"/>
    <w:rsid w:val="002059A6"/>
    <w:rsid w:val="00205D4B"/>
    <w:rsid w:val="00206F15"/>
    <w:rsid w:val="002073EA"/>
    <w:rsid w:val="00210F26"/>
    <w:rsid w:val="00210FD7"/>
    <w:rsid w:val="00211AF0"/>
    <w:rsid w:val="002120F1"/>
    <w:rsid w:val="0021293B"/>
    <w:rsid w:val="00212C1A"/>
    <w:rsid w:val="00213B73"/>
    <w:rsid w:val="002154A7"/>
    <w:rsid w:val="0021575B"/>
    <w:rsid w:val="002159B8"/>
    <w:rsid w:val="00215C80"/>
    <w:rsid w:val="00215E34"/>
    <w:rsid w:val="00217C89"/>
    <w:rsid w:val="00217D62"/>
    <w:rsid w:val="00220101"/>
    <w:rsid w:val="002203C9"/>
    <w:rsid w:val="0022061B"/>
    <w:rsid w:val="002207BF"/>
    <w:rsid w:val="00220D20"/>
    <w:rsid w:val="0022111A"/>
    <w:rsid w:val="0022140C"/>
    <w:rsid w:val="002220EA"/>
    <w:rsid w:val="00222B4F"/>
    <w:rsid w:val="0022308E"/>
    <w:rsid w:val="00223955"/>
    <w:rsid w:val="0022412C"/>
    <w:rsid w:val="002242ED"/>
    <w:rsid w:val="00224D63"/>
    <w:rsid w:val="002257DA"/>
    <w:rsid w:val="00226424"/>
    <w:rsid w:val="00226F79"/>
    <w:rsid w:val="002272F8"/>
    <w:rsid w:val="00227D9A"/>
    <w:rsid w:val="00227F28"/>
    <w:rsid w:val="0023052A"/>
    <w:rsid w:val="002306E6"/>
    <w:rsid w:val="0023118B"/>
    <w:rsid w:val="0023127E"/>
    <w:rsid w:val="00232B15"/>
    <w:rsid w:val="00233069"/>
    <w:rsid w:val="00234844"/>
    <w:rsid w:val="00235304"/>
    <w:rsid w:val="00235B94"/>
    <w:rsid w:val="00235D51"/>
    <w:rsid w:val="002361A4"/>
    <w:rsid w:val="00236A31"/>
    <w:rsid w:val="00237027"/>
    <w:rsid w:val="00237472"/>
    <w:rsid w:val="002376CD"/>
    <w:rsid w:val="002400C2"/>
    <w:rsid w:val="002404A5"/>
    <w:rsid w:val="00240926"/>
    <w:rsid w:val="0024282E"/>
    <w:rsid w:val="002429E4"/>
    <w:rsid w:val="00242A4D"/>
    <w:rsid w:val="00242BB2"/>
    <w:rsid w:val="002439C7"/>
    <w:rsid w:val="00244286"/>
    <w:rsid w:val="0024507C"/>
    <w:rsid w:val="00246155"/>
    <w:rsid w:val="0024631A"/>
    <w:rsid w:val="00246A70"/>
    <w:rsid w:val="00250BB4"/>
    <w:rsid w:val="00250CC7"/>
    <w:rsid w:val="00251AD6"/>
    <w:rsid w:val="00251D78"/>
    <w:rsid w:val="0025299D"/>
    <w:rsid w:val="00252A4E"/>
    <w:rsid w:val="002530B8"/>
    <w:rsid w:val="002532B9"/>
    <w:rsid w:val="0025374C"/>
    <w:rsid w:val="00253C49"/>
    <w:rsid w:val="00255656"/>
    <w:rsid w:val="002558C7"/>
    <w:rsid w:val="00256A01"/>
    <w:rsid w:val="00256AB3"/>
    <w:rsid w:val="00260726"/>
    <w:rsid w:val="002609B6"/>
    <w:rsid w:val="00262842"/>
    <w:rsid w:val="00263316"/>
    <w:rsid w:val="00263B9C"/>
    <w:rsid w:val="00263E30"/>
    <w:rsid w:val="002645AE"/>
    <w:rsid w:val="002646D5"/>
    <w:rsid w:val="00264E3D"/>
    <w:rsid w:val="002652BE"/>
    <w:rsid w:val="00265869"/>
    <w:rsid w:val="00266B5D"/>
    <w:rsid w:val="00266D76"/>
    <w:rsid w:val="00267067"/>
    <w:rsid w:val="00267276"/>
    <w:rsid w:val="00267B37"/>
    <w:rsid w:val="002702A3"/>
    <w:rsid w:val="00270756"/>
    <w:rsid w:val="002713A7"/>
    <w:rsid w:val="002717F2"/>
    <w:rsid w:val="00272580"/>
    <w:rsid w:val="002731DD"/>
    <w:rsid w:val="002738FA"/>
    <w:rsid w:val="00274168"/>
    <w:rsid w:val="00274E96"/>
    <w:rsid w:val="00275AFF"/>
    <w:rsid w:val="00275BB1"/>
    <w:rsid w:val="00275BCA"/>
    <w:rsid w:val="00277174"/>
    <w:rsid w:val="002801F8"/>
    <w:rsid w:val="00280B19"/>
    <w:rsid w:val="002828E0"/>
    <w:rsid w:val="00282C18"/>
    <w:rsid w:val="00282F26"/>
    <w:rsid w:val="002832FC"/>
    <w:rsid w:val="002833C4"/>
    <w:rsid w:val="00283591"/>
    <w:rsid w:val="00284EFB"/>
    <w:rsid w:val="00284F30"/>
    <w:rsid w:val="0028538D"/>
    <w:rsid w:val="00285F0F"/>
    <w:rsid w:val="00286D29"/>
    <w:rsid w:val="00287A5A"/>
    <w:rsid w:val="002906F3"/>
    <w:rsid w:val="00291333"/>
    <w:rsid w:val="00291B7A"/>
    <w:rsid w:val="00291E87"/>
    <w:rsid w:val="00292458"/>
    <w:rsid w:val="002926A1"/>
    <w:rsid w:val="00292C11"/>
    <w:rsid w:val="00293751"/>
    <w:rsid w:val="00293B34"/>
    <w:rsid w:val="002941F2"/>
    <w:rsid w:val="002945D4"/>
    <w:rsid w:val="002960C1"/>
    <w:rsid w:val="0029650A"/>
    <w:rsid w:val="002967BB"/>
    <w:rsid w:val="00296A2C"/>
    <w:rsid w:val="00296B0A"/>
    <w:rsid w:val="00296B2A"/>
    <w:rsid w:val="00297447"/>
    <w:rsid w:val="00297502"/>
    <w:rsid w:val="002976A4"/>
    <w:rsid w:val="002A149F"/>
    <w:rsid w:val="002A1572"/>
    <w:rsid w:val="002A1832"/>
    <w:rsid w:val="002A19D6"/>
    <w:rsid w:val="002A1D82"/>
    <w:rsid w:val="002A1F29"/>
    <w:rsid w:val="002A273D"/>
    <w:rsid w:val="002A2A69"/>
    <w:rsid w:val="002A2CBF"/>
    <w:rsid w:val="002A2F99"/>
    <w:rsid w:val="002A31EA"/>
    <w:rsid w:val="002A34D2"/>
    <w:rsid w:val="002A3C56"/>
    <w:rsid w:val="002A3DE9"/>
    <w:rsid w:val="002A480C"/>
    <w:rsid w:val="002A4996"/>
    <w:rsid w:val="002A58F0"/>
    <w:rsid w:val="002A59F9"/>
    <w:rsid w:val="002A663E"/>
    <w:rsid w:val="002A6D8D"/>
    <w:rsid w:val="002A7101"/>
    <w:rsid w:val="002A7504"/>
    <w:rsid w:val="002A7BAD"/>
    <w:rsid w:val="002A7C21"/>
    <w:rsid w:val="002A7F13"/>
    <w:rsid w:val="002B08CC"/>
    <w:rsid w:val="002B0DC2"/>
    <w:rsid w:val="002B1570"/>
    <w:rsid w:val="002B1DBD"/>
    <w:rsid w:val="002B29C5"/>
    <w:rsid w:val="002B3214"/>
    <w:rsid w:val="002B32B4"/>
    <w:rsid w:val="002B445C"/>
    <w:rsid w:val="002B4586"/>
    <w:rsid w:val="002B4D29"/>
    <w:rsid w:val="002B5084"/>
    <w:rsid w:val="002B550E"/>
    <w:rsid w:val="002B6066"/>
    <w:rsid w:val="002B6080"/>
    <w:rsid w:val="002B6304"/>
    <w:rsid w:val="002B6413"/>
    <w:rsid w:val="002B66F7"/>
    <w:rsid w:val="002B6F0B"/>
    <w:rsid w:val="002B78CB"/>
    <w:rsid w:val="002B7BA4"/>
    <w:rsid w:val="002C018B"/>
    <w:rsid w:val="002C01A8"/>
    <w:rsid w:val="002C0625"/>
    <w:rsid w:val="002C07C3"/>
    <w:rsid w:val="002C0C3F"/>
    <w:rsid w:val="002C0FA9"/>
    <w:rsid w:val="002C10AB"/>
    <w:rsid w:val="002C1BCD"/>
    <w:rsid w:val="002C20E5"/>
    <w:rsid w:val="002C22E9"/>
    <w:rsid w:val="002C2792"/>
    <w:rsid w:val="002C2F41"/>
    <w:rsid w:val="002C3766"/>
    <w:rsid w:val="002C3770"/>
    <w:rsid w:val="002C40AF"/>
    <w:rsid w:val="002C41C6"/>
    <w:rsid w:val="002C6C5B"/>
    <w:rsid w:val="002C6CBA"/>
    <w:rsid w:val="002C71E9"/>
    <w:rsid w:val="002D011E"/>
    <w:rsid w:val="002D0231"/>
    <w:rsid w:val="002D0A96"/>
    <w:rsid w:val="002D0FD2"/>
    <w:rsid w:val="002D13B6"/>
    <w:rsid w:val="002D15A8"/>
    <w:rsid w:val="002D279E"/>
    <w:rsid w:val="002D2922"/>
    <w:rsid w:val="002D2DFF"/>
    <w:rsid w:val="002D3D09"/>
    <w:rsid w:val="002D3DE7"/>
    <w:rsid w:val="002D4DE3"/>
    <w:rsid w:val="002D5000"/>
    <w:rsid w:val="002D73CF"/>
    <w:rsid w:val="002E0128"/>
    <w:rsid w:val="002E0CF4"/>
    <w:rsid w:val="002E0D1A"/>
    <w:rsid w:val="002E141C"/>
    <w:rsid w:val="002E1898"/>
    <w:rsid w:val="002E20AE"/>
    <w:rsid w:val="002E2131"/>
    <w:rsid w:val="002E23C3"/>
    <w:rsid w:val="002E2AC3"/>
    <w:rsid w:val="002E3114"/>
    <w:rsid w:val="002E317C"/>
    <w:rsid w:val="002E3BB0"/>
    <w:rsid w:val="002E40AE"/>
    <w:rsid w:val="002E58D3"/>
    <w:rsid w:val="002E6576"/>
    <w:rsid w:val="002E6A94"/>
    <w:rsid w:val="002E6EDA"/>
    <w:rsid w:val="002E74E9"/>
    <w:rsid w:val="002F031C"/>
    <w:rsid w:val="002F0B29"/>
    <w:rsid w:val="002F0F17"/>
    <w:rsid w:val="002F19E0"/>
    <w:rsid w:val="002F2947"/>
    <w:rsid w:val="002F2E9D"/>
    <w:rsid w:val="002F2F95"/>
    <w:rsid w:val="002F34F1"/>
    <w:rsid w:val="002F38AF"/>
    <w:rsid w:val="002F390C"/>
    <w:rsid w:val="002F3C0A"/>
    <w:rsid w:val="002F43A2"/>
    <w:rsid w:val="002F4EAA"/>
    <w:rsid w:val="002F5510"/>
    <w:rsid w:val="002F55E9"/>
    <w:rsid w:val="002F5A5F"/>
    <w:rsid w:val="002F5DF1"/>
    <w:rsid w:val="002F5FA2"/>
    <w:rsid w:val="002F5FC9"/>
    <w:rsid w:val="002F6844"/>
    <w:rsid w:val="002F68B7"/>
    <w:rsid w:val="002F6A87"/>
    <w:rsid w:val="002F767A"/>
    <w:rsid w:val="002F773B"/>
    <w:rsid w:val="002F7B6E"/>
    <w:rsid w:val="003007C5"/>
    <w:rsid w:val="00300B04"/>
    <w:rsid w:val="00300B25"/>
    <w:rsid w:val="00300C60"/>
    <w:rsid w:val="00300E08"/>
    <w:rsid w:val="0030216B"/>
    <w:rsid w:val="003028C1"/>
    <w:rsid w:val="003028C5"/>
    <w:rsid w:val="00302E62"/>
    <w:rsid w:val="00302EB7"/>
    <w:rsid w:val="00303625"/>
    <w:rsid w:val="003039D9"/>
    <w:rsid w:val="00303B0B"/>
    <w:rsid w:val="00303EE9"/>
    <w:rsid w:val="00303EF8"/>
    <w:rsid w:val="00303F62"/>
    <w:rsid w:val="00304344"/>
    <w:rsid w:val="003045DB"/>
    <w:rsid w:val="00304E15"/>
    <w:rsid w:val="00306404"/>
    <w:rsid w:val="003074F1"/>
    <w:rsid w:val="00307D50"/>
    <w:rsid w:val="00307EC7"/>
    <w:rsid w:val="00310128"/>
    <w:rsid w:val="00311258"/>
    <w:rsid w:val="00312335"/>
    <w:rsid w:val="003126C8"/>
    <w:rsid w:val="00312F5E"/>
    <w:rsid w:val="00312FBC"/>
    <w:rsid w:val="0031309D"/>
    <w:rsid w:val="003131A7"/>
    <w:rsid w:val="00313713"/>
    <w:rsid w:val="00313876"/>
    <w:rsid w:val="0031388A"/>
    <w:rsid w:val="0031483A"/>
    <w:rsid w:val="00314B35"/>
    <w:rsid w:val="003153E0"/>
    <w:rsid w:val="0031584E"/>
    <w:rsid w:val="00316001"/>
    <w:rsid w:val="00316476"/>
    <w:rsid w:val="00316741"/>
    <w:rsid w:val="00316BFC"/>
    <w:rsid w:val="00316E1C"/>
    <w:rsid w:val="00316F8E"/>
    <w:rsid w:val="003179AF"/>
    <w:rsid w:val="00317E54"/>
    <w:rsid w:val="00317F55"/>
    <w:rsid w:val="00320691"/>
    <w:rsid w:val="003207E9"/>
    <w:rsid w:val="0032193A"/>
    <w:rsid w:val="00321F4F"/>
    <w:rsid w:val="003224B5"/>
    <w:rsid w:val="0032275F"/>
    <w:rsid w:val="00322B85"/>
    <w:rsid w:val="00322FE5"/>
    <w:rsid w:val="003230A5"/>
    <w:rsid w:val="003231B9"/>
    <w:rsid w:val="00323B8D"/>
    <w:rsid w:val="0032421B"/>
    <w:rsid w:val="00325078"/>
    <w:rsid w:val="00325D24"/>
    <w:rsid w:val="003262C8"/>
    <w:rsid w:val="003262E0"/>
    <w:rsid w:val="00326524"/>
    <w:rsid w:val="00326E48"/>
    <w:rsid w:val="00327099"/>
    <w:rsid w:val="003273AE"/>
    <w:rsid w:val="00327B51"/>
    <w:rsid w:val="00330144"/>
    <w:rsid w:val="0033018B"/>
    <w:rsid w:val="00330458"/>
    <w:rsid w:val="003304CA"/>
    <w:rsid w:val="003306F6"/>
    <w:rsid w:val="00331884"/>
    <w:rsid w:val="003327AC"/>
    <w:rsid w:val="00332815"/>
    <w:rsid w:val="00332D00"/>
    <w:rsid w:val="0033375D"/>
    <w:rsid w:val="003339F0"/>
    <w:rsid w:val="003348CA"/>
    <w:rsid w:val="00335DDF"/>
    <w:rsid w:val="00335F4C"/>
    <w:rsid w:val="0033653A"/>
    <w:rsid w:val="00336C75"/>
    <w:rsid w:val="00336D24"/>
    <w:rsid w:val="00336E42"/>
    <w:rsid w:val="003371DF"/>
    <w:rsid w:val="0034048B"/>
    <w:rsid w:val="0034165E"/>
    <w:rsid w:val="003422DB"/>
    <w:rsid w:val="003423FF"/>
    <w:rsid w:val="003424F4"/>
    <w:rsid w:val="003444FB"/>
    <w:rsid w:val="00344C47"/>
    <w:rsid w:val="0034553C"/>
    <w:rsid w:val="00345565"/>
    <w:rsid w:val="00345692"/>
    <w:rsid w:val="00345C60"/>
    <w:rsid w:val="00346F89"/>
    <w:rsid w:val="003471A3"/>
    <w:rsid w:val="00347328"/>
    <w:rsid w:val="003478E7"/>
    <w:rsid w:val="0035081B"/>
    <w:rsid w:val="00350D2D"/>
    <w:rsid w:val="003519DC"/>
    <w:rsid w:val="003520CD"/>
    <w:rsid w:val="00352DFE"/>
    <w:rsid w:val="00353434"/>
    <w:rsid w:val="00353620"/>
    <w:rsid w:val="003548CB"/>
    <w:rsid w:val="003554E1"/>
    <w:rsid w:val="00355956"/>
    <w:rsid w:val="00356291"/>
    <w:rsid w:val="00356B8F"/>
    <w:rsid w:val="00356F5F"/>
    <w:rsid w:val="0036030E"/>
    <w:rsid w:val="00360C35"/>
    <w:rsid w:val="003612D8"/>
    <w:rsid w:val="00361DFA"/>
    <w:rsid w:val="00362045"/>
    <w:rsid w:val="003627EC"/>
    <w:rsid w:val="00363E11"/>
    <w:rsid w:val="003649AA"/>
    <w:rsid w:val="00364A60"/>
    <w:rsid w:val="00364C6A"/>
    <w:rsid w:val="00364E6E"/>
    <w:rsid w:val="00364F98"/>
    <w:rsid w:val="0036516D"/>
    <w:rsid w:val="00365171"/>
    <w:rsid w:val="0036558B"/>
    <w:rsid w:val="00365C9F"/>
    <w:rsid w:val="003662D3"/>
    <w:rsid w:val="00366B35"/>
    <w:rsid w:val="003707E1"/>
    <w:rsid w:val="00370B8D"/>
    <w:rsid w:val="00370BD8"/>
    <w:rsid w:val="003730E3"/>
    <w:rsid w:val="0037409A"/>
    <w:rsid w:val="00374578"/>
    <w:rsid w:val="00374C52"/>
    <w:rsid w:val="003750BB"/>
    <w:rsid w:val="003750EC"/>
    <w:rsid w:val="003758F9"/>
    <w:rsid w:val="00375A53"/>
    <w:rsid w:val="003765B1"/>
    <w:rsid w:val="00376B21"/>
    <w:rsid w:val="00376C82"/>
    <w:rsid w:val="00376F1C"/>
    <w:rsid w:val="00377757"/>
    <w:rsid w:val="003779AA"/>
    <w:rsid w:val="00380116"/>
    <w:rsid w:val="003801E0"/>
    <w:rsid w:val="003808EC"/>
    <w:rsid w:val="00381776"/>
    <w:rsid w:val="00381C6B"/>
    <w:rsid w:val="00382085"/>
    <w:rsid w:val="003828F3"/>
    <w:rsid w:val="003829D2"/>
    <w:rsid w:val="00382FBF"/>
    <w:rsid w:val="00383351"/>
    <w:rsid w:val="0038386B"/>
    <w:rsid w:val="00383BAA"/>
    <w:rsid w:val="00383DCC"/>
    <w:rsid w:val="00384FF6"/>
    <w:rsid w:val="00385552"/>
    <w:rsid w:val="0038565B"/>
    <w:rsid w:val="00385662"/>
    <w:rsid w:val="00386494"/>
    <w:rsid w:val="00386B30"/>
    <w:rsid w:val="00390284"/>
    <w:rsid w:val="00390DCF"/>
    <w:rsid w:val="00390EB1"/>
    <w:rsid w:val="003912A2"/>
    <w:rsid w:val="00391A66"/>
    <w:rsid w:val="00391D94"/>
    <w:rsid w:val="00392188"/>
    <w:rsid w:val="003926BC"/>
    <w:rsid w:val="003931D3"/>
    <w:rsid w:val="0039357D"/>
    <w:rsid w:val="003935F3"/>
    <w:rsid w:val="0039382D"/>
    <w:rsid w:val="003939EC"/>
    <w:rsid w:val="00394726"/>
    <w:rsid w:val="00395111"/>
    <w:rsid w:val="0039540F"/>
    <w:rsid w:val="00396215"/>
    <w:rsid w:val="0039628D"/>
    <w:rsid w:val="003962D6"/>
    <w:rsid w:val="00396635"/>
    <w:rsid w:val="00397274"/>
    <w:rsid w:val="00397DC1"/>
    <w:rsid w:val="003A0323"/>
    <w:rsid w:val="003A09E6"/>
    <w:rsid w:val="003A0D6F"/>
    <w:rsid w:val="003A0E04"/>
    <w:rsid w:val="003A209F"/>
    <w:rsid w:val="003A30C5"/>
    <w:rsid w:val="003A37F7"/>
    <w:rsid w:val="003A42CD"/>
    <w:rsid w:val="003A4618"/>
    <w:rsid w:val="003A4A8E"/>
    <w:rsid w:val="003A4B47"/>
    <w:rsid w:val="003A4E23"/>
    <w:rsid w:val="003A5A10"/>
    <w:rsid w:val="003A623B"/>
    <w:rsid w:val="003A77FD"/>
    <w:rsid w:val="003B04AE"/>
    <w:rsid w:val="003B0908"/>
    <w:rsid w:val="003B0F6C"/>
    <w:rsid w:val="003B18A1"/>
    <w:rsid w:val="003B2374"/>
    <w:rsid w:val="003B2BB8"/>
    <w:rsid w:val="003B2E3C"/>
    <w:rsid w:val="003B3098"/>
    <w:rsid w:val="003B473C"/>
    <w:rsid w:val="003B4F3B"/>
    <w:rsid w:val="003B5FDB"/>
    <w:rsid w:val="003B6143"/>
    <w:rsid w:val="003B649D"/>
    <w:rsid w:val="003B657B"/>
    <w:rsid w:val="003B7B2F"/>
    <w:rsid w:val="003C0220"/>
    <w:rsid w:val="003C0FD7"/>
    <w:rsid w:val="003C18AE"/>
    <w:rsid w:val="003C1B92"/>
    <w:rsid w:val="003C35EF"/>
    <w:rsid w:val="003C3870"/>
    <w:rsid w:val="003C3AEC"/>
    <w:rsid w:val="003C4905"/>
    <w:rsid w:val="003C4A6D"/>
    <w:rsid w:val="003C5994"/>
    <w:rsid w:val="003C5BCD"/>
    <w:rsid w:val="003C5BE2"/>
    <w:rsid w:val="003C639F"/>
    <w:rsid w:val="003C6D46"/>
    <w:rsid w:val="003C6FCC"/>
    <w:rsid w:val="003C72C5"/>
    <w:rsid w:val="003C7534"/>
    <w:rsid w:val="003C7D45"/>
    <w:rsid w:val="003D1966"/>
    <w:rsid w:val="003D1A2A"/>
    <w:rsid w:val="003D1CF7"/>
    <w:rsid w:val="003D1D92"/>
    <w:rsid w:val="003D204F"/>
    <w:rsid w:val="003D2439"/>
    <w:rsid w:val="003D3364"/>
    <w:rsid w:val="003D3692"/>
    <w:rsid w:val="003D3DCE"/>
    <w:rsid w:val="003D41E7"/>
    <w:rsid w:val="003D4F96"/>
    <w:rsid w:val="003D5B5A"/>
    <w:rsid w:val="003D65F9"/>
    <w:rsid w:val="003D6C1A"/>
    <w:rsid w:val="003D71F7"/>
    <w:rsid w:val="003E088B"/>
    <w:rsid w:val="003E1127"/>
    <w:rsid w:val="003E2C08"/>
    <w:rsid w:val="003E3662"/>
    <w:rsid w:val="003E3A5C"/>
    <w:rsid w:val="003E4D56"/>
    <w:rsid w:val="003E4D9A"/>
    <w:rsid w:val="003E60E7"/>
    <w:rsid w:val="003E6352"/>
    <w:rsid w:val="003E725C"/>
    <w:rsid w:val="003E751B"/>
    <w:rsid w:val="003E7AF6"/>
    <w:rsid w:val="003E7F03"/>
    <w:rsid w:val="003F014E"/>
    <w:rsid w:val="003F0162"/>
    <w:rsid w:val="003F0EF5"/>
    <w:rsid w:val="003F0F03"/>
    <w:rsid w:val="003F14C7"/>
    <w:rsid w:val="003F1830"/>
    <w:rsid w:val="003F1A7B"/>
    <w:rsid w:val="003F1E6B"/>
    <w:rsid w:val="003F1E78"/>
    <w:rsid w:val="003F2D6B"/>
    <w:rsid w:val="003F2DD7"/>
    <w:rsid w:val="003F2EA0"/>
    <w:rsid w:val="003F3959"/>
    <w:rsid w:val="003F3EF7"/>
    <w:rsid w:val="003F3EFD"/>
    <w:rsid w:val="003F4413"/>
    <w:rsid w:val="003F443A"/>
    <w:rsid w:val="003F486A"/>
    <w:rsid w:val="003F4A86"/>
    <w:rsid w:val="003F4C5B"/>
    <w:rsid w:val="003F583B"/>
    <w:rsid w:val="003F5B25"/>
    <w:rsid w:val="003F6569"/>
    <w:rsid w:val="003F6893"/>
    <w:rsid w:val="003F6934"/>
    <w:rsid w:val="003F7406"/>
    <w:rsid w:val="003F7509"/>
    <w:rsid w:val="003F7E0C"/>
    <w:rsid w:val="004002F8"/>
    <w:rsid w:val="0040050F"/>
    <w:rsid w:val="0040162B"/>
    <w:rsid w:val="0040176E"/>
    <w:rsid w:val="00401948"/>
    <w:rsid w:val="00401C98"/>
    <w:rsid w:val="00401F93"/>
    <w:rsid w:val="00402433"/>
    <w:rsid w:val="00402A41"/>
    <w:rsid w:val="00402E2E"/>
    <w:rsid w:val="004032F4"/>
    <w:rsid w:val="004035CF"/>
    <w:rsid w:val="00403F22"/>
    <w:rsid w:val="00403FF7"/>
    <w:rsid w:val="00405703"/>
    <w:rsid w:val="0040583E"/>
    <w:rsid w:val="00405939"/>
    <w:rsid w:val="00405BB4"/>
    <w:rsid w:val="004060FB"/>
    <w:rsid w:val="00406B99"/>
    <w:rsid w:val="004074A9"/>
    <w:rsid w:val="004105B5"/>
    <w:rsid w:val="0041074E"/>
    <w:rsid w:val="00410805"/>
    <w:rsid w:val="0041095D"/>
    <w:rsid w:val="00411B75"/>
    <w:rsid w:val="00412BF2"/>
    <w:rsid w:val="00413CCA"/>
    <w:rsid w:val="004142D9"/>
    <w:rsid w:val="00414555"/>
    <w:rsid w:val="0041495D"/>
    <w:rsid w:val="004149F1"/>
    <w:rsid w:val="004152DE"/>
    <w:rsid w:val="004157BC"/>
    <w:rsid w:val="00415972"/>
    <w:rsid w:val="00415FDD"/>
    <w:rsid w:val="00417A3F"/>
    <w:rsid w:val="00417A7A"/>
    <w:rsid w:val="004202E4"/>
    <w:rsid w:val="00420F71"/>
    <w:rsid w:val="00421927"/>
    <w:rsid w:val="00421C89"/>
    <w:rsid w:val="0042350E"/>
    <w:rsid w:val="00423D70"/>
    <w:rsid w:val="00424428"/>
    <w:rsid w:val="00424D63"/>
    <w:rsid w:val="00425750"/>
    <w:rsid w:val="00425BD4"/>
    <w:rsid w:val="0042602C"/>
    <w:rsid w:val="00426A31"/>
    <w:rsid w:val="00426A34"/>
    <w:rsid w:val="004270C7"/>
    <w:rsid w:val="00427F5C"/>
    <w:rsid w:val="00430E97"/>
    <w:rsid w:val="0043135E"/>
    <w:rsid w:val="004317C9"/>
    <w:rsid w:val="00432C83"/>
    <w:rsid w:val="004339C6"/>
    <w:rsid w:val="00435AB1"/>
    <w:rsid w:val="004360B8"/>
    <w:rsid w:val="00436144"/>
    <w:rsid w:val="00436FAC"/>
    <w:rsid w:val="00437841"/>
    <w:rsid w:val="00437AFD"/>
    <w:rsid w:val="00437FF0"/>
    <w:rsid w:val="004401D2"/>
    <w:rsid w:val="00440903"/>
    <w:rsid w:val="00440C43"/>
    <w:rsid w:val="00440D9E"/>
    <w:rsid w:val="004415F7"/>
    <w:rsid w:val="004419C2"/>
    <w:rsid w:val="004427A0"/>
    <w:rsid w:val="00442C97"/>
    <w:rsid w:val="00443714"/>
    <w:rsid w:val="00444619"/>
    <w:rsid w:val="004447BE"/>
    <w:rsid w:val="00444FC2"/>
    <w:rsid w:val="00445D1D"/>
    <w:rsid w:val="00445D24"/>
    <w:rsid w:val="00446072"/>
    <w:rsid w:val="004466CE"/>
    <w:rsid w:val="00446E02"/>
    <w:rsid w:val="004470D8"/>
    <w:rsid w:val="00447289"/>
    <w:rsid w:val="004476EC"/>
    <w:rsid w:val="0045028D"/>
    <w:rsid w:val="0045042F"/>
    <w:rsid w:val="00451FA0"/>
    <w:rsid w:val="0045250F"/>
    <w:rsid w:val="00453306"/>
    <w:rsid w:val="00453B16"/>
    <w:rsid w:val="00454785"/>
    <w:rsid w:val="00454ACA"/>
    <w:rsid w:val="00454CBF"/>
    <w:rsid w:val="0045596A"/>
    <w:rsid w:val="00456115"/>
    <w:rsid w:val="0045662D"/>
    <w:rsid w:val="0045772A"/>
    <w:rsid w:val="00457929"/>
    <w:rsid w:val="00460546"/>
    <w:rsid w:val="00460AA0"/>
    <w:rsid w:val="00460C45"/>
    <w:rsid w:val="00460C5E"/>
    <w:rsid w:val="00460CA0"/>
    <w:rsid w:val="0046109C"/>
    <w:rsid w:val="00461945"/>
    <w:rsid w:val="00461F2E"/>
    <w:rsid w:val="00461FEB"/>
    <w:rsid w:val="00462CF2"/>
    <w:rsid w:val="00463A0B"/>
    <w:rsid w:val="00464643"/>
    <w:rsid w:val="00465044"/>
    <w:rsid w:val="00465286"/>
    <w:rsid w:val="0046563D"/>
    <w:rsid w:val="0046578E"/>
    <w:rsid w:val="00465D98"/>
    <w:rsid w:val="00466CEE"/>
    <w:rsid w:val="004672CC"/>
    <w:rsid w:val="00467947"/>
    <w:rsid w:val="0046799A"/>
    <w:rsid w:val="00467E7B"/>
    <w:rsid w:val="004726AB"/>
    <w:rsid w:val="00473285"/>
    <w:rsid w:val="00473494"/>
    <w:rsid w:val="00473919"/>
    <w:rsid w:val="00473DD5"/>
    <w:rsid w:val="00473E38"/>
    <w:rsid w:val="00474115"/>
    <w:rsid w:val="00474B9F"/>
    <w:rsid w:val="0047515B"/>
    <w:rsid w:val="004761BC"/>
    <w:rsid w:val="004767BC"/>
    <w:rsid w:val="004767C6"/>
    <w:rsid w:val="00476D82"/>
    <w:rsid w:val="00476E19"/>
    <w:rsid w:val="00477019"/>
    <w:rsid w:val="00477192"/>
    <w:rsid w:val="00480287"/>
    <w:rsid w:val="00480DB6"/>
    <w:rsid w:val="00480EFB"/>
    <w:rsid w:val="004825D3"/>
    <w:rsid w:val="00482942"/>
    <w:rsid w:val="00482C88"/>
    <w:rsid w:val="004830E6"/>
    <w:rsid w:val="00484134"/>
    <w:rsid w:val="00484AB0"/>
    <w:rsid w:val="00484B1F"/>
    <w:rsid w:val="00485971"/>
    <w:rsid w:val="0048608C"/>
    <w:rsid w:val="00486603"/>
    <w:rsid w:val="00486680"/>
    <w:rsid w:val="00486B0C"/>
    <w:rsid w:val="00486BF3"/>
    <w:rsid w:val="004902E5"/>
    <w:rsid w:val="004908BA"/>
    <w:rsid w:val="00491260"/>
    <w:rsid w:val="00491DC5"/>
    <w:rsid w:val="0049298C"/>
    <w:rsid w:val="00492BF7"/>
    <w:rsid w:val="00492D11"/>
    <w:rsid w:val="0049313A"/>
    <w:rsid w:val="004934DB"/>
    <w:rsid w:val="004940F8"/>
    <w:rsid w:val="004950C6"/>
    <w:rsid w:val="00495B46"/>
    <w:rsid w:val="004967ED"/>
    <w:rsid w:val="00497878"/>
    <w:rsid w:val="00497D73"/>
    <w:rsid w:val="004A01D3"/>
    <w:rsid w:val="004A0F19"/>
    <w:rsid w:val="004A35C9"/>
    <w:rsid w:val="004A4534"/>
    <w:rsid w:val="004A494E"/>
    <w:rsid w:val="004A4B48"/>
    <w:rsid w:val="004A4D5F"/>
    <w:rsid w:val="004A4D6D"/>
    <w:rsid w:val="004A569B"/>
    <w:rsid w:val="004A5ACB"/>
    <w:rsid w:val="004A5B2F"/>
    <w:rsid w:val="004A5B3D"/>
    <w:rsid w:val="004A5EBC"/>
    <w:rsid w:val="004A6033"/>
    <w:rsid w:val="004A65F9"/>
    <w:rsid w:val="004A6626"/>
    <w:rsid w:val="004A6F98"/>
    <w:rsid w:val="004A70C2"/>
    <w:rsid w:val="004A7867"/>
    <w:rsid w:val="004A7FAA"/>
    <w:rsid w:val="004B0201"/>
    <w:rsid w:val="004B0900"/>
    <w:rsid w:val="004B1BB8"/>
    <w:rsid w:val="004B230F"/>
    <w:rsid w:val="004B3A0C"/>
    <w:rsid w:val="004B4595"/>
    <w:rsid w:val="004B5042"/>
    <w:rsid w:val="004B52CF"/>
    <w:rsid w:val="004B54FD"/>
    <w:rsid w:val="004B5531"/>
    <w:rsid w:val="004B55FF"/>
    <w:rsid w:val="004B5ED1"/>
    <w:rsid w:val="004B6594"/>
    <w:rsid w:val="004B65CF"/>
    <w:rsid w:val="004B6613"/>
    <w:rsid w:val="004B6A71"/>
    <w:rsid w:val="004B786B"/>
    <w:rsid w:val="004B789B"/>
    <w:rsid w:val="004B7C2B"/>
    <w:rsid w:val="004B7CA5"/>
    <w:rsid w:val="004C008C"/>
    <w:rsid w:val="004C065A"/>
    <w:rsid w:val="004C0E2B"/>
    <w:rsid w:val="004C1CB1"/>
    <w:rsid w:val="004C2C94"/>
    <w:rsid w:val="004C3404"/>
    <w:rsid w:val="004C4075"/>
    <w:rsid w:val="004C4992"/>
    <w:rsid w:val="004C512E"/>
    <w:rsid w:val="004C5B27"/>
    <w:rsid w:val="004C5B43"/>
    <w:rsid w:val="004C5C1D"/>
    <w:rsid w:val="004C6842"/>
    <w:rsid w:val="004C6ACC"/>
    <w:rsid w:val="004C6FA6"/>
    <w:rsid w:val="004C79AE"/>
    <w:rsid w:val="004C7B72"/>
    <w:rsid w:val="004C7C30"/>
    <w:rsid w:val="004C7D1F"/>
    <w:rsid w:val="004C7D29"/>
    <w:rsid w:val="004C7E85"/>
    <w:rsid w:val="004D0269"/>
    <w:rsid w:val="004D027C"/>
    <w:rsid w:val="004D0344"/>
    <w:rsid w:val="004D047A"/>
    <w:rsid w:val="004D2060"/>
    <w:rsid w:val="004D20A2"/>
    <w:rsid w:val="004D235F"/>
    <w:rsid w:val="004D24D5"/>
    <w:rsid w:val="004D26F9"/>
    <w:rsid w:val="004D2A38"/>
    <w:rsid w:val="004D3E54"/>
    <w:rsid w:val="004D438C"/>
    <w:rsid w:val="004D4A1D"/>
    <w:rsid w:val="004D500E"/>
    <w:rsid w:val="004D58EA"/>
    <w:rsid w:val="004D62A6"/>
    <w:rsid w:val="004D65BB"/>
    <w:rsid w:val="004D6A1F"/>
    <w:rsid w:val="004D7200"/>
    <w:rsid w:val="004D743C"/>
    <w:rsid w:val="004D77C4"/>
    <w:rsid w:val="004E0001"/>
    <w:rsid w:val="004E04BF"/>
    <w:rsid w:val="004E08ED"/>
    <w:rsid w:val="004E0D66"/>
    <w:rsid w:val="004E0FC9"/>
    <w:rsid w:val="004E1B5C"/>
    <w:rsid w:val="004E2ADC"/>
    <w:rsid w:val="004E2DB8"/>
    <w:rsid w:val="004E31A6"/>
    <w:rsid w:val="004E33C6"/>
    <w:rsid w:val="004E34F0"/>
    <w:rsid w:val="004E35FB"/>
    <w:rsid w:val="004E3E8C"/>
    <w:rsid w:val="004E3EC7"/>
    <w:rsid w:val="004E41EA"/>
    <w:rsid w:val="004E494D"/>
    <w:rsid w:val="004E4AB3"/>
    <w:rsid w:val="004E52E0"/>
    <w:rsid w:val="004E56B1"/>
    <w:rsid w:val="004E5AF9"/>
    <w:rsid w:val="004E5F7E"/>
    <w:rsid w:val="004E6496"/>
    <w:rsid w:val="004E6AFB"/>
    <w:rsid w:val="004F076D"/>
    <w:rsid w:val="004F0C39"/>
    <w:rsid w:val="004F0CA5"/>
    <w:rsid w:val="004F1362"/>
    <w:rsid w:val="004F2252"/>
    <w:rsid w:val="004F2F0D"/>
    <w:rsid w:val="004F2F26"/>
    <w:rsid w:val="004F3576"/>
    <w:rsid w:val="004F3AF2"/>
    <w:rsid w:val="004F3F73"/>
    <w:rsid w:val="004F4F72"/>
    <w:rsid w:val="004F5BAA"/>
    <w:rsid w:val="004F625E"/>
    <w:rsid w:val="004F6613"/>
    <w:rsid w:val="004F6EF7"/>
    <w:rsid w:val="004F7720"/>
    <w:rsid w:val="00500607"/>
    <w:rsid w:val="00501225"/>
    <w:rsid w:val="00501664"/>
    <w:rsid w:val="0050258C"/>
    <w:rsid w:val="005027CB"/>
    <w:rsid w:val="00502AD6"/>
    <w:rsid w:val="00503387"/>
    <w:rsid w:val="00503C30"/>
    <w:rsid w:val="00504045"/>
    <w:rsid w:val="00504BBD"/>
    <w:rsid w:val="00504DFC"/>
    <w:rsid w:val="0050545A"/>
    <w:rsid w:val="00505502"/>
    <w:rsid w:val="00505AC2"/>
    <w:rsid w:val="00505D90"/>
    <w:rsid w:val="00506579"/>
    <w:rsid w:val="0050657A"/>
    <w:rsid w:val="00506B5E"/>
    <w:rsid w:val="00506CC5"/>
    <w:rsid w:val="00506F69"/>
    <w:rsid w:val="00506FAD"/>
    <w:rsid w:val="00507296"/>
    <w:rsid w:val="0051079C"/>
    <w:rsid w:val="00510E12"/>
    <w:rsid w:val="005114B0"/>
    <w:rsid w:val="005119CE"/>
    <w:rsid w:val="00511CCC"/>
    <w:rsid w:val="00511CFB"/>
    <w:rsid w:val="00513B63"/>
    <w:rsid w:val="00514198"/>
    <w:rsid w:val="0051494F"/>
    <w:rsid w:val="00514CF6"/>
    <w:rsid w:val="005160AF"/>
    <w:rsid w:val="00516764"/>
    <w:rsid w:val="0051690C"/>
    <w:rsid w:val="00520163"/>
    <w:rsid w:val="0052087C"/>
    <w:rsid w:val="00522563"/>
    <w:rsid w:val="00523070"/>
    <w:rsid w:val="00523B6B"/>
    <w:rsid w:val="00523DF3"/>
    <w:rsid w:val="00524251"/>
    <w:rsid w:val="005249DA"/>
    <w:rsid w:val="0052531E"/>
    <w:rsid w:val="0052584F"/>
    <w:rsid w:val="0052590A"/>
    <w:rsid w:val="005259D4"/>
    <w:rsid w:val="005261D5"/>
    <w:rsid w:val="005265CB"/>
    <w:rsid w:val="00526A06"/>
    <w:rsid w:val="00527501"/>
    <w:rsid w:val="00527506"/>
    <w:rsid w:val="005275F2"/>
    <w:rsid w:val="00527B28"/>
    <w:rsid w:val="00527B82"/>
    <w:rsid w:val="00530755"/>
    <w:rsid w:val="0053150B"/>
    <w:rsid w:val="00532BB2"/>
    <w:rsid w:val="005332B0"/>
    <w:rsid w:val="00534357"/>
    <w:rsid w:val="005347F7"/>
    <w:rsid w:val="0053484C"/>
    <w:rsid w:val="00534AF4"/>
    <w:rsid w:val="00534F51"/>
    <w:rsid w:val="005355D0"/>
    <w:rsid w:val="0053579C"/>
    <w:rsid w:val="0053657E"/>
    <w:rsid w:val="00536E66"/>
    <w:rsid w:val="00537088"/>
    <w:rsid w:val="00537E8D"/>
    <w:rsid w:val="0054046A"/>
    <w:rsid w:val="005413BE"/>
    <w:rsid w:val="00542489"/>
    <w:rsid w:val="00543500"/>
    <w:rsid w:val="00544C63"/>
    <w:rsid w:val="00545664"/>
    <w:rsid w:val="00545A3F"/>
    <w:rsid w:val="00545B27"/>
    <w:rsid w:val="00545BAD"/>
    <w:rsid w:val="0054668D"/>
    <w:rsid w:val="00547BCC"/>
    <w:rsid w:val="0055161E"/>
    <w:rsid w:val="005524D6"/>
    <w:rsid w:val="00552CC0"/>
    <w:rsid w:val="00553211"/>
    <w:rsid w:val="00553299"/>
    <w:rsid w:val="00553DD3"/>
    <w:rsid w:val="005549A8"/>
    <w:rsid w:val="00554F15"/>
    <w:rsid w:val="005550D5"/>
    <w:rsid w:val="00555362"/>
    <w:rsid w:val="00556780"/>
    <w:rsid w:val="00556AB5"/>
    <w:rsid w:val="0055731B"/>
    <w:rsid w:val="00557611"/>
    <w:rsid w:val="00560420"/>
    <w:rsid w:val="0056089F"/>
    <w:rsid w:val="0056136E"/>
    <w:rsid w:val="00562397"/>
    <w:rsid w:val="005626F1"/>
    <w:rsid w:val="00562CB9"/>
    <w:rsid w:val="00562E3C"/>
    <w:rsid w:val="00562F7C"/>
    <w:rsid w:val="0056344B"/>
    <w:rsid w:val="0056345C"/>
    <w:rsid w:val="00564559"/>
    <w:rsid w:val="00564717"/>
    <w:rsid w:val="00564AAA"/>
    <w:rsid w:val="005655BD"/>
    <w:rsid w:val="00566BA8"/>
    <w:rsid w:val="00567305"/>
    <w:rsid w:val="00567A8A"/>
    <w:rsid w:val="0057117D"/>
    <w:rsid w:val="0057163E"/>
    <w:rsid w:val="00571E2D"/>
    <w:rsid w:val="00572314"/>
    <w:rsid w:val="00572717"/>
    <w:rsid w:val="005729A0"/>
    <w:rsid w:val="00572B34"/>
    <w:rsid w:val="00572E16"/>
    <w:rsid w:val="005731F8"/>
    <w:rsid w:val="00573B6F"/>
    <w:rsid w:val="005759A5"/>
    <w:rsid w:val="00575AA4"/>
    <w:rsid w:val="00576F56"/>
    <w:rsid w:val="005775F7"/>
    <w:rsid w:val="00577CC5"/>
    <w:rsid w:val="00577E39"/>
    <w:rsid w:val="0058038E"/>
    <w:rsid w:val="005813B3"/>
    <w:rsid w:val="00581D82"/>
    <w:rsid w:val="0058211A"/>
    <w:rsid w:val="005821C2"/>
    <w:rsid w:val="00582F46"/>
    <w:rsid w:val="00583009"/>
    <w:rsid w:val="00583E0F"/>
    <w:rsid w:val="00584B03"/>
    <w:rsid w:val="005850CE"/>
    <w:rsid w:val="0058635D"/>
    <w:rsid w:val="005866A7"/>
    <w:rsid w:val="0058709A"/>
    <w:rsid w:val="005871FE"/>
    <w:rsid w:val="005875D4"/>
    <w:rsid w:val="00587756"/>
    <w:rsid w:val="00587B6F"/>
    <w:rsid w:val="005907B1"/>
    <w:rsid w:val="00591217"/>
    <w:rsid w:val="00592B2F"/>
    <w:rsid w:val="00592DD8"/>
    <w:rsid w:val="005930E2"/>
    <w:rsid w:val="0059368C"/>
    <w:rsid w:val="005945D8"/>
    <w:rsid w:val="005947C5"/>
    <w:rsid w:val="00594CED"/>
    <w:rsid w:val="00595B3F"/>
    <w:rsid w:val="00595E39"/>
    <w:rsid w:val="0059644E"/>
    <w:rsid w:val="00596964"/>
    <w:rsid w:val="005978C9"/>
    <w:rsid w:val="00597D47"/>
    <w:rsid w:val="005A08BC"/>
    <w:rsid w:val="005A099C"/>
    <w:rsid w:val="005A0CE5"/>
    <w:rsid w:val="005A1203"/>
    <w:rsid w:val="005A1D5C"/>
    <w:rsid w:val="005A21D8"/>
    <w:rsid w:val="005A24BE"/>
    <w:rsid w:val="005A2973"/>
    <w:rsid w:val="005A2FDC"/>
    <w:rsid w:val="005A3551"/>
    <w:rsid w:val="005A3853"/>
    <w:rsid w:val="005A5664"/>
    <w:rsid w:val="005A5AAD"/>
    <w:rsid w:val="005A62F1"/>
    <w:rsid w:val="005A6F64"/>
    <w:rsid w:val="005A7387"/>
    <w:rsid w:val="005A765C"/>
    <w:rsid w:val="005B003D"/>
    <w:rsid w:val="005B0306"/>
    <w:rsid w:val="005B045F"/>
    <w:rsid w:val="005B194F"/>
    <w:rsid w:val="005B316F"/>
    <w:rsid w:val="005B3C5C"/>
    <w:rsid w:val="005B42E0"/>
    <w:rsid w:val="005B45A1"/>
    <w:rsid w:val="005B4B95"/>
    <w:rsid w:val="005B5A57"/>
    <w:rsid w:val="005B5DE0"/>
    <w:rsid w:val="005B5DE4"/>
    <w:rsid w:val="005B5F16"/>
    <w:rsid w:val="005B62ED"/>
    <w:rsid w:val="005B674B"/>
    <w:rsid w:val="005B68C2"/>
    <w:rsid w:val="005B761C"/>
    <w:rsid w:val="005B7CCB"/>
    <w:rsid w:val="005C0128"/>
    <w:rsid w:val="005C03A5"/>
    <w:rsid w:val="005C0441"/>
    <w:rsid w:val="005C0DDA"/>
    <w:rsid w:val="005C1371"/>
    <w:rsid w:val="005C1768"/>
    <w:rsid w:val="005C20F5"/>
    <w:rsid w:val="005C344F"/>
    <w:rsid w:val="005C3682"/>
    <w:rsid w:val="005C3882"/>
    <w:rsid w:val="005C3BFC"/>
    <w:rsid w:val="005C3D15"/>
    <w:rsid w:val="005C4DA8"/>
    <w:rsid w:val="005C4DFE"/>
    <w:rsid w:val="005C5414"/>
    <w:rsid w:val="005C5878"/>
    <w:rsid w:val="005C5884"/>
    <w:rsid w:val="005C60A3"/>
    <w:rsid w:val="005C659C"/>
    <w:rsid w:val="005C6F76"/>
    <w:rsid w:val="005C75F8"/>
    <w:rsid w:val="005C7F33"/>
    <w:rsid w:val="005D05FA"/>
    <w:rsid w:val="005D1095"/>
    <w:rsid w:val="005D16B8"/>
    <w:rsid w:val="005D1B63"/>
    <w:rsid w:val="005D2183"/>
    <w:rsid w:val="005D326E"/>
    <w:rsid w:val="005D382F"/>
    <w:rsid w:val="005D3F24"/>
    <w:rsid w:val="005D4494"/>
    <w:rsid w:val="005D4A70"/>
    <w:rsid w:val="005D4E46"/>
    <w:rsid w:val="005D4F6A"/>
    <w:rsid w:val="005D53A0"/>
    <w:rsid w:val="005D57E4"/>
    <w:rsid w:val="005D581F"/>
    <w:rsid w:val="005D5C4C"/>
    <w:rsid w:val="005D5C80"/>
    <w:rsid w:val="005D5D7C"/>
    <w:rsid w:val="005D5EC0"/>
    <w:rsid w:val="005D6704"/>
    <w:rsid w:val="005D6D4B"/>
    <w:rsid w:val="005D6ECE"/>
    <w:rsid w:val="005D711D"/>
    <w:rsid w:val="005D723A"/>
    <w:rsid w:val="005D74EA"/>
    <w:rsid w:val="005D761E"/>
    <w:rsid w:val="005D77B5"/>
    <w:rsid w:val="005D798E"/>
    <w:rsid w:val="005E0A69"/>
    <w:rsid w:val="005E14D0"/>
    <w:rsid w:val="005E1BCD"/>
    <w:rsid w:val="005E1D01"/>
    <w:rsid w:val="005E23EE"/>
    <w:rsid w:val="005E269D"/>
    <w:rsid w:val="005E2F5F"/>
    <w:rsid w:val="005E4877"/>
    <w:rsid w:val="005E53B0"/>
    <w:rsid w:val="005E558D"/>
    <w:rsid w:val="005E5ADD"/>
    <w:rsid w:val="005E5F57"/>
    <w:rsid w:val="005E6B53"/>
    <w:rsid w:val="005E6F02"/>
    <w:rsid w:val="005E7615"/>
    <w:rsid w:val="005E7720"/>
    <w:rsid w:val="005E7D19"/>
    <w:rsid w:val="005E7DDB"/>
    <w:rsid w:val="005F00DF"/>
    <w:rsid w:val="005F0384"/>
    <w:rsid w:val="005F0C06"/>
    <w:rsid w:val="005F0CCC"/>
    <w:rsid w:val="005F1613"/>
    <w:rsid w:val="005F19CF"/>
    <w:rsid w:val="005F1ABF"/>
    <w:rsid w:val="005F1D52"/>
    <w:rsid w:val="005F334F"/>
    <w:rsid w:val="005F3CD3"/>
    <w:rsid w:val="005F3E78"/>
    <w:rsid w:val="005F4197"/>
    <w:rsid w:val="005F44B8"/>
    <w:rsid w:val="005F450B"/>
    <w:rsid w:val="005F4892"/>
    <w:rsid w:val="005F493E"/>
    <w:rsid w:val="005F61D5"/>
    <w:rsid w:val="005F6533"/>
    <w:rsid w:val="005F6649"/>
    <w:rsid w:val="005F76CC"/>
    <w:rsid w:val="0060064A"/>
    <w:rsid w:val="0060201F"/>
    <w:rsid w:val="0060264A"/>
    <w:rsid w:val="00602AAE"/>
    <w:rsid w:val="00603856"/>
    <w:rsid w:val="00604237"/>
    <w:rsid w:val="00604B51"/>
    <w:rsid w:val="00604BE5"/>
    <w:rsid w:val="00606ED2"/>
    <w:rsid w:val="006072D6"/>
    <w:rsid w:val="006079F5"/>
    <w:rsid w:val="006100DB"/>
    <w:rsid w:val="0061076C"/>
    <w:rsid w:val="00610FD3"/>
    <w:rsid w:val="00611740"/>
    <w:rsid w:val="006117FD"/>
    <w:rsid w:val="0061196E"/>
    <w:rsid w:val="006124EC"/>
    <w:rsid w:val="00612A4C"/>
    <w:rsid w:val="00612C07"/>
    <w:rsid w:val="00612E62"/>
    <w:rsid w:val="0061373E"/>
    <w:rsid w:val="00613C92"/>
    <w:rsid w:val="00614668"/>
    <w:rsid w:val="00614F32"/>
    <w:rsid w:val="0061530B"/>
    <w:rsid w:val="00615FE0"/>
    <w:rsid w:val="00616300"/>
    <w:rsid w:val="00617260"/>
    <w:rsid w:val="0061799D"/>
    <w:rsid w:val="006209B8"/>
    <w:rsid w:val="006219CC"/>
    <w:rsid w:val="00621F87"/>
    <w:rsid w:val="006224A6"/>
    <w:rsid w:val="006227F3"/>
    <w:rsid w:val="006235E1"/>
    <w:rsid w:val="006235E6"/>
    <w:rsid w:val="006244E4"/>
    <w:rsid w:val="006248B0"/>
    <w:rsid w:val="006249E0"/>
    <w:rsid w:val="00626293"/>
    <w:rsid w:val="00626B8D"/>
    <w:rsid w:val="006277D4"/>
    <w:rsid w:val="00631769"/>
    <w:rsid w:val="00631BC1"/>
    <w:rsid w:val="00632048"/>
    <w:rsid w:val="00632414"/>
    <w:rsid w:val="00632756"/>
    <w:rsid w:val="00632AE3"/>
    <w:rsid w:val="0063390D"/>
    <w:rsid w:val="00634426"/>
    <w:rsid w:val="00634632"/>
    <w:rsid w:val="00634CA3"/>
    <w:rsid w:val="00634D90"/>
    <w:rsid w:val="006350A9"/>
    <w:rsid w:val="0063582D"/>
    <w:rsid w:val="00635EB8"/>
    <w:rsid w:val="00635F55"/>
    <w:rsid w:val="00636488"/>
    <w:rsid w:val="00636903"/>
    <w:rsid w:val="00636E62"/>
    <w:rsid w:val="006400D4"/>
    <w:rsid w:val="006402E5"/>
    <w:rsid w:val="0064080D"/>
    <w:rsid w:val="0064089D"/>
    <w:rsid w:val="006408CF"/>
    <w:rsid w:val="00640BE0"/>
    <w:rsid w:val="00641130"/>
    <w:rsid w:val="006418F0"/>
    <w:rsid w:val="00642453"/>
    <w:rsid w:val="00642AF6"/>
    <w:rsid w:val="00642CDA"/>
    <w:rsid w:val="00643426"/>
    <w:rsid w:val="0064404E"/>
    <w:rsid w:val="0064527D"/>
    <w:rsid w:val="00646259"/>
    <w:rsid w:val="0064652E"/>
    <w:rsid w:val="0064664A"/>
    <w:rsid w:val="0064671B"/>
    <w:rsid w:val="006472C9"/>
    <w:rsid w:val="00647DB3"/>
    <w:rsid w:val="006511E4"/>
    <w:rsid w:val="00652437"/>
    <w:rsid w:val="00652A46"/>
    <w:rsid w:val="00652C42"/>
    <w:rsid w:val="00652F01"/>
    <w:rsid w:val="0065332E"/>
    <w:rsid w:val="00654827"/>
    <w:rsid w:val="00654919"/>
    <w:rsid w:val="00654B37"/>
    <w:rsid w:val="00654DDD"/>
    <w:rsid w:val="00654E8A"/>
    <w:rsid w:val="006550E1"/>
    <w:rsid w:val="00655A92"/>
    <w:rsid w:val="00655E11"/>
    <w:rsid w:val="006561AB"/>
    <w:rsid w:val="006563FB"/>
    <w:rsid w:val="006565FD"/>
    <w:rsid w:val="006566EC"/>
    <w:rsid w:val="00656AFB"/>
    <w:rsid w:val="00656CB8"/>
    <w:rsid w:val="00657283"/>
    <w:rsid w:val="00657EE7"/>
    <w:rsid w:val="0066067B"/>
    <w:rsid w:val="00660FE3"/>
    <w:rsid w:val="0066109A"/>
    <w:rsid w:val="006614D8"/>
    <w:rsid w:val="006625D6"/>
    <w:rsid w:val="00662A44"/>
    <w:rsid w:val="00664323"/>
    <w:rsid w:val="00664943"/>
    <w:rsid w:val="00665028"/>
    <w:rsid w:val="006657E1"/>
    <w:rsid w:val="00665BB5"/>
    <w:rsid w:val="00666595"/>
    <w:rsid w:val="006667A9"/>
    <w:rsid w:val="00667133"/>
    <w:rsid w:val="0066762F"/>
    <w:rsid w:val="00667CBD"/>
    <w:rsid w:val="00667DA8"/>
    <w:rsid w:val="00667DB9"/>
    <w:rsid w:val="0067011A"/>
    <w:rsid w:val="006702AC"/>
    <w:rsid w:val="00670550"/>
    <w:rsid w:val="006705C0"/>
    <w:rsid w:val="00670913"/>
    <w:rsid w:val="00672AAC"/>
    <w:rsid w:val="00672BD0"/>
    <w:rsid w:val="00673537"/>
    <w:rsid w:val="006746D4"/>
    <w:rsid w:val="006748D5"/>
    <w:rsid w:val="00674A78"/>
    <w:rsid w:val="00674B89"/>
    <w:rsid w:val="00674BD3"/>
    <w:rsid w:val="006754F4"/>
    <w:rsid w:val="00676904"/>
    <w:rsid w:val="00676956"/>
    <w:rsid w:val="00676F74"/>
    <w:rsid w:val="0067714E"/>
    <w:rsid w:val="00677F0B"/>
    <w:rsid w:val="00680551"/>
    <w:rsid w:val="006810EA"/>
    <w:rsid w:val="00682222"/>
    <w:rsid w:val="0068230E"/>
    <w:rsid w:val="0068258A"/>
    <w:rsid w:val="006842B3"/>
    <w:rsid w:val="00685309"/>
    <w:rsid w:val="00685BF6"/>
    <w:rsid w:val="00685C6C"/>
    <w:rsid w:val="00686971"/>
    <w:rsid w:val="0068755D"/>
    <w:rsid w:val="00687A7A"/>
    <w:rsid w:val="00687E92"/>
    <w:rsid w:val="00690DCE"/>
    <w:rsid w:val="00691A43"/>
    <w:rsid w:val="00691D12"/>
    <w:rsid w:val="00692226"/>
    <w:rsid w:val="00693C45"/>
    <w:rsid w:val="00694184"/>
    <w:rsid w:val="00694264"/>
    <w:rsid w:val="00694C07"/>
    <w:rsid w:val="00695991"/>
    <w:rsid w:val="00695C15"/>
    <w:rsid w:val="0069604D"/>
    <w:rsid w:val="0069621F"/>
    <w:rsid w:val="00696EE9"/>
    <w:rsid w:val="00697165"/>
    <w:rsid w:val="006A0F19"/>
    <w:rsid w:val="006A167B"/>
    <w:rsid w:val="006A1A83"/>
    <w:rsid w:val="006A2B20"/>
    <w:rsid w:val="006A33C3"/>
    <w:rsid w:val="006A3BBA"/>
    <w:rsid w:val="006A3EEA"/>
    <w:rsid w:val="006A42F8"/>
    <w:rsid w:val="006A46E3"/>
    <w:rsid w:val="006A5636"/>
    <w:rsid w:val="006A60EB"/>
    <w:rsid w:val="006A6903"/>
    <w:rsid w:val="006A6DB5"/>
    <w:rsid w:val="006A7273"/>
    <w:rsid w:val="006A77DF"/>
    <w:rsid w:val="006A7C2F"/>
    <w:rsid w:val="006B040E"/>
    <w:rsid w:val="006B10C6"/>
    <w:rsid w:val="006B1A6D"/>
    <w:rsid w:val="006B1D66"/>
    <w:rsid w:val="006B1DCC"/>
    <w:rsid w:val="006B2474"/>
    <w:rsid w:val="006B2616"/>
    <w:rsid w:val="006B2A5C"/>
    <w:rsid w:val="006B2B73"/>
    <w:rsid w:val="006B426D"/>
    <w:rsid w:val="006B4B26"/>
    <w:rsid w:val="006B4EF3"/>
    <w:rsid w:val="006B5AAF"/>
    <w:rsid w:val="006B6449"/>
    <w:rsid w:val="006B6CDD"/>
    <w:rsid w:val="006B776D"/>
    <w:rsid w:val="006B7DE6"/>
    <w:rsid w:val="006B7E72"/>
    <w:rsid w:val="006C1278"/>
    <w:rsid w:val="006C23F9"/>
    <w:rsid w:val="006C2DBC"/>
    <w:rsid w:val="006C3926"/>
    <w:rsid w:val="006C3B45"/>
    <w:rsid w:val="006C3DB1"/>
    <w:rsid w:val="006C425B"/>
    <w:rsid w:val="006C4724"/>
    <w:rsid w:val="006C4928"/>
    <w:rsid w:val="006C70B4"/>
    <w:rsid w:val="006C769C"/>
    <w:rsid w:val="006C7733"/>
    <w:rsid w:val="006C78EF"/>
    <w:rsid w:val="006C7D70"/>
    <w:rsid w:val="006D06A2"/>
    <w:rsid w:val="006D132C"/>
    <w:rsid w:val="006D180C"/>
    <w:rsid w:val="006D208A"/>
    <w:rsid w:val="006D26B9"/>
    <w:rsid w:val="006D2A37"/>
    <w:rsid w:val="006D2E63"/>
    <w:rsid w:val="006D311E"/>
    <w:rsid w:val="006D3492"/>
    <w:rsid w:val="006D38D3"/>
    <w:rsid w:val="006D39C1"/>
    <w:rsid w:val="006D41EC"/>
    <w:rsid w:val="006D420C"/>
    <w:rsid w:val="006D4578"/>
    <w:rsid w:val="006D4CA4"/>
    <w:rsid w:val="006D4DDC"/>
    <w:rsid w:val="006D6B94"/>
    <w:rsid w:val="006D7314"/>
    <w:rsid w:val="006D7989"/>
    <w:rsid w:val="006E022F"/>
    <w:rsid w:val="006E126E"/>
    <w:rsid w:val="006E2039"/>
    <w:rsid w:val="006E267D"/>
    <w:rsid w:val="006E31CB"/>
    <w:rsid w:val="006E3DE4"/>
    <w:rsid w:val="006E4300"/>
    <w:rsid w:val="006E4E4D"/>
    <w:rsid w:val="006E583F"/>
    <w:rsid w:val="006E5F7D"/>
    <w:rsid w:val="006E6B65"/>
    <w:rsid w:val="006E6C70"/>
    <w:rsid w:val="006E6CA9"/>
    <w:rsid w:val="006E6F2E"/>
    <w:rsid w:val="006E7399"/>
    <w:rsid w:val="006E7421"/>
    <w:rsid w:val="006E7BE6"/>
    <w:rsid w:val="006E7DA4"/>
    <w:rsid w:val="006F04B9"/>
    <w:rsid w:val="006F054C"/>
    <w:rsid w:val="006F22B2"/>
    <w:rsid w:val="006F2C37"/>
    <w:rsid w:val="006F406F"/>
    <w:rsid w:val="006F59FD"/>
    <w:rsid w:val="006F6F8D"/>
    <w:rsid w:val="007007A9"/>
    <w:rsid w:val="007009DC"/>
    <w:rsid w:val="00701000"/>
    <w:rsid w:val="007015E1"/>
    <w:rsid w:val="00701DAC"/>
    <w:rsid w:val="00701F39"/>
    <w:rsid w:val="00701FD4"/>
    <w:rsid w:val="0070370C"/>
    <w:rsid w:val="007039D0"/>
    <w:rsid w:val="00703C05"/>
    <w:rsid w:val="00703EBB"/>
    <w:rsid w:val="00704055"/>
    <w:rsid w:val="007040A2"/>
    <w:rsid w:val="007048AF"/>
    <w:rsid w:val="007055A1"/>
    <w:rsid w:val="00705F0A"/>
    <w:rsid w:val="007072E5"/>
    <w:rsid w:val="007079B0"/>
    <w:rsid w:val="00710044"/>
    <w:rsid w:val="00710626"/>
    <w:rsid w:val="00711B98"/>
    <w:rsid w:val="0071222F"/>
    <w:rsid w:val="00712A6D"/>
    <w:rsid w:val="00712CED"/>
    <w:rsid w:val="00713714"/>
    <w:rsid w:val="00713BF0"/>
    <w:rsid w:val="00713C7D"/>
    <w:rsid w:val="00713D64"/>
    <w:rsid w:val="00714203"/>
    <w:rsid w:val="00714D7C"/>
    <w:rsid w:val="00714F19"/>
    <w:rsid w:val="00714FB3"/>
    <w:rsid w:val="00715B0C"/>
    <w:rsid w:val="00715D2C"/>
    <w:rsid w:val="00716185"/>
    <w:rsid w:val="00716334"/>
    <w:rsid w:val="00716BDB"/>
    <w:rsid w:val="00716DD3"/>
    <w:rsid w:val="007172A8"/>
    <w:rsid w:val="007207E9"/>
    <w:rsid w:val="00720E54"/>
    <w:rsid w:val="00720F17"/>
    <w:rsid w:val="007216E2"/>
    <w:rsid w:val="00721B7F"/>
    <w:rsid w:val="00721BDB"/>
    <w:rsid w:val="00721D94"/>
    <w:rsid w:val="0072219B"/>
    <w:rsid w:val="007221F4"/>
    <w:rsid w:val="007225CB"/>
    <w:rsid w:val="00722B2C"/>
    <w:rsid w:val="00722BA0"/>
    <w:rsid w:val="00722C87"/>
    <w:rsid w:val="00722F54"/>
    <w:rsid w:val="007231E2"/>
    <w:rsid w:val="00723E01"/>
    <w:rsid w:val="00725566"/>
    <w:rsid w:val="007255F8"/>
    <w:rsid w:val="00725C02"/>
    <w:rsid w:val="00725C31"/>
    <w:rsid w:val="00725D5C"/>
    <w:rsid w:val="007262AF"/>
    <w:rsid w:val="007263D1"/>
    <w:rsid w:val="007265B3"/>
    <w:rsid w:val="00726CCB"/>
    <w:rsid w:val="00727202"/>
    <w:rsid w:val="00727D76"/>
    <w:rsid w:val="007302DC"/>
    <w:rsid w:val="007319E3"/>
    <w:rsid w:val="00733853"/>
    <w:rsid w:val="00733E0D"/>
    <w:rsid w:val="00734104"/>
    <w:rsid w:val="00734D75"/>
    <w:rsid w:val="007352AE"/>
    <w:rsid w:val="007358C4"/>
    <w:rsid w:val="00735D24"/>
    <w:rsid w:val="007361AC"/>
    <w:rsid w:val="007364DF"/>
    <w:rsid w:val="00737A53"/>
    <w:rsid w:val="00740965"/>
    <w:rsid w:val="00740D00"/>
    <w:rsid w:val="00741ADA"/>
    <w:rsid w:val="00741F54"/>
    <w:rsid w:val="00741F59"/>
    <w:rsid w:val="00742495"/>
    <w:rsid w:val="00742645"/>
    <w:rsid w:val="00742D37"/>
    <w:rsid w:val="00744033"/>
    <w:rsid w:val="0074508B"/>
    <w:rsid w:val="0074536A"/>
    <w:rsid w:val="00745C8B"/>
    <w:rsid w:val="00745CE5"/>
    <w:rsid w:val="00745D04"/>
    <w:rsid w:val="007461C0"/>
    <w:rsid w:val="007463EE"/>
    <w:rsid w:val="007468B2"/>
    <w:rsid w:val="00746B00"/>
    <w:rsid w:val="007473AE"/>
    <w:rsid w:val="007478A1"/>
    <w:rsid w:val="00747BD9"/>
    <w:rsid w:val="00747E6E"/>
    <w:rsid w:val="00747F44"/>
    <w:rsid w:val="007502AB"/>
    <w:rsid w:val="0075291E"/>
    <w:rsid w:val="00752B74"/>
    <w:rsid w:val="00752CFE"/>
    <w:rsid w:val="00753164"/>
    <w:rsid w:val="00753273"/>
    <w:rsid w:val="00753EED"/>
    <w:rsid w:val="007540C2"/>
    <w:rsid w:val="0075457B"/>
    <w:rsid w:val="00755978"/>
    <w:rsid w:val="00755994"/>
    <w:rsid w:val="00755C3E"/>
    <w:rsid w:val="00755E00"/>
    <w:rsid w:val="007565F0"/>
    <w:rsid w:val="0075763E"/>
    <w:rsid w:val="00757E5E"/>
    <w:rsid w:val="00757F19"/>
    <w:rsid w:val="00760165"/>
    <w:rsid w:val="007605A6"/>
    <w:rsid w:val="00761056"/>
    <w:rsid w:val="007614AA"/>
    <w:rsid w:val="00761ABC"/>
    <w:rsid w:val="007625E6"/>
    <w:rsid w:val="00762772"/>
    <w:rsid w:val="007633D5"/>
    <w:rsid w:val="00764222"/>
    <w:rsid w:val="007646F5"/>
    <w:rsid w:val="00765076"/>
    <w:rsid w:val="00765275"/>
    <w:rsid w:val="00765277"/>
    <w:rsid w:val="007653C0"/>
    <w:rsid w:val="007658E5"/>
    <w:rsid w:val="00765E38"/>
    <w:rsid w:val="007661DF"/>
    <w:rsid w:val="00766281"/>
    <w:rsid w:val="007665DE"/>
    <w:rsid w:val="00766F13"/>
    <w:rsid w:val="007670D8"/>
    <w:rsid w:val="007674FB"/>
    <w:rsid w:val="00767E90"/>
    <w:rsid w:val="0077002D"/>
    <w:rsid w:val="00770716"/>
    <w:rsid w:val="0077095E"/>
    <w:rsid w:val="0077102C"/>
    <w:rsid w:val="007712AC"/>
    <w:rsid w:val="007714F6"/>
    <w:rsid w:val="00771823"/>
    <w:rsid w:val="00771A25"/>
    <w:rsid w:val="00771D5D"/>
    <w:rsid w:val="00771F57"/>
    <w:rsid w:val="00771FD5"/>
    <w:rsid w:val="00771FFE"/>
    <w:rsid w:val="00772EED"/>
    <w:rsid w:val="00773F25"/>
    <w:rsid w:val="00774D1B"/>
    <w:rsid w:val="00774E0E"/>
    <w:rsid w:val="00775216"/>
    <w:rsid w:val="007753F2"/>
    <w:rsid w:val="00775432"/>
    <w:rsid w:val="007767FF"/>
    <w:rsid w:val="00776B11"/>
    <w:rsid w:val="00776DA5"/>
    <w:rsid w:val="00777719"/>
    <w:rsid w:val="007777C9"/>
    <w:rsid w:val="00777908"/>
    <w:rsid w:val="00777B68"/>
    <w:rsid w:val="00780162"/>
    <w:rsid w:val="0078210B"/>
    <w:rsid w:val="00782A72"/>
    <w:rsid w:val="00782E8E"/>
    <w:rsid w:val="00783158"/>
    <w:rsid w:val="00784904"/>
    <w:rsid w:val="007858F6"/>
    <w:rsid w:val="00786419"/>
    <w:rsid w:val="007876DC"/>
    <w:rsid w:val="00787E49"/>
    <w:rsid w:val="00790EE1"/>
    <w:rsid w:val="00790F10"/>
    <w:rsid w:val="007925C4"/>
    <w:rsid w:val="00792C5C"/>
    <w:rsid w:val="007938D9"/>
    <w:rsid w:val="00794475"/>
    <w:rsid w:val="00794A70"/>
    <w:rsid w:val="007950E9"/>
    <w:rsid w:val="00795112"/>
    <w:rsid w:val="007956A3"/>
    <w:rsid w:val="00795702"/>
    <w:rsid w:val="00795C67"/>
    <w:rsid w:val="0079643D"/>
    <w:rsid w:val="0079734F"/>
    <w:rsid w:val="00797BF8"/>
    <w:rsid w:val="00797FF9"/>
    <w:rsid w:val="007A08DD"/>
    <w:rsid w:val="007A15D2"/>
    <w:rsid w:val="007A2381"/>
    <w:rsid w:val="007A2AD2"/>
    <w:rsid w:val="007A2CD6"/>
    <w:rsid w:val="007A2E6B"/>
    <w:rsid w:val="007A42E2"/>
    <w:rsid w:val="007A4636"/>
    <w:rsid w:val="007A485E"/>
    <w:rsid w:val="007A511E"/>
    <w:rsid w:val="007A5B53"/>
    <w:rsid w:val="007A5EEA"/>
    <w:rsid w:val="007A67C1"/>
    <w:rsid w:val="007A6E1A"/>
    <w:rsid w:val="007A7E2C"/>
    <w:rsid w:val="007A7EE3"/>
    <w:rsid w:val="007B01F0"/>
    <w:rsid w:val="007B0440"/>
    <w:rsid w:val="007B0D42"/>
    <w:rsid w:val="007B0FD5"/>
    <w:rsid w:val="007B10A4"/>
    <w:rsid w:val="007B1DFF"/>
    <w:rsid w:val="007B22E7"/>
    <w:rsid w:val="007B3D7B"/>
    <w:rsid w:val="007B5609"/>
    <w:rsid w:val="007B5F76"/>
    <w:rsid w:val="007B67FA"/>
    <w:rsid w:val="007B6BAD"/>
    <w:rsid w:val="007B6C20"/>
    <w:rsid w:val="007C177C"/>
    <w:rsid w:val="007C19EE"/>
    <w:rsid w:val="007C1F5A"/>
    <w:rsid w:val="007C22A8"/>
    <w:rsid w:val="007C2C72"/>
    <w:rsid w:val="007C2DEE"/>
    <w:rsid w:val="007C3344"/>
    <w:rsid w:val="007C3EA7"/>
    <w:rsid w:val="007C4A1B"/>
    <w:rsid w:val="007C4BCC"/>
    <w:rsid w:val="007C527E"/>
    <w:rsid w:val="007C52CB"/>
    <w:rsid w:val="007C5595"/>
    <w:rsid w:val="007C5A4D"/>
    <w:rsid w:val="007C69DB"/>
    <w:rsid w:val="007C7217"/>
    <w:rsid w:val="007C74B7"/>
    <w:rsid w:val="007C755D"/>
    <w:rsid w:val="007D022D"/>
    <w:rsid w:val="007D0F57"/>
    <w:rsid w:val="007D0FB6"/>
    <w:rsid w:val="007D16B0"/>
    <w:rsid w:val="007D177D"/>
    <w:rsid w:val="007D1C40"/>
    <w:rsid w:val="007D242F"/>
    <w:rsid w:val="007D3F9C"/>
    <w:rsid w:val="007D421D"/>
    <w:rsid w:val="007D45BB"/>
    <w:rsid w:val="007D5264"/>
    <w:rsid w:val="007D58EA"/>
    <w:rsid w:val="007D5B46"/>
    <w:rsid w:val="007D6A2B"/>
    <w:rsid w:val="007D6D0C"/>
    <w:rsid w:val="007D7492"/>
    <w:rsid w:val="007D7907"/>
    <w:rsid w:val="007D7ADD"/>
    <w:rsid w:val="007D7E0C"/>
    <w:rsid w:val="007E0637"/>
    <w:rsid w:val="007E072F"/>
    <w:rsid w:val="007E0D0F"/>
    <w:rsid w:val="007E10F5"/>
    <w:rsid w:val="007E1C62"/>
    <w:rsid w:val="007E1ED5"/>
    <w:rsid w:val="007E251A"/>
    <w:rsid w:val="007E2598"/>
    <w:rsid w:val="007E355A"/>
    <w:rsid w:val="007E36EF"/>
    <w:rsid w:val="007E447F"/>
    <w:rsid w:val="007E4A8D"/>
    <w:rsid w:val="007E4C7E"/>
    <w:rsid w:val="007E4F13"/>
    <w:rsid w:val="007E5288"/>
    <w:rsid w:val="007E55B9"/>
    <w:rsid w:val="007E562F"/>
    <w:rsid w:val="007E704E"/>
    <w:rsid w:val="007E7156"/>
    <w:rsid w:val="007E74F1"/>
    <w:rsid w:val="007F0021"/>
    <w:rsid w:val="007F07C5"/>
    <w:rsid w:val="007F1872"/>
    <w:rsid w:val="007F32F2"/>
    <w:rsid w:val="007F3868"/>
    <w:rsid w:val="007F3F99"/>
    <w:rsid w:val="007F4AD2"/>
    <w:rsid w:val="007F4B95"/>
    <w:rsid w:val="007F4C82"/>
    <w:rsid w:val="007F4EF8"/>
    <w:rsid w:val="007F5DBE"/>
    <w:rsid w:val="007F6871"/>
    <w:rsid w:val="007F69AB"/>
    <w:rsid w:val="007F6A94"/>
    <w:rsid w:val="007F6EE8"/>
    <w:rsid w:val="007F74C1"/>
    <w:rsid w:val="008014D0"/>
    <w:rsid w:val="008017D1"/>
    <w:rsid w:val="00801B23"/>
    <w:rsid w:val="00801DA2"/>
    <w:rsid w:val="00802630"/>
    <w:rsid w:val="00802B13"/>
    <w:rsid w:val="00804615"/>
    <w:rsid w:val="00804D3F"/>
    <w:rsid w:val="00805BD7"/>
    <w:rsid w:val="00805C68"/>
    <w:rsid w:val="008061E0"/>
    <w:rsid w:val="00806351"/>
    <w:rsid w:val="008068C1"/>
    <w:rsid w:val="00807931"/>
    <w:rsid w:val="00807DD1"/>
    <w:rsid w:val="008111B2"/>
    <w:rsid w:val="00812558"/>
    <w:rsid w:val="008137E4"/>
    <w:rsid w:val="00813D11"/>
    <w:rsid w:val="00814AE4"/>
    <w:rsid w:val="00814DFA"/>
    <w:rsid w:val="00815032"/>
    <w:rsid w:val="0081628A"/>
    <w:rsid w:val="00816619"/>
    <w:rsid w:val="0081665C"/>
    <w:rsid w:val="00816F46"/>
    <w:rsid w:val="00817778"/>
    <w:rsid w:val="00817C6E"/>
    <w:rsid w:val="00820351"/>
    <w:rsid w:val="00820809"/>
    <w:rsid w:val="008208CE"/>
    <w:rsid w:val="00820A9A"/>
    <w:rsid w:val="00820C31"/>
    <w:rsid w:val="00820CD0"/>
    <w:rsid w:val="0082100F"/>
    <w:rsid w:val="00822504"/>
    <w:rsid w:val="00822706"/>
    <w:rsid w:val="008231E5"/>
    <w:rsid w:val="00823AEA"/>
    <w:rsid w:val="00824063"/>
    <w:rsid w:val="00825597"/>
    <w:rsid w:val="00827088"/>
    <w:rsid w:val="00827840"/>
    <w:rsid w:val="00827C7B"/>
    <w:rsid w:val="00830293"/>
    <w:rsid w:val="00830E7C"/>
    <w:rsid w:val="00832ACA"/>
    <w:rsid w:val="00832EC9"/>
    <w:rsid w:val="00832FB9"/>
    <w:rsid w:val="008335AE"/>
    <w:rsid w:val="00833A33"/>
    <w:rsid w:val="00834950"/>
    <w:rsid w:val="00835BEE"/>
    <w:rsid w:val="008369AE"/>
    <w:rsid w:val="00836D89"/>
    <w:rsid w:val="008371E3"/>
    <w:rsid w:val="00837AF4"/>
    <w:rsid w:val="0084015C"/>
    <w:rsid w:val="00840C76"/>
    <w:rsid w:val="00841A17"/>
    <w:rsid w:val="008425D4"/>
    <w:rsid w:val="008433CD"/>
    <w:rsid w:val="00843F16"/>
    <w:rsid w:val="00844158"/>
    <w:rsid w:val="0084488E"/>
    <w:rsid w:val="00845523"/>
    <w:rsid w:val="00845FA1"/>
    <w:rsid w:val="00846148"/>
    <w:rsid w:val="008466D7"/>
    <w:rsid w:val="0084682F"/>
    <w:rsid w:val="00847C9D"/>
    <w:rsid w:val="00850A88"/>
    <w:rsid w:val="00850E8A"/>
    <w:rsid w:val="0085127D"/>
    <w:rsid w:val="008513E7"/>
    <w:rsid w:val="008519D2"/>
    <w:rsid w:val="00851AFC"/>
    <w:rsid w:val="00851D87"/>
    <w:rsid w:val="00851EDD"/>
    <w:rsid w:val="00851F04"/>
    <w:rsid w:val="00852826"/>
    <w:rsid w:val="00852A7F"/>
    <w:rsid w:val="00852CF6"/>
    <w:rsid w:val="00852DE4"/>
    <w:rsid w:val="008531DE"/>
    <w:rsid w:val="00853200"/>
    <w:rsid w:val="0085385C"/>
    <w:rsid w:val="00853E5C"/>
    <w:rsid w:val="00853F31"/>
    <w:rsid w:val="00855072"/>
    <w:rsid w:val="0085648B"/>
    <w:rsid w:val="008564C8"/>
    <w:rsid w:val="008571FE"/>
    <w:rsid w:val="00857711"/>
    <w:rsid w:val="00857B87"/>
    <w:rsid w:val="00857F62"/>
    <w:rsid w:val="008604E9"/>
    <w:rsid w:val="008605E4"/>
    <w:rsid w:val="008608A7"/>
    <w:rsid w:val="0086169E"/>
    <w:rsid w:val="0086233F"/>
    <w:rsid w:val="008636D1"/>
    <w:rsid w:val="008637D6"/>
    <w:rsid w:val="008657B0"/>
    <w:rsid w:val="00866C40"/>
    <w:rsid w:val="00866E8B"/>
    <w:rsid w:val="008672E9"/>
    <w:rsid w:val="00867E38"/>
    <w:rsid w:val="00870112"/>
    <w:rsid w:val="0087044E"/>
    <w:rsid w:val="00870A48"/>
    <w:rsid w:val="00871AE1"/>
    <w:rsid w:val="00871DC7"/>
    <w:rsid w:val="00872F3E"/>
    <w:rsid w:val="0087369A"/>
    <w:rsid w:val="008739BE"/>
    <w:rsid w:val="00873A1C"/>
    <w:rsid w:val="00873EC8"/>
    <w:rsid w:val="008742FF"/>
    <w:rsid w:val="00874E97"/>
    <w:rsid w:val="008754F7"/>
    <w:rsid w:val="0087684E"/>
    <w:rsid w:val="00876BEE"/>
    <w:rsid w:val="00876F92"/>
    <w:rsid w:val="0087780E"/>
    <w:rsid w:val="00877AA3"/>
    <w:rsid w:val="00877E9A"/>
    <w:rsid w:val="00881EE9"/>
    <w:rsid w:val="008826F3"/>
    <w:rsid w:val="00883392"/>
    <w:rsid w:val="0088384D"/>
    <w:rsid w:val="008844FE"/>
    <w:rsid w:val="00884B50"/>
    <w:rsid w:val="008851BE"/>
    <w:rsid w:val="00885B9F"/>
    <w:rsid w:val="00886B39"/>
    <w:rsid w:val="00886E83"/>
    <w:rsid w:val="00886FFD"/>
    <w:rsid w:val="008874D7"/>
    <w:rsid w:val="0089080F"/>
    <w:rsid w:val="00890BAB"/>
    <w:rsid w:val="00890D66"/>
    <w:rsid w:val="00890D71"/>
    <w:rsid w:val="008924DC"/>
    <w:rsid w:val="008929F6"/>
    <w:rsid w:val="00892F0B"/>
    <w:rsid w:val="008931A5"/>
    <w:rsid w:val="00894129"/>
    <w:rsid w:val="008944F8"/>
    <w:rsid w:val="0089624A"/>
    <w:rsid w:val="0089653B"/>
    <w:rsid w:val="008A0310"/>
    <w:rsid w:val="008A055A"/>
    <w:rsid w:val="008A06AB"/>
    <w:rsid w:val="008A199A"/>
    <w:rsid w:val="008A2694"/>
    <w:rsid w:val="008A2846"/>
    <w:rsid w:val="008A2EE9"/>
    <w:rsid w:val="008A3181"/>
    <w:rsid w:val="008A3F47"/>
    <w:rsid w:val="008A44BC"/>
    <w:rsid w:val="008A4789"/>
    <w:rsid w:val="008A5303"/>
    <w:rsid w:val="008A5461"/>
    <w:rsid w:val="008A56BD"/>
    <w:rsid w:val="008A5B66"/>
    <w:rsid w:val="008A6067"/>
    <w:rsid w:val="008A65E3"/>
    <w:rsid w:val="008A688B"/>
    <w:rsid w:val="008A7353"/>
    <w:rsid w:val="008A7789"/>
    <w:rsid w:val="008A7A19"/>
    <w:rsid w:val="008A7C87"/>
    <w:rsid w:val="008A7F44"/>
    <w:rsid w:val="008B018A"/>
    <w:rsid w:val="008B0720"/>
    <w:rsid w:val="008B18ED"/>
    <w:rsid w:val="008B20DA"/>
    <w:rsid w:val="008B27DF"/>
    <w:rsid w:val="008B28C2"/>
    <w:rsid w:val="008B2C04"/>
    <w:rsid w:val="008B2D66"/>
    <w:rsid w:val="008B2E3D"/>
    <w:rsid w:val="008B33BD"/>
    <w:rsid w:val="008B4A90"/>
    <w:rsid w:val="008B5393"/>
    <w:rsid w:val="008B565B"/>
    <w:rsid w:val="008B57E6"/>
    <w:rsid w:val="008B5961"/>
    <w:rsid w:val="008B59E2"/>
    <w:rsid w:val="008B6223"/>
    <w:rsid w:val="008B6AF4"/>
    <w:rsid w:val="008B6C32"/>
    <w:rsid w:val="008B6EF1"/>
    <w:rsid w:val="008B716C"/>
    <w:rsid w:val="008C01B4"/>
    <w:rsid w:val="008C0B03"/>
    <w:rsid w:val="008C0BE2"/>
    <w:rsid w:val="008C19E0"/>
    <w:rsid w:val="008C25B8"/>
    <w:rsid w:val="008C2AF3"/>
    <w:rsid w:val="008C2B36"/>
    <w:rsid w:val="008C32E1"/>
    <w:rsid w:val="008C3B47"/>
    <w:rsid w:val="008C3ED1"/>
    <w:rsid w:val="008C54E6"/>
    <w:rsid w:val="008C56B8"/>
    <w:rsid w:val="008C648E"/>
    <w:rsid w:val="008C6563"/>
    <w:rsid w:val="008C6683"/>
    <w:rsid w:val="008C7574"/>
    <w:rsid w:val="008C75E4"/>
    <w:rsid w:val="008C7883"/>
    <w:rsid w:val="008D09E8"/>
    <w:rsid w:val="008D0FD6"/>
    <w:rsid w:val="008D13A1"/>
    <w:rsid w:val="008D197B"/>
    <w:rsid w:val="008D1BBF"/>
    <w:rsid w:val="008D2569"/>
    <w:rsid w:val="008D25FE"/>
    <w:rsid w:val="008D2C6D"/>
    <w:rsid w:val="008D2E4E"/>
    <w:rsid w:val="008D302A"/>
    <w:rsid w:val="008D3CFF"/>
    <w:rsid w:val="008D3D40"/>
    <w:rsid w:val="008D4677"/>
    <w:rsid w:val="008D53A3"/>
    <w:rsid w:val="008D5563"/>
    <w:rsid w:val="008D6BC6"/>
    <w:rsid w:val="008D6DF7"/>
    <w:rsid w:val="008D74B9"/>
    <w:rsid w:val="008E1AF9"/>
    <w:rsid w:val="008E2370"/>
    <w:rsid w:val="008E28FA"/>
    <w:rsid w:val="008E2B7A"/>
    <w:rsid w:val="008E31DD"/>
    <w:rsid w:val="008E3C0C"/>
    <w:rsid w:val="008E3DED"/>
    <w:rsid w:val="008E44EF"/>
    <w:rsid w:val="008E4A27"/>
    <w:rsid w:val="008E4AFB"/>
    <w:rsid w:val="008E534E"/>
    <w:rsid w:val="008E554A"/>
    <w:rsid w:val="008E5AE1"/>
    <w:rsid w:val="008E6276"/>
    <w:rsid w:val="008E63B8"/>
    <w:rsid w:val="008E6DB6"/>
    <w:rsid w:val="008E735A"/>
    <w:rsid w:val="008E7AFF"/>
    <w:rsid w:val="008F07C4"/>
    <w:rsid w:val="008F0820"/>
    <w:rsid w:val="008F0A30"/>
    <w:rsid w:val="008F16ED"/>
    <w:rsid w:val="008F2528"/>
    <w:rsid w:val="008F3223"/>
    <w:rsid w:val="008F3263"/>
    <w:rsid w:val="008F367C"/>
    <w:rsid w:val="008F3CE7"/>
    <w:rsid w:val="008F3ED0"/>
    <w:rsid w:val="008F53C3"/>
    <w:rsid w:val="008F6D24"/>
    <w:rsid w:val="008F7410"/>
    <w:rsid w:val="008F75D7"/>
    <w:rsid w:val="008F75DB"/>
    <w:rsid w:val="008F7DFF"/>
    <w:rsid w:val="00900141"/>
    <w:rsid w:val="009002FE"/>
    <w:rsid w:val="00900E5C"/>
    <w:rsid w:val="00901A01"/>
    <w:rsid w:val="00901DD2"/>
    <w:rsid w:val="00901E56"/>
    <w:rsid w:val="0090203F"/>
    <w:rsid w:val="009023C8"/>
    <w:rsid w:val="0090269E"/>
    <w:rsid w:val="00902BC6"/>
    <w:rsid w:val="009033C0"/>
    <w:rsid w:val="00903BF3"/>
    <w:rsid w:val="00904A41"/>
    <w:rsid w:val="00904C64"/>
    <w:rsid w:val="00905279"/>
    <w:rsid w:val="00905827"/>
    <w:rsid w:val="00905C24"/>
    <w:rsid w:val="00906775"/>
    <w:rsid w:val="00906BB6"/>
    <w:rsid w:val="00907A79"/>
    <w:rsid w:val="00907DE5"/>
    <w:rsid w:val="0091161A"/>
    <w:rsid w:val="009118DF"/>
    <w:rsid w:val="00911CE3"/>
    <w:rsid w:val="00911D14"/>
    <w:rsid w:val="00912224"/>
    <w:rsid w:val="00912539"/>
    <w:rsid w:val="009128E0"/>
    <w:rsid w:val="00912E7A"/>
    <w:rsid w:val="0091301A"/>
    <w:rsid w:val="009130FC"/>
    <w:rsid w:val="0091489D"/>
    <w:rsid w:val="00914934"/>
    <w:rsid w:val="00914DB2"/>
    <w:rsid w:val="00914EC6"/>
    <w:rsid w:val="00915B1F"/>
    <w:rsid w:val="00916049"/>
    <w:rsid w:val="009166EE"/>
    <w:rsid w:val="0091690E"/>
    <w:rsid w:val="00917329"/>
    <w:rsid w:val="00917563"/>
    <w:rsid w:val="00920F08"/>
    <w:rsid w:val="00921EBF"/>
    <w:rsid w:val="00922887"/>
    <w:rsid w:val="00922AE8"/>
    <w:rsid w:val="00922B22"/>
    <w:rsid w:val="00922C83"/>
    <w:rsid w:val="00922DCD"/>
    <w:rsid w:val="009230F0"/>
    <w:rsid w:val="00923820"/>
    <w:rsid w:val="00925EDB"/>
    <w:rsid w:val="00926094"/>
    <w:rsid w:val="009261A4"/>
    <w:rsid w:val="009268CB"/>
    <w:rsid w:val="00927330"/>
    <w:rsid w:val="009273ED"/>
    <w:rsid w:val="009277B4"/>
    <w:rsid w:val="009279FF"/>
    <w:rsid w:val="00927C0F"/>
    <w:rsid w:val="00927DCC"/>
    <w:rsid w:val="00930806"/>
    <w:rsid w:val="00930B52"/>
    <w:rsid w:val="009335E9"/>
    <w:rsid w:val="00933F9D"/>
    <w:rsid w:val="00934749"/>
    <w:rsid w:val="00935061"/>
    <w:rsid w:val="00935122"/>
    <w:rsid w:val="0093514D"/>
    <w:rsid w:val="0093559E"/>
    <w:rsid w:val="00936508"/>
    <w:rsid w:val="009366F4"/>
    <w:rsid w:val="009368D5"/>
    <w:rsid w:val="0093696D"/>
    <w:rsid w:val="00936B94"/>
    <w:rsid w:val="00936EE9"/>
    <w:rsid w:val="00936EFC"/>
    <w:rsid w:val="00937216"/>
    <w:rsid w:val="00937C70"/>
    <w:rsid w:val="009412A2"/>
    <w:rsid w:val="009413D0"/>
    <w:rsid w:val="009415E1"/>
    <w:rsid w:val="00941E4A"/>
    <w:rsid w:val="00941F07"/>
    <w:rsid w:val="00942570"/>
    <w:rsid w:val="00942E5F"/>
    <w:rsid w:val="0094386F"/>
    <w:rsid w:val="009439F7"/>
    <w:rsid w:val="00943AB4"/>
    <w:rsid w:val="00943CF3"/>
    <w:rsid w:val="0094421F"/>
    <w:rsid w:val="009444EA"/>
    <w:rsid w:val="0094454F"/>
    <w:rsid w:val="00944798"/>
    <w:rsid w:val="00944A10"/>
    <w:rsid w:val="00944AFD"/>
    <w:rsid w:val="009460F8"/>
    <w:rsid w:val="009465A9"/>
    <w:rsid w:val="00950999"/>
    <w:rsid w:val="00950AE8"/>
    <w:rsid w:val="00950D53"/>
    <w:rsid w:val="00950DC1"/>
    <w:rsid w:val="00952535"/>
    <w:rsid w:val="00953230"/>
    <w:rsid w:val="00955A11"/>
    <w:rsid w:val="00955C33"/>
    <w:rsid w:val="00956847"/>
    <w:rsid w:val="00956984"/>
    <w:rsid w:val="00957B71"/>
    <w:rsid w:val="00957C58"/>
    <w:rsid w:val="00961410"/>
    <w:rsid w:val="009616F9"/>
    <w:rsid w:val="00962145"/>
    <w:rsid w:val="009630DF"/>
    <w:rsid w:val="00965588"/>
    <w:rsid w:val="00965BC4"/>
    <w:rsid w:val="009663A2"/>
    <w:rsid w:val="0096694C"/>
    <w:rsid w:val="00967429"/>
    <w:rsid w:val="0097021A"/>
    <w:rsid w:val="009712BA"/>
    <w:rsid w:val="009712C3"/>
    <w:rsid w:val="009716C8"/>
    <w:rsid w:val="00971E11"/>
    <w:rsid w:val="009726FA"/>
    <w:rsid w:val="0097314A"/>
    <w:rsid w:val="00973425"/>
    <w:rsid w:val="00974905"/>
    <w:rsid w:val="009750DE"/>
    <w:rsid w:val="009755C1"/>
    <w:rsid w:val="009763E1"/>
    <w:rsid w:val="00976DF0"/>
    <w:rsid w:val="009773E9"/>
    <w:rsid w:val="009804D0"/>
    <w:rsid w:val="00980914"/>
    <w:rsid w:val="00980C18"/>
    <w:rsid w:val="00980E48"/>
    <w:rsid w:val="00980F62"/>
    <w:rsid w:val="0098132F"/>
    <w:rsid w:val="00981C6C"/>
    <w:rsid w:val="00981E3B"/>
    <w:rsid w:val="00982B9B"/>
    <w:rsid w:val="00984048"/>
    <w:rsid w:val="0098406C"/>
    <w:rsid w:val="00984FFE"/>
    <w:rsid w:val="00985B88"/>
    <w:rsid w:val="009864EB"/>
    <w:rsid w:val="0098662E"/>
    <w:rsid w:val="00986A8D"/>
    <w:rsid w:val="009871CE"/>
    <w:rsid w:val="00987286"/>
    <w:rsid w:val="00987804"/>
    <w:rsid w:val="00987D6A"/>
    <w:rsid w:val="00987FFB"/>
    <w:rsid w:val="009900EC"/>
    <w:rsid w:val="00990333"/>
    <w:rsid w:val="00991A10"/>
    <w:rsid w:val="00991A3E"/>
    <w:rsid w:val="00991EC6"/>
    <w:rsid w:val="009925BD"/>
    <w:rsid w:val="0099288C"/>
    <w:rsid w:val="00993336"/>
    <w:rsid w:val="0099383C"/>
    <w:rsid w:val="00993887"/>
    <w:rsid w:val="00993B74"/>
    <w:rsid w:val="00994D2A"/>
    <w:rsid w:val="009952FE"/>
    <w:rsid w:val="009956D0"/>
    <w:rsid w:val="00996508"/>
    <w:rsid w:val="00996D38"/>
    <w:rsid w:val="00996F3B"/>
    <w:rsid w:val="009970AD"/>
    <w:rsid w:val="00997688"/>
    <w:rsid w:val="00997755"/>
    <w:rsid w:val="00997895"/>
    <w:rsid w:val="009A06A2"/>
    <w:rsid w:val="009A0A53"/>
    <w:rsid w:val="009A0EC3"/>
    <w:rsid w:val="009A2F5B"/>
    <w:rsid w:val="009A32B9"/>
    <w:rsid w:val="009A3877"/>
    <w:rsid w:val="009A3B2D"/>
    <w:rsid w:val="009A3C02"/>
    <w:rsid w:val="009A3D81"/>
    <w:rsid w:val="009A3E31"/>
    <w:rsid w:val="009A51D7"/>
    <w:rsid w:val="009A5AF6"/>
    <w:rsid w:val="009A69C7"/>
    <w:rsid w:val="009A7393"/>
    <w:rsid w:val="009A77CD"/>
    <w:rsid w:val="009A77F5"/>
    <w:rsid w:val="009B02B3"/>
    <w:rsid w:val="009B0820"/>
    <w:rsid w:val="009B0E3E"/>
    <w:rsid w:val="009B2667"/>
    <w:rsid w:val="009B2FDB"/>
    <w:rsid w:val="009B36BE"/>
    <w:rsid w:val="009B3D13"/>
    <w:rsid w:val="009B4BC4"/>
    <w:rsid w:val="009B5708"/>
    <w:rsid w:val="009B6F36"/>
    <w:rsid w:val="009B772F"/>
    <w:rsid w:val="009B7E67"/>
    <w:rsid w:val="009B7EF4"/>
    <w:rsid w:val="009C059E"/>
    <w:rsid w:val="009C0B80"/>
    <w:rsid w:val="009C12B2"/>
    <w:rsid w:val="009C1923"/>
    <w:rsid w:val="009C263F"/>
    <w:rsid w:val="009C2674"/>
    <w:rsid w:val="009C27DC"/>
    <w:rsid w:val="009C2B91"/>
    <w:rsid w:val="009C3521"/>
    <w:rsid w:val="009C4383"/>
    <w:rsid w:val="009C4538"/>
    <w:rsid w:val="009C52BF"/>
    <w:rsid w:val="009C550B"/>
    <w:rsid w:val="009C5CE3"/>
    <w:rsid w:val="009C5DEA"/>
    <w:rsid w:val="009C625E"/>
    <w:rsid w:val="009C70D7"/>
    <w:rsid w:val="009C7CD7"/>
    <w:rsid w:val="009C7E6B"/>
    <w:rsid w:val="009D1800"/>
    <w:rsid w:val="009D26C7"/>
    <w:rsid w:val="009D2FFF"/>
    <w:rsid w:val="009D3022"/>
    <w:rsid w:val="009D3985"/>
    <w:rsid w:val="009D42A7"/>
    <w:rsid w:val="009D4600"/>
    <w:rsid w:val="009D4652"/>
    <w:rsid w:val="009D49A1"/>
    <w:rsid w:val="009D5377"/>
    <w:rsid w:val="009D550E"/>
    <w:rsid w:val="009D5510"/>
    <w:rsid w:val="009D5C9D"/>
    <w:rsid w:val="009D5E92"/>
    <w:rsid w:val="009D66CB"/>
    <w:rsid w:val="009D67E3"/>
    <w:rsid w:val="009D7779"/>
    <w:rsid w:val="009D7BA9"/>
    <w:rsid w:val="009D7C75"/>
    <w:rsid w:val="009D7D02"/>
    <w:rsid w:val="009E0B38"/>
    <w:rsid w:val="009E0E70"/>
    <w:rsid w:val="009E1141"/>
    <w:rsid w:val="009E1794"/>
    <w:rsid w:val="009E17EC"/>
    <w:rsid w:val="009E1CDB"/>
    <w:rsid w:val="009E273E"/>
    <w:rsid w:val="009E2B7A"/>
    <w:rsid w:val="009E3661"/>
    <w:rsid w:val="009E40DF"/>
    <w:rsid w:val="009E42A6"/>
    <w:rsid w:val="009E4ACB"/>
    <w:rsid w:val="009E5B1E"/>
    <w:rsid w:val="009E5B7A"/>
    <w:rsid w:val="009E5F43"/>
    <w:rsid w:val="009E6118"/>
    <w:rsid w:val="009E680E"/>
    <w:rsid w:val="009E6AAD"/>
    <w:rsid w:val="009E6AC2"/>
    <w:rsid w:val="009E6BD7"/>
    <w:rsid w:val="009E7030"/>
    <w:rsid w:val="009E70A8"/>
    <w:rsid w:val="009E7424"/>
    <w:rsid w:val="009E78A6"/>
    <w:rsid w:val="009F042B"/>
    <w:rsid w:val="009F18BB"/>
    <w:rsid w:val="009F21A5"/>
    <w:rsid w:val="009F2601"/>
    <w:rsid w:val="009F3266"/>
    <w:rsid w:val="009F3965"/>
    <w:rsid w:val="009F3F5F"/>
    <w:rsid w:val="009F4583"/>
    <w:rsid w:val="009F5425"/>
    <w:rsid w:val="009F5BA7"/>
    <w:rsid w:val="009F5EA9"/>
    <w:rsid w:val="009F659E"/>
    <w:rsid w:val="009F74A9"/>
    <w:rsid w:val="00A0005D"/>
    <w:rsid w:val="00A003A8"/>
    <w:rsid w:val="00A00401"/>
    <w:rsid w:val="00A00528"/>
    <w:rsid w:val="00A00872"/>
    <w:rsid w:val="00A00BB9"/>
    <w:rsid w:val="00A01FCE"/>
    <w:rsid w:val="00A02006"/>
    <w:rsid w:val="00A03123"/>
    <w:rsid w:val="00A041FF"/>
    <w:rsid w:val="00A04A2A"/>
    <w:rsid w:val="00A06603"/>
    <w:rsid w:val="00A06BE2"/>
    <w:rsid w:val="00A06EB2"/>
    <w:rsid w:val="00A07387"/>
    <w:rsid w:val="00A0757F"/>
    <w:rsid w:val="00A10543"/>
    <w:rsid w:val="00A10840"/>
    <w:rsid w:val="00A11491"/>
    <w:rsid w:val="00A11F66"/>
    <w:rsid w:val="00A12258"/>
    <w:rsid w:val="00A123B1"/>
    <w:rsid w:val="00A12580"/>
    <w:rsid w:val="00A12C83"/>
    <w:rsid w:val="00A1315B"/>
    <w:rsid w:val="00A13420"/>
    <w:rsid w:val="00A13AE1"/>
    <w:rsid w:val="00A13BE9"/>
    <w:rsid w:val="00A13D62"/>
    <w:rsid w:val="00A1452A"/>
    <w:rsid w:val="00A14B97"/>
    <w:rsid w:val="00A14BC4"/>
    <w:rsid w:val="00A15522"/>
    <w:rsid w:val="00A1597A"/>
    <w:rsid w:val="00A15A1C"/>
    <w:rsid w:val="00A15E98"/>
    <w:rsid w:val="00A161A3"/>
    <w:rsid w:val="00A17DF9"/>
    <w:rsid w:val="00A2007C"/>
    <w:rsid w:val="00A202DE"/>
    <w:rsid w:val="00A20BB1"/>
    <w:rsid w:val="00A21396"/>
    <w:rsid w:val="00A21772"/>
    <w:rsid w:val="00A22078"/>
    <w:rsid w:val="00A225FC"/>
    <w:rsid w:val="00A22A77"/>
    <w:rsid w:val="00A23002"/>
    <w:rsid w:val="00A235AE"/>
    <w:rsid w:val="00A23795"/>
    <w:rsid w:val="00A23B01"/>
    <w:rsid w:val="00A23CE3"/>
    <w:rsid w:val="00A24376"/>
    <w:rsid w:val="00A244CC"/>
    <w:rsid w:val="00A24AEE"/>
    <w:rsid w:val="00A25EF6"/>
    <w:rsid w:val="00A26076"/>
    <w:rsid w:val="00A263AD"/>
    <w:rsid w:val="00A301FC"/>
    <w:rsid w:val="00A30D49"/>
    <w:rsid w:val="00A315CA"/>
    <w:rsid w:val="00A3179D"/>
    <w:rsid w:val="00A31E03"/>
    <w:rsid w:val="00A329F3"/>
    <w:rsid w:val="00A32F1B"/>
    <w:rsid w:val="00A3325E"/>
    <w:rsid w:val="00A33AD5"/>
    <w:rsid w:val="00A33AF6"/>
    <w:rsid w:val="00A346DA"/>
    <w:rsid w:val="00A34AB7"/>
    <w:rsid w:val="00A353C8"/>
    <w:rsid w:val="00A36C14"/>
    <w:rsid w:val="00A37148"/>
    <w:rsid w:val="00A37350"/>
    <w:rsid w:val="00A37E7A"/>
    <w:rsid w:val="00A37FCB"/>
    <w:rsid w:val="00A401D5"/>
    <w:rsid w:val="00A40DAD"/>
    <w:rsid w:val="00A41347"/>
    <w:rsid w:val="00A41670"/>
    <w:rsid w:val="00A42024"/>
    <w:rsid w:val="00A42A83"/>
    <w:rsid w:val="00A4335C"/>
    <w:rsid w:val="00A434D5"/>
    <w:rsid w:val="00A440C1"/>
    <w:rsid w:val="00A4417E"/>
    <w:rsid w:val="00A446BB"/>
    <w:rsid w:val="00A446C9"/>
    <w:rsid w:val="00A448E0"/>
    <w:rsid w:val="00A45E5A"/>
    <w:rsid w:val="00A46577"/>
    <w:rsid w:val="00A46C36"/>
    <w:rsid w:val="00A46F61"/>
    <w:rsid w:val="00A46F96"/>
    <w:rsid w:val="00A47178"/>
    <w:rsid w:val="00A472B7"/>
    <w:rsid w:val="00A47A8C"/>
    <w:rsid w:val="00A505BC"/>
    <w:rsid w:val="00A5068F"/>
    <w:rsid w:val="00A50732"/>
    <w:rsid w:val="00A50B3E"/>
    <w:rsid w:val="00A512D0"/>
    <w:rsid w:val="00A51DF4"/>
    <w:rsid w:val="00A52018"/>
    <w:rsid w:val="00A52D99"/>
    <w:rsid w:val="00A52E92"/>
    <w:rsid w:val="00A53297"/>
    <w:rsid w:val="00A536AC"/>
    <w:rsid w:val="00A537E5"/>
    <w:rsid w:val="00A5417C"/>
    <w:rsid w:val="00A54517"/>
    <w:rsid w:val="00A546E8"/>
    <w:rsid w:val="00A54755"/>
    <w:rsid w:val="00A54BB5"/>
    <w:rsid w:val="00A55BF6"/>
    <w:rsid w:val="00A55FD2"/>
    <w:rsid w:val="00A563D2"/>
    <w:rsid w:val="00A56A8D"/>
    <w:rsid w:val="00A570DB"/>
    <w:rsid w:val="00A60289"/>
    <w:rsid w:val="00A6045A"/>
    <w:rsid w:val="00A60A3C"/>
    <w:rsid w:val="00A60A67"/>
    <w:rsid w:val="00A60EDE"/>
    <w:rsid w:val="00A6202B"/>
    <w:rsid w:val="00A6213A"/>
    <w:rsid w:val="00A623E5"/>
    <w:rsid w:val="00A62464"/>
    <w:rsid w:val="00A62756"/>
    <w:rsid w:val="00A62964"/>
    <w:rsid w:val="00A6333A"/>
    <w:rsid w:val="00A63BDA"/>
    <w:rsid w:val="00A64CE3"/>
    <w:rsid w:val="00A65C98"/>
    <w:rsid w:val="00A664E1"/>
    <w:rsid w:val="00A66515"/>
    <w:rsid w:val="00A665C7"/>
    <w:rsid w:val="00A666A6"/>
    <w:rsid w:val="00A66CA1"/>
    <w:rsid w:val="00A67AF3"/>
    <w:rsid w:val="00A70009"/>
    <w:rsid w:val="00A70EA6"/>
    <w:rsid w:val="00A70F4A"/>
    <w:rsid w:val="00A71F60"/>
    <w:rsid w:val="00A720E8"/>
    <w:rsid w:val="00A726F4"/>
    <w:rsid w:val="00A72861"/>
    <w:rsid w:val="00A72888"/>
    <w:rsid w:val="00A728BF"/>
    <w:rsid w:val="00A73B52"/>
    <w:rsid w:val="00A73FDD"/>
    <w:rsid w:val="00A7475B"/>
    <w:rsid w:val="00A749B3"/>
    <w:rsid w:val="00A74FA4"/>
    <w:rsid w:val="00A76082"/>
    <w:rsid w:val="00A76BD6"/>
    <w:rsid w:val="00A770D6"/>
    <w:rsid w:val="00A7726D"/>
    <w:rsid w:val="00A77290"/>
    <w:rsid w:val="00A77326"/>
    <w:rsid w:val="00A8059E"/>
    <w:rsid w:val="00A8101A"/>
    <w:rsid w:val="00A814CB"/>
    <w:rsid w:val="00A820B9"/>
    <w:rsid w:val="00A8286A"/>
    <w:rsid w:val="00A82B11"/>
    <w:rsid w:val="00A82FCA"/>
    <w:rsid w:val="00A837F8"/>
    <w:rsid w:val="00A839A7"/>
    <w:rsid w:val="00A83A4C"/>
    <w:rsid w:val="00A8437B"/>
    <w:rsid w:val="00A84684"/>
    <w:rsid w:val="00A84748"/>
    <w:rsid w:val="00A85539"/>
    <w:rsid w:val="00A8598D"/>
    <w:rsid w:val="00A85CE0"/>
    <w:rsid w:val="00A85DA6"/>
    <w:rsid w:val="00A86306"/>
    <w:rsid w:val="00A86DF9"/>
    <w:rsid w:val="00A872E7"/>
    <w:rsid w:val="00A874CC"/>
    <w:rsid w:val="00A90883"/>
    <w:rsid w:val="00A90D8B"/>
    <w:rsid w:val="00A90D96"/>
    <w:rsid w:val="00A90F88"/>
    <w:rsid w:val="00A91747"/>
    <w:rsid w:val="00A91865"/>
    <w:rsid w:val="00A92AA2"/>
    <w:rsid w:val="00A92B2C"/>
    <w:rsid w:val="00A92E18"/>
    <w:rsid w:val="00A93FD9"/>
    <w:rsid w:val="00A94245"/>
    <w:rsid w:val="00A944A1"/>
    <w:rsid w:val="00A94ECD"/>
    <w:rsid w:val="00A95176"/>
    <w:rsid w:val="00A9595F"/>
    <w:rsid w:val="00A96491"/>
    <w:rsid w:val="00A96FC7"/>
    <w:rsid w:val="00A9740F"/>
    <w:rsid w:val="00A97AE6"/>
    <w:rsid w:val="00A97D6A"/>
    <w:rsid w:val="00AA1879"/>
    <w:rsid w:val="00AA1E9C"/>
    <w:rsid w:val="00AA2ADB"/>
    <w:rsid w:val="00AA30CE"/>
    <w:rsid w:val="00AA3396"/>
    <w:rsid w:val="00AA3B24"/>
    <w:rsid w:val="00AA4561"/>
    <w:rsid w:val="00AA4D38"/>
    <w:rsid w:val="00AA5542"/>
    <w:rsid w:val="00AA5BDB"/>
    <w:rsid w:val="00AA6C7E"/>
    <w:rsid w:val="00AA7EE3"/>
    <w:rsid w:val="00AB05A7"/>
    <w:rsid w:val="00AB0733"/>
    <w:rsid w:val="00AB1860"/>
    <w:rsid w:val="00AB2093"/>
    <w:rsid w:val="00AB2CC7"/>
    <w:rsid w:val="00AB391A"/>
    <w:rsid w:val="00AB3AE1"/>
    <w:rsid w:val="00AB4221"/>
    <w:rsid w:val="00AB4330"/>
    <w:rsid w:val="00AB49C0"/>
    <w:rsid w:val="00AB4C1B"/>
    <w:rsid w:val="00AB5119"/>
    <w:rsid w:val="00AB5350"/>
    <w:rsid w:val="00AB53E8"/>
    <w:rsid w:val="00AB553D"/>
    <w:rsid w:val="00AB60A5"/>
    <w:rsid w:val="00AB6205"/>
    <w:rsid w:val="00AB639A"/>
    <w:rsid w:val="00AB7B5D"/>
    <w:rsid w:val="00AB7F62"/>
    <w:rsid w:val="00AC0A71"/>
    <w:rsid w:val="00AC0AFE"/>
    <w:rsid w:val="00AC10D1"/>
    <w:rsid w:val="00AC146C"/>
    <w:rsid w:val="00AC17A8"/>
    <w:rsid w:val="00AC2A57"/>
    <w:rsid w:val="00AC316F"/>
    <w:rsid w:val="00AC4209"/>
    <w:rsid w:val="00AC43D3"/>
    <w:rsid w:val="00AC48CB"/>
    <w:rsid w:val="00AC5A03"/>
    <w:rsid w:val="00AC5ED7"/>
    <w:rsid w:val="00AC67D7"/>
    <w:rsid w:val="00AC6DA2"/>
    <w:rsid w:val="00AC7111"/>
    <w:rsid w:val="00AD0E04"/>
    <w:rsid w:val="00AD2195"/>
    <w:rsid w:val="00AD27A3"/>
    <w:rsid w:val="00AD2A71"/>
    <w:rsid w:val="00AD2AD5"/>
    <w:rsid w:val="00AD2B87"/>
    <w:rsid w:val="00AD30EB"/>
    <w:rsid w:val="00AD4375"/>
    <w:rsid w:val="00AD4495"/>
    <w:rsid w:val="00AD4ADD"/>
    <w:rsid w:val="00AD5577"/>
    <w:rsid w:val="00AD5A53"/>
    <w:rsid w:val="00AD5F45"/>
    <w:rsid w:val="00AD7028"/>
    <w:rsid w:val="00AD71AD"/>
    <w:rsid w:val="00AD7396"/>
    <w:rsid w:val="00AD744A"/>
    <w:rsid w:val="00AE028F"/>
    <w:rsid w:val="00AE0DD9"/>
    <w:rsid w:val="00AE1D7A"/>
    <w:rsid w:val="00AE2490"/>
    <w:rsid w:val="00AE28B0"/>
    <w:rsid w:val="00AE3394"/>
    <w:rsid w:val="00AE346D"/>
    <w:rsid w:val="00AE3E1D"/>
    <w:rsid w:val="00AE4276"/>
    <w:rsid w:val="00AE45C0"/>
    <w:rsid w:val="00AE4881"/>
    <w:rsid w:val="00AE4C75"/>
    <w:rsid w:val="00AE4DAD"/>
    <w:rsid w:val="00AE58C7"/>
    <w:rsid w:val="00AE5C15"/>
    <w:rsid w:val="00AE6092"/>
    <w:rsid w:val="00AE6D97"/>
    <w:rsid w:val="00AE74AD"/>
    <w:rsid w:val="00AE79FE"/>
    <w:rsid w:val="00AF00E7"/>
    <w:rsid w:val="00AF0D7D"/>
    <w:rsid w:val="00AF253D"/>
    <w:rsid w:val="00AF3838"/>
    <w:rsid w:val="00AF439F"/>
    <w:rsid w:val="00AF454C"/>
    <w:rsid w:val="00AF5E9A"/>
    <w:rsid w:val="00AF5F25"/>
    <w:rsid w:val="00AF60EA"/>
    <w:rsid w:val="00AF699A"/>
    <w:rsid w:val="00AF6A97"/>
    <w:rsid w:val="00AF6C89"/>
    <w:rsid w:val="00AF77CE"/>
    <w:rsid w:val="00AF7C0D"/>
    <w:rsid w:val="00B00B73"/>
    <w:rsid w:val="00B00EBA"/>
    <w:rsid w:val="00B015A8"/>
    <w:rsid w:val="00B01AE4"/>
    <w:rsid w:val="00B034EA"/>
    <w:rsid w:val="00B035B9"/>
    <w:rsid w:val="00B04174"/>
    <w:rsid w:val="00B04A39"/>
    <w:rsid w:val="00B04D3E"/>
    <w:rsid w:val="00B0574C"/>
    <w:rsid w:val="00B057EE"/>
    <w:rsid w:val="00B05C07"/>
    <w:rsid w:val="00B05D82"/>
    <w:rsid w:val="00B06654"/>
    <w:rsid w:val="00B06D46"/>
    <w:rsid w:val="00B07341"/>
    <w:rsid w:val="00B0772F"/>
    <w:rsid w:val="00B07890"/>
    <w:rsid w:val="00B1015C"/>
    <w:rsid w:val="00B10E4A"/>
    <w:rsid w:val="00B118F5"/>
    <w:rsid w:val="00B122F6"/>
    <w:rsid w:val="00B127C7"/>
    <w:rsid w:val="00B13131"/>
    <w:rsid w:val="00B131DE"/>
    <w:rsid w:val="00B142BD"/>
    <w:rsid w:val="00B161C7"/>
    <w:rsid w:val="00B1662B"/>
    <w:rsid w:val="00B16A88"/>
    <w:rsid w:val="00B17632"/>
    <w:rsid w:val="00B176C5"/>
    <w:rsid w:val="00B20648"/>
    <w:rsid w:val="00B2094F"/>
    <w:rsid w:val="00B20D57"/>
    <w:rsid w:val="00B21D49"/>
    <w:rsid w:val="00B2209D"/>
    <w:rsid w:val="00B222F6"/>
    <w:rsid w:val="00B22C6D"/>
    <w:rsid w:val="00B22F62"/>
    <w:rsid w:val="00B232A6"/>
    <w:rsid w:val="00B23435"/>
    <w:rsid w:val="00B2407E"/>
    <w:rsid w:val="00B240E5"/>
    <w:rsid w:val="00B241A7"/>
    <w:rsid w:val="00B24623"/>
    <w:rsid w:val="00B24B3A"/>
    <w:rsid w:val="00B250E2"/>
    <w:rsid w:val="00B25BCA"/>
    <w:rsid w:val="00B25F76"/>
    <w:rsid w:val="00B2623F"/>
    <w:rsid w:val="00B265E3"/>
    <w:rsid w:val="00B2707F"/>
    <w:rsid w:val="00B27AC2"/>
    <w:rsid w:val="00B300FB"/>
    <w:rsid w:val="00B30468"/>
    <w:rsid w:val="00B30A85"/>
    <w:rsid w:val="00B30D2F"/>
    <w:rsid w:val="00B31ECE"/>
    <w:rsid w:val="00B31F4E"/>
    <w:rsid w:val="00B332F5"/>
    <w:rsid w:val="00B33722"/>
    <w:rsid w:val="00B33B67"/>
    <w:rsid w:val="00B33E72"/>
    <w:rsid w:val="00B34578"/>
    <w:rsid w:val="00B3492B"/>
    <w:rsid w:val="00B349D3"/>
    <w:rsid w:val="00B34E62"/>
    <w:rsid w:val="00B357AC"/>
    <w:rsid w:val="00B359BE"/>
    <w:rsid w:val="00B359EB"/>
    <w:rsid w:val="00B361E3"/>
    <w:rsid w:val="00B373F3"/>
    <w:rsid w:val="00B377EA"/>
    <w:rsid w:val="00B37E1B"/>
    <w:rsid w:val="00B40174"/>
    <w:rsid w:val="00B40783"/>
    <w:rsid w:val="00B407B3"/>
    <w:rsid w:val="00B40DEC"/>
    <w:rsid w:val="00B412E2"/>
    <w:rsid w:val="00B4130C"/>
    <w:rsid w:val="00B4161F"/>
    <w:rsid w:val="00B43151"/>
    <w:rsid w:val="00B431B8"/>
    <w:rsid w:val="00B4385E"/>
    <w:rsid w:val="00B440DD"/>
    <w:rsid w:val="00B44195"/>
    <w:rsid w:val="00B44715"/>
    <w:rsid w:val="00B454F1"/>
    <w:rsid w:val="00B4570A"/>
    <w:rsid w:val="00B45836"/>
    <w:rsid w:val="00B45DDA"/>
    <w:rsid w:val="00B46D12"/>
    <w:rsid w:val="00B47524"/>
    <w:rsid w:val="00B47584"/>
    <w:rsid w:val="00B5022D"/>
    <w:rsid w:val="00B5046E"/>
    <w:rsid w:val="00B50752"/>
    <w:rsid w:val="00B5075C"/>
    <w:rsid w:val="00B509E7"/>
    <w:rsid w:val="00B52630"/>
    <w:rsid w:val="00B52791"/>
    <w:rsid w:val="00B52848"/>
    <w:rsid w:val="00B54ED5"/>
    <w:rsid w:val="00B54FBC"/>
    <w:rsid w:val="00B552C2"/>
    <w:rsid w:val="00B55CB0"/>
    <w:rsid w:val="00B5635C"/>
    <w:rsid w:val="00B56DCE"/>
    <w:rsid w:val="00B5706D"/>
    <w:rsid w:val="00B5740F"/>
    <w:rsid w:val="00B623E5"/>
    <w:rsid w:val="00B62476"/>
    <w:rsid w:val="00B624E3"/>
    <w:rsid w:val="00B62605"/>
    <w:rsid w:val="00B63346"/>
    <w:rsid w:val="00B6357F"/>
    <w:rsid w:val="00B63614"/>
    <w:rsid w:val="00B63AB7"/>
    <w:rsid w:val="00B64248"/>
    <w:rsid w:val="00B642AB"/>
    <w:rsid w:val="00B642FE"/>
    <w:rsid w:val="00B64383"/>
    <w:rsid w:val="00B648D1"/>
    <w:rsid w:val="00B64D24"/>
    <w:rsid w:val="00B64F56"/>
    <w:rsid w:val="00B66519"/>
    <w:rsid w:val="00B66555"/>
    <w:rsid w:val="00B6680B"/>
    <w:rsid w:val="00B67F84"/>
    <w:rsid w:val="00B702AB"/>
    <w:rsid w:val="00B71256"/>
    <w:rsid w:val="00B717DF"/>
    <w:rsid w:val="00B71849"/>
    <w:rsid w:val="00B718F4"/>
    <w:rsid w:val="00B71AF4"/>
    <w:rsid w:val="00B71C54"/>
    <w:rsid w:val="00B7259B"/>
    <w:rsid w:val="00B72897"/>
    <w:rsid w:val="00B72E63"/>
    <w:rsid w:val="00B73AB0"/>
    <w:rsid w:val="00B73F60"/>
    <w:rsid w:val="00B744C2"/>
    <w:rsid w:val="00B74D45"/>
    <w:rsid w:val="00B74ED3"/>
    <w:rsid w:val="00B75171"/>
    <w:rsid w:val="00B751CE"/>
    <w:rsid w:val="00B76408"/>
    <w:rsid w:val="00B767A8"/>
    <w:rsid w:val="00B76CD5"/>
    <w:rsid w:val="00B771FE"/>
    <w:rsid w:val="00B77BF4"/>
    <w:rsid w:val="00B808A7"/>
    <w:rsid w:val="00B816E0"/>
    <w:rsid w:val="00B81767"/>
    <w:rsid w:val="00B81D52"/>
    <w:rsid w:val="00B8273C"/>
    <w:rsid w:val="00B8296A"/>
    <w:rsid w:val="00B8388C"/>
    <w:rsid w:val="00B83901"/>
    <w:rsid w:val="00B83DFE"/>
    <w:rsid w:val="00B843B0"/>
    <w:rsid w:val="00B851EB"/>
    <w:rsid w:val="00B856EF"/>
    <w:rsid w:val="00B86023"/>
    <w:rsid w:val="00B863A6"/>
    <w:rsid w:val="00B87244"/>
    <w:rsid w:val="00B87638"/>
    <w:rsid w:val="00B90C53"/>
    <w:rsid w:val="00B90EA7"/>
    <w:rsid w:val="00B92363"/>
    <w:rsid w:val="00B92E56"/>
    <w:rsid w:val="00B93962"/>
    <w:rsid w:val="00B94248"/>
    <w:rsid w:val="00B943CD"/>
    <w:rsid w:val="00B94486"/>
    <w:rsid w:val="00B955BA"/>
    <w:rsid w:val="00B95D59"/>
    <w:rsid w:val="00B96B82"/>
    <w:rsid w:val="00B96FA5"/>
    <w:rsid w:val="00B971D9"/>
    <w:rsid w:val="00B97AEE"/>
    <w:rsid w:val="00BA139D"/>
    <w:rsid w:val="00BA1808"/>
    <w:rsid w:val="00BA1B74"/>
    <w:rsid w:val="00BA2134"/>
    <w:rsid w:val="00BA221A"/>
    <w:rsid w:val="00BA38C7"/>
    <w:rsid w:val="00BA4CCB"/>
    <w:rsid w:val="00BA5269"/>
    <w:rsid w:val="00BA5485"/>
    <w:rsid w:val="00BA56DA"/>
    <w:rsid w:val="00BA60E9"/>
    <w:rsid w:val="00BA6503"/>
    <w:rsid w:val="00BA6565"/>
    <w:rsid w:val="00BA6BE8"/>
    <w:rsid w:val="00BA6F4F"/>
    <w:rsid w:val="00BA7C1A"/>
    <w:rsid w:val="00BB0CDE"/>
    <w:rsid w:val="00BB0DD3"/>
    <w:rsid w:val="00BB262B"/>
    <w:rsid w:val="00BB2839"/>
    <w:rsid w:val="00BB2F57"/>
    <w:rsid w:val="00BB3561"/>
    <w:rsid w:val="00BB3A11"/>
    <w:rsid w:val="00BB3A72"/>
    <w:rsid w:val="00BB3D8C"/>
    <w:rsid w:val="00BB42A4"/>
    <w:rsid w:val="00BB564C"/>
    <w:rsid w:val="00BB578A"/>
    <w:rsid w:val="00BB6030"/>
    <w:rsid w:val="00BB72C5"/>
    <w:rsid w:val="00BB7C6C"/>
    <w:rsid w:val="00BB7D9E"/>
    <w:rsid w:val="00BC00D5"/>
    <w:rsid w:val="00BC0B32"/>
    <w:rsid w:val="00BC3413"/>
    <w:rsid w:val="00BC389A"/>
    <w:rsid w:val="00BC3D5F"/>
    <w:rsid w:val="00BC411E"/>
    <w:rsid w:val="00BC4364"/>
    <w:rsid w:val="00BC4D01"/>
    <w:rsid w:val="00BC5C66"/>
    <w:rsid w:val="00BC5C8C"/>
    <w:rsid w:val="00BC628A"/>
    <w:rsid w:val="00BC6ED7"/>
    <w:rsid w:val="00BC7DCE"/>
    <w:rsid w:val="00BC7F5D"/>
    <w:rsid w:val="00BD0584"/>
    <w:rsid w:val="00BD07F5"/>
    <w:rsid w:val="00BD11B8"/>
    <w:rsid w:val="00BD13BD"/>
    <w:rsid w:val="00BD15B9"/>
    <w:rsid w:val="00BD24A1"/>
    <w:rsid w:val="00BD34E5"/>
    <w:rsid w:val="00BD399F"/>
    <w:rsid w:val="00BD47CD"/>
    <w:rsid w:val="00BD4858"/>
    <w:rsid w:val="00BD5D2C"/>
    <w:rsid w:val="00BD7186"/>
    <w:rsid w:val="00BE044C"/>
    <w:rsid w:val="00BE28D4"/>
    <w:rsid w:val="00BE2C19"/>
    <w:rsid w:val="00BE3077"/>
    <w:rsid w:val="00BE3180"/>
    <w:rsid w:val="00BE39B3"/>
    <w:rsid w:val="00BE3BFA"/>
    <w:rsid w:val="00BE3E8F"/>
    <w:rsid w:val="00BE43A5"/>
    <w:rsid w:val="00BE5767"/>
    <w:rsid w:val="00BE5795"/>
    <w:rsid w:val="00BE74FA"/>
    <w:rsid w:val="00BE7B77"/>
    <w:rsid w:val="00BE7F48"/>
    <w:rsid w:val="00BE7FAD"/>
    <w:rsid w:val="00BF0B35"/>
    <w:rsid w:val="00BF0EC8"/>
    <w:rsid w:val="00BF145A"/>
    <w:rsid w:val="00BF188D"/>
    <w:rsid w:val="00BF18D4"/>
    <w:rsid w:val="00BF27A6"/>
    <w:rsid w:val="00BF2B10"/>
    <w:rsid w:val="00BF2E07"/>
    <w:rsid w:val="00BF3179"/>
    <w:rsid w:val="00BF444A"/>
    <w:rsid w:val="00BF49AF"/>
    <w:rsid w:val="00BF49F2"/>
    <w:rsid w:val="00BF4D71"/>
    <w:rsid w:val="00BF5B29"/>
    <w:rsid w:val="00BF5D7A"/>
    <w:rsid w:val="00BF616F"/>
    <w:rsid w:val="00BF61B2"/>
    <w:rsid w:val="00BF6218"/>
    <w:rsid w:val="00BF6E7E"/>
    <w:rsid w:val="00BF7D31"/>
    <w:rsid w:val="00C00752"/>
    <w:rsid w:val="00C010BB"/>
    <w:rsid w:val="00C028C8"/>
    <w:rsid w:val="00C0392C"/>
    <w:rsid w:val="00C03C74"/>
    <w:rsid w:val="00C03CD7"/>
    <w:rsid w:val="00C03E14"/>
    <w:rsid w:val="00C04072"/>
    <w:rsid w:val="00C04460"/>
    <w:rsid w:val="00C0521B"/>
    <w:rsid w:val="00C06EBF"/>
    <w:rsid w:val="00C06FEB"/>
    <w:rsid w:val="00C0745D"/>
    <w:rsid w:val="00C074CE"/>
    <w:rsid w:val="00C0764C"/>
    <w:rsid w:val="00C102B4"/>
    <w:rsid w:val="00C1050B"/>
    <w:rsid w:val="00C11F2B"/>
    <w:rsid w:val="00C125E7"/>
    <w:rsid w:val="00C12EB3"/>
    <w:rsid w:val="00C148E3"/>
    <w:rsid w:val="00C14C33"/>
    <w:rsid w:val="00C15122"/>
    <w:rsid w:val="00C15308"/>
    <w:rsid w:val="00C158A1"/>
    <w:rsid w:val="00C168B6"/>
    <w:rsid w:val="00C17130"/>
    <w:rsid w:val="00C175C5"/>
    <w:rsid w:val="00C17886"/>
    <w:rsid w:val="00C2082D"/>
    <w:rsid w:val="00C2150B"/>
    <w:rsid w:val="00C22A28"/>
    <w:rsid w:val="00C22AE1"/>
    <w:rsid w:val="00C23DE7"/>
    <w:rsid w:val="00C25346"/>
    <w:rsid w:val="00C25824"/>
    <w:rsid w:val="00C258AB"/>
    <w:rsid w:val="00C25F35"/>
    <w:rsid w:val="00C26BB7"/>
    <w:rsid w:val="00C26D69"/>
    <w:rsid w:val="00C2710A"/>
    <w:rsid w:val="00C2757E"/>
    <w:rsid w:val="00C30501"/>
    <w:rsid w:val="00C305CB"/>
    <w:rsid w:val="00C31BAD"/>
    <w:rsid w:val="00C32074"/>
    <w:rsid w:val="00C3219F"/>
    <w:rsid w:val="00C326B2"/>
    <w:rsid w:val="00C32AE5"/>
    <w:rsid w:val="00C34252"/>
    <w:rsid w:val="00C34C64"/>
    <w:rsid w:val="00C34C9E"/>
    <w:rsid w:val="00C353E7"/>
    <w:rsid w:val="00C35722"/>
    <w:rsid w:val="00C36E8F"/>
    <w:rsid w:val="00C376E9"/>
    <w:rsid w:val="00C3784A"/>
    <w:rsid w:val="00C37E05"/>
    <w:rsid w:val="00C4048B"/>
    <w:rsid w:val="00C413B6"/>
    <w:rsid w:val="00C41416"/>
    <w:rsid w:val="00C41D51"/>
    <w:rsid w:val="00C42418"/>
    <w:rsid w:val="00C42E40"/>
    <w:rsid w:val="00C43854"/>
    <w:rsid w:val="00C43E04"/>
    <w:rsid w:val="00C43FE6"/>
    <w:rsid w:val="00C44157"/>
    <w:rsid w:val="00C443C4"/>
    <w:rsid w:val="00C444EC"/>
    <w:rsid w:val="00C447BB"/>
    <w:rsid w:val="00C44813"/>
    <w:rsid w:val="00C44B0C"/>
    <w:rsid w:val="00C44E15"/>
    <w:rsid w:val="00C45347"/>
    <w:rsid w:val="00C461B4"/>
    <w:rsid w:val="00C46C86"/>
    <w:rsid w:val="00C46E10"/>
    <w:rsid w:val="00C4719F"/>
    <w:rsid w:val="00C475F9"/>
    <w:rsid w:val="00C47DB3"/>
    <w:rsid w:val="00C51BFC"/>
    <w:rsid w:val="00C5268A"/>
    <w:rsid w:val="00C531FD"/>
    <w:rsid w:val="00C54BE4"/>
    <w:rsid w:val="00C54F31"/>
    <w:rsid w:val="00C5538F"/>
    <w:rsid w:val="00C56482"/>
    <w:rsid w:val="00C565BF"/>
    <w:rsid w:val="00C579E5"/>
    <w:rsid w:val="00C57D8A"/>
    <w:rsid w:val="00C610E4"/>
    <w:rsid w:val="00C617E1"/>
    <w:rsid w:val="00C6209A"/>
    <w:rsid w:val="00C62172"/>
    <w:rsid w:val="00C621E3"/>
    <w:rsid w:val="00C63BB4"/>
    <w:rsid w:val="00C641B0"/>
    <w:rsid w:val="00C656D4"/>
    <w:rsid w:val="00C65852"/>
    <w:rsid w:val="00C6621B"/>
    <w:rsid w:val="00C662FE"/>
    <w:rsid w:val="00C66560"/>
    <w:rsid w:val="00C665EF"/>
    <w:rsid w:val="00C672FC"/>
    <w:rsid w:val="00C67FDF"/>
    <w:rsid w:val="00C70ACC"/>
    <w:rsid w:val="00C70D06"/>
    <w:rsid w:val="00C716DB"/>
    <w:rsid w:val="00C71ACB"/>
    <w:rsid w:val="00C72F01"/>
    <w:rsid w:val="00C732C2"/>
    <w:rsid w:val="00C73991"/>
    <w:rsid w:val="00C73CB9"/>
    <w:rsid w:val="00C74002"/>
    <w:rsid w:val="00C74D73"/>
    <w:rsid w:val="00C75552"/>
    <w:rsid w:val="00C757C9"/>
    <w:rsid w:val="00C75901"/>
    <w:rsid w:val="00C75B23"/>
    <w:rsid w:val="00C76256"/>
    <w:rsid w:val="00C76375"/>
    <w:rsid w:val="00C76A66"/>
    <w:rsid w:val="00C76FF7"/>
    <w:rsid w:val="00C771FB"/>
    <w:rsid w:val="00C7745B"/>
    <w:rsid w:val="00C77A17"/>
    <w:rsid w:val="00C77C94"/>
    <w:rsid w:val="00C77ED9"/>
    <w:rsid w:val="00C8010A"/>
    <w:rsid w:val="00C8010B"/>
    <w:rsid w:val="00C8024A"/>
    <w:rsid w:val="00C803D8"/>
    <w:rsid w:val="00C81B82"/>
    <w:rsid w:val="00C827F1"/>
    <w:rsid w:val="00C828B9"/>
    <w:rsid w:val="00C83AE2"/>
    <w:rsid w:val="00C84375"/>
    <w:rsid w:val="00C84448"/>
    <w:rsid w:val="00C84BAC"/>
    <w:rsid w:val="00C850E9"/>
    <w:rsid w:val="00C855D1"/>
    <w:rsid w:val="00C862D3"/>
    <w:rsid w:val="00C86756"/>
    <w:rsid w:val="00C86E69"/>
    <w:rsid w:val="00C87813"/>
    <w:rsid w:val="00C878B1"/>
    <w:rsid w:val="00C9124E"/>
    <w:rsid w:val="00C918B1"/>
    <w:rsid w:val="00C9329D"/>
    <w:rsid w:val="00C94116"/>
    <w:rsid w:val="00C948C1"/>
    <w:rsid w:val="00C9522E"/>
    <w:rsid w:val="00CA01DD"/>
    <w:rsid w:val="00CA0C18"/>
    <w:rsid w:val="00CA1BEF"/>
    <w:rsid w:val="00CA1EB7"/>
    <w:rsid w:val="00CA28B9"/>
    <w:rsid w:val="00CA30BE"/>
    <w:rsid w:val="00CA37B6"/>
    <w:rsid w:val="00CA3867"/>
    <w:rsid w:val="00CA3FBB"/>
    <w:rsid w:val="00CA4ECC"/>
    <w:rsid w:val="00CA547B"/>
    <w:rsid w:val="00CA5F68"/>
    <w:rsid w:val="00CA609B"/>
    <w:rsid w:val="00CA66D6"/>
    <w:rsid w:val="00CA6C10"/>
    <w:rsid w:val="00CA7B3F"/>
    <w:rsid w:val="00CA7B66"/>
    <w:rsid w:val="00CA7F3F"/>
    <w:rsid w:val="00CB04E6"/>
    <w:rsid w:val="00CB1806"/>
    <w:rsid w:val="00CB197D"/>
    <w:rsid w:val="00CB23D1"/>
    <w:rsid w:val="00CB29AB"/>
    <w:rsid w:val="00CB2AE8"/>
    <w:rsid w:val="00CB2E65"/>
    <w:rsid w:val="00CB2E7C"/>
    <w:rsid w:val="00CB2F71"/>
    <w:rsid w:val="00CB3D4D"/>
    <w:rsid w:val="00CB407A"/>
    <w:rsid w:val="00CB49B3"/>
    <w:rsid w:val="00CB4DBF"/>
    <w:rsid w:val="00CB4DDC"/>
    <w:rsid w:val="00CB4FC6"/>
    <w:rsid w:val="00CB5612"/>
    <w:rsid w:val="00CB622E"/>
    <w:rsid w:val="00CB64F3"/>
    <w:rsid w:val="00CB703C"/>
    <w:rsid w:val="00CB7148"/>
    <w:rsid w:val="00CB7C53"/>
    <w:rsid w:val="00CC0669"/>
    <w:rsid w:val="00CC06EC"/>
    <w:rsid w:val="00CC0916"/>
    <w:rsid w:val="00CC0BE3"/>
    <w:rsid w:val="00CC146D"/>
    <w:rsid w:val="00CC16BC"/>
    <w:rsid w:val="00CC18B0"/>
    <w:rsid w:val="00CC1CA0"/>
    <w:rsid w:val="00CC2256"/>
    <w:rsid w:val="00CC245F"/>
    <w:rsid w:val="00CC2576"/>
    <w:rsid w:val="00CC2B90"/>
    <w:rsid w:val="00CC32BB"/>
    <w:rsid w:val="00CC32CE"/>
    <w:rsid w:val="00CC350B"/>
    <w:rsid w:val="00CC35B2"/>
    <w:rsid w:val="00CC367D"/>
    <w:rsid w:val="00CC37E2"/>
    <w:rsid w:val="00CC3C62"/>
    <w:rsid w:val="00CC3DC2"/>
    <w:rsid w:val="00CC5109"/>
    <w:rsid w:val="00CC5605"/>
    <w:rsid w:val="00CC5823"/>
    <w:rsid w:val="00CC5C5F"/>
    <w:rsid w:val="00CC60EF"/>
    <w:rsid w:val="00CC66A6"/>
    <w:rsid w:val="00CC7593"/>
    <w:rsid w:val="00CC7C6B"/>
    <w:rsid w:val="00CC7D2C"/>
    <w:rsid w:val="00CD0265"/>
    <w:rsid w:val="00CD0427"/>
    <w:rsid w:val="00CD04BC"/>
    <w:rsid w:val="00CD0BE8"/>
    <w:rsid w:val="00CD2855"/>
    <w:rsid w:val="00CD3027"/>
    <w:rsid w:val="00CD40B7"/>
    <w:rsid w:val="00CD43B2"/>
    <w:rsid w:val="00CD44B3"/>
    <w:rsid w:val="00CD6088"/>
    <w:rsid w:val="00CD62A1"/>
    <w:rsid w:val="00CD6891"/>
    <w:rsid w:val="00CD74EB"/>
    <w:rsid w:val="00CD758D"/>
    <w:rsid w:val="00CD7F84"/>
    <w:rsid w:val="00CE08AF"/>
    <w:rsid w:val="00CE09FF"/>
    <w:rsid w:val="00CE1532"/>
    <w:rsid w:val="00CE29B1"/>
    <w:rsid w:val="00CE2BA1"/>
    <w:rsid w:val="00CE2CF4"/>
    <w:rsid w:val="00CE2F7E"/>
    <w:rsid w:val="00CE4484"/>
    <w:rsid w:val="00CE4FBD"/>
    <w:rsid w:val="00CE5545"/>
    <w:rsid w:val="00CE5C3B"/>
    <w:rsid w:val="00CE5F57"/>
    <w:rsid w:val="00CE61D1"/>
    <w:rsid w:val="00CE7260"/>
    <w:rsid w:val="00CE7AE9"/>
    <w:rsid w:val="00CE7C1C"/>
    <w:rsid w:val="00CE7E6E"/>
    <w:rsid w:val="00CF0086"/>
    <w:rsid w:val="00CF0178"/>
    <w:rsid w:val="00CF12BA"/>
    <w:rsid w:val="00CF174B"/>
    <w:rsid w:val="00CF1896"/>
    <w:rsid w:val="00CF1ADC"/>
    <w:rsid w:val="00CF30E6"/>
    <w:rsid w:val="00CF35B0"/>
    <w:rsid w:val="00CF3683"/>
    <w:rsid w:val="00CF37F0"/>
    <w:rsid w:val="00CF4029"/>
    <w:rsid w:val="00CF5025"/>
    <w:rsid w:val="00CF5528"/>
    <w:rsid w:val="00CF5F53"/>
    <w:rsid w:val="00CF63E8"/>
    <w:rsid w:val="00CF68DD"/>
    <w:rsid w:val="00CF7176"/>
    <w:rsid w:val="00CF7449"/>
    <w:rsid w:val="00CF798C"/>
    <w:rsid w:val="00CF7D4E"/>
    <w:rsid w:val="00D01233"/>
    <w:rsid w:val="00D015BE"/>
    <w:rsid w:val="00D0195A"/>
    <w:rsid w:val="00D023BB"/>
    <w:rsid w:val="00D02A7B"/>
    <w:rsid w:val="00D02C17"/>
    <w:rsid w:val="00D02C7C"/>
    <w:rsid w:val="00D039C2"/>
    <w:rsid w:val="00D04011"/>
    <w:rsid w:val="00D052D3"/>
    <w:rsid w:val="00D0531C"/>
    <w:rsid w:val="00D062E4"/>
    <w:rsid w:val="00D0689D"/>
    <w:rsid w:val="00D06F8C"/>
    <w:rsid w:val="00D0726C"/>
    <w:rsid w:val="00D0796F"/>
    <w:rsid w:val="00D1130B"/>
    <w:rsid w:val="00D12131"/>
    <w:rsid w:val="00D124F1"/>
    <w:rsid w:val="00D125F0"/>
    <w:rsid w:val="00D12695"/>
    <w:rsid w:val="00D126DA"/>
    <w:rsid w:val="00D126DB"/>
    <w:rsid w:val="00D129C1"/>
    <w:rsid w:val="00D12A09"/>
    <w:rsid w:val="00D13010"/>
    <w:rsid w:val="00D130B9"/>
    <w:rsid w:val="00D1313E"/>
    <w:rsid w:val="00D13FA8"/>
    <w:rsid w:val="00D14316"/>
    <w:rsid w:val="00D147ED"/>
    <w:rsid w:val="00D1488A"/>
    <w:rsid w:val="00D151BB"/>
    <w:rsid w:val="00D151EA"/>
    <w:rsid w:val="00D16D09"/>
    <w:rsid w:val="00D172D1"/>
    <w:rsid w:val="00D17CA2"/>
    <w:rsid w:val="00D17DAB"/>
    <w:rsid w:val="00D2034E"/>
    <w:rsid w:val="00D22AE1"/>
    <w:rsid w:val="00D22DEB"/>
    <w:rsid w:val="00D23468"/>
    <w:rsid w:val="00D23535"/>
    <w:rsid w:val="00D2388B"/>
    <w:rsid w:val="00D23BEB"/>
    <w:rsid w:val="00D24183"/>
    <w:rsid w:val="00D24B85"/>
    <w:rsid w:val="00D24F63"/>
    <w:rsid w:val="00D24FA3"/>
    <w:rsid w:val="00D25074"/>
    <w:rsid w:val="00D260DA"/>
    <w:rsid w:val="00D2667E"/>
    <w:rsid w:val="00D27E44"/>
    <w:rsid w:val="00D304E2"/>
    <w:rsid w:val="00D3087F"/>
    <w:rsid w:val="00D30A39"/>
    <w:rsid w:val="00D30A95"/>
    <w:rsid w:val="00D32809"/>
    <w:rsid w:val="00D32B30"/>
    <w:rsid w:val="00D32B5A"/>
    <w:rsid w:val="00D336B2"/>
    <w:rsid w:val="00D3459B"/>
    <w:rsid w:val="00D345F9"/>
    <w:rsid w:val="00D34D6F"/>
    <w:rsid w:val="00D34F00"/>
    <w:rsid w:val="00D3542C"/>
    <w:rsid w:val="00D35441"/>
    <w:rsid w:val="00D3743F"/>
    <w:rsid w:val="00D37778"/>
    <w:rsid w:val="00D37BB1"/>
    <w:rsid w:val="00D406EA"/>
    <w:rsid w:val="00D41F7A"/>
    <w:rsid w:val="00D4300D"/>
    <w:rsid w:val="00D43454"/>
    <w:rsid w:val="00D43D15"/>
    <w:rsid w:val="00D441F0"/>
    <w:rsid w:val="00D44735"/>
    <w:rsid w:val="00D4490A"/>
    <w:rsid w:val="00D455F9"/>
    <w:rsid w:val="00D45642"/>
    <w:rsid w:val="00D45B2C"/>
    <w:rsid w:val="00D45C38"/>
    <w:rsid w:val="00D46A8F"/>
    <w:rsid w:val="00D473DC"/>
    <w:rsid w:val="00D4757B"/>
    <w:rsid w:val="00D5007E"/>
    <w:rsid w:val="00D50841"/>
    <w:rsid w:val="00D512E5"/>
    <w:rsid w:val="00D51BF4"/>
    <w:rsid w:val="00D51FBA"/>
    <w:rsid w:val="00D526E3"/>
    <w:rsid w:val="00D52CBA"/>
    <w:rsid w:val="00D534A7"/>
    <w:rsid w:val="00D53565"/>
    <w:rsid w:val="00D537CE"/>
    <w:rsid w:val="00D53B1F"/>
    <w:rsid w:val="00D53BE4"/>
    <w:rsid w:val="00D53FEB"/>
    <w:rsid w:val="00D542B7"/>
    <w:rsid w:val="00D544F0"/>
    <w:rsid w:val="00D54F45"/>
    <w:rsid w:val="00D55178"/>
    <w:rsid w:val="00D553DC"/>
    <w:rsid w:val="00D554C8"/>
    <w:rsid w:val="00D55D68"/>
    <w:rsid w:val="00D5616C"/>
    <w:rsid w:val="00D56448"/>
    <w:rsid w:val="00D56861"/>
    <w:rsid w:val="00D56F4D"/>
    <w:rsid w:val="00D57219"/>
    <w:rsid w:val="00D5761C"/>
    <w:rsid w:val="00D57DCD"/>
    <w:rsid w:val="00D57F7C"/>
    <w:rsid w:val="00D60973"/>
    <w:rsid w:val="00D61B47"/>
    <w:rsid w:val="00D61CB1"/>
    <w:rsid w:val="00D61CFB"/>
    <w:rsid w:val="00D61D71"/>
    <w:rsid w:val="00D6237F"/>
    <w:rsid w:val="00D62FF7"/>
    <w:rsid w:val="00D6313A"/>
    <w:rsid w:val="00D636E5"/>
    <w:rsid w:val="00D638D2"/>
    <w:rsid w:val="00D65822"/>
    <w:rsid w:val="00D658BB"/>
    <w:rsid w:val="00D659F6"/>
    <w:rsid w:val="00D65F79"/>
    <w:rsid w:val="00D66CA4"/>
    <w:rsid w:val="00D715A4"/>
    <w:rsid w:val="00D71CC0"/>
    <w:rsid w:val="00D71F0E"/>
    <w:rsid w:val="00D7232E"/>
    <w:rsid w:val="00D7282B"/>
    <w:rsid w:val="00D770D0"/>
    <w:rsid w:val="00D7758E"/>
    <w:rsid w:val="00D808DB"/>
    <w:rsid w:val="00D80A26"/>
    <w:rsid w:val="00D80C2B"/>
    <w:rsid w:val="00D814BF"/>
    <w:rsid w:val="00D81B45"/>
    <w:rsid w:val="00D82034"/>
    <w:rsid w:val="00D8250B"/>
    <w:rsid w:val="00D82F4C"/>
    <w:rsid w:val="00D83002"/>
    <w:rsid w:val="00D835EC"/>
    <w:rsid w:val="00D845C9"/>
    <w:rsid w:val="00D84BF3"/>
    <w:rsid w:val="00D851F6"/>
    <w:rsid w:val="00D854F8"/>
    <w:rsid w:val="00D85849"/>
    <w:rsid w:val="00D85A91"/>
    <w:rsid w:val="00D86095"/>
    <w:rsid w:val="00D8621A"/>
    <w:rsid w:val="00D862E1"/>
    <w:rsid w:val="00D873AB"/>
    <w:rsid w:val="00D87584"/>
    <w:rsid w:val="00D876A4"/>
    <w:rsid w:val="00D87A83"/>
    <w:rsid w:val="00D87E76"/>
    <w:rsid w:val="00D902FC"/>
    <w:rsid w:val="00D9037B"/>
    <w:rsid w:val="00D9041A"/>
    <w:rsid w:val="00D908BD"/>
    <w:rsid w:val="00D90997"/>
    <w:rsid w:val="00D914AE"/>
    <w:rsid w:val="00D91933"/>
    <w:rsid w:val="00D91EFF"/>
    <w:rsid w:val="00D923E6"/>
    <w:rsid w:val="00D9294E"/>
    <w:rsid w:val="00D936EF"/>
    <w:rsid w:val="00D93CCF"/>
    <w:rsid w:val="00D93F23"/>
    <w:rsid w:val="00D93F5C"/>
    <w:rsid w:val="00D94937"/>
    <w:rsid w:val="00D955E3"/>
    <w:rsid w:val="00D959D7"/>
    <w:rsid w:val="00D95A4C"/>
    <w:rsid w:val="00D96946"/>
    <w:rsid w:val="00D97891"/>
    <w:rsid w:val="00D97979"/>
    <w:rsid w:val="00D97F14"/>
    <w:rsid w:val="00DA0463"/>
    <w:rsid w:val="00DA0CAE"/>
    <w:rsid w:val="00DA10B2"/>
    <w:rsid w:val="00DA1295"/>
    <w:rsid w:val="00DA1723"/>
    <w:rsid w:val="00DA2442"/>
    <w:rsid w:val="00DA29F8"/>
    <w:rsid w:val="00DA2F61"/>
    <w:rsid w:val="00DA308F"/>
    <w:rsid w:val="00DA3532"/>
    <w:rsid w:val="00DA39D4"/>
    <w:rsid w:val="00DA39EE"/>
    <w:rsid w:val="00DA419C"/>
    <w:rsid w:val="00DA44C3"/>
    <w:rsid w:val="00DA482F"/>
    <w:rsid w:val="00DA4B3A"/>
    <w:rsid w:val="00DA50AB"/>
    <w:rsid w:val="00DA5206"/>
    <w:rsid w:val="00DA521A"/>
    <w:rsid w:val="00DA5624"/>
    <w:rsid w:val="00DA5785"/>
    <w:rsid w:val="00DA605D"/>
    <w:rsid w:val="00DA6ABF"/>
    <w:rsid w:val="00DA6DD4"/>
    <w:rsid w:val="00DA711A"/>
    <w:rsid w:val="00DA747E"/>
    <w:rsid w:val="00DA7826"/>
    <w:rsid w:val="00DB045C"/>
    <w:rsid w:val="00DB06D1"/>
    <w:rsid w:val="00DB08BC"/>
    <w:rsid w:val="00DB09E1"/>
    <w:rsid w:val="00DB0B29"/>
    <w:rsid w:val="00DB0B9F"/>
    <w:rsid w:val="00DB0CD0"/>
    <w:rsid w:val="00DB0EB5"/>
    <w:rsid w:val="00DB1480"/>
    <w:rsid w:val="00DB155F"/>
    <w:rsid w:val="00DB1708"/>
    <w:rsid w:val="00DB1B1E"/>
    <w:rsid w:val="00DB1B94"/>
    <w:rsid w:val="00DB2E19"/>
    <w:rsid w:val="00DB2F15"/>
    <w:rsid w:val="00DB328C"/>
    <w:rsid w:val="00DB3AD2"/>
    <w:rsid w:val="00DB3C70"/>
    <w:rsid w:val="00DB3CBA"/>
    <w:rsid w:val="00DB3E4B"/>
    <w:rsid w:val="00DB5659"/>
    <w:rsid w:val="00DB56F7"/>
    <w:rsid w:val="00DB587E"/>
    <w:rsid w:val="00DB65A3"/>
    <w:rsid w:val="00DB6662"/>
    <w:rsid w:val="00DB743F"/>
    <w:rsid w:val="00DB7DF1"/>
    <w:rsid w:val="00DC1C8F"/>
    <w:rsid w:val="00DC28AF"/>
    <w:rsid w:val="00DC3457"/>
    <w:rsid w:val="00DC3555"/>
    <w:rsid w:val="00DC3999"/>
    <w:rsid w:val="00DC4B8E"/>
    <w:rsid w:val="00DC5C2C"/>
    <w:rsid w:val="00DD0D89"/>
    <w:rsid w:val="00DD1A45"/>
    <w:rsid w:val="00DD28FD"/>
    <w:rsid w:val="00DD2B74"/>
    <w:rsid w:val="00DD38D1"/>
    <w:rsid w:val="00DD4F63"/>
    <w:rsid w:val="00DD54EF"/>
    <w:rsid w:val="00DD5878"/>
    <w:rsid w:val="00DD6BC7"/>
    <w:rsid w:val="00DD6ECF"/>
    <w:rsid w:val="00DD72BB"/>
    <w:rsid w:val="00DD74F8"/>
    <w:rsid w:val="00DD7897"/>
    <w:rsid w:val="00DD7CF5"/>
    <w:rsid w:val="00DE0D8C"/>
    <w:rsid w:val="00DE1B06"/>
    <w:rsid w:val="00DE1EC2"/>
    <w:rsid w:val="00DE2988"/>
    <w:rsid w:val="00DE393D"/>
    <w:rsid w:val="00DE3CD4"/>
    <w:rsid w:val="00DE4A2C"/>
    <w:rsid w:val="00DE4E2E"/>
    <w:rsid w:val="00DE5180"/>
    <w:rsid w:val="00DE5567"/>
    <w:rsid w:val="00DE5FBF"/>
    <w:rsid w:val="00DE5FCB"/>
    <w:rsid w:val="00DE63FE"/>
    <w:rsid w:val="00DE6A41"/>
    <w:rsid w:val="00DE6CB3"/>
    <w:rsid w:val="00DF067A"/>
    <w:rsid w:val="00DF0E8D"/>
    <w:rsid w:val="00DF13B1"/>
    <w:rsid w:val="00DF1980"/>
    <w:rsid w:val="00DF1ACB"/>
    <w:rsid w:val="00DF2247"/>
    <w:rsid w:val="00DF22CB"/>
    <w:rsid w:val="00DF3979"/>
    <w:rsid w:val="00DF3A65"/>
    <w:rsid w:val="00DF3E1A"/>
    <w:rsid w:val="00DF4096"/>
    <w:rsid w:val="00DF42FE"/>
    <w:rsid w:val="00DF4BC3"/>
    <w:rsid w:val="00DF4D3E"/>
    <w:rsid w:val="00DF5285"/>
    <w:rsid w:val="00DF5FA5"/>
    <w:rsid w:val="00DF62CA"/>
    <w:rsid w:val="00DF65F2"/>
    <w:rsid w:val="00DF67DB"/>
    <w:rsid w:val="00DF6A8B"/>
    <w:rsid w:val="00DF7883"/>
    <w:rsid w:val="00E00989"/>
    <w:rsid w:val="00E00A43"/>
    <w:rsid w:val="00E00FE9"/>
    <w:rsid w:val="00E01275"/>
    <w:rsid w:val="00E015C9"/>
    <w:rsid w:val="00E0183B"/>
    <w:rsid w:val="00E02170"/>
    <w:rsid w:val="00E02600"/>
    <w:rsid w:val="00E02B1B"/>
    <w:rsid w:val="00E02FC8"/>
    <w:rsid w:val="00E037B1"/>
    <w:rsid w:val="00E03C7B"/>
    <w:rsid w:val="00E03E5D"/>
    <w:rsid w:val="00E048FC"/>
    <w:rsid w:val="00E04AF3"/>
    <w:rsid w:val="00E04C6C"/>
    <w:rsid w:val="00E0583B"/>
    <w:rsid w:val="00E060EF"/>
    <w:rsid w:val="00E060F4"/>
    <w:rsid w:val="00E0657E"/>
    <w:rsid w:val="00E066BA"/>
    <w:rsid w:val="00E0679B"/>
    <w:rsid w:val="00E06CEB"/>
    <w:rsid w:val="00E070F1"/>
    <w:rsid w:val="00E07397"/>
    <w:rsid w:val="00E0745B"/>
    <w:rsid w:val="00E07E8D"/>
    <w:rsid w:val="00E10334"/>
    <w:rsid w:val="00E1057B"/>
    <w:rsid w:val="00E10638"/>
    <w:rsid w:val="00E10A6E"/>
    <w:rsid w:val="00E10B0C"/>
    <w:rsid w:val="00E10B7D"/>
    <w:rsid w:val="00E10DA7"/>
    <w:rsid w:val="00E1106F"/>
    <w:rsid w:val="00E11139"/>
    <w:rsid w:val="00E120FA"/>
    <w:rsid w:val="00E13CBE"/>
    <w:rsid w:val="00E14E78"/>
    <w:rsid w:val="00E153D3"/>
    <w:rsid w:val="00E15405"/>
    <w:rsid w:val="00E157F9"/>
    <w:rsid w:val="00E16004"/>
    <w:rsid w:val="00E16BD2"/>
    <w:rsid w:val="00E175D8"/>
    <w:rsid w:val="00E2067C"/>
    <w:rsid w:val="00E20C63"/>
    <w:rsid w:val="00E20D7C"/>
    <w:rsid w:val="00E214B9"/>
    <w:rsid w:val="00E21501"/>
    <w:rsid w:val="00E2168C"/>
    <w:rsid w:val="00E21718"/>
    <w:rsid w:val="00E225DA"/>
    <w:rsid w:val="00E229C7"/>
    <w:rsid w:val="00E22B16"/>
    <w:rsid w:val="00E22C7B"/>
    <w:rsid w:val="00E23CBD"/>
    <w:rsid w:val="00E24730"/>
    <w:rsid w:val="00E24A71"/>
    <w:rsid w:val="00E25A02"/>
    <w:rsid w:val="00E2610C"/>
    <w:rsid w:val="00E265DA"/>
    <w:rsid w:val="00E267D9"/>
    <w:rsid w:val="00E26E72"/>
    <w:rsid w:val="00E26FA7"/>
    <w:rsid w:val="00E27FA9"/>
    <w:rsid w:val="00E30B7D"/>
    <w:rsid w:val="00E30D1E"/>
    <w:rsid w:val="00E31848"/>
    <w:rsid w:val="00E3193C"/>
    <w:rsid w:val="00E320B6"/>
    <w:rsid w:val="00E33175"/>
    <w:rsid w:val="00E33755"/>
    <w:rsid w:val="00E3394F"/>
    <w:rsid w:val="00E33B77"/>
    <w:rsid w:val="00E342D9"/>
    <w:rsid w:val="00E34342"/>
    <w:rsid w:val="00E34D0F"/>
    <w:rsid w:val="00E34ED0"/>
    <w:rsid w:val="00E354E7"/>
    <w:rsid w:val="00E35963"/>
    <w:rsid w:val="00E35CBB"/>
    <w:rsid w:val="00E36102"/>
    <w:rsid w:val="00E36CE6"/>
    <w:rsid w:val="00E36DEB"/>
    <w:rsid w:val="00E3708A"/>
    <w:rsid w:val="00E3797A"/>
    <w:rsid w:val="00E4052D"/>
    <w:rsid w:val="00E406B3"/>
    <w:rsid w:val="00E4079C"/>
    <w:rsid w:val="00E41061"/>
    <w:rsid w:val="00E4119B"/>
    <w:rsid w:val="00E4184A"/>
    <w:rsid w:val="00E425C4"/>
    <w:rsid w:val="00E4276C"/>
    <w:rsid w:val="00E428BE"/>
    <w:rsid w:val="00E4395B"/>
    <w:rsid w:val="00E43A35"/>
    <w:rsid w:val="00E44BA6"/>
    <w:rsid w:val="00E460B3"/>
    <w:rsid w:val="00E46147"/>
    <w:rsid w:val="00E4749B"/>
    <w:rsid w:val="00E47D13"/>
    <w:rsid w:val="00E506B6"/>
    <w:rsid w:val="00E50BB9"/>
    <w:rsid w:val="00E51495"/>
    <w:rsid w:val="00E51997"/>
    <w:rsid w:val="00E51A39"/>
    <w:rsid w:val="00E51A5B"/>
    <w:rsid w:val="00E51B0E"/>
    <w:rsid w:val="00E52673"/>
    <w:rsid w:val="00E526B9"/>
    <w:rsid w:val="00E52D17"/>
    <w:rsid w:val="00E535BC"/>
    <w:rsid w:val="00E53AF4"/>
    <w:rsid w:val="00E54099"/>
    <w:rsid w:val="00E5435D"/>
    <w:rsid w:val="00E5465E"/>
    <w:rsid w:val="00E5468F"/>
    <w:rsid w:val="00E548E4"/>
    <w:rsid w:val="00E54D47"/>
    <w:rsid w:val="00E54DA9"/>
    <w:rsid w:val="00E56087"/>
    <w:rsid w:val="00E56175"/>
    <w:rsid w:val="00E565CF"/>
    <w:rsid w:val="00E56BBA"/>
    <w:rsid w:val="00E571DF"/>
    <w:rsid w:val="00E603C0"/>
    <w:rsid w:val="00E603F0"/>
    <w:rsid w:val="00E60EE0"/>
    <w:rsid w:val="00E60F0D"/>
    <w:rsid w:val="00E60F48"/>
    <w:rsid w:val="00E6115F"/>
    <w:rsid w:val="00E618E0"/>
    <w:rsid w:val="00E61986"/>
    <w:rsid w:val="00E620CD"/>
    <w:rsid w:val="00E64B88"/>
    <w:rsid w:val="00E65654"/>
    <w:rsid w:val="00E65FFD"/>
    <w:rsid w:val="00E66016"/>
    <w:rsid w:val="00E66F01"/>
    <w:rsid w:val="00E67672"/>
    <w:rsid w:val="00E700AB"/>
    <w:rsid w:val="00E70494"/>
    <w:rsid w:val="00E705B1"/>
    <w:rsid w:val="00E70C4C"/>
    <w:rsid w:val="00E70F53"/>
    <w:rsid w:val="00E71283"/>
    <w:rsid w:val="00E71569"/>
    <w:rsid w:val="00E720FF"/>
    <w:rsid w:val="00E726CA"/>
    <w:rsid w:val="00E72C97"/>
    <w:rsid w:val="00E73532"/>
    <w:rsid w:val="00E73894"/>
    <w:rsid w:val="00E73C5E"/>
    <w:rsid w:val="00E73DA4"/>
    <w:rsid w:val="00E76348"/>
    <w:rsid w:val="00E76B0E"/>
    <w:rsid w:val="00E77208"/>
    <w:rsid w:val="00E774FB"/>
    <w:rsid w:val="00E7788A"/>
    <w:rsid w:val="00E800E1"/>
    <w:rsid w:val="00E80424"/>
    <w:rsid w:val="00E81EDC"/>
    <w:rsid w:val="00E82DF1"/>
    <w:rsid w:val="00E83157"/>
    <w:rsid w:val="00E838EE"/>
    <w:rsid w:val="00E842AF"/>
    <w:rsid w:val="00E8514D"/>
    <w:rsid w:val="00E85389"/>
    <w:rsid w:val="00E8604F"/>
    <w:rsid w:val="00E86558"/>
    <w:rsid w:val="00E87095"/>
    <w:rsid w:val="00E87826"/>
    <w:rsid w:val="00E87A01"/>
    <w:rsid w:val="00E90911"/>
    <w:rsid w:val="00E90E26"/>
    <w:rsid w:val="00E916D4"/>
    <w:rsid w:val="00E91983"/>
    <w:rsid w:val="00E91F7B"/>
    <w:rsid w:val="00E92CB1"/>
    <w:rsid w:val="00E939D7"/>
    <w:rsid w:val="00E94742"/>
    <w:rsid w:val="00E9481C"/>
    <w:rsid w:val="00E954E4"/>
    <w:rsid w:val="00E955A2"/>
    <w:rsid w:val="00E957CB"/>
    <w:rsid w:val="00E95DB0"/>
    <w:rsid w:val="00E977CE"/>
    <w:rsid w:val="00E97E64"/>
    <w:rsid w:val="00EA081D"/>
    <w:rsid w:val="00EA0C14"/>
    <w:rsid w:val="00EA14E9"/>
    <w:rsid w:val="00EA197C"/>
    <w:rsid w:val="00EA210C"/>
    <w:rsid w:val="00EA3C8A"/>
    <w:rsid w:val="00EA3E27"/>
    <w:rsid w:val="00EA463B"/>
    <w:rsid w:val="00EA4F57"/>
    <w:rsid w:val="00EA510D"/>
    <w:rsid w:val="00EA60D8"/>
    <w:rsid w:val="00EA68B0"/>
    <w:rsid w:val="00EA76BF"/>
    <w:rsid w:val="00EB0E1E"/>
    <w:rsid w:val="00EB0F45"/>
    <w:rsid w:val="00EB1304"/>
    <w:rsid w:val="00EB33EA"/>
    <w:rsid w:val="00EB397F"/>
    <w:rsid w:val="00EB3FB6"/>
    <w:rsid w:val="00EB4AAA"/>
    <w:rsid w:val="00EB4D93"/>
    <w:rsid w:val="00EB4E08"/>
    <w:rsid w:val="00EB5862"/>
    <w:rsid w:val="00EB5BD7"/>
    <w:rsid w:val="00EB6C47"/>
    <w:rsid w:val="00EB7BB9"/>
    <w:rsid w:val="00EB7D70"/>
    <w:rsid w:val="00EC0054"/>
    <w:rsid w:val="00EC00BA"/>
    <w:rsid w:val="00EC0968"/>
    <w:rsid w:val="00EC0E38"/>
    <w:rsid w:val="00EC1160"/>
    <w:rsid w:val="00EC1189"/>
    <w:rsid w:val="00EC1239"/>
    <w:rsid w:val="00EC16B6"/>
    <w:rsid w:val="00EC19A3"/>
    <w:rsid w:val="00EC1FA6"/>
    <w:rsid w:val="00EC23A0"/>
    <w:rsid w:val="00EC247B"/>
    <w:rsid w:val="00EC29B9"/>
    <w:rsid w:val="00EC3CC2"/>
    <w:rsid w:val="00EC4F8D"/>
    <w:rsid w:val="00EC773C"/>
    <w:rsid w:val="00EC77A9"/>
    <w:rsid w:val="00EC7B23"/>
    <w:rsid w:val="00ED1D37"/>
    <w:rsid w:val="00ED2306"/>
    <w:rsid w:val="00ED299B"/>
    <w:rsid w:val="00ED307C"/>
    <w:rsid w:val="00ED37D6"/>
    <w:rsid w:val="00ED3F65"/>
    <w:rsid w:val="00ED4194"/>
    <w:rsid w:val="00ED43E4"/>
    <w:rsid w:val="00ED5268"/>
    <w:rsid w:val="00ED560C"/>
    <w:rsid w:val="00ED57F1"/>
    <w:rsid w:val="00ED62D7"/>
    <w:rsid w:val="00ED6622"/>
    <w:rsid w:val="00ED6E30"/>
    <w:rsid w:val="00ED7549"/>
    <w:rsid w:val="00ED7758"/>
    <w:rsid w:val="00ED794E"/>
    <w:rsid w:val="00EE094E"/>
    <w:rsid w:val="00EE1362"/>
    <w:rsid w:val="00EE1B92"/>
    <w:rsid w:val="00EE1E58"/>
    <w:rsid w:val="00EE3402"/>
    <w:rsid w:val="00EE39DD"/>
    <w:rsid w:val="00EE3A2C"/>
    <w:rsid w:val="00EE3EAD"/>
    <w:rsid w:val="00EE5199"/>
    <w:rsid w:val="00EE5EEB"/>
    <w:rsid w:val="00EE5F32"/>
    <w:rsid w:val="00EE6144"/>
    <w:rsid w:val="00EF01F6"/>
    <w:rsid w:val="00EF03A0"/>
    <w:rsid w:val="00EF082D"/>
    <w:rsid w:val="00EF09E1"/>
    <w:rsid w:val="00EF0BE0"/>
    <w:rsid w:val="00EF15D1"/>
    <w:rsid w:val="00EF1880"/>
    <w:rsid w:val="00EF3049"/>
    <w:rsid w:val="00EF31C2"/>
    <w:rsid w:val="00EF3376"/>
    <w:rsid w:val="00EF3DFC"/>
    <w:rsid w:val="00EF3E61"/>
    <w:rsid w:val="00EF50DC"/>
    <w:rsid w:val="00EF5134"/>
    <w:rsid w:val="00EF5356"/>
    <w:rsid w:val="00EF579B"/>
    <w:rsid w:val="00EF58C2"/>
    <w:rsid w:val="00EF64A7"/>
    <w:rsid w:val="00EF689C"/>
    <w:rsid w:val="00F003BE"/>
    <w:rsid w:val="00F00AD9"/>
    <w:rsid w:val="00F0104A"/>
    <w:rsid w:val="00F01065"/>
    <w:rsid w:val="00F010F0"/>
    <w:rsid w:val="00F01492"/>
    <w:rsid w:val="00F0265A"/>
    <w:rsid w:val="00F02F4F"/>
    <w:rsid w:val="00F0413B"/>
    <w:rsid w:val="00F04413"/>
    <w:rsid w:val="00F044AC"/>
    <w:rsid w:val="00F05A83"/>
    <w:rsid w:val="00F05E7B"/>
    <w:rsid w:val="00F06298"/>
    <w:rsid w:val="00F06353"/>
    <w:rsid w:val="00F06849"/>
    <w:rsid w:val="00F06857"/>
    <w:rsid w:val="00F06CCE"/>
    <w:rsid w:val="00F06E30"/>
    <w:rsid w:val="00F07F3B"/>
    <w:rsid w:val="00F109D6"/>
    <w:rsid w:val="00F10E93"/>
    <w:rsid w:val="00F11022"/>
    <w:rsid w:val="00F110E9"/>
    <w:rsid w:val="00F11130"/>
    <w:rsid w:val="00F112E9"/>
    <w:rsid w:val="00F1165D"/>
    <w:rsid w:val="00F13182"/>
    <w:rsid w:val="00F1375A"/>
    <w:rsid w:val="00F13AFC"/>
    <w:rsid w:val="00F14060"/>
    <w:rsid w:val="00F14338"/>
    <w:rsid w:val="00F1494E"/>
    <w:rsid w:val="00F14E13"/>
    <w:rsid w:val="00F15194"/>
    <w:rsid w:val="00F170DA"/>
    <w:rsid w:val="00F17871"/>
    <w:rsid w:val="00F17EF8"/>
    <w:rsid w:val="00F202F0"/>
    <w:rsid w:val="00F20520"/>
    <w:rsid w:val="00F21E76"/>
    <w:rsid w:val="00F22401"/>
    <w:rsid w:val="00F22512"/>
    <w:rsid w:val="00F22F80"/>
    <w:rsid w:val="00F23656"/>
    <w:rsid w:val="00F2372A"/>
    <w:rsid w:val="00F246EE"/>
    <w:rsid w:val="00F24B11"/>
    <w:rsid w:val="00F25796"/>
    <w:rsid w:val="00F25AE0"/>
    <w:rsid w:val="00F26293"/>
    <w:rsid w:val="00F26D07"/>
    <w:rsid w:val="00F273DA"/>
    <w:rsid w:val="00F277AF"/>
    <w:rsid w:val="00F278A9"/>
    <w:rsid w:val="00F27FE0"/>
    <w:rsid w:val="00F3181C"/>
    <w:rsid w:val="00F31AFF"/>
    <w:rsid w:val="00F31DB6"/>
    <w:rsid w:val="00F322D3"/>
    <w:rsid w:val="00F325B4"/>
    <w:rsid w:val="00F32B38"/>
    <w:rsid w:val="00F33094"/>
    <w:rsid w:val="00F35386"/>
    <w:rsid w:val="00F354EC"/>
    <w:rsid w:val="00F35694"/>
    <w:rsid w:val="00F35CFC"/>
    <w:rsid w:val="00F36E5B"/>
    <w:rsid w:val="00F37CA0"/>
    <w:rsid w:val="00F40A49"/>
    <w:rsid w:val="00F40A58"/>
    <w:rsid w:val="00F413B5"/>
    <w:rsid w:val="00F413C6"/>
    <w:rsid w:val="00F4175F"/>
    <w:rsid w:val="00F41A91"/>
    <w:rsid w:val="00F421AC"/>
    <w:rsid w:val="00F42800"/>
    <w:rsid w:val="00F42F62"/>
    <w:rsid w:val="00F4326A"/>
    <w:rsid w:val="00F43F08"/>
    <w:rsid w:val="00F440C8"/>
    <w:rsid w:val="00F44195"/>
    <w:rsid w:val="00F453F7"/>
    <w:rsid w:val="00F4563C"/>
    <w:rsid w:val="00F468A2"/>
    <w:rsid w:val="00F46B9A"/>
    <w:rsid w:val="00F4704F"/>
    <w:rsid w:val="00F47AF8"/>
    <w:rsid w:val="00F5113C"/>
    <w:rsid w:val="00F512D6"/>
    <w:rsid w:val="00F51BFF"/>
    <w:rsid w:val="00F51CAA"/>
    <w:rsid w:val="00F51D0E"/>
    <w:rsid w:val="00F520EA"/>
    <w:rsid w:val="00F523DF"/>
    <w:rsid w:val="00F52A7C"/>
    <w:rsid w:val="00F52B4A"/>
    <w:rsid w:val="00F5332B"/>
    <w:rsid w:val="00F5343E"/>
    <w:rsid w:val="00F53DAA"/>
    <w:rsid w:val="00F53DCD"/>
    <w:rsid w:val="00F54E62"/>
    <w:rsid w:val="00F55340"/>
    <w:rsid w:val="00F5547A"/>
    <w:rsid w:val="00F554FF"/>
    <w:rsid w:val="00F55694"/>
    <w:rsid w:val="00F56854"/>
    <w:rsid w:val="00F56CA4"/>
    <w:rsid w:val="00F56F50"/>
    <w:rsid w:val="00F57FA3"/>
    <w:rsid w:val="00F60C57"/>
    <w:rsid w:val="00F61742"/>
    <w:rsid w:val="00F61A4F"/>
    <w:rsid w:val="00F61CD9"/>
    <w:rsid w:val="00F6237E"/>
    <w:rsid w:val="00F62752"/>
    <w:rsid w:val="00F62925"/>
    <w:rsid w:val="00F630A7"/>
    <w:rsid w:val="00F63324"/>
    <w:rsid w:val="00F63617"/>
    <w:rsid w:val="00F6382A"/>
    <w:rsid w:val="00F63E53"/>
    <w:rsid w:val="00F646F7"/>
    <w:rsid w:val="00F64A82"/>
    <w:rsid w:val="00F657AE"/>
    <w:rsid w:val="00F65B68"/>
    <w:rsid w:val="00F66E7B"/>
    <w:rsid w:val="00F673AB"/>
    <w:rsid w:val="00F679A7"/>
    <w:rsid w:val="00F67CB0"/>
    <w:rsid w:val="00F67D31"/>
    <w:rsid w:val="00F7045A"/>
    <w:rsid w:val="00F711B4"/>
    <w:rsid w:val="00F711B5"/>
    <w:rsid w:val="00F714EC"/>
    <w:rsid w:val="00F71F2A"/>
    <w:rsid w:val="00F72D08"/>
    <w:rsid w:val="00F73069"/>
    <w:rsid w:val="00F732DE"/>
    <w:rsid w:val="00F7424E"/>
    <w:rsid w:val="00F7425A"/>
    <w:rsid w:val="00F7471D"/>
    <w:rsid w:val="00F74FC2"/>
    <w:rsid w:val="00F7511F"/>
    <w:rsid w:val="00F75837"/>
    <w:rsid w:val="00F75C55"/>
    <w:rsid w:val="00F764D2"/>
    <w:rsid w:val="00F76669"/>
    <w:rsid w:val="00F76ADA"/>
    <w:rsid w:val="00F7720A"/>
    <w:rsid w:val="00F77A49"/>
    <w:rsid w:val="00F77AD5"/>
    <w:rsid w:val="00F80507"/>
    <w:rsid w:val="00F805BA"/>
    <w:rsid w:val="00F80EF1"/>
    <w:rsid w:val="00F80F1A"/>
    <w:rsid w:val="00F81031"/>
    <w:rsid w:val="00F815A6"/>
    <w:rsid w:val="00F819A5"/>
    <w:rsid w:val="00F81F39"/>
    <w:rsid w:val="00F8208D"/>
    <w:rsid w:val="00F82ADD"/>
    <w:rsid w:val="00F846CC"/>
    <w:rsid w:val="00F85055"/>
    <w:rsid w:val="00F851E4"/>
    <w:rsid w:val="00F86971"/>
    <w:rsid w:val="00F8736C"/>
    <w:rsid w:val="00F87A9A"/>
    <w:rsid w:val="00F87AB7"/>
    <w:rsid w:val="00F90288"/>
    <w:rsid w:val="00F90476"/>
    <w:rsid w:val="00F90CAF"/>
    <w:rsid w:val="00F90F94"/>
    <w:rsid w:val="00F9227D"/>
    <w:rsid w:val="00F92811"/>
    <w:rsid w:val="00F9309B"/>
    <w:rsid w:val="00F935A6"/>
    <w:rsid w:val="00F935D7"/>
    <w:rsid w:val="00F93756"/>
    <w:rsid w:val="00F93CB6"/>
    <w:rsid w:val="00F94243"/>
    <w:rsid w:val="00F942BD"/>
    <w:rsid w:val="00F9617A"/>
    <w:rsid w:val="00F9654B"/>
    <w:rsid w:val="00F9752A"/>
    <w:rsid w:val="00F97684"/>
    <w:rsid w:val="00F97847"/>
    <w:rsid w:val="00F97BFE"/>
    <w:rsid w:val="00FA054E"/>
    <w:rsid w:val="00FA2716"/>
    <w:rsid w:val="00FA27B9"/>
    <w:rsid w:val="00FA28B0"/>
    <w:rsid w:val="00FA2AE1"/>
    <w:rsid w:val="00FA2B69"/>
    <w:rsid w:val="00FA311D"/>
    <w:rsid w:val="00FA444E"/>
    <w:rsid w:val="00FA49FB"/>
    <w:rsid w:val="00FA4B90"/>
    <w:rsid w:val="00FA4F5B"/>
    <w:rsid w:val="00FA665E"/>
    <w:rsid w:val="00FA689D"/>
    <w:rsid w:val="00FA6E6F"/>
    <w:rsid w:val="00FA72BC"/>
    <w:rsid w:val="00FB0BC2"/>
    <w:rsid w:val="00FB1B76"/>
    <w:rsid w:val="00FB1C45"/>
    <w:rsid w:val="00FB1EF0"/>
    <w:rsid w:val="00FB2099"/>
    <w:rsid w:val="00FB22C7"/>
    <w:rsid w:val="00FB2E8A"/>
    <w:rsid w:val="00FB3899"/>
    <w:rsid w:val="00FB39A5"/>
    <w:rsid w:val="00FB3B23"/>
    <w:rsid w:val="00FB4E48"/>
    <w:rsid w:val="00FB5DDA"/>
    <w:rsid w:val="00FB5FF8"/>
    <w:rsid w:val="00FB65E4"/>
    <w:rsid w:val="00FB6D77"/>
    <w:rsid w:val="00FB71C0"/>
    <w:rsid w:val="00FB7308"/>
    <w:rsid w:val="00FB775E"/>
    <w:rsid w:val="00FC1982"/>
    <w:rsid w:val="00FC28EA"/>
    <w:rsid w:val="00FC298B"/>
    <w:rsid w:val="00FC2CB4"/>
    <w:rsid w:val="00FC3104"/>
    <w:rsid w:val="00FC3DAF"/>
    <w:rsid w:val="00FC44F3"/>
    <w:rsid w:val="00FC4F8C"/>
    <w:rsid w:val="00FC5830"/>
    <w:rsid w:val="00FC5A4F"/>
    <w:rsid w:val="00FC6BAD"/>
    <w:rsid w:val="00FC7137"/>
    <w:rsid w:val="00FC7820"/>
    <w:rsid w:val="00FD004B"/>
    <w:rsid w:val="00FD037C"/>
    <w:rsid w:val="00FD0C36"/>
    <w:rsid w:val="00FD0CB4"/>
    <w:rsid w:val="00FD19F5"/>
    <w:rsid w:val="00FD237A"/>
    <w:rsid w:val="00FD2580"/>
    <w:rsid w:val="00FD2707"/>
    <w:rsid w:val="00FD3516"/>
    <w:rsid w:val="00FD3AE0"/>
    <w:rsid w:val="00FD4160"/>
    <w:rsid w:val="00FD4215"/>
    <w:rsid w:val="00FD5554"/>
    <w:rsid w:val="00FD5557"/>
    <w:rsid w:val="00FD59BD"/>
    <w:rsid w:val="00FD6174"/>
    <w:rsid w:val="00FD659B"/>
    <w:rsid w:val="00FD6816"/>
    <w:rsid w:val="00FD6E14"/>
    <w:rsid w:val="00FD7035"/>
    <w:rsid w:val="00FD7835"/>
    <w:rsid w:val="00FE0C5A"/>
    <w:rsid w:val="00FE104F"/>
    <w:rsid w:val="00FE1201"/>
    <w:rsid w:val="00FE2D5D"/>
    <w:rsid w:val="00FE2D7E"/>
    <w:rsid w:val="00FE3DF6"/>
    <w:rsid w:val="00FE4559"/>
    <w:rsid w:val="00FE476F"/>
    <w:rsid w:val="00FE4A89"/>
    <w:rsid w:val="00FE6EAA"/>
    <w:rsid w:val="00FE7867"/>
    <w:rsid w:val="00FE7CE5"/>
    <w:rsid w:val="00FF053C"/>
    <w:rsid w:val="00FF0549"/>
    <w:rsid w:val="00FF0815"/>
    <w:rsid w:val="00FF0E06"/>
    <w:rsid w:val="00FF0FBE"/>
    <w:rsid w:val="00FF12AB"/>
    <w:rsid w:val="00FF1416"/>
    <w:rsid w:val="00FF1B5A"/>
    <w:rsid w:val="00FF1B83"/>
    <w:rsid w:val="00FF1C2E"/>
    <w:rsid w:val="00FF2B53"/>
    <w:rsid w:val="00FF357F"/>
    <w:rsid w:val="00FF3674"/>
    <w:rsid w:val="00FF4202"/>
    <w:rsid w:val="00FF54B9"/>
    <w:rsid w:val="00FF5792"/>
    <w:rsid w:val="00FF6469"/>
    <w:rsid w:val="00FF654D"/>
    <w:rsid w:val="00FF6A22"/>
    <w:rsid w:val="00FF72B4"/>
    <w:rsid w:val="010169FF"/>
    <w:rsid w:val="01296F1B"/>
    <w:rsid w:val="01A27BFD"/>
    <w:rsid w:val="01B6221C"/>
    <w:rsid w:val="01F50B37"/>
    <w:rsid w:val="01FA1DA2"/>
    <w:rsid w:val="022E0ACD"/>
    <w:rsid w:val="02477BB5"/>
    <w:rsid w:val="026F219F"/>
    <w:rsid w:val="030D3A97"/>
    <w:rsid w:val="035F4EE3"/>
    <w:rsid w:val="03744EF3"/>
    <w:rsid w:val="0385001E"/>
    <w:rsid w:val="03BF2722"/>
    <w:rsid w:val="03D91E83"/>
    <w:rsid w:val="03F2118C"/>
    <w:rsid w:val="03FE789D"/>
    <w:rsid w:val="04091F54"/>
    <w:rsid w:val="043973FA"/>
    <w:rsid w:val="04883013"/>
    <w:rsid w:val="04A964CD"/>
    <w:rsid w:val="04AA0092"/>
    <w:rsid w:val="04E80F11"/>
    <w:rsid w:val="04F158D6"/>
    <w:rsid w:val="05225FB9"/>
    <w:rsid w:val="05CB0D66"/>
    <w:rsid w:val="06074672"/>
    <w:rsid w:val="062B3811"/>
    <w:rsid w:val="064506F8"/>
    <w:rsid w:val="066A32BE"/>
    <w:rsid w:val="069A6A52"/>
    <w:rsid w:val="06AF4E7B"/>
    <w:rsid w:val="06E97C46"/>
    <w:rsid w:val="06FC4D1F"/>
    <w:rsid w:val="0754659A"/>
    <w:rsid w:val="07A94A78"/>
    <w:rsid w:val="07BF14D2"/>
    <w:rsid w:val="07C41CC1"/>
    <w:rsid w:val="07D30FC8"/>
    <w:rsid w:val="07E016C1"/>
    <w:rsid w:val="081F49C3"/>
    <w:rsid w:val="083C2FAD"/>
    <w:rsid w:val="084173A5"/>
    <w:rsid w:val="086D1158"/>
    <w:rsid w:val="08716781"/>
    <w:rsid w:val="0889281E"/>
    <w:rsid w:val="08B30675"/>
    <w:rsid w:val="090F6262"/>
    <w:rsid w:val="09496CE9"/>
    <w:rsid w:val="09997F5D"/>
    <w:rsid w:val="099A3476"/>
    <w:rsid w:val="09CB0384"/>
    <w:rsid w:val="0A0124A3"/>
    <w:rsid w:val="0A102D04"/>
    <w:rsid w:val="0A126067"/>
    <w:rsid w:val="0A41560B"/>
    <w:rsid w:val="0A4C6C2E"/>
    <w:rsid w:val="0A5B2AD2"/>
    <w:rsid w:val="0A6A4273"/>
    <w:rsid w:val="0A720004"/>
    <w:rsid w:val="0A7B5FEA"/>
    <w:rsid w:val="0A8559DD"/>
    <w:rsid w:val="0AA02187"/>
    <w:rsid w:val="0AB95822"/>
    <w:rsid w:val="0AC72F97"/>
    <w:rsid w:val="0AD46807"/>
    <w:rsid w:val="0AEE2BB1"/>
    <w:rsid w:val="0B0E5436"/>
    <w:rsid w:val="0B3D2D73"/>
    <w:rsid w:val="0B4A5A7D"/>
    <w:rsid w:val="0B696972"/>
    <w:rsid w:val="0B6E3CD0"/>
    <w:rsid w:val="0B715695"/>
    <w:rsid w:val="0BA73045"/>
    <w:rsid w:val="0BC83026"/>
    <w:rsid w:val="0BF3089B"/>
    <w:rsid w:val="0C1E10F2"/>
    <w:rsid w:val="0C314211"/>
    <w:rsid w:val="0CAA752F"/>
    <w:rsid w:val="0CF07B46"/>
    <w:rsid w:val="0D2F6BEC"/>
    <w:rsid w:val="0D4F04DF"/>
    <w:rsid w:val="0D5E0286"/>
    <w:rsid w:val="0D8B1457"/>
    <w:rsid w:val="0D8F0A98"/>
    <w:rsid w:val="0D9744AC"/>
    <w:rsid w:val="0DC510D9"/>
    <w:rsid w:val="0DC82F0C"/>
    <w:rsid w:val="0DFB653F"/>
    <w:rsid w:val="0E916A20"/>
    <w:rsid w:val="0E96359F"/>
    <w:rsid w:val="0E9847F9"/>
    <w:rsid w:val="0E9A645D"/>
    <w:rsid w:val="0EE907FE"/>
    <w:rsid w:val="0EEE5377"/>
    <w:rsid w:val="0EFA1E5D"/>
    <w:rsid w:val="0F0E4A9D"/>
    <w:rsid w:val="0F292A97"/>
    <w:rsid w:val="0F6C6BD1"/>
    <w:rsid w:val="0FA26D91"/>
    <w:rsid w:val="0FCF5B6F"/>
    <w:rsid w:val="10180D48"/>
    <w:rsid w:val="102E1A74"/>
    <w:rsid w:val="103653C0"/>
    <w:rsid w:val="103B64E4"/>
    <w:rsid w:val="104C27FD"/>
    <w:rsid w:val="1052516A"/>
    <w:rsid w:val="106817D2"/>
    <w:rsid w:val="10AD2D3A"/>
    <w:rsid w:val="1110407C"/>
    <w:rsid w:val="11845DF9"/>
    <w:rsid w:val="118767BE"/>
    <w:rsid w:val="11894BA4"/>
    <w:rsid w:val="11F71865"/>
    <w:rsid w:val="120E1655"/>
    <w:rsid w:val="120E4D00"/>
    <w:rsid w:val="1215279E"/>
    <w:rsid w:val="1266364E"/>
    <w:rsid w:val="127252D9"/>
    <w:rsid w:val="12743DA1"/>
    <w:rsid w:val="12925930"/>
    <w:rsid w:val="12A40E43"/>
    <w:rsid w:val="12D269BD"/>
    <w:rsid w:val="12D524A5"/>
    <w:rsid w:val="12DC20B2"/>
    <w:rsid w:val="12EE462A"/>
    <w:rsid w:val="13104BA4"/>
    <w:rsid w:val="131753D2"/>
    <w:rsid w:val="136A385D"/>
    <w:rsid w:val="136D12D3"/>
    <w:rsid w:val="138B1743"/>
    <w:rsid w:val="13B855DB"/>
    <w:rsid w:val="13C55472"/>
    <w:rsid w:val="13D2182D"/>
    <w:rsid w:val="1419733A"/>
    <w:rsid w:val="141E3424"/>
    <w:rsid w:val="14224A2C"/>
    <w:rsid w:val="14344BA3"/>
    <w:rsid w:val="14812C84"/>
    <w:rsid w:val="14A919C8"/>
    <w:rsid w:val="14C62756"/>
    <w:rsid w:val="14CA086A"/>
    <w:rsid w:val="14CB21C3"/>
    <w:rsid w:val="14CE6C87"/>
    <w:rsid w:val="14CF7A8B"/>
    <w:rsid w:val="14F3064D"/>
    <w:rsid w:val="15011CF2"/>
    <w:rsid w:val="150D1BF9"/>
    <w:rsid w:val="1511124A"/>
    <w:rsid w:val="153A12B2"/>
    <w:rsid w:val="156D118E"/>
    <w:rsid w:val="15756E4E"/>
    <w:rsid w:val="15A8101D"/>
    <w:rsid w:val="15C745A0"/>
    <w:rsid w:val="160942D1"/>
    <w:rsid w:val="16236320"/>
    <w:rsid w:val="16A92C53"/>
    <w:rsid w:val="17193530"/>
    <w:rsid w:val="17361B3B"/>
    <w:rsid w:val="175E2F48"/>
    <w:rsid w:val="175E4A04"/>
    <w:rsid w:val="17711E2C"/>
    <w:rsid w:val="177E1E4B"/>
    <w:rsid w:val="17915D71"/>
    <w:rsid w:val="17B02452"/>
    <w:rsid w:val="17BB3D5C"/>
    <w:rsid w:val="17C44642"/>
    <w:rsid w:val="17D432FC"/>
    <w:rsid w:val="17DD534C"/>
    <w:rsid w:val="18161B49"/>
    <w:rsid w:val="18C866E3"/>
    <w:rsid w:val="18E10F6F"/>
    <w:rsid w:val="18EA675B"/>
    <w:rsid w:val="191E240C"/>
    <w:rsid w:val="192478B1"/>
    <w:rsid w:val="19571CBE"/>
    <w:rsid w:val="195C6C6F"/>
    <w:rsid w:val="1964357A"/>
    <w:rsid w:val="19B602C3"/>
    <w:rsid w:val="19C93924"/>
    <w:rsid w:val="1A4F4E76"/>
    <w:rsid w:val="1A54390B"/>
    <w:rsid w:val="1A616077"/>
    <w:rsid w:val="1A6E36AF"/>
    <w:rsid w:val="1A7A3C4A"/>
    <w:rsid w:val="1A8D3C51"/>
    <w:rsid w:val="1A92338A"/>
    <w:rsid w:val="1A943AC2"/>
    <w:rsid w:val="1AA9577B"/>
    <w:rsid w:val="1ADC279E"/>
    <w:rsid w:val="1B605142"/>
    <w:rsid w:val="1B933FD8"/>
    <w:rsid w:val="1B9D3B7A"/>
    <w:rsid w:val="1BA01C22"/>
    <w:rsid w:val="1BA206B7"/>
    <w:rsid w:val="1BD148C1"/>
    <w:rsid w:val="1BE10B5B"/>
    <w:rsid w:val="1BE37264"/>
    <w:rsid w:val="1C282571"/>
    <w:rsid w:val="1C535413"/>
    <w:rsid w:val="1C5366E6"/>
    <w:rsid w:val="1C5D4BFC"/>
    <w:rsid w:val="1C854545"/>
    <w:rsid w:val="1CB65C48"/>
    <w:rsid w:val="1CB87FD6"/>
    <w:rsid w:val="1CBD7BCA"/>
    <w:rsid w:val="1CCB1A9A"/>
    <w:rsid w:val="1D246C05"/>
    <w:rsid w:val="1D390EA1"/>
    <w:rsid w:val="1D6720A4"/>
    <w:rsid w:val="1DA16F3D"/>
    <w:rsid w:val="1DB036CC"/>
    <w:rsid w:val="1E296F94"/>
    <w:rsid w:val="1E570D49"/>
    <w:rsid w:val="1E6506D7"/>
    <w:rsid w:val="1E722185"/>
    <w:rsid w:val="1E76581C"/>
    <w:rsid w:val="1E9912F1"/>
    <w:rsid w:val="1EB42325"/>
    <w:rsid w:val="1EBF62C1"/>
    <w:rsid w:val="1EE94FE3"/>
    <w:rsid w:val="1EF145C9"/>
    <w:rsid w:val="1F0441C8"/>
    <w:rsid w:val="1F265A18"/>
    <w:rsid w:val="1F4D1FBA"/>
    <w:rsid w:val="1F4D675D"/>
    <w:rsid w:val="1F634ED3"/>
    <w:rsid w:val="1F796418"/>
    <w:rsid w:val="1FED4718"/>
    <w:rsid w:val="1FF41749"/>
    <w:rsid w:val="1FFC5B4C"/>
    <w:rsid w:val="20066BF5"/>
    <w:rsid w:val="20097CAB"/>
    <w:rsid w:val="20274739"/>
    <w:rsid w:val="20313939"/>
    <w:rsid w:val="203A0D6D"/>
    <w:rsid w:val="20400444"/>
    <w:rsid w:val="206C30A4"/>
    <w:rsid w:val="206F6A78"/>
    <w:rsid w:val="208F1251"/>
    <w:rsid w:val="20B23CC2"/>
    <w:rsid w:val="20D95C74"/>
    <w:rsid w:val="20DB360B"/>
    <w:rsid w:val="21504A00"/>
    <w:rsid w:val="21582F30"/>
    <w:rsid w:val="21667C9B"/>
    <w:rsid w:val="22005475"/>
    <w:rsid w:val="221E22FE"/>
    <w:rsid w:val="223C6951"/>
    <w:rsid w:val="22505F47"/>
    <w:rsid w:val="22637214"/>
    <w:rsid w:val="229D5830"/>
    <w:rsid w:val="22AF6C9E"/>
    <w:rsid w:val="22B843A0"/>
    <w:rsid w:val="22BC3C80"/>
    <w:rsid w:val="22C05FBF"/>
    <w:rsid w:val="22D04347"/>
    <w:rsid w:val="22E56537"/>
    <w:rsid w:val="22E710F6"/>
    <w:rsid w:val="231E2683"/>
    <w:rsid w:val="23A10708"/>
    <w:rsid w:val="23A87B09"/>
    <w:rsid w:val="246D71F6"/>
    <w:rsid w:val="248C4D74"/>
    <w:rsid w:val="24B24D13"/>
    <w:rsid w:val="24D20E93"/>
    <w:rsid w:val="25547B1B"/>
    <w:rsid w:val="25943E77"/>
    <w:rsid w:val="25B06B62"/>
    <w:rsid w:val="25CB08B9"/>
    <w:rsid w:val="25E11D2E"/>
    <w:rsid w:val="25FB5DEA"/>
    <w:rsid w:val="26016569"/>
    <w:rsid w:val="261F16DF"/>
    <w:rsid w:val="265F6FA5"/>
    <w:rsid w:val="267D5062"/>
    <w:rsid w:val="26A814FD"/>
    <w:rsid w:val="26C76206"/>
    <w:rsid w:val="271B625D"/>
    <w:rsid w:val="272B67FD"/>
    <w:rsid w:val="27327008"/>
    <w:rsid w:val="27AC1B14"/>
    <w:rsid w:val="27B933B9"/>
    <w:rsid w:val="27CF5259"/>
    <w:rsid w:val="27FD1226"/>
    <w:rsid w:val="280B47E8"/>
    <w:rsid w:val="280F0C89"/>
    <w:rsid w:val="282C1690"/>
    <w:rsid w:val="28337093"/>
    <w:rsid w:val="28655860"/>
    <w:rsid w:val="286611FF"/>
    <w:rsid w:val="288D3EC6"/>
    <w:rsid w:val="28932323"/>
    <w:rsid w:val="28AA30EC"/>
    <w:rsid w:val="28AF01F0"/>
    <w:rsid w:val="28F8500F"/>
    <w:rsid w:val="2918652B"/>
    <w:rsid w:val="291A2612"/>
    <w:rsid w:val="29A152CD"/>
    <w:rsid w:val="29A96A5F"/>
    <w:rsid w:val="29AB2A4E"/>
    <w:rsid w:val="29EC4CA3"/>
    <w:rsid w:val="29F93EE3"/>
    <w:rsid w:val="2A1308C7"/>
    <w:rsid w:val="2A4062FE"/>
    <w:rsid w:val="2A463DA2"/>
    <w:rsid w:val="2A911414"/>
    <w:rsid w:val="2AB13C9D"/>
    <w:rsid w:val="2AD45285"/>
    <w:rsid w:val="2ADC7FE9"/>
    <w:rsid w:val="2ADD7FAA"/>
    <w:rsid w:val="2AE078CA"/>
    <w:rsid w:val="2AF543D6"/>
    <w:rsid w:val="2B2417F0"/>
    <w:rsid w:val="2B356E8F"/>
    <w:rsid w:val="2B3A4DFD"/>
    <w:rsid w:val="2B415BC8"/>
    <w:rsid w:val="2B656CE8"/>
    <w:rsid w:val="2BBE2DB3"/>
    <w:rsid w:val="2BCF3764"/>
    <w:rsid w:val="2BD71970"/>
    <w:rsid w:val="2BD9541C"/>
    <w:rsid w:val="2BFC0F32"/>
    <w:rsid w:val="2C113772"/>
    <w:rsid w:val="2C2877CD"/>
    <w:rsid w:val="2C3E259E"/>
    <w:rsid w:val="2C5948B7"/>
    <w:rsid w:val="2C747DA7"/>
    <w:rsid w:val="2C9F28DC"/>
    <w:rsid w:val="2CA361AB"/>
    <w:rsid w:val="2CAE788C"/>
    <w:rsid w:val="2CB25639"/>
    <w:rsid w:val="2CBC66F1"/>
    <w:rsid w:val="2CD25A49"/>
    <w:rsid w:val="2D481AC6"/>
    <w:rsid w:val="2D4F336C"/>
    <w:rsid w:val="2D8E2C93"/>
    <w:rsid w:val="2DB03EC5"/>
    <w:rsid w:val="2DBC314C"/>
    <w:rsid w:val="2DE34F95"/>
    <w:rsid w:val="2E3F74F5"/>
    <w:rsid w:val="2E4534D3"/>
    <w:rsid w:val="2E631A71"/>
    <w:rsid w:val="2E7C1A68"/>
    <w:rsid w:val="2ED02EF7"/>
    <w:rsid w:val="2F547D74"/>
    <w:rsid w:val="2F561863"/>
    <w:rsid w:val="2F651B66"/>
    <w:rsid w:val="2F776664"/>
    <w:rsid w:val="2FAE2E15"/>
    <w:rsid w:val="2FBE2B78"/>
    <w:rsid w:val="2FE9205F"/>
    <w:rsid w:val="2FF301E2"/>
    <w:rsid w:val="30856849"/>
    <w:rsid w:val="309C4AA6"/>
    <w:rsid w:val="30A1250C"/>
    <w:rsid w:val="30E343E7"/>
    <w:rsid w:val="30F30950"/>
    <w:rsid w:val="30FB5F09"/>
    <w:rsid w:val="31013351"/>
    <w:rsid w:val="310D1A68"/>
    <w:rsid w:val="310D5BC4"/>
    <w:rsid w:val="31171E92"/>
    <w:rsid w:val="31205786"/>
    <w:rsid w:val="3148067E"/>
    <w:rsid w:val="3151401F"/>
    <w:rsid w:val="317A25EF"/>
    <w:rsid w:val="31A24108"/>
    <w:rsid w:val="31A715D8"/>
    <w:rsid w:val="31AA05A3"/>
    <w:rsid w:val="31AD6012"/>
    <w:rsid w:val="31BD601F"/>
    <w:rsid w:val="31EB50D1"/>
    <w:rsid w:val="320B79A3"/>
    <w:rsid w:val="323B6B0F"/>
    <w:rsid w:val="326B1A81"/>
    <w:rsid w:val="3282768F"/>
    <w:rsid w:val="32BF65CE"/>
    <w:rsid w:val="32C00948"/>
    <w:rsid w:val="330C7985"/>
    <w:rsid w:val="331D15B3"/>
    <w:rsid w:val="3320371B"/>
    <w:rsid w:val="33347C99"/>
    <w:rsid w:val="335A482C"/>
    <w:rsid w:val="33652AF9"/>
    <w:rsid w:val="336C5C65"/>
    <w:rsid w:val="338D7697"/>
    <w:rsid w:val="33D53A28"/>
    <w:rsid w:val="33E05DD2"/>
    <w:rsid w:val="3475074E"/>
    <w:rsid w:val="34D943DC"/>
    <w:rsid w:val="352D4A25"/>
    <w:rsid w:val="35454A86"/>
    <w:rsid w:val="355228E8"/>
    <w:rsid w:val="35942684"/>
    <w:rsid w:val="36810BF1"/>
    <w:rsid w:val="36932A15"/>
    <w:rsid w:val="36AD0EA9"/>
    <w:rsid w:val="36C02874"/>
    <w:rsid w:val="373D374C"/>
    <w:rsid w:val="37542BD3"/>
    <w:rsid w:val="3775100E"/>
    <w:rsid w:val="37776F51"/>
    <w:rsid w:val="37C93DFD"/>
    <w:rsid w:val="37E0334E"/>
    <w:rsid w:val="37E32761"/>
    <w:rsid w:val="37F049A5"/>
    <w:rsid w:val="3803269E"/>
    <w:rsid w:val="38913614"/>
    <w:rsid w:val="38987BFF"/>
    <w:rsid w:val="38C42356"/>
    <w:rsid w:val="38D46DA3"/>
    <w:rsid w:val="38D9576E"/>
    <w:rsid w:val="38FF2B03"/>
    <w:rsid w:val="394163A1"/>
    <w:rsid w:val="39563361"/>
    <w:rsid w:val="395D4B3E"/>
    <w:rsid w:val="395F1824"/>
    <w:rsid w:val="398629FA"/>
    <w:rsid w:val="399D00AF"/>
    <w:rsid w:val="39A81DD4"/>
    <w:rsid w:val="3A3F4151"/>
    <w:rsid w:val="3A673CEB"/>
    <w:rsid w:val="3A9E1F0C"/>
    <w:rsid w:val="3ABB4ED3"/>
    <w:rsid w:val="3AD23CC0"/>
    <w:rsid w:val="3AE50B0E"/>
    <w:rsid w:val="3AEA1E60"/>
    <w:rsid w:val="3B244E4A"/>
    <w:rsid w:val="3B2659E1"/>
    <w:rsid w:val="3B310466"/>
    <w:rsid w:val="3B436D09"/>
    <w:rsid w:val="3BA3464B"/>
    <w:rsid w:val="3BA437CA"/>
    <w:rsid w:val="3C2D3050"/>
    <w:rsid w:val="3C40250D"/>
    <w:rsid w:val="3C473E61"/>
    <w:rsid w:val="3C880FC2"/>
    <w:rsid w:val="3C8F07BE"/>
    <w:rsid w:val="3CA20124"/>
    <w:rsid w:val="3CA5589B"/>
    <w:rsid w:val="3CCC1874"/>
    <w:rsid w:val="3CDA6520"/>
    <w:rsid w:val="3CE87E2D"/>
    <w:rsid w:val="3CF17A41"/>
    <w:rsid w:val="3D0B2285"/>
    <w:rsid w:val="3D0C3BDF"/>
    <w:rsid w:val="3D2F6AD8"/>
    <w:rsid w:val="3D5A048D"/>
    <w:rsid w:val="3DA9265A"/>
    <w:rsid w:val="3DB937FD"/>
    <w:rsid w:val="3DD317EF"/>
    <w:rsid w:val="3DE00B40"/>
    <w:rsid w:val="3E563B9B"/>
    <w:rsid w:val="3E5F5F35"/>
    <w:rsid w:val="3E700549"/>
    <w:rsid w:val="3E7A492C"/>
    <w:rsid w:val="3F2F75DF"/>
    <w:rsid w:val="3F3974AF"/>
    <w:rsid w:val="3F397B55"/>
    <w:rsid w:val="3F702680"/>
    <w:rsid w:val="3FC86881"/>
    <w:rsid w:val="3FDB2C1D"/>
    <w:rsid w:val="400D2A20"/>
    <w:rsid w:val="401B26C5"/>
    <w:rsid w:val="40256A49"/>
    <w:rsid w:val="40405555"/>
    <w:rsid w:val="404D0E2B"/>
    <w:rsid w:val="40786550"/>
    <w:rsid w:val="407E70F9"/>
    <w:rsid w:val="4083778B"/>
    <w:rsid w:val="409A4BCD"/>
    <w:rsid w:val="40F71A9E"/>
    <w:rsid w:val="40FE39A8"/>
    <w:rsid w:val="41072774"/>
    <w:rsid w:val="41087697"/>
    <w:rsid w:val="412346D9"/>
    <w:rsid w:val="415F3AED"/>
    <w:rsid w:val="41787F13"/>
    <w:rsid w:val="418D7880"/>
    <w:rsid w:val="41BC46D2"/>
    <w:rsid w:val="41CE2D7D"/>
    <w:rsid w:val="41DE442E"/>
    <w:rsid w:val="420A2093"/>
    <w:rsid w:val="42175737"/>
    <w:rsid w:val="4224699C"/>
    <w:rsid w:val="423F4654"/>
    <w:rsid w:val="424827F4"/>
    <w:rsid w:val="42751640"/>
    <w:rsid w:val="42A66F34"/>
    <w:rsid w:val="42CD40B9"/>
    <w:rsid w:val="42DA1091"/>
    <w:rsid w:val="42E11D93"/>
    <w:rsid w:val="42F93DC7"/>
    <w:rsid w:val="43527029"/>
    <w:rsid w:val="435577FC"/>
    <w:rsid w:val="43791F5C"/>
    <w:rsid w:val="43816848"/>
    <w:rsid w:val="43EF065D"/>
    <w:rsid w:val="44193183"/>
    <w:rsid w:val="44347888"/>
    <w:rsid w:val="44A552D3"/>
    <w:rsid w:val="44E94982"/>
    <w:rsid w:val="44F41EC5"/>
    <w:rsid w:val="45453A2E"/>
    <w:rsid w:val="45A06F5C"/>
    <w:rsid w:val="45C31837"/>
    <w:rsid w:val="45E86791"/>
    <w:rsid w:val="45ED78F0"/>
    <w:rsid w:val="45F63AB0"/>
    <w:rsid w:val="46925487"/>
    <w:rsid w:val="469B26EE"/>
    <w:rsid w:val="46BD0C60"/>
    <w:rsid w:val="46BD2CD2"/>
    <w:rsid w:val="46D2735A"/>
    <w:rsid w:val="46EA072E"/>
    <w:rsid w:val="46FC428E"/>
    <w:rsid w:val="4711279C"/>
    <w:rsid w:val="477930D0"/>
    <w:rsid w:val="47884BCA"/>
    <w:rsid w:val="478A5120"/>
    <w:rsid w:val="47BA1041"/>
    <w:rsid w:val="48204969"/>
    <w:rsid w:val="48382C33"/>
    <w:rsid w:val="48431AE0"/>
    <w:rsid w:val="488D3865"/>
    <w:rsid w:val="48BF303D"/>
    <w:rsid w:val="48CF72D4"/>
    <w:rsid w:val="49167350"/>
    <w:rsid w:val="49340032"/>
    <w:rsid w:val="493912B4"/>
    <w:rsid w:val="493D638A"/>
    <w:rsid w:val="49581800"/>
    <w:rsid w:val="496622F9"/>
    <w:rsid w:val="49671838"/>
    <w:rsid w:val="496B65F9"/>
    <w:rsid w:val="49BB4D66"/>
    <w:rsid w:val="49C74A93"/>
    <w:rsid w:val="49D13F40"/>
    <w:rsid w:val="4A3C46F3"/>
    <w:rsid w:val="4A542E5F"/>
    <w:rsid w:val="4A91001A"/>
    <w:rsid w:val="4AA65BCB"/>
    <w:rsid w:val="4AD44DC9"/>
    <w:rsid w:val="4B203760"/>
    <w:rsid w:val="4B2E01C4"/>
    <w:rsid w:val="4B3C6DA8"/>
    <w:rsid w:val="4B4207C5"/>
    <w:rsid w:val="4B4B2CE8"/>
    <w:rsid w:val="4B7B20B6"/>
    <w:rsid w:val="4BB43185"/>
    <w:rsid w:val="4BBD62B2"/>
    <w:rsid w:val="4BCC737E"/>
    <w:rsid w:val="4BD90C77"/>
    <w:rsid w:val="4BEF4DAF"/>
    <w:rsid w:val="4C113746"/>
    <w:rsid w:val="4C345BB2"/>
    <w:rsid w:val="4C37334B"/>
    <w:rsid w:val="4C477B37"/>
    <w:rsid w:val="4CB47379"/>
    <w:rsid w:val="4CEC4311"/>
    <w:rsid w:val="4D067E1E"/>
    <w:rsid w:val="4D0F1837"/>
    <w:rsid w:val="4D2A3B2B"/>
    <w:rsid w:val="4D801725"/>
    <w:rsid w:val="4D9150EA"/>
    <w:rsid w:val="4D9724BF"/>
    <w:rsid w:val="4DC33E96"/>
    <w:rsid w:val="4DC55094"/>
    <w:rsid w:val="4DEC319D"/>
    <w:rsid w:val="4DF11126"/>
    <w:rsid w:val="4DFF5066"/>
    <w:rsid w:val="4E313F69"/>
    <w:rsid w:val="4E3B1CD0"/>
    <w:rsid w:val="4E495FA0"/>
    <w:rsid w:val="4E4A1C14"/>
    <w:rsid w:val="4F0F52FA"/>
    <w:rsid w:val="4F1C6809"/>
    <w:rsid w:val="4F477694"/>
    <w:rsid w:val="4F51613C"/>
    <w:rsid w:val="4F566290"/>
    <w:rsid w:val="4F9841D8"/>
    <w:rsid w:val="4FA0162B"/>
    <w:rsid w:val="4FDF77C2"/>
    <w:rsid w:val="50143EA3"/>
    <w:rsid w:val="5028630E"/>
    <w:rsid w:val="502A2D3A"/>
    <w:rsid w:val="508479ED"/>
    <w:rsid w:val="50AC16A9"/>
    <w:rsid w:val="50AF6AA9"/>
    <w:rsid w:val="50C56009"/>
    <w:rsid w:val="50D24C1B"/>
    <w:rsid w:val="50D440F9"/>
    <w:rsid w:val="50FC6416"/>
    <w:rsid w:val="511E5DEE"/>
    <w:rsid w:val="516960AD"/>
    <w:rsid w:val="518528BD"/>
    <w:rsid w:val="51B50D16"/>
    <w:rsid w:val="51E44B88"/>
    <w:rsid w:val="52366AF2"/>
    <w:rsid w:val="527E105E"/>
    <w:rsid w:val="528057BC"/>
    <w:rsid w:val="52851C3B"/>
    <w:rsid w:val="529555FD"/>
    <w:rsid w:val="52E11A47"/>
    <w:rsid w:val="52FB55CB"/>
    <w:rsid w:val="53056E37"/>
    <w:rsid w:val="538A5BD1"/>
    <w:rsid w:val="53AB5D77"/>
    <w:rsid w:val="53DA6A6E"/>
    <w:rsid w:val="540D7637"/>
    <w:rsid w:val="54233777"/>
    <w:rsid w:val="54AF71F2"/>
    <w:rsid w:val="54C03B8C"/>
    <w:rsid w:val="54C678A3"/>
    <w:rsid w:val="54DE73B1"/>
    <w:rsid w:val="54E07EB4"/>
    <w:rsid w:val="54FD2C03"/>
    <w:rsid w:val="55006C80"/>
    <w:rsid w:val="55083BF4"/>
    <w:rsid w:val="551F5AB2"/>
    <w:rsid w:val="553E616A"/>
    <w:rsid w:val="5548270D"/>
    <w:rsid w:val="55580397"/>
    <w:rsid w:val="557523EE"/>
    <w:rsid w:val="55CD1BB7"/>
    <w:rsid w:val="55D162C7"/>
    <w:rsid w:val="55F61370"/>
    <w:rsid w:val="5658254F"/>
    <w:rsid w:val="56695FC8"/>
    <w:rsid w:val="56934993"/>
    <w:rsid w:val="569E4C83"/>
    <w:rsid w:val="56AE5E52"/>
    <w:rsid w:val="56CE03AA"/>
    <w:rsid w:val="56F2046F"/>
    <w:rsid w:val="57115DB7"/>
    <w:rsid w:val="572349DD"/>
    <w:rsid w:val="575314A1"/>
    <w:rsid w:val="575A3075"/>
    <w:rsid w:val="57684609"/>
    <w:rsid w:val="57D617FB"/>
    <w:rsid w:val="57EA1FC3"/>
    <w:rsid w:val="57EE2C51"/>
    <w:rsid w:val="58220AC2"/>
    <w:rsid w:val="582404DB"/>
    <w:rsid w:val="582B5BCE"/>
    <w:rsid w:val="58781297"/>
    <w:rsid w:val="589B434F"/>
    <w:rsid w:val="58BB1124"/>
    <w:rsid w:val="58C108B3"/>
    <w:rsid w:val="58CA3DF5"/>
    <w:rsid w:val="58F3147C"/>
    <w:rsid w:val="59200CA7"/>
    <w:rsid w:val="59361F28"/>
    <w:rsid w:val="59595D8B"/>
    <w:rsid w:val="59B86E37"/>
    <w:rsid w:val="5A0A7BDC"/>
    <w:rsid w:val="5A2423E6"/>
    <w:rsid w:val="5A420567"/>
    <w:rsid w:val="5A443547"/>
    <w:rsid w:val="5A9805BE"/>
    <w:rsid w:val="5AA50041"/>
    <w:rsid w:val="5AC8292D"/>
    <w:rsid w:val="5AFD4C0B"/>
    <w:rsid w:val="5B5142C1"/>
    <w:rsid w:val="5BB51822"/>
    <w:rsid w:val="5C1C4FB7"/>
    <w:rsid w:val="5C511065"/>
    <w:rsid w:val="5C835F6E"/>
    <w:rsid w:val="5CD80816"/>
    <w:rsid w:val="5CF31F17"/>
    <w:rsid w:val="5D020FEC"/>
    <w:rsid w:val="5D2C72E5"/>
    <w:rsid w:val="5D475CB8"/>
    <w:rsid w:val="5D843592"/>
    <w:rsid w:val="5DCE4E16"/>
    <w:rsid w:val="5E1C0853"/>
    <w:rsid w:val="5E2328AA"/>
    <w:rsid w:val="5E491B01"/>
    <w:rsid w:val="5E666D7C"/>
    <w:rsid w:val="5E8B31B0"/>
    <w:rsid w:val="5EA019B5"/>
    <w:rsid w:val="5EA600BF"/>
    <w:rsid w:val="5EC60225"/>
    <w:rsid w:val="5EFB0CC6"/>
    <w:rsid w:val="5F0E33DE"/>
    <w:rsid w:val="5F595990"/>
    <w:rsid w:val="5F8E26CA"/>
    <w:rsid w:val="5FDE1D0B"/>
    <w:rsid w:val="6002148D"/>
    <w:rsid w:val="60AE0E75"/>
    <w:rsid w:val="60AE3A71"/>
    <w:rsid w:val="60D271E4"/>
    <w:rsid w:val="60F274CF"/>
    <w:rsid w:val="615A275B"/>
    <w:rsid w:val="61603BF3"/>
    <w:rsid w:val="61730343"/>
    <w:rsid w:val="619579AC"/>
    <w:rsid w:val="619C16C1"/>
    <w:rsid w:val="61AA6B36"/>
    <w:rsid w:val="620A472A"/>
    <w:rsid w:val="62142F5B"/>
    <w:rsid w:val="6228347D"/>
    <w:rsid w:val="622E6F56"/>
    <w:rsid w:val="624F3A0D"/>
    <w:rsid w:val="62613023"/>
    <w:rsid w:val="627C183B"/>
    <w:rsid w:val="62CD0DB2"/>
    <w:rsid w:val="62D0544D"/>
    <w:rsid w:val="62E04A0A"/>
    <w:rsid w:val="62F62BC9"/>
    <w:rsid w:val="630D3254"/>
    <w:rsid w:val="63160660"/>
    <w:rsid w:val="633970AD"/>
    <w:rsid w:val="63694D0B"/>
    <w:rsid w:val="637371AD"/>
    <w:rsid w:val="639768D8"/>
    <w:rsid w:val="639A6E9A"/>
    <w:rsid w:val="63AC7EFE"/>
    <w:rsid w:val="63E40674"/>
    <w:rsid w:val="6407258B"/>
    <w:rsid w:val="64096736"/>
    <w:rsid w:val="6411279C"/>
    <w:rsid w:val="64127B45"/>
    <w:rsid w:val="644D7CA5"/>
    <w:rsid w:val="64654716"/>
    <w:rsid w:val="64814CFE"/>
    <w:rsid w:val="64882593"/>
    <w:rsid w:val="64B14AE2"/>
    <w:rsid w:val="64B5737C"/>
    <w:rsid w:val="64C6589C"/>
    <w:rsid w:val="64CF5348"/>
    <w:rsid w:val="64DD5285"/>
    <w:rsid w:val="64EC22ED"/>
    <w:rsid w:val="64FF2784"/>
    <w:rsid w:val="65113459"/>
    <w:rsid w:val="65190DD0"/>
    <w:rsid w:val="651A5F39"/>
    <w:rsid w:val="652327B5"/>
    <w:rsid w:val="652C6670"/>
    <w:rsid w:val="653966E9"/>
    <w:rsid w:val="65484A0A"/>
    <w:rsid w:val="6582645C"/>
    <w:rsid w:val="658B4A88"/>
    <w:rsid w:val="659B66CB"/>
    <w:rsid w:val="65AD0281"/>
    <w:rsid w:val="65EA78B6"/>
    <w:rsid w:val="65ED46CD"/>
    <w:rsid w:val="66144B31"/>
    <w:rsid w:val="664F5B58"/>
    <w:rsid w:val="6654170F"/>
    <w:rsid w:val="66572414"/>
    <w:rsid w:val="666A74FD"/>
    <w:rsid w:val="66812A2C"/>
    <w:rsid w:val="66851100"/>
    <w:rsid w:val="669C3CB6"/>
    <w:rsid w:val="66A55C1D"/>
    <w:rsid w:val="66B05C0B"/>
    <w:rsid w:val="66BF5A49"/>
    <w:rsid w:val="66D31293"/>
    <w:rsid w:val="66DE0DD9"/>
    <w:rsid w:val="66E3464C"/>
    <w:rsid w:val="670C68B0"/>
    <w:rsid w:val="67314A1B"/>
    <w:rsid w:val="67440259"/>
    <w:rsid w:val="67560C70"/>
    <w:rsid w:val="678B30B7"/>
    <w:rsid w:val="67A018DC"/>
    <w:rsid w:val="67F72977"/>
    <w:rsid w:val="680520FB"/>
    <w:rsid w:val="680F326F"/>
    <w:rsid w:val="681D47D3"/>
    <w:rsid w:val="68653D66"/>
    <w:rsid w:val="68793B46"/>
    <w:rsid w:val="687958E0"/>
    <w:rsid w:val="689C54BB"/>
    <w:rsid w:val="68A17112"/>
    <w:rsid w:val="68C936CD"/>
    <w:rsid w:val="68EC2043"/>
    <w:rsid w:val="68EC30AE"/>
    <w:rsid w:val="68F16504"/>
    <w:rsid w:val="68F54E50"/>
    <w:rsid w:val="69057D94"/>
    <w:rsid w:val="691336D3"/>
    <w:rsid w:val="691E2B86"/>
    <w:rsid w:val="691E57E3"/>
    <w:rsid w:val="692E237C"/>
    <w:rsid w:val="694725DA"/>
    <w:rsid w:val="695D1AEE"/>
    <w:rsid w:val="69965091"/>
    <w:rsid w:val="69D04AEF"/>
    <w:rsid w:val="6A351A60"/>
    <w:rsid w:val="6A511CE4"/>
    <w:rsid w:val="6A9F0E4D"/>
    <w:rsid w:val="6AAC36EB"/>
    <w:rsid w:val="6AC95890"/>
    <w:rsid w:val="6AD72064"/>
    <w:rsid w:val="6B327B50"/>
    <w:rsid w:val="6B3308D0"/>
    <w:rsid w:val="6B4D145F"/>
    <w:rsid w:val="6B952B24"/>
    <w:rsid w:val="6B99149C"/>
    <w:rsid w:val="6BA62D5A"/>
    <w:rsid w:val="6BC34ACF"/>
    <w:rsid w:val="6C4746C9"/>
    <w:rsid w:val="6C4C3A09"/>
    <w:rsid w:val="6C4E20CE"/>
    <w:rsid w:val="6C550BA2"/>
    <w:rsid w:val="6C8120DB"/>
    <w:rsid w:val="6CA77424"/>
    <w:rsid w:val="6CC45B46"/>
    <w:rsid w:val="6CC575F7"/>
    <w:rsid w:val="6CDE7AAE"/>
    <w:rsid w:val="6D32701A"/>
    <w:rsid w:val="6D5A7FE9"/>
    <w:rsid w:val="6DA02AF9"/>
    <w:rsid w:val="6DBB38B6"/>
    <w:rsid w:val="6DBF6204"/>
    <w:rsid w:val="6DCB23E0"/>
    <w:rsid w:val="6E130876"/>
    <w:rsid w:val="6E24249C"/>
    <w:rsid w:val="6E254318"/>
    <w:rsid w:val="6E3B1EBF"/>
    <w:rsid w:val="6E48798E"/>
    <w:rsid w:val="6E766BE3"/>
    <w:rsid w:val="6EDE65DD"/>
    <w:rsid w:val="6F065006"/>
    <w:rsid w:val="6F30684F"/>
    <w:rsid w:val="6F362E31"/>
    <w:rsid w:val="6F581562"/>
    <w:rsid w:val="6F6D0C06"/>
    <w:rsid w:val="6F7927CC"/>
    <w:rsid w:val="6F7F141E"/>
    <w:rsid w:val="6FC27D0C"/>
    <w:rsid w:val="6FFC2FEA"/>
    <w:rsid w:val="70195A53"/>
    <w:rsid w:val="702D7E0C"/>
    <w:rsid w:val="703B33B2"/>
    <w:rsid w:val="70580595"/>
    <w:rsid w:val="707648F6"/>
    <w:rsid w:val="707B3352"/>
    <w:rsid w:val="70891AAC"/>
    <w:rsid w:val="70A3255E"/>
    <w:rsid w:val="70A43A6D"/>
    <w:rsid w:val="70DE6609"/>
    <w:rsid w:val="70E35905"/>
    <w:rsid w:val="70E546A9"/>
    <w:rsid w:val="710A1082"/>
    <w:rsid w:val="713402CD"/>
    <w:rsid w:val="7145098E"/>
    <w:rsid w:val="715679E2"/>
    <w:rsid w:val="71607903"/>
    <w:rsid w:val="716C6FA0"/>
    <w:rsid w:val="718D2C45"/>
    <w:rsid w:val="71913F5B"/>
    <w:rsid w:val="71BA3391"/>
    <w:rsid w:val="71C20FF6"/>
    <w:rsid w:val="71C93A88"/>
    <w:rsid w:val="71D539D3"/>
    <w:rsid w:val="71F57AD1"/>
    <w:rsid w:val="721135E1"/>
    <w:rsid w:val="723813F2"/>
    <w:rsid w:val="72427FC3"/>
    <w:rsid w:val="725F3C08"/>
    <w:rsid w:val="726D5E1B"/>
    <w:rsid w:val="727D6E90"/>
    <w:rsid w:val="727E30ED"/>
    <w:rsid w:val="72951093"/>
    <w:rsid w:val="72A7552B"/>
    <w:rsid w:val="72C007C9"/>
    <w:rsid w:val="72EC0FF5"/>
    <w:rsid w:val="72F72B49"/>
    <w:rsid w:val="73055B91"/>
    <w:rsid w:val="732D0CB7"/>
    <w:rsid w:val="734546CF"/>
    <w:rsid w:val="7358660B"/>
    <w:rsid w:val="738D4778"/>
    <w:rsid w:val="738F00B1"/>
    <w:rsid w:val="739A3F67"/>
    <w:rsid w:val="739F6AA4"/>
    <w:rsid w:val="73FC458A"/>
    <w:rsid w:val="74366CBA"/>
    <w:rsid w:val="747312A3"/>
    <w:rsid w:val="749B5AC5"/>
    <w:rsid w:val="74D97141"/>
    <w:rsid w:val="74DD7B52"/>
    <w:rsid w:val="750154D8"/>
    <w:rsid w:val="75122349"/>
    <w:rsid w:val="75161380"/>
    <w:rsid w:val="753135EB"/>
    <w:rsid w:val="75497837"/>
    <w:rsid w:val="757E1D71"/>
    <w:rsid w:val="75805897"/>
    <w:rsid w:val="758F55F2"/>
    <w:rsid w:val="759C7B43"/>
    <w:rsid w:val="75B433BC"/>
    <w:rsid w:val="75CD6D31"/>
    <w:rsid w:val="75E75140"/>
    <w:rsid w:val="75E93FEB"/>
    <w:rsid w:val="75FD3BA1"/>
    <w:rsid w:val="76300DFC"/>
    <w:rsid w:val="7636734D"/>
    <w:rsid w:val="76414984"/>
    <w:rsid w:val="768C678E"/>
    <w:rsid w:val="76C017A1"/>
    <w:rsid w:val="76C35C44"/>
    <w:rsid w:val="76C74E91"/>
    <w:rsid w:val="76C93ADD"/>
    <w:rsid w:val="76E71522"/>
    <w:rsid w:val="772F2ED7"/>
    <w:rsid w:val="77324210"/>
    <w:rsid w:val="774060E3"/>
    <w:rsid w:val="77965D28"/>
    <w:rsid w:val="77A130BF"/>
    <w:rsid w:val="77BA30A2"/>
    <w:rsid w:val="77D85791"/>
    <w:rsid w:val="786A0116"/>
    <w:rsid w:val="78A145D8"/>
    <w:rsid w:val="78E458DB"/>
    <w:rsid w:val="78EE1809"/>
    <w:rsid w:val="79027CC4"/>
    <w:rsid w:val="79052894"/>
    <w:rsid w:val="790C1D70"/>
    <w:rsid w:val="7947732D"/>
    <w:rsid w:val="797C0629"/>
    <w:rsid w:val="79CC07EE"/>
    <w:rsid w:val="79D63314"/>
    <w:rsid w:val="79D67247"/>
    <w:rsid w:val="7A352511"/>
    <w:rsid w:val="7A464A22"/>
    <w:rsid w:val="7A71228C"/>
    <w:rsid w:val="7A8C1F72"/>
    <w:rsid w:val="7AA864A9"/>
    <w:rsid w:val="7ABA2705"/>
    <w:rsid w:val="7ABC1CD4"/>
    <w:rsid w:val="7ADB7FAC"/>
    <w:rsid w:val="7AEF1C7A"/>
    <w:rsid w:val="7B00422B"/>
    <w:rsid w:val="7B3C2BAA"/>
    <w:rsid w:val="7B455FEF"/>
    <w:rsid w:val="7B6337DA"/>
    <w:rsid w:val="7B664FC9"/>
    <w:rsid w:val="7B670514"/>
    <w:rsid w:val="7B7F1089"/>
    <w:rsid w:val="7B9258F2"/>
    <w:rsid w:val="7C103AD8"/>
    <w:rsid w:val="7C176D67"/>
    <w:rsid w:val="7C2F6D06"/>
    <w:rsid w:val="7C3C5B74"/>
    <w:rsid w:val="7C725D8C"/>
    <w:rsid w:val="7CA65BEC"/>
    <w:rsid w:val="7CB04F13"/>
    <w:rsid w:val="7CD17958"/>
    <w:rsid w:val="7CE822A8"/>
    <w:rsid w:val="7D182577"/>
    <w:rsid w:val="7D460A57"/>
    <w:rsid w:val="7D822270"/>
    <w:rsid w:val="7DA0242A"/>
    <w:rsid w:val="7DCC018C"/>
    <w:rsid w:val="7DD008CB"/>
    <w:rsid w:val="7DF30FAB"/>
    <w:rsid w:val="7E43221B"/>
    <w:rsid w:val="7E473BFF"/>
    <w:rsid w:val="7E4E0891"/>
    <w:rsid w:val="7E811D93"/>
    <w:rsid w:val="7ED75978"/>
    <w:rsid w:val="7EE4691E"/>
    <w:rsid w:val="7F091340"/>
    <w:rsid w:val="7F1E1A9D"/>
    <w:rsid w:val="7F424B10"/>
    <w:rsid w:val="7F6E6E9E"/>
    <w:rsid w:val="7F713277"/>
    <w:rsid w:val="7FC1658E"/>
    <w:rsid w:val="7FFE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0"/>
    <w:pPr>
      <w:keepNext/>
      <w:keepLines/>
      <w:spacing w:before="340" w:after="330" w:line="576" w:lineRule="auto"/>
      <w:outlineLvl w:val="0"/>
    </w:pPr>
    <w:rPr>
      <w:b/>
      <w:kern w:val="44"/>
      <w:sz w:val="32"/>
      <w:szCs w:val="20"/>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paragraph" w:styleId="6">
    <w:name w:val="heading 3"/>
    <w:basedOn w:val="1"/>
    <w:next w:val="5"/>
    <w:qFormat/>
    <w:uiPriority w:val="0"/>
    <w:pPr>
      <w:keepNext/>
      <w:keepLines/>
      <w:spacing w:before="260" w:after="260" w:line="412" w:lineRule="auto"/>
      <w:outlineLvl w:val="2"/>
    </w:pPr>
    <w:rPr>
      <w:b/>
      <w:sz w:val="32"/>
      <w:szCs w:val="20"/>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5"/>
    <w:qFormat/>
    <w:uiPriority w:val="0"/>
    <w:pPr>
      <w:keepNext/>
      <w:keepLines/>
      <w:numPr>
        <w:ilvl w:val="4"/>
        <w:numId w:val="1"/>
      </w:numPr>
      <w:spacing w:before="280" w:after="290" w:line="372" w:lineRule="auto"/>
      <w:outlineLvl w:val="4"/>
    </w:pPr>
    <w:rPr>
      <w:b/>
      <w:sz w:val="28"/>
    </w:rPr>
  </w:style>
  <w:style w:type="paragraph" w:styleId="9">
    <w:name w:val="heading 6"/>
    <w:basedOn w:val="1"/>
    <w:next w:val="5"/>
    <w:qFormat/>
    <w:uiPriority w:val="0"/>
    <w:pPr>
      <w:keepNext/>
      <w:keepLines/>
      <w:numPr>
        <w:ilvl w:val="5"/>
        <w:numId w:val="1"/>
      </w:numPr>
      <w:spacing w:before="240" w:after="64" w:line="316"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16" w:lineRule="auto"/>
      <w:outlineLvl w:val="6"/>
    </w:pPr>
    <w:rPr>
      <w:b/>
      <w:sz w:val="24"/>
    </w:rPr>
  </w:style>
  <w:style w:type="paragraph" w:styleId="11">
    <w:name w:val="heading 8"/>
    <w:basedOn w:val="1"/>
    <w:next w:val="5"/>
    <w:qFormat/>
    <w:uiPriority w:val="0"/>
    <w:pPr>
      <w:keepNext/>
      <w:keepLines/>
      <w:numPr>
        <w:ilvl w:val="7"/>
        <w:numId w:val="1"/>
      </w:numPr>
      <w:spacing w:before="240" w:after="64" w:line="316"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16"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heme="minorHAnsi" w:hAnsiTheme="minorHAnsi" w:eastAsiaTheme="minorEastAsia" w:cstheme="minorBidi"/>
      <w:kern w:val="2"/>
      <w:sz w:val="21"/>
      <w:szCs w:val="22"/>
    </w:rPr>
  </w:style>
  <w:style w:type="paragraph" w:styleId="5">
    <w:name w:val="Normal Indent"/>
    <w:basedOn w:val="1"/>
    <w:link w:val="44"/>
    <w:qFormat/>
    <w:uiPriority w:val="0"/>
    <w:pPr>
      <w:ind w:firstLine="420"/>
    </w:pPr>
    <w:rPr>
      <w:szCs w:val="20"/>
    </w:rPr>
  </w:style>
  <w:style w:type="paragraph" w:styleId="13">
    <w:name w:val="Document Map"/>
    <w:basedOn w:val="1"/>
    <w:link w:val="50"/>
    <w:qFormat/>
    <w:uiPriority w:val="0"/>
    <w:rPr>
      <w:rFonts w:ascii="宋体"/>
      <w:sz w:val="18"/>
      <w:szCs w:val="18"/>
    </w:rPr>
  </w:style>
  <w:style w:type="paragraph" w:styleId="14">
    <w:name w:val="annotation text"/>
    <w:basedOn w:val="1"/>
    <w:link w:val="54"/>
    <w:qFormat/>
    <w:uiPriority w:val="0"/>
    <w:pPr>
      <w:jc w:val="left"/>
    </w:pPr>
  </w:style>
  <w:style w:type="paragraph" w:styleId="15">
    <w:name w:val="Body Text Indent"/>
    <w:basedOn w:val="1"/>
    <w:link w:val="66"/>
    <w:qFormat/>
    <w:uiPriority w:val="0"/>
    <w:pPr>
      <w:ind w:firstLine="630"/>
    </w:pPr>
    <w:rPr>
      <w:sz w:val="32"/>
      <w:szCs w:val="20"/>
    </w:rPr>
  </w:style>
  <w:style w:type="paragraph" w:styleId="16">
    <w:name w:val="toc 3"/>
    <w:basedOn w:val="1"/>
    <w:next w:val="1"/>
    <w:qFormat/>
    <w:uiPriority w:val="39"/>
    <w:pPr>
      <w:ind w:left="840" w:leftChars="400"/>
    </w:pPr>
  </w:style>
  <w:style w:type="paragraph" w:styleId="17">
    <w:name w:val="Plain Text"/>
    <w:basedOn w:val="1"/>
    <w:link w:val="58"/>
    <w:qFormat/>
    <w:uiPriority w:val="0"/>
    <w:rPr>
      <w:rFonts w:ascii="宋体" w:hAnsi="Courier New" w:cs="Courier New"/>
      <w:szCs w:val="21"/>
    </w:rPr>
  </w:style>
  <w:style w:type="paragraph" w:styleId="18">
    <w:name w:val="Date"/>
    <w:basedOn w:val="1"/>
    <w:next w:val="1"/>
    <w:link w:val="48"/>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link w:val="69"/>
    <w:qFormat/>
    <w:uiPriority w:val="0"/>
    <w:rPr>
      <w:sz w:val="18"/>
      <w:szCs w:val="18"/>
    </w:rPr>
  </w:style>
  <w:style w:type="paragraph" w:styleId="21">
    <w:name w:val="footer"/>
    <w:basedOn w:val="1"/>
    <w:link w:val="47"/>
    <w:qFormat/>
    <w:uiPriority w:val="99"/>
    <w:pPr>
      <w:tabs>
        <w:tab w:val="center" w:pos="4153"/>
        <w:tab w:val="right" w:pos="8306"/>
      </w:tabs>
      <w:snapToGrid w:val="0"/>
      <w:jc w:val="left"/>
    </w:pPr>
    <w:rPr>
      <w:sz w:val="18"/>
      <w:szCs w:val="20"/>
    </w:rPr>
  </w:style>
  <w:style w:type="paragraph" w:styleId="22">
    <w:name w:val="header"/>
    <w:basedOn w:val="1"/>
    <w:link w:val="56"/>
    <w:qFormat/>
    <w:uiPriority w:val="99"/>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tabs>
        <w:tab w:val="right" w:leader="dot" w:pos="9060"/>
      </w:tabs>
      <w:spacing w:line="276" w:lineRule="auto"/>
    </w:pPr>
    <w:rPr>
      <w:rFonts w:ascii="宋体" w:hAnsi="宋体"/>
      <w:b/>
      <w:sz w:val="24"/>
    </w:rPr>
  </w:style>
  <w:style w:type="paragraph" w:styleId="24">
    <w:name w:val="Body Text Indent 3"/>
    <w:basedOn w:val="1"/>
    <w:link w:val="57"/>
    <w:qFormat/>
    <w:uiPriority w:val="0"/>
    <w:pPr>
      <w:adjustRightInd w:val="0"/>
      <w:snapToGrid w:val="0"/>
      <w:spacing w:line="360" w:lineRule="auto"/>
      <w:ind w:firstLine="600" w:firstLineChars="200"/>
    </w:pPr>
    <w:rPr>
      <w:rFonts w:ascii="黑体" w:eastAsia="黑体"/>
      <w:sz w:val="30"/>
      <w:szCs w:val="28"/>
    </w:rPr>
  </w:style>
  <w:style w:type="paragraph" w:styleId="25">
    <w:name w:val="toc 2"/>
    <w:basedOn w:val="1"/>
    <w:next w:val="1"/>
    <w:qFormat/>
    <w:uiPriority w:val="39"/>
    <w:pPr>
      <w:ind w:left="420" w:leftChars="200"/>
    </w:pPr>
  </w:style>
  <w:style w:type="paragraph" w:styleId="26">
    <w:name w:val="Normal (Web)"/>
    <w:basedOn w:val="1"/>
    <w:next w:val="21"/>
    <w:qFormat/>
    <w:uiPriority w:val="99"/>
    <w:pPr>
      <w:widowControl/>
      <w:spacing w:before="100" w:beforeAutospacing="1" w:after="100" w:afterAutospacing="1"/>
      <w:jc w:val="left"/>
    </w:pPr>
    <w:rPr>
      <w:rFonts w:ascii="宋体" w:hAnsi="宋体"/>
      <w:kern w:val="0"/>
      <w:sz w:val="18"/>
      <w:szCs w:val="18"/>
    </w:rPr>
  </w:style>
  <w:style w:type="paragraph" w:styleId="27">
    <w:name w:val="annotation subject"/>
    <w:basedOn w:val="14"/>
    <w:next w:val="14"/>
    <w:link w:val="68"/>
    <w:qFormat/>
    <w:uiPriority w:val="0"/>
    <w:rPr>
      <w:b/>
      <w:bCs/>
    </w:rPr>
  </w:style>
  <w:style w:type="paragraph" w:styleId="28">
    <w:name w:val="Body Text First Indent 2"/>
    <w:basedOn w:val="15"/>
    <w:qFormat/>
    <w:uiPriority w:val="99"/>
    <w:pPr>
      <w:ind w:firstLine="420" w:firstLineChars="200"/>
    </w:pPr>
    <w:rPr>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99"/>
    <w:rPr>
      <w:color w:val="333333"/>
      <w:u w:val="none"/>
    </w:rPr>
  </w:style>
  <w:style w:type="character" w:styleId="35">
    <w:name w:val="Emphasis"/>
    <w:basedOn w:val="31"/>
    <w:qFormat/>
    <w:uiPriority w:val="0"/>
  </w:style>
  <w:style w:type="character" w:styleId="36">
    <w:name w:val="HTML Definition"/>
    <w:basedOn w:val="31"/>
    <w:qFormat/>
    <w:uiPriority w:val="0"/>
    <w:rPr>
      <w:i/>
    </w:rPr>
  </w:style>
  <w:style w:type="character" w:styleId="37">
    <w:name w:val="Hyperlink"/>
    <w:qFormat/>
    <w:uiPriority w:val="99"/>
    <w:rPr>
      <w:color w:val="136EC2"/>
      <w:u w:val="single"/>
    </w:rPr>
  </w:style>
  <w:style w:type="character" w:styleId="38">
    <w:name w:val="HTML Code"/>
    <w:basedOn w:val="31"/>
    <w:qFormat/>
    <w:uiPriority w:val="0"/>
    <w:rPr>
      <w:rFonts w:hint="default" w:ascii="Consolas" w:hAnsi="Consolas" w:eastAsia="Consolas" w:cs="Consolas"/>
      <w:color w:val="C7254E"/>
      <w:sz w:val="21"/>
      <w:szCs w:val="21"/>
      <w:shd w:val="clear" w:fill="F9F2F4"/>
    </w:rPr>
  </w:style>
  <w:style w:type="character" w:styleId="39">
    <w:name w:val="annotation reference"/>
    <w:basedOn w:val="31"/>
    <w:qFormat/>
    <w:uiPriority w:val="0"/>
    <w:rPr>
      <w:sz w:val="21"/>
      <w:szCs w:val="21"/>
    </w:rPr>
  </w:style>
  <w:style w:type="character" w:styleId="40">
    <w:name w:val="HTML Keyboard"/>
    <w:basedOn w:val="31"/>
    <w:qFormat/>
    <w:uiPriority w:val="0"/>
    <w:rPr>
      <w:rFonts w:hint="default" w:ascii="Consolas" w:hAnsi="Consolas" w:eastAsia="Consolas" w:cs="Consolas"/>
      <w:color w:val="FFFFFF"/>
      <w:sz w:val="21"/>
      <w:szCs w:val="21"/>
      <w:shd w:val="clear" w:fill="333333"/>
    </w:rPr>
  </w:style>
  <w:style w:type="character" w:styleId="41">
    <w:name w:val="HTML Sample"/>
    <w:basedOn w:val="31"/>
    <w:qFormat/>
    <w:uiPriority w:val="0"/>
    <w:rPr>
      <w:rFonts w:ascii="Consolas" w:hAnsi="Consolas" w:eastAsia="Consolas" w:cs="Consolas"/>
      <w:sz w:val="21"/>
      <w:szCs w:val="21"/>
    </w:rPr>
  </w:style>
  <w:style w:type="paragraph" w:customStyle="1" w:styleId="4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3">
    <w:name w:val="列出段落1"/>
    <w:basedOn w:val="1"/>
    <w:link w:val="46"/>
    <w:qFormat/>
    <w:uiPriority w:val="0"/>
    <w:pPr>
      <w:widowControl/>
      <w:ind w:firstLine="420" w:firstLineChars="200"/>
      <w:jc w:val="left"/>
    </w:pPr>
    <w:rPr>
      <w:rFonts w:ascii="宋体" w:hAnsi="宋体"/>
      <w:kern w:val="0"/>
      <w:sz w:val="24"/>
      <w:lang w:val="zh-CN"/>
    </w:rPr>
  </w:style>
  <w:style w:type="character" w:customStyle="1" w:styleId="44">
    <w:name w:val="正文缩进 Char"/>
    <w:basedOn w:val="31"/>
    <w:link w:val="5"/>
    <w:qFormat/>
    <w:uiPriority w:val="0"/>
    <w:rPr>
      <w:rFonts w:eastAsia="宋体"/>
      <w:kern w:val="2"/>
      <w:sz w:val="21"/>
      <w:lang w:val="en-US" w:eastAsia="zh-CN" w:bidi="ar-SA"/>
    </w:rPr>
  </w:style>
  <w:style w:type="character" w:customStyle="1" w:styleId="45">
    <w:name w:val="font101"/>
    <w:basedOn w:val="31"/>
    <w:qFormat/>
    <w:uiPriority w:val="0"/>
    <w:rPr>
      <w:rFonts w:hint="eastAsia" w:ascii="宋体" w:hAnsi="宋体" w:eastAsia="宋体" w:cs="宋体"/>
      <w:color w:val="FF0000"/>
      <w:sz w:val="20"/>
      <w:szCs w:val="20"/>
      <w:u w:val="none"/>
    </w:rPr>
  </w:style>
  <w:style w:type="character" w:customStyle="1" w:styleId="46">
    <w:name w:val="列出段落 Char"/>
    <w:link w:val="43"/>
    <w:qFormat/>
    <w:uiPriority w:val="0"/>
    <w:rPr>
      <w:rFonts w:ascii="宋体" w:hAnsi="宋体"/>
      <w:sz w:val="24"/>
      <w:szCs w:val="24"/>
      <w:lang w:val="zh-CN"/>
    </w:rPr>
  </w:style>
  <w:style w:type="character" w:customStyle="1" w:styleId="47">
    <w:name w:val="页脚 Char"/>
    <w:link w:val="21"/>
    <w:qFormat/>
    <w:uiPriority w:val="99"/>
    <w:rPr>
      <w:rFonts w:eastAsia="宋体"/>
      <w:kern w:val="2"/>
      <w:sz w:val="18"/>
      <w:lang w:val="en-US" w:eastAsia="zh-CN" w:bidi="ar-SA"/>
    </w:rPr>
  </w:style>
  <w:style w:type="character" w:customStyle="1" w:styleId="48">
    <w:name w:val="日期 Char"/>
    <w:basedOn w:val="31"/>
    <w:link w:val="18"/>
    <w:qFormat/>
    <w:uiPriority w:val="0"/>
    <w:rPr>
      <w:kern w:val="2"/>
      <w:sz w:val="21"/>
      <w:szCs w:val="24"/>
    </w:rPr>
  </w:style>
  <w:style w:type="character" w:customStyle="1" w:styleId="49">
    <w:name w:val="bds_nopic2"/>
    <w:basedOn w:val="31"/>
    <w:qFormat/>
    <w:uiPriority w:val="0"/>
    <w:rPr>
      <w:rFonts w:ascii="Times New Roman" w:hAnsi="Times New Roman" w:eastAsia="宋体"/>
    </w:rPr>
  </w:style>
  <w:style w:type="character" w:customStyle="1" w:styleId="50">
    <w:name w:val="文档结构图 Char"/>
    <w:basedOn w:val="31"/>
    <w:link w:val="13"/>
    <w:qFormat/>
    <w:uiPriority w:val="0"/>
    <w:rPr>
      <w:rFonts w:ascii="宋体"/>
      <w:kern w:val="2"/>
      <w:sz w:val="18"/>
      <w:szCs w:val="18"/>
    </w:rPr>
  </w:style>
  <w:style w:type="character" w:customStyle="1" w:styleId="51">
    <w:name w:val="font111"/>
    <w:basedOn w:val="31"/>
    <w:qFormat/>
    <w:uiPriority w:val="0"/>
    <w:rPr>
      <w:rFonts w:ascii="Arial" w:hAnsi="Arial" w:cs="Arial"/>
      <w:color w:val="000000"/>
      <w:sz w:val="18"/>
      <w:szCs w:val="18"/>
      <w:u w:val="none"/>
    </w:rPr>
  </w:style>
  <w:style w:type="character" w:customStyle="1" w:styleId="52">
    <w:name w:val="font91"/>
    <w:basedOn w:val="31"/>
    <w:qFormat/>
    <w:uiPriority w:val="0"/>
    <w:rPr>
      <w:rFonts w:hint="default" w:ascii="Arial" w:hAnsi="Arial" w:cs="Arial"/>
      <w:color w:val="000000"/>
      <w:sz w:val="24"/>
      <w:szCs w:val="24"/>
      <w:u w:val="none"/>
    </w:rPr>
  </w:style>
  <w:style w:type="character" w:customStyle="1" w:styleId="53">
    <w:name w:val="style61"/>
    <w:qFormat/>
    <w:uiPriority w:val="0"/>
    <w:rPr>
      <w:color w:val="FF0000"/>
    </w:rPr>
  </w:style>
  <w:style w:type="character" w:customStyle="1" w:styleId="54">
    <w:name w:val="批注文字 Char"/>
    <w:basedOn w:val="31"/>
    <w:link w:val="14"/>
    <w:qFormat/>
    <w:uiPriority w:val="0"/>
    <w:rPr>
      <w:kern w:val="2"/>
      <w:sz w:val="21"/>
      <w:szCs w:val="24"/>
    </w:rPr>
  </w:style>
  <w:style w:type="character" w:customStyle="1" w:styleId="55">
    <w:name w:val="font11"/>
    <w:basedOn w:val="31"/>
    <w:qFormat/>
    <w:uiPriority w:val="0"/>
    <w:rPr>
      <w:rFonts w:hint="eastAsia" w:ascii="宋体" w:hAnsi="宋体" w:eastAsia="宋体" w:cs="宋体"/>
      <w:color w:val="000000"/>
      <w:sz w:val="24"/>
      <w:szCs w:val="24"/>
      <w:u w:val="none"/>
    </w:rPr>
  </w:style>
  <w:style w:type="character" w:customStyle="1" w:styleId="56">
    <w:name w:val="页眉 Char"/>
    <w:link w:val="22"/>
    <w:qFormat/>
    <w:uiPriority w:val="99"/>
    <w:rPr>
      <w:rFonts w:eastAsia="宋体"/>
      <w:kern w:val="2"/>
      <w:sz w:val="18"/>
      <w:lang w:val="en-US" w:eastAsia="zh-CN" w:bidi="ar-SA"/>
    </w:rPr>
  </w:style>
  <w:style w:type="character" w:customStyle="1" w:styleId="57">
    <w:name w:val="正文文本缩进 3 Char"/>
    <w:basedOn w:val="31"/>
    <w:link w:val="24"/>
    <w:qFormat/>
    <w:uiPriority w:val="0"/>
    <w:rPr>
      <w:rFonts w:ascii="黑体" w:eastAsia="黑体"/>
      <w:kern w:val="2"/>
      <w:sz w:val="30"/>
      <w:szCs w:val="28"/>
    </w:rPr>
  </w:style>
  <w:style w:type="character" w:customStyle="1" w:styleId="58">
    <w:name w:val="纯文本 Char"/>
    <w:link w:val="17"/>
    <w:qFormat/>
    <w:locked/>
    <w:uiPriority w:val="0"/>
    <w:rPr>
      <w:rFonts w:ascii="宋体" w:hAnsi="Courier New" w:eastAsia="宋体" w:cs="Courier New"/>
      <w:kern w:val="2"/>
      <w:sz w:val="21"/>
      <w:szCs w:val="21"/>
      <w:lang w:val="en-US" w:eastAsia="zh-CN" w:bidi="ar-SA"/>
    </w:rPr>
  </w:style>
  <w:style w:type="character" w:customStyle="1" w:styleId="59">
    <w:name w:val="无"/>
    <w:qFormat/>
    <w:uiPriority w:val="0"/>
  </w:style>
  <w:style w:type="character" w:customStyle="1" w:styleId="60">
    <w:name w:val="font171"/>
    <w:basedOn w:val="31"/>
    <w:qFormat/>
    <w:uiPriority w:val="0"/>
    <w:rPr>
      <w:rFonts w:hint="eastAsia" w:ascii="宋体" w:hAnsi="宋体" w:eastAsia="宋体" w:cs="宋体"/>
      <w:b/>
      <w:color w:val="000000"/>
      <w:sz w:val="20"/>
      <w:szCs w:val="20"/>
      <w:u w:val="none"/>
    </w:rPr>
  </w:style>
  <w:style w:type="character" w:customStyle="1" w:styleId="61">
    <w:name w:val="font01"/>
    <w:basedOn w:val="31"/>
    <w:qFormat/>
    <w:uiPriority w:val="0"/>
    <w:rPr>
      <w:rFonts w:ascii="Calibri" w:hAnsi="Calibri" w:cs="Calibri"/>
      <w:color w:val="000000"/>
      <w:sz w:val="24"/>
      <w:szCs w:val="24"/>
      <w:u w:val="none"/>
    </w:rPr>
  </w:style>
  <w:style w:type="character" w:customStyle="1" w:styleId="62">
    <w:name w:val="正文缩进 Char1"/>
    <w:basedOn w:val="31"/>
    <w:qFormat/>
    <w:uiPriority w:val="0"/>
    <w:rPr>
      <w:rFonts w:eastAsia="宋体"/>
      <w:kern w:val="2"/>
      <w:sz w:val="21"/>
      <w:lang w:val="en-US" w:eastAsia="zh-CN" w:bidi="ar-SA"/>
    </w:rPr>
  </w:style>
  <w:style w:type="character" w:customStyle="1" w:styleId="63">
    <w:name w:val="p0 Char"/>
    <w:link w:val="64"/>
    <w:qFormat/>
    <w:uiPriority w:val="0"/>
    <w:rPr>
      <w:rFonts w:eastAsia="宋体"/>
      <w:sz w:val="21"/>
      <w:szCs w:val="21"/>
      <w:lang w:val="en-US" w:eastAsia="zh-CN" w:bidi="ar-SA"/>
    </w:rPr>
  </w:style>
  <w:style w:type="paragraph" w:customStyle="1" w:styleId="64">
    <w:name w:val="p0"/>
    <w:basedOn w:val="1"/>
    <w:link w:val="63"/>
    <w:qFormat/>
    <w:uiPriority w:val="0"/>
    <w:pPr>
      <w:widowControl/>
    </w:pPr>
    <w:rPr>
      <w:kern w:val="0"/>
      <w:szCs w:val="21"/>
    </w:rPr>
  </w:style>
  <w:style w:type="character" w:customStyle="1" w:styleId="65">
    <w:name w:val="普通文字1 Char"/>
    <w:basedOn w:val="31"/>
    <w:qFormat/>
    <w:uiPriority w:val="0"/>
    <w:rPr>
      <w:rFonts w:ascii="宋体" w:hAnsi="Courier New" w:eastAsia="宋体"/>
      <w:kern w:val="2"/>
      <w:sz w:val="21"/>
      <w:lang w:val="en-US" w:eastAsia="zh-CN" w:bidi="ar-SA"/>
    </w:rPr>
  </w:style>
  <w:style w:type="character" w:customStyle="1" w:styleId="66">
    <w:name w:val="正文文本缩进 Char"/>
    <w:basedOn w:val="31"/>
    <w:link w:val="15"/>
    <w:qFormat/>
    <w:uiPriority w:val="0"/>
    <w:rPr>
      <w:kern w:val="2"/>
      <w:sz w:val="32"/>
    </w:rPr>
  </w:style>
  <w:style w:type="character" w:customStyle="1" w:styleId="67">
    <w:name w:val="font61"/>
    <w:basedOn w:val="31"/>
    <w:qFormat/>
    <w:uiPriority w:val="0"/>
    <w:rPr>
      <w:rFonts w:hint="eastAsia" w:ascii="宋体" w:hAnsi="宋体" w:eastAsia="宋体" w:cs="宋体"/>
      <w:color w:val="000000"/>
      <w:sz w:val="18"/>
      <w:szCs w:val="18"/>
      <w:u w:val="none"/>
    </w:rPr>
  </w:style>
  <w:style w:type="character" w:customStyle="1" w:styleId="68">
    <w:name w:val="批注主题 Char"/>
    <w:basedOn w:val="54"/>
    <w:link w:val="27"/>
    <w:qFormat/>
    <w:uiPriority w:val="0"/>
    <w:rPr>
      <w:b/>
      <w:bCs/>
    </w:rPr>
  </w:style>
  <w:style w:type="character" w:customStyle="1" w:styleId="69">
    <w:name w:val="批注框文本 Char"/>
    <w:basedOn w:val="31"/>
    <w:link w:val="20"/>
    <w:qFormat/>
    <w:uiPriority w:val="0"/>
    <w:rPr>
      <w:kern w:val="2"/>
      <w:sz w:val="18"/>
      <w:szCs w:val="18"/>
    </w:rPr>
  </w:style>
  <w:style w:type="character" w:customStyle="1" w:styleId="70">
    <w:name w:val="font21"/>
    <w:basedOn w:val="31"/>
    <w:qFormat/>
    <w:uiPriority w:val="0"/>
    <w:rPr>
      <w:rFonts w:hint="eastAsia" w:ascii="宋体" w:hAnsi="宋体" w:eastAsia="宋体" w:cs="宋体"/>
      <w:color w:val="000000"/>
      <w:sz w:val="21"/>
      <w:szCs w:val="21"/>
      <w:u w:val="none"/>
    </w:rPr>
  </w:style>
  <w:style w:type="paragraph" w:customStyle="1" w:styleId="71">
    <w:name w:val="默认段落字体 Para Char Char Char Char Char Char Char"/>
    <w:basedOn w:val="1"/>
    <w:qFormat/>
    <w:uiPriority w:val="0"/>
    <w:rPr>
      <w:rFonts w:ascii="Tahoma" w:hAnsi="Tahoma"/>
      <w:sz w:val="24"/>
      <w:szCs w:val="20"/>
    </w:rPr>
  </w:style>
  <w:style w:type="paragraph" w:customStyle="1" w:styleId="7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3">
    <w:name w:val="正文 A"/>
    <w:qFormat/>
    <w:uiPriority w:val="0"/>
    <w:rPr>
      <w:rFonts w:ascii="Arial Unicode MS" w:hAnsi="Arial Unicode MS" w:eastAsia="Arial Unicode MS" w:cs="Arial Unicode MS"/>
      <w:color w:val="000000"/>
      <w:sz w:val="21"/>
      <w:szCs w:val="21"/>
      <w:lang w:val="en-US" w:eastAsia="zh-CN" w:bidi="ar-SA"/>
    </w:rPr>
  </w:style>
  <w:style w:type="paragraph" w:customStyle="1" w:styleId="74">
    <w:name w:val="正文首行缩进两字符"/>
    <w:basedOn w:val="1"/>
    <w:qFormat/>
    <w:uiPriority w:val="0"/>
    <w:pPr>
      <w:spacing w:line="360" w:lineRule="auto"/>
      <w:ind w:firstLine="200" w:firstLineChars="200"/>
    </w:pPr>
  </w:style>
  <w:style w:type="paragraph" w:customStyle="1" w:styleId="75">
    <w:name w:val="List Paragraph"/>
    <w:basedOn w:val="1"/>
    <w:qFormat/>
    <w:uiPriority w:val="34"/>
    <w:pPr>
      <w:ind w:firstLine="420" w:firstLineChars="200"/>
    </w:pPr>
    <w:rPr>
      <w:rFonts w:ascii="Calibri" w:hAnsi="Calibri"/>
    </w:rPr>
  </w:style>
  <w:style w:type="paragraph" w:customStyle="1" w:styleId="76">
    <w:name w:val="表格"/>
    <w:basedOn w:val="1"/>
    <w:qFormat/>
    <w:uiPriority w:val="0"/>
    <w:pPr>
      <w:spacing w:line="400" w:lineRule="exact"/>
    </w:pPr>
    <w:rPr>
      <w:sz w:val="24"/>
    </w:rPr>
  </w:style>
  <w:style w:type="paragraph" w:customStyle="1" w:styleId="77">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78">
    <w:name w:val="列出段落2"/>
    <w:basedOn w:val="1"/>
    <w:qFormat/>
    <w:uiPriority w:val="34"/>
    <w:pPr>
      <w:ind w:firstLine="420" w:firstLineChars="200"/>
    </w:pPr>
  </w:style>
  <w:style w:type="paragraph" w:customStyle="1" w:styleId="79">
    <w:name w:val="Char Char Char Char"/>
    <w:basedOn w:val="1"/>
    <w:qFormat/>
    <w:uiPriority w:val="0"/>
    <w:rPr>
      <w:rFonts w:ascii="Tahoma" w:hAnsi="Tahoma"/>
      <w:sz w:val="24"/>
      <w:szCs w:val="20"/>
    </w:rPr>
  </w:style>
  <w:style w:type="paragraph" w:customStyle="1" w:styleId="80">
    <w:name w:val="Char1"/>
    <w:basedOn w:val="1"/>
    <w:qFormat/>
    <w:uiPriority w:val="0"/>
    <w:rPr>
      <w:szCs w:val="21"/>
    </w:r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31"/>
    <w:basedOn w:val="31"/>
    <w:qFormat/>
    <w:uiPriority w:val="0"/>
    <w:rPr>
      <w:rFonts w:hint="eastAsia" w:ascii="宋体" w:hAnsi="宋体" w:eastAsia="宋体" w:cs="宋体"/>
      <w:color w:val="000000"/>
      <w:sz w:val="20"/>
      <w:szCs w:val="20"/>
      <w:u w:val="none"/>
    </w:rPr>
  </w:style>
  <w:style w:type="character" w:customStyle="1" w:styleId="84">
    <w:name w:val="font41"/>
    <w:basedOn w:val="31"/>
    <w:qFormat/>
    <w:uiPriority w:val="0"/>
    <w:rPr>
      <w:rFonts w:ascii="Calibri" w:hAnsi="Calibri" w:cs="Calibri"/>
      <w:color w:val="000000"/>
      <w:sz w:val="20"/>
      <w:szCs w:val="20"/>
      <w:u w:val="none"/>
    </w:rPr>
  </w:style>
  <w:style w:type="character" w:customStyle="1" w:styleId="85">
    <w:name w:val="font81"/>
    <w:basedOn w:val="31"/>
    <w:qFormat/>
    <w:uiPriority w:val="0"/>
    <w:rPr>
      <w:rFonts w:hint="default" w:ascii="Calibri" w:hAnsi="Calibri" w:cs="Calibri"/>
      <w:color w:val="000000"/>
      <w:sz w:val="20"/>
      <w:szCs w:val="20"/>
      <w:u w:val="none"/>
    </w:rPr>
  </w:style>
  <w:style w:type="character" w:customStyle="1" w:styleId="86">
    <w:name w:val="font71"/>
    <w:basedOn w:val="31"/>
    <w:qFormat/>
    <w:uiPriority w:val="0"/>
    <w:rPr>
      <w:rFonts w:hint="default" w:ascii="Times New Roman" w:hAnsi="Times New Roman" w:cs="Times New Roman"/>
      <w:color w:val="000000"/>
      <w:sz w:val="20"/>
      <w:szCs w:val="20"/>
      <w:u w:val="none"/>
    </w:rPr>
  </w:style>
  <w:style w:type="character" w:customStyle="1" w:styleId="87">
    <w:name w:val="font51"/>
    <w:basedOn w:val="31"/>
    <w:qFormat/>
    <w:uiPriority w:val="0"/>
    <w:rPr>
      <w:rFonts w:hint="default" w:ascii="Times New Roman" w:hAnsi="Times New Roman" w:cs="Times New Roman"/>
      <w:color w:val="000000"/>
      <w:sz w:val="20"/>
      <w:szCs w:val="20"/>
      <w:u w:val="none"/>
    </w:rPr>
  </w:style>
  <w:style w:type="character" w:customStyle="1" w:styleId="88">
    <w:name w:val="button"/>
    <w:basedOn w:val="31"/>
    <w:qFormat/>
    <w:uiPriority w:val="0"/>
  </w:style>
  <w:style w:type="character" w:customStyle="1" w:styleId="89">
    <w:name w:val="hover3"/>
    <w:basedOn w:val="31"/>
    <w:qFormat/>
    <w:uiPriority w:val="0"/>
    <w:rPr>
      <w:shd w:val="clear" w:fill="EEEEEE"/>
    </w:rPr>
  </w:style>
  <w:style w:type="character" w:customStyle="1" w:styleId="90">
    <w:name w:val="old"/>
    <w:basedOn w:val="31"/>
    <w:qFormat/>
    <w:uiPriority w:val="0"/>
    <w:rPr>
      <w:color w:val="999999"/>
    </w:rPr>
  </w:style>
  <w:style w:type="character" w:customStyle="1" w:styleId="91">
    <w:name w:val="glyphicon4"/>
    <w:basedOn w:val="31"/>
    <w:qFormat/>
    <w:uiPriority w:val="0"/>
  </w:style>
  <w:style w:type="character" w:customStyle="1" w:styleId="92">
    <w:name w:val="hour_am"/>
    <w:basedOn w:val="31"/>
    <w:qFormat/>
    <w:uiPriority w:val="0"/>
  </w:style>
  <w:style w:type="character" w:customStyle="1" w:styleId="93">
    <w:name w:val="hour_pm"/>
    <w:basedOn w:val="31"/>
    <w:qFormat/>
    <w:uiPriority w:val="0"/>
  </w:style>
  <w:style w:type="paragraph" w:customStyle="1" w:styleId="94">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95">
    <w:name w:val="indent"/>
    <w:basedOn w:val="31"/>
    <w:qFormat/>
    <w:uiPriority w:val="0"/>
  </w:style>
  <w:style w:type="character" w:customStyle="1" w:styleId="96">
    <w:name w:val="tmpztreemove_arrow"/>
    <w:basedOn w:val="31"/>
    <w:qFormat/>
    <w:uiPriority w:val="0"/>
    <w:rPr>
      <w:shd w:val="clear" w:fill="FFFFFF"/>
    </w:rPr>
  </w:style>
  <w:style w:type="character" w:customStyle="1" w:styleId="97">
    <w:name w:val="标题 1 Char"/>
    <w:link w:val="3"/>
    <w:qFormat/>
    <w:uiPriority w:val="0"/>
    <w:rPr>
      <w:b/>
      <w:kern w:val="44"/>
      <w:sz w:val="32"/>
      <w:szCs w:val="20"/>
    </w:rPr>
  </w:style>
  <w:style w:type="character" w:customStyle="1" w:styleId="98">
    <w:name w:val="font14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1A56E-A72A-44A2-A400-48272E38548D}">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90</Pages>
  <Words>36213</Words>
  <Characters>39058</Characters>
  <Lines>207</Lines>
  <Paragraphs>188</Paragraphs>
  <TotalTime>4</TotalTime>
  <ScaleCrop>false</ScaleCrop>
  <LinksUpToDate>false</LinksUpToDate>
  <CharactersWithSpaces>41559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2019-05-09T07:29:00Z</dcterms:created>
  <dc:creator>GZB</dc:creator>
  <cp:lastModifiedBy>等海不蓝</cp:lastModifiedBy>
  <cp:lastPrinted>2021-02-04T01:13:00Z</cp:lastPrinted>
  <dcterms:modified xsi:type="dcterms:W3CDTF">2022-04-12T09:56:27Z</dcterms:modified>
  <dc:title>招标编号：xxx政采招[20xxx] xxx号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BB17BE64BA5B4407B6C13CCE0DC88A5D</vt:lpwstr>
  </property>
</Properties>
</file>