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rPr>
          <w:rFonts w:ascii="楷体" w:hAnsi="楷体" w:cs="楷体"/>
          <w:b/>
          <w:bCs/>
          <w:kern w:val="0"/>
        </w:rPr>
      </w:pPr>
      <w:r>
        <w:rPr>
          <w:rFonts w:ascii="楷体" w:hAnsi="楷体" w:cs="楷体"/>
          <w:b/>
          <w:bCs/>
          <w:kern w:val="0"/>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37"/>
        <w:ind w:firstLine="0" w:firstLineChars="0"/>
        <w:jc w:val="center"/>
        <w:rPr>
          <w:rFonts w:ascii="楷体" w:hAnsi="楷体" w:eastAsia="楷体" w:cs="楷体"/>
          <w:b/>
          <w:bCs/>
          <w:kern w:val="0"/>
          <w:sz w:val="52"/>
          <w:szCs w:val="52"/>
        </w:rPr>
      </w:pPr>
    </w:p>
    <w:p>
      <w:pPr>
        <w:pStyle w:val="37"/>
        <w:ind w:firstLine="0" w:firstLineChars="0"/>
        <w:jc w:val="center"/>
        <w:rPr>
          <w:rFonts w:ascii="楷体" w:hAnsi="楷体" w:eastAsia="楷体" w:cs="楷体"/>
          <w:b/>
          <w:bCs/>
          <w:kern w:val="0"/>
          <w:sz w:val="52"/>
          <w:szCs w:val="52"/>
        </w:rPr>
      </w:pPr>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lang w:val="en-US" w:eastAsia="zh-CN"/>
        </w:rPr>
        <w:t>航天基地执法车辆采购项目</w:t>
      </w:r>
    </w:p>
    <w:p>
      <w:pPr>
        <w:pStyle w:val="3"/>
        <w:ind w:firstLine="560"/>
        <w:rPr>
          <w:rFonts w:ascii="楷体" w:hAnsi="楷体"/>
        </w:rPr>
      </w:pPr>
    </w:p>
    <w:p>
      <w:pPr>
        <w:ind w:firstLine="480"/>
      </w:pPr>
    </w:p>
    <w:p>
      <w:pPr>
        <w:pStyle w:val="3"/>
      </w:pPr>
    </w:p>
    <w:p>
      <w:pPr>
        <w:pStyle w:val="3"/>
        <w:ind w:firstLine="0" w:firstLineChars="0"/>
      </w:pPr>
    </w:p>
    <w:p>
      <w:pPr>
        <w:widowControl/>
        <w:ind w:firstLine="0" w:firstLineChars="0"/>
        <w:jc w:val="center"/>
        <w:rPr>
          <w:lang w:val="zh-CN"/>
        </w:rPr>
      </w:pPr>
      <w:r>
        <w:rPr>
          <w:rFonts w:hint="eastAsia" w:ascii="楷体" w:hAnsi="楷体" w:cs="楷体"/>
          <w:b/>
          <w:bCs/>
          <w:kern w:val="0"/>
          <w:sz w:val="72"/>
          <w:szCs w:val="72"/>
        </w:rPr>
        <w:t>竞争性谈判</w:t>
      </w:r>
      <w:r>
        <w:rPr>
          <w:rFonts w:hint="eastAsia" w:ascii="楷体" w:hAnsi="楷体" w:cs="楷体"/>
          <w:b/>
          <w:bCs/>
          <w:kern w:val="0"/>
          <w:sz w:val="72"/>
          <w:szCs w:val="72"/>
          <w:lang w:val="zh-CN"/>
        </w:rPr>
        <w:t>文件</w:t>
      </w:r>
    </w:p>
    <w:p>
      <w:pPr>
        <w:widowControl/>
        <w:ind w:firstLine="0" w:firstLineChars="0"/>
        <w:jc w:val="center"/>
        <w:rPr>
          <w:rFonts w:ascii="楷体" w:hAnsi="楷体" w:cs="楷体"/>
          <w:b/>
          <w:bCs/>
          <w:kern w:val="0"/>
          <w:sz w:val="32"/>
          <w:szCs w:val="32"/>
          <w:highlight w:val="none"/>
        </w:rPr>
      </w:pPr>
      <w:r>
        <w:rPr>
          <w:rFonts w:hint="eastAsia" w:ascii="楷体" w:hAnsi="楷体" w:cs="楷体"/>
          <w:b/>
          <w:bCs/>
          <w:kern w:val="0"/>
          <w:sz w:val="32"/>
          <w:szCs w:val="32"/>
          <w:lang w:val="zh-CN"/>
        </w:rPr>
        <w:t>采购项目编号</w:t>
      </w:r>
      <w:r>
        <w:rPr>
          <w:rFonts w:hint="eastAsia" w:ascii="楷体" w:hAnsi="楷体" w:cs="楷体"/>
          <w:b/>
          <w:bCs/>
          <w:kern w:val="0"/>
          <w:sz w:val="32"/>
          <w:szCs w:val="32"/>
          <w:highlight w:val="none"/>
          <w:lang w:val="zh-CN"/>
        </w:rPr>
        <w:t>：HYTH-202207064</w:t>
      </w:r>
    </w:p>
    <w:p>
      <w:pPr>
        <w:widowControl/>
        <w:ind w:firstLine="562"/>
        <w:jc w:val="center"/>
        <w:rPr>
          <w:rFonts w:ascii="楷体" w:hAnsi="楷体" w:cs="楷体"/>
          <w:b/>
          <w:bCs/>
          <w:kern w:val="0"/>
          <w:sz w:val="28"/>
          <w:szCs w:val="28"/>
        </w:rPr>
      </w:pPr>
    </w:p>
    <w:p>
      <w:pPr>
        <w:pStyle w:val="42"/>
        <w:ind w:left="480" w:firstLine="562"/>
        <w:rPr>
          <w:rFonts w:ascii="楷体" w:hAnsi="楷体" w:cs="楷体"/>
          <w:b/>
          <w:bCs/>
          <w:kern w:val="0"/>
          <w:sz w:val="28"/>
          <w:szCs w:val="28"/>
        </w:rPr>
      </w:pPr>
    </w:p>
    <w:p>
      <w:pPr>
        <w:pStyle w:val="42"/>
        <w:ind w:left="480" w:firstLine="562"/>
        <w:rPr>
          <w:rFonts w:ascii="楷体" w:hAnsi="楷体" w:cs="楷体"/>
          <w:b/>
          <w:bCs/>
          <w:kern w:val="0"/>
          <w:sz w:val="28"/>
          <w:szCs w:val="28"/>
        </w:rPr>
      </w:pPr>
    </w:p>
    <w:p>
      <w:pPr>
        <w:tabs>
          <w:tab w:val="left" w:pos="734"/>
        </w:tabs>
        <w:spacing w:line="480" w:lineRule="auto"/>
        <w:ind w:firstLine="0" w:firstLineChars="0"/>
        <w:jc w:val="center"/>
        <w:rPr>
          <w:rFonts w:hint="eastAsia" w:ascii="楷体" w:hAnsi="楷体" w:cs="楷体"/>
          <w:b/>
          <w:bCs/>
          <w:sz w:val="32"/>
          <w:szCs w:val="32"/>
        </w:rPr>
      </w:pPr>
    </w:p>
    <w:p>
      <w:pPr>
        <w:pStyle w:val="28"/>
        <w:rPr>
          <w:rFonts w:hint="eastAsia"/>
        </w:rPr>
      </w:pPr>
    </w:p>
    <w:p>
      <w:pPr>
        <w:pStyle w:val="28"/>
        <w:rPr>
          <w:rFonts w:hint="eastAsia"/>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left="0" w:leftChars="0" w:firstLine="723" w:firstLineChars="225"/>
        <w:jc w:val="left"/>
        <w:textAlignment w:val="auto"/>
        <w:rPr>
          <w:rFonts w:hint="eastAsia" w:ascii="楷体" w:hAnsi="楷体" w:cs="楷体"/>
          <w:b/>
          <w:bCs/>
          <w:sz w:val="32"/>
          <w:szCs w:val="32"/>
        </w:rPr>
      </w:pPr>
      <w:r>
        <w:rPr>
          <w:rFonts w:hint="eastAsia" w:ascii="楷体" w:hAnsi="楷体" w:cs="楷体"/>
          <w:b/>
          <w:bCs/>
          <w:sz w:val="32"/>
          <w:szCs w:val="32"/>
          <w:lang w:val="en-US" w:eastAsia="zh-CN"/>
        </w:rPr>
        <w:t xml:space="preserve"> </w:t>
      </w:r>
      <w:r>
        <w:rPr>
          <w:rFonts w:hint="eastAsia" w:ascii="楷体" w:hAnsi="楷体" w:cs="楷体"/>
          <w:b/>
          <w:bCs/>
          <w:sz w:val="32"/>
          <w:szCs w:val="32"/>
        </w:rPr>
        <w:t>采   购   人：西安国家民用航天产业基地</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left="0" w:leftChars="0" w:firstLine="3132" w:firstLineChars="975"/>
        <w:jc w:val="left"/>
        <w:textAlignment w:val="auto"/>
        <w:rPr>
          <w:rFonts w:hint="eastAsia" w:ascii="楷体" w:hAnsi="楷体" w:cs="楷体"/>
          <w:b/>
          <w:bCs/>
          <w:sz w:val="32"/>
          <w:szCs w:val="32"/>
        </w:rPr>
      </w:pPr>
      <w:r>
        <w:rPr>
          <w:rFonts w:hint="eastAsia" w:ascii="楷体" w:hAnsi="楷体" w:cs="楷体"/>
          <w:b/>
          <w:bCs/>
          <w:sz w:val="32"/>
          <w:szCs w:val="32"/>
        </w:rPr>
        <w:t>城市管理和综合执法局</w:t>
      </w:r>
    </w:p>
    <w:p>
      <w:pPr>
        <w:tabs>
          <w:tab w:val="left" w:pos="0"/>
        </w:tabs>
        <w:spacing w:line="720" w:lineRule="auto"/>
        <w:ind w:left="0" w:leftChars="0" w:firstLine="723" w:firstLineChars="225"/>
        <w:rPr>
          <w:rFonts w:hint="eastAsia" w:ascii="楷体" w:hAnsi="楷体" w:cs="楷体"/>
          <w:b/>
          <w:bCs/>
          <w:sz w:val="32"/>
          <w:szCs w:val="32"/>
        </w:rPr>
      </w:pPr>
      <w:r>
        <w:rPr>
          <w:rFonts w:hint="eastAsia" w:ascii="楷体" w:hAnsi="楷体" w:cs="楷体"/>
          <w:b/>
          <w:bCs/>
          <w:sz w:val="32"/>
          <w:szCs w:val="32"/>
        </w:rPr>
        <w:t>采购代理机构：陕西四方衡裕项目管理有限公司</w:t>
      </w:r>
    </w:p>
    <w:p>
      <w:pPr>
        <w:pStyle w:val="42"/>
        <w:ind w:left="482" w:leftChars="0" w:hanging="482" w:hangingChars="150"/>
        <w:jc w:val="center"/>
        <w:rPr>
          <w:rFonts w:ascii="楷体" w:hAnsi="楷体"/>
        </w:rPr>
      </w:pPr>
      <w:r>
        <w:rPr>
          <w:rFonts w:hint="eastAsia" w:ascii="楷体" w:hAnsi="楷体" w:cs="楷体"/>
          <w:b/>
          <w:bCs/>
          <w:sz w:val="32"/>
          <w:szCs w:val="32"/>
        </w:rPr>
        <w:t>二0二</w:t>
      </w:r>
      <w:r>
        <w:rPr>
          <w:rFonts w:hint="eastAsia" w:ascii="楷体" w:hAnsi="楷体" w:cs="楷体"/>
          <w:b/>
          <w:bCs/>
          <w:sz w:val="32"/>
          <w:szCs w:val="32"/>
          <w:lang w:val="en-US" w:eastAsia="zh-CN"/>
        </w:rPr>
        <w:t>二</w:t>
      </w:r>
      <w:r>
        <w:rPr>
          <w:rFonts w:hint="eastAsia" w:ascii="楷体" w:hAnsi="楷体" w:cs="楷体"/>
          <w:b/>
          <w:bCs/>
          <w:sz w:val="32"/>
          <w:szCs w:val="32"/>
        </w:rPr>
        <w:t>年</w:t>
      </w:r>
      <w:r>
        <w:rPr>
          <w:rFonts w:hint="eastAsia" w:ascii="楷体" w:hAnsi="楷体" w:cs="楷体"/>
          <w:b/>
          <w:bCs/>
          <w:sz w:val="32"/>
          <w:szCs w:val="32"/>
          <w:lang w:val="en-US" w:eastAsia="zh-CN"/>
        </w:rPr>
        <w:t>九</w:t>
      </w:r>
      <w:r>
        <w:rPr>
          <w:rFonts w:hint="eastAsia" w:ascii="楷体" w:hAnsi="楷体" w:cs="楷体"/>
          <w:b/>
          <w:bCs/>
          <w:sz w:val="32"/>
          <w:szCs w:val="32"/>
        </w:rPr>
        <w:t>月</w:t>
      </w:r>
    </w:p>
    <w:p>
      <w:pPr>
        <w:jc w:val="both"/>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谈判现场或其他未能在响应截止时间前成功送达响应文件者，其后果均由供应商自行承担。</w:t>
      </w:r>
    </w:p>
    <w:p>
      <w:pPr>
        <w:numPr>
          <w:ilvl w:val="0"/>
          <w:numId w:val="4"/>
        </w:numPr>
        <w:wordWrap w:val="0"/>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tabs>
          <w:tab w:val="left" w:pos="734"/>
        </w:tabs>
        <w:spacing w:line="600" w:lineRule="auto"/>
        <w:ind w:firstLine="0" w:firstLineChars="0"/>
        <w:jc w:val="center"/>
        <w:rPr>
          <w:rFonts w:ascii="楷体" w:hAnsi="楷体" w:cs="楷体"/>
          <w:b/>
          <w:bCs/>
          <w:sz w:val="32"/>
          <w:szCs w:val="32"/>
        </w:rPr>
      </w:pPr>
    </w:p>
    <w:p>
      <w:pPr>
        <w:ind w:firstLine="480"/>
        <w:rPr>
          <w:rFonts w:ascii="楷体" w:hAnsi="楷体"/>
        </w:rPr>
      </w:pPr>
      <w:r>
        <w:rPr>
          <w:rFonts w:ascii="楷体" w:hAnsi="楷体"/>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42"/>
        <w:ind w:left="0" w:leftChars="0" w:firstLine="0" w:firstLineChars="0"/>
        <w:rPr>
          <w:rFonts w:ascii="楷体" w:hAnsi="楷体" w:cs="楷体"/>
          <w:b/>
          <w:bCs/>
          <w:sz w:val="32"/>
          <w:szCs w:val="32"/>
        </w:rPr>
      </w:pPr>
      <w:r>
        <w:rPr>
          <w:rFonts w:hint="eastAsia" w:ascii="Copperplate Gothic Bold" w:hAnsi="Copperplate Gothic Bold" w:cs="Times New Roman"/>
          <w:b/>
          <w:bCs/>
          <w:sz w:val="21"/>
          <w:szCs w:val="21"/>
        </w:rPr>
        <w:t>注：领取本项目采购文件的供应商，如不参与投标，请在规定时间前将书面《弃标告知函》回执至邮箱（邮箱地址</w:t>
      </w:r>
      <w:r>
        <w:rPr>
          <w:rFonts w:hint="eastAsia" w:ascii="楷体" w:hAnsi="楷体" w:cs="楷体"/>
          <w:b/>
          <w:bCs/>
          <w:sz w:val="21"/>
          <w:szCs w:val="21"/>
        </w:rPr>
        <w:t>：</w:t>
      </w:r>
      <w:r>
        <w:rPr>
          <w:rFonts w:hint="eastAsia" w:ascii="楷体" w:hAnsi="楷体" w:cs="楷体"/>
          <w:b/>
          <w:bCs/>
          <w:sz w:val="21"/>
          <w:szCs w:val="21"/>
          <w:lang w:val="en-US" w:eastAsia="zh-CN"/>
        </w:rPr>
        <w:t>zhangxiaohua</w:t>
      </w:r>
      <w:r>
        <w:rPr>
          <w:rFonts w:hint="eastAsia" w:ascii="楷体" w:hAnsi="楷体" w:cs="楷体"/>
          <w:b/>
          <w:bCs/>
          <w:sz w:val="21"/>
          <w:szCs w:val="21"/>
        </w:rPr>
        <w:t>@sfhyzb.com</w:t>
      </w:r>
      <w:r>
        <w:rPr>
          <w:rFonts w:hint="eastAsia" w:ascii="Copperplate Gothic Bold" w:hAnsi="Copperplate Gothic Bold" w:cs="Times New Roman"/>
          <w:b/>
          <w:bCs/>
          <w:sz w:val="21"/>
          <w:szCs w:val="21"/>
        </w:rPr>
        <w:t>）</w:t>
      </w:r>
    </w:p>
    <w:p>
      <w:pPr>
        <w:pStyle w:val="42"/>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238" w:left="1560" w:header="851" w:footer="992" w:gutter="0"/>
          <w:cols w:space="425" w:num="1"/>
          <w:titlePg/>
          <w:docGrid w:type="lines" w:linePitch="312" w:charSpace="0"/>
        </w:sectPr>
      </w:pPr>
    </w:p>
    <w:sdt>
      <w:sdtPr>
        <w:rPr>
          <w:rFonts w:hint="eastAsia" w:ascii="楷体" w:hAnsi="楷体" w:cs="楷体"/>
          <w:sz w:val="44"/>
          <w:szCs w:val="44"/>
        </w:rPr>
        <w:id w:val="147479754"/>
        <w15:color w:val="DBDBDB"/>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3"/>
            <w:ind w:firstLine="560"/>
          </w:pPr>
        </w:p>
        <w:p>
          <w:pPr>
            <w:pStyle w:val="30"/>
            <w:tabs>
              <w:tab w:val="right" w:leader="dot" w:pos="9638"/>
              <w:tab w:val="clear" w:pos="9060"/>
            </w:tabs>
            <w:spacing w:line="480" w:lineRule="auto"/>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_Toc3499 </w:instrText>
          </w:r>
          <w:r>
            <w:rPr>
              <w:rFonts w:hint="eastAsia" w:ascii="楷体" w:hAnsi="楷体" w:eastAsia="楷体" w:cs="楷体"/>
              <w:sz w:val="30"/>
              <w:szCs w:val="30"/>
            </w:rPr>
            <w:fldChar w:fldCharType="separate"/>
          </w:r>
          <w:r>
            <w:rPr>
              <w:rFonts w:hint="eastAsia" w:ascii="楷体" w:hAnsi="楷体" w:eastAsia="楷体" w:cs="楷体"/>
              <w:sz w:val="30"/>
              <w:szCs w:val="30"/>
            </w:rPr>
            <w:t>第一章 竞争性谈判公告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_Toc3499 \h </w:instrText>
          </w:r>
          <w:r>
            <w:rPr>
              <w:rFonts w:hint="eastAsia" w:ascii="楷体" w:hAnsi="楷体" w:eastAsia="楷体" w:cs="楷体"/>
              <w:sz w:val="30"/>
              <w:szCs w:val="30"/>
            </w:rPr>
            <w:fldChar w:fldCharType="separate"/>
          </w:r>
          <w:r>
            <w:rPr>
              <w:rFonts w:hint="eastAsia" w:ascii="楷体" w:hAnsi="楷体" w:eastAsia="楷体" w:cs="楷体"/>
              <w:sz w:val="30"/>
              <w:szCs w:val="30"/>
            </w:rPr>
            <w:t>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30"/>
            <w:tabs>
              <w:tab w:val="right" w:leader="dot" w:pos="9638"/>
              <w:tab w:val="clear" w:pos="9060"/>
            </w:tabs>
            <w:spacing w:line="480" w:lineRule="auto"/>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_Toc9542 </w:instrText>
          </w:r>
          <w:r>
            <w:rPr>
              <w:rFonts w:hint="eastAsia" w:ascii="楷体" w:hAnsi="楷体" w:eastAsia="楷体" w:cs="楷体"/>
              <w:sz w:val="30"/>
              <w:szCs w:val="30"/>
            </w:rPr>
            <w:fldChar w:fldCharType="separate"/>
          </w:r>
          <w:r>
            <w:rPr>
              <w:rFonts w:hint="eastAsia" w:ascii="楷体" w:hAnsi="楷体" w:eastAsia="楷体" w:cs="楷体"/>
              <w:sz w:val="30"/>
              <w:szCs w:val="30"/>
            </w:rPr>
            <w:t>第二章 供应商须知</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_Toc9542 \h </w:instrText>
          </w:r>
          <w:r>
            <w:rPr>
              <w:rFonts w:hint="eastAsia" w:ascii="楷体" w:hAnsi="楷体" w:eastAsia="楷体" w:cs="楷体"/>
              <w:sz w:val="30"/>
              <w:szCs w:val="30"/>
            </w:rPr>
            <w:fldChar w:fldCharType="separate"/>
          </w:r>
          <w:r>
            <w:rPr>
              <w:rFonts w:hint="eastAsia" w:ascii="楷体" w:hAnsi="楷体" w:eastAsia="楷体" w:cs="楷体"/>
              <w:sz w:val="30"/>
              <w:szCs w:val="30"/>
            </w:rPr>
            <w:t>4</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30"/>
            <w:tabs>
              <w:tab w:val="right" w:leader="dot" w:pos="9638"/>
              <w:tab w:val="clear" w:pos="9060"/>
            </w:tabs>
            <w:spacing w:line="480" w:lineRule="auto"/>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_Toc3520 </w:instrText>
          </w:r>
          <w:r>
            <w:rPr>
              <w:rFonts w:hint="eastAsia" w:ascii="楷体" w:hAnsi="楷体" w:eastAsia="楷体" w:cs="楷体"/>
              <w:sz w:val="30"/>
              <w:szCs w:val="30"/>
            </w:rPr>
            <w:fldChar w:fldCharType="separate"/>
          </w:r>
          <w:r>
            <w:rPr>
              <w:rFonts w:hint="eastAsia" w:ascii="楷体" w:hAnsi="楷体" w:eastAsia="楷体" w:cs="楷体"/>
              <w:sz w:val="30"/>
              <w:szCs w:val="30"/>
            </w:rPr>
            <w:t>第三章 采购内容及</w:t>
          </w:r>
          <w:r>
            <w:rPr>
              <w:rFonts w:hint="eastAsia" w:ascii="楷体" w:hAnsi="楷体" w:eastAsia="楷体" w:cs="楷体"/>
              <w:sz w:val="30"/>
              <w:szCs w:val="30"/>
              <w:lang w:val="en-US" w:eastAsia="zh-CN"/>
            </w:rPr>
            <w:t>需求</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_Toc3520 \h </w:instrText>
          </w:r>
          <w:r>
            <w:rPr>
              <w:rFonts w:hint="eastAsia" w:ascii="楷体" w:hAnsi="楷体" w:eastAsia="楷体" w:cs="楷体"/>
              <w:sz w:val="30"/>
              <w:szCs w:val="30"/>
            </w:rPr>
            <w:fldChar w:fldCharType="separate"/>
          </w:r>
          <w:r>
            <w:rPr>
              <w:rFonts w:hint="eastAsia" w:ascii="楷体" w:hAnsi="楷体" w:eastAsia="楷体" w:cs="楷体"/>
              <w:sz w:val="30"/>
              <w:szCs w:val="30"/>
            </w:rPr>
            <w:t>17</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30"/>
            <w:tabs>
              <w:tab w:val="right" w:leader="dot" w:pos="9638"/>
              <w:tab w:val="clear" w:pos="9060"/>
            </w:tabs>
            <w:spacing w:line="480" w:lineRule="auto"/>
            <w:rPr>
              <w:rFonts w:hint="eastAsia"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_Toc2854 </w:instrText>
          </w:r>
          <w:r>
            <w:rPr>
              <w:rFonts w:hint="eastAsia" w:ascii="楷体" w:hAnsi="楷体" w:eastAsia="楷体" w:cs="楷体"/>
              <w:sz w:val="30"/>
              <w:szCs w:val="30"/>
            </w:rPr>
            <w:fldChar w:fldCharType="separate"/>
          </w:r>
          <w:r>
            <w:rPr>
              <w:rFonts w:hint="eastAsia" w:ascii="楷体" w:hAnsi="楷体" w:eastAsia="楷体" w:cs="楷体"/>
              <w:sz w:val="30"/>
              <w:szCs w:val="30"/>
            </w:rPr>
            <w:t>第四章 拟签订的合同文本</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_Toc2854 \h </w:instrText>
          </w:r>
          <w:r>
            <w:rPr>
              <w:rFonts w:hint="eastAsia" w:ascii="楷体" w:hAnsi="楷体" w:eastAsia="楷体" w:cs="楷体"/>
              <w:sz w:val="30"/>
              <w:szCs w:val="30"/>
            </w:rPr>
            <w:fldChar w:fldCharType="separate"/>
          </w:r>
          <w:r>
            <w:rPr>
              <w:rFonts w:hint="eastAsia" w:ascii="楷体" w:hAnsi="楷体" w:eastAsia="楷体" w:cs="楷体"/>
              <w:sz w:val="30"/>
              <w:szCs w:val="30"/>
            </w:rPr>
            <w:t>25</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30"/>
            <w:tabs>
              <w:tab w:val="right" w:leader="dot" w:pos="9638"/>
              <w:tab w:val="clear" w:pos="9060"/>
            </w:tabs>
            <w:spacing w:line="480" w:lineRule="auto"/>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_Toc24680 </w:instrText>
          </w:r>
          <w:r>
            <w:rPr>
              <w:rFonts w:hint="eastAsia" w:ascii="楷体" w:hAnsi="楷体" w:eastAsia="楷体" w:cs="楷体"/>
              <w:sz w:val="30"/>
              <w:szCs w:val="30"/>
            </w:rPr>
            <w:fldChar w:fldCharType="separate"/>
          </w:r>
          <w:r>
            <w:rPr>
              <w:rFonts w:hint="eastAsia" w:ascii="楷体" w:hAnsi="楷体" w:eastAsia="楷体" w:cs="楷体"/>
              <w:sz w:val="30"/>
              <w:szCs w:val="30"/>
            </w:rPr>
            <w:t>第五章 响应文件格式</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_Toc24680 \h </w:instrText>
          </w:r>
          <w:r>
            <w:rPr>
              <w:rFonts w:hint="eastAsia" w:ascii="楷体" w:hAnsi="楷体" w:eastAsia="楷体" w:cs="楷体"/>
              <w:sz w:val="30"/>
              <w:szCs w:val="30"/>
            </w:rPr>
            <w:fldChar w:fldCharType="separate"/>
          </w:r>
          <w:r>
            <w:rPr>
              <w:rFonts w:hint="eastAsia" w:ascii="楷体" w:hAnsi="楷体" w:eastAsia="楷体" w:cs="楷体"/>
              <w:sz w:val="30"/>
              <w:szCs w:val="30"/>
            </w:rPr>
            <w:t>36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30"/>
            <w:tabs>
              <w:tab w:val="right" w:leader="dot" w:pos="9638"/>
              <w:tab w:val="clear" w:pos="9060"/>
            </w:tabs>
          </w:pPr>
        </w:p>
        <w:p>
          <w:pPr>
            <w:ind w:firstLine="480"/>
          </w:pPr>
          <w:r>
            <w:rPr>
              <w:rFonts w:hint="eastAsia" w:ascii="楷体" w:hAnsi="楷体" w:cs="楷体"/>
              <w:szCs w:val="30"/>
            </w:rPr>
            <w:fldChar w:fldCharType="end"/>
          </w:r>
        </w:p>
      </w:sdtContent>
    </w:sdt>
    <w:p>
      <w:pPr>
        <w:pStyle w:val="4"/>
        <w:spacing w:before="460" w:line="240" w:lineRule="auto"/>
        <w:ind w:firstLine="883"/>
        <w:rPr>
          <w:rFonts w:ascii="楷体" w:hAnsi="楷体"/>
        </w:rPr>
        <w:sectPr>
          <w:pgSz w:w="11906" w:h="16838"/>
          <w:pgMar w:top="1418" w:right="1134" w:bottom="1418" w:left="1134" w:header="851" w:footer="992" w:gutter="0"/>
          <w:pgNumType w:start="1"/>
          <w:cols w:space="720" w:num="1"/>
          <w:docGrid w:linePitch="312" w:charSpace="0"/>
        </w:sectPr>
      </w:pPr>
      <w:bookmarkStart w:id="0" w:name="_Toc508_WPSOffice_Level1"/>
    </w:p>
    <w:p>
      <w:pPr>
        <w:pStyle w:val="4"/>
        <w:spacing w:before="460" w:line="240" w:lineRule="auto"/>
        <w:ind w:firstLine="883"/>
        <w:rPr>
          <w:rFonts w:ascii="楷体" w:hAnsi="楷体"/>
        </w:rPr>
      </w:pPr>
      <w:bookmarkStart w:id="1" w:name="_Toc3499"/>
      <w:r>
        <w:rPr>
          <w:rFonts w:hint="eastAsia" w:ascii="楷体" w:hAnsi="楷体"/>
        </w:rPr>
        <w:t>竞争性谈判公告</w:t>
      </w:r>
      <w:bookmarkEnd w:id="0"/>
      <w:bookmarkEnd w:id="1"/>
    </w:p>
    <w:p>
      <w:pPr>
        <w:pStyle w:val="37"/>
        <w:ind w:firstLine="560"/>
        <w:rPr>
          <w:rFonts w:hint="eastAsia" w:ascii="楷体" w:hAnsi="楷体" w:eastAsia="楷体" w:cs="楷体"/>
          <w:sz w:val="24"/>
          <w:szCs w:val="24"/>
        </w:rPr>
      </w:pPr>
      <w:bookmarkStart w:id="2" w:name="_Toc21145_WPSOffice_Level1"/>
      <w:r>
        <w:rPr>
          <w:rFonts w:hint="eastAsia" w:ascii="楷体" w:hAnsi="楷体" w:eastAsia="楷体" w:cs="楷体"/>
          <w:sz w:val="24"/>
          <w:szCs w:val="24"/>
        </w:rPr>
        <w:t>项目概况</w:t>
      </w:r>
    </w:p>
    <w:p>
      <w:pPr>
        <w:pStyle w:val="37"/>
        <w:ind w:firstLine="560"/>
        <w:rPr>
          <w:rFonts w:hint="eastAsia" w:ascii="楷体" w:hAnsi="楷体" w:eastAsia="楷体" w:cs="楷体"/>
          <w:sz w:val="24"/>
          <w:szCs w:val="24"/>
        </w:rPr>
      </w:pPr>
      <w:r>
        <w:rPr>
          <w:rFonts w:hint="eastAsia" w:ascii="楷体" w:hAnsi="楷体" w:eastAsia="楷体" w:cs="楷体"/>
          <w:sz w:val="24"/>
          <w:szCs w:val="24"/>
        </w:rPr>
        <mc:AlternateContent>
          <mc:Choice Requires="wps">
            <w:drawing>
              <wp:inline distT="0" distB="0" distL="114300" distR="114300">
                <wp:extent cx="5664835" cy="953135"/>
                <wp:effectExtent l="4445" t="4445" r="7620" b="13970"/>
                <wp:docPr id="1" name="文本框 1"/>
                <wp:cNvGraphicFramePr/>
                <a:graphic xmlns:a="http://schemas.openxmlformats.org/drawingml/2006/main">
                  <a:graphicData uri="http://schemas.microsoft.com/office/word/2010/wordprocessingShape">
                    <wps:wsp>
                      <wps:cNvSpPr txBox="1"/>
                      <wps:spPr>
                        <a:xfrm>
                          <a:off x="1028700" y="2415540"/>
                          <a:ext cx="5664835" cy="95313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firstLine="480"/>
                            </w:pPr>
                            <w:r>
                              <w:rPr>
                                <w:rFonts w:hint="eastAsia"/>
                                <w:lang w:eastAsia="zh-CN"/>
                              </w:rPr>
                              <w:t>航天基地执法车辆采购项目</w:t>
                            </w:r>
                            <w:r>
                              <w:rPr>
                                <w:rFonts w:hint="eastAsia"/>
                                <w:highlight w:val="none"/>
                              </w:rPr>
                              <w:t>的潜在供应商应在西安市高新区沣惠路16号泰华金贸国际8号楼28层获取采购文件，并于  2022年</w:t>
                            </w:r>
                            <w:r>
                              <w:rPr>
                                <w:rFonts w:hint="eastAsia"/>
                                <w:highlight w:val="none"/>
                                <w:lang w:val="en-US" w:eastAsia="zh-CN"/>
                              </w:rPr>
                              <w:t>11</w:t>
                            </w:r>
                            <w:r>
                              <w:rPr>
                                <w:rFonts w:hint="eastAsia"/>
                                <w:highlight w:val="none"/>
                              </w:rPr>
                              <w:t>月</w:t>
                            </w:r>
                            <w:r>
                              <w:rPr>
                                <w:rFonts w:hint="eastAsia"/>
                                <w:highlight w:val="none"/>
                                <w:lang w:val="en-US" w:eastAsia="zh-CN"/>
                              </w:rPr>
                              <w:t>3</w:t>
                            </w:r>
                            <w:r>
                              <w:rPr>
                                <w:rFonts w:hint="eastAsia"/>
                                <w:highlight w:val="none"/>
                              </w:rPr>
                              <w:t>日</w:t>
                            </w:r>
                            <w:r>
                              <w:rPr>
                                <w:rFonts w:hint="eastAsia"/>
                                <w:highlight w:val="none"/>
                                <w:lang w:val="en-US" w:eastAsia="zh-CN"/>
                              </w:rPr>
                              <w:t>14</w:t>
                            </w:r>
                            <w:r>
                              <w:rPr>
                                <w:rFonts w:hint="eastAsia"/>
                                <w:highlight w:val="none"/>
                              </w:rPr>
                              <w:t>时</w:t>
                            </w:r>
                            <w:r>
                              <w:rPr>
                                <w:rFonts w:hint="eastAsia"/>
                                <w:highlight w:val="none"/>
                                <w:lang w:val="en-US" w:eastAsia="zh-CN"/>
                              </w:rPr>
                              <w:t>30</w:t>
                            </w:r>
                            <w:r>
                              <w:rPr>
                                <w:rFonts w:hint="eastAsia"/>
                                <w:highlight w:val="none"/>
                              </w:rPr>
                              <w:t>分（北</w:t>
                            </w:r>
                            <w:r>
                              <w:rPr>
                                <w:rFonts w:hint="eastAsia"/>
                              </w:rPr>
                              <w:t>京时间）前提交响应文件。</w:t>
                            </w:r>
                          </w:p>
                          <w:p>
                            <w:pPr>
                              <w:ind w:firstLine="48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75.05pt;width:446.05pt;" filled="f" stroked="t" coordsize="21600,21600" o:gfxdata="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LE1KLW&#10;AAAABQEAAA8AAAAAAAAAAQAgAAAAIgAAAGRycy9kb3ducmV2LnhtbFBLAQIUABQAAAAIAIdO4kBT&#10;sg8JWwIAAJsEAAAOAAAAAAAAAAEAIAAAACUBAABkcnMvZTJvRG9jLnhtbFBLBQYAAAAABgAGAFkB&#10;AADyBQAAAAA=&#10;">
                <v:fill on="f" focussize="0,0"/>
                <v:stroke weight="0.5pt" color="#000000 [3213]" joinstyle="round"/>
                <v:imagedata o:title=""/>
                <o:lock v:ext="edit" aspectratio="f"/>
                <v:textbox>
                  <w:txbxContent>
                    <w:p>
                      <w:pPr>
                        <w:ind w:firstLine="480"/>
                      </w:pPr>
                      <w:r>
                        <w:rPr>
                          <w:rFonts w:hint="eastAsia"/>
                          <w:lang w:eastAsia="zh-CN"/>
                        </w:rPr>
                        <w:t>航天基地执法车辆采购项目</w:t>
                      </w:r>
                      <w:r>
                        <w:rPr>
                          <w:rFonts w:hint="eastAsia"/>
                          <w:highlight w:val="none"/>
                        </w:rPr>
                        <w:t>的潜在供应商应在西安市高新区沣惠路16号泰华金贸国际8号楼28层获取采购文件，并于  2022年</w:t>
                      </w:r>
                      <w:r>
                        <w:rPr>
                          <w:rFonts w:hint="eastAsia"/>
                          <w:highlight w:val="none"/>
                          <w:lang w:val="en-US" w:eastAsia="zh-CN"/>
                        </w:rPr>
                        <w:t>11</w:t>
                      </w:r>
                      <w:r>
                        <w:rPr>
                          <w:rFonts w:hint="eastAsia"/>
                          <w:highlight w:val="none"/>
                        </w:rPr>
                        <w:t>月</w:t>
                      </w:r>
                      <w:r>
                        <w:rPr>
                          <w:rFonts w:hint="eastAsia"/>
                          <w:highlight w:val="none"/>
                          <w:lang w:val="en-US" w:eastAsia="zh-CN"/>
                        </w:rPr>
                        <w:t>3</w:t>
                      </w:r>
                      <w:r>
                        <w:rPr>
                          <w:rFonts w:hint="eastAsia"/>
                          <w:highlight w:val="none"/>
                        </w:rPr>
                        <w:t>日</w:t>
                      </w:r>
                      <w:r>
                        <w:rPr>
                          <w:rFonts w:hint="eastAsia"/>
                          <w:highlight w:val="none"/>
                          <w:lang w:val="en-US" w:eastAsia="zh-CN"/>
                        </w:rPr>
                        <w:t>14</w:t>
                      </w:r>
                      <w:r>
                        <w:rPr>
                          <w:rFonts w:hint="eastAsia"/>
                          <w:highlight w:val="none"/>
                        </w:rPr>
                        <w:t>时</w:t>
                      </w:r>
                      <w:r>
                        <w:rPr>
                          <w:rFonts w:hint="eastAsia"/>
                          <w:highlight w:val="none"/>
                          <w:lang w:val="en-US" w:eastAsia="zh-CN"/>
                        </w:rPr>
                        <w:t>30</w:t>
                      </w:r>
                      <w:r>
                        <w:rPr>
                          <w:rFonts w:hint="eastAsia"/>
                          <w:highlight w:val="none"/>
                        </w:rPr>
                        <w:t>分（北</w:t>
                      </w:r>
                      <w:r>
                        <w:rPr>
                          <w:rFonts w:hint="eastAsia"/>
                        </w:rPr>
                        <w:t>京时间）前提交响应文件。</w:t>
                      </w:r>
                    </w:p>
                    <w:p>
                      <w:pPr>
                        <w:ind w:firstLine="480"/>
                      </w:pPr>
                    </w:p>
                  </w:txbxContent>
                </v:textbox>
                <w10:wrap type="none"/>
                <w10:anchorlock/>
              </v:shape>
            </w:pict>
          </mc:Fallback>
        </mc:AlternateContent>
      </w:r>
    </w:p>
    <w:p>
      <w:pPr>
        <w:pStyle w:val="37"/>
        <w:ind w:firstLine="560"/>
        <w:rPr>
          <w:rFonts w:hint="eastAsia" w:ascii="楷体" w:hAnsi="楷体" w:eastAsia="楷体" w:cs="楷体"/>
          <w:sz w:val="24"/>
          <w:szCs w:val="24"/>
        </w:rPr>
      </w:pPr>
      <w:r>
        <w:rPr>
          <w:rFonts w:hint="eastAsia" w:ascii="楷体" w:hAnsi="楷体" w:eastAsia="楷体" w:cs="楷体"/>
          <w:sz w:val="24"/>
          <w:szCs w:val="24"/>
        </w:rPr>
        <w:t>一、项目基本情况</w:t>
      </w:r>
    </w:p>
    <w:p>
      <w:pPr>
        <w:pStyle w:val="37"/>
        <w:ind w:firstLine="560"/>
        <w:rPr>
          <w:rFonts w:hint="eastAsia" w:ascii="楷体" w:hAnsi="楷体" w:eastAsia="楷体" w:cs="楷体"/>
          <w:sz w:val="24"/>
          <w:szCs w:val="24"/>
          <w:lang w:eastAsia="zh-CN"/>
        </w:rPr>
      </w:pPr>
      <w:r>
        <w:rPr>
          <w:rFonts w:hint="eastAsia" w:ascii="楷体" w:hAnsi="楷体" w:eastAsia="楷体" w:cs="楷体"/>
          <w:sz w:val="24"/>
          <w:szCs w:val="24"/>
        </w:rPr>
        <w:t>项目编号：</w:t>
      </w:r>
      <w:r>
        <w:rPr>
          <w:rFonts w:hint="eastAsia" w:ascii="楷体" w:hAnsi="楷体" w:eastAsia="楷体" w:cs="楷体"/>
          <w:sz w:val="24"/>
          <w:szCs w:val="24"/>
          <w:lang w:eastAsia="zh-CN"/>
        </w:rPr>
        <w:t>HYTH-202207064</w:t>
      </w:r>
    </w:p>
    <w:p>
      <w:pPr>
        <w:pStyle w:val="37"/>
        <w:ind w:firstLine="560"/>
        <w:rPr>
          <w:rFonts w:hint="eastAsia" w:ascii="楷体" w:hAnsi="楷体" w:eastAsia="楷体" w:cs="楷体"/>
          <w:sz w:val="24"/>
          <w:szCs w:val="24"/>
          <w:lang w:eastAsia="zh-CN"/>
        </w:rPr>
      </w:pPr>
      <w:r>
        <w:rPr>
          <w:rFonts w:hint="eastAsia" w:ascii="楷体" w:hAnsi="楷体" w:eastAsia="楷体" w:cs="楷体"/>
          <w:sz w:val="24"/>
          <w:szCs w:val="24"/>
        </w:rPr>
        <w:t>项目名称：</w:t>
      </w:r>
      <w:r>
        <w:rPr>
          <w:rFonts w:hint="eastAsia" w:ascii="楷体" w:hAnsi="楷体" w:eastAsia="楷体" w:cs="楷体"/>
          <w:sz w:val="24"/>
          <w:szCs w:val="24"/>
          <w:lang w:eastAsia="zh-CN"/>
        </w:rPr>
        <w:t>航天基地执法车辆采购项目</w:t>
      </w:r>
    </w:p>
    <w:p>
      <w:pPr>
        <w:pStyle w:val="37"/>
        <w:ind w:firstLine="560"/>
        <w:rPr>
          <w:rFonts w:hint="eastAsia" w:ascii="楷体" w:hAnsi="楷体" w:eastAsia="楷体" w:cs="楷体"/>
          <w:sz w:val="24"/>
          <w:szCs w:val="24"/>
        </w:rPr>
      </w:pPr>
      <w:r>
        <w:rPr>
          <w:rFonts w:hint="eastAsia" w:ascii="楷体" w:hAnsi="楷体" w:eastAsia="楷体" w:cs="楷体"/>
          <w:sz w:val="24"/>
          <w:szCs w:val="24"/>
        </w:rPr>
        <w:t>采购方式：竞争性谈判</w:t>
      </w:r>
    </w:p>
    <w:p>
      <w:pPr>
        <w:pStyle w:val="37"/>
        <w:ind w:firstLine="560"/>
        <w:rPr>
          <w:rFonts w:hint="eastAsia" w:ascii="楷体" w:hAnsi="楷体" w:eastAsia="楷体" w:cs="楷体"/>
          <w:sz w:val="24"/>
          <w:szCs w:val="24"/>
        </w:rPr>
      </w:pPr>
      <w:r>
        <w:rPr>
          <w:rFonts w:hint="eastAsia" w:ascii="楷体" w:hAnsi="楷体" w:eastAsia="楷体" w:cs="楷体"/>
          <w:sz w:val="24"/>
          <w:szCs w:val="24"/>
        </w:rPr>
        <w:t>预算金额：</w:t>
      </w:r>
      <w:r>
        <w:rPr>
          <w:rFonts w:hint="eastAsia" w:ascii="楷体" w:hAnsi="楷体" w:eastAsia="楷体" w:cs="楷体"/>
          <w:sz w:val="24"/>
          <w:szCs w:val="24"/>
          <w:lang w:val="en-US" w:eastAsia="zh-CN"/>
        </w:rPr>
        <w:t>36</w:t>
      </w:r>
      <w:r>
        <w:rPr>
          <w:rFonts w:hint="eastAsia" w:ascii="楷体" w:hAnsi="楷体" w:eastAsia="楷体" w:cs="楷体"/>
          <w:sz w:val="24"/>
          <w:szCs w:val="24"/>
        </w:rPr>
        <w:t>0,000.00元</w:t>
      </w:r>
    </w:p>
    <w:p>
      <w:pPr>
        <w:pStyle w:val="37"/>
        <w:ind w:firstLine="560"/>
        <w:rPr>
          <w:rFonts w:hint="eastAsia" w:ascii="楷体" w:hAnsi="楷体" w:eastAsia="楷体" w:cs="楷体"/>
          <w:sz w:val="24"/>
          <w:szCs w:val="24"/>
        </w:rPr>
      </w:pPr>
      <w:r>
        <w:rPr>
          <w:rFonts w:hint="eastAsia" w:ascii="楷体" w:hAnsi="楷体" w:eastAsia="楷体" w:cs="楷体"/>
          <w:sz w:val="24"/>
          <w:szCs w:val="24"/>
        </w:rPr>
        <w:t>采购需求：</w:t>
      </w:r>
    </w:p>
    <w:tbl>
      <w:tblPr>
        <w:tblStyle w:val="43"/>
        <w:tblW w:w="9576" w:type="dxa"/>
        <w:tblInd w:w="178" w:type="dxa"/>
        <w:tblLayout w:type="autofit"/>
        <w:tblCellMar>
          <w:top w:w="0" w:type="dxa"/>
          <w:left w:w="0" w:type="dxa"/>
          <w:bottom w:w="0" w:type="dxa"/>
          <w:right w:w="0" w:type="dxa"/>
        </w:tblCellMar>
      </w:tblPr>
      <w:tblGrid>
        <w:gridCol w:w="1090"/>
        <w:gridCol w:w="1399"/>
        <w:gridCol w:w="1373"/>
        <w:gridCol w:w="1640"/>
        <w:gridCol w:w="1889"/>
        <w:gridCol w:w="2185"/>
      </w:tblGrid>
      <w:tr>
        <w:tblPrEx>
          <w:tblCellMar>
            <w:top w:w="0" w:type="dxa"/>
            <w:left w:w="0" w:type="dxa"/>
            <w:bottom w:w="0" w:type="dxa"/>
            <w:right w:w="0" w:type="dxa"/>
          </w:tblCellMar>
        </w:tblPrEx>
        <w:trPr>
          <w:trHeight w:val="1146" w:hRule="atLeast"/>
          <w:tblHeader/>
        </w:trPr>
        <w:tc>
          <w:tcPr>
            <w:tcW w:w="10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rPr>
            </w:pPr>
            <w:r>
              <w:rPr>
                <w:rFonts w:hint="eastAsia" w:ascii="楷体" w:hAnsi="楷体" w:eastAsia="楷体" w:cs="楷体"/>
                <w:sz w:val="24"/>
                <w:szCs w:val="24"/>
              </w:rPr>
              <w:t>合同</w:t>
            </w:r>
          </w:p>
          <w:p>
            <w:pPr>
              <w:pStyle w:val="37"/>
              <w:ind w:firstLine="0" w:firstLineChars="0"/>
              <w:jc w:val="center"/>
              <w:rPr>
                <w:rFonts w:hint="eastAsia" w:ascii="楷体" w:hAnsi="楷体" w:eastAsia="楷体" w:cs="楷体"/>
                <w:sz w:val="24"/>
                <w:szCs w:val="24"/>
              </w:rPr>
            </w:pPr>
            <w:r>
              <w:rPr>
                <w:rFonts w:hint="eastAsia" w:ascii="楷体" w:hAnsi="楷体" w:eastAsia="楷体" w:cs="楷体"/>
                <w:sz w:val="24"/>
                <w:szCs w:val="24"/>
              </w:rPr>
              <w:t>包号</w:t>
            </w:r>
          </w:p>
        </w:tc>
        <w:tc>
          <w:tcPr>
            <w:tcW w:w="13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rPr>
            </w:pPr>
            <w:r>
              <w:rPr>
                <w:rFonts w:hint="eastAsia" w:ascii="楷体" w:hAnsi="楷体" w:eastAsia="楷体" w:cs="楷体"/>
                <w:sz w:val="24"/>
                <w:szCs w:val="24"/>
              </w:rPr>
              <w:t>合同包名称</w:t>
            </w:r>
          </w:p>
        </w:tc>
        <w:tc>
          <w:tcPr>
            <w:tcW w:w="13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rPr>
            </w:pPr>
            <w:r>
              <w:rPr>
                <w:rFonts w:hint="eastAsia" w:ascii="楷体" w:hAnsi="楷体" w:eastAsia="楷体" w:cs="楷体"/>
                <w:sz w:val="24"/>
                <w:szCs w:val="24"/>
              </w:rPr>
              <w:t>技术规格、参数及要求</w:t>
            </w:r>
          </w:p>
        </w:tc>
        <w:tc>
          <w:tcPr>
            <w:tcW w:w="16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rPr>
            </w:pPr>
            <w:r>
              <w:rPr>
                <w:rFonts w:hint="eastAsia" w:ascii="楷体" w:hAnsi="楷体" w:eastAsia="楷体" w:cs="楷体"/>
                <w:sz w:val="24"/>
                <w:szCs w:val="24"/>
              </w:rPr>
              <w:t>预算金额（元）</w:t>
            </w:r>
          </w:p>
        </w:tc>
        <w:tc>
          <w:tcPr>
            <w:tcW w:w="18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rPr>
            </w:pPr>
            <w:r>
              <w:rPr>
                <w:rFonts w:hint="eastAsia" w:ascii="楷体" w:hAnsi="楷体" w:eastAsia="楷体" w:cs="楷体"/>
                <w:sz w:val="24"/>
                <w:szCs w:val="24"/>
              </w:rPr>
              <w:t>是否接受联合体</w:t>
            </w:r>
          </w:p>
        </w:tc>
        <w:tc>
          <w:tcPr>
            <w:tcW w:w="21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rPr>
            </w:pPr>
            <w:r>
              <w:rPr>
                <w:rFonts w:hint="eastAsia" w:ascii="楷体" w:hAnsi="楷体" w:eastAsia="楷体" w:cs="楷体"/>
                <w:sz w:val="24"/>
                <w:szCs w:val="24"/>
              </w:rPr>
              <w:t>合同履行期限</w:t>
            </w:r>
          </w:p>
        </w:tc>
      </w:tr>
      <w:tr>
        <w:tblPrEx>
          <w:tblCellMar>
            <w:top w:w="0" w:type="dxa"/>
            <w:left w:w="0" w:type="dxa"/>
            <w:bottom w:w="0" w:type="dxa"/>
            <w:right w:w="0" w:type="dxa"/>
          </w:tblCellMar>
        </w:tblPrEx>
        <w:trPr>
          <w:trHeight w:val="1593" w:hRule="atLeast"/>
        </w:trPr>
        <w:tc>
          <w:tcPr>
            <w:tcW w:w="10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240" w:firstLineChars="100"/>
              <w:rPr>
                <w:rFonts w:hint="eastAsia" w:ascii="楷体" w:hAnsi="楷体" w:eastAsia="楷体" w:cs="楷体"/>
                <w:sz w:val="24"/>
                <w:szCs w:val="24"/>
              </w:rPr>
            </w:pPr>
            <w:r>
              <w:rPr>
                <w:rFonts w:hint="eastAsia" w:ascii="楷体" w:hAnsi="楷体" w:eastAsia="楷体" w:cs="楷体"/>
                <w:sz w:val="24"/>
                <w:szCs w:val="24"/>
              </w:rPr>
              <w:t>1</w:t>
            </w:r>
          </w:p>
        </w:tc>
        <w:tc>
          <w:tcPr>
            <w:tcW w:w="13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rPr>
            </w:pPr>
            <w:r>
              <w:rPr>
                <w:rFonts w:hint="eastAsia" w:ascii="楷体" w:hAnsi="楷体" w:eastAsia="楷体" w:cs="楷体"/>
                <w:sz w:val="24"/>
                <w:szCs w:val="24"/>
                <w:lang w:eastAsia="zh-CN"/>
              </w:rPr>
              <w:t>航天基地执法车辆采购项目</w:t>
            </w:r>
          </w:p>
        </w:tc>
        <w:tc>
          <w:tcPr>
            <w:tcW w:w="13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rPr>
            </w:pPr>
            <w:r>
              <w:rPr>
                <w:rFonts w:hint="eastAsia" w:ascii="楷体" w:hAnsi="楷体" w:eastAsia="楷体" w:cs="楷体"/>
                <w:sz w:val="24"/>
                <w:szCs w:val="24"/>
              </w:rPr>
              <w:t>详见采购文件</w:t>
            </w:r>
          </w:p>
        </w:tc>
        <w:tc>
          <w:tcPr>
            <w:tcW w:w="16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rPr>
            </w:pPr>
            <w:r>
              <w:rPr>
                <w:rFonts w:hint="eastAsia" w:ascii="楷体" w:hAnsi="楷体" w:eastAsia="楷体" w:cs="楷体"/>
                <w:sz w:val="24"/>
                <w:szCs w:val="24"/>
                <w:lang w:val="en-US" w:eastAsia="zh-CN"/>
              </w:rPr>
              <w:t>360,000.00</w:t>
            </w:r>
          </w:p>
        </w:tc>
        <w:tc>
          <w:tcPr>
            <w:tcW w:w="18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否</w:t>
            </w:r>
          </w:p>
        </w:tc>
        <w:tc>
          <w:tcPr>
            <w:tcW w:w="21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7"/>
              <w:ind w:firstLine="0" w:firstLineChars="0"/>
              <w:jc w:val="center"/>
              <w:rPr>
                <w:rFonts w:hint="eastAsia" w:ascii="楷体" w:hAnsi="楷体" w:eastAsia="楷体" w:cs="楷体"/>
                <w:sz w:val="24"/>
                <w:szCs w:val="24"/>
                <w:highlight w:val="none"/>
                <w:lang w:val="en-US" w:eastAsia="zh-CN"/>
              </w:rPr>
            </w:pPr>
            <w:bookmarkStart w:id="225" w:name="_GoBack"/>
            <w:r>
              <w:rPr>
                <w:rFonts w:hint="eastAsia" w:ascii="楷体" w:hAnsi="楷体" w:eastAsia="楷体" w:cs="楷体"/>
                <w:sz w:val="24"/>
                <w:szCs w:val="24"/>
                <w:highlight w:val="none"/>
                <w:lang w:val="en-US" w:eastAsia="zh-CN"/>
              </w:rPr>
              <w:t>交货期</w:t>
            </w:r>
            <w:bookmarkEnd w:id="225"/>
            <w:r>
              <w:rPr>
                <w:rFonts w:hint="eastAsia" w:ascii="楷体" w:hAnsi="楷体" w:eastAsia="楷体" w:cs="楷体"/>
                <w:sz w:val="24"/>
                <w:szCs w:val="24"/>
                <w:highlight w:val="none"/>
                <w:lang w:val="en-US" w:eastAsia="zh-CN"/>
              </w:rPr>
              <w:t>：2023年3月交货</w:t>
            </w:r>
          </w:p>
        </w:tc>
      </w:tr>
    </w:tbl>
    <w:p>
      <w:pPr>
        <w:pStyle w:val="37"/>
        <w:ind w:firstLine="560"/>
        <w:rPr>
          <w:rFonts w:hint="eastAsia" w:ascii="楷体" w:hAnsi="楷体" w:eastAsia="楷体" w:cs="楷体"/>
          <w:sz w:val="24"/>
          <w:szCs w:val="24"/>
        </w:rPr>
      </w:pPr>
      <w:r>
        <w:rPr>
          <w:rFonts w:hint="eastAsia" w:ascii="楷体" w:hAnsi="楷体" w:eastAsia="楷体" w:cs="楷体"/>
          <w:sz w:val="24"/>
          <w:szCs w:val="24"/>
        </w:rPr>
        <w:t>二、申请人的资格要求：</w:t>
      </w:r>
    </w:p>
    <w:p>
      <w:pPr>
        <w:pStyle w:val="37"/>
        <w:ind w:firstLine="560"/>
        <w:rPr>
          <w:rFonts w:hint="eastAsia" w:ascii="楷体" w:hAnsi="楷体" w:eastAsia="楷体" w:cs="楷体"/>
          <w:sz w:val="24"/>
          <w:szCs w:val="24"/>
        </w:rPr>
      </w:pPr>
      <w:r>
        <w:rPr>
          <w:rFonts w:hint="eastAsia" w:ascii="楷体" w:hAnsi="楷体" w:eastAsia="楷体" w:cs="楷体"/>
          <w:sz w:val="24"/>
          <w:szCs w:val="24"/>
        </w:rPr>
        <w:t>1.满足《中华人民共和国政府采购法》第二十二条规定;</w:t>
      </w:r>
    </w:p>
    <w:p>
      <w:pPr>
        <w:pStyle w:val="37"/>
        <w:ind w:firstLine="560"/>
        <w:rPr>
          <w:rFonts w:hint="eastAsia" w:ascii="楷体" w:hAnsi="楷体" w:eastAsia="楷体" w:cs="楷体"/>
          <w:sz w:val="24"/>
          <w:szCs w:val="24"/>
          <w:lang w:val="en-US" w:eastAsia="zh-CN"/>
        </w:rPr>
      </w:pPr>
      <w:r>
        <w:rPr>
          <w:rFonts w:hint="eastAsia" w:ascii="楷体" w:hAnsi="楷体" w:eastAsia="楷体" w:cs="楷体"/>
          <w:sz w:val="24"/>
          <w:szCs w:val="24"/>
        </w:rPr>
        <w:t>2.落实政府采购政策需满足的资格要求：</w:t>
      </w:r>
      <w:r>
        <w:rPr>
          <w:rFonts w:hint="eastAsia" w:ascii="楷体" w:hAnsi="楷体" w:eastAsia="楷体" w:cs="楷体"/>
          <w:sz w:val="24"/>
          <w:szCs w:val="24"/>
          <w:highlight w:val="none"/>
          <w:lang w:val="en-US" w:eastAsia="zh-CN"/>
        </w:rPr>
        <w:t>无。</w:t>
      </w:r>
    </w:p>
    <w:p>
      <w:pPr>
        <w:pStyle w:val="37"/>
        <w:ind w:firstLine="560"/>
        <w:rPr>
          <w:rFonts w:hint="eastAsia" w:ascii="楷体" w:hAnsi="楷体" w:eastAsia="楷体" w:cs="楷体"/>
          <w:sz w:val="24"/>
          <w:szCs w:val="24"/>
        </w:rPr>
      </w:pPr>
      <w:r>
        <w:rPr>
          <w:rFonts w:hint="eastAsia" w:ascii="楷体" w:hAnsi="楷体" w:eastAsia="楷体" w:cs="楷体"/>
          <w:sz w:val="24"/>
          <w:szCs w:val="24"/>
        </w:rPr>
        <w:t>3.本项目的特定资格要求：</w:t>
      </w:r>
    </w:p>
    <w:p>
      <w:pPr>
        <w:pStyle w:val="37"/>
        <w:ind w:firstLine="560"/>
        <w:rPr>
          <w:rFonts w:hint="eastAsia" w:ascii="楷体" w:hAnsi="楷体" w:eastAsia="楷体" w:cs="楷体"/>
          <w:sz w:val="24"/>
          <w:szCs w:val="24"/>
        </w:rPr>
      </w:pPr>
      <w:r>
        <w:rPr>
          <w:rFonts w:hint="eastAsia" w:ascii="楷体" w:hAnsi="楷体" w:eastAsia="楷体" w:cs="楷体"/>
          <w:sz w:val="24"/>
          <w:szCs w:val="24"/>
        </w:rPr>
        <w:t>合同包1(</w:t>
      </w:r>
      <w:r>
        <w:rPr>
          <w:rFonts w:hint="eastAsia" w:ascii="楷体" w:hAnsi="楷体" w:eastAsia="楷体" w:cs="楷体"/>
          <w:sz w:val="24"/>
          <w:szCs w:val="24"/>
          <w:lang w:eastAsia="zh-CN"/>
        </w:rPr>
        <w:t>航天基地执法车辆采购项目</w:t>
      </w:r>
      <w:r>
        <w:rPr>
          <w:rFonts w:hint="eastAsia" w:ascii="楷体" w:hAnsi="楷体" w:eastAsia="楷体" w:cs="楷体"/>
          <w:sz w:val="24"/>
          <w:szCs w:val="24"/>
        </w:rPr>
        <w:t>)特定资格要求如下:</w:t>
      </w:r>
    </w:p>
    <w:p>
      <w:pPr>
        <w:pStyle w:val="37"/>
        <w:numPr>
          <w:ilvl w:val="0"/>
          <w:numId w:val="5"/>
        </w:numPr>
        <w:ind w:left="-80" w:leftChars="0" w:firstLine="560" w:firstLineChars="0"/>
        <w:rPr>
          <w:rFonts w:hint="eastAsia" w:ascii="楷体" w:hAnsi="楷体" w:eastAsia="楷体" w:cs="楷体"/>
          <w:sz w:val="24"/>
          <w:szCs w:val="24"/>
        </w:rPr>
      </w:pPr>
      <w:r>
        <w:rPr>
          <w:rFonts w:hint="eastAsia" w:ascii="楷体" w:hAnsi="楷体" w:eastAsia="楷体" w:cs="楷体"/>
          <w:sz w:val="24"/>
          <w:szCs w:val="24"/>
        </w:rPr>
        <w:t>供应商通过“信用中国”网站（www.creditchina.gov.cn)、中国政府采购网(www.ccgp.gov.cn)等查询相关主体信用记录；（</w:t>
      </w:r>
      <w:r>
        <w:rPr>
          <w:rFonts w:hint="eastAsia" w:ascii="楷体" w:hAnsi="楷体" w:eastAsia="楷体" w:cs="楷体"/>
          <w:sz w:val="24"/>
          <w:szCs w:val="24"/>
          <w:lang w:val="en-US" w:eastAsia="zh-CN"/>
        </w:rPr>
        <w:t>2</w:t>
      </w:r>
      <w:r>
        <w:rPr>
          <w:rFonts w:hint="eastAsia" w:ascii="楷体" w:hAnsi="楷体" w:eastAsia="楷体" w:cs="楷体"/>
          <w:sz w:val="24"/>
          <w:szCs w:val="24"/>
        </w:rPr>
        <w:t>）供应商参加本项目的合法授权人授权证明</w:t>
      </w:r>
      <w:r>
        <w:rPr>
          <w:rFonts w:hint="eastAsia" w:ascii="楷体" w:hAnsi="楷体" w:eastAsia="楷体" w:cs="楷体"/>
          <w:sz w:val="24"/>
          <w:szCs w:val="24"/>
          <w:lang w:eastAsia="zh-CN"/>
        </w:rPr>
        <w:t>。</w:t>
      </w:r>
    </w:p>
    <w:p>
      <w:pPr>
        <w:pStyle w:val="37"/>
        <w:numPr>
          <w:ilvl w:val="0"/>
          <w:numId w:val="0"/>
        </w:numPr>
        <w:ind w:firstLine="480" w:firstLineChars="200"/>
        <w:rPr>
          <w:rFonts w:hint="eastAsia" w:ascii="楷体" w:hAnsi="楷体" w:eastAsia="楷体" w:cs="楷体"/>
          <w:sz w:val="24"/>
          <w:szCs w:val="24"/>
        </w:rPr>
      </w:pPr>
      <w:r>
        <w:rPr>
          <w:rFonts w:hint="eastAsia" w:ascii="楷体" w:hAnsi="楷体" w:eastAsia="楷体" w:cs="楷体"/>
          <w:sz w:val="24"/>
          <w:szCs w:val="24"/>
        </w:rPr>
        <w:t>三、获取采购文件</w:t>
      </w:r>
    </w:p>
    <w:p>
      <w:pPr>
        <w:pStyle w:val="37"/>
        <w:ind w:firstLine="560"/>
        <w:rPr>
          <w:rFonts w:hint="eastAsia" w:ascii="楷体" w:hAnsi="楷体" w:eastAsia="楷体" w:cs="楷体"/>
          <w:sz w:val="24"/>
          <w:szCs w:val="24"/>
        </w:rPr>
      </w:pPr>
      <w:r>
        <w:rPr>
          <w:rFonts w:hint="eastAsia" w:ascii="楷体" w:hAnsi="楷体" w:eastAsia="楷体" w:cs="楷体"/>
          <w:sz w:val="24"/>
          <w:szCs w:val="24"/>
        </w:rPr>
        <w:t>时</w:t>
      </w:r>
      <w:r>
        <w:rPr>
          <w:rFonts w:hint="eastAsia" w:ascii="楷体" w:hAnsi="楷体" w:eastAsia="楷体" w:cs="楷体"/>
          <w:sz w:val="24"/>
          <w:szCs w:val="24"/>
          <w:highlight w:val="none"/>
        </w:rPr>
        <w:t>间：2022年</w:t>
      </w: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rPr>
        <w:t>月</w:t>
      </w:r>
      <w:r>
        <w:rPr>
          <w:rFonts w:hint="eastAsia" w:ascii="楷体" w:hAnsi="楷体" w:eastAsia="楷体" w:cs="楷体"/>
          <w:sz w:val="24"/>
          <w:szCs w:val="24"/>
          <w:highlight w:val="none"/>
          <w:lang w:val="en-US" w:eastAsia="zh-CN"/>
        </w:rPr>
        <w:t>20</w:t>
      </w:r>
      <w:r>
        <w:rPr>
          <w:rFonts w:hint="eastAsia" w:ascii="楷体" w:hAnsi="楷体" w:eastAsia="楷体" w:cs="楷体"/>
          <w:sz w:val="24"/>
          <w:szCs w:val="24"/>
          <w:highlight w:val="none"/>
        </w:rPr>
        <w:t>日至2022年</w:t>
      </w: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rPr>
        <w:t>月</w:t>
      </w:r>
      <w:r>
        <w:rPr>
          <w:rFonts w:hint="eastAsia" w:ascii="楷体" w:hAnsi="楷体" w:eastAsia="楷体" w:cs="楷体"/>
          <w:sz w:val="24"/>
          <w:szCs w:val="24"/>
          <w:highlight w:val="none"/>
          <w:lang w:val="en-US" w:eastAsia="zh-CN"/>
        </w:rPr>
        <w:t>23</w:t>
      </w:r>
      <w:r>
        <w:rPr>
          <w:rFonts w:hint="eastAsia" w:ascii="楷体" w:hAnsi="楷体" w:eastAsia="楷体" w:cs="楷体"/>
          <w:sz w:val="24"/>
          <w:szCs w:val="24"/>
          <w:highlight w:val="none"/>
        </w:rPr>
        <w:t>日，每天上午0</w:t>
      </w:r>
      <w:r>
        <w:rPr>
          <w:rFonts w:hint="eastAsia" w:ascii="楷体" w:hAnsi="楷体" w:eastAsia="楷体" w:cs="楷体"/>
          <w:sz w:val="24"/>
          <w:szCs w:val="24"/>
        </w:rPr>
        <w:t>9:00:00至12:00:00，下午13:</w:t>
      </w:r>
      <w:r>
        <w:rPr>
          <w:rFonts w:hint="eastAsia" w:ascii="楷体" w:hAnsi="楷体" w:eastAsia="楷体" w:cs="楷体"/>
          <w:sz w:val="24"/>
          <w:szCs w:val="24"/>
          <w:lang w:val="en-US" w:eastAsia="zh-CN"/>
        </w:rPr>
        <w:t>0</w:t>
      </w:r>
      <w:r>
        <w:rPr>
          <w:rFonts w:hint="eastAsia" w:ascii="楷体" w:hAnsi="楷体" w:eastAsia="楷体" w:cs="楷体"/>
          <w:sz w:val="24"/>
          <w:szCs w:val="24"/>
        </w:rPr>
        <w:t>0:00至17:30:00 （北京时间,法定节假日除外）</w:t>
      </w:r>
    </w:p>
    <w:p>
      <w:pPr>
        <w:pStyle w:val="37"/>
        <w:ind w:firstLine="560"/>
        <w:rPr>
          <w:rFonts w:hint="eastAsia" w:ascii="楷体" w:hAnsi="楷体" w:eastAsia="楷体" w:cs="楷体"/>
          <w:sz w:val="24"/>
          <w:szCs w:val="24"/>
        </w:rPr>
      </w:pPr>
      <w:r>
        <w:rPr>
          <w:rFonts w:hint="eastAsia" w:ascii="楷体" w:hAnsi="楷体" w:eastAsia="楷体" w:cs="楷体"/>
          <w:sz w:val="24"/>
          <w:szCs w:val="24"/>
        </w:rPr>
        <w:t>地点：西安市高新区沣惠路16号泰华金贸国际8号楼28层</w:t>
      </w:r>
    </w:p>
    <w:p>
      <w:pPr>
        <w:pStyle w:val="37"/>
        <w:ind w:firstLine="560"/>
        <w:rPr>
          <w:rFonts w:hint="eastAsia" w:ascii="楷体" w:hAnsi="楷体" w:eastAsia="楷体" w:cs="楷体"/>
          <w:sz w:val="24"/>
          <w:szCs w:val="24"/>
        </w:rPr>
      </w:pPr>
      <w:r>
        <w:rPr>
          <w:rFonts w:hint="eastAsia" w:ascii="楷体" w:hAnsi="楷体" w:eastAsia="楷体" w:cs="楷体"/>
          <w:sz w:val="24"/>
          <w:szCs w:val="24"/>
        </w:rPr>
        <w:t>方式：现场获取</w:t>
      </w:r>
    </w:p>
    <w:p>
      <w:pPr>
        <w:pStyle w:val="37"/>
        <w:ind w:firstLine="560"/>
        <w:rPr>
          <w:rFonts w:hint="eastAsia" w:ascii="楷体" w:hAnsi="楷体" w:eastAsia="楷体" w:cs="楷体"/>
          <w:sz w:val="24"/>
          <w:szCs w:val="24"/>
        </w:rPr>
      </w:pPr>
      <w:r>
        <w:rPr>
          <w:rFonts w:hint="eastAsia" w:ascii="楷体" w:hAnsi="楷体" w:eastAsia="楷体" w:cs="楷体"/>
          <w:sz w:val="24"/>
          <w:szCs w:val="24"/>
        </w:rPr>
        <w:t>售价：免费获取</w:t>
      </w:r>
    </w:p>
    <w:p>
      <w:pPr>
        <w:pStyle w:val="37"/>
        <w:ind w:firstLine="560"/>
        <w:rPr>
          <w:rFonts w:hint="eastAsia" w:ascii="楷体" w:hAnsi="楷体" w:eastAsia="楷体" w:cs="楷体"/>
          <w:sz w:val="24"/>
          <w:szCs w:val="24"/>
        </w:rPr>
      </w:pPr>
      <w:r>
        <w:rPr>
          <w:rFonts w:hint="eastAsia" w:ascii="楷体" w:hAnsi="楷体" w:eastAsia="楷体" w:cs="楷体"/>
          <w:sz w:val="24"/>
          <w:szCs w:val="24"/>
        </w:rPr>
        <w:t>四、响应文件提交</w:t>
      </w:r>
    </w:p>
    <w:p>
      <w:pPr>
        <w:pStyle w:val="37"/>
        <w:ind w:firstLine="560"/>
        <w:rPr>
          <w:rFonts w:hint="eastAsia" w:ascii="楷体" w:hAnsi="楷体" w:eastAsia="楷体" w:cs="楷体"/>
          <w:sz w:val="24"/>
          <w:szCs w:val="24"/>
          <w:highlight w:val="none"/>
        </w:rPr>
      </w:pPr>
      <w:r>
        <w:rPr>
          <w:rFonts w:hint="eastAsia" w:ascii="楷体" w:hAnsi="楷体" w:eastAsia="楷体" w:cs="楷体"/>
          <w:sz w:val="24"/>
          <w:szCs w:val="24"/>
        </w:rPr>
        <w:t>截止时间</w:t>
      </w:r>
      <w:r>
        <w:rPr>
          <w:rFonts w:hint="eastAsia" w:ascii="楷体" w:hAnsi="楷体" w:eastAsia="楷体" w:cs="楷体"/>
          <w:sz w:val="24"/>
          <w:szCs w:val="24"/>
          <w:highlight w:val="none"/>
        </w:rPr>
        <w:t>：2022年</w:t>
      </w:r>
      <w:r>
        <w:rPr>
          <w:rFonts w:hint="eastAsia" w:ascii="楷体" w:hAnsi="楷体" w:eastAsia="楷体" w:cs="楷体"/>
          <w:sz w:val="24"/>
          <w:szCs w:val="24"/>
          <w:highlight w:val="none"/>
          <w:lang w:val="en-US" w:eastAsia="zh-CN"/>
        </w:rPr>
        <w:t>11</w:t>
      </w:r>
      <w:r>
        <w:rPr>
          <w:rFonts w:hint="eastAsia" w:ascii="楷体" w:hAnsi="楷体" w:eastAsia="楷体" w:cs="楷体"/>
          <w:sz w:val="24"/>
          <w:szCs w:val="24"/>
          <w:highlight w:val="none"/>
        </w:rPr>
        <w:t>月</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日</w:t>
      </w:r>
      <w:r>
        <w:rPr>
          <w:rFonts w:hint="eastAsia" w:ascii="楷体" w:hAnsi="楷体" w:eastAsia="楷体" w:cs="楷体"/>
          <w:sz w:val="24"/>
          <w:szCs w:val="24"/>
          <w:highlight w:val="none"/>
          <w:lang w:val="en-US" w:eastAsia="zh-CN"/>
        </w:rPr>
        <w:t>14</w:t>
      </w:r>
      <w:r>
        <w:rPr>
          <w:rFonts w:hint="eastAsia" w:ascii="楷体" w:hAnsi="楷体" w:eastAsia="楷体" w:cs="楷体"/>
          <w:sz w:val="24"/>
          <w:szCs w:val="24"/>
          <w:highlight w:val="none"/>
        </w:rPr>
        <w:t>时</w:t>
      </w:r>
      <w:r>
        <w:rPr>
          <w:rFonts w:hint="eastAsia" w:ascii="楷体" w:hAnsi="楷体" w:eastAsia="楷体" w:cs="楷体"/>
          <w:sz w:val="24"/>
          <w:szCs w:val="24"/>
          <w:highlight w:val="none"/>
          <w:lang w:val="en-US" w:eastAsia="zh-CN"/>
        </w:rPr>
        <w:t>30</w:t>
      </w:r>
      <w:r>
        <w:rPr>
          <w:rFonts w:hint="eastAsia" w:ascii="楷体" w:hAnsi="楷体" w:eastAsia="楷体" w:cs="楷体"/>
          <w:sz w:val="24"/>
          <w:szCs w:val="24"/>
          <w:highlight w:val="none"/>
        </w:rPr>
        <w:t>分</w:t>
      </w:r>
      <w:r>
        <w:rPr>
          <w:rFonts w:hint="eastAsia" w:ascii="楷体" w:hAnsi="楷体" w:eastAsia="楷体" w:cs="楷体"/>
          <w:sz w:val="24"/>
          <w:szCs w:val="24"/>
          <w:highlight w:val="none"/>
          <w:lang w:val="en-US" w:eastAsia="zh-CN"/>
        </w:rPr>
        <w:t>00</w:t>
      </w:r>
      <w:r>
        <w:rPr>
          <w:rFonts w:hint="eastAsia" w:ascii="楷体" w:hAnsi="楷体" w:eastAsia="楷体" w:cs="楷体"/>
          <w:sz w:val="24"/>
          <w:szCs w:val="24"/>
          <w:highlight w:val="none"/>
        </w:rPr>
        <w:t>秒 （北京时间）</w:t>
      </w:r>
    </w:p>
    <w:p>
      <w:pPr>
        <w:pStyle w:val="37"/>
        <w:ind w:firstLine="560"/>
        <w:rPr>
          <w:rFonts w:hint="eastAsia" w:ascii="楷体" w:hAnsi="楷体" w:eastAsia="楷体" w:cs="楷体"/>
          <w:sz w:val="24"/>
          <w:szCs w:val="24"/>
          <w:highlight w:val="none"/>
        </w:rPr>
      </w:pPr>
      <w:r>
        <w:rPr>
          <w:rFonts w:hint="eastAsia" w:ascii="楷体" w:hAnsi="楷体" w:eastAsia="楷体" w:cs="楷体"/>
          <w:sz w:val="24"/>
          <w:szCs w:val="24"/>
          <w:highlight w:val="none"/>
        </w:rPr>
        <w:t>地点：西安市高新区沣惠路16号泰华金贸国际8号楼29层开标一室</w:t>
      </w:r>
    </w:p>
    <w:p>
      <w:pPr>
        <w:pStyle w:val="37"/>
        <w:ind w:firstLine="560"/>
        <w:rPr>
          <w:rFonts w:hint="eastAsia" w:ascii="楷体" w:hAnsi="楷体" w:eastAsia="楷体" w:cs="楷体"/>
          <w:sz w:val="24"/>
          <w:szCs w:val="24"/>
          <w:highlight w:val="none"/>
        </w:rPr>
      </w:pPr>
      <w:r>
        <w:rPr>
          <w:rFonts w:hint="eastAsia" w:ascii="楷体" w:hAnsi="楷体" w:eastAsia="楷体" w:cs="楷体"/>
          <w:sz w:val="24"/>
          <w:szCs w:val="24"/>
          <w:highlight w:val="none"/>
        </w:rPr>
        <w:t>五、开启</w:t>
      </w:r>
    </w:p>
    <w:p>
      <w:pPr>
        <w:pStyle w:val="37"/>
        <w:ind w:firstLine="560"/>
        <w:rPr>
          <w:rFonts w:hint="eastAsia" w:ascii="楷体" w:hAnsi="楷体" w:eastAsia="楷体" w:cs="楷体"/>
          <w:sz w:val="24"/>
          <w:szCs w:val="24"/>
        </w:rPr>
      </w:pPr>
      <w:r>
        <w:rPr>
          <w:rFonts w:hint="eastAsia" w:ascii="楷体" w:hAnsi="楷体" w:eastAsia="楷体" w:cs="楷体"/>
          <w:sz w:val="24"/>
          <w:szCs w:val="24"/>
          <w:highlight w:val="none"/>
        </w:rPr>
        <w:t>时间：2022年</w:t>
      </w:r>
      <w:r>
        <w:rPr>
          <w:rFonts w:hint="eastAsia" w:ascii="楷体" w:hAnsi="楷体" w:eastAsia="楷体" w:cs="楷体"/>
          <w:sz w:val="24"/>
          <w:szCs w:val="24"/>
          <w:highlight w:val="none"/>
          <w:lang w:val="en-US" w:eastAsia="zh-CN"/>
        </w:rPr>
        <w:t>11</w:t>
      </w:r>
      <w:r>
        <w:rPr>
          <w:rFonts w:hint="eastAsia" w:ascii="楷体" w:hAnsi="楷体" w:eastAsia="楷体" w:cs="楷体"/>
          <w:sz w:val="24"/>
          <w:szCs w:val="24"/>
          <w:highlight w:val="none"/>
        </w:rPr>
        <w:t>月</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日</w:t>
      </w:r>
      <w:r>
        <w:rPr>
          <w:rFonts w:hint="eastAsia" w:ascii="楷体" w:hAnsi="楷体" w:eastAsia="楷体" w:cs="楷体"/>
          <w:sz w:val="24"/>
          <w:szCs w:val="24"/>
          <w:highlight w:val="none"/>
          <w:lang w:val="en-US" w:eastAsia="zh-CN"/>
        </w:rPr>
        <w:t>14</w:t>
      </w:r>
      <w:r>
        <w:rPr>
          <w:rFonts w:hint="eastAsia" w:ascii="楷体" w:hAnsi="楷体" w:eastAsia="楷体" w:cs="楷体"/>
          <w:sz w:val="24"/>
          <w:szCs w:val="24"/>
          <w:highlight w:val="none"/>
        </w:rPr>
        <w:t>时</w:t>
      </w:r>
      <w:r>
        <w:rPr>
          <w:rFonts w:hint="eastAsia" w:ascii="楷体" w:hAnsi="楷体" w:eastAsia="楷体" w:cs="楷体"/>
          <w:sz w:val="24"/>
          <w:szCs w:val="24"/>
          <w:highlight w:val="none"/>
          <w:lang w:val="en-US" w:eastAsia="zh-CN"/>
        </w:rPr>
        <w:t>30</w:t>
      </w:r>
      <w:r>
        <w:rPr>
          <w:rFonts w:hint="eastAsia" w:ascii="楷体" w:hAnsi="楷体" w:eastAsia="楷体" w:cs="楷体"/>
          <w:sz w:val="24"/>
          <w:szCs w:val="24"/>
          <w:highlight w:val="none"/>
        </w:rPr>
        <w:t>分</w:t>
      </w:r>
      <w:r>
        <w:rPr>
          <w:rFonts w:hint="eastAsia" w:ascii="楷体" w:hAnsi="楷体" w:eastAsia="楷体" w:cs="楷体"/>
          <w:sz w:val="24"/>
          <w:szCs w:val="24"/>
          <w:highlight w:val="none"/>
          <w:lang w:val="en-US" w:eastAsia="zh-CN"/>
        </w:rPr>
        <w:t>00</w:t>
      </w:r>
      <w:r>
        <w:rPr>
          <w:rFonts w:hint="eastAsia" w:ascii="楷体" w:hAnsi="楷体" w:eastAsia="楷体" w:cs="楷体"/>
          <w:sz w:val="24"/>
          <w:szCs w:val="24"/>
          <w:highlight w:val="none"/>
        </w:rPr>
        <w:t>秒（北京时</w:t>
      </w:r>
      <w:r>
        <w:rPr>
          <w:rFonts w:hint="eastAsia" w:ascii="楷体" w:hAnsi="楷体" w:eastAsia="楷体" w:cs="楷体"/>
          <w:sz w:val="24"/>
          <w:szCs w:val="24"/>
        </w:rPr>
        <w:t>间）</w:t>
      </w:r>
    </w:p>
    <w:p>
      <w:pPr>
        <w:pStyle w:val="37"/>
        <w:ind w:firstLine="560"/>
        <w:rPr>
          <w:rFonts w:hint="eastAsia" w:ascii="楷体" w:hAnsi="楷体" w:eastAsia="楷体" w:cs="楷体"/>
          <w:sz w:val="24"/>
          <w:szCs w:val="24"/>
        </w:rPr>
      </w:pPr>
      <w:r>
        <w:rPr>
          <w:rFonts w:hint="eastAsia" w:ascii="楷体" w:hAnsi="楷体" w:eastAsia="楷体" w:cs="楷体"/>
          <w:sz w:val="24"/>
          <w:szCs w:val="24"/>
        </w:rPr>
        <w:t>地点：西安市高新区沣惠路16号泰华金贸国际8号楼29层开标一室</w:t>
      </w:r>
    </w:p>
    <w:p>
      <w:pPr>
        <w:pStyle w:val="37"/>
        <w:ind w:firstLine="560"/>
        <w:rPr>
          <w:rFonts w:hint="eastAsia" w:ascii="楷体" w:hAnsi="楷体" w:eastAsia="楷体" w:cs="楷体"/>
          <w:sz w:val="24"/>
          <w:szCs w:val="24"/>
        </w:rPr>
      </w:pPr>
      <w:r>
        <w:rPr>
          <w:rFonts w:hint="eastAsia" w:ascii="楷体" w:hAnsi="楷体" w:eastAsia="楷体" w:cs="楷体"/>
          <w:sz w:val="24"/>
          <w:szCs w:val="24"/>
        </w:rPr>
        <w:t>六、公告期限</w:t>
      </w:r>
    </w:p>
    <w:p>
      <w:pPr>
        <w:pStyle w:val="37"/>
        <w:ind w:firstLine="560"/>
        <w:rPr>
          <w:rFonts w:hint="eastAsia" w:ascii="楷体" w:hAnsi="楷体" w:eastAsia="楷体" w:cs="楷体"/>
          <w:sz w:val="24"/>
          <w:szCs w:val="24"/>
        </w:rPr>
      </w:pPr>
      <w:r>
        <w:rPr>
          <w:rFonts w:hint="eastAsia" w:ascii="楷体" w:hAnsi="楷体" w:eastAsia="楷体" w:cs="楷体"/>
          <w:sz w:val="24"/>
          <w:szCs w:val="24"/>
        </w:rPr>
        <w:t>自本公告发布之日起3个工作日。</w:t>
      </w:r>
    </w:p>
    <w:p>
      <w:pPr>
        <w:pStyle w:val="37"/>
        <w:ind w:firstLine="560"/>
        <w:rPr>
          <w:rFonts w:hint="eastAsia" w:ascii="楷体" w:hAnsi="楷体" w:eastAsia="楷体" w:cs="楷体"/>
          <w:sz w:val="24"/>
          <w:szCs w:val="24"/>
        </w:rPr>
      </w:pPr>
      <w:r>
        <w:rPr>
          <w:rFonts w:hint="eastAsia" w:ascii="楷体" w:hAnsi="楷体" w:eastAsia="楷体" w:cs="楷体"/>
          <w:sz w:val="24"/>
          <w:szCs w:val="24"/>
        </w:rPr>
        <w:t>七、其他补充事宜</w:t>
      </w:r>
    </w:p>
    <w:p>
      <w:pPr>
        <w:pStyle w:val="37"/>
        <w:ind w:firstLine="560"/>
        <w:rPr>
          <w:rFonts w:hint="eastAsia" w:ascii="楷体" w:hAnsi="楷体" w:eastAsia="楷体" w:cs="楷体"/>
          <w:sz w:val="24"/>
          <w:szCs w:val="24"/>
          <w:highlight w:val="none"/>
        </w:rPr>
      </w:pPr>
      <w:r>
        <w:rPr>
          <w:rFonts w:hint="eastAsia" w:ascii="楷体" w:hAnsi="楷体" w:eastAsia="楷体" w:cs="楷体"/>
          <w:sz w:val="24"/>
          <w:szCs w:val="24"/>
          <w:highlight w:val="none"/>
        </w:rPr>
        <w:t>1、落实政府采购政策：</w:t>
      </w:r>
    </w:p>
    <w:p>
      <w:pPr>
        <w:pStyle w:val="37"/>
        <w:ind w:firstLine="560"/>
        <w:rPr>
          <w:rFonts w:hint="eastAsia" w:ascii="楷体" w:hAnsi="楷体" w:eastAsia="楷体" w:cs="楷体"/>
          <w:sz w:val="24"/>
          <w:szCs w:val="24"/>
          <w:highlight w:val="none"/>
        </w:rPr>
      </w:pPr>
      <w:r>
        <w:rPr>
          <w:rFonts w:hint="eastAsia" w:ascii="楷体" w:hAnsi="楷体" w:eastAsia="楷体" w:cs="楷体"/>
          <w:sz w:val="24"/>
          <w:szCs w:val="24"/>
          <w:highlight w:val="none"/>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9）陕西省财政厅关于印发《陕西省中小企业政府采购信用融资办法》（陕财办采〔2018〕23号）；（10）其他需要落实的政府采购政策。</w:t>
      </w:r>
    </w:p>
    <w:p>
      <w:pPr>
        <w:pStyle w:val="37"/>
        <w:ind w:firstLine="560"/>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2、本项目非专门面向中小型企业采购。</w:t>
      </w:r>
    </w:p>
    <w:p>
      <w:pPr>
        <w:pStyle w:val="37"/>
        <w:ind w:firstLine="560"/>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参加采购项目的供应商获取</w:t>
      </w:r>
      <w:r>
        <w:rPr>
          <w:rFonts w:hint="eastAsia" w:ascii="楷体" w:hAnsi="楷体" w:eastAsia="楷体" w:cs="楷体"/>
          <w:sz w:val="24"/>
          <w:szCs w:val="24"/>
          <w:highlight w:val="none"/>
          <w:lang w:val="en-US" w:eastAsia="zh-CN"/>
        </w:rPr>
        <w:t>谈判</w:t>
      </w:r>
      <w:r>
        <w:rPr>
          <w:rFonts w:hint="eastAsia" w:ascii="楷体" w:hAnsi="楷体" w:eastAsia="楷体" w:cs="楷体"/>
          <w:sz w:val="24"/>
          <w:szCs w:val="24"/>
          <w:highlight w:val="none"/>
        </w:rPr>
        <w:t>文件时请携带单位介绍信原件、本人身份证原件或复印件加盖公章。竞争性</w:t>
      </w:r>
      <w:r>
        <w:rPr>
          <w:rFonts w:hint="eastAsia" w:ascii="楷体" w:hAnsi="楷体" w:eastAsia="楷体" w:cs="楷体"/>
          <w:sz w:val="24"/>
          <w:szCs w:val="24"/>
          <w:highlight w:val="none"/>
          <w:lang w:val="en-US" w:eastAsia="zh-CN"/>
        </w:rPr>
        <w:t>谈判</w:t>
      </w:r>
      <w:r>
        <w:rPr>
          <w:rFonts w:hint="eastAsia" w:ascii="楷体" w:hAnsi="楷体" w:eastAsia="楷体" w:cs="楷体"/>
          <w:sz w:val="24"/>
          <w:szCs w:val="24"/>
          <w:highlight w:val="none"/>
        </w:rPr>
        <w:t>文件以电子文档方式提供。</w:t>
      </w:r>
    </w:p>
    <w:p>
      <w:pPr>
        <w:pStyle w:val="37"/>
        <w:ind w:firstLine="560"/>
        <w:rPr>
          <w:rFonts w:hint="eastAsia" w:ascii="楷体" w:hAnsi="楷体" w:eastAsia="楷体" w:cs="楷体"/>
          <w:sz w:val="24"/>
          <w:szCs w:val="24"/>
          <w:highlight w:val="none"/>
        </w:rPr>
      </w:pPr>
      <w:r>
        <w:rPr>
          <w:rFonts w:hint="eastAsia" w:ascii="楷体" w:hAnsi="楷体" w:eastAsia="楷体" w:cs="楷体"/>
          <w:sz w:val="24"/>
          <w:szCs w:val="24"/>
          <w:highlight w:val="none"/>
        </w:rPr>
        <w:t>八、凡对本次采购提出询问，请按以下方式联系。</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highlight w:val="none"/>
          <w:shd w:val="clear" w:color="auto" w:fill="FFFFFF"/>
          <w:lang w:val="en-US" w:eastAsia="zh-CN" w:bidi="ar-SA"/>
        </w:rPr>
      </w:pPr>
      <w:r>
        <w:rPr>
          <w:rFonts w:hint="eastAsia" w:ascii="楷体" w:hAnsi="楷体" w:eastAsia="楷体" w:cs="楷体"/>
          <w:kern w:val="0"/>
          <w:sz w:val="24"/>
          <w:szCs w:val="24"/>
          <w:highlight w:val="none"/>
          <w:shd w:val="clear" w:color="auto" w:fill="FFFFFF"/>
          <w:lang w:val="en-US" w:eastAsia="zh-CN" w:bidi="ar-SA"/>
        </w:rPr>
        <w:t>1.采购人信息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名称：西安国家民用航天产业基地城市管理和综合执法局</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地址：航天中路518号寰宇大厦B座</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联系方式：029-84193902</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2.采购代理机构信息</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名称：陕西四方衡裕项目管理有限公司</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地址：西安市高新区沣惠路16号泰华金贸国际8号楼28层</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联系方式：029-89284433-604</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3.项目联系方式</w:t>
      </w:r>
    </w:p>
    <w:p>
      <w:pPr>
        <w:widowControl/>
        <w:spacing w:before="0" w:beforeAutospacing="0" w:after="0" w:afterAutospacing="0" w:line="360" w:lineRule="auto"/>
        <w:ind w:firstLine="480" w:firstLineChars="200"/>
        <w:jc w:val="both"/>
        <w:textAlignment w:val="baseline"/>
        <w:rPr>
          <w:rFonts w:hint="default"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项目联系人：</w:t>
      </w:r>
      <w:r>
        <w:rPr>
          <w:rFonts w:hint="eastAsia" w:ascii="楷体" w:hAnsi="楷体" w:cs="楷体"/>
          <w:kern w:val="0"/>
          <w:sz w:val="24"/>
          <w:szCs w:val="24"/>
          <w:shd w:val="clear" w:color="auto" w:fill="FFFFFF"/>
          <w:lang w:val="en-US" w:eastAsia="zh-CN" w:bidi="ar-SA"/>
        </w:rPr>
        <w:t>王维、张晓花、赵维</w:t>
      </w:r>
    </w:p>
    <w:p>
      <w:pPr>
        <w:widowControl/>
        <w:spacing w:before="0" w:beforeAutospacing="0" w:after="0" w:afterAutospacing="0" w:line="360" w:lineRule="auto"/>
        <w:ind w:firstLine="480" w:firstLineChars="200"/>
        <w:jc w:val="both"/>
        <w:textAlignment w:val="baseline"/>
        <w:rPr>
          <w:rFonts w:hint="eastAsia" w:ascii="楷体" w:hAnsi="楷体" w:eastAsia="楷体" w:cs="楷体"/>
          <w:kern w:val="0"/>
          <w:sz w:val="24"/>
          <w:szCs w:val="24"/>
          <w:shd w:val="clear" w:color="auto" w:fill="FFFFFF"/>
          <w:lang w:val="en-US" w:eastAsia="zh-CN" w:bidi="ar-SA"/>
        </w:rPr>
      </w:pPr>
      <w:r>
        <w:rPr>
          <w:rFonts w:hint="eastAsia" w:ascii="楷体" w:hAnsi="楷体" w:eastAsia="楷体" w:cs="楷体"/>
          <w:kern w:val="0"/>
          <w:sz w:val="24"/>
          <w:szCs w:val="24"/>
          <w:shd w:val="clear" w:color="auto" w:fill="FFFFFF"/>
          <w:lang w:val="en-US" w:eastAsia="zh-CN" w:bidi="ar-SA"/>
        </w:rPr>
        <w:t>电话：029-89284433-604</w:t>
      </w:r>
    </w:p>
    <w:p>
      <w:pPr>
        <w:pStyle w:val="37"/>
        <w:ind w:firstLine="560"/>
        <w:jc w:val="right"/>
        <w:rPr>
          <w:rFonts w:hint="eastAsia" w:ascii="楷体" w:hAnsi="楷体" w:eastAsia="楷体" w:cs="楷体"/>
          <w:sz w:val="24"/>
          <w:szCs w:val="24"/>
        </w:rPr>
      </w:pPr>
    </w:p>
    <w:p>
      <w:pPr>
        <w:pStyle w:val="37"/>
        <w:ind w:firstLine="560"/>
        <w:jc w:val="right"/>
        <w:rPr>
          <w:rFonts w:hint="eastAsia" w:ascii="楷体" w:hAnsi="楷体" w:eastAsia="楷体" w:cs="楷体"/>
          <w:sz w:val="24"/>
          <w:szCs w:val="24"/>
        </w:rPr>
      </w:pPr>
      <w:r>
        <w:rPr>
          <w:rFonts w:hint="eastAsia" w:ascii="楷体" w:hAnsi="楷体" w:eastAsia="楷体" w:cs="楷体"/>
          <w:sz w:val="24"/>
          <w:szCs w:val="24"/>
        </w:rPr>
        <w:t>陕西四方衡裕项目管理有限公司</w:t>
      </w:r>
    </w:p>
    <w:p>
      <w:pPr>
        <w:pStyle w:val="37"/>
        <w:ind w:firstLine="560"/>
        <w:jc w:val="center"/>
        <w:rPr>
          <w:rFonts w:hint="eastAsia" w:ascii="楷体" w:hAnsi="楷体" w:eastAsia="楷体" w:cs="楷体"/>
          <w:sz w:val="24"/>
          <w:szCs w:val="24"/>
          <w:highlight w:val="none"/>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highlight w:val="none"/>
          <w:lang w:val="en-US" w:eastAsia="zh-CN"/>
        </w:rPr>
        <w:t xml:space="preserve">      </w:t>
      </w:r>
      <w:r>
        <w:rPr>
          <w:rFonts w:hint="eastAsia" w:ascii="楷体" w:hAnsi="楷体" w:eastAsia="楷体" w:cs="楷体"/>
          <w:sz w:val="24"/>
          <w:szCs w:val="24"/>
          <w:highlight w:val="none"/>
        </w:rPr>
        <w:t xml:space="preserve"> 2022年</w:t>
      </w:r>
      <w:r>
        <w:rPr>
          <w:rFonts w:hint="eastAsia" w:ascii="楷体" w:hAnsi="楷体" w:eastAsia="楷体" w:cs="楷体"/>
          <w:sz w:val="24"/>
          <w:szCs w:val="24"/>
          <w:highlight w:val="none"/>
          <w:lang w:val="en-US" w:eastAsia="zh-CN"/>
        </w:rPr>
        <w:t>9</w:t>
      </w:r>
      <w:r>
        <w:rPr>
          <w:rFonts w:hint="eastAsia" w:ascii="楷体" w:hAnsi="楷体" w:eastAsia="楷体" w:cs="楷体"/>
          <w:sz w:val="24"/>
          <w:szCs w:val="24"/>
          <w:highlight w:val="none"/>
        </w:rPr>
        <w:t>月</w:t>
      </w:r>
      <w:r>
        <w:rPr>
          <w:rFonts w:hint="eastAsia" w:ascii="楷体" w:hAnsi="楷体" w:eastAsia="楷体" w:cs="楷体"/>
          <w:sz w:val="24"/>
          <w:szCs w:val="24"/>
          <w:highlight w:val="none"/>
          <w:lang w:val="en-US" w:eastAsia="zh-CN"/>
        </w:rPr>
        <w:t>20</w:t>
      </w:r>
      <w:r>
        <w:rPr>
          <w:rFonts w:hint="eastAsia" w:ascii="楷体" w:hAnsi="楷体" w:eastAsia="楷体" w:cs="楷体"/>
          <w:sz w:val="24"/>
          <w:szCs w:val="24"/>
          <w:highlight w:val="none"/>
        </w:rPr>
        <w:t>日</w:t>
      </w:r>
    </w:p>
    <w:p>
      <w:pPr>
        <w:pStyle w:val="37"/>
        <w:ind w:firstLine="560"/>
      </w:pPr>
      <w:r>
        <w:br w:type="page"/>
      </w:r>
    </w:p>
    <w:p>
      <w:pPr>
        <w:pStyle w:val="4"/>
        <w:ind w:firstLine="883" w:firstLineChars="200"/>
        <w:rPr>
          <w:rFonts w:ascii="楷体" w:hAnsi="楷体" w:cs="楷体"/>
        </w:rPr>
      </w:pPr>
      <w:bookmarkStart w:id="3" w:name="_Toc9542"/>
      <w:r>
        <w:rPr>
          <w:rFonts w:hint="eastAsia" w:ascii="楷体" w:hAnsi="楷体" w:cs="楷体"/>
        </w:rPr>
        <w:t>供应商须知</w:t>
      </w:r>
      <w:bookmarkEnd w:id="2"/>
      <w:bookmarkEnd w:id="3"/>
    </w:p>
    <w:p>
      <w:pPr>
        <w:pStyle w:val="5"/>
        <w:spacing w:line="360" w:lineRule="auto"/>
        <w:ind w:left="573"/>
        <w:rPr>
          <w:rFonts w:ascii="楷体" w:hAnsi="楷体"/>
        </w:rPr>
      </w:pPr>
      <w:bookmarkStart w:id="4" w:name="_Toc16405_WPSOffice_Level2"/>
      <w:bookmarkStart w:id="5" w:name="_Toc25285_WPSOffice_Level2"/>
      <w:r>
        <w:rPr>
          <w:rFonts w:hint="eastAsia" w:ascii="楷体" w:hAnsi="楷体"/>
        </w:rPr>
        <w:t>定义</w:t>
      </w:r>
      <w:bookmarkEnd w:id="4"/>
      <w:bookmarkEnd w:id="5"/>
    </w:p>
    <w:p>
      <w:pPr>
        <w:numPr>
          <w:ilvl w:val="0"/>
          <w:numId w:val="6"/>
        </w:numPr>
        <w:ind w:firstLine="480" w:firstLineChars="0"/>
        <w:rPr>
          <w:rFonts w:ascii="楷体" w:hAnsi="楷体" w:cs="楷体"/>
        </w:rPr>
      </w:pPr>
      <w:r>
        <w:rPr>
          <w:rFonts w:hint="eastAsia" w:ascii="楷体" w:hAnsi="楷体" w:cs="楷体"/>
        </w:rPr>
        <w:t>采 购 人：</w:t>
      </w:r>
      <w:r>
        <w:rPr>
          <w:rFonts w:hint="eastAsia" w:ascii="楷体" w:hAnsi="楷体" w:cs="楷体"/>
          <w:lang w:val="en-US" w:eastAsia="zh-CN"/>
        </w:rPr>
        <w:t>西安国家民用航天产业基地城市管理和综合执法局</w:t>
      </w:r>
    </w:p>
    <w:p>
      <w:pPr>
        <w:numPr>
          <w:ilvl w:val="0"/>
          <w:numId w:val="6"/>
        </w:numPr>
        <w:ind w:firstLine="480"/>
        <w:rPr>
          <w:rFonts w:ascii="楷体" w:hAnsi="楷体" w:cs="楷体"/>
        </w:rPr>
      </w:pPr>
      <w:r>
        <w:rPr>
          <w:rFonts w:hint="eastAsia" w:ascii="楷体" w:hAnsi="楷体" w:cs="楷体"/>
        </w:rPr>
        <w:t>监督机构：西安国家民用航天产业基地财政金融局</w:t>
      </w:r>
    </w:p>
    <w:p>
      <w:pPr>
        <w:ind w:firstLine="480"/>
        <w:rPr>
          <w:rFonts w:ascii="楷体" w:hAnsi="楷体" w:cs="楷体"/>
        </w:rPr>
      </w:pPr>
      <w:r>
        <w:rPr>
          <w:rFonts w:hint="eastAsia" w:ascii="楷体" w:hAnsi="楷体" w:cs="楷体"/>
        </w:rPr>
        <w:t>3、采购代理机构：陕西四方衡裕项目管理有限公司</w:t>
      </w:r>
    </w:p>
    <w:p>
      <w:pPr>
        <w:ind w:firstLine="480"/>
      </w:pPr>
      <w:r>
        <w:rPr>
          <w:rFonts w:hint="eastAsia" w:ascii="楷体" w:hAnsi="楷体" w:cs="楷体"/>
        </w:rPr>
        <w:t>4、供应商：响应谈判并且符合谈判文件规定资格条件和参加谈判的法人、其他组织或者自然人</w:t>
      </w:r>
    </w:p>
    <w:p>
      <w:pPr>
        <w:pStyle w:val="5"/>
        <w:spacing w:line="360" w:lineRule="auto"/>
        <w:ind w:left="573"/>
        <w:rPr>
          <w:rFonts w:ascii="楷体" w:hAnsi="楷体"/>
        </w:rPr>
      </w:pPr>
      <w:bookmarkStart w:id="6" w:name="_Toc1686_WPSOffice_Level2"/>
      <w:bookmarkStart w:id="7" w:name="_Toc19936_WPSOffice_Level2"/>
      <w:r>
        <w:rPr>
          <w:rFonts w:hint="eastAsia" w:ascii="楷体" w:hAnsi="楷体"/>
        </w:rPr>
        <w:t>谈判文件说明</w:t>
      </w:r>
      <w:bookmarkEnd w:id="6"/>
      <w:bookmarkEnd w:id="7"/>
    </w:p>
    <w:p>
      <w:pPr>
        <w:ind w:firstLine="480"/>
        <w:rPr>
          <w:rFonts w:ascii="楷体" w:hAnsi="楷体" w:cs="楷体"/>
        </w:rPr>
      </w:pPr>
      <w:r>
        <w:rPr>
          <w:rFonts w:hint="eastAsia" w:ascii="楷体" w:hAnsi="楷体" w:cs="楷体"/>
        </w:rPr>
        <w:t>1、谈判文件是根据本项目的内容和需求编制，谈判文件包括以下内容：</w:t>
      </w:r>
    </w:p>
    <w:p>
      <w:pPr>
        <w:ind w:firstLine="480"/>
        <w:rPr>
          <w:rFonts w:ascii="楷体" w:hAnsi="楷体" w:cs="楷体"/>
          <w:highlight w:val="none"/>
        </w:rPr>
      </w:pPr>
      <w:r>
        <w:rPr>
          <w:rFonts w:hint="eastAsia" w:ascii="楷体" w:hAnsi="楷体" w:cs="楷体"/>
          <w:highlight w:val="none"/>
        </w:rPr>
        <w:t>1-1竞争性谈判公告</w:t>
      </w:r>
    </w:p>
    <w:p>
      <w:pPr>
        <w:ind w:firstLine="480"/>
        <w:rPr>
          <w:rFonts w:ascii="楷体" w:hAnsi="楷体" w:cs="楷体"/>
          <w:highlight w:val="none"/>
        </w:rPr>
      </w:pPr>
      <w:r>
        <w:rPr>
          <w:rFonts w:hint="eastAsia" w:ascii="楷体" w:hAnsi="楷体" w:cs="楷体"/>
          <w:highlight w:val="none"/>
        </w:rPr>
        <w:t>1-2供应商须知</w:t>
      </w:r>
    </w:p>
    <w:p>
      <w:pPr>
        <w:ind w:firstLine="480"/>
        <w:rPr>
          <w:rFonts w:ascii="楷体" w:hAnsi="楷体" w:cs="楷体"/>
          <w:highlight w:val="none"/>
        </w:rPr>
      </w:pPr>
      <w:r>
        <w:rPr>
          <w:rFonts w:hint="eastAsia" w:ascii="楷体" w:hAnsi="楷体" w:cs="楷体"/>
          <w:highlight w:val="none"/>
        </w:rPr>
        <w:t>1-3采购内容及</w:t>
      </w:r>
      <w:r>
        <w:rPr>
          <w:rFonts w:hint="eastAsia" w:ascii="楷体" w:hAnsi="楷体" w:cs="楷体"/>
          <w:highlight w:val="none"/>
          <w:lang w:val="en-US" w:eastAsia="zh-CN"/>
        </w:rPr>
        <w:t>需求</w:t>
      </w:r>
    </w:p>
    <w:p>
      <w:pPr>
        <w:ind w:firstLine="480"/>
        <w:rPr>
          <w:rFonts w:ascii="楷体" w:hAnsi="楷体" w:cs="楷体"/>
          <w:highlight w:val="none"/>
        </w:rPr>
      </w:pPr>
      <w:r>
        <w:rPr>
          <w:rFonts w:hint="eastAsia" w:ascii="楷体" w:hAnsi="楷体" w:cs="楷体"/>
          <w:highlight w:val="none"/>
        </w:rPr>
        <w:t>1-4拟签订的合同文本</w:t>
      </w:r>
    </w:p>
    <w:p>
      <w:pPr>
        <w:ind w:firstLine="480"/>
        <w:rPr>
          <w:rFonts w:ascii="楷体" w:hAnsi="楷体" w:cs="楷体"/>
          <w:highlight w:val="none"/>
        </w:rPr>
      </w:pPr>
      <w:r>
        <w:rPr>
          <w:rFonts w:hint="eastAsia" w:ascii="楷体" w:hAnsi="楷体" w:cs="楷体"/>
          <w:highlight w:val="none"/>
        </w:rPr>
        <w:t>1-5响应文件格式</w:t>
      </w:r>
    </w:p>
    <w:p>
      <w:pPr>
        <w:ind w:firstLine="480"/>
        <w:rPr>
          <w:rFonts w:ascii="楷体" w:hAnsi="楷体" w:cs="楷体"/>
        </w:rPr>
      </w:pPr>
      <w:r>
        <w:rPr>
          <w:rFonts w:hint="eastAsia" w:ascii="楷体" w:hAnsi="楷体" w:cs="楷体"/>
        </w:rPr>
        <w:t>2、谈判文件的获取：竞争性谈判公告发布后，有意向的供应商应从竞争性谈判公告载明的谈判文件获取地点获取谈判文件，其文件仅作为本次谈判使用；未按照竞争性谈判公告要求取得谈判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谈判文件进行必要的澄清或者修改的，澄清或者修改内容在指定的政府采购信息发布媒体上发布澄清或更正公告，澄清或者修改的内容为谈判文件的组成部分。澄清或者修改的内容可能影响响应文件编制的，在提交首次响应文件截止时间至少3个工作日前，以书面形式通知所有获取谈判文件的供应商；不足3个工作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谈判文件的潜在供应商，且作为谈判文件的组成部分。</w:t>
      </w:r>
    </w:p>
    <w:p>
      <w:pPr>
        <w:ind w:firstLine="480"/>
        <w:rPr>
          <w:rFonts w:ascii="楷体" w:hAnsi="楷体" w:cs="楷体"/>
        </w:rPr>
      </w:pPr>
      <w:r>
        <w:rPr>
          <w:rFonts w:hint="eastAsia" w:ascii="楷体" w:hAnsi="楷体" w:cs="楷体"/>
        </w:rPr>
        <w:t>5、谈判文件的解释权归采购代理机构。</w:t>
      </w:r>
    </w:p>
    <w:p>
      <w:pPr>
        <w:pStyle w:val="5"/>
        <w:spacing w:line="360" w:lineRule="auto"/>
        <w:ind w:left="573"/>
        <w:rPr>
          <w:rFonts w:ascii="楷体" w:hAnsi="楷体"/>
        </w:rPr>
      </w:pPr>
      <w:bookmarkStart w:id="8" w:name="_Toc31078_WPSOffice_Level2"/>
      <w:bookmarkStart w:id="9" w:name="_Toc18774_WPSOffice_Level2"/>
      <w:r>
        <w:rPr>
          <w:rFonts w:hint="eastAsia" w:ascii="楷体" w:hAnsi="楷体"/>
        </w:rPr>
        <w:t>响应要求</w:t>
      </w:r>
      <w:bookmarkEnd w:id="8"/>
      <w:bookmarkEnd w:id="9"/>
    </w:p>
    <w:p>
      <w:pPr>
        <w:numPr>
          <w:ilvl w:val="0"/>
          <w:numId w:val="7"/>
        </w:numPr>
        <w:ind w:firstLine="480"/>
        <w:rPr>
          <w:rFonts w:ascii="楷体" w:hAnsi="楷体" w:cs="楷体"/>
        </w:rPr>
      </w:pPr>
      <w:r>
        <w:rPr>
          <w:rFonts w:hint="eastAsia" w:ascii="楷体" w:hAnsi="楷体" w:cs="楷体"/>
        </w:rPr>
        <w:t>供应商应当按照谈判文件的要求编制响应文件，并对其提交的响应文件的真实性、合法性承担法律责任。谈判响应应以</w:t>
      </w:r>
      <w:r>
        <w:rPr>
          <w:rFonts w:hint="eastAsia" w:ascii="楷体" w:hAnsi="楷体" w:cs="楷体"/>
          <w:color w:val="000000" w:themeColor="text1"/>
          <w14:textFill>
            <w14:solidFill>
              <w14:schemeClr w14:val="tx1"/>
            </w14:solidFill>
          </w14:textFill>
        </w:rPr>
        <w:t>项目</w:t>
      </w:r>
      <w:r>
        <w:rPr>
          <w:rFonts w:hint="eastAsia" w:ascii="楷体" w:hAnsi="楷体" w:cs="楷体"/>
        </w:rPr>
        <w:t>为单位，不得在其中选项响应或将其中内容再行分解，否则响应无效。</w:t>
      </w:r>
    </w:p>
    <w:p>
      <w:pPr>
        <w:ind w:firstLine="480"/>
        <w:rPr>
          <w:rFonts w:ascii="楷体" w:hAnsi="楷体" w:cs="楷体"/>
        </w:rPr>
      </w:pPr>
      <w:r>
        <w:rPr>
          <w:rFonts w:hint="eastAsia" w:ascii="楷体" w:hAnsi="楷体" w:cs="楷体"/>
        </w:rPr>
        <w:t>2、供应商资格要求：</w:t>
      </w:r>
    </w:p>
    <w:p>
      <w:pPr>
        <w:pStyle w:val="37"/>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37"/>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供应商经具有财务审计资质的第三方机构出具的2021年度财务报告，或其基本开户银行出具的资信证明及其基本存款账户开户许可证（无基本存款账户开户许可证可提供其基本存款账户信息证明）；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依法缴纳税收的相关材料（提供2022年1月至今已缴纳任意一个月纳税证明或税务机关开具的完税证明，依法免税的单位应提供相关证明材料）；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rPr>
        <w:t>2-1-4依法缴纳</w:t>
      </w:r>
      <w:r>
        <w:rPr>
          <w:rFonts w:hint="eastAsia" w:ascii="楷体" w:cs="楷体"/>
          <w:kern w:val="0"/>
        </w:rPr>
        <w:t>社会保障资金的相关材料（提供2022年1月至今已缴存任意一个月社会保障资金缴存单据或社保机构开具的社会保险参保缴费证明，依法不需要缴纳社会保障资金的单位应提供相关证明材料）；</w:t>
      </w:r>
    </w:p>
    <w:p>
      <w:pPr>
        <w:pStyle w:val="37"/>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37"/>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37"/>
        <w:ind w:firstLine="480"/>
        <w:rPr>
          <w:rFonts w:ascii="楷体" w:eastAsia="楷体" w:cs="楷体"/>
          <w:sz w:val="24"/>
        </w:rPr>
      </w:pPr>
      <w:r>
        <w:rPr>
          <w:rFonts w:hint="eastAsia" w:ascii="楷体" w:eastAsia="楷体" w:cs="楷体"/>
          <w:sz w:val="24"/>
        </w:rPr>
        <w:t>2-1-7具备法律、行政法规规定的其他条件的证明材料。</w:t>
      </w:r>
    </w:p>
    <w:p>
      <w:pPr>
        <w:pStyle w:val="37"/>
        <w:wordWrap w:val="0"/>
        <w:ind w:firstLine="480"/>
        <w:rPr>
          <w:rFonts w:ascii="楷体" w:hAnsi="楷体" w:eastAsia="楷体" w:cs="楷体"/>
          <w:sz w:val="24"/>
        </w:rPr>
      </w:pPr>
      <w:r>
        <w:rPr>
          <w:rFonts w:hint="eastAsia" w:ascii="楷体" w:hAnsi="楷体" w:eastAsia="楷体" w:cs="楷体"/>
          <w:sz w:val="24"/>
        </w:rPr>
        <w:t>2-2供应商通过“信用中国”网站(www.creditchina.gov.cn)、中国政府采购网(</w:t>
      </w:r>
      <w:r>
        <w:rPr>
          <w:rFonts w:hint="eastAsia" w:ascii="楷体" w:hAnsi="楷体" w:eastAsia="楷体" w:cs="楷体"/>
          <w:sz w:val="24"/>
        </w:rPr>
        <w:fldChar w:fldCharType="begin"/>
      </w:r>
      <w:r>
        <w:rPr>
          <w:rFonts w:hint="eastAsia" w:ascii="楷体" w:hAnsi="楷体" w:eastAsia="楷体" w:cs="楷体"/>
          <w:sz w:val="24"/>
        </w:rPr>
        <w:instrText xml:space="preserve"> HYPERLINK "http://www.ccgp.gov.cn" </w:instrText>
      </w:r>
      <w:r>
        <w:rPr>
          <w:rFonts w:hint="eastAsia" w:ascii="楷体" w:hAnsi="楷体" w:eastAsia="楷体" w:cs="楷体"/>
          <w:sz w:val="24"/>
        </w:rPr>
        <w:fldChar w:fldCharType="separate"/>
      </w:r>
      <w:r>
        <w:rPr>
          <w:rFonts w:hint="eastAsia" w:ascii="楷体" w:hAnsi="楷体" w:eastAsia="楷体" w:cs="楷体"/>
          <w:sz w:val="24"/>
        </w:rPr>
        <w:t>www.ccgp.gov.cn</w:t>
      </w:r>
      <w:r>
        <w:rPr>
          <w:rFonts w:hint="eastAsia" w:ascii="楷体" w:hAnsi="楷体" w:eastAsia="楷体" w:cs="楷体"/>
          <w:sz w:val="24"/>
        </w:rPr>
        <w:fldChar w:fldCharType="end"/>
      </w:r>
      <w:r>
        <w:rPr>
          <w:rFonts w:hint="eastAsia" w:ascii="楷体" w:hAnsi="楷体" w:eastAsia="楷体" w:cs="楷体"/>
          <w:sz w:val="24"/>
        </w:rPr>
        <w:t>) 等查询相关主体信用记录。（对列入失信被执行人、重大税收违法</w:t>
      </w:r>
      <w:r>
        <w:rPr>
          <w:rFonts w:hint="eastAsia" w:ascii="楷体" w:hAnsi="楷体" w:eastAsia="楷体" w:cs="楷体"/>
          <w:sz w:val="24"/>
          <w:lang w:val="en-US" w:eastAsia="zh-CN"/>
        </w:rPr>
        <w:t>失信主体</w:t>
      </w:r>
      <w:r>
        <w:rPr>
          <w:rFonts w:hint="eastAsia" w:ascii="楷体" w:hAnsi="楷体" w:eastAsia="楷体" w:cs="楷体"/>
          <w:sz w:val="24"/>
        </w:rPr>
        <w:t>、政府采购严重违法失信行为记录名单及其他不符合《中华人民共和国政府采购法》第二十二条规定条件的供应商，采购代理机构将拒绝其参与政府采购活动。）</w:t>
      </w:r>
    </w:p>
    <w:p>
      <w:pPr>
        <w:pStyle w:val="37"/>
        <w:ind w:firstLine="480"/>
        <w:rPr>
          <w:highlight w:val="none"/>
        </w:rPr>
      </w:pPr>
      <w:r>
        <w:rPr>
          <w:rFonts w:hint="eastAsia" w:ascii="楷体" w:hAnsi="楷体" w:eastAsia="楷体" w:cs="楷体"/>
          <w:sz w:val="24"/>
        </w:rPr>
        <w:t>2-</w:t>
      </w:r>
      <w:r>
        <w:rPr>
          <w:rFonts w:hint="eastAsia" w:ascii="楷体" w:hAnsi="楷体" w:eastAsia="楷体" w:cs="楷体"/>
          <w:sz w:val="24"/>
          <w:lang w:val="en-US" w:eastAsia="zh-CN"/>
        </w:rPr>
        <w:t>3</w:t>
      </w:r>
      <w:r>
        <w:rPr>
          <w:rFonts w:hint="eastAsia" w:ascii="楷体" w:hAnsi="楷体" w:eastAsia="楷体" w:cs="楷体"/>
          <w:sz w:val="24"/>
        </w:rPr>
        <w:t>供应商应授权合法的人员参加</w:t>
      </w:r>
      <w:r>
        <w:rPr>
          <w:rFonts w:hint="eastAsia" w:ascii="楷体" w:hAnsi="楷体" w:eastAsia="楷体" w:cs="楷体"/>
          <w:sz w:val="24"/>
          <w:lang w:eastAsia="zh-CN"/>
        </w:rPr>
        <w:t>谈判</w:t>
      </w:r>
      <w:r>
        <w:rPr>
          <w:rFonts w:hint="eastAsia" w:ascii="楷体" w:hAnsi="楷体" w:eastAsia="楷体" w:cs="楷体"/>
          <w:sz w:val="24"/>
        </w:rPr>
        <w:t>全过程，其中法定代表人直接参加</w:t>
      </w:r>
      <w:r>
        <w:rPr>
          <w:rFonts w:hint="eastAsia" w:ascii="楷体" w:hAnsi="楷体" w:eastAsia="楷体" w:cs="楷体"/>
          <w:sz w:val="24"/>
          <w:lang w:eastAsia="zh-CN"/>
        </w:rPr>
        <w:t>谈判</w:t>
      </w:r>
      <w:r>
        <w:rPr>
          <w:rFonts w:hint="eastAsia" w:ascii="楷体" w:hAnsi="楷体" w:eastAsia="楷体" w:cs="楷体"/>
          <w:sz w:val="24"/>
        </w:rPr>
        <w:t>的，须出</w:t>
      </w:r>
      <w:r>
        <w:rPr>
          <w:rFonts w:hint="eastAsia" w:ascii="楷体" w:hAnsi="楷体" w:eastAsia="楷体" w:cs="楷体"/>
          <w:sz w:val="24"/>
          <w:highlight w:val="none"/>
        </w:rPr>
        <w:t>具法人身份证，并与营业执照上信息一致。法定代表人授权代表参加</w:t>
      </w:r>
      <w:r>
        <w:rPr>
          <w:rFonts w:hint="eastAsia" w:ascii="楷体" w:hAnsi="楷体" w:eastAsia="楷体" w:cs="楷体"/>
          <w:sz w:val="24"/>
          <w:highlight w:val="none"/>
          <w:lang w:eastAsia="zh-CN"/>
        </w:rPr>
        <w:t>谈判</w:t>
      </w:r>
      <w:r>
        <w:rPr>
          <w:rFonts w:hint="eastAsia" w:ascii="楷体" w:hAnsi="楷体" w:eastAsia="楷体" w:cs="楷体"/>
          <w:sz w:val="24"/>
          <w:highlight w:val="none"/>
        </w:rPr>
        <w:t>的，须出具法定代表人授权书及授权代表身份证。</w:t>
      </w:r>
    </w:p>
    <w:p>
      <w:pPr>
        <w:ind w:firstLine="480"/>
        <w:rPr>
          <w:rFonts w:ascii="楷体" w:hAnsi="楷体" w:cs="楷体"/>
          <w:highlight w:val="none"/>
        </w:rPr>
      </w:pPr>
      <w:r>
        <w:rPr>
          <w:rFonts w:hint="eastAsia" w:ascii="楷体" w:hAnsi="楷体" w:cs="楷体"/>
          <w:highlight w:val="none"/>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highlight w:val="none"/>
        </w:rPr>
      </w:pPr>
      <w:bookmarkStart w:id="10" w:name="_Toc12499_WPSOffice_Level2"/>
      <w:r>
        <w:rPr>
          <w:rFonts w:hint="eastAsia" w:ascii="楷体" w:hAnsi="楷体" w:cs="楷体"/>
          <w:highlight w:val="none"/>
        </w:rPr>
        <w:t>4、本项目不接受联合体响应。</w:t>
      </w:r>
    </w:p>
    <w:p>
      <w:pPr>
        <w:ind w:firstLine="480"/>
        <w:rPr>
          <w:rFonts w:ascii="楷体" w:hAnsi="楷体" w:cs="楷体"/>
          <w:highlight w:val="none"/>
        </w:rPr>
      </w:pPr>
      <w:r>
        <w:rPr>
          <w:rFonts w:hint="eastAsia" w:ascii="楷体" w:hAnsi="楷体" w:cs="楷体"/>
          <w:highlight w:val="none"/>
        </w:rPr>
        <w:t>5、本项目不组织现场考察或者答疑会。</w:t>
      </w:r>
    </w:p>
    <w:p>
      <w:pPr>
        <w:ind w:firstLine="480"/>
        <w:rPr>
          <w:rFonts w:hint="eastAsia" w:ascii="楷体" w:hAnsi="楷体" w:cs="楷体"/>
          <w:color w:val="auto"/>
          <w:highlight w:val="yellow"/>
          <w:lang w:eastAsia="zh-CN"/>
        </w:rPr>
      </w:pPr>
      <w:r>
        <w:rPr>
          <w:rFonts w:hint="eastAsia" w:ascii="楷体" w:hAnsi="楷体" w:cs="楷体"/>
          <w:color w:val="auto"/>
          <w:highlight w:val="none"/>
        </w:rPr>
        <w:t>6、本项目</w:t>
      </w:r>
      <w:r>
        <w:rPr>
          <w:rFonts w:hint="eastAsia" w:ascii="楷体" w:hAnsi="楷体" w:cs="楷体"/>
          <w:color w:val="auto"/>
          <w:highlight w:val="none"/>
          <w:lang w:val="en-US" w:eastAsia="zh-CN"/>
        </w:rPr>
        <w:t>无</w:t>
      </w:r>
      <w:r>
        <w:rPr>
          <w:rFonts w:hint="eastAsia" w:ascii="楷体" w:hAnsi="楷体" w:cs="楷体"/>
          <w:color w:val="auto"/>
          <w:highlight w:val="none"/>
        </w:rPr>
        <w:t>履约保证金</w:t>
      </w:r>
      <w:r>
        <w:rPr>
          <w:rFonts w:hint="eastAsia" w:ascii="楷体" w:hAnsi="楷体" w:cs="楷体"/>
          <w:color w:val="auto"/>
          <w:highlight w:val="none"/>
          <w:lang w:eastAsia="zh-CN"/>
        </w:rPr>
        <w:t>。</w:t>
      </w:r>
    </w:p>
    <w:p>
      <w:pPr>
        <w:ind w:firstLine="480"/>
        <w:rPr>
          <w:rFonts w:ascii="楷体" w:hAnsi="楷体" w:cs="楷体"/>
          <w:color w:val="auto"/>
          <w:highlight w:val="none"/>
        </w:rPr>
      </w:pPr>
      <w:r>
        <w:rPr>
          <w:rFonts w:hint="eastAsia" w:ascii="楷体" w:hAnsi="楷体" w:cs="楷体"/>
          <w:color w:val="auto"/>
          <w:highlight w:val="none"/>
          <w:lang w:val="en-US" w:eastAsia="zh-CN"/>
        </w:rPr>
        <w:t>7、本项目无谈判保证金</w:t>
      </w:r>
      <w:r>
        <w:rPr>
          <w:rFonts w:hint="eastAsia" w:ascii="楷体" w:hAnsi="楷体" w:cs="楷体"/>
          <w:color w:val="auto"/>
          <w:highlight w:val="none"/>
        </w:rPr>
        <w:t>。</w:t>
      </w:r>
    </w:p>
    <w:p>
      <w:pPr>
        <w:pStyle w:val="3"/>
        <w:ind w:firstLine="480"/>
        <w:rPr>
          <w:rFonts w:ascii="楷体" w:hAnsi="楷体" w:cs="楷体"/>
          <w:color w:val="auto"/>
          <w:sz w:val="24"/>
          <w:highlight w:val="none"/>
        </w:rPr>
      </w:pPr>
      <w:r>
        <w:rPr>
          <w:rFonts w:hint="eastAsia" w:ascii="楷体" w:hAnsi="楷体" w:cs="楷体"/>
          <w:color w:val="auto"/>
          <w:sz w:val="24"/>
          <w:highlight w:val="none"/>
        </w:rPr>
        <w:t>8、本项目不允许分包</w:t>
      </w:r>
      <w:r>
        <w:rPr>
          <w:rFonts w:hint="eastAsia" w:ascii="楷体" w:hAnsi="楷体" w:cs="楷体"/>
          <w:color w:val="auto"/>
          <w:sz w:val="24"/>
          <w:highlight w:val="none"/>
          <w:lang w:eastAsia="zh-CN"/>
        </w:rPr>
        <w:t>、</w:t>
      </w:r>
      <w:r>
        <w:rPr>
          <w:rFonts w:hint="eastAsia" w:ascii="楷体" w:hAnsi="楷体" w:cs="楷体"/>
          <w:color w:val="auto"/>
          <w:sz w:val="24"/>
          <w:highlight w:val="none"/>
          <w:lang w:val="en-US" w:eastAsia="zh-CN"/>
        </w:rPr>
        <w:t>转包</w:t>
      </w:r>
      <w:r>
        <w:rPr>
          <w:rFonts w:hint="eastAsia" w:ascii="楷体" w:hAnsi="楷体" w:cs="楷体"/>
          <w:color w:val="auto"/>
          <w:sz w:val="24"/>
          <w:highlight w:val="none"/>
        </w:rPr>
        <w:t>。</w:t>
      </w:r>
    </w:p>
    <w:p>
      <w:pPr>
        <w:ind w:firstLine="480"/>
        <w:rPr>
          <w:rFonts w:ascii="楷体" w:hAnsi="楷体"/>
          <w:highlight w:val="none"/>
        </w:rPr>
      </w:pPr>
      <w:r>
        <w:rPr>
          <w:rFonts w:hint="eastAsia" w:ascii="楷体" w:hAnsi="楷体"/>
          <w:highlight w:val="none"/>
          <w:lang w:val="en-US" w:eastAsia="zh-CN"/>
        </w:rPr>
        <w:t>9</w:t>
      </w:r>
      <w:r>
        <w:rPr>
          <w:rFonts w:hint="eastAsia" w:ascii="楷体" w:hAnsi="楷体"/>
          <w:highlight w:val="none"/>
        </w:rPr>
        <w:t>、本项目不接受备选方案。</w:t>
      </w:r>
    </w:p>
    <w:p>
      <w:pPr>
        <w:ind w:firstLine="480"/>
        <w:rPr>
          <w:rFonts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、响应文件编制</w:t>
      </w:r>
    </w:p>
    <w:p>
      <w:pPr>
        <w:ind w:firstLine="480"/>
      </w:pPr>
      <w:r>
        <w:rPr>
          <w:rFonts w:hint="eastAsia" w:ascii="楷体" w:hAnsi="楷体" w:cs="楷体"/>
          <w:highlight w:val="none"/>
          <w:lang w:val="en-US" w:eastAsia="zh-CN"/>
        </w:rPr>
        <w:t>10</w:t>
      </w:r>
      <w:r>
        <w:rPr>
          <w:rFonts w:hint="eastAsia" w:ascii="楷体" w:hAnsi="楷体" w:cs="楷体"/>
          <w:highlight w:val="none"/>
        </w:rPr>
        <w:t>-1、供应商应以采购代理机构提供的响应文件格式编制响应文件，</w:t>
      </w:r>
      <w:r>
        <w:rPr>
          <w:rFonts w:hint="eastAsia" w:ascii="楷体" w:hAnsi="楷体" w:cs="楷体"/>
          <w:b/>
          <w:bCs/>
        </w:rPr>
        <w:t>正本壹份，副本</w:t>
      </w:r>
      <w:r>
        <w:rPr>
          <w:rFonts w:hint="eastAsia" w:ascii="楷体" w:hAnsi="楷体" w:cs="楷体"/>
          <w:b/>
          <w:bCs/>
          <w:lang w:val="en-US" w:eastAsia="zh-CN"/>
        </w:rPr>
        <w:t>贰</w:t>
      </w:r>
      <w:r>
        <w:rPr>
          <w:rFonts w:hint="eastAsia" w:ascii="楷体" w:hAnsi="楷体" w:cs="楷体"/>
          <w:b/>
          <w:bCs/>
        </w:rPr>
        <w:t>份</w:t>
      </w:r>
      <w:r>
        <w:rPr>
          <w:rFonts w:hint="eastAsia" w:ascii="楷体" w:hAnsi="楷体" w:cs="楷体"/>
          <w:b/>
          <w:bCs/>
          <w:lang w:eastAsia="zh-CN"/>
        </w:rPr>
        <w:t>，</w:t>
      </w:r>
      <w:r>
        <w:rPr>
          <w:rFonts w:hint="eastAsia" w:ascii="楷体" w:hAnsi="楷体" w:cs="楷体"/>
          <w:b/>
          <w:bCs/>
          <w:lang w:val="en-US" w:eastAsia="zh-CN"/>
        </w:rPr>
        <w:t>电子版壹份（须为可编辑的word格式响应文件，用U盘拷贝），</w:t>
      </w:r>
      <w:r>
        <w:rPr>
          <w:rFonts w:hint="eastAsia" w:ascii="楷体" w:hAnsi="楷体" w:cs="楷体"/>
          <w:highlight w:val="none"/>
        </w:rPr>
        <w:t>并各自装订成册，每套响应文件须清楚地标明“正本”或“副本”，一旦正本与副本不符，以正本为准</w:t>
      </w:r>
      <w:r>
        <w:rPr>
          <w:rFonts w:hint="eastAsia" w:ascii="楷体" w:hAnsi="楷体" w:cs="楷体"/>
          <w:highlight w:val="none"/>
          <w:lang w:eastAsia="zh-CN"/>
        </w:rPr>
        <w:t>，电子版须与正本保持一致。</w:t>
      </w:r>
      <w:r>
        <w:rPr>
          <w:rFonts w:hint="eastAsia" w:ascii="楷体" w:hAnsi="楷体" w:cs="楷体"/>
          <w:highlight w:val="none"/>
          <w:lang w:val="en-US" w:eastAsia="zh-CN"/>
        </w:rPr>
        <w:t>响应</w:t>
      </w:r>
      <w:r>
        <w:rPr>
          <w:rFonts w:hint="eastAsia" w:ascii="楷体" w:hAnsi="楷体" w:cs="楷体"/>
          <w:highlight w:val="none"/>
          <w:lang w:eastAsia="zh-CN"/>
        </w:rPr>
        <w:t>文件建议双面打印</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-2、供应商在编制响应文件时，应依据</w:t>
      </w:r>
      <w:r>
        <w:rPr>
          <w:rFonts w:hint="eastAsia" w:ascii="楷体" w:hAnsi="楷体" w:cs="楷体"/>
          <w:highlight w:val="none"/>
          <w:lang w:eastAsia="zh-CN"/>
        </w:rPr>
        <w:t>谈判</w:t>
      </w:r>
      <w:r>
        <w:rPr>
          <w:rFonts w:hint="eastAsia" w:ascii="楷体" w:hAnsi="楷体" w:cs="楷体"/>
          <w:highlight w:val="none"/>
        </w:rPr>
        <w:t>文件的要求，对</w:t>
      </w:r>
      <w:r>
        <w:rPr>
          <w:rFonts w:hint="eastAsia" w:ascii="楷体" w:hAnsi="楷体" w:cs="楷体"/>
          <w:highlight w:val="none"/>
          <w:lang w:eastAsia="zh-CN"/>
        </w:rPr>
        <w:t>谈判</w:t>
      </w:r>
      <w:r>
        <w:rPr>
          <w:rFonts w:hint="eastAsia" w:ascii="楷体" w:hAnsi="楷体" w:cs="楷体"/>
          <w:highlight w:val="none"/>
        </w:rPr>
        <w:t>文件作出实质性的响应。响应文件必须按要求加盖供应商公章和法定代表人（或其授权代表）签字。</w:t>
      </w:r>
    </w:p>
    <w:p>
      <w:pPr>
        <w:pStyle w:val="3"/>
        <w:rPr>
          <w:sz w:val="24"/>
          <w:szCs w:val="22"/>
        </w:rPr>
      </w:pPr>
      <w:r>
        <w:rPr>
          <w:rFonts w:hint="eastAsia" w:ascii="楷体" w:cs="楷体"/>
          <w:b/>
          <w:bCs/>
          <w:color w:val="auto"/>
          <w:sz w:val="24"/>
          <w:szCs w:val="22"/>
          <w:highlight w:val="none"/>
          <w:lang w:val="en-US" w:eastAsia="zh-CN"/>
        </w:rPr>
        <w:t>注：凡要求法定代表人签字或盖章之处，非法人单位负责人可参照执行。</w:t>
      </w:r>
    </w:p>
    <w:p>
      <w:pPr>
        <w:ind w:firstLine="480"/>
        <w:rPr>
          <w:rFonts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-4、响应文件编制要求：包括（但不限于）以下内容</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-4-1、响应函；</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-4-2、</w:t>
      </w:r>
      <w:r>
        <w:rPr>
          <w:rFonts w:hint="eastAsia" w:ascii="楷体" w:hAnsi="楷体" w:cs="楷体"/>
          <w:highlight w:val="none"/>
          <w:lang w:eastAsia="zh-CN"/>
        </w:rPr>
        <w:t>谈判</w:t>
      </w:r>
      <w:r>
        <w:rPr>
          <w:rFonts w:hint="eastAsia" w:ascii="楷体" w:hAnsi="楷体" w:cs="楷体"/>
          <w:highlight w:val="none"/>
        </w:rPr>
        <w:t>报价一览表和</w:t>
      </w:r>
      <w:r>
        <w:rPr>
          <w:rFonts w:hint="eastAsia" w:ascii="楷体" w:hAnsi="楷体" w:cs="楷体"/>
          <w:highlight w:val="none"/>
          <w:lang w:eastAsia="zh-CN"/>
        </w:rPr>
        <w:t>分项报价表</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-4-3、供应商承诺书；</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-4-4、供应商企业关系关联承诺书；</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-4-5、资格证明文件，</w:t>
      </w:r>
      <w:r>
        <w:rPr>
          <w:rFonts w:hint="eastAsia" w:ascii="楷体" w:hAnsi="楷体" w:cs="楷体"/>
          <w:highlight w:val="none"/>
          <w:lang w:val="zh-CN"/>
        </w:rPr>
        <w:t>证明参加谈判供应商是响应本项目谈判的合格供应商</w:t>
      </w:r>
      <w:r>
        <w:rPr>
          <w:rFonts w:hint="eastAsia" w:ascii="楷体" w:hAnsi="楷体" w:cs="楷体"/>
          <w:highlight w:val="none"/>
        </w:rPr>
        <w:t>；</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-4-6、供应商为本次采购活动编制的响应</w:t>
      </w:r>
      <w:r>
        <w:rPr>
          <w:rFonts w:hint="eastAsia" w:ascii="楷体" w:hAnsi="楷体" w:cs="楷体"/>
          <w:highlight w:val="none"/>
          <w:lang w:val="en-US" w:eastAsia="zh-CN"/>
        </w:rPr>
        <w:t>供货服务</w:t>
      </w:r>
      <w:r>
        <w:rPr>
          <w:rFonts w:hint="eastAsia" w:ascii="楷体" w:hAnsi="楷体" w:cs="楷体"/>
          <w:highlight w:val="none"/>
        </w:rPr>
        <w:t>方案，具有履行合同所必须的供货能力和专业服务能力，配备了相应的商务和技术人员，项目在组织实施、财务保证、人力安排、维护维修、培训服务等方面具体做法和保障措施；</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-4-7、供应商提供相应业绩，证明其服务经验及能力；</w:t>
      </w:r>
    </w:p>
    <w:p>
      <w:pPr>
        <w:ind w:firstLine="480"/>
        <w:rPr>
          <w:rFonts w:hint="eastAsia" w:ascii="楷体" w:hAnsi="楷体" w:cs="楷体"/>
          <w:highlight w:val="none"/>
        </w:rPr>
      </w:pPr>
      <w:r>
        <w:rPr>
          <w:rFonts w:hint="eastAsia" w:ascii="楷体" w:hAnsi="楷体" w:cs="楷体"/>
          <w:highlight w:val="none"/>
          <w:lang w:val="en-US" w:eastAsia="zh-CN"/>
        </w:rPr>
        <w:t>10</w:t>
      </w:r>
      <w:r>
        <w:rPr>
          <w:rFonts w:hint="eastAsia" w:ascii="楷体" w:hAnsi="楷体" w:cs="楷体"/>
          <w:highlight w:val="none"/>
        </w:rPr>
        <w:t>-4-8、为采购活动提供的合理化建议。</w:t>
      </w:r>
    </w:p>
    <w:p>
      <w:pPr>
        <w:ind w:firstLine="480"/>
        <w:rPr>
          <w:rFonts w:ascii="楷体" w:hAnsi="楷体" w:cs="楷体"/>
          <w:highlight w:val="none"/>
        </w:rPr>
      </w:pPr>
      <w:r>
        <w:rPr>
          <w:rFonts w:hint="eastAsia" w:ascii="楷体" w:hAnsi="楷体" w:cs="楷体"/>
          <w:highlight w:val="none"/>
          <w:lang w:val="en-US" w:eastAsia="zh-CN"/>
        </w:rPr>
        <w:t>11</w:t>
      </w:r>
      <w:r>
        <w:rPr>
          <w:rFonts w:hint="eastAsia" w:ascii="楷体" w:hAnsi="楷体" w:cs="楷体"/>
          <w:highlight w:val="none"/>
        </w:rPr>
        <w:t>、响应文件密封</w:t>
      </w:r>
    </w:p>
    <w:p>
      <w:pPr>
        <w:ind w:firstLine="480"/>
        <w:rPr>
          <w:rFonts w:ascii="楷体" w:hAnsi="楷体" w:cs="楷体"/>
          <w:highlight w:val="none"/>
        </w:rPr>
      </w:pPr>
      <w:r>
        <w:rPr>
          <w:rFonts w:hint="eastAsia" w:ascii="楷体" w:hAnsi="楷体" w:cs="楷体"/>
          <w:highlight w:val="none"/>
          <w:lang w:val="en-US" w:eastAsia="zh-CN"/>
        </w:rPr>
        <w:t>11</w:t>
      </w:r>
      <w:r>
        <w:rPr>
          <w:rFonts w:hint="eastAsia" w:ascii="楷体" w:hAnsi="楷体" w:cs="楷体"/>
          <w:highlight w:val="none"/>
        </w:rPr>
        <w:t>-1、供应商应将响应文件正本、副本</w:t>
      </w:r>
      <w:r>
        <w:rPr>
          <w:rFonts w:hint="eastAsia" w:ascii="楷体" w:hAnsi="楷体" w:cs="楷体"/>
          <w:highlight w:val="none"/>
          <w:lang w:eastAsia="zh-CN"/>
        </w:rPr>
        <w:t>、</w:t>
      </w:r>
      <w:r>
        <w:rPr>
          <w:rFonts w:hint="eastAsia" w:ascii="楷体" w:hAnsi="楷体" w:cs="楷体"/>
          <w:highlight w:val="none"/>
          <w:lang w:val="en-US" w:eastAsia="zh-CN"/>
        </w:rPr>
        <w:t>电子版</w:t>
      </w:r>
      <w:r>
        <w:rPr>
          <w:rFonts w:hint="eastAsia" w:ascii="楷体" w:hAnsi="楷体" w:cs="楷体"/>
          <w:highlight w:val="none"/>
        </w:rPr>
        <w:t>分别密封完好，在封套上标明采购项目编号、项目名称，供应商全称（公章）及“正本”、“副本”</w:t>
      </w:r>
      <w:r>
        <w:rPr>
          <w:rFonts w:hint="eastAsia" w:ascii="楷体" w:hAnsi="楷体" w:cs="楷体"/>
          <w:highlight w:val="none"/>
          <w:lang w:eastAsia="zh-CN"/>
        </w:rPr>
        <w:t>、</w:t>
      </w:r>
      <w:r>
        <w:rPr>
          <w:rFonts w:hint="eastAsia" w:ascii="楷体" w:hAnsi="楷体" w:cs="楷体"/>
          <w:highlight w:val="none"/>
        </w:rPr>
        <w:t>“电子版</w:t>
      </w:r>
      <w:r>
        <w:rPr>
          <w:rFonts w:hint="eastAsia" w:ascii="楷体" w:hAnsi="楷体" w:cs="楷体"/>
          <w:highlight w:val="none"/>
          <w:lang w:val="en-US" w:eastAsia="zh-CN"/>
        </w:rPr>
        <w:t>响应</w:t>
      </w:r>
      <w:r>
        <w:rPr>
          <w:rFonts w:hint="eastAsia" w:ascii="楷体" w:hAnsi="楷体" w:cs="楷体"/>
          <w:highlight w:val="none"/>
          <w:lang w:eastAsia="zh-CN"/>
        </w:rPr>
        <w:t>文件</w:t>
      </w:r>
      <w:r>
        <w:rPr>
          <w:rFonts w:hint="eastAsia" w:ascii="楷体" w:hAnsi="楷体" w:cs="楷体"/>
          <w:highlight w:val="none"/>
        </w:rPr>
        <w:t>” 等内容。再加封条密封，在封线处加盖供应商公章（骑缝章）和法定代表人（或其授权代表）签字。</w:t>
      </w:r>
    </w:p>
    <w:p>
      <w:pPr>
        <w:ind w:firstLine="480"/>
        <w:rPr>
          <w:rFonts w:ascii="楷体" w:hAnsi="楷体" w:cs="楷体"/>
          <w:highlight w:val="none"/>
        </w:rPr>
      </w:pPr>
      <w:r>
        <w:rPr>
          <w:rFonts w:hint="eastAsia" w:ascii="楷体" w:hAnsi="楷体" w:cs="楷体"/>
          <w:highlight w:val="none"/>
          <w:lang w:val="en-US" w:eastAsia="zh-CN"/>
        </w:rPr>
        <w:t>11</w:t>
      </w:r>
      <w:r>
        <w:rPr>
          <w:rFonts w:hint="eastAsia" w:ascii="楷体" w:hAnsi="楷体" w:cs="楷体"/>
          <w:highlight w:val="none"/>
        </w:rPr>
        <w:t>-2、对于需提供资格证明文件/业绩证明材料等原件的采购项目，供应商应将其内容单独密封，并标明所提供原件的明细表。</w:t>
      </w:r>
    </w:p>
    <w:p>
      <w:pPr>
        <w:ind w:firstLine="480"/>
        <w:rPr>
          <w:rFonts w:ascii="楷体" w:hAnsi="楷体" w:cs="楷体"/>
          <w:highlight w:val="none"/>
        </w:rPr>
      </w:pPr>
      <w:r>
        <w:rPr>
          <w:rFonts w:hint="eastAsia" w:ascii="楷体" w:hAnsi="楷体" w:cs="楷体"/>
          <w:highlight w:val="none"/>
          <w:lang w:val="en-US" w:eastAsia="zh-CN"/>
        </w:rPr>
        <w:t>11</w:t>
      </w:r>
      <w:r>
        <w:rPr>
          <w:rFonts w:hint="eastAsia" w:ascii="楷体" w:hAnsi="楷体" w:cs="楷体"/>
          <w:highlight w:val="none"/>
        </w:rPr>
        <w:t>-3、响应文件未按要求密封或加写标记，采购代理机构对误投或过早启封的响应文件概不负责。</w:t>
      </w:r>
    </w:p>
    <w:p>
      <w:pPr>
        <w:ind w:firstLine="480"/>
        <w:rPr>
          <w:rFonts w:ascii="楷体" w:hAnsi="楷体" w:cs="楷体"/>
          <w:highlight w:val="none"/>
        </w:rPr>
      </w:pPr>
      <w:r>
        <w:rPr>
          <w:rFonts w:hint="eastAsia" w:ascii="楷体" w:hAnsi="楷体" w:cs="楷体"/>
          <w:highlight w:val="none"/>
          <w:lang w:val="en-US" w:eastAsia="zh-CN"/>
        </w:rPr>
        <w:t>12</w:t>
      </w:r>
      <w:r>
        <w:rPr>
          <w:rFonts w:hint="eastAsia" w:ascii="楷体" w:hAnsi="楷体" w:cs="楷体"/>
          <w:highlight w:val="none"/>
        </w:rPr>
        <w:t>、响应文件提交</w:t>
      </w:r>
    </w:p>
    <w:p>
      <w:pPr>
        <w:ind w:firstLine="480"/>
        <w:rPr>
          <w:rFonts w:ascii="楷体" w:hAnsi="楷体"/>
          <w:highlight w:val="none"/>
        </w:rPr>
      </w:pPr>
      <w:r>
        <w:rPr>
          <w:rFonts w:hint="eastAsia" w:ascii="楷体" w:hAnsi="楷体" w:cs="楷体"/>
          <w:highlight w:val="none"/>
          <w:lang w:val="en-US" w:eastAsia="zh-CN"/>
        </w:rPr>
        <w:t>12</w:t>
      </w:r>
      <w:r>
        <w:rPr>
          <w:rFonts w:hint="eastAsia" w:ascii="楷体" w:hAnsi="楷体" w:cs="楷体"/>
          <w:highlight w:val="none"/>
        </w:rPr>
        <w:t>-1、供应商应当在</w:t>
      </w:r>
      <w:r>
        <w:rPr>
          <w:rFonts w:hint="eastAsia" w:ascii="楷体" w:hAnsi="楷体" w:cs="楷体"/>
          <w:highlight w:val="none"/>
          <w:lang w:eastAsia="zh-CN"/>
        </w:rPr>
        <w:t>谈判</w:t>
      </w:r>
      <w:r>
        <w:rPr>
          <w:rFonts w:hint="eastAsia" w:ascii="楷体" w:hAnsi="楷体" w:cs="楷体"/>
          <w:highlight w:val="none"/>
        </w:rPr>
        <w:t>文件要求提交响应文件的截止时间前，将响应文件密封送达响应地点。在截止时间后送达的响应文件为无效文件，采购人、采购代理机构或者</w:t>
      </w:r>
      <w:r>
        <w:rPr>
          <w:rFonts w:hint="eastAsia" w:ascii="楷体" w:hAnsi="楷体" w:cs="楷体"/>
          <w:highlight w:val="none"/>
          <w:lang w:eastAsia="zh-CN"/>
        </w:rPr>
        <w:t>谈判</w:t>
      </w:r>
      <w:r>
        <w:rPr>
          <w:rFonts w:hint="eastAsia" w:ascii="楷体" w:hAnsi="楷体" w:cs="楷体"/>
          <w:highlight w:val="none"/>
        </w:rPr>
        <w:t>小组拒收。</w:t>
      </w:r>
    </w:p>
    <w:p>
      <w:pPr>
        <w:ind w:firstLine="480"/>
        <w:rPr>
          <w:rFonts w:ascii="楷体" w:hAnsi="楷体" w:cs="楷体"/>
          <w:highlight w:val="none"/>
        </w:rPr>
      </w:pPr>
      <w:r>
        <w:rPr>
          <w:rFonts w:hint="eastAsia" w:ascii="楷体" w:hAnsi="楷体" w:cs="楷体"/>
          <w:highlight w:val="none"/>
          <w:lang w:val="en-US" w:eastAsia="zh-CN"/>
        </w:rPr>
        <w:t>12</w:t>
      </w:r>
      <w:r>
        <w:rPr>
          <w:rFonts w:hint="eastAsia" w:ascii="楷体" w:hAnsi="楷体" w:cs="楷体"/>
          <w:highlight w:val="none"/>
        </w:rPr>
        <w:t>-2、供应商在提交响应文件截止时间前，可以对所提交的响应文件进行补充、修改或者撤回，并书面通知采购人、采购代理机构。补充、修改的内容应当按</w:t>
      </w:r>
      <w:r>
        <w:rPr>
          <w:rFonts w:hint="eastAsia" w:ascii="楷体" w:hAnsi="楷体" w:cs="楷体"/>
          <w:highlight w:val="none"/>
          <w:lang w:eastAsia="zh-CN"/>
        </w:rPr>
        <w:t>谈判</w:t>
      </w:r>
      <w:r>
        <w:rPr>
          <w:rFonts w:hint="eastAsia" w:ascii="楷体" w:hAnsi="楷体" w:cs="楷体"/>
          <w:highlight w:val="none"/>
        </w:rPr>
        <w:t>文件要求签署、盖章，并作为响应文件的组成部分。补充、修改的内容与响应文件不一致的，以补充、修改的内容为准。</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、响应活动中，有下列情形之一的，视为供应商串通响应，其响应无效：</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-1、不同供应商的响应文件由同一单位或者个人编制；</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-2、不同供应商委托同一单位或者个人办理响应事宜；</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-3、不同供应商的响应文件载明的项目管理成员或者联系人员为同一人；</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-4、不同供应商的响应文件异常一致或者</w:t>
      </w:r>
      <w:r>
        <w:rPr>
          <w:rFonts w:hint="eastAsia" w:ascii="楷体" w:hAnsi="楷体" w:cs="楷体"/>
          <w:highlight w:val="none"/>
          <w:lang w:eastAsia="zh-CN"/>
        </w:rPr>
        <w:t>谈判</w:t>
      </w:r>
      <w:r>
        <w:rPr>
          <w:rFonts w:hint="eastAsia" w:ascii="楷体" w:hAnsi="楷体" w:cs="楷体"/>
          <w:highlight w:val="none"/>
        </w:rPr>
        <w:t>报价呈规律性差异；</w:t>
      </w:r>
    </w:p>
    <w:p>
      <w:pPr>
        <w:ind w:firstLine="480"/>
        <w:rPr>
          <w:rFonts w:ascii="楷体" w:hAnsi="楷体" w:cs="楷体"/>
          <w:highlight w:val="none"/>
        </w:rPr>
      </w:pPr>
      <w:r>
        <w:rPr>
          <w:rFonts w:hint="eastAsia" w:ascii="楷体" w:hAnsi="楷体" w:cs="楷体"/>
          <w:highlight w:val="none"/>
          <w:lang w:val="en-US" w:eastAsia="zh-CN"/>
        </w:rPr>
        <w:t>13</w:t>
      </w:r>
      <w:r>
        <w:rPr>
          <w:rFonts w:hint="eastAsia" w:ascii="楷体" w:hAnsi="楷体" w:cs="楷体"/>
          <w:highlight w:val="none"/>
        </w:rPr>
        <w:t>-5、不同供应商的响应文件相互混装。</w:t>
      </w:r>
    </w:p>
    <w:p>
      <w:pPr>
        <w:ind w:firstLine="480"/>
        <w:rPr>
          <w:rFonts w:ascii="楷体" w:hAnsi="楷体"/>
          <w:highlight w:val="none"/>
        </w:rPr>
      </w:pPr>
      <w:r>
        <w:rPr>
          <w:rFonts w:hint="eastAsia" w:ascii="楷体" w:hAnsi="楷体" w:cs="楷体"/>
          <w:highlight w:val="none"/>
          <w:lang w:val="en-US" w:eastAsia="zh-CN"/>
        </w:rPr>
        <w:t>14</w:t>
      </w:r>
      <w:r>
        <w:rPr>
          <w:rFonts w:hint="eastAsia" w:ascii="楷体" w:hAnsi="楷体" w:cs="楷体"/>
          <w:highlight w:val="none"/>
        </w:rPr>
        <w:t>、响应文件中提供虚假证明，开具虚假资质，出现虚假应答或故意隐瞒行为，按无效响应处理。</w:t>
      </w:r>
    </w:p>
    <w:p>
      <w:pPr>
        <w:ind w:firstLine="480"/>
        <w:rPr>
          <w:rFonts w:ascii="楷体" w:hAnsi="楷体" w:cs="楷体"/>
          <w:highlight w:val="none"/>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eastAsia="zh-CN"/>
        </w:rPr>
        <w:t>谈判</w:t>
      </w:r>
      <w:r>
        <w:rPr>
          <w:rFonts w:hint="eastAsia" w:ascii="楷体" w:hAnsi="楷体" w:cs="楷体"/>
          <w:highlight w:val="none"/>
        </w:rPr>
        <w:t>报价</w:t>
      </w:r>
    </w:p>
    <w:p>
      <w:pPr>
        <w:ind w:firstLine="480"/>
        <w:rPr>
          <w:rFonts w:hint="eastAsia" w:ascii="楷体" w:hAnsi="楷体" w:cs="楷体"/>
          <w:highlight w:val="none"/>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val="en-US" w:eastAsia="zh-CN"/>
        </w:rPr>
        <w:t>1</w:t>
      </w:r>
      <w:r>
        <w:rPr>
          <w:rFonts w:hint="eastAsia" w:ascii="楷体" w:hAnsi="楷体" w:cs="楷体"/>
          <w:highlight w:val="none"/>
        </w:rPr>
        <w:t>、供应商应按照</w:t>
      </w:r>
      <w:r>
        <w:rPr>
          <w:rFonts w:hint="eastAsia" w:ascii="楷体" w:hAnsi="楷体" w:cs="楷体"/>
          <w:highlight w:val="none"/>
          <w:lang w:eastAsia="zh-CN"/>
        </w:rPr>
        <w:t>谈判</w:t>
      </w:r>
      <w:r>
        <w:rPr>
          <w:rFonts w:hint="eastAsia" w:ascii="楷体" w:hAnsi="楷体" w:cs="楷体"/>
          <w:highlight w:val="none"/>
        </w:rPr>
        <w:t>文件规定的</w:t>
      </w:r>
      <w:r>
        <w:rPr>
          <w:rFonts w:hint="eastAsia" w:ascii="楷体" w:hAnsi="楷体" w:cs="楷体"/>
          <w:highlight w:val="none"/>
          <w:lang w:val="en-US" w:eastAsia="zh-CN"/>
        </w:rPr>
        <w:t>技术</w:t>
      </w:r>
      <w:r>
        <w:rPr>
          <w:rFonts w:hint="eastAsia" w:ascii="楷体" w:hAnsi="楷体" w:cs="楷体"/>
          <w:highlight w:val="none"/>
        </w:rPr>
        <w:t>要求，责任范围和合同条件进行报价，在响应文件中的</w:t>
      </w:r>
      <w:r>
        <w:rPr>
          <w:rFonts w:hint="eastAsia" w:ascii="楷体" w:hAnsi="楷体" w:cs="楷体"/>
          <w:highlight w:val="none"/>
          <w:lang w:eastAsia="zh-CN"/>
        </w:rPr>
        <w:t>谈判</w:t>
      </w:r>
      <w:r>
        <w:rPr>
          <w:rFonts w:hint="eastAsia" w:ascii="楷体" w:hAnsi="楷体" w:cs="楷体"/>
          <w:highlight w:val="none"/>
        </w:rPr>
        <w:t>报价一览表上按要求标明</w:t>
      </w:r>
      <w:r>
        <w:rPr>
          <w:rFonts w:hint="eastAsia" w:ascii="楷体" w:hAnsi="楷体" w:cs="楷体"/>
          <w:highlight w:val="none"/>
          <w:lang w:eastAsia="zh-CN"/>
        </w:rPr>
        <w:t>谈判</w:t>
      </w:r>
      <w:r>
        <w:rPr>
          <w:rFonts w:hint="eastAsia" w:ascii="楷体" w:hAnsi="楷体" w:cs="楷体"/>
          <w:highlight w:val="none"/>
        </w:rPr>
        <w:t>报价、</w:t>
      </w:r>
      <w:r>
        <w:rPr>
          <w:rFonts w:hint="eastAsia" w:ascii="楷体" w:hAnsi="楷体" w:cs="楷体"/>
          <w:highlight w:val="none"/>
          <w:lang w:val="en-US" w:eastAsia="zh-CN"/>
        </w:rPr>
        <w:t>交货期、质保期</w:t>
      </w:r>
      <w:r>
        <w:rPr>
          <w:rFonts w:hint="eastAsia" w:ascii="楷体" w:hAnsi="楷体" w:cs="楷体"/>
          <w:highlight w:val="none"/>
        </w:rPr>
        <w:t>等项，任何有选择的报价采购代理机构不予接受。</w:t>
      </w:r>
    </w:p>
    <w:p>
      <w:pPr>
        <w:ind w:firstLine="480"/>
        <w:rPr>
          <w:rFonts w:hint="eastAsia" w:ascii="楷体" w:hAnsi="楷体" w:cs="楷体"/>
          <w:highlight w:val="none"/>
          <w:lang w:val="zh-CN"/>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val="en-US" w:eastAsia="zh-CN"/>
        </w:rPr>
        <w:t>2</w:t>
      </w:r>
      <w:r>
        <w:rPr>
          <w:rFonts w:hint="eastAsia" w:ascii="楷体" w:hAnsi="楷体" w:cs="楷体"/>
          <w:highlight w:val="none"/>
        </w:rPr>
        <w:t>、</w:t>
      </w:r>
      <w:r>
        <w:rPr>
          <w:rFonts w:hint="eastAsia" w:ascii="楷体" w:hAnsi="楷体" w:cs="楷体"/>
          <w:highlight w:val="none"/>
          <w:lang w:val="zh-CN"/>
        </w:rPr>
        <w:t>谈判报价是完成合同约定交货期内全部供货和服务内容可能发生的全部费用。包含但不仅限于：货物的设计、采购、制造、供货、标准附件（含完成安装及交付使用所必须增加的附件或配件）、备品备件 、易损件、工具、厂家赠品、原材料及生产制造、检验（包括海关、商检、技术监督局检验等）、包装、运输、各种保险、海关手续费、附加税、利润、车船使用税和费、牌照费、印花税、消费税、增值税、仓储费、附加费、各项费用成本、管理费、运杂费、装卸费、手续费、生产、销售过程中的税费、合理利润及风险、调试、检测、验收（含第三方验收）、技术服务、培训、售后服务、采购代理服务费及其它相关的一切费用，同时还应充分考虑为完成本项目所需的一切成本、利润、税金和风险。</w:t>
      </w:r>
    </w:p>
    <w:p>
      <w:pPr>
        <w:ind w:firstLine="480"/>
        <w:rPr>
          <w:rFonts w:ascii="楷体" w:hAnsi="楷体" w:cs="楷体"/>
          <w:highlight w:val="none"/>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val="en-US" w:eastAsia="zh-CN"/>
        </w:rPr>
        <w:t>3</w:t>
      </w:r>
      <w:r>
        <w:rPr>
          <w:rFonts w:hint="eastAsia" w:ascii="楷体" w:hAnsi="楷体" w:cs="楷体"/>
          <w:highlight w:val="none"/>
        </w:rPr>
        <w:t>、首次</w:t>
      </w:r>
      <w:r>
        <w:rPr>
          <w:rFonts w:hint="eastAsia" w:ascii="楷体" w:hAnsi="楷体" w:cs="楷体"/>
          <w:highlight w:val="none"/>
          <w:lang w:eastAsia="zh-CN"/>
        </w:rPr>
        <w:t>谈判</w:t>
      </w:r>
      <w:r>
        <w:rPr>
          <w:rFonts w:hint="eastAsia" w:ascii="楷体" w:hAnsi="楷体" w:cs="楷体"/>
          <w:highlight w:val="none"/>
        </w:rPr>
        <w:t>报价随响应文件提交；最后</w:t>
      </w:r>
      <w:r>
        <w:rPr>
          <w:rFonts w:hint="eastAsia" w:ascii="楷体" w:hAnsi="楷体" w:cs="楷体"/>
          <w:highlight w:val="none"/>
          <w:lang w:eastAsia="zh-CN"/>
        </w:rPr>
        <w:t>谈判</w:t>
      </w:r>
      <w:r>
        <w:rPr>
          <w:rFonts w:hint="eastAsia" w:ascii="楷体" w:hAnsi="楷体" w:cs="楷体"/>
          <w:highlight w:val="none"/>
        </w:rPr>
        <w:t>报价在</w:t>
      </w:r>
      <w:r>
        <w:rPr>
          <w:rFonts w:hint="eastAsia" w:ascii="楷体" w:hAnsi="楷体" w:cs="楷体"/>
          <w:highlight w:val="none"/>
          <w:lang w:eastAsia="zh-CN"/>
        </w:rPr>
        <w:t>谈判</w:t>
      </w:r>
      <w:r>
        <w:rPr>
          <w:rFonts w:hint="eastAsia" w:ascii="楷体" w:hAnsi="楷体" w:cs="楷体"/>
          <w:highlight w:val="none"/>
        </w:rPr>
        <w:t>过程中提交，各供应商最后</w:t>
      </w:r>
      <w:r>
        <w:rPr>
          <w:rFonts w:hint="eastAsia" w:ascii="楷体" w:hAnsi="楷体" w:cs="楷体"/>
          <w:highlight w:val="none"/>
          <w:lang w:eastAsia="zh-CN"/>
        </w:rPr>
        <w:t>谈判</w:t>
      </w:r>
      <w:r>
        <w:rPr>
          <w:rFonts w:hint="eastAsia" w:ascii="楷体" w:hAnsi="楷体" w:cs="楷体"/>
          <w:highlight w:val="none"/>
        </w:rPr>
        <w:t>报价表按格式进行填写，由法定代表人或其授权代表人签字。</w:t>
      </w:r>
    </w:p>
    <w:p>
      <w:pPr>
        <w:ind w:firstLine="480"/>
        <w:rPr>
          <w:rFonts w:ascii="楷体" w:hAnsi="楷体" w:cs="楷体"/>
          <w:color w:val="auto"/>
          <w:highlight w:val="none"/>
        </w:rPr>
      </w:pPr>
      <w:r>
        <w:rPr>
          <w:rFonts w:hint="eastAsia" w:ascii="楷体" w:hAnsi="楷体" w:cs="楷体"/>
          <w:color w:val="auto"/>
          <w:highlight w:val="none"/>
          <w:lang w:val="en-US" w:eastAsia="zh-CN"/>
        </w:rPr>
        <w:t>15</w:t>
      </w:r>
      <w:r>
        <w:rPr>
          <w:rFonts w:hint="eastAsia" w:ascii="楷体" w:hAnsi="楷体" w:cs="楷体"/>
          <w:color w:val="auto"/>
          <w:highlight w:val="none"/>
        </w:rPr>
        <w:t>-</w:t>
      </w:r>
      <w:r>
        <w:rPr>
          <w:rFonts w:hint="eastAsia" w:ascii="楷体" w:hAnsi="楷体" w:cs="楷体"/>
          <w:color w:val="auto"/>
          <w:highlight w:val="none"/>
          <w:lang w:val="en-US" w:eastAsia="zh-CN"/>
        </w:rPr>
        <w:t>4</w:t>
      </w:r>
      <w:r>
        <w:rPr>
          <w:rFonts w:hint="eastAsia" w:ascii="楷体" w:hAnsi="楷体" w:cs="楷体"/>
          <w:color w:val="auto"/>
          <w:highlight w:val="none"/>
        </w:rPr>
        <w:t>、最后</w:t>
      </w:r>
      <w:r>
        <w:rPr>
          <w:rFonts w:hint="eastAsia" w:ascii="楷体" w:hAnsi="楷体" w:cs="楷体"/>
          <w:color w:val="auto"/>
          <w:highlight w:val="none"/>
          <w:lang w:eastAsia="zh-CN"/>
        </w:rPr>
        <w:t>谈判</w:t>
      </w:r>
      <w:r>
        <w:rPr>
          <w:rFonts w:hint="eastAsia" w:ascii="楷体" w:hAnsi="楷体" w:cs="楷体"/>
          <w:color w:val="auto"/>
          <w:highlight w:val="none"/>
        </w:rPr>
        <w:t>报价，在采购内容无实质性变更下，不得高于首次</w:t>
      </w:r>
      <w:r>
        <w:rPr>
          <w:rFonts w:hint="eastAsia" w:ascii="楷体" w:hAnsi="楷体" w:cs="楷体"/>
          <w:color w:val="auto"/>
          <w:highlight w:val="none"/>
          <w:lang w:eastAsia="zh-CN"/>
        </w:rPr>
        <w:t>谈判</w:t>
      </w:r>
      <w:r>
        <w:rPr>
          <w:rFonts w:hint="eastAsia" w:ascii="楷体" w:hAnsi="楷体" w:cs="楷体"/>
          <w:color w:val="auto"/>
          <w:highlight w:val="none"/>
        </w:rPr>
        <w:t>报价。对于差异较大的报价，须作出明确的说明。</w:t>
      </w:r>
    </w:p>
    <w:p>
      <w:pPr>
        <w:ind w:firstLine="480"/>
        <w:rPr>
          <w:rFonts w:ascii="楷体" w:hAnsi="楷体" w:cs="楷体"/>
          <w:highlight w:val="none"/>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val="en-US" w:eastAsia="zh-CN"/>
        </w:rPr>
        <w:t>5</w:t>
      </w:r>
      <w:r>
        <w:rPr>
          <w:rFonts w:hint="eastAsia" w:ascii="楷体" w:hAnsi="楷体" w:cs="楷体"/>
          <w:highlight w:val="none"/>
        </w:rPr>
        <w:t>、</w:t>
      </w:r>
      <w:r>
        <w:rPr>
          <w:rFonts w:hint="eastAsia" w:ascii="楷体" w:hAnsi="楷体" w:cs="楷体"/>
          <w:highlight w:val="none"/>
          <w:lang w:eastAsia="zh-CN"/>
        </w:rPr>
        <w:t>谈判</w:t>
      </w:r>
      <w:r>
        <w:rPr>
          <w:rFonts w:hint="eastAsia" w:ascii="楷体" w:hAnsi="楷体" w:cs="楷体"/>
          <w:highlight w:val="none"/>
        </w:rPr>
        <w:t>报价超出采购预算的供应商不进入</w:t>
      </w:r>
      <w:r>
        <w:rPr>
          <w:rFonts w:hint="eastAsia" w:ascii="楷体" w:hAnsi="楷体" w:cs="楷体"/>
          <w:highlight w:val="none"/>
          <w:lang w:eastAsia="zh-CN"/>
        </w:rPr>
        <w:t>谈判</w:t>
      </w:r>
      <w:r>
        <w:rPr>
          <w:rFonts w:hint="eastAsia" w:ascii="楷体" w:hAnsi="楷体" w:cs="楷体"/>
          <w:highlight w:val="none"/>
        </w:rPr>
        <w:t>程序。</w:t>
      </w:r>
    </w:p>
    <w:p>
      <w:pPr>
        <w:ind w:firstLine="480"/>
        <w:rPr>
          <w:rFonts w:ascii="楷体" w:hAnsi="楷体" w:cs="楷体"/>
          <w:highlight w:val="none"/>
        </w:rPr>
      </w:pPr>
      <w:r>
        <w:rPr>
          <w:rFonts w:hint="eastAsia" w:ascii="楷体" w:hAnsi="楷体" w:cs="楷体"/>
          <w:highlight w:val="none"/>
          <w:lang w:val="en-US" w:eastAsia="zh-CN"/>
        </w:rPr>
        <w:t>15</w:t>
      </w:r>
      <w:r>
        <w:rPr>
          <w:rFonts w:hint="eastAsia" w:ascii="楷体" w:hAnsi="楷体" w:cs="楷体"/>
          <w:highlight w:val="none"/>
        </w:rPr>
        <w:t>-</w:t>
      </w:r>
      <w:r>
        <w:rPr>
          <w:rFonts w:hint="eastAsia" w:ascii="楷体" w:hAnsi="楷体" w:cs="楷体"/>
          <w:highlight w:val="none"/>
          <w:lang w:val="en-US" w:eastAsia="zh-CN"/>
        </w:rPr>
        <w:t>6</w:t>
      </w:r>
      <w:r>
        <w:rPr>
          <w:rFonts w:hint="eastAsia" w:ascii="楷体" w:hAnsi="楷体" w:cs="楷体"/>
          <w:highlight w:val="none"/>
        </w:rPr>
        <w:t>、</w:t>
      </w:r>
      <w:r>
        <w:rPr>
          <w:rFonts w:hint="eastAsia" w:ascii="楷体" w:hAnsi="楷体" w:cs="楷体"/>
          <w:highlight w:val="none"/>
          <w:lang w:eastAsia="zh-CN"/>
        </w:rPr>
        <w:t>谈判</w:t>
      </w:r>
      <w:r>
        <w:rPr>
          <w:rFonts w:hint="eastAsia" w:ascii="楷体" w:hAnsi="楷体" w:cs="楷体"/>
          <w:highlight w:val="none"/>
        </w:rPr>
        <w:t>最终报价表中标明的价格为合同最终价格，在合同执行过程中，不得以任何理由变更。</w:t>
      </w:r>
    </w:p>
    <w:p>
      <w:pPr>
        <w:ind w:firstLine="480"/>
        <w:rPr>
          <w:rFonts w:ascii="楷体" w:hAnsi="楷体" w:cs="楷体"/>
          <w:highlight w:val="none"/>
        </w:rPr>
      </w:pPr>
      <w:r>
        <w:rPr>
          <w:rFonts w:hint="eastAsia" w:ascii="楷体" w:hAnsi="楷体" w:cs="楷体"/>
          <w:highlight w:val="none"/>
          <w:lang w:val="en-US" w:eastAsia="zh-CN"/>
        </w:rPr>
        <w:t>16</w:t>
      </w:r>
      <w:r>
        <w:rPr>
          <w:rFonts w:hint="eastAsia" w:ascii="楷体" w:hAnsi="楷体" w:cs="楷体"/>
          <w:highlight w:val="none"/>
        </w:rPr>
        <w:t>、</w:t>
      </w:r>
      <w:r>
        <w:rPr>
          <w:rFonts w:hint="eastAsia" w:ascii="楷体" w:hAnsi="楷体" w:cs="楷体"/>
          <w:highlight w:val="none"/>
          <w:lang w:eastAsia="zh-CN"/>
        </w:rPr>
        <w:t>谈判</w:t>
      </w:r>
      <w:r>
        <w:rPr>
          <w:rFonts w:hint="eastAsia" w:ascii="楷体" w:hAnsi="楷体" w:cs="楷体"/>
          <w:highlight w:val="none"/>
        </w:rPr>
        <w:t>过程中所产生的一切费用应由供应商自行承担。</w:t>
      </w:r>
    </w:p>
    <w:p>
      <w:pPr>
        <w:ind w:firstLine="480"/>
        <w:rPr>
          <w:rFonts w:ascii="楷体" w:hAnsi="楷体" w:cs="楷体"/>
          <w:highlight w:val="none"/>
        </w:rPr>
      </w:pPr>
      <w:r>
        <w:rPr>
          <w:rFonts w:hint="eastAsia" w:ascii="楷体" w:hAnsi="楷体" w:cs="楷体"/>
          <w:highlight w:val="none"/>
          <w:lang w:val="en-US" w:eastAsia="zh-CN"/>
        </w:rPr>
        <w:t>17</w:t>
      </w:r>
      <w:r>
        <w:rPr>
          <w:rFonts w:hint="eastAsia" w:ascii="楷体" w:hAnsi="楷体" w:cs="楷体"/>
          <w:highlight w:val="none"/>
        </w:rPr>
        <w:t>、凡因供应商对</w:t>
      </w:r>
      <w:r>
        <w:rPr>
          <w:rFonts w:hint="eastAsia" w:ascii="楷体" w:hAnsi="楷体" w:cs="楷体"/>
          <w:highlight w:val="none"/>
          <w:lang w:eastAsia="zh-CN"/>
        </w:rPr>
        <w:t>谈判</w:t>
      </w:r>
      <w:r>
        <w:rPr>
          <w:rFonts w:hint="eastAsia" w:ascii="楷体" w:hAnsi="楷体" w:cs="楷体"/>
          <w:highlight w:val="none"/>
        </w:rPr>
        <w:t>文件阅读不深、理解不透、误解、疏漏、或因市场行情了解不清造成的后果和风险均由供应商自行负责。</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、供应商有下列情形之一的，在项目财政主管部门备案；情节严重的，由财政部门将其列入不良行为记录名单予以通报，在一至三年内禁止参加政府采购活动：</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-1、供应商在提交响应文件截止时间后撤回响应文件的；</w:t>
      </w:r>
    </w:p>
    <w:p>
      <w:pPr>
        <w:ind w:firstLine="480"/>
        <w:rPr>
          <w:rFonts w:ascii="楷体" w:hAnsi="楷体" w:cs="楷体"/>
          <w:highlight w:val="lightGray"/>
        </w:rPr>
      </w:pPr>
      <w:r>
        <w:rPr>
          <w:rFonts w:hint="eastAsia" w:ascii="楷体" w:hAnsi="楷体" w:cs="楷体"/>
          <w:highlight w:val="none"/>
          <w:lang w:val="en-US" w:eastAsia="zh-CN"/>
        </w:rPr>
        <w:t>18</w:t>
      </w:r>
      <w:r>
        <w:rPr>
          <w:rFonts w:hint="eastAsia" w:ascii="楷体" w:hAnsi="楷体" w:cs="楷体"/>
          <w:highlight w:val="none"/>
        </w:rPr>
        <w:t>-2、供应商在响应文件中提供虚假材料的；</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-3、供应商与采购人、其他供应商或者采购代理机构恶意串通的；或向</w:t>
      </w:r>
      <w:r>
        <w:rPr>
          <w:rFonts w:hint="eastAsia" w:ascii="楷体" w:hAnsi="楷体" w:cs="楷体"/>
          <w:highlight w:val="none"/>
          <w:lang w:eastAsia="zh-CN"/>
        </w:rPr>
        <w:t>谈判</w:t>
      </w:r>
      <w:r>
        <w:rPr>
          <w:rFonts w:hint="eastAsia" w:ascii="楷体" w:hAnsi="楷体" w:cs="楷体"/>
          <w:highlight w:val="none"/>
        </w:rPr>
        <w:t>小组成员行贿或者提供其他不正当利益；</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-4、除因不可抗力或</w:t>
      </w:r>
      <w:r>
        <w:rPr>
          <w:rFonts w:hint="eastAsia" w:ascii="楷体" w:hAnsi="楷体" w:cs="楷体"/>
          <w:highlight w:val="none"/>
          <w:lang w:eastAsia="zh-CN"/>
        </w:rPr>
        <w:t>谈判</w:t>
      </w:r>
      <w:r>
        <w:rPr>
          <w:rFonts w:hint="eastAsia" w:ascii="楷体" w:hAnsi="楷体" w:cs="楷体"/>
          <w:highlight w:val="none"/>
        </w:rPr>
        <w:t>文件认可的情形以外，成交供应商不与采购人签订合同的；或未按照采购文件确定的事项签订政府采购合同；</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-5、成交供应商将政府采购合同转包；或者在响应文件中未说明，且未经采购人同意，将成交项目分包给他人的；</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-6、成交供应商拒绝履行合同义务的；或提供假冒伪劣产品；</w:t>
      </w:r>
    </w:p>
    <w:p>
      <w:pPr>
        <w:ind w:firstLine="480"/>
        <w:rPr>
          <w:rFonts w:ascii="楷体" w:hAnsi="楷体" w:cs="楷体"/>
          <w:highlight w:val="none"/>
        </w:rPr>
      </w:pPr>
      <w:r>
        <w:rPr>
          <w:rFonts w:hint="eastAsia" w:ascii="楷体" w:hAnsi="楷体" w:cs="楷体"/>
          <w:highlight w:val="none"/>
          <w:lang w:val="en-US" w:eastAsia="zh-CN"/>
        </w:rPr>
        <w:t>18</w:t>
      </w:r>
      <w:r>
        <w:rPr>
          <w:rFonts w:hint="eastAsia" w:ascii="楷体" w:hAnsi="楷体" w:cs="楷体"/>
          <w:highlight w:val="none"/>
        </w:rPr>
        <w:t>-7、成交供应商擅自变更、中止或者终止政府采购合同。</w:t>
      </w:r>
    </w:p>
    <w:p>
      <w:pPr>
        <w:widowControl/>
        <w:ind w:firstLine="480"/>
        <w:jc w:val="left"/>
        <w:rPr>
          <w:rFonts w:ascii="楷体" w:hAnsi="楷体" w:cs="楷体"/>
          <w:highlight w:val="none"/>
        </w:rPr>
      </w:pPr>
      <w:r>
        <w:rPr>
          <w:rFonts w:hint="eastAsia" w:ascii="楷体" w:hAnsi="楷体" w:cs="楷体"/>
          <w:highlight w:val="none"/>
          <w:lang w:val="en-US" w:eastAsia="zh-CN"/>
        </w:rPr>
        <w:t>19</w:t>
      </w:r>
      <w:r>
        <w:rPr>
          <w:rFonts w:hint="eastAsia" w:ascii="楷体" w:hAnsi="楷体" w:cs="楷体"/>
          <w:highlight w:val="none"/>
        </w:rPr>
        <w:t>、响应有效期</w:t>
      </w:r>
    </w:p>
    <w:p>
      <w:pPr>
        <w:ind w:firstLine="480"/>
        <w:rPr>
          <w:rFonts w:ascii="楷体" w:hAnsi="楷体" w:cs="楷体"/>
          <w:highlight w:val="none"/>
        </w:rPr>
      </w:pPr>
      <w:r>
        <w:rPr>
          <w:rFonts w:hint="eastAsia" w:ascii="楷体" w:hAnsi="楷体" w:cs="楷体"/>
          <w:highlight w:val="none"/>
          <w:lang w:val="en-US" w:eastAsia="zh-CN"/>
        </w:rPr>
        <w:t>19</w:t>
      </w:r>
      <w:r>
        <w:rPr>
          <w:rFonts w:hint="eastAsia" w:ascii="楷体" w:hAnsi="楷体" w:cs="楷体"/>
          <w:highlight w:val="none"/>
        </w:rPr>
        <w:t>-1、响应有效期从提交响应文件的截止之日起</w:t>
      </w:r>
      <w:r>
        <w:rPr>
          <w:rFonts w:hint="eastAsia" w:ascii="楷体" w:hAnsi="楷体" w:cs="楷体"/>
          <w:highlight w:val="none"/>
          <w:lang w:val="en-US" w:eastAsia="zh-CN"/>
        </w:rPr>
        <w:t>九十</w:t>
      </w:r>
      <w:r>
        <w:rPr>
          <w:rFonts w:hint="eastAsia" w:ascii="楷体" w:hAnsi="楷体" w:cs="楷体"/>
          <w:highlight w:val="none"/>
        </w:rPr>
        <w:t>（</w:t>
      </w:r>
      <w:r>
        <w:rPr>
          <w:rFonts w:hint="eastAsia" w:ascii="楷体" w:hAnsi="楷体" w:cs="楷体"/>
          <w:highlight w:val="none"/>
          <w:lang w:val="en-US" w:eastAsia="zh-CN"/>
        </w:rPr>
        <w:t>90</w:t>
      </w:r>
      <w:r>
        <w:rPr>
          <w:rFonts w:hint="eastAsia" w:ascii="楷体" w:hAnsi="楷体" w:cs="楷体"/>
          <w:highlight w:val="none"/>
        </w:rPr>
        <w:t>）个日历日。在有效期内，响应文件对供应商具有法律约束力，</w:t>
      </w:r>
      <w:r>
        <w:rPr>
          <w:rFonts w:hint="eastAsia" w:ascii="楷体" w:hAnsi="楷体" w:cs="楷体"/>
          <w:highlight w:val="none"/>
          <w:lang w:val="zh-CN"/>
        </w:rPr>
        <w:t>以保证采购人完成评审、确定成交供应商以及合同签订事项。</w:t>
      </w:r>
      <w:r>
        <w:rPr>
          <w:rFonts w:hint="eastAsia" w:ascii="楷体" w:hAnsi="楷体" w:cs="楷体"/>
          <w:highlight w:val="none"/>
        </w:rPr>
        <w:t>成交供应商的响应文件有效期自动延长至合同执行完毕。</w:t>
      </w:r>
    </w:p>
    <w:p>
      <w:pPr>
        <w:ind w:firstLine="480"/>
        <w:rPr>
          <w:rFonts w:ascii="楷体" w:hAnsi="楷体" w:cs="楷体"/>
          <w:highlight w:val="none"/>
        </w:rPr>
      </w:pPr>
      <w:r>
        <w:rPr>
          <w:rFonts w:hint="eastAsia" w:ascii="楷体" w:hAnsi="楷体" w:cs="楷体"/>
          <w:highlight w:val="none"/>
          <w:lang w:val="en-US" w:eastAsia="zh-CN"/>
        </w:rPr>
        <w:t>19</w:t>
      </w:r>
      <w:r>
        <w:rPr>
          <w:rFonts w:hint="eastAsia" w:ascii="楷体" w:hAnsi="楷体" w:cs="楷体"/>
          <w:highlight w:val="none"/>
        </w:rPr>
        <w:t>-2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w:t>
      </w:r>
      <w:r>
        <w:rPr>
          <w:rFonts w:hint="eastAsia" w:ascii="楷体" w:hAnsi="楷体" w:cs="楷体"/>
          <w:highlight w:val="none"/>
          <w:lang w:val="en-US" w:eastAsia="zh-CN"/>
        </w:rPr>
        <w:t>其响应继续有效</w:t>
      </w:r>
      <w:r>
        <w:rPr>
          <w:rFonts w:hint="eastAsia" w:ascii="楷体" w:hAnsi="楷体" w:cs="楷体"/>
          <w:highlight w:val="none"/>
        </w:rPr>
        <w:t>应，但不允许修改或撤回响应文件。</w:t>
      </w:r>
    </w:p>
    <w:p>
      <w:pPr>
        <w:pStyle w:val="5"/>
        <w:spacing w:line="360" w:lineRule="auto"/>
        <w:ind w:left="573"/>
        <w:rPr>
          <w:rFonts w:ascii="楷体" w:hAnsi="楷体"/>
        </w:rPr>
      </w:pPr>
      <w:r>
        <w:rPr>
          <w:rFonts w:hint="eastAsia" w:ascii="楷体" w:hAnsi="楷体"/>
        </w:rPr>
        <w:t>谈判小组</w:t>
      </w:r>
      <w:bookmarkEnd w:id="10"/>
    </w:p>
    <w:p>
      <w:pPr>
        <w:ind w:firstLine="480"/>
        <w:rPr>
          <w:rFonts w:ascii="楷体" w:hAnsi="楷体" w:cs="楷体"/>
        </w:rPr>
      </w:pPr>
      <w:r>
        <w:rPr>
          <w:rFonts w:hint="eastAsia" w:ascii="楷体" w:hAnsi="楷体" w:cs="楷体"/>
        </w:rPr>
        <w:t>1、采购代理机构负责组织谈判工作。</w:t>
      </w:r>
    </w:p>
    <w:p>
      <w:pPr>
        <w:ind w:firstLine="480"/>
        <w:rPr>
          <w:rFonts w:ascii="楷体" w:hAnsi="楷体" w:cs="楷体"/>
        </w:rPr>
      </w:pPr>
      <w:r>
        <w:rPr>
          <w:rFonts w:hint="eastAsia" w:ascii="楷体" w:hAnsi="楷体" w:cs="楷体"/>
        </w:rPr>
        <w:t>2、采购人或采购代理机构依法组建谈判小组，谈判小组由评审专家和采购人代表组成。</w:t>
      </w:r>
    </w:p>
    <w:p>
      <w:pPr>
        <w:ind w:firstLine="480"/>
        <w:rPr>
          <w:rFonts w:ascii="楷体" w:hAnsi="楷体" w:cs="楷体"/>
        </w:rPr>
      </w:pPr>
      <w:r>
        <w:rPr>
          <w:rFonts w:hint="eastAsia" w:ascii="楷体" w:hAnsi="楷体" w:cs="楷体"/>
        </w:rPr>
        <w:t>3、谈判小组负责具体谈判事务，并独立履行下列职责：</w:t>
      </w:r>
    </w:p>
    <w:p>
      <w:pPr>
        <w:ind w:firstLine="480"/>
        <w:rPr>
          <w:rFonts w:ascii="楷体" w:hAnsi="楷体" w:cs="楷体"/>
        </w:rPr>
      </w:pPr>
      <w:r>
        <w:rPr>
          <w:rFonts w:hint="eastAsia" w:ascii="楷体" w:hAnsi="楷体" w:cs="楷体"/>
        </w:rPr>
        <w:t>3-1确认谈判文件；</w:t>
      </w:r>
    </w:p>
    <w:p>
      <w:pPr>
        <w:ind w:firstLine="480"/>
        <w:rPr>
          <w:rFonts w:ascii="楷体" w:hAnsi="楷体" w:cs="楷体"/>
        </w:rPr>
      </w:pPr>
      <w:r>
        <w:rPr>
          <w:rFonts w:hint="eastAsia" w:ascii="楷体" w:hAnsi="楷体" w:cs="楷体"/>
        </w:rPr>
        <w:t>3-2确定符合资质条件的供应商参加谈判；</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3-4集中与单一供应商分别进行谈判；</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5"/>
        <w:spacing w:line="360" w:lineRule="auto"/>
        <w:ind w:left="573"/>
        <w:rPr>
          <w:rFonts w:ascii="楷体" w:hAnsi="楷体"/>
        </w:rPr>
      </w:pPr>
      <w:bookmarkStart w:id="11" w:name="_Toc31795_WPSOffice_Level2"/>
      <w:r>
        <w:rPr>
          <w:rFonts w:hint="eastAsia" w:ascii="楷体" w:hAnsi="楷体"/>
        </w:rPr>
        <w:t>谈判会议</w:t>
      </w:r>
      <w:bookmarkEnd w:id="11"/>
    </w:p>
    <w:p>
      <w:pPr>
        <w:numPr>
          <w:ilvl w:val="0"/>
          <w:numId w:val="8"/>
        </w:numPr>
        <w:ind w:firstLine="480"/>
        <w:rPr>
          <w:rFonts w:ascii="楷体" w:hAnsi="楷体" w:cs="楷体"/>
        </w:rPr>
      </w:pPr>
      <w:r>
        <w:rPr>
          <w:rFonts w:hint="eastAsia" w:ascii="楷体" w:hAnsi="楷体" w:cs="楷体"/>
        </w:rPr>
        <w:t>在谈判文件规定的谈判时间和谈判地点，由采购代理机构主持谈判会议，供应商须委派代表参加，签名报到以证明其出席。</w:t>
      </w:r>
    </w:p>
    <w:p>
      <w:pPr>
        <w:numPr>
          <w:ilvl w:val="0"/>
          <w:numId w:val="8"/>
        </w:numPr>
        <w:ind w:firstLine="480"/>
        <w:rPr>
          <w:rFonts w:ascii="楷体" w:hAnsi="楷体" w:cs="楷体"/>
        </w:rPr>
      </w:pPr>
      <w:r>
        <w:rPr>
          <w:rFonts w:hint="eastAsia" w:ascii="楷体" w:hAnsi="楷体" w:cs="楷体"/>
        </w:rPr>
        <w:t>参加谈判会议的供应商的法定代表人或其授权代表应携带本人身份证原件、供应商资格要求相关材料的原件以备审核。</w:t>
      </w:r>
    </w:p>
    <w:p>
      <w:pPr>
        <w:numPr>
          <w:ilvl w:val="0"/>
          <w:numId w:val="8"/>
        </w:numPr>
        <w:ind w:firstLine="480"/>
        <w:rPr>
          <w:rFonts w:ascii="楷体" w:hAnsi="楷体" w:cs="楷体"/>
        </w:rPr>
      </w:pPr>
      <w:r>
        <w:rPr>
          <w:rFonts w:hint="eastAsia" w:ascii="楷体" w:hAnsi="楷体" w:cs="楷体"/>
        </w:rPr>
        <w:t>谈判时，由供应商或其推荐的代表与监督人共同检查响应文件的密封情况。</w:t>
      </w:r>
    </w:p>
    <w:p>
      <w:pPr>
        <w:numPr>
          <w:ilvl w:val="0"/>
          <w:numId w:val="8"/>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8"/>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8"/>
        </w:numPr>
        <w:ind w:firstLine="480"/>
        <w:rPr>
          <w:rFonts w:ascii="楷体" w:hAnsi="楷体" w:cs="楷体"/>
        </w:rPr>
      </w:pPr>
      <w:r>
        <w:rPr>
          <w:rFonts w:hint="eastAsia" w:ascii="楷体" w:hAnsi="楷体" w:cs="楷体"/>
        </w:rPr>
        <w:t>供应商对谈判会议过程若有异议，以及认为采购人、采购代理机构相关工作人员有需要回避的情形的，应当场提出询问或者回避申请。采购人、采购代理机构对供应商代表提出的询问或者回避申请及时处理。</w:t>
      </w:r>
    </w:p>
    <w:p>
      <w:pPr>
        <w:ind w:firstLine="480"/>
        <w:rPr>
          <w:rFonts w:ascii="楷体" w:hAnsi="楷体" w:cs="楷体"/>
        </w:rPr>
      </w:pPr>
      <w:r>
        <w:rPr>
          <w:rFonts w:hint="eastAsia" w:ascii="楷体" w:hAnsi="楷体" w:cs="楷体"/>
        </w:rPr>
        <w:t>7、供应商未参加谈判会议的，视同认可谈判结果。</w:t>
      </w:r>
    </w:p>
    <w:p>
      <w:pPr>
        <w:ind w:firstLine="480"/>
        <w:rPr>
          <w:rFonts w:ascii="楷体" w:hAnsi="楷体" w:cs="楷体"/>
        </w:rPr>
      </w:pPr>
      <w:r>
        <w:rPr>
          <w:rFonts w:hint="eastAsia" w:ascii="楷体" w:hAnsi="楷体" w:cs="楷体"/>
        </w:rPr>
        <w:t>8、采购人依法对供应商的资格进行审查。</w:t>
      </w:r>
    </w:p>
    <w:p>
      <w:pPr>
        <w:ind w:firstLine="480"/>
        <w:rPr>
          <w:rFonts w:ascii="楷体" w:hAnsi="楷体" w:cs="楷体"/>
        </w:rPr>
      </w:pPr>
      <w:r>
        <w:rPr>
          <w:rFonts w:hint="eastAsia" w:ascii="楷体" w:hAnsi="楷体" w:cs="楷体"/>
        </w:rPr>
        <w:t>8-1 响应文件中的资格证明文件出现下列情况者（但不限于），按无效响应处理：</w:t>
      </w:r>
    </w:p>
    <w:p>
      <w:pPr>
        <w:ind w:firstLine="480"/>
        <w:rPr>
          <w:rFonts w:ascii="楷体" w:hAnsi="楷体" w:cs="楷体"/>
        </w:rPr>
      </w:pPr>
      <w:r>
        <w:rPr>
          <w:rFonts w:hint="eastAsia" w:ascii="楷体" w:hAnsi="楷体" w:cs="楷体"/>
        </w:rPr>
        <w:t>8-1-1 供应商的名称与登记领取谈判文件单位的名称不符;</w:t>
      </w:r>
    </w:p>
    <w:p>
      <w:pPr>
        <w:ind w:firstLine="480"/>
        <w:rPr>
          <w:rFonts w:ascii="楷体" w:hAnsi="楷体" w:cs="楷体"/>
        </w:rPr>
      </w:pPr>
      <w:r>
        <w:rPr>
          <w:rFonts w:hint="eastAsia" w:ascii="楷体" w:hAnsi="楷体" w:cs="楷体"/>
        </w:rPr>
        <w:t>8-1-2 供应商承诺书的有效性或符合性不符合要求的;</w:t>
      </w:r>
    </w:p>
    <w:p>
      <w:pPr>
        <w:ind w:firstLine="480"/>
        <w:rPr>
          <w:rFonts w:ascii="楷体" w:hAnsi="楷体" w:cs="楷体"/>
        </w:rPr>
      </w:pPr>
      <w:r>
        <w:rPr>
          <w:rFonts w:hint="eastAsia" w:ascii="楷体" w:hAnsi="楷体" w:cs="楷体"/>
        </w:rPr>
        <w:t>8-1-3 谈判文件要求提交原件，而供应商未按要求提交的;</w:t>
      </w:r>
    </w:p>
    <w:p>
      <w:pPr>
        <w:ind w:firstLine="480"/>
        <w:rPr>
          <w:rFonts w:ascii="楷体" w:hAnsi="楷体" w:cs="楷体"/>
        </w:rPr>
      </w:pPr>
      <w:r>
        <w:rPr>
          <w:rFonts w:hint="eastAsia" w:ascii="楷体" w:hAnsi="楷体" w:cs="楷体"/>
        </w:rPr>
        <w:t>8-1-4 供应商资格证明文件的完整性、有效性或符合性不符合要求的。</w:t>
      </w:r>
    </w:p>
    <w:p>
      <w:pPr>
        <w:pStyle w:val="5"/>
        <w:spacing w:line="360" w:lineRule="auto"/>
        <w:ind w:left="573"/>
        <w:rPr>
          <w:rFonts w:ascii="楷体" w:hAnsi="楷体"/>
        </w:rPr>
      </w:pPr>
      <w:r>
        <w:rPr>
          <w:rFonts w:hint="eastAsia" w:ascii="楷体" w:hAnsi="楷体"/>
        </w:rPr>
        <w:t>谈判</w:t>
      </w:r>
    </w:p>
    <w:p>
      <w:pPr>
        <w:numPr>
          <w:ilvl w:val="0"/>
          <w:numId w:val="9"/>
        </w:numPr>
        <w:ind w:firstLine="480"/>
        <w:rPr>
          <w:rFonts w:ascii="楷体" w:hAnsi="楷体" w:cs="楷体"/>
        </w:rPr>
      </w:pPr>
      <w:r>
        <w:rPr>
          <w:rFonts w:hint="eastAsia" w:ascii="楷体" w:hAnsi="楷体" w:cs="楷体"/>
        </w:rPr>
        <w:t>依据谈判文件的规定，谈判小组对资格审查合格的响应文件的有效性、完整性和对谈判文件的响应程度进行审查，以确定是否对谈判文件的实质性内容作出响应。</w:t>
      </w:r>
    </w:p>
    <w:p>
      <w:pPr>
        <w:ind w:firstLine="480"/>
        <w:rPr>
          <w:rFonts w:ascii="楷体" w:hAnsi="楷体" w:cs="楷体"/>
        </w:rPr>
      </w:pPr>
      <w:r>
        <w:rPr>
          <w:rFonts w:hint="eastAsia" w:ascii="楷体" w:hAnsi="楷体" w:cs="楷体"/>
          <w:lang w:val="en-US" w:eastAsia="zh-CN"/>
        </w:rPr>
        <w:t>1</w:t>
      </w:r>
      <w:r>
        <w:rPr>
          <w:rFonts w:hint="eastAsia" w:ascii="楷体" w:hAnsi="楷体" w:cs="楷体"/>
        </w:rPr>
        <w:t>-1响应文件的符合性出现下列情况者（但不限于），按无效响应处理：</w:t>
      </w:r>
    </w:p>
    <w:p>
      <w:pPr>
        <w:ind w:firstLine="480"/>
        <w:rPr>
          <w:rFonts w:hint="eastAsia" w:ascii="楷体" w:hAnsi="楷体" w:cs="楷体"/>
        </w:rPr>
      </w:pPr>
      <w:r>
        <w:rPr>
          <w:rFonts w:hint="eastAsia" w:ascii="楷体" w:hAnsi="楷体" w:cs="楷体"/>
          <w:lang w:val="en-US" w:eastAsia="zh-CN"/>
        </w:rPr>
        <w:t>1</w:t>
      </w:r>
      <w:r>
        <w:rPr>
          <w:rFonts w:hint="eastAsia" w:ascii="楷体" w:hAnsi="楷体" w:cs="楷体"/>
        </w:rPr>
        <w:t>-1-1响应文件未按谈判文件要求填写、签署、盖章的;</w:t>
      </w:r>
    </w:p>
    <w:p>
      <w:pPr>
        <w:ind w:firstLine="480"/>
        <w:rPr>
          <w:rFonts w:hint="default" w:ascii="楷体" w:hAnsi="楷体" w:cs="楷体"/>
          <w:b/>
          <w:bCs/>
          <w:highlight w:val="none"/>
          <w:lang w:val="en-US" w:eastAsia="zh-CN"/>
        </w:rPr>
      </w:pPr>
      <w:r>
        <w:rPr>
          <w:rFonts w:hint="eastAsia" w:ascii="楷体" w:hAnsi="楷体" w:cs="楷体"/>
          <w:lang w:val="en-US" w:eastAsia="zh-CN"/>
        </w:rPr>
        <w:t>1-1-2</w:t>
      </w:r>
      <w:r>
        <w:rPr>
          <w:rFonts w:hint="eastAsia" w:ascii="楷体" w:hAnsi="楷体" w:cs="楷体"/>
          <w:b w:val="0"/>
          <w:bCs w:val="0"/>
          <w:lang w:val="en-US" w:eastAsia="zh-CN"/>
        </w:rPr>
        <w:t>响应</w:t>
      </w:r>
      <w:r>
        <w:rPr>
          <w:rFonts w:hint="eastAsia" w:ascii="楷体" w:hAnsi="楷体" w:cs="楷体"/>
          <w:b w:val="0"/>
          <w:bCs w:val="0"/>
          <w:highlight w:val="none"/>
          <w:lang w:val="en-US" w:eastAsia="zh-CN"/>
        </w:rPr>
        <w:t>文件谈判报价超出采购预算的;</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3</w:t>
      </w:r>
      <w:r>
        <w:rPr>
          <w:rFonts w:hint="eastAsia" w:ascii="楷体" w:hAnsi="楷体" w:cs="楷体"/>
          <w:highlight w:val="none"/>
        </w:rPr>
        <w:t>供应商的报价</w:t>
      </w:r>
      <w:r>
        <w:rPr>
          <w:rFonts w:hint="eastAsia" w:ascii="楷体" w:hAnsi="楷体" w:cs="楷体"/>
          <w:highlight w:val="none"/>
          <w:lang w:val="zh-CN"/>
        </w:rPr>
        <w:t>与市场价偏离较大，低于成本，形成不正当竞争</w:t>
      </w:r>
      <w:r>
        <w:rPr>
          <w:rFonts w:hint="eastAsia" w:ascii="楷体" w:hAnsi="楷体" w:cs="楷体"/>
          <w:highlight w:val="none"/>
        </w:rPr>
        <w:t>的；</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4</w:t>
      </w:r>
      <w:r>
        <w:rPr>
          <w:rFonts w:hint="eastAsia" w:ascii="楷体" w:hAnsi="楷体" w:cs="楷体"/>
          <w:highlight w:val="none"/>
        </w:rPr>
        <w:t>无响应有效期或有效期达不到谈判文件的要求；</w:t>
      </w:r>
    </w:p>
    <w:p>
      <w:pPr>
        <w:ind w:firstLine="480"/>
        <w:rPr>
          <w:rFonts w:ascii="楷体" w:hAnsi="楷体" w:cs="楷体"/>
        </w:rPr>
      </w:pPr>
      <w:r>
        <w:rPr>
          <w:rFonts w:hint="eastAsia" w:ascii="楷体" w:hAnsi="楷体" w:cs="楷体"/>
          <w:highlight w:val="none"/>
          <w:lang w:val="en-US" w:eastAsia="zh-CN"/>
        </w:rPr>
        <w:t>1</w:t>
      </w:r>
      <w:r>
        <w:rPr>
          <w:rFonts w:hint="eastAsia" w:ascii="楷体" w:hAnsi="楷体" w:cs="楷体"/>
          <w:highlight w:val="none"/>
        </w:rPr>
        <w:t>-1-</w:t>
      </w:r>
      <w:r>
        <w:rPr>
          <w:rFonts w:hint="eastAsia" w:ascii="楷体" w:hAnsi="楷体" w:cs="楷体"/>
          <w:highlight w:val="none"/>
          <w:lang w:val="en-US" w:eastAsia="zh-CN"/>
        </w:rPr>
        <w:t>5</w:t>
      </w:r>
      <w:r>
        <w:rPr>
          <w:rFonts w:hint="eastAsia" w:ascii="楷体" w:hAnsi="楷体" w:cs="楷体"/>
          <w:highlight w:val="none"/>
        </w:rPr>
        <w:t>响应文件的</w:t>
      </w:r>
      <w:r>
        <w:rPr>
          <w:rFonts w:hint="eastAsia" w:ascii="楷体" w:hAnsi="楷体" w:cs="楷体"/>
          <w:highlight w:val="none"/>
          <w:lang w:val="en-US" w:eastAsia="zh-CN"/>
        </w:rPr>
        <w:t>交货期、质保期、付款形式及要求、验收、售后服务等</w:t>
      </w:r>
      <w:r>
        <w:rPr>
          <w:rFonts w:hint="eastAsia" w:ascii="楷体" w:hAnsi="楷体" w:cs="楷体"/>
          <w:highlight w:val="none"/>
        </w:rPr>
        <w:t>，没有响应</w:t>
      </w:r>
      <w:r>
        <w:rPr>
          <w:rFonts w:hint="eastAsia" w:ascii="楷体" w:hAnsi="楷体" w:cs="楷体"/>
        </w:rPr>
        <w:t>谈判文件；</w:t>
      </w:r>
    </w:p>
    <w:p>
      <w:pPr>
        <w:ind w:firstLine="480"/>
        <w:rPr>
          <w:rFonts w:hint="eastAsia" w:ascii="楷体" w:hAnsi="楷体" w:cs="楷体"/>
        </w:rPr>
      </w:pPr>
      <w:r>
        <w:rPr>
          <w:rFonts w:hint="eastAsia" w:ascii="楷体" w:hAnsi="楷体" w:cs="楷体"/>
          <w:lang w:val="en-US" w:eastAsia="zh-CN"/>
        </w:rPr>
        <w:t>1</w:t>
      </w:r>
      <w:r>
        <w:rPr>
          <w:rFonts w:hint="eastAsia" w:ascii="楷体" w:hAnsi="楷体" w:cs="楷体"/>
        </w:rPr>
        <w:t>-1-</w:t>
      </w:r>
      <w:r>
        <w:rPr>
          <w:rFonts w:hint="eastAsia" w:ascii="楷体" w:hAnsi="楷体" w:cs="楷体"/>
          <w:lang w:val="en-US" w:eastAsia="zh-CN"/>
        </w:rPr>
        <w:t>6</w:t>
      </w:r>
      <w:r>
        <w:rPr>
          <w:rFonts w:hint="eastAsia" w:ascii="楷体" w:hAnsi="楷体" w:cs="楷体"/>
        </w:rPr>
        <w:t>响应内容出现漏项或与采购要求不符，出现重大负偏差。</w:t>
      </w:r>
    </w:p>
    <w:p>
      <w:pPr>
        <w:pStyle w:val="3"/>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1-1-7 法律、法规和谈判文件规定的其他无效情形。</w:t>
      </w:r>
    </w:p>
    <w:p>
      <w:pPr>
        <w:ind w:firstLine="480"/>
        <w:rPr>
          <w:rFonts w:ascii="楷体" w:hAnsi="楷体" w:cs="楷体"/>
        </w:rPr>
      </w:pPr>
      <w:r>
        <w:rPr>
          <w:rFonts w:hint="eastAsia" w:ascii="楷体" w:hAnsi="楷体" w:cs="楷体"/>
          <w:lang w:val="en-US" w:eastAsia="zh-CN"/>
        </w:rPr>
        <w:t>2</w:t>
      </w:r>
      <w:r>
        <w:rPr>
          <w:rFonts w:hint="eastAsia" w:ascii="楷体" w:hAnsi="楷体" w:cs="楷体"/>
        </w:rPr>
        <w:t>、响应文件的澄清</w:t>
      </w:r>
    </w:p>
    <w:p>
      <w:pPr>
        <w:ind w:firstLine="480"/>
        <w:rPr>
          <w:rFonts w:ascii="楷体" w:hAnsi="楷体" w:cs="楷体"/>
        </w:rPr>
      </w:pPr>
      <w:r>
        <w:rPr>
          <w:rFonts w:hint="eastAsia" w:ascii="楷体" w:hAnsi="楷体" w:cs="楷体"/>
          <w:lang w:val="en-US" w:eastAsia="zh-CN"/>
        </w:rPr>
        <w:t>2</w:t>
      </w:r>
      <w:r>
        <w:rPr>
          <w:rFonts w:hint="eastAsia" w:ascii="楷体" w:hAnsi="楷体" w:cs="楷体"/>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lang w:val="en-US" w:eastAsia="zh-CN"/>
        </w:rPr>
        <w:t>2</w:t>
      </w:r>
      <w:r>
        <w:rPr>
          <w:rFonts w:hint="eastAsia" w:ascii="楷体" w:hAnsi="楷体" w:cs="楷体"/>
        </w:rPr>
        <w:t>-2谈判小组要求供应商澄清、说明或者更正响应文件应当以书面形式作出。供应商的澄清、说明或者更正应当由法定代表人或其授权代表签字或者加盖公章。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lang w:val="en-US" w:eastAsia="zh-CN"/>
        </w:rPr>
        <w:t>3</w:t>
      </w:r>
      <w:r>
        <w:rPr>
          <w:rFonts w:hint="eastAsia" w:ascii="楷体" w:hAnsi="楷体" w:cs="楷体"/>
        </w:rPr>
        <w:t>、谈判小组所有成员应当集中与单一供应商分别进行谈判，并给予所有参加谈判的供应商平等的谈判机会。</w:t>
      </w:r>
    </w:p>
    <w:p>
      <w:pPr>
        <w:ind w:firstLine="480"/>
        <w:rPr>
          <w:rFonts w:ascii="楷体" w:hAnsi="楷体" w:cs="楷体"/>
        </w:rPr>
      </w:pPr>
      <w:r>
        <w:rPr>
          <w:rFonts w:hint="eastAsia" w:ascii="楷体" w:hAnsi="楷体" w:cs="楷体"/>
          <w:lang w:val="en-US" w:eastAsia="zh-CN"/>
        </w:rPr>
        <w:t>4</w:t>
      </w:r>
      <w:r>
        <w:rPr>
          <w:rFonts w:hint="eastAsia" w:ascii="楷体" w:hAnsi="楷体" w:cs="楷体"/>
        </w:rPr>
        <w:t>、在谈判过程中，谈判小组可以根据谈判文件和谈判情况实质性变动采购需求中的技术、服务要求以及合同草案条款，但不得变动谈判文件中的其他内容。实质性变动的内容，须经采购人代表确认。</w:t>
      </w:r>
    </w:p>
    <w:p>
      <w:pPr>
        <w:ind w:firstLine="480"/>
        <w:rPr>
          <w:rFonts w:ascii="楷体" w:hAnsi="楷体" w:cs="楷体"/>
        </w:rPr>
      </w:pPr>
      <w:r>
        <w:rPr>
          <w:rFonts w:hint="eastAsia" w:ascii="楷体" w:hAnsi="楷体" w:cs="楷体"/>
          <w:lang w:val="en-US" w:eastAsia="zh-CN"/>
        </w:rPr>
        <w:t>5</w:t>
      </w:r>
      <w:r>
        <w:rPr>
          <w:rFonts w:hint="eastAsia" w:ascii="楷体" w:hAnsi="楷体" w:cs="楷体"/>
        </w:rPr>
        <w:t>、已提交响应文件的供应商，在提交最后报价之前，可以根据谈判情况退出谈判。</w:t>
      </w:r>
    </w:p>
    <w:p>
      <w:pPr>
        <w:ind w:firstLine="480"/>
        <w:rPr>
          <w:rFonts w:ascii="楷体" w:hAnsi="楷体" w:cs="楷体"/>
        </w:rPr>
      </w:pPr>
      <w:r>
        <w:rPr>
          <w:rFonts w:hint="eastAsia" w:ascii="楷体" w:hAnsi="楷体" w:cs="楷体"/>
          <w:lang w:val="en-US" w:eastAsia="zh-CN"/>
        </w:rPr>
        <w:t>6</w:t>
      </w:r>
      <w:r>
        <w:rPr>
          <w:rFonts w:hint="eastAsia" w:ascii="楷体" w:hAnsi="楷体" w:cs="楷体"/>
        </w:rPr>
        <w:t>、谈判结束后谈判小组应当要求所有实质性响应且继续参加谈判的供应商在规定时间内提交最后报价，该报价不予公开，提交最后报价的供应商不得少于3家。</w:t>
      </w:r>
    </w:p>
    <w:p>
      <w:pPr>
        <w:ind w:firstLine="480"/>
        <w:rPr>
          <w:rFonts w:ascii="楷体" w:hAnsi="楷体" w:cs="楷体"/>
        </w:rPr>
      </w:pPr>
      <w:r>
        <w:rPr>
          <w:rFonts w:hint="eastAsia" w:ascii="楷体" w:hAnsi="楷体" w:cs="楷体"/>
          <w:lang w:val="en-US" w:eastAsia="zh-CN"/>
        </w:rPr>
        <w:t>7</w:t>
      </w:r>
      <w:r>
        <w:rPr>
          <w:rFonts w:hint="eastAsia" w:ascii="楷体" w:hAnsi="楷体" w:cs="楷体"/>
        </w:rPr>
        <w:t>、经谈判确定最终采购需求和提交最后报价的供应商后，由谈判小组从质量和服务均能满足采购文件实质性响应要求的供应商中，按照最后报价由低到高的顺序提出3名成交候选供应商。</w:t>
      </w:r>
    </w:p>
    <w:p>
      <w:pPr>
        <w:ind w:firstLine="480"/>
        <w:rPr>
          <w:rFonts w:ascii="楷体" w:hAnsi="楷体" w:cs="楷体"/>
        </w:rPr>
      </w:pPr>
      <w:r>
        <w:rPr>
          <w:rFonts w:hint="eastAsia" w:ascii="楷体" w:hAnsi="楷体" w:cs="楷体"/>
          <w:lang w:val="en-US" w:eastAsia="zh-CN"/>
        </w:rPr>
        <w:t>8</w:t>
      </w:r>
      <w:r>
        <w:rPr>
          <w:rFonts w:hint="eastAsia" w:ascii="楷体" w:hAnsi="楷体" w:cs="楷体"/>
        </w:rPr>
        <w:t>、谈判小组在评审过程中，发现响应文件出现下列情况之一者，按以下原则修正，修正后的报价经供应商确认后产生约束力，供应商不确认的，其响应无效。</w:t>
      </w:r>
    </w:p>
    <w:p>
      <w:pPr>
        <w:ind w:firstLine="480"/>
        <w:rPr>
          <w:rFonts w:hint="eastAsia" w:ascii="楷体" w:hAnsi="楷体" w:cs="楷体"/>
          <w:lang w:val="en-US" w:eastAsia="zh-CN"/>
        </w:rPr>
      </w:pPr>
      <w:r>
        <w:rPr>
          <w:rFonts w:hint="eastAsia" w:ascii="楷体" w:hAnsi="楷体" w:cs="楷体"/>
          <w:lang w:val="en-US" w:eastAsia="zh-CN"/>
        </w:rPr>
        <w:t>8-1大写金额和小写金额不一致的，以大写金额为准；</w:t>
      </w:r>
    </w:p>
    <w:p>
      <w:pPr>
        <w:ind w:firstLine="480"/>
        <w:rPr>
          <w:rFonts w:hint="eastAsia" w:ascii="楷体" w:hAnsi="楷体" w:cs="楷体"/>
          <w:lang w:val="en-US" w:eastAsia="zh-CN"/>
        </w:rPr>
      </w:pPr>
      <w:r>
        <w:rPr>
          <w:rFonts w:hint="eastAsia" w:ascii="楷体" w:hAnsi="楷体" w:cs="楷体"/>
          <w:lang w:val="en-US" w:eastAsia="zh-CN"/>
        </w:rPr>
        <w:t>8-2单价金额小数点或者百分比有明显错位的，以总价为准，并修改单价；</w:t>
      </w:r>
    </w:p>
    <w:p>
      <w:pPr>
        <w:ind w:firstLine="480"/>
        <w:rPr>
          <w:rFonts w:hint="eastAsia" w:ascii="楷体" w:hAnsi="楷体" w:cs="楷体"/>
          <w:lang w:val="en-US" w:eastAsia="zh-CN"/>
        </w:rPr>
      </w:pPr>
      <w:r>
        <w:rPr>
          <w:rFonts w:hint="eastAsia" w:ascii="楷体" w:hAnsi="楷体" w:cs="楷体"/>
          <w:lang w:val="en-US" w:eastAsia="zh-CN"/>
        </w:rPr>
        <w:t>8-3总价金额与按单价汇总金额不一致的，以单价金额计算结果为准；</w:t>
      </w:r>
    </w:p>
    <w:p>
      <w:pPr>
        <w:ind w:firstLine="480"/>
        <w:rPr>
          <w:rFonts w:hint="eastAsia" w:ascii="楷体" w:hAnsi="楷体" w:cs="楷体"/>
          <w:lang w:val="en-US" w:eastAsia="zh-CN"/>
        </w:rPr>
      </w:pPr>
      <w:r>
        <w:rPr>
          <w:rFonts w:hint="eastAsia" w:ascii="楷体" w:hAnsi="楷体" w:cs="楷体"/>
          <w:lang w:val="en-US" w:eastAsia="zh-CN"/>
        </w:rPr>
        <w:t>8-4对不同文字文本响应文件的解释发生异议的，以中文文本为准；</w:t>
      </w:r>
    </w:p>
    <w:p>
      <w:pPr>
        <w:ind w:firstLine="480"/>
        <w:rPr>
          <w:rFonts w:hint="eastAsia" w:ascii="楷体" w:hAnsi="楷体" w:cs="楷体"/>
          <w:lang w:val="en-US" w:eastAsia="zh-CN"/>
        </w:rPr>
      </w:pPr>
      <w:r>
        <w:rPr>
          <w:rFonts w:hint="eastAsia" w:ascii="楷体" w:hAnsi="楷体" w:cs="楷体"/>
          <w:lang w:val="en-US" w:eastAsia="zh-CN"/>
        </w:rPr>
        <w:t>8-5文字与图表不一致的，以文字为准；</w:t>
      </w:r>
    </w:p>
    <w:p>
      <w:pPr>
        <w:ind w:firstLine="480"/>
        <w:rPr>
          <w:rFonts w:ascii="楷体" w:hAnsi="楷体" w:cs="楷体"/>
        </w:rPr>
      </w:pPr>
      <w:r>
        <w:rPr>
          <w:rFonts w:hint="eastAsia" w:ascii="楷体" w:hAnsi="楷体" w:cs="楷体"/>
          <w:lang w:val="en-US" w:eastAsia="zh-CN"/>
        </w:rPr>
        <w:t>8-6正本与副本不一致的，以正本为准。</w:t>
      </w:r>
    </w:p>
    <w:p>
      <w:pPr>
        <w:ind w:firstLine="480"/>
        <w:rPr>
          <w:rFonts w:ascii="楷体" w:hAnsi="楷体" w:cs="楷体"/>
        </w:rPr>
      </w:pPr>
      <w:r>
        <w:rPr>
          <w:rFonts w:hint="eastAsia" w:ascii="楷体" w:hAnsi="楷体" w:cs="楷体"/>
          <w:lang w:val="en-US" w:eastAsia="zh-CN"/>
        </w:rPr>
        <w:t>9</w:t>
      </w:r>
      <w:r>
        <w:rPr>
          <w:rFonts w:hint="eastAsia" w:ascii="楷体" w:hAnsi="楷体" w:cs="楷体"/>
        </w:rPr>
        <w:t>、比较与评价</w:t>
      </w:r>
    </w:p>
    <w:p>
      <w:pPr>
        <w:ind w:firstLine="480"/>
        <w:rPr>
          <w:rFonts w:ascii="楷体" w:hAnsi="楷体" w:cs="楷体"/>
        </w:rPr>
      </w:pPr>
      <w:r>
        <w:rPr>
          <w:rFonts w:hint="eastAsia" w:ascii="楷体" w:hAnsi="楷体" w:cs="楷体"/>
          <w:lang w:val="en-US" w:eastAsia="zh-CN"/>
        </w:rPr>
        <w:t>9</w:t>
      </w:r>
      <w:r>
        <w:rPr>
          <w:rFonts w:hint="eastAsia" w:ascii="楷体" w:hAnsi="楷体" w:cs="楷体"/>
        </w:rPr>
        <w:t>-1评审时，按照谈判文件规定的评审方法和标准，对资格性审查和符合性审查合格的文件进行商务和技术评审，实质性满足采购要求的最后报价作为成交的唯一条件。</w:t>
      </w:r>
    </w:p>
    <w:p>
      <w:pPr>
        <w:ind w:firstLine="480"/>
        <w:rPr>
          <w:rFonts w:ascii="楷体" w:hAnsi="楷体" w:cs="楷体"/>
        </w:rPr>
      </w:pPr>
      <w:r>
        <w:rPr>
          <w:rFonts w:hint="eastAsia" w:ascii="楷体" w:hAnsi="楷体" w:cs="楷体"/>
          <w:lang w:val="en-US" w:eastAsia="zh-CN"/>
        </w:rPr>
        <w:t>9</w:t>
      </w:r>
      <w:r>
        <w:rPr>
          <w:rFonts w:hint="eastAsia" w:ascii="楷体" w:hAnsi="楷体" w:cs="楷体"/>
        </w:rPr>
        <w:t>-2采取逐项分步评审方式，每一步评审不符合者，不进入下一步评审，全部评审合格的供应商按最后报价由低到高的排序，推荐成交候选供应商。</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、需要落实的政府采购政策</w:t>
      </w:r>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1</w:t>
      </w:r>
      <w:r>
        <w:rPr>
          <w:rFonts w:hint="eastAsia" w:ascii="楷体" w:hAnsi="楷体" w:cs="楷体"/>
          <w:color w:val="000000" w:themeColor="text1"/>
          <w:lang w:val="en-US" w:eastAsia="zh-CN"/>
          <w14:textFill>
            <w14:solidFill>
              <w14:schemeClr w14:val="tx1"/>
            </w14:solidFill>
          </w14:textFill>
        </w:rPr>
        <w:t>0</w:t>
      </w:r>
      <w:r>
        <w:rPr>
          <w:rFonts w:hint="eastAsia" w:ascii="楷体" w:hAnsi="楷体" w:cs="楷体"/>
          <w:color w:val="000000" w:themeColor="text1"/>
          <w14:textFill>
            <w14:solidFill>
              <w14:schemeClr w14:val="tx1"/>
            </w14:solidFill>
          </w14:textFill>
        </w:rPr>
        <w:t>-1 响应企业政府采购政策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-1-1中小企业落实政府采购政策</w:t>
      </w:r>
    </w:p>
    <w:p>
      <w:pPr>
        <w:ind w:firstLine="480"/>
        <w:rPr>
          <w:rFonts w:ascii="楷体" w:hAnsi="楷体" w:cs="楷体"/>
        </w:rPr>
      </w:pPr>
      <w:r>
        <w:rPr>
          <w:rFonts w:hint="eastAsia" w:ascii="楷体" w:hAnsi="楷体" w:cs="楷体"/>
        </w:rPr>
        <w:t>（1）中小企业应符合</w:t>
      </w:r>
      <w:bookmarkStart w:id="12" w:name="OLE_LINK6"/>
      <w:r>
        <w:rPr>
          <w:rFonts w:hint="eastAsia" w:ascii="楷体" w:hAnsi="楷体" w:cs="楷体"/>
        </w:rPr>
        <w:t>工信部联企业[2011]300号</w:t>
      </w:r>
      <w:bookmarkEnd w:id="12"/>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2"/>
        <w:ind w:left="0" w:leftChars="0" w:firstLine="482"/>
        <w:rPr>
          <w:b/>
          <w:bCs/>
        </w:rPr>
      </w:pPr>
      <w:r>
        <w:rPr>
          <w:rFonts w:hint="eastAsia" w:ascii="楷体" w:hAnsi="楷体" w:cs="楷体"/>
          <w:b/>
          <w:bCs/>
        </w:rPr>
        <w:t>本项目采购标的中的“</w:t>
      </w:r>
      <w:r>
        <w:rPr>
          <w:rFonts w:hint="eastAsia" w:ascii="楷体" w:hAnsi="楷体" w:cs="楷体"/>
          <w:b/>
          <w:bCs/>
          <w:lang w:val="en-US" w:eastAsia="zh-CN"/>
        </w:rPr>
        <w:t>执法车辆</w:t>
      </w:r>
      <w:r>
        <w:rPr>
          <w:rFonts w:hint="eastAsia" w:ascii="楷体" w:hAnsi="楷体" w:cs="楷体"/>
          <w:b/>
          <w:bCs/>
        </w:rPr>
        <w:t>”对应的中小企业划分标准所属行业为：工业</w:t>
      </w:r>
      <w:r>
        <w:rPr>
          <w:rFonts w:hint="eastAsia" w:ascii="楷体" w:hAnsi="楷体" w:cs="楷体"/>
          <w:b/>
          <w:bCs/>
          <w:lang w:eastAsia="zh-CN"/>
        </w:rPr>
        <w:t>（</w:t>
      </w:r>
      <w:r>
        <w:rPr>
          <w:rFonts w:hint="eastAsia" w:ascii="楷体" w:hAnsi="楷体" w:cs="楷体"/>
          <w:b/>
          <w:bCs/>
          <w:lang w:val="en-US" w:eastAsia="zh-CN"/>
        </w:rPr>
        <w:t>制造业</w:t>
      </w:r>
      <w:r>
        <w:rPr>
          <w:rFonts w:hint="eastAsia" w:ascii="楷体" w:hAnsi="楷体" w:cs="楷体"/>
          <w:b/>
          <w:bCs/>
          <w:lang w:eastAsia="zh-CN"/>
        </w:rPr>
        <w:t>）</w:t>
      </w:r>
      <w:r>
        <w:rPr>
          <w:rFonts w:hint="eastAsia" w:ascii="楷体" w:hAnsi="楷体" w:cs="楷体"/>
          <w:b/>
          <w:bCs/>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以上要求由谈判小组审定，符合条件的供应商享受政府采购政策。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highlight w:val="none"/>
        </w:rPr>
      </w:pPr>
      <w:r>
        <w:rPr>
          <w:rFonts w:hint="eastAsia" w:ascii="楷体" w:hAnsi="楷体" w:cs="楷体"/>
        </w:rPr>
        <w:t>1</w:t>
      </w:r>
      <w:r>
        <w:rPr>
          <w:rFonts w:hint="eastAsia" w:ascii="楷体" w:hAnsi="楷体" w:cs="楷体"/>
          <w:highlight w:val="none"/>
          <w:lang w:val="en-US" w:eastAsia="zh-CN"/>
        </w:rPr>
        <w:t>0</w:t>
      </w:r>
      <w:r>
        <w:rPr>
          <w:rFonts w:hint="eastAsia" w:ascii="楷体" w:hAnsi="楷体" w:cs="楷体"/>
          <w:highlight w:val="none"/>
        </w:rPr>
        <w:t>-1-4符合谈判文件规定的小微企业、监狱企业、残疾人企业优惠条件的供应商，价格给予10%的扣除，用扣除后的价格参与评审。</w:t>
      </w:r>
      <w:r>
        <w:rPr>
          <w:rFonts w:hint="eastAsia" w:ascii="楷体" w:hAnsi="楷体" w:cs="楷体"/>
          <w:highlight w:val="none"/>
          <w:lang w:val="en-US" w:eastAsia="zh-CN"/>
        </w:rPr>
        <w:t>监狱企业、</w:t>
      </w:r>
      <w:r>
        <w:rPr>
          <w:rFonts w:hint="eastAsia" w:ascii="楷体" w:hAnsi="楷体" w:cs="楷体"/>
          <w:highlight w:val="none"/>
        </w:rPr>
        <w:t>残疾人福利性单位属于小型、微型企业的，不重复享受政策。</w:t>
      </w:r>
    </w:p>
    <w:p>
      <w:pPr>
        <w:ind w:firstLine="480"/>
        <w:rPr>
          <w:rFonts w:ascii="楷体" w:hAnsi="楷体" w:cs="楷体"/>
        </w:rPr>
      </w:pPr>
      <w:r>
        <w:rPr>
          <w:rFonts w:hint="eastAsia" w:ascii="楷体" w:hAnsi="楷体" w:cs="楷体"/>
          <w:highlight w:val="none"/>
        </w:rPr>
        <w:t>1</w:t>
      </w:r>
      <w:r>
        <w:rPr>
          <w:rFonts w:hint="eastAsia" w:ascii="楷体" w:hAnsi="楷体" w:cs="楷体"/>
          <w:highlight w:val="none"/>
          <w:lang w:val="en-US" w:eastAsia="zh-CN"/>
        </w:rPr>
        <w:t>0</w:t>
      </w:r>
      <w:r>
        <w:rPr>
          <w:rFonts w:hint="eastAsia" w:ascii="楷体" w:hAnsi="楷体" w:cs="楷体"/>
          <w:highlight w:val="none"/>
        </w:rPr>
        <w:t>-2响应产</w:t>
      </w:r>
      <w:r>
        <w:rPr>
          <w:rFonts w:hint="eastAsia" w:ascii="楷体" w:hAnsi="楷体" w:cs="楷体"/>
        </w:rPr>
        <w:t>品政府采购政策</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pStyle w:val="28"/>
        <w:ind w:firstLine="480"/>
        <w:rPr>
          <w:rFonts w:ascii="楷体" w:hAnsi="楷体" w:cs="楷体"/>
          <w:sz w:val="24"/>
        </w:rPr>
      </w:pPr>
      <w:r>
        <w:rPr>
          <w:rFonts w:hint="eastAsia" w:ascii="楷体" w:hAnsi="楷体" w:cs="楷体"/>
          <w:sz w:val="24"/>
        </w:rPr>
        <w:t>1</w:t>
      </w:r>
      <w:r>
        <w:rPr>
          <w:rFonts w:hint="eastAsia" w:ascii="楷体" w:hAnsi="楷体" w:cs="楷体"/>
          <w:sz w:val="24"/>
          <w:lang w:val="en-US" w:eastAsia="zh-CN"/>
        </w:rPr>
        <w:t>0</w:t>
      </w:r>
      <w:r>
        <w:rPr>
          <w:rFonts w:hint="eastAsia" w:ascii="楷体" w:hAnsi="楷体" w:cs="楷体"/>
          <w:sz w:val="24"/>
        </w:rPr>
        <w:t>-3《关于运用政府采购政策支持乡村产业振兴的通知》（财库[2021]19号）</w:t>
      </w:r>
    </w:p>
    <w:p>
      <w:pPr>
        <w:pStyle w:val="28"/>
        <w:ind w:firstLine="480"/>
        <w:rPr>
          <w:rFonts w:ascii="楷体" w:hAnsi="楷体" w:cs="楷体"/>
          <w:sz w:val="24"/>
          <w:lang w:val="zh-CN"/>
        </w:rPr>
      </w:pPr>
      <w:r>
        <w:rPr>
          <w:rFonts w:hint="eastAsia" w:ascii="楷体" w:hAnsi="楷体" w:cs="楷体"/>
          <w:sz w:val="24"/>
        </w:rPr>
        <w:t>1</w:t>
      </w:r>
      <w:r>
        <w:rPr>
          <w:rFonts w:hint="eastAsia" w:ascii="楷体" w:hAnsi="楷体" w:cs="楷体"/>
          <w:sz w:val="24"/>
          <w:lang w:val="en-US" w:eastAsia="zh-CN"/>
        </w:rPr>
        <w:t>0</w:t>
      </w:r>
      <w:r>
        <w:rPr>
          <w:rFonts w:hint="eastAsia" w:ascii="楷体" w:hAnsi="楷体" w:cs="楷体"/>
          <w:sz w:val="24"/>
        </w:rPr>
        <w:t>-4《关于印发《商品包装政府采购需求标准（试行）》、 《快递包装政府采购需求标准（试行）》的通知</w:t>
      </w:r>
      <w:r>
        <w:rPr>
          <w:rFonts w:hint="eastAsia" w:ascii="楷体" w:hAnsi="楷体" w:cs="楷体"/>
          <w:sz w:val="24"/>
          <w:lang w:val="zh-CN"/>
        </w:rPr>
        <w:t>--财办库〔2020〕123号</w:t>
      </w:r>
    </w:p>
    <w:p>
      <w:pPr>
        <w:pStyle w:val="42"/>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cs="楷体"/>
        </w:rPr>
      </w:pPr>
      <w:r>
        <w:rPr>
          <w:rFonts w:hint="eastAsia" w:ascii="楷体" w:cs="楷体"/>
        </w:rPr>
        <w:t>1</w:t>
      </w:r>
      <w:r>
        <w:rPr>
          <w:rFonts w:hint="eastAsia" w:ascii="楷体" w:cs="楷体"/>
          <w:lang w:val="en-US" w:eastAsia="zh-CN"/>
        </w:rPr>
        <w:t>0</w:t>
      </w:r>
      <w:r>
        <w:rPr>
          <w:rFonts w:hint="eastAsia" w:ascii="楷体" w:cs="楷体"/>
        </w:rPr>
        <w:t>-5 陕西省财政厅关于印发《陕西省中小企业政府采购信用融资办法》（陕财办采〔2018〕23号）。</w:t>
      </w:r>
    </w:p>
    <w:p>
      <w:pPr>
        <w:ind w:firstLine="480"/>
        <w:rPr>
          <w:rFonts w:hint="eastAsia" w:ascii="楷体" w:hAnsi="楷体" w:cs="楷体"/>
        </w:rPr>
      </w:pPr>
      <w:r>
        <w:rPr>
          <w:rFonts w:hint="eastAsia" w:ascii="楷体" w:hAnsi="楷体" w:cs="楷体"/>
        </w:rPr>
        <w:t>1</w:t>
      </w:r>
      <w:r>
        <w:rPr>
          <w:rFonts w:hint="eastAsia" w:ascii="楷体" w:hAnsi="楷体" w:cs="楷体"/>
          <w:lang w:val="en-US" w:eastAsia="zh-CN"/>
        </w:rPr>
        <w:t>0</w:t>
      </w:r>
      <w:r>
        <w:rPr>
          <w:rFonts w:hint="eastAsia" w:ascii="楷体" w:hAnsi="楷体" w:cs="楷体"/>
        </w:rPr>
        <w:t>-</w:t>
      </w:r>
      <w:r>
        <w:rPr>
          <w:rFonts w:hint="eastAsia" w:ascii="楷体" w:hAnsi="楷体" w:cs="楷体"/>
          <w:lang w:val="en-US" w:eastAsia="zh-CN"/>
        </w:rPr>
        <w:t>6</w:t>
      </w:r>
      <w:r>
        <w:rPr>
          <w:rFonts w:hint="eastAsia" w:ascii="楷体" w:hAnsi="楷体" w:cs="楷体"/>
        </w:rPr>
        <w:t xml:space="preserve"> 供应商应如实提供以上证明文件，如存在虚假响应，将取消其响应资格。</w:t>
      </w:r>
    </w:p>
    <w:p>
      <w:pPr>
        <w:pStyle w:val="28"/>
        <w:rPr>
          <w:rFonts w:hint="eastAsia" w:ascii="楷体" w:hAnsi="楷体" w:eastAsia="楷体" w:cs="楷体"/>
          <w:kern w:val="2"/>
          <w:sz w:val="24"/>
          <w:szCs w:val="24"/>
          <w:lang w:val="en-US" w:eastAsia="zh-CN" w:bidi="ar-SA"/>
        </w:rPr>
      </w:pPr>
      <w:r>
        <w:rPr>
          <w:rFonts w:hint="eastAsia" w:ascii="楷体" w:hAnsi="楷体" w:cs="楷体"/>
          <w:kern w:val="2"/>
          <w:sz w:val="24"/>
          <w:szCs w:val="24"/>
          <w:lang w:val="en-US" w:eastAsia="zh-CN" w:bidi="ar-SA"/>
        </w:rPr>
        <w:t>11、</w:t>
      </w:r>
      <w:r>
        <w:rPr>
          <w:rFonts w:hint="eastAsia" w:ascii="楷体" w:hAnsi="楷体" w:eastAsia="楷体" w:cs="楷体"/>
          <w:kern w:val="2"/>
          <w:sz w:val="24"/>
          <w:szCs w:val="24"/>
          <w:lang w:val="en-US" w:eastAsia="zh-CN" w:bidi="ar-SA"/>
        </w:rPr>
        <w:t>提供相同品牌产品（或核心产品）且通过资格审查、符合性审查的不同</w:t>
      </w:r>
      <w:r>
        <w:rPr>
          <w:rFonts w:hint="eastAsia" w:ascii="楷体" w:hAnsi="楷体" w:cs="楷体"/>
          <w:kern w:val="2"/>
          <w:sz w:val="24"/>
          <w:szCs w:val="24"/>
          <w:lang w:val="en-US" w:eastAsia="zh-CN" w:bidi="ar-SA"/>
        </w:rPr>
        <w:t>供应商</w:t>
      </w:r>
      <w:r>
        <w:rPr>
          <w:rFonts w:hint="eastAsia" w:ascii="楷体" w:hAnsi="楷体" w:eastAsia="楷体" w:cs="楷体"/>
          <w:kern w:val="2"/>
          <w:sz w:val="24"/>
          <w:szCs w:val="24"/>
          <w:lang w:val="en-US" w:eastAsia="zh-CN" w:bidi="ar-SA"/>
        </w:rPr>
        <w:t>参加同一合同项下</w:t>
      </w:r>
      <w:r>
        <w:rPr>
          <w:rFonts w:hint="eastAsia" w:ascii="楷体" w:hAnsi="楷体" w:cs="楷体"/>
          <w:kern w:val="2"/>
          <w:sz w:val="24"/>
          <w:szCs w:val="24"/>
          <w:lang w:val="en-US" w:eastAsia="zh-CN" w:bidi="ar-SA"/>
        </w:rPr>
        <w:t>谈判</w:t>
      </w:r>
      <w:r>
        <w:rPr>
          <w:rFonts w:hint="eastAsia" w:ascii="楷体" w:hAnsi="楷体" w:eastAsia="楷体" w:cs="楷体"/>
          <w:kern w:val="2"/>
          <w:sz w:val="24"/>
          <w:szCs w:val="24"/>
          <w:lang w:val="en-US" w:eastAsia="zh-CN" w:bidi="ar-SA"/>
        </w:rPr>
        <w:t>的，按一家</w:t>
      </w:r>
      <w:r>
        <w:rPr>
          <w:rFonts w:hint="eastAsia" w:ascii="楷体" w:hAnsi="楷体" w:cs="楷体"/>
          <w:kern w:val="2"/>
          <w:sz w:val="24"/>
          <w:szCs w:val="24"/>
          <w:lang w:val="en-US" w:eastAsia="zh-CN" w:bidi="ar-SA"/>
        </w:rPr>
        <w:t>供应商</w:t>
      </w:r>
      <w:r>
        <w:rPr>
          <w:rFonts w:hint="eastAsia" w:ascii="楷体" w:hAnsi="楷体" w:eastAsia="楷体" w:cs="楷体"/>
          <w:kern w:val="2"/>
          <w:sz w:val="24"/>
          <w:szCs w:val="24"/>
          <w:lang w:val="en-US" w:eastAsia="zh-CN" w:bidi="ar-SA"/>
        </w:rPr>
        <w:t>计算，最后报价</w:t>
      </w:r>
      <w:r>
        <w:rPr>
          <w:rFonts w:hint="eastAsia" w:ascii="楷体" w:hAnsi="楷体" w:cs="楷体"/>
          <w:kern w:val="2"/>
          <w:sz w:val="24"/>
          <w:szCs w:val="24"/>
          <w:lang w:val="en-US" w:eastAsia="zh-CN" w:bidi="ar-SA"/>
        </w:rPr>
        <w:t>最</w:t>
      </w:r>
      <w:r>
        <w:rPr>
          <w:rFonts w:hint="eastAsia" w:ascii="楷体" w:hAnsi="楷体" w:eastAsia="楷体" w:cs="楷体"/>
          <w:kern w:val="2"/>
          <w:sz w:val="24"/>
          <w:szCs w:val="24"/>
          <w:lang w:val="en-US" w:eastAsia="zh-CN" w:bidi="ar-SA"/>
        </w:rPr>
        <w:t>低的同品牌</w:t>
      </w:r>
      <w:r>
        <w:rPr>
          <w:rFonts w:hint="eastAsia" w:ascii="楷体" w:hAnsi="楷体" w:cs="楷体"/>
          <w:kern w:val="2"/>
          <w:sz w:val="24"/>
          <w:szCs w:val="24"/>
          <w:lang w:val="en-US" w:eastAsia="zh-CN" w:bidi="ar-SA"/>
        </w:rPr>
        <w:t>供应商</w:t>
      </w:r>
      <w:r>
        <w:rPr>
          <w:rFonts w:hint="eastAsia" w:ascii="楷体" w:hAnsi="楷体" w:eastAsia="楷体" w:cs="楷体"/>
          <w:kern w:val="2"/>
          <w:sz w:val="24"/>
          <w:szCs w:val="24"/>
          <w:lang w:val="en-US" w:eastAsia="zh-CN" w:bidi="ar-SA"/>
        </w:rPr>
        <w:t>获得</w:t>
      </w:r>
      <w:r>
        <w:rPr>
          <w:rFonts w:hint="eastAsia" w:ascii="楷体" w:hAnsi="楷体" w:cs="楷体"/>
          <w:kern w:val="2"/>
          <w:sz w:val="24"/>
          <w:szCs w:val="24"/>
          <w:lang w:val="en-US" w:eastAsia="zh-CN" w:bidi="ar-SA"/>
        </w:rPr>
        <w:t>成交供应商</w:t>
      </w:r>
      <w:r>
        <w:rPr>
          <w:rFonts w:hint="eastAsia" w:ascii="楷体" w:hAnsi="楷体" w:eastAsia="楷体" w:cs="楷体"/>
          <w:kern w:val="2"/>
          <w:sz w:val="24"/>
          <w:szCs w:val="24"/>
          <w:lang w:val="en-US" w:eastAsia="zh-CN" w:bidi="ar-SA"/>
        </w:rPr>
        <w:t>推荐资格；最后报价相同的，按照技术指标优劣方式确定一个</w:t>
      </w:r>
      <w:r>
        <w:rPr>
          <w:rFonts w:hint="eastAsia" w:ascii="楷体" w:hAnsi="楷体" w:cs="楷体"/>
          <w:kern w:val="2"/>
          <w:sz w:val="24"/>
          <w:szCs w:val="24"/>
          <w:lang w:val="en-US" w:eastAsia="zh-CN" w:bidi="ar-SA"/>
        </w:rPr>
        <w:t>供应商</w:t>
      </w:r>
      <w:r>
        <w:rPr>
          <w:rFonts w:hint="eastAsia" w:ascii="楷体" w:hAnsi="楷体" w:eastAsia="楷体" w:cs="楷体"/>
          <w:kern w:val="2"/>
          <w:sz w:val="24"/>
          <w:szCs w:val="24"/>
          <w:lang w:val="en-US" w:eastAsia="zh-CN" w:bidi="ar-SA"/>
        </w:rPr>
        <w:t>获得</w:t>
      </w:r>
      <w:r>
        <w:rPr>
          <w:rFonts w:hint="eastAsia" w:ascii="楷体" w:hAnsi="楷体" w:cs="楷体"/>
          <w:kern w:val="2"/>
          <w:sz w:val="24"/>
          <w:szCs w:val="24"/>
          <w:lang w:val="en-US" w:eastAsia="zh-CN" w:bidi="ar-SA"/>
        </w:rPr>
        <w:t>成交供应商</w:t>
      </w:r>
      <w:r>
        <w:rPr>
          <w:rFonts w:hint="eastAsia" w:ascii="楷体" w:hAnsi="楷体" w:eastAsia="楷体" w:cs="楷体"/>
          <w:kern w:val="2"/>
          <w:sz w:val="24"/>
          <w:szCs w:val="24"/>
          <w:lang w:val="en-US" w:eastAsia="zh-CN" w:bidi="ar-SA"/>
        </w:rPr>
        <w:t>推荐资格，其他同品牌</w:t>
      </w:r>
      <w:r>
        <w:rPr>
          <w:rFonts w:hint="eastAsia" w:ascii="楷体" w:hAnsi="楷体" w:cs="楷体"/>
          <w:kern w:val="2"/>
          <w:sz w:val="24"/>
          <w:szCs w:val="24"/>
          <w:lang w:val="en-US" w:eastAsia="zh-CN" w:bidi="ar-SA"/>
        </w:rPr>
        <w:t>供应商</w:t>
      </w:r>
      <w:r>
        <w:rPr>
          <w:rFonts w:hint="eastAsia" w:ascii="楷体" w:hAnsi="楷体" w:eastAsia="楷体" w:cs="楷体"/>
          <w:kern w:val="2"/>
          <w:sz w:val="24"/>
          <w:szCs w:val="24"/>
          <w:lang w:val="en-US" w:eastAsia="zh-CN" w:bidi="ar-SA"/>
        </w:rPr>
        <w:t>不作为</w:t>
      </w:r>
      <w:r>
        <w:rPr>
          <w:rFonts w:hint="eastAsia" w:ascii="楷体" w:hAnsi="楷体" w:cs="楷体"/>
          <w:kern w:val="2"/>
          <w:sz w:val="24"/>
          <w:szCs w:val="24"/>
          <w:lang w:val="en-US" w:eastAsia="zh-CN" w:bidi="ar-SA"/>
        </w:rPr>
        <w:t>成交</w:t>
      </w:r>
      <w:r>
        <w:rPr>
          <w:rFonts w:hint="eastAsia" w:ascii="楷体" w:hAnsi="楷体" w:eastAsia="楷体" w:cs="楷体"/>
          <w:kern w:val="2"/>
          <w:sz w:val="24"/>
          <w:szCs w:val="24"/>
          <w:lang w:val="en-US" w:eastAsia="zh-CN" w:bidi="ar-SA"/>
        </w:rPr>
        <w:t>候选人。</w:t>
      </w:r>
    </w:p>
    <w:p>
      <w:pPr>
        <w:ind w:firstLine="480"/>
        <w:rPr>
          <w:rFonts w:ascii="楷体" w:hAnsi="楷体" w:cs="楷体"/>
        </w:rPr>
      </w:pPr>
      <w:r>
        <w:rPr>
          <w:rFonts w:hint="eastAsia" w:ascii="楷体" w:hAnsi="楷体" w:cs="楷体"/>
          <w:lang w:val="en-US" w:eastAsia="zh-CN"/>
        </w:rPr>
        <w:t>12</w:t>
      </w:r>
      <w:r>
        <w:rPr>
          <w:rFonts w:hint="eastAsia" w:ascii="楷体" w:hAnsi="楷体" w:cs="楷体"/>
        </w:rPr>
        <w:t>、推荐成交候选供应商名单：谈判小组应当从质量和服务均能满足谈判文件实质性响应要求的供应商中，按照最后报价由低到高的顺序提出3名以上成交候选供应商</w:t>
      </w:r>
      <w:r>
        <w:rPr>
          <w:rFonts w:hint="eastAsia" w:ascii="楷体" w:hAnsi="楷体" w:cs="楷体"/>
          <w:lang w:eastAsia="zh-CN"/>
        </w:rPr>
        <w:t>（</w:t>
      </w:r>
      <w:r>
        <w:rPr>
          <w:rFonts w:hint="eastAsia" w:ascii="楷体" w:hAnsi="楷体" w:cs="楷体"/>
          <w:lang w:val="en-US" w:eastAsia="zh-CN"/>
        </w:rPr>
        <w:t>如最后报价相同则优先采购节能产品或环境标志产品</w:t>
      </w:r>
      <w:r>
        <w:rPr>
          <w:rFonts w:hint="eastAsia" w:ascii="楷体" w:hAnsi="楷体" w:cs="楷体"/>
          <w:lang w:eastAsia="zh-CN"/>
        </w:rPr>
        <w:t>）</w:t>
      </w:r>
      <w:r>
        <w:rPr>
          <w:rFonts w:hint="eastAsia" w:ascii="楷体" w:hAnsi="楷体" w:cs="楷体"/>
        </w:rPr>
        <w:t>，并编写评审报告。</w:t>
      </w:r>
    </w:p>
    <w:p>
      <w:pPr>
        <w:pStyle w:val="5"/>
        <w:spacing w:line="360" w:lineRule="auto"/>
        <w:ind w:left="573"/>
        <w:rPr>
          <w:rFonts w:ascii="楷体" w:hAnsi="楷体"/>
        </w:rPr>
      </w:pPr>
      <w:bookmarkStart w:id="13" w:name="_Toc3752_WPSOffice_Level2"/>
      <w:r>
        <w:rPr>
          <w:rFonts w:hint="eastAsia" w:ascii="楷体" w:hAnsi="楷体"/>
        </w:rPr>
        <w:t>确定候选供应商</w:t>
      </w:r>
      <w:bookmarkEnd w:id="13"/>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5"/>
        <w:spacing w:line="360" w:lineRule="auto"/>
        <w:ind w:left="573"/>
        <w:rPr>
          <w:rFonts w:ascii="楷体" w:hAnsi="楷体"/>
        </w:rPr>
      </w:pPr>
      <w:bookmarkStart w:id="14" w:name="_Toc16653_WPSOffice_Level2"/>
      <w:bookmarkStart w:id="15" w:name="_Toc18697_WPSOffice_Level2"/>
      <w:r>
        <w:rPr>
          <w:rFonts w:hint="eastAsia" w:ascii="楷体" w:hAnsi="楷体"/>
        </w:rPr>
        <w:t>质疑</w:t>
      </w:r>
      <w:bookmarkEnd w:id="14"/>
      <w:bookmarkEnd w:id="15"/>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1、提出质疑的供应商应是参与所质疑项目采购活动的供应商。</w:t>
      </w:r>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ascii="楷体" w:hAnsi="楷体" w:cs="楷体"/>
        </w:rPr>
      </w:pPr>
      <w:r>
        <w:rPr>
          <w:rFonts w:hint="eastAsia" w:ascii="楷体" w:hAnsi="楷体" w:cs="楷体"/>
          <w:color w:val="000000" w:themeColor="text1"/>
          <w14:textFill>
            <w14:solidFill>
              <w14:schemeClr w14:val="tx1"/>
            </w14:solidFill>
          </w14:textFill>
        </w:rPr>
        <w:t>3、供应商提出质疑时须提交质疑函和必要的证明材料。</w:t>
      </w:r>
      <w:r>
        <w:rPr>
          <w:rFonts w:hint="eastAsia" w:ascii="楷体" w:hAnsi="楷体" w:cs="楷体"/>
        </w:rPr>
        <w:t>质疑函应当包括下列内容：</w:t>
      </w:r>
    </w:p>
    <w:p>
      <w:pPr>
        <w:ind w:firstLine="480"/>
        <w:rPr>
          <w:rFonts w:ascii="楷体" w:hAnsi="楷体" w:cs="楷体"/>
        </w:rPr>
      </w:pPr>
      <w:r>
        <w:rPr>
          <w:rFonts w:hint="eastAsia" w:ascii="楷体" w:hAnsi="楷体" w:cs="楷体"/>
        </w:rPr>
        <w:t>　（1）</w:t>
      </w:r>
      <w:r>
        <w:rPr>
          <w:rFonts w:hint="eastAsia" w:ascii="楷体" w:hAnsi="楷体" w:cs="楷体"/>
          <w:color w:val="000000" w:themeColor="text1"/>
          <w14:textFill>
            <w14:solidFill>
              <w14:schemeClr w14:val="tx1"/>
            </w14:solidFill>
          </w14:textFill>
        </w:rPr>
        <w:t>供应商</w:t>
      </w:r>
      <w:r>
        <w:rPr>
          <w:rFonts w:hint="eastAsia" w:ascii="楷体" w:hAnsi="楷体" w:cs="楷体"/>
        </w:rPr>
        <w:t>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为自然人的，应当由本人签字；</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为法人或者其他组织的，应当由法定代表人、主要负责人，或者授权委托代理人签字或者盖章，并加盖公章。</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可以委托代理人进行质疑，委托代理人质疑的，应当提交</w:t>
      </w:r>
      <w:r>
        <w:rPr>
          <w:rFonts w:hint="eastAsia" w:ascii="楷体" w:hAnsi="楷体" w:cs="楷体"/>
          <w:color w:val="000000" w:themeColor="text1"/>
          <w14:textFill>
            <w14:solidFill>
              <w14:schemeClr w14:val="tx1"/>
            </w14:solidFill>
          </w14:textFill>
        </w:rPr>
        <w:t>供应商</w:t>
      </w:r>
      <w:r>
        <w:rPr>
          <w:rFonts w:hint="eastAsia" w:ascii="楷体" w:hAnsi="楷体" w:cs="楷体"/>
          <w:lang w:val="zh-CN"/>
        </w:rPr>
        <w:t>签署的授权委托书，其授权委托书应当载明代理人的姓名或者名称、代理事项、具体权限、期限和相关事项。</w:t>
      </w:r>
    </w:p>
    <w:p>
      <w:pPr>
        <w:ind w:firstLine="480"/>
        <w:rPr>
          <w:rFonts w:ascii="楷体" w:hAnsi="楷体" w:cs="楷体"/>
          <w:color w:val="000000" w:themeColor="text1"/>
          <w14:textFill>
            <w14:solidFill>
              <w14:schemeClr w14:val="tx1"/>
            </w14:solidFill>
          </w14:textFill>
        </w:rPr>
      </w:pPr>
      <w:r>
        <w:rPr>
          <w:rFonts w:hint="eastAsia" w:ascii="楷体" w:hAnsi="楷体" w:cs="楷体"/>
          <w:lang w:val="zh-CN"/>
        </w:rPr>
        <w:t>质疑函应采用财政部颁布的《政府采购供应商质疑函范本》。</w:t>
      </w:r>
    </w:p>
    <w:p>
      <w:pPr>
        <w:ind w:firstLine="480"/>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4、供应商捏造事实、提供虚假材料或者以非法手段取得证明材料进行质疑的，采购代理机构将提供相关资料报监督机构，按其情况进行相应处理。</w:t>
      </w:r>
    </w:p>
    <w:p>
      <w:pPr>
        <w:ind w:right="276" w:rightChars="115" w:firstLine="480"/>
        <w:rPr>
          <w:rFonts w:ascii="楷体" w:hAnsi="楷体" w:cs="楷体"/>
        </w:rPr>
      </w:pPr>
      <w:r>
        <w:rPr>
          <w:rFonts w:hint="eastAsia" w:ascii="楷体" w:hAnsi="楷体" w:cs="楷体"/>
          <w:color w:val="000000" w:themeColor="text1"/>
          <w14:textFill>
            <w14:solidFill>
              <w14:schemeClr w14:val="tx1"/>
            </w14:solidFill>
          </w14:textFill>
        </w:rPr>
        <w:t>5、供应商在法定质疑期内提交的符合要求的质疑，采购代理机构将予以受理并答复，联系电话：029-89284433，联系人：</w:t>
      </w:r>
      <w:r>
        <w:rPr>
          <w:rFonts w:hint="eastAsia" w:ascii="楷体" w:hAnsi="楷体" w:cs="楷体"/>
          <w:color w:val="000000" w:themeColor="text1"/>
          <w:lang w:val="en-US" w:eastAsia="zh-CN"/>
          <w14:textFill>
            <w14:solidFill>
              <w14:schemeClr w14:val="tx1"/>
            </w14:solidFill>
          </w14:textFill>
        </w:rPr>
        <w:t>张晓花</w:t>
      </w:r>
      <w:r>
        <w:rPr>
          <w:rFonts w:hint="eastAsia" w:ascii="楷体" w:hAnsi="楷体" w:cs="楷体"/>
          <w:color w:val="000000" w:themeColor="text1"/>
          <w14:textFill>
            <w14:solidFill>
              <w14:schemeClr w14:val="tx1"/>
            </w14:solidFill>
          </w14:textFill>
        </w:rPr>
        <w:t>。</w:t>
      </w:r>
    </w:p>
    <w:p>
      <w:pPr>
        <w:pStyle w:val="5"/>
        <w:spacing w:line="360" w:lineRule="auto"/>
        <w:ind w:left="573"/>
        <w:rPr>
          <w:rFonts w:ascii="楷体" w:hAnsi="楷体"/>
        </w:rPr>
      </w:pPr>
      <w:bookmarkStart w:id="16" w:name="_Toc10289_WPSOffice_Level2"/>
      <w:bookmarkStart w:id="17" w:name="_Toc18733_WPSOffice_Level2"/>
      <w:r>
        <w:rPr>
          <w:rFonts w:hint="eastAsia" w:ascii="楷体" w:hAnsi="楷体"/>
        </w:rPr>
        <w:t>签订合同</w:t>
      </w:r>
      <w:bookmarkEnd w:id="16"/>
      <w:bookmarkEnd w:id="17"/>
    </w:p>
    <w:p>
      <w:pPr>
        <w:ind w:firstLine="480"/>
        <w:rPr>
          <w:rFonts w:ascii="楷体" w:hAnsi="楷体" w:cs="楷体"/>
        </w:rPr>
      </w:pPr>
      <w:r>
        <w:rPr>
          <w:rFonts w:hint="eastAsia" w:ascii="楷体" w:hAnsi="楷体" w:cs="楷体"/>
        </w:rPr>
        <w:t>1、自成交通知书发出之日起三十日内，根据谈判文件的规定和成交供应商响应文件，采购人与成交供应商签订政府采购合同。谈判文件及成交供应商的响应文件均作为合同的组成部分。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谈判。采购人将取消其成交资格，同时报请监督机构备案。</w:t>
      </w:r>
    </w:p>
    <w:p>
      <w:pPr>
        <w:pStyle w:val="5"/>
        <w:spacing w:line="360" w:lineRule="auto"/>
        <w:ind w:left="573"/>
        <w:rPr>
          <w:rFonts w:ascii="楷体" w:hAnsi="楷体"/>
        </w:rPr>
      </w:pPr>
      <w:bookmarkStart w:id="18" w:name="_Toc6155_WPSOffice_Level2"/>
      <w:bookmarkStart w:id="19" w:name="_Toc27538_WPSOffice_Level2"/>
      <w:r>
        <w:rPr>
          <w:rFonts w:hint="eastAsia" w:ascii="楷体" w:hAnsi="楷体"/>
        </w:rPr>
        <w:t>成交服务费</w:t>
      </w:r>
      <w:bookmarkEnd w:id="18"/>
      <w:bookmarkEnd w:id="19"/>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1、成交供应商在领取成交通知书前，须向采购代理机构支付采购代理服务费，采购代理服务费计入谈判报价但不单独列明。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cs="楷体"/>
        </w:rPr>
      </w:pPr>
      <w:r>
        <w:rPr>
          <w:rFonts w:hint="eastAsia" w:ascii="楷体" w:hAnsi="楷体" w:cs="楷体"/>
        </w:rPr>
        <w:t xml:space="preserve">联系人：方淑丽     </w:t>
      </w:r>
    </w:p>
    <w:p>
      <w:pPr>
        <w:ind w:firstLine="480"/>
        <w:rPr>
          <w:rFonts w:ascii="楷体" w:hAnsi="楷体" w:cs="楷体"/>
        </w:rPr>
      </w:pPr>
      <w:r>
        <w:rPr>
          <w:rFonts w:hint="eastAsia" w:ascii="楷体" w:hAnsi="楷体" w:cs="楷体"/>
        </w:rPr>
        <w:t xml:space="preserve">联系电话：029-89284433 </w:t>
      </w:r>
    </w:p>
    <w:p>
      <w:pPr>
        <w:ind w:firstLine="480"/>
        <w:rPr>
          <w:rFonts w:ascii="楷体" w:hAnsi="楷体" w:cs="楷体"/>
        </w:rPr>
      </w:pPr>
      <w:r>
        <w:rPr>
          <w:rFonts w:hint="eastAsia" w:ascii="楷体" w:hAnsi="楷体" w:cs="楷体"/>
        </w:rPr>
        <w:t>2、采购代理服务费</w:t>
      </w:r>
      <w:r>
        <w:rPr>
          <w:rFonts w:hint="eastAsia" w:ascii="楷体" w:hAnsi="楷体" w:cs="楷体"/>
          <w:lang w:val="en-US" w:eastAsia="zh-CN"/>
        </w:rPr>
        <w:t>参</w:t>
      </w:r>
      <w:r>
        <w:rPr>
          <w:rFonts w:hint="eastAsia" w:ascii="楷体" w:hAnsi="楷体" w:cs="楷体"/>
        </w:rPr>
        <w:t>照《国家计委关于印发&lt;招标代理服务收费管理暂行办法&gt;的通知》（计价格[2002]1980号）和（发改办价格[2011]534号）规定</w:t>
      </w:r>
      <w:r>
        <w:rPr>
          <w:rFonts w:hint="eastAsia" w:ascii="楷体" w:hAnsi="楷体" w:cs="楷体"/>
          <w:lang w:val="en-US" w:eastAsia="zh-CN"/>
        </w:rPr>
        <w:t>标准收取</w:t>
      </w:r>
      <w:r>
        <w:rPr>
          <w:rFonts w:hint="eastAsia" w:ascii="楷体" w:hAnsi="楷体" w:cs="楷体"/>
          <w:highlight w:val="none"/>
        </w:rPr>
        <w:t xml:space="preserve">。  </w:t>
      </w:r>
    </w:p>
    <w:p>
      <w:pPr>
        <w:pStyle w:val="5"/>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5"/>
        <w:spacing w:line="360" w:lineRule="auto"/>
        <w:ind w:left="573"/>
        <w:rPr>
          <w:rFonts w:ascii="楷体" w:hAnsi="楷体"/>
        </w:rPr>
      </w:pPr>
      <w:bookmarkStart w:id="20" w:name="_Toc23917_WPSOffice_Level2"/>
      <w:bookmarkStart w:id="21" w:name="_Toc15348_WPSOffice_Level2"/>
      <w:r>
        <w:rPr>
          <w:rFonts w:hint="eastAsia" w:ascii="楷体" w:hAnsi="楷体"/>
        </w:rPr>
        <w:t>其他</w:t>
      </w:r>
      <w:bookmarkEnd w:id="20"/>
      <w:bookmarkEnd w:id="21"/>
    </w:p>
    <w:p>
      <w:pPr>
        <w:ind w:firstLine="480"/>
        <w:rPr>
          <w:rFonts w:ascii="楷体" w:hAnsi="楷体" w:cs="楷体"/>
        </w:rPr>
      </w:pPr>
      <w:r>
        <w:rPr>
          <w:rFonts w:hint="eastAsia" w:ascii="楷体" w:hAnsi="楷体" w:cs="楷体"/>
        </w:rPr>
        <w:t>出现下列情形之一的，采购人或者采购代理机构应当终止竞争性谈判采购活动，发布项目终止公告并说明原因，重新开展采购活动：</w:t>
      </w:r>
    </w:p>
    <w:p>
      <w:pPr>
        <w:numPr>
          <w:ilvl w:val="0"/>
          <w:numId w:val="10"/>
        </w:numPr>
        <w:ind w:firstLine="480"/>
        <w:rPr>
          <w:rFonts w:ascii="楷体" w:hAnsi="楷体" w:cs="楷体"/>
        </w:rPr>
      </w:pPr>
      <w:r>
        <w:rPr>
          <w:rFonts w:hint="eastAsia" w:ascii="楷体" w:hAnsi="楷体" w:cs="楷体"/>
        </w:rPr>
        <w:t>因情况变化，不再符合规定的竞争性谈判采购方式适用情形的；</w:t>
      </w:r>
    </w:p>
    <w:p>
      <w:pPr>
        <w:numPr>
          <w:ilvl w:val="0"/>
          <w:numId w:val="10"/>
        </w:numPr>
        <w:ind w:firstLine="480"/>
        <w:rPr>
          <w:rFonts w:ascii="楷体" w:hAnsi="楷体" w:cs="楷体"/>
          <w:lang w:val="zh-CN"/>
        </w:rPr>
      </w:pPr>
      <w:r>
        <w:rPr>
          <w:rFonts w:hint="eastAsia" w:ascii="楷体" w:hAnsi="楷体" w:cs="楷体"/>
        </w:rPr>
        <w:t>出现影响采购公正的违法、违规行为的；</w:t>
      </w:r>
    </w:p>
    <w:p>
      <w:pPr>
        <w:numPr>
          <w:ilvl w:val="0"/>
          <w:numId w:val="10"/>
        </w:numPr>
        <w:ind w:firstLine="480"/>
        <w:rPr>
          <w:rFonts w:ascii="楷体" w:hAnsi="楷体" w:cs="楷体"/>
          <w:lang w:val="zh-CN"/>
        </w:rPr>
      </w:pPr>
      <w:r>
        <w:rPr>
          <w:rFonts w:hint="eastAsia" w:ascii="楷体" w:hAnsi="楷体" w:cs="楷体"/>
          <w:lang w:val="zh-CN"/>
        </w:rPr>
        <w:t>在采购过程中符合竞争要求的供应商</w:t>
      </w:r>
      <w:r>
        <w:rPr>
          <w:rFonts w:hint="eastAsia" w:ascii="楷体" w:hAnsi="楷体" w:cs="楷体"/>
        </w:rPr>
        <w:t>或者报价未超过采购预算的供应商</w:t>
      </w:r>
      <w:r>
        <w:rPr>
          <w:rFonts w:hint="eastAsia" w:ascii="楷体" w:hAnsi="楷体" w:cs="楷体"/>
          <w:lang w:val="zh-CN"/>
        </w:rPr>
        <w:t>不足3家的，</w:t>
      </w:r>
      <w:r>
        <w:rPr>
          <w:rFonts w:hint="eastAsia" w:ascii="楷体" w:hAnsi="楷体" w:cs="楷体"/>
        </w:rPr>
        <w:t>除因项目技术复杂或者性质特殊，不能确定详细规格或者具体要求</w:t>
      </w:r>
      <w:r>
        <w:rPr>
          <w:rFonts w:hint="eastAsia" w:ascii="楷体" w:hAnsi="楷体" w:cs="楷体"/>
          <w:lang w:val="zh-CN"/>
        </w:rPr>
        <w:t>。</w:t>
      </w:r>
    </w:p>
    <w:p>
      <w:pPr>
        <w:pStyle w:val="5"/>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wordWrap w:val="0"/>
        <w:ind w:firstLine="480"/>
        <w:rPr>
          <w:rFonts w:ascii="楷体" w:hAnsi="楷体" w:cs="楷体"/>
        </w:rPr>
        <w:sectPr>
          <w:footerReference r:id="rId11" w:type="default"/>
          <w:pgSz w:w="11906" w:h="16838"/>
          <w:pgMar w:top="1418" w:right="1270" w:bottom="1418" w:left="1516" w:header="851" w:footer="992" w:gutter="0"/>
          <w:pgNumType w:start="1"/>
          <w:cols w:space="720" w:num="1"/>
          <w:docGrid w:linePitch="312" w:charSpace="0"/>
        </w:sectPr>
      </w:pPr>
      <w:r>
        <w:rPr>
          <w:rFonts w:hint="eastAsia" w:ascii="楷体" w:hAnsi="楷体" w:cs="楷体"/>
          <w:lang w:val="zh-CN"/>
        </w:rPr>
        <w:t>详见《陕西省财政厅关于印发&lt;陕西省中小企业政府采购信用融资办法&gt;的通知》（陕财办采〔2018〕23号）相关政策、业务流程、办理平台（http://www.ccgp-shaanxi.gov.cn/zcdservice/zcd/shanxi/）。</w:t>
      </w:r>
    </w:p>
    <w:p>
      <w:pPr>
        <w:pStyle w:val="4"/>
        <w:ind w:firstLine="883"/>
        <w:rPr>
          <w:rFonts w:ascii="楷体" w:hAnsi="楷体" w:cs="楷体"/>
        </w:rPr>
      </w:pPr>
      <w:bookmarkStart w:id="22" w:name="_Toc3520"/>
      <w:r>
        <w:rPr>
          <w:rFonts w:hint="eastAsia" w:ascii="楷体" w:hAnsi="楷体" w:cs="楷体"/>
        </w:rPr>
        <w:t>采购内容及</w:t>
      </w:r>
      <w:r>
        <w:rPr>
          <w:rFonts w:hint="eastAsia" w:ascii="楷体" w:hAnsi="楷体" w:cs="楷体"/>
          <w:lang w:val="en-US" w:eastAsia="zh-CN"/>
        </w:rPr>
        <w:t>需求</w:t>
      </w:r>
      <w:bookmarkEnd w:id="22"/>
    </w:p>
    <w:p>
      <w:pPr>
        <w:pStyle w:val="3"/>
        <w:ind w:firstLine="480"/>
        <w:rPr>
          <w:rFonts w:hint="eastAsia" w:ascii="楷体" w:hAnsi="楷体" w:cs="楷体"/>
          <w:b w:val="0"/>
          <w:bCs w:val="0"/>
          <w:color w:val="auto"/>
          <w:sz w:val="28"/>
          <w:szCs w:val="28"/>
          <w:lang w:val="en-US" w:eastAsia="zh-CN"/>
        </w:rPr>
      </w:pPr>
      <w:bookmarkStart w:id="23" w:name="_Toc5907_WPSOffice_Level1"/>
      <w:r>
        <w:rPr>
          <w:rFonts w:hint="eastAsia" w:ascii="楷体" w:hAnsi="楷体" w:cs="楷体"/>
          <w:b w:val="0"/>
          <w:bCs w:val="0"/>
          <w:color w:val="auto"/>
          <w:sz w:val="28"/>
          <w:szCs w:val="28"/>
          <w:lang w:val="en-US" w:eastAsia="zh-CN"/>
        </w:rPr>
        <w:t>项目概况</w:t>
      </w:r>
    </w:p>
    <w:p>
      <w:pPr>
        <w:ind w:firstLine="426" w:firstLineChars="0"/>
        <w:rPr>
          <w:rFonts w:hint="eastAsia" w:ascii="楷体" w:hAnsi="楷体"/>
          <w:color w:val="auto"/>
          <w:highlight w:val="none"/>
          <w:lang w:val="en-US" w:eastAsia="zh-CN"/>
        </w:rPr>
      </w:pPr>
      <w:r>
        <w:rPr>
          <w:rFonts w:hint="eastAsia" w:ascii="楷体" w:hAnsi="楷体"/>
          <w:color w:val="auto"/>
          <w:highlight w:val="none"/>
          <w:lang w:val="en-US" w:eastAsia="zh-CN"/>
        </w:rPr>
        <w:t>因工作需求，需购置9座公务客车2台，一台白色，一台黑色，便于后期使用时喷涂标识。</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一、货物配置、参数及要求</w:t>
      </w:r>
    </w:p>
    <w:tbl>
      <w:tblPr>
        <w:tblStyle w:val="43"/>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51"/>
        <w:gridCol w:w="1005"/>
        <w:gridCol w:w="791"/>
        <w:gridCol w:w="5781"/>
        <w:gridCol w:w="839"/>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0" w:hRule="atLeast"/>
        </w:trPr>
        <w:tc>
          <w:tcPr>
            <w:tcW w:w="329" w:type="pct"/>
            <w:tcBorders>
              <w:tl2br w:val="nil"/>
              <w:tr2bl w:val="nil"/>
            </w:tcBorders>
            <w:shd w:val="clear" w:color="auto" w:fill="auto"/>
            <w:noWrap w:val="0"/>
            <w:vAlign w:val="center"/>
          </w:tcPr>
          <w:p>
            <w:pPr>
              <w:pStyle w:val="3"/>
              <w:ind w:left="0" w:leftChars="0" w:firstLine="0" w:firstLineChars="0"/>
              <w:jc w:val="center"/>
              <w:rPr>
                <w:rFonts w:hint="default"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序号</w:t>
            </w:r>
          </w:p>
        </w:tc>
        <w:tc>
          <w:tcPr>
            <w:tcW w:w="508" w:type="pct"/>
            <w:tcBorders>
              <w:tl2br w:val="nil"/>
              <w:tr2bl w:val="nil"/>
            </w:tcBorders>
            <w:shd w:val="clear" w:color="auto" w:fill="auto"/>
            <w:noWrap w:val="0"/>
            <w:vAlign w:val="center"/>
          </w:tcPr>
          <w:p>
            <w:pPr>
              <w:pStyle w:val="3"/>
              <w:ind w:left="0" w:leftChars="0" w:firstLine="0" w:firstLineChars="0"/>
              <w:jc w:val="center"/>
              <w:rPr>
                <w:rFonts w:hint="default"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名称</w:t>
            </w:r>
          </w:p>
        </w:tc>
        <w:tc>
          <w:tcPr>
            <w:tcW w:w="400" w:type="pct"/>
            <w:tcBorders>
              <w:tl2br w:val="nil"/>
              <w:tr2bl w:val="nil"/>
            </w:tcBorders>
            <w:shd w:val="clear" w:color="auto" w:fill="auto"/>
            <w:noWrap w:val="0"/>
            <w:vAlign w:val="center"/>
          </w:tcPr>
          <w:p>
            <w:pPr>
              <w:pStyle w:val="3"/>
              <w:ind w:left="0" w:leftChars="0" w:firstLine="0" w:firstLineChars="0"/>
              <w:jc w:val="center"/>
              <w:rPr>
                <w:rFonts w:hint="default"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品类</w:t>
            </w:r>
          </w:p>
        </w:tc>
        <w:tc>
          <w:tcPr>
            <w:tcW w:w="2922" w:type="pct"/>
            <w:tcBorders>
              <w:tl2br w:val="nil"/>
              <w:tr2bl w:val="nil"/>
            </w:tcBorders>
            <w:shd w:val="clear" w:color="auto" w:fill="auto"/>
            <w:noWrap w:val="0"/>
            <w:vAlign w:val="center"/>
          </w:tcPr>
          <w:p>
            <w:pPr>
              <w:pStyle w:val="3"/>
              <w:ind w:left="0" w:leftChars="0" w:firstLine="0" w:firstLineChars="0"/>
              <w:jc w:val="center"/>
              <w:rPr>
                <w:rFonts w:hint="default"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技术要求</w:t>
            </w:r>
          </w:p>
        </w:tc>
        <w:tc>
          <w:tcPr>
            <w:tcW w:w="424" w:type="pct"/>
            <w:tcBorders>
              <w:tl2br w:val="nil"/>
              <w:tr2bl w:val="nil"/>
            </w:tcBorders>
            <w:shd w:val="clear" w:color="auto" w:fill="auto"/>
            <w:noWrap w:val="0"/>
            <w:vAlign w:val="center"/>
          </w:tcPr>
          <w:p>
            <w:pPr>
              <w:pStyle w:val="3"/>
              <w:ind w:left="0" w:leftChars="0" w:firstLine="0" w:firstLineChars="0"/>
              <w:jc w:val="center"/>
              <w:rPr>
                <w:rFonts w:hint="default"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数量</w:t>
            </w:r>
          </w:p>
        </w:tc>
        <w:tc>
          <w:tcPr>
            <w:tcW w:w="415" w:type="pct"/>
            <w:tcBorders>
              <w:tl2br w:val="nil"/>
              <w:tr2bl w:val="nil"/>
            </w:tcBorders>
            <w:shd w:val="clear" w:color="auto" w:fill="auto"/>
            <w:noWrap w:val="0"/>
            <w:vAlign w:val="center"/>
          </w:tcPr>
          <w:p>
            <w:pPr>
              <w:pStyle w:val="3"/>
              <w:ind w:left="0" w:leftChars="0" w:firstLine="0" w:firstLineChars="0"/>
              <w:jc w:val="center"/>
              <w:rPr>
                <w:rFonts w:hint="default"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78" w:hRule="atLeast"/>
        </w:trPr>
        <w:tc>
          <w:tcPr>
            <w:tcW w:w="329" w:type="pct"/>
            <w:tcBorders>
              <w:tl2br w:val="nil"/>
              <w:tr2bl w:val="nil"/>
            </w:tcBorders>
            <w:shd w:val="clear" w:color="auto" w:fill="auto"/>
            <w:noWrap w:val="0"/>
            <w:vAlign w:val="center"/>
          </w:tcPr>
          <w:p>
            <w:pPr>
              <w:pStyle w:val="3"/>
              <w:ind w:left="0" w:leftChars="0" w:firstLine="0" w:firstLineChars="0"/>
              <w:jc w:val="center"/>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1</w:t>
            </w:r>
          </w:p>
        </w:tc>
        <w:tc>
          <w:tcPr>
            <w:tcW w:w="508" w:type="pct"/>
            <w:tcBorders>
              <w:tl2br w:val="nil"/>
              <w:tr2bl w:val="nil"/>
            </w:tcBorders>
            <w:shd w:val="clear" w:color="auto" w:fill="auto"/>
            <w:noWrap w:val="0"/>
            <w:vAlign w:val="center"/>
          </w:tcPr>
          <w:p>
            <w:pPr>
              <w:pStyle w:val="3"/>
              <w:ind w:left="0" w:leftChars="0" w:firstLine="0" w:firstLineChars="0"/>
              <w:jc w:val="center"/>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商务车</w:t>
            </w:r>
          </w:p>
        </w:tc>
        <w:tc>
          <w:tcPr>
            <w:tcW w:w="400" w:type="pct"/>
            <w:tcBorders>
              <w:tl2br w:val="nil"/>
              <w:tr2bl w:val="nil"/>
            </w:tcBorders>
            <w:shd w:val="clear" w:color="auto" w:fill="auto"/>
            <w:noWrap w:val="0"/>
            <w:vAlign w:val="center"/>
          </w:tcPr>
          <w:p>
            <w:pPr>
              <w:pStyle w:val="3"/>
              <w:ind w:left="0" w:leftChars="0" w:firstLine="0" w:firstLineChars="0"/>
              <w:jc w:val="center"/>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车辆</w:t>
            </w:r>
          </w:p>
        </w:tc>
        <w:tc>
          <w:tcPr>
            <w:tcW w:w="2922" w:type="pct"/>
            <w:tcBorders>
              <w:tl2br w:val="nil"/>
              <w:tr2bl w:val="nil"/>
            </w:tcBorders>
            <w:shd w:val="clear" w:color="auto" w:fill="auto"/>
            <w:noWrap w:val="0"/>
            <w:vAlign w:val="center"/>
          </w:tcPr>
          <w:p>
            <w:pPr>
              <w:pStyle w:val="3"/>
              <w:ind w:firstLine="480"/>
              <w:rPr>
                <w:rFonts w:hint="default"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长/宽/高 (mm)：长≥5000/宽≥1900/高≥1780</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轴距 (mm)：≥3000</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额定载客：9人</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燃油类型/排量：汽油/≥2.0T</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排放标准：国VI</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额定功率 (kW)：≥160</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峰值扭矩  (Nm)：≥340</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变速箱形式：自动变速箱</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驱动形式：前置前驱/后驱</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悬架形式（前/后）：前麦弗逊独立悬架/后多连杆独立悬架</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安全气囊：主副驾安全气囊</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胎压监测功能：具备</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前排安全带未系提醒功能：具备</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电子车身稳定系统：具备</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制动系统：前后盘式制动</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转向系统：电动助力转向</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空调系统：前后舱独立自动恒温空调</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多媒体功能：倒车影像、车载蓝牙电话</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定速巡航：具备</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多媒体/充电接口：USB</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电动车窗：主副驾电动车窗</w:t>
            </w:r>
          </w:p>
          <w:p>
            <w:pPr>
              <w:pStyle w:val="3"/>
              <w:ind w:firstLine="480"/>
              <w:rPr>
                <w:rFonts w:hint="default"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中门推拉窗：中门同平面推拉窗</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座椅调节主驾座椅6向调节，副驾座椅4向调节</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大灯：LED前后大灯</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行车灯：LED日间行车灯</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LED高位刹车灯：具备</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后雾灯：具备</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后视镜：电动调节后视镜</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方向盘：多功能方向盘</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座椅面料：皮饰座椅</w:t>
            </w:r>
          </w:p>
          <w:p>
            <w:pPr>
              <w:pStyle w:val="3"/>
              <w:ind w:firstLine="480"/>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雨刷器：前后雨量感应式雨刷</w:t>
            </w:r>
          </w:p>
        </w:tc>
        <w:tc>
          <w:tcPr>
            <w:tcW w:w="424" w:type="pct"/>
            <w:tcBorders>
              <w:tl2br w:val="nil"/>
              <w:tr2bl w:val="nil"/>
            </w:tcBorders>
            <w:shd w:val="clear" w:color="auto" w:fill="auto"/>
            <w:noWrap w:val="0"/>
            <w:vAlign w:val="center"/>
          </w:tcPr>
          <w:p>
            <w:pPr>
              <w:pStyle w:val="3"/>
              <w:ind w:left="0" w:leftChars="0" w:firstLine="0" w:firstLineChars="0"/>
              <w:jc w:val="center"/>
              <w:rPr>
                <w:rFonts w:hint="default"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2</w:t>
            </w:r>
          </w:p>
        </w:tc>
        <w:tc>
          <w:tcPr>
            <w:tcW w:w="415" w:type="pct"/>
            <w:tcBorders>
              <w:tl2br w:val="nil"/>
              <w:tr2bl w:val="nil"/>
            </w:tcBorders>
            <w:shd w:val="clear" w:color="auto" w:fill="auto"/>
            <w:noWrap w:val="0"/>
            <w:vAlign w:val="center"/>
          </w:tcPr>
          <w:p>
            <w:pPr>
              <w:pStyle w:val="3"/>
              <w:ind w:left="0" w:leftChars="0" w:firstLine="0" w:firstLineChars="0"/>
              <w:jc w:val="center"/>
              <w:rPr>
                <w:rFonts w:hint="eastAsia" w:ascii="楷体" w:hAnsi="楷体" w:cs="楷体"/>
                <w:b w:val="0"/>
                <w:bCs w:val="0"/>
                <w:color w:val="auto"/>
                <w:sz w:val="24"/>
                <w:szCs w:val="24"/>
                <w:highlight w:val="none"/>
                <w:lang w:val="en-US" w:eastAsia="zh-CN"/>
              </w:rPr>
            </w:pPr>
            <w:r>
              <w:rPr>
                <w:rFonts w:hint="eastAsia" w:ascii="楷体" w:hAnsi="楷体" w:cs="楷体"/>
                <w:b w:val="0"/>
                <w:bCs w:val="0"/>
                <w:color w:val="auto"/>
                <w:sz w:val="24"/>
                <w:szCs w:val="24"/>
                <w:highlight w:val="none"/>
                <w:lang w:val="en-US" w:eastAsia="zh-CN"/>
              </w:rPr>
              <w:t>辆</w:t>
            </w:r>
          </w:p>
        </w:tc>
      </w:tr>
    </w:tbl>
    <w:p>
      <w:pPr>
        <w:pStyle w:val="3"/>
        <w:ind w:firstLine="480"/>
        <w:rPr>
          <w:rFonts w:hint="eastAsia" w:ascii="楷体" w:hAnsi="楷体" w:cs="楷体"/>
          <w:b w:val="0"/>
          <w:bCs w:val="0"/>
          <w:color w:val="auto"/>
          <w:sz w:val="24"/>
          <w:szCs w:val="24"/>
          <w:lang w:val="en-US" w:eastAsia="zh-CN"/>
        </w:rPr>
      </w:pPr>
    </w:p>
    <w:p>
      <w:pPr>
        <w:pStyle w:val="3"/>
        <w:ind w:firstLine="480"/>
        <w:rPr>
          <w:rFonts w:hint="eastAsia" w:ascii="宋体" w:hAnsi="宋体"/>
          <w:b w:val="0"/>
          <w:bCs w:val="0"/>
          <w:sz w:val="24"/>
          <w:szCs w:val="22"/>
          <w:highlight w:val="none"/>
        </w:rPr>
      </w:pPr>
      <w:r>
        <w:rPr>
          <w:rFonts w:hint="eastAsia" w:ascii="楷体" w:hAnsi="楷体" w:cs="楷体"/>
          <w:b w:val="0"/>
          <w:bCs w:val="0"/>
          <w:color w:val="auto"/>
          <w:sz w:val="24"/>
          <w:szCs w:val="24"/>
        </w:rPr>
        <w:t>二、</w:t>
      </w:r>
      <w:r>
        <w:rPr>
          <w:rFonts w:hint="eastAsia" w:ascii="宋体" w:hAnsi="宋体"/>
          <w:b w:val="0"/>
          <w:bCs w:val="0"/>
          <w:sz w:val="24"/>
          <w:szCs w:val="22"/>
          <w:highlight w:val="none"/>
        </w:rPr>
        <w:t>一般性要求</w:t>
      </w:r>
    </w:p>
    <w:p>
      <w:pPr>
        <w:spacing w:line="520" w:lineRule="exact"/>
        <w:ind w:firstLine="480" w:firstLineChars="200"/>
        <w:rPr>
          <w:rFonts w:hint="eastAsia"/>
          <w:sz w:val="24"/>
        </w:rPr>
      </w:pPr>
      <w:r>
        <w:rPr>
          <w:rFonts w:hint="eastAsia" w:ascii="宋体" w:hAnsi="宋体"/>
          <w:sz w:val="24"/>
        </w:rPr>
        <w:t>1、</w:t>
      </w:r>
      <w:r>
        <w:rPr>
          <w:rFonts w:hint="eastAsia"/>
          <w:sz w:val="24"/>
        </w:rPr>
        <w:t>供应商对所提供车辆的主要配置、性能、结构特点、质量水平等进行详细的描述。</w:t>
      </w:r>
    </w:p>
    <w:p>
      <w:pPr>
        <w:spacing w:line="520" w:lineRule="exact"/>
        <w:ind w:firstLine="480" w:firstLineChars="200"/>
        <w:rPr>
          <w:rFonts w:hint="eastAsia"/>
          <w:sz w:val="24"/>
        </w:rPr>
      </w:pPr>
      <w:r>
        <w:rPr>
          <w:rFonts w:hint="eastAsia"/>
          <w:sz w:val="24"/>
        </w:rPr>
        <w:t>2、详细描述主要外购外协件的生产厂家、规格、型号、品牌。</w:t>
      </w:r>
    </w:p>
    <w:p>
      <w:pPr>
        <w:spacing w:line="520" w:lineRule="exact"/>
        <w:ind w:firstLine="480" w:firstLineChars="200"/>
        <w:rPr>
          <w:rFonts w:hint="eastAsia"/>
          <w:sz w:val="24"/>
        </w:rPr>
      </w:pPr>
      <w:r>
        <w:rPr>
          <w:rFonts w:hint="eastAsia"/>
          <w:sz w:val="24"/>
        </w:rPr>
        <w:t>3、详细说明免费质保期内为用户提供的售后免费维修服务的保障措施（包括应急反应能力、上门服务措施、紧急救援措施等，常用零配件供应和相应的技术支持）及免费质保期后为用户提供优质服务的承诺。</w:t>
      </w:r>
    </w:p>
    <w:p>
      <w:pPr>
        <w:spacing w:line="520" w:lineRule="exact"/>
        <w:ind w:firstLine="480" w:firstLineChars="200"/>
        <w:rPr>
          <w:rFonts w:hint="eastAsia"/>
          <w:sz w:val="24"/>
          <w:highlight w:val="none"/>
        </w:rPr>
      </w:pPr>
      <w:r>
        <w:rPr>
          <w:rFonts w:hint="eastAsia"/>
          <w:sz w:val="24"/>
          <w:highlight w:val="none"/>
        </w:rPr>
        <w:t>4、随车附带的配件和易损件，专用工具清单。</w:t>
      </w:r>
    </w:p>
    <w:p>
      <w:pPr>
        <w:spacing w:line="520" w:lineRule="exact"/>
        <w:ind w:firstLine="480" w:firstLineChars="200"/>
        <w:rPr>
          <w:rFonts w:hint="eastAsia"/>
          <w:sz w:val="24"/>
          <w:highlight w:val="none"/>
        </w:rPr>
      </w:pPr>
      <w:r>
        <w:rPr>
          <w:rFonts w:hint="eastAsia"/>
          <w:sz w:val="24"/>
          <w:highlight w:val="none"/>
        </w:rPr>
        <w:t>5、提供货物验收标准。</w:t>
      </w:r>
    </w:p>
    <w:p>
      <w:pPr>
        <w:spacing w:line="520" w:lineRule="exact"/>
        <w:ind w:firstLine="480" w:firstLineChars="200"/>
        <w:rPr>
          <w:rFonts w:hint="eastAsia"/>
          <w:sz w:val="24"/>
        </w:rPr>
      </w:pPr>
      <w:r>
        <w:rPr>
          <w:rFonts w:hint="eastAsia"/>
          <w:sz w:val="24"/>
        </w:rPr>
        <w:t>6、验收：</w:t>
      </w:r>
    </w:p>
    <w:p>
      <w:pPr>
        <w:spacing w:line="520" w:lineRule="exact"/>
        <w:ind w:firstLine="480" w:firstLineChars="200"/>
        <w:rPr>
          <w:rFonts w:hint="eastAsia"/>
          <w:sz w:val="24"/>
        </w:rPr>
      </w:pPr>
      <w:r>
        <w:rPr>
          <w:rFonts w:hint="eastAsia"/>
          <w:sz w:val="24"/>
        </w:rPr>
        <w:t>6.1基本要求</w:t>
      </w:r>
    </w:p>
    <w:p>
      <w:pPr>
        <w:spacing w:line="520" w:lineRule="exact"/>
        <w:ind w:firstLine="480" w:firstLineChars="200"/>
        <w:rPr>
          <w:rFonts w:hint="eastAsia"/>
          <w:sz w:val="24"/>
        </w:rPr>
      </w:pPr>
      <w:r>
        <w:rPr>
          <w:rFonts w:hint="eastAsia"/>
          <w:sz w:val="24"/>
        </w:rPr>
        <w:t>（1）货物为全新产品，无污染，无侵权行为、表面无划损、无任何缺陷隐患，在中国境内可依规安全合法使用。</w:t>
      </w:r>
    </w:p>
    <w:p>
      <w:pPr>
        <w:spacing w:line="520" w:lineRule="exact"/>
        <w:ind w:firstLine="480" w:firstLineChars="200"/>
        <w:rPr>
          <w:rFonts w:hint="eastAsia"/>
          <w:sz w:val="24"/>
        </w:rPr>
      </w:pPr>
      <w:r>
        <w:rPr>
          <w:rFonts w:hint="eastAsia"/>
          <w:sz w:val="24"/>
        </w:rPr>
        <w:t>（2）交付验收基本标准</w:t>
      </w:r>
    </w:p>
    <w:p>
      <w:pPr>
        <w:spacing w:line="520" w:lineRule="exact"/>
        <w:ind w:firstLine="480" w:firstLineChars="200"/>
        <w:rPr>
          <w:rFonts w:hint="eastAsia"/>
          <w:sz w:val="24"/>
        </w:rPr>
      </w:pPr>
      <w:r>
        <w:rPr>
          <w:rFonts w:hint="eastAsia"/>
          <w:sz w:val="24"/>
        </w:rPr>
        <w:t>依次对照适用标准：①符合中华人民共和国国家安全质量标准、环保标准或行业标准；②符合采购文件和响应承诺中采购人认可的合理最佳配置、参数及各项要求；③货物来源国官方标准。上述标准必须是有关官方机构发布的最新版本的标准。</w:t>
      </w:r>
    </w:p>
    <w:p>
      <w:pPr>
        <w:spacing w:line="520" w:lineRule="exact"/>
        <w:ind w:firstLine="480" w:firstLineChars="200"/>
        <w:rPr>
          <w:rFonts w:hint="eastAsia"/>
          <w:sz w:val="24"/>
        </w:rPr>
      </w:pPr>
      <w:r>
        <w:rPr>
          <w:rFonts w:hint="eastAsia"/>
          <w:sz w:val="24"/>
        </w:rPr>
        <w:t>（3）验收由供应商、采购人及相关部门、相关专家依国家有关标准、合同及有关附件要求进行。供应商须为验收提供必需的相关条件及一切费用。</w:t>
      </w:r>
    </w:p>
    <w:p>
      <w:pPr>
        <w:spacing w:line="520" w:lineRule="exact"/>
        <w:ind w:firstLine="480" w:firstLineChars="200"/>
        <w:rPr>
          <w:rFonts w:hint="eastAsia"/>
          <w:sz w:val="24"/>
        </w:rPr>
      </w:pPr>
      <w:r>
        <w:rPr>
          <w:rFonts w:hint="eastAsia"/>
          <w:sz w:val="24"/>
        </w:rPr>
        <w:t>（4）技术资料</w:t>
      </w:r>
    </w:p>
    <w:p>
      <w:pPr>
        <w:spacing w:line="520" w:lineRule="exact"/>
        <w:ind w:firstLine="720" w:firstLineChars="300"/>
        <w:rPr>
          <w:rFonts w:hint="eastAsia"/>
          <w:sz w:val="24"/>
        </w:rPr>
      </w:pPr>
      <w:r>
        <w:rPr>
          <w:rFonts w:hint="eastAsia"/>
          <w:sz w:val="24"/>
        </w:rPr>
        <w:t>1）交货时，供应商应同时交付产品使用手册、质量检验证书（合格证）等相关资料。</w:t>
      </w:r>
    </w:p>
    <w:p>
      <w:pPr>
        <w:spacing w:line="520" w:lineRule="exact"/>
        <w:ind w:firstLine="720" w:firstLineChars="300"/>
        <w:rPr>
          <w:rFonts w:hint="eastAsia"/>
          <w:sz w:val="24"/>
        </w:rPr>
      </w:pPr>
      <w:r>
        <w:rPr>
          <w:rFonts w:hint="eastAsia"/>
          <w:sz w:val="24"/>
        </w:rPr>
        <w:t>2）验收后，</w:t>
      </w:r>
      <w:r>
        <w:rPr>
          <w:rFonts w:hint="eastAsia"/>
          <w:sz w:val="24"/>
          <w:lang w:eastAsia="zh-CN"/>
        </w:rPr>
        <w:t>供应商</w:t>
      </w:r>
      <w:r>
        <w:rPr>
          <w:rFonts w:hint="eastAsia"/>
          <w:sz w:val="24"/>
        </w:rPr>
        <w:t>应向采购人提供验收报告。</w:t>
      </w:r>
    </w:p>
    <w:p>
      <w:pPr>
        <w:spacing w:line="520" w:lineRule="exact"/>
        <w:ind w:firstLine="480" w:firstLineChars="200"/>
        <w:rPr>
          <w:rFonts w:hint="eastAsia"/>
          <w:sz w:val="24"/>
        </w:rPr>
      </w:pPr>
      <w:r>
        <w:rPr>
          <w:rFonts w:hint="eastAsia"/>
          <w:sz w:val="24"/>
        </w:rPr>
        <w:t>6.2确认新车</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1</w:t>
      </w:r>
      <w:r>
        <w:rPr>
          <w:rFonts w:hint="eastAsia" w:eastAsia="楷体"/>
          <w:sz w:val="24"/>
          <w:lang w:eastAsia="zh-CN"/>
        </w:rPr>
        <w:t>）</w:t>
      </w:r>
      <w:r>
        <w:rPr>
          <w:rFonts w:hint="eastAsia"/>
          <w:sz w:val="24"/>
        </w:rPr>
        <w:t>核对整车产品合格证；</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2</w:t>
      </w:r>
      <w:r>
        <w:rPr>
          <w:rFonts w:hint="eastAsia" w:eastAsia="楷体"/>
          <w:sz w:val="24"/>
          <w:lang w:eastAsia="zh-CN"/>
        </w:rPr>
        <w:t>）</w:t>
      </w:r>
      <w:r>
        <w:rPr>
          <w:rFonts w:hint="eastAsia"/>
          <w:sz w:val="24"/>
        </w:rPr>
        <w:t>检查发动机型号、发动机号、大梁代码等信息；</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3</w:t>
      </w:r>
      <w:r>
        <w:rPr>
          <w:rFonts w:hint="eastAsia" w:eastAsia="楷体"/>
          <w:sz w:val="24"/>
          <w:lang w:eastAsia="zh-CN"/>
        </w:rPr>
        <w:t>）</w:t>
      </w:r>
      <w:r>
        <w:rPr>
          <w:rFonts w:hint="eastAsia"/>
          <w:sz w:val="24"/>
        </w:rPr>
        <w:t>车辆的生产日期，以交货期为准，近两年内产品。</w:t>
      </w:r>
    </w:p>
    <w:p>
      <w:pPr>
        <w:spacing w:line="520" w:lineRule="exact"/>
        <w:ind w:firstLine="480" w:firstLineChars="200"/>
        <w:rPr>
          <w:rFonts w:hint="eastAsia"/>
          <w:sz w:val="24"/>
        </w:rPr>
      </w:pPr>
      <w:r>
        <w:rPr>
          <w:rFonts w:hint="eastAsia"/>
          <w:sz w:val="24"/>
        </w:rPr>
        <w:t>6.3外观及功能检查</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1</w:t>
      </w:r>
      <w:r>
        <w:rPr>
          <w:rFonts w:hint="eastAsia" w:eastAsia="楷体"/>
          <w:sz w:val="24"/>
          <w:lang w:eastAsia="zh-CN"/>
        </w:rPr>
        <w:t>）</w:t>
      </w:r>
      <w:r>
        <w:rPr>
          <w:rFonts w:hint="eastAsia"/>
          <w:sz w:val="24"/>
        </w:rPr>
        <w:t>车辆漆面必须是原厂漆面，应清洁光亮，不得有漏喷、脱漆、刮痕、划痕和瘪窝；车体颜色按照合同约定；</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2</w:t>
      </w:r>
      <w:r>
        <w:rPr>
          <w:rFonts w:hint="eastAsia" w:eastAsia="楷体"/>
          <w:sz w:val="24"/>
          <w:lang w:eastAsia="zh-CN"/>
        </w:rPr>
        <w:t>）</w:t>
      </w:r>
      <w:r>
        <w:rPr>
          <w:rFonts w:hint="eastAsia"/>
          <w:sz w:val="24"/>
        </w:rPr>
        <w:t>车辆内部的座椅及其他内饰件应完整、清洁、不得有划伤、污点，使用时应方便、灵活；</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3</w:t>
      </w:r>
      <w:r>
        <w:rPr>
          <w:rFonts w:hint="eastAsia" w:eastAsia="楷体"/>
          <w:sz w:val="24"/>
          <w:lang w:eastAsia="zh-CN"/>
        </w:rPr>
        <w:t>）</w:t>
      </w:r>
      <w:r>
        <w:rPr>
          <w:rFonts w:hint="eastAsia"/>
          <w:sz w:val="24"/>
        </w:rPr>
        <w:t>车辆内、外部的灯光应齐全；空调、音响应完好无损，效果应达到国家标准；</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4</w:t>
      </w:r>
      <w:r>
        <w:rPr>
          <w:rFonts w:hint="eastAsia" w:eastAsia="楷体"/>
          <w:sz w:val="24"/>
          <w:lang w:eastAsia="zh-CN"/>
        </w:rPr>
        <w:t>）</w:t>
      </w:r>
      <w:r>
        <w:rPr>
          <w:rFonts w:hint="eastAsia"/>
          <w:sz w:val="24"/>
        </w:rPr>
        <w:t>门窗各处间隙是否均匀，车门开闭是否灵活；</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5</w:t>
      </w:r>
      <w:r>
        <w:rPr>
          <w:rFonts w:hint="eastAsia" w:eastAsia="楷体"/>
          <w:sz w:val="24"/>
          <w:lang w:eastAsia="zh-CN"/>
        </w:rPr>
        <w:t>）</w:t>
      </w:r>
      <w:r>
        <w:rPr>
          <w:rFonts w:hint="eastAsia"/>
          <w:sz w:val="24"/>
        </w:rPr>
        <w:t>焊接点有没有打磨干净；</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6</w:t>
      </w:r>
      <w:r>
        <w:rPr>
          <w:rFonts w:hint="eastAsia" w:eastAsia="楷体"/>
          <w:sz w:val="24"/>
          <w:lang w:eastAsia="zh-CN"/>
        </w:rPr>
        <w:t>）</w:t>
      </w:r>
      <w:r>
        <w:rPr>
          <w:rFonts w:hint="eastAsia"/>
          <w:sz w:val="24"/>
        </w:rPr>
        <w:t>是否存在漏水、漏油现象；</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7</w:t>
      </w:r>
      <w:r>
        <w:rPr>
          <w:rFonts w:hint="eastAsia" w:eastAsia="楷体"/>
          <w:sz w:val="24"/>
          <w:lang w:eastAsia="zh-CN"/>
        </w:rPr>
        <w:t>）</w:t>
      </w:r>
      <w:r>
        <w:rPr>
          <w:rFonts w:hint="eastAsia"/>
          <w:sz w:val="24"/>
        </w:rPr>
        <w:t>底盘、轮毂、避震器、悬挂等工作情况是否正常；</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8</w:t>
      </w:r>
      <w:r>
        <w:rPr>
          <w:rFonts w:hint="eastAsia" w:eastAsia="楷体"/>
          <w:sz w:val="24"/>
          <w:lang w:eastAsia="zh-CN"/>
        </w:rPr>
        <w:t>）</w:t>
      </w:r>
      <w:r>
        <w:rPr>
          <w:rFonts w:hint="eastAsia"/>
          <w:sz w:val="24"/>
        </w:rPr>
        <w:t>是否符合竞争性</w:t>
      </w:r>
      <w:r>
        <w:rPr>
          <w:rFonts w:hint="eastAsia" w:eastAsia="楷体"/>
          <w:sz w:val="24"/>
          <w:lang w:eastAsia="zh-CN"/>
        </w:rPr>
        <w:t>谈判</w:t>
      </w:r>
      <w:r>
        <w:rPr>
          <w:rFonts w:hint="eastAsia"/>
          <w:sz w:val="24"/>
        </w:rPr>
        <w:t>文件基本要求，各项参数及规格是否符合要求；</w:t>
      </w:r>
    </w:p>
    <w:p>
      <w:pPr>
        <w:spacing w:line="520" w:lineRule="exact"/>
        <w:ind w:firstLine="480" w:firstLineChars="200"/>
        <w:rPr>
          <w:rFonts w:hint="eastAsia"/>
          <w:sz w:val="24"/>
        </w:rPr>
      </w:pPr>
      <w:r>
        <w:rPr>
          <w:rFonts w:hint="eastAsia" w:eastAsia="楷体"/>
          <w:sz w:val="24"/>
          <w:lang w:eastAsia="zh-CN"/>
        </w:rPr>
        <w:t>（</w:t>
      </w:r>
      <w:r>
        <w:rPr>
          <w:rFonts w:hint="eastAsia" w:eastAsia="楷体" w:asciiTheme="minorHAnsi"/>
          <w:sz w:val="24"/>
          <w:lang w:val="en-US" w:eastAsia="zh-CN"/>
        </w:rPr>
        <w:t>9</w:t>
      </w:r>
      <w:r>
        <w:rPr>
          <w:rFonts w:hint="eastAsia" w:eastAsia="楷体"/>
          <w:sz w:val="24"/>
          <w:lang w:eastAsia="zh-CN"/>
        </w:rPr>
        <w:t>）</w:t>
      </w:r>
      <w:r>
        <w:rPr>
          <w:rFonts w:hint="eastAsia"/>
          <w:sz w:val="24"/>
        </w:rPr>
        <w:t>各项使用功能是否符合要求、安全装备配置是否到位、内外配置和专用配置是否齐全。</w:t>
      </w:r>
    </w:p>
    <w:p>
      <w:pPr>
        <w:spacing w:line="520" w:lineRule="exact"/>
        <w:ind w:firstLine="480" w:firstLineChars="200"/>
        <w:rPr>
          <w:rFonts w:hint="eastAsia"/>
          <w:sz w:val="24"/>
        </w:rPr>
      </w:pPr>
      <w:r>
        <w:rPr>
          <w:rFonts w:hint="eastAsia"/>
          <w:sz w:val="24"/>
        </w:rPr>
        <w:t>6.4车辆行驶过程中，不得有异常响声，制动（包括手制动）转向灵活、有效；汽车的动力性能和经济性能符合设计要求；符合国家相关标准。</w:t>
      </w:r>
    </w:p>
    <w:p>
      <w:pPr>
        <w:spacing w:line="520" w:lineRule="exact"/>
        <w:ind w:firstLine="480" w:firstLineChars="200"/>
        <w:rPr>
          <w:rFonts w:hint="eastAsia" w:eastAsia="楷体"/>
          <w:sz w:val="24"/>
          <w:lang w:eastAsia="zh-CN"/>
        </w:rPr>
      </w:pPr>
      <w:r>
        <w:rPr>
          <w:rFonts w:hint="eastAsia"/>
          <w:sz w:val="24"/>
        </w:rPr>
        <w:t>查看仪表是否能正常显示，转向上下是否存在间隙，车门玻璃是否升降自如、密封良好；坐椅表面是否整洁，是否移动自由并有多个固位；离合器、制动器、电门踏板是否正常。</w:t>
      </w:r>
    </w:p>
    <w:p>
      <w:pPr>
        <w:spacing w:line="520" w:lineRule="exact"/>
        <w:ind w:firstLine="480" w:firstLineChars="200"/>
        <w:rPr>
          <w:rFonts w:hint="eastAsia"/>
          <w:sz w:val="24"/>
        </w:rPr>
      </w:pPr>
      <w:r>
        <w:rPr>
          <w:rFonts w:hint="eastAsia"/>
          <w:sz w:val="24"/>
        </w:rPr>
        <w:t>　　打开发动机盖，检查水箱补充液、清洗液、动力转向液、润滑油、制动液面是否正常，液罐表面干净、无水痕油渍，液面在最高和最低刻度之间为正常；电瓶的固定桩头与电线应可靠、良好、无松动现象。</w:t>
      </w:r>
    </w:p>
    <w:p>
      <w:pPr>
        <w:spacing w:line="520" w:lineRule="exact"/>
        <w:ind w:firstLine="480" w:firstLineChars="200"/>
        <w:rPr>
          <w:rFonts w:hint="eastAsia"/>
          <w:sz w:val="24"/>
        </w:rPr>
      </w:pPr>
      <w:r>
        <w:rPr>
          <w:rFonts w:hint="eastAsia"/>
          <w:sz w:val="24"/>
        </w:rPr>
        <w:t>在交验时应配备专业人员进行试车工作，检查车辆能否正常投入使用。</w:t>
      </w:r>
    </w:p>
    <w:p>
      <w:pPr>
        <w:spacing w:line="520" w:lineRule="exact"/>
        <w:ind w:firstLine="480" w:firstLineChars="200"/>
        <w:rPr>
          <w:rFonts w:hint="eastAsia"/>
          <w:sz w:val="24"/>
        </w:rPr>
      </w:pPr>
      <w:r>
        <w:rPr>
          <w:rFonts w:hint="eastAsia"/>
          <w:sz w:val="24"/>
        </w:rPr>
        <w:t>6.5供应商应主动协助采购人对车辆实行检验，查验发动机号、底盘号，交付所有证件、手续、备品备件、工具和主副钥匙。</w:t>
      </w:r>
    </w:p>
    <w:p>
      <w:pPr>
        <w:spacing w:line="520" w:lineRule="exact"/>
        <w:ind w:firstLine="480" w:firstLineChars="200"/>
        <w:rPr>
          <w:rFonts w:hint="eastAsia"/>
          <w:color w:val="FF0000"/>
          <w:sz w:val="24"/>
          <w:highlight w:val="none"/>
        </w:rPr>
      </w:pPr>
      <w:r>
        <w:rPr>
          <w:rFonts w:hint="eastAsia"/>
          <w:color w:val="auto"/>
          <w:sz w:val="24"/>
        </w:rPr>
        <w:t>采购人应检查随车工具清单、备品备件清单，与实物</w:t>
      </w:r>
      <w:r>
        <w:rPr>
          <w:rFonts w:hint="eastAsia"/>
          <w:color w:val="auto"/>
          <w:sz w:val="24"/>
          <w:highlight w:val="none"/>
        </w:rPr>
        <w:t>是否相符。</w:t>
      </w:r>
    </w:p>
    <w:p>
      <w:pPr>
        <w:spacing w:line="520" w:lineRule="exact"/>
        <w:ind w:firstLine="480" w:firstLineChars="200"/>
        <w:rPr>
          <w:rFonts w:hint="eastAsia"/>
          <w:sz w:val="24"/>
        </w:rPr>
      </w:pPr>
      <w:r>
        <w:rPr>
          <w:rFonts w:hint="eastAsia"/>
          <w:sz w:val="24"/>
        </w:rPr>
        <w:t>6.6</w:t>
      </w:r>
      <w:r>
        <w:rPr>
          <w:rFonts w:hint="eastAsia"/>
          <w:sz w:val="24"/>
          <w:highlight w:val="none"/>
        </w:rPr>
        <w:t>负责办理车辆在西安市的挂牌。</w:t>
      </w:r>
    </w:p>
    <w:p>
      <w:pPr>
        <w:spacing w:line="520" w:lineRule="exact"/>
        <w:ind w:firstLine="480" w:firstLineChars="200"/>
        <w:rPr>
          <w:rFonts w:hint="eastAsia"/>
          <w:sz w:val="24"/>
        </w:rPr>
      </w:pPr>
      <w:r>
        <w:rPr>
          <w:rFonts w:hint="eastAsia"/>
          <w:sz w:val="24"/>
        </w:rPr>
        <w:t>6.</w:t>
      </w:r>
      <w:r>
        <w:rPr>
          <w:rFonts w:hint="eastAsia"/>
          <w:sz w:val="24"/>
          <w:lang w:val="en-US" w:eastAsia="zh-CN"/>
        </w:rPr>
        <w:t>7</w:t>
      </w:r>
      <w:r>
        <w:rPr>
          <w:rFonts w:hint="eastAsia"/>
          <w:sz w:val="24"/>
        </w:rPr>
        <w:t>协助采购人做好新车的保养工作，在免费质保期内，供应商为采购人提供免费保养、检查、清洗、修理、更换等服务。</w:t>
      </w:r>
    </w:p>
    <w:p>
      <w:pPr>
        <w:spacing w:line="520" w:lineRule="exact"/>
        <w:ind w:firstLine="480" w:firstLineChars="200"/>
        <w:rPr>
          <w:rFonts w:hint="eastAsia"/>
          <w:sz w:val="24"/>
        </w:rPr>
      </w:pPr>
      <w:r>
        <w:rPr>
          <w:rFonts w:hint="eastAsia"/>
          <w:sz w:val="24"/>
        </w:rPr>
        <w:t>6.</w:t>
      </w:r>
      <w:r>
        <w:rPr>
          <w:rFonts w:hint="eastAsia"/>
          <w:sz w:val="24"/>
          <w:lang w:val="en-US" w:eastAsia="zh-CN"/>
        </w:rPr>
        <w:t>8</w:t>
      </w:r>
      <w:r>
        <w:rPr>
          <w:rFonts w:hint="eastAsia"/>
          <w:sz w:val="24"/>
        </w:rPr>
        <w:t>在交货时整车必须已经通过国家各类强制性认证。</w:t>
      </w:r>
    </w:p>
    <w:p>
      <w:pPr>
        <w:spacing w:line="520" w:lineRule="exact"/>
        <w:ind w:firstLine="480" w:firstLineChars="200"/>
        <w:rPr>
          <w:rFonts w:hint="eastAsia"/>
          <w:sz w:val="24"/>
        </w:rPr>
      </w:pPr>
      <w:r>
        <w:rPr>
          <w:rFonts w:hint="eastAsia"/>
          <w:sz w:val="24"/>
        </w:rPr>
        <w:t>6.</w:t>
      </w:r>
      <w:r>
        <w:rPr>
          <w:rFonts w:hint="eastAsia"/>
          <w:sz w:val="24"/>
          <w:lang w:val="en-US" w:eastAsia="zh-CN"/>
        </w:rPr>
        <w:t>9</w:t>
      </w:r>
      <w:r>
        <w:rPr>
          <w:rFonts w:hint="eastAsia"/>
          <w:sz w:val="24"/>
        </w:rPr>
        <w:t>供应商必须保证提供全新的、完整的、安全可靠的产品。严禁提供旧货翻新或假冒伪劣产品或次品、残品。</w:t>
      </w:r>
      <w:r>
        <w:rPr>
          <w:rFonts w:hint="eastAsia" w:ascii="宋体" w:hAnsi="宋体"/>
          <w:sz w:val="24"/>
        </w:rPr>
        <w:t>并且全部货物没有设计、材料或工艺上的缺陷。须提供厂家出具的合格证书、国家实行生产许可的应提交生产许可证，国家实行强制认证的应提交强制认证证书，国家实行计量检测认证的应提交计量检测体系合格证书。货物的技术参数及配置情况必须由供应商提供国家相关检测机构出具的检验报告、生产厂家公开发布的印刷资料等技术资料予以支持。</w:t>
      </w:r>
    </w:p>
    <w:p>
      <w:pPr>
        <w:spacing w:line="520" w:lineRule="exact"/>
        <w:ind w:firstLine="480" w:firstLineChars="200"/>
        <w:rPr>
          <w:rFonts w:hint="eastAsia"/>
          <w:sz w:val="24"/>
        </w:rPr>
      </w:pPr>
      <w:r>
        <w:rPr>
          <w:rFonts w:hint="eastAsia"/>
          <w:sz w:val="24"/>
        </w:rPr>
        <w:t>6.1</w:t>
      </w:r>
      <w:r>
        <w:rPr>
          <w:rFonts w:hint="eastAsia"/>
          <w:sz w:val="24"/>
          <w:lang w:val="en-US" w:eastAsia="zh-CN"/>
        </w:rPr>
        <w:t>0</w:t>
      </w:r>
      <w:r>
        <w:rPr>
          <w:rFonts w:hint="eastAsia"/>
          <w:sz w:val="24"/>
        </w:rPr>
        <w:t>以上内容由供应商在响应报价中综合考虑（若在成交后，供应商或采购人发现有遗漏或存在部分内容未报价者，采购人将按供应商漏报或未报价内容的费用已包含在总报价中对待，在签订合同或合同履行过程中或款项结算时不予任何费用的追加或更改，供应商也不得因漏报或未报价内容而拒绝完全履行合同，否则采购人有权按供应商违约进行处理），供应商的报价必须为按采购人的要求将车辆送达指定地点且完成所有车辆校验、调试、验收、交付及对采购人指定人员培训的总费用。</w:t>
      </w:r>
    </w:p>
    <w:p>
      <w:pPr>
        <w:spacing w:line="520" w:lineRule="exact"/>
        <w:ind w:left="0" w:leftChars="0"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全部货物均须保证其安全性能的良好性、可靠性、环保性、节能性，凡货物在使用过程中因质量问题（或性能问题、或安全性问题、或环保性问题等），应无条件的在采购人质保期内予以免费调换，因货物安全性能问题导致事故的，采购人将追究供应商相关责任。</w:t>
      </w:r>
    </w:p>
    <w:p>
      <w:pPr>
        <w:spacing w:line="520" w:lineRule="exact"/>
        <w:ind w:left="0" w:leftChars="0"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参与竞争性</w:t>
      </w:r>
      <w:r>
        <w:rPr>
          <w:rFonts w:hint="eastAsia" w:ascii="宋体" w:hAnsi="宋体"/>
          <w:sz w:val="24"/>
          <w:lang w:eastAsia="zh-CN"/>
        </w:rPr>
        <w:t>谈判</w:t>
      </w:r>
      <w:r>
        <w:rPr>
          <w:rFonts w:hint="eastAsia" w:ascii="宋体" w:hAnsi="宋体"/>
          <w:sz w:val="24"/>
        </w:rPr>
        <w:t>货物若需软件设计或软件支持的，在货物交付验收时应出具制造商相对应的拥有自有知识产权的软件著作权证书和软件登记证书，否则采购人有权拒绝验收和支付款项，所有软件必须为正版软件，采购人拒绝非正版软件，且必须提供</w:t>
      </w:r>
      <w:r>
        <w:rPr>
          <w:rFonts w:hint="eastAsia" w:ascii="宋体" w:hAnsi="宋体" w:cs="宋体"/>
          <w:kern w:val="0"/>
          <w:sz w:val="24"/>
        </w:rPr>
        <w:t>在连续五年内的</w:t>
      </w:r>
      <w:r>
        <w:rPr>
          <w:rFonts w:hint="eastAsia" w:ascii="宋体" w:hAnsi="宋体"/>
          <w:sz w:val="24"/>
        </w:rPr>
        <w:t>免费升级和维护服务。</w:t>
      </w:r>
    </w:p>
    <w:p>
      <w:pPr>
        <w:spacing w:line="520" w:lineRule="exact"/>
        <w:rPr>
          <w:rFonts w:hint="eastAsia" w:ascii="宋体" w:hAnsi="宋体"/>
          <w:sz w:val="24"/>
        </w:rPr>
      </w:pPr>
      <w:r>
        <w:rPr>
          <w:rFonts w:hint="eastAsia" w:ascii="宋体" w:hAnsi="宋体"/>
          <w:sz w:val="24"/>
        </w:rPr>
        <w:t xml:space="preserve"> </w:t>
      </w:r>
      <w:r>
        <w:rPr>
          <w:rFonts w:hint="eastAsia" w:ascii="宋体" w:hAnsi="宋体"/>
          <w:sz w:val="24"/>
          <w:lang w:val="en-US" w:eastAsia="zh-CN"/>
        </w:rPr>
        <w:t>9、</w:t>
      </w:r>
      <w:r>
        <w:rPr>
          <w:rFonts w:hint="eastAsia" w:ascii="宋体" w:hAnsi="宋体"/>
          <w:sz w:val="24"/>
        </w:rPr>
        <w:t>根据本项目采购需求及国家相关规定，凡应提供相关资质、经营许可、代理、经销、授权、CCC认证等必须资料的，供应商在货物交付验收时应按照相关要求进行提供，否则采购人有权拒绝验收和支付款项。</w:t>
      </w:r>
    </w:p>
    <w:p>
      <w:pPr>
        <w:spacing w:line="520" w:lineRule="exact"/>
        <w:rPr>
          <w:rFonts w:hint="eastAsia" w:ascii="宋体" w:hAnsi="宋体"/>
          <w:sz w:val="24"/>
        </w:rPr>
      </w:pPr>
      <w:r>
        <w:rPr>
          <w:rFonts w:hint="eastAsia" w:ascii="宋体" w:hAnsi="宋体"/>
          <w:sz w:val="24"/>
          <w:lang w:val="en-US" w:eastAsia="zh-CN"/>
        </w:rPr>
        <w:t>10、</w:t>
      </w:r>
      <w:r>
        <w:rPr>
          <w:rFonts w:hint="eastAsia" w:ascii="宋体" w:hAnsi="宋体"/>
          <w:sz w:val="24"/>
        </w:rPr>
        <w:t>供应商应委派专业技术人员到采购人指定地点对采购人的相关人员进行实际操作、维修、保养等技术的现场培训，直至采购人的相关人员能熟练独立工作。供应商委派的专业技术人员所需一切费用均由供应商承担。</w:t>
      </w:r>
    </w:p>
    <w:p>
      <w:pPr>
        <w:spacing w:line="520" w:lineRule="exact"/>
        <w:rPr>
          <w:rFonts w:hint="eastAsia" w:ascii="宋体" w:hAnsi="宋体"/>
          <w:sz w:val="24"/>
          <w:lang w:eastAsia="zh-CN"/>
        </w:rPr>
      </w:pPr>
      <w:r>
        <w:rPr>
          <w:rFonts w:hint="eastAsia" w:ascii="宋体" w:hAnsi="宋体"/>
          <w:sz w:val="24"/>
          <w:lang w:val="en-US" w:eastAsia="zh-CN"/>
        </w:rPr>
        <w:t>11、</w:t>
      </w:r>
      <w:r>
        <w:rPr>
          <w:rFonts w:hint="eastAsia" w:ascii="宋体" w:hAnsi="宋体"/>
          <w:sz w:val="24"/>
        </w:rPr>
        <w:t>所供货物必须是经过办理正常手续的产品，凡因货物本身或其相关事宜引起的责任事故均由供应商承担</w:t>
      </w:r>
      <w:r>
        <w:rPr>
          <w:rFonts w:hint="eastAsia" w:ascii="宋体" w:hAnsi="宋体"/>
          <w:sz w:val="24"/>
          <w:lang w:eastAsia="zh-CN"/>
        </w:rPr>
        <w:t>。</w:t>
      </w:r>
    </w:p>
    <w:p>
      <w:pPr>
        <w:spacing w:line="520" w:lineRule="exact"/>
        <w:rPr>
          <w:rFonts w:hint="eastAsia" w:ascii="宋体" w:hAnsi="宋体"/>
          <w:sz w:val="24"/>
        </w:rPr>
      </w:pPr>
      <w:r>
        <w:rPr>
          <w:rFonts w:hint="eastAsia" w:ascii="宋体" w:hAnsi="宋体"/>
          <w:sz w:val="24"/>
          <w:lang w:val="en-US" w:eastAsia="zh-CN"/>
        </w:rPr>
        <w:t>12、</w:t>
      </w:r>
      <w:r>
        <w:rPr>
          <w:rFonts w:hint="eastAsia" w:ascii="宋体" w:hAnsi="宋体"/>
          <w:sz w:val="24"/>
        </w:rPr>
        <w:t>所供货物必须是经过国家法定检验、注册、准许市场销售的合法产品。</w:t>
      </w:r>
    </w:p>
    <w:p>
      <w:pPr>
        <w:spacing w:line="520" w:lineRule="exact"/>
        <w:rPr>
          <w:rFonts w:hint="eastAsia" w:ascii="宋体" w:hAnsi="宋体"/>
          <w:sz w:val="24"/>
        </w:rPr>
      </w:pPr>
      <w:r>
        <w:rPr>
          <w:rFonts w:hint="eastAsia" w:ascii="宋体" w:hAnsi="宋体"/>
          <w:sz w:val="24"/>
          <w:lang w:val="en-US" w:eastAsia="zh-CN"/>
        </w:rPr>
        <w:t>13、</w:t>
      </w:r>
      <w:r>
        <w:rPr>
          <w:rFonts w:hint="eastAsia" w:ascii="宋体" w:hAnsi="宋体"/>
          <w:sz w:val="24"/>
        </w:rPr>
        <w:t>货物性能稳定、具有良好的使用效果，质量保证措施完善，符合国家相关标准及认证管理制度。</w:t>
      </w:r>
    </w:p>
    <w:p>
      <w:pPr>
        <w:spacing w:line="520" w:lineRule="exact"/>
        <w:ind w:firstLine="480"/>
        <w:rPr>
          <w:rFonts w:hint="eastAsia" w:ascii="宋体" w:hAnsi="宋体"/>
          <w:sz w:val="24"/>
        </w:rPr>
      </w:pPr>
      <w:r>
        <w:rPr>
          <w:rFonts w:hint="eastAsia" w:ascii="宋体" w:hAnsi="宋体"/>
          <w:sz w:val="24"/>
          <w:lang w:val="en-US" w:eastAsia="zh-CN"/>
        </w:rPr>
        <w:t>14、</w:t>
      </w:r>
      <w:r>
        <w:rPr>
          <w:rFonts w:hint="eastAsia" w:ascii="宋体" w:hAnsi="宋体"/>
          <w:sz w:val="24"/>
        </w:rPr>
        <w:t>供应商应根据货物的技术状况自行列出备品备件的清单和数量，并将该备品备件价格计入报价，若所提供的产品无需备件，则应在响应文件中说明；无论供应商在报价中列明专用工具和随车备品备件的数量及价格多少，在免费质保期内采购人均无需为维护维修保养所需的专用工具和备品备件另行支付费用（人为损坏除外）。</w:t>
      </w:r>
    </w:p>
    <w:p>
      <w:pPr>
        <w:keepNext/>
        <w:keepLines/>
        <w:widowControl w:val="0"/>
        <w:numPr>
          <w:ilvl w:val="2"/>
          <w:numId w:val="0"/>
        </w:numPr>
        <w:spacing w:before="156" w:beforeLines="50" w:after="156" w:afterLines="50" w:line="460" w:lineRule="exact"/>
        <w:ind w:firstLine="321" w:firstLineChars="100"/>
        <w:jc w:val="both"/>
        <w:outlineLvl w:val="2"/>
        <w:rPr>
          <w:rFonts w:hint="eastAsia" w:ascii="宋体" w:hAnsi="宋体" w:eastAsia="楷体" w:cstheme="minorBidi"/>
          <w:b/>
          <w:kern w:val="2"/>
          <w:sz w:val="32"/>
          <w:szCs w:val="24"/>
          <w:lang w:val="en-US" w:eastAsia="zh-CN" w:bidi="ar-SA"/>
        </w:rPr>
      </w:pPr>
      <w:r>
        <w:rPr>
          <w:rFonts w:hint="eastAsia" w:ascii="宋体" w:hAnsi="宋体" w:eastAsia="楷体" w:cstheme="minorBidi"/>
          <w:b/>
          <w:kern w:val="2"/>
          <w:sz w:val="32"/>
          <w:szCs w:val="24"/>
          <w:lang w:val="en-US" w:eastAsia="zh-CN" w:bidi="ar-SA"/>
        </w:rPr>
        <w:t>三、商务要求</w:t>
      </w:r>
    </w:p>
    <w:p>
      <w:pPr>
        <w:spacing w:line="480" w:lineRule="exact"/>
        <w:ind w:firstLine="480" w:firstLineChars="200"/>
        <w:rPr>
          <w:rFonts w:ascii="宋体" w:hAnsi="宋体" w:cs="宋体"/>
          <w:kern w:val="0"/>
          <w:sz w:val="24"/>
        </w:rPr>
      </w:pPr>
      <w:r>
        <w:rPr>
          <w:rFonts w:hint="eastAsia" w:ascii="宋体" w:hAnsi="宋体" w:cs="宋体"/>
          <w:kern w:val="0"/>
          <w:sz w:val="24"/>
        </w:rPr>
        <w:t>1、交货</w:t>
      </w:r>
      <w:r>
        <w:rPr>
          <w:rFonts w:ascii="宋体" w:hAnsi="宋体" w:cs="宋体"/>
          <w:kern w:val="0"/>
          <w:sz w:val="24"/>
        </w:rPr>
        <w:t>地点：</w:t>
      </w:r>
      <w:r>
        <w:rPr>
          <w:rFonts w:hint="eastAsia" w:ascii="宋体" w:hAnsi="宋体" w:cs="宋体"/>
          <w:kern w:val="0"/>
          <w:sz w:val="24"/>
        </w:rPr>
        <w:t>采购人</w:t>
      </w:r>
      <w:r>
        <w:rPr>
          <w:rFonts w:ascii="宋体" w:hAnsi="宋体" w:cs="宋体"/>
          <w:kern w:val="0"/>
          <w:sz w:val="24"/>
        </w:rPr>
        <w:t>指定地点</w:t>
      </w:r>
      <w:r>
        <w:rPr>
          <w:rFonts w:hint="eastAsia" w:ascii="宋体" w:hAnsi="宋体" w:cs="宋体"/>
          <w:kern w:val="0"/>
          <w:sz w:val="24"/>
        </w:rPr>
        <w:t>。</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zh-TW" w:eastAsia="zh-TW"/>
        </w:rPr>
        <w:t>交货期：2023年3月交货。</w:t>
      </w:r>
    </w:p>
    <w:p>
      <w:pPr>
        <w:spacing w:line="480" w:lineRule="exact"/>
        <w:ind w:firstLine="480" w:firstLineChars="200"/>
        <w:rPr>
          <w:rFonts w:hint="eastAsia" w:ascii="宋体" w:hAnsi="宋体" w:cs="宋体"/>
          <w:kern w:val="0"/>
          <w:sz w:val="24"/>
          <w:highlight w:val="none"/>
        </w:rPr>
      </w:pPr>
      <w:r>
        <w:rPr>
          <w:rFonts w:hint="eastAsia" w:ascii="宋体" w:hAnsi="宋体" w:cs="宋体"/>
          <w:kern w:val="0"/>
          <w:sz w:val="24"/>
        </w:rPr>
        <w:t>3、免费质保</w:t>
      </w:r>
      <w:r>
        <w:rPr>
          <w:rFonts w:hint="eastAsia" w:ascii="宋体" w:hAnsi="宋体" w:cs="宋体"/>
          <w:kern w:val="0"/>
          <w:sz w:val="24"/>
          <w:highlight w:val="none"/>
        </w:rPr>
        <w:t>期：不</w:t>
      </w:r>
      <w:r>
        <w:rPr>
          <w:rFonts w:hint="eastAsia" w:ascii="宋体" w:hAnsi="宋体" w:cs="宋体"/>
          <w:kern w:val="0"/>
          <w:sz w:val="24"/>
          <w:szCs w:val="21"/>
          <w:highlight w:val="none"/>
        </w:rPr>
        <w:t>少于3年或6万公里，以先到者为准。</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en-US" w:eastAsia="zh-CN"/>
        </w:rPr>
        <w:t>4</w:t>
      </w:r>
      <w:r>
        <w:rPr>
          <w:rFonts w:hint="eastAsia" w:ascii="宋体" w:hAnsi="宋体" w:cs="宋体"/>
          <w:kern w:val="0"/>
          <w:sz w:val="24"/>
          <w:lang w:val="zh-CN"/>
        </w:rPr>
        <w:t>、款项结算</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409"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宋体" w:hAnsi="宋体" w:cs="宋体"/>
          <w:kern w:val="0"/>
          <w:sz w:val="24"/>
          <w:highlight w:val="none"/>
          <w:lang w:val="zh-CN"/>
        </w:rPr>
        <w:t>（1）合同款的支付：</w:t>
      </w:r>
      <w:r>
        <w:rPr>
          <w:rFonts w:hint="eastAsia" w:ascii="楷体" w:hAnsi="楷体" w:eastAsia="楷体" w:cs="楷体"/>
          <w:kern w:val="0"/>
          <w:sz w:val="24"/>
          <w:szCs w:val="24"/>
          <w:highlight w:val="none"/>
          <w:lang w:val="en-US" w:eastAsia="zh-CN"/>
        </w:rPr>
        <w:t>甲乙双方签订合同后，</w:t>
      </w:r>
      <w:r>
        <w:rPr>
          <w:rFonts w:hint="eastAsia" w:ascii="楷体" w:hAnsi="楷体" w:cs="楷体"/>
          <w:kern w:val="0"/>
          <w:sz w:val="24"/>
          <w:szCs w:val="24"/>
          <w:highlight w:val="none"/>
          <w:lang w:val="en-US" w:eastAsia="zh-CN"/>
        </w:rPr>
        <w:t>乙方将</w:t>
      </w:r>
      <w:r>
        <w:rPr>
          <w:rFonts w:hint="eastAsia" w:ascii="楷体" w:hAnsi="楷体" w:eastAsia="楷体" w:cs="楷体"/>
          <w:kern w:val="0"/>
          <w:sz w:val="24"/>
          <w:szCs w:val="24"/>
          <w:highlight w:val="none"/>
          <w:lang w:val="en-US" w:eastAsia="zh-CN"/>
        </w:rPr>
        <w:t>车辆</w:t>
      </w:r>
      <w:r>
        <w:rPr>
          <w:rFonts w:hint="eastAsia" w:ascii="楷体" w:hAnsi="楷体" w:cs="楷体"/>
          <w:kern w:val="0"/>
          <w:sz w:val="24"/>
          <w:szCs w:val="24"/>
          <w:highlight w:val="none"/>
          <w:lang w:val="en-US" w:eastAsia="zh-CN"/>
        </w:rPr>
        <w:t>送至甲方指定地点</w:t>
      </w:r>
      <w:r>
        <w:rPr>
          <w:rFonts w:hint="eastAsia" w:ascii="楷体" w:hAnsi="楷体" w:eastAsia="楷体" w:cs="楷体"/>
          <w:kern w:val="0"/>
          <w:sz w:val="24"/>
          <w:szCs w:val="24"/>
          <w:highlight w:val="none"/>
          <w:lang w:val="en-US" w:eastAsia="zh-CN"/>
        </w:rPr>
        <w:t>，</w:t>
      </w:r>
      <w:r>
        <w:rPr>
          <w:rFonts w:hint="eastAsia" w:ascii="楷体" w:hAnsi="楷体" w:cs="楷体"/>
          <w:kern w:val="0"/>
          <w:sz w:val="24"/>
          <w:szCs w:val="24"/>
          <w:highlight w:val="none"/>
          <w:lang w:val="en-US" w:eastAsia="zh-CN"/>
        </w:rPr>
        <w:t>并向甲方提供所有</w:t>
      </w:r>
      <w:r>
        <w:rPr>
          <w:rFonts w:hint="eastAsia" w:ascii="楷体" w:hAnsi="楷体" w:eastAsia="楷体" w:cs="楷体"/>
          <w:kern w:val="0"/>
          <w:sz w:val="24"/>
          <w:szCs w:val="24"/>
          <w:highlight w:val="none"/>
          <w:lang w:val="en-US" w:eastAsia="zh-CN"/>
        </w:rPr>
        <w:t>机动车合格证书</w:t>
      </w:r>
      <w:r>
        <w:rPr>
          <w:rFonts w:hint="eastAsia" w:ascii="楷体" w:hAnsi="楷体" w:cs="楷体"/>
          <w:kern w:val="0"/>
          <w:sz w:val="24"/>
          <w:szCs w:val="24"/>
          <w:highlight w:val="none"/>
          <w:lang w:val="en-US" w:eastAsia="zh-CN"/>
        </w:rPr>
        <w:t>，于</w:t>
      </w:r>
      <w:r>
        <w:rPr>
          <w:rFonts w:hint="eastAsia" w:ascii="楷体" w:hAnsi="楷体" w:eastAsia="楷体" w:cs="楷体"/>
          <w:kern w:val="0"/>
          <w:sz w:val="24"/>
          <w:szCs w:val="24"/>
          <w:highlight w:val="none"/>
          <w:lang w:val="en-US" w:eastAsia="zh-CN"/>
        </w:rPr>
        <w:t>乙方</w:t>
      </w:r>
      <w:r>
        <w:rPr>
          <w:rFonts w:hint="eastAsia" w:ascii="楷体" w:hAnsi="楷体" w:cs="楷体"/>
          <w:kern w:val="0"/>
          <w:sz w:val="24"/>
          <w:szCs w:val="24"/>
          <w:highlight w:val="none"/>
          <w:lang w:val="en-US" w:eastAsia="zh-CN"/>
        </w:rPr>
        <w:t>提供</w:t>
      </w:r>
      <w:r>
        <w:rPr>
          <w:rFonts w:hint="eastAsia" w:ascii="楷体" w:hAnsi="楷体" w:eastAsia="楷体" w:cs="楷体"/>
          <w:kern w:val="0"/>
          <w:sz w:val="24"/>
          <w:szCs w:val="24"/>
          <w:highlight w:val="none"/>
          <w:lang w:val="en-US" w:eastAsia="zh-CN"/>
        </w:rPr>
        <w:t>符合税务要求的全额正式税务发票</w:t>
      </w:r>
      <w:r>
        <w:rPr>
          <w:rFonts w:hint="eastAsia" w:ascii="楷体" w:hAnsi="楷体" w:cs="楷体"/>
          <w:kern w:val="0"/>
          <w:sz w:val="24"/>
          <w:szCs w:val="24"/>
          <w:highlight w:val="none"/>
          <w:lang w:val="en-US" w:eastAsia="zh-CN"/>
        </w:rPr>
        <w:t>给</w:t>
      </w:r>
      <w:r>
        <w:rPr>
          <w:rFonts w:hint="eastAsia" w:ascii="楷体" w:hAnsi="楷体" w:eastAsia="楷体" w:cs="楷体"/>
          <w:kern w:val="0"/>
          <w:sz w:val="24"/>
          <w:szCs w:val="24"/>
          <w:highlight w:val="none"/>
          <w:lang w:val="en-US" w:eastAsia="zh-CN"/>
        </w:rPr>
        <w:t>甲方</w:t>
      </w:r>
      <w:r>
        <w:rPr>
          <w:rFonts w:hint="eastAsia" w:ascii="楷体" w:hAnsi="楷体" w:cs="楷体"/>
          <w:kern w:val="0"/>
          <w:sz w:val="24"/>
          <w:szCs w:val="24"/>
          <w:highlight w:val="none"/>
          <w:lang w:val="en-US" w:eastAsia="zh-CN"/>
        </w:rPr>
        <w:t>后，</w:t>
      </w:r>
      <w:r>
        <w:rPr>
          <w:rFonts w:hint="eastAsia" w:ascii="楷体" w:hAnsi="楷体" w:eastAsia="楷体" w:cs="楷体"/>
          <w:kern w:val="0"/>
          <w:sz w:val="24"/>
          <w:szCs w:val="24"/>
          <w:highlight w:val="none"/>
          <w:lang w:val="en-US" w:eastAsia="zh-CN"/>
        </w:rPr>
        <w:t>一次性支付合同金额的100%。</w:t>
      </w:r>
    </w:p>
    <w:p>
      <w:pPr>
        <w:spacing w:line="480" w:lineRule="exact"/>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（2）结算方式：银行转账。</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en-US" w:eastAsia="zh-CN"/>
        </w:rPr>
        <w:t>5</w:t>
      </w:r>
      <w:r>
        <w:rPr>
          <w:rFonts w:hint="eastAsia" w:ascii="宋体" w:hAnsi="宋体" w:cs="宋体"/>
          <w:kern w:val="0"/>
          <w:sz w:val="24"/>
          <w:lang w:val="zh-CN"/>
        </w:rPr>
        <w:t>、运输</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供应商负责所有产品的运输。确保产品安全、完整到达使用地点，运杂费用包含在总价内，包括产品从供货地点到使用地点的运输费、保险费、搬运费、装卸费、仓储费等。</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en-US" w:eastAsia="zh-CN"/>
        </w:rPr>
        <w:t>6</w:t>
      </w:r>
      <w:r>
        <w:rPr>
          <w:rFonts w:hint="eastAsia" w:ascii="宋体" w:hAnsi="宋体" w:cs="宋体"/>
          <w:kern w:val="0"/>
          <w:sz w:val="24"/>
          <w:lang w:val="zh-CN"/>
        </w:rPr>
        <w:t>、质量保证</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（1）选用的产品必须保证技术指标先进、质量可靠、供货渠道正常，配置合理，满足竞争性谈判文件要求。</w:t>
      </w:r>
    </w:p>
    <w:p>
      <w:pPr>
        <w:spacing w:line="480" w:lineRule="exact"/>
        <w:ind w:firstLine="480" w:firstLineChars="200"/>
        <w:rPr>
          <w:rFonts w:hint="eastAsia" w:ascii="宋体" w:hAnsi="宋体" w:cs="宋体"/>
          <w:kern w:val="0"/>
          <w:sz w:val="24"/>
          <w:lang w:val="zh-CN"/>
        </w:rPr>
      </w:pPr>
      <w:r>
        <w:rPr>
          <w:rFonts w:hint="eastAsia" w:ascii="宋体" w:hAnsi="宋体" w:cs="宋体"/>
          <w:kern w:val="0"/>
          <w:sz w:val="24"/>
          <w:lang w:val="zh-CN"/>
        </w:rPr>
        <w:t>（2）所有产品符合国家有关规范，确保产品达到最佳运行状态。</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7、技术资料要求</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供应商应向采购人提供全套中文技术资料一套，其费用包括在谈判报价中：</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（1）完整的设备(产品)操作使用手册和维护、修理技术文件，图纸、保修卡等；</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（2）制造厂的设备(产品)检验合格证书，质量保证书等文件验收时须一并提供；</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（3）设备(产品)验收标准；</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（4）技术说明书及必须的其它技术资料；</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（5）使用说明书；</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（6）零部件目录；</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（7）备品备件、易损件清单；</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（8）验收报告；</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（9）合同中要求的其他文件资料。</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8、验收</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由采购人和供应商共同对货物整体进行验收。其内容包括确认设备(产品)的产地、规格、型号和数量，对其设备(产品)技术指标、性能参数以及产品质量是否达到现行国家有关验收规范“合格”标准进行逐项检查。</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（2）所验设备(产品)的指标、性能参数通过验收达不到竞争性谈判文件要求和谈判响应文件承诺的，或在使用中发现采购人不能容忍的缺陷等，将视为设备(产品)验收不合格，供应商应无条件免费更换或退货。</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（3）若发现供应商有弄虚作假的，在谈判阶段故意或随意夸大设备(产品)技术性能，供应商应无条件退货，并赔偿采购人相应的损失。</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9、质保及维保服务</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（1）提供全年7×24小时的售后服务。</w:t>
      </w:r>
    </w:p>
    <w:p>
      <w:pPr>
        <w:spacing w:line="480" w:lineRule="exact"/>
        <w:ind w:firstLine="482" w:firstLineChars="200"/>
        <w:rPr>
          <w:rFonts w:hint="eastAsia" w:ascii="宋体" w:hAnsi="宋体" w:cs="宋体"/>
          <w:b/>
          <w:bCs/>
          <w:kern w:val="0"/>
          <w:sz w:val="24"/>
          <w:highlight w:val="none"/>
          <w:lang w:val="en-US" w:eastAsia="zh-CN"/>
        </w:rPr>
      </w:pPr>
      <w:r>
        <w:rPr>
          <w:rFonts w:hint="eastAsia" w:ascii="宋体" w:hAnsi="宋体" w:cs="宋体"/>
          <w:b/>
          <w:bCs/>
          <w:kern w:val="0"/>
          <w:sz w:val="24"/>
          <w:highlight w:val="none"/>
          <w:lang w:val="en-US" w:eastAsia="zh-CN"/>
        </w:rPr>
        <w:t>（2）提供售后服务网点针对本项目的售后服务承诺函。</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质保期内免收全部维修费用，终身维护保养并保证配件供应。在设备最终验收后的质量保证期内，供应商应对由于设计、工艺或材料的缺陷而产生的故障负责（负责解决并承担全部费用）。质保期满后如出现此类问题亦应负责。</w:t>
      </w:r>
    </w:p>
    <w:p>
      <w:pPr>
        <w:spacing w:line="48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谈判供应商及所投设备(产品)的生产厂商应承诺质保期、维保期的售后服务条款（包括具体的服务内容、故障响应时间、响应方式、维修措施及时限、维护响应计划等方面），未提供任何质保期、维保期的售后服务条款或提供的内容不实的以不满足竞争性谈判文件要求对待。</w:t>
      </w:r>
    </w:p>
    <w:p>
      <w:pPr>
        <w:rPr>
          <w:rFonts w:ascii="楷体" w:hAnsi="楷体" w:cs="楷体"/>
        </w:rPr>
      </w:pPr>
      <w:r>
        <w:rPr>
          <w:rFonts w:hint="eastAsia" w:ascii="楷体" w:hAnsi="楷体" w:cs="楷体"/>
        </w:rPr>
        <w:br w:type="page"/>
      </w:r>
    </w:p>
    <w:p>
      <w:pPr>
        <w:pStyle w:val="4"/>
        <w:rPr>
          <w:rFonts w:ascii="楷体" w:hAnsi="楷体" w:cs="楷体"/>
        </w:rPr>
      </w:pPr>
      <w:bookmarkStart w:id="24" w:name="_Toc2854"/>
      <w:r>
        <w:rPr>
          <w:rFonts w:hint="eastAsia" w:ascii="楷体" w:hAnsi="楷体" w:cs="楷体"/>
        </w:rPr>
        <w:t>拟签订的合同文本</w:t>
      </w:r>
      <w:bookmarkEnd w:id="23"/>
      <w:bookmarkEnd w:id="24"/>
    </w:p>
    <w:p>
      <w:pPr>
        <w:ind w:firstLine="0" w:firstLineChars="0"/>
        <w:rPr>
          <w:b/>
          <w:bCs/>
        </w:rPr>
      </w:pPr>
      <w:r>
        <w:rPr>
          <w:rFonts w:hint="eastAsia" w:ascii="楷体" w:hAnsi="楷体" w:cs="楷体"/>
          <w:b/>
          <w:bCs/>
        </w:rPr>
        <w:t>（本格式条款供双方签订合同参考，采购人可根据项目的实际情况增减条款和内容）</w:t>
      </w:r>
    </w:p>
    <w:p>
      <w:pPr>
        <w:ind w:firstLine="480"/>
      </w:pPr>
    </w:p>
    <w:p>
      <w:pPr>
        <w:ind w:firstLine="480"/>
        <w:rPr>
          <w:rFonts w:ascii="楷体" w:hAnsi="楷体" w:cs="楷体"/>
        </w:rPr>
      </w:pPr>
      <w:r>
        <w:rPr>
          <w:rFonts w:hint="eastAsia" w:ascii="楷体" w:hAnsi="楷体" w:cs="楷体"/>
        </w:rPr>
        <w:br w:type="page"/>
      </w:r>
    </w:p>
    <w:p>
      <w:pPr>
        <w:ind w:firstLine="482"/>
        <w:jc w:val="right"/>
        <w:rPr>
          <w:rFonts w:ascii="楷体" w:hAnsi="楷体" w:cs="楷体"/>
          <w:b/>
        </w:rPr>
      </w:pPr>
    </w:p>
    <w:p>
      <w:pPr>
        <w:keepNext/>
        <w:keepLines/>
        <w:widowControl w:val="0"/>
        <w:shd w:val="clear" w:color="auto" w:fill="auto"/>
        <w:bidi w:val="0"/>
        <w:spacing w:before="0" w:after="120" w:line="1133" w:lineRule="exact"/>
        <w:ind w:left="0" w:right="0" w:firstLine="0"/>
        <w:jc w:val="left"/>
        <w:outlineLvl w:val="0"/>
        <w:rPr>
          <w:rFonts w:hint="eastAsia" w:ascii="楷体" w:hAnsi="楷体" w:eastAsia="楷体" w:cs="楷体"/>
          <w:color w:val="auto"/>
          <w:spacing w:val="0"/>
          <w:w w:val="100"/>
          <w:position w:val="0"/>
          <w:sz w:val="56"/>
          <w:szCs w:val="56"/>
          <w:u w:val="none"/>
          <w:shd w:val="clear" w:color="auto" w:fill="auto"/>
          <w:lang w:val="zh-TW" w:eastAsia="zh-TW" w:bidi="zh-TW"/>
        </w:rPr>
      </w:pPr>
      <w:bookmarkStart w:id="25" w:name="bookmark1"/>
      <w:bookmarkStart w:id="26" w:name="bookmark0"/>
      <w:bookmarkStart w:id="27" w:name="bookmark2"/>
      <w:r>
        <w:rPr>
          <w:rFonts w:hint="eastAsia" w:ascii="楷体" w:hAnsi="楷体" w:eastAsia="楷体" w:cs="楷体"/>
          <w:color w:val="auto"/>
          <w:spacing w:val="0"/>
          <w:w w:val="100"/>
          <w:position w:val="0"/>
          <w:sz w:val="56"/>
          <w:szCs w:val="56"/>
          <w:u w:val="none"/>
          <w:shd w:val="clear" w:color="auto" w:fill="auto"/>
          <w:lang w:val="zh-TW" w:eastAsia="zh-TW" w:bidi="zh-TW"/>
        </w:rPr>
        <w:drawing>
          <wp:inline distT="0" distB="0" distL="114300" distR="114300">
            <wp:extent cx="2466340" cy="554990"/>
            <wp:effectExtent l="0" t="0" r="10160" b="1651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7"/>
                    <a:stretch>
                      <a:fillRect/>
                    </a:stretch>
                  </pic:blipFill>
                  <pic:spPr>
                    <a:xfrm>
                      <a:off x="0" y="0"/>
                      <a:ext cx="2466340" cy="554990"/>
                    </a:xfrm>
                    <a:prstGeom prst="rect">
                      <a:avLst/>
                    </a:prstGeom>
                    <a:noFill/>
                    <a:ln>
                      <a:noFill/>
                    </a:ln>
                  </pic:spPr>
                </pic:pic>
              </a:graphicData>
            </a:graphic>
          </wp:inline>
        </w:drawing>
      </w:r>
    </w:p>
    <w:p>
      <w:pPr>
        <w:keepNext/>
        <w:keepLines/>
        <w:widowControl w:val="0"/>
        <w:shd w:val="clear" w:color="auto" w:fill="auto"/>
        <w:bidi w:val="0"/>
        <w:spacing w:before="0" w:after="120" w:line="1133" w:lineRule="exact"/>
        <w:ind w:left="0" w:right="0" w:firstLine="0"/>
        <w:jc w:val="center"/>
        <w:outlineLvl w:val="0"/>
        <w:rPr>
          <w:rFonts w:hint="eastAsia" w:ascii="楷体" w:hAnsi="楷体" w:eastAsia="楷体" w:cs="楷体"/>
          <w:b/>
          <w:bCs/>
          <w:color w:val="auto"/>
          <w:spacing w:val="0"/>
          <w:w w:val="100"/>
          <w:position w:val="0"/>
          <w:sz w:val="52"/>
          <w:szCs w:val="52"/>
          <w:u w:val="none"/>
          <w:shd w:val="clear" w:color="auto" w:fill="auto"/>
          <w:lang w:val="en-US" w:eastAsia="zh-CN" w:bidi="en-US"/>
        </w:rPr>
      </w:pPr>
      <w:r>
        <w:rPr>
          <w:rFonts w:hint="eastAsia" w:ascii="楷体" w:hAnsi="楷体" w:eastAsia="楷体" w:cs="楷体"/>
          <w:b/>
          <w:bCs/>
          <w:color w:val="auto"/>
          <w:spacing w:val="0"/>
          <w:w w:val="100"/>
          <w:position w:val="0"/>
          <w:sz w:val="52"/>
          <w:szCs w:val="52"/>
          <w:u w:val="none"/>
          <w:shd w:val="clear" w:color="auto" w:fill="auto"/>
          <w:lang w:val="en-US" w:eastAsia="en-US" w:bidi="en-US"/>
        </w:rPr>
        <w:t>航天基地执法车辆采购项目合同</w:t>
      </w:r>
    </w:p>
    <w:p>
      <w:pPr>
        <w:keepNext/>
        <w:keepLines/>
        <w:widowControl w:val="0"/>
        <w:shd w:val="clear" w:color="auto" w:fill="auto"/>
        <w:bidi w:val="0"/>
        <w:spacing w:before="0" w:after="120" w:line="1133" w:lineRule="exact"/>
        <w:ind w:left="0" w:right="0" w:firstLine="0"/>
        <w:jc w:val="center"/>
        <w:outlineLvl w:val="0"/>
        <w:rPr>
          <w:rFonts w:hint="eastAsia" w:ascii="楷体" w:hAnsi="楷体" w:eastAsia="楷体" w:cs="楷体"/>
          <w:b/>
          <w:bCs/>
          <w:color w:val="auto"/>
          <w:spacing w:val="0"/>
          <w:w w:val="100"/>
          <w:position w:val="0"/>
          <w:sz w:val="52"/>
          <w:szCs w:val="52"/>
          <w:u w:val="none"/>
          <w:shd w:val="clear" w:color="auto" w:fill="auto"/>
          <w:lang w:val="zh-TW" w:eastAsia="zh-TW" w:bidi="zh-TW"/>
        </w:rPr>
      </w:pPr>
      <w:r>
        <w:rPr>
          <w:rFonts w:hint="eastAsia" w:ascii="楷体" w:hAnsi="楷体" w:eastAsia="楷体" w:cs="楷体"/>
          <w:b/>
          <w:bCs/>
          <w:color w:val="auto"/>
          <w:spacing w:val="0"/>
          <w:w w:val="100"/>
          <w:position w:val="0"/>
          <w:sz w:val="52"/>
          <w:szCs w:val="52"/>
          <w:u w:val="none"/>
          <w:shd w:val="clear" w:color="auto" w:fill="auto"/>
          <w:lang w:val="zh-TW" w:eastAsia="zh-TW" w:bidi="zh-TW"/>
        </w:rPr>
        <w:t>供货合同</w:t>
      </w:r>
      <w:bookmarkEnd w:id="25"/>
      <w:bookmarkEnd w:id="26"/>
      <w:bookmarkEnd w:id="27"/>
    </w:p>
    <w:p>
      <w:pPr>
        <w:keepNext w:val="0"/>
        <w:keepLines w:val="0"/>
        <w:widowControl w:val="0"/>
        <w:shd w:val="clear" w:color="auto" w:fill="auto"/>
        <w:bidi w:val="0"/>
        <w:spacing w:before="0" w:after="120" w:line="240" w:lineRule="auto"/>
        <w:ind w:left="0" w:right="0" w:firstLine="0"/>
        <w:jc w:val="center"/>
        <w:rPr>
          <w:rFonts w:hint="eastAsia" w:ascii="楷体" w:hAnsi="楷体" w:eastAsia="楷体" w:cs="楷体"/>
          <w:color w:val="auto"/>
          <w:spacing w:val="0"/>
          <w:w w:val="100"/>
          <w:position w:val="0"/>
          <w:sz w:val="30"/>
          <w:szCs w:val="30"/>
          <w:u w:val="none"/>
          <w:shd w:val="clear" w:color="auto" w:fill="auto"/>
          <w:lang w:val="en-US" w:eastAsia="en-US" w:bidi="en-US"/>
        </w:rPr>
      </w:pPr>
      <w:r>
        <w:rPr>
          <w:rFonts w:hint="eastAsia" w:ascii="楷体" w:hAnsi="楷体" w:eastAsia="楷体" w:cs="楷体"/>
          <w:color w:val="auto"/>
          <w:spacing w:val="0"/>
          <w:w w:val="100"/>
          <w:position w:val="0"/>
          <w:sz w:val="30"/>
          <w:szCs w:val="30"/>
          <w:u w:val="none"/>
          <w:shd w:val="clear" w:color="auto" w:fill="auto"/>
          <w:lang w:val="zh-TW" w:eastAsia="zh-TW" w:bidi="zh-TW"/>
        </w:rPr>
        <w:t>（编号：</w:t>
      </w:r>
      <w:r>
        <w:rPr>
          <w:rFonts w:hint="eastAsia" w:ascii="楷体" w:hAnsi="楷体" w:eastAsia="楷体" w:cs="楷体"/>
          <w:color w:val="auto"/>
          <w:spacing w:val="0"/>
          <w:w w:val="100"/>
          <w:position w:val="0"/>
          <w:sz w:val="30"/>
          <w:szCs w:val="30"/>
          <w:u w:val="none"/>
          <w:shd w:val="clear" w:color="auto" w:fill="auto"/>
          <w:lang w:val="en-US" w:eastAsia="en-US" w:bidi="en-US"/>
        </w:rPr>
        <w:t>HYTH-202207064）</w:t>
      </w:r>
    </w:p>
    <w:p>
      <w:pPr>
        <w:keepNext w:val="0"/>
        <w:keepLines w:val="0"/>
        <w:widowControl w:val="0"/>
        <w:shd w:val="clear" w:color="auto" w:fill="auto"/>
        <w:bidi w:val="0"/>
        <w:spacing w:before="0" w:after="0" w:line="499" w:lineRule="exact"/>
        <w:ind w:left="0" w:right="0" w:firstLine="0"/>
        <w:jc w:val="both"/>
        <w:rPr>
          <w:rFonts w:hint="eastAsia" w:ascii="楷体" w:hAnsi="楷体" w:eastAsia="楷体" w:cs="楷体"/>
          <w:color w:val="auto"/>
          <w:spacing w:val="0"/>
          <w:w w:val="100"/>
          <w:position w:val="0"/>
          <w:sz w:val="30"/>
          <w:szCs w:val="30"/>
          <w:u w:val="none"/>
          <w:shd w:val="clear" w:color="auto" w:fill="auto"/>
          <w:lang w:val="zh-TW" w:eastAsia="zh-TW" w:bidi="zh-TW"/>
        </w:rPr>
      </w:pPr>
    </w:p>
    <w:p>
      <w:pPr>
        <w:keepNext w:val="0"/>
        <w:keepLines w:val="0"/>
        <w:widowControl w:val="0"/>
        <w:shd w:val="clear" w:color="auto" w:fill="auto"/>
        <w:bidi w:val="0"/>
        <w:spacing w:before="0" w:after="0" w:line="499" w:lineRule="exact"/>
        <w:ind w:left="0" w:right="0" w:firstLine="0"/>
        <w:jc w:val="both"/>
        <w:rPr>
          <w:rFonts w:hint="eastAsia" w:ascii="楷体" w:hAnsi="楷体" w:eastAsia="楷体" w:cs="楷体"/>
          <w:color w:val="auto"/>
          <w:spacing w:val="0"/>
          <w:w w:val="100"/>
          <w:position w:val="0"/>
          <w:sz w:val="30"/>
          <w:szCs w:val="30"/>
          <w:highlight w:val="none"/>
          <w:u w:val="none"/>
          <w:shd w:val="clear" w:color="auto" w:fill="auto"/>
          <w:lang w:val="zh-TW" w:eastAsia="zh-TW" w:bidi="zh-TW"/>
        </w:rPr>
      </w:pPr>
    </w:p>
    <w:p>
      <w:pPr>
        <w:keepNext w:val="0"/>
        <w:keepLines w:val="0"/>
        <w:widowControl w:val="0"/>
        <w:shd w:val="clear" w:color="auto" w:fill="auto"/>
        <w:bidi w:val="0"/>
        <w:spacing w:before="0" w:after="0" w:line="499" w:lineRule="exact"/>
        <w:ind w:left="0" w:right="0" w:firstLine="0"/>
        <w:jc w:val="both"/>
        <w:rPr>
          <w:rFonts w:hint="eastAsia" w:ascii="楷体" w:hAnsi="楷体" w:eastAsia="楷体" w:cs="楷体"/>
          <w:color w:val="auto"/>
          <w:spacing w:val="0"/>
          <w:w w:val="100"/>
          <w:position w:val="0"/>
          <w:sz w:val="30"/>
          <w:szCs w:val="30"/>
          <w:highlight w:val="none"/>
          <w:u w:val="none"/>
          <w:shd w:val="clear" w:color="auto" w:fill="auto"/>
          <w:lang w:val="zh-TW" w:eastAsia="zh-TW" w:bidi="zh-TW"/>
        </w:rPr>
      </w:pPr>
    </w:p>
    <w:p>
      <w:pPr>
        <w:keepNext w:val="0"/>
        <w:keepLines w:val="0"/>
        <w:widowControl w:val="0"/>
        <w:shd w:val="clear" w:color="auto" w:fill="auto"/>
        <w:bidi w:val="0"/>
        <w:spacing w:before="0" w:after="0" w:line="499" w:lineRule="exact"/>
        <w:ind w:left="0" w:right="0" w:firstLine="0"/>
        <w:jc w:val="both"/>
        <w:rPr>
          <w:rFonts w:hint="eastAsia" w:ascii="楷体" w:hAnsi="楷体" w:eastAsia="楷体" w:cs="楷体"/>
          <w:color w:val="auto"/>
          <w:spacing w:val="0"/>
          <w:w w:val="100"/>
          <w:position w:val="0"/>
          <w:sz w:val="30"/>
          <w:szCs w:val="30"/>
          <w:highlight w:val="none"/>
          <w:u w:val="none"/>
          <w:shd w:val="clear" w:color="auto" w:fill="auto"/>
          <w:lang w:val="zh-TW" w:eastAsia="zh-TW" w:bidi="zh-TW"/>
        </w:rPr>
      </w:pPr>
    </w:p>
    <w:p>
      <w:pPr>
        <w:keepNext w:val="0"/>
        <w:keepLines w:val="0"/>
        <w:widowControl w:val="0"/>
        <w:shd w:val="clear" w:color="auto" w:fill="auto"/>
        <w:bidi w:val="0"/>
        <w:spacing w:before="0" w:after="0" w:line="499" w:lineRule="exact"/>
        <w:ind w:left="3294" w:leftChars="700" w:right="0" w:hanging="1614" w:hangingChars="538"/>
        <w:jc w:val="both"/>
        <w:rPr>
          <w:rFonts w:hint="eastAsia" w:ascii="楷体" w:hAnsi="楷体" w:eastAsia="楷体" w:cs="楷体"/>
          <w:color w:val="auto"/>
          <w:spacing w:val="0"/>
          <w:w w:val="100"/>
          <w:position w:val="0"/>
          <w:sz w:val="30"/>
          <w:szCs w:val="30"/>
          <w:highlight w:val="none"/>
          <w:u w:val="none"/>
          <w:shd w:val="clear" w:color="auto" w:fill="auto"/>
          <w:lang w:val="en-US" w:eastAsia="zh-CN" w:bidi="en-US"/>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甲方：</w:t>
      </w:r>
      <w:r>
        <w:rPr>
          <w:rFonts w:hint="eastAsia" w:ascii="楷体" w:hAnsi="楷体" w:eastAsia="楷体" w:cs="楷体"/>
          <w:color w:val="auto"/>
          <w:spacing w:val="0"/>
          <w:w w:val="100"/>
          <w:position w:val="0"/>
          <w:sz w:val="30"/>
          <w:szCs w:val="30"/>
          <w:highlight w:val="none"/>
          <w:u w:val="none"/>
          <w:shd w:val="clear" w:color="auto" w:fill="auto"/>
          <w:lang w:val="en-US" w:eastAsia="en-US" w:bidi="en-US"/>
        </w:rPr>
        <w:t>西安国家民用航天产业基地</w:t>
      </w:r>
      <w:r>
        <w:rPr>
          <w:rFonts w:hint="eastAsia" w:ascii="楷体" w:hAnsi="楷体" w:eastAsia="楷体" w:cs="楷体"/>
          <w:color w:val="auto"/>
          <w:spacing w:val="0"/>
          <w:w w:val="100"/>
          <w:position w:val="0"/>
          <w:sz w:val="30"/>
          <w:szCs w:val="30"/>
          <w:highlight w:val="none"/>
          <w:u w:val="none"/>
          <w:shd w:val="clear" w:color="auto" w:fill="auto"/>
          <w:lang w:val="en-US" w:eastAsia="zh-CN" w:bidi="en-US"/>
        </w:rPr>
        <w:t>管理委员会</w:t>
      </w:r>
    </w:p>
    <w:p>
      <w:pPr>
        <w:keepNext w:val="0"/>
        <w:keepLines w:val="0"/>
        <w:widowControl w:val="0"/>
        <w:shd w:val="clear" w:color="auto" w:fill="auto"/>
        <w:bidi w:val="0"/>
        <w:spacing w:before="0" w:after="0" w:line="499" w:lineRule="exact"/>
        <w:ind w:left="3294" w:leftChars="700" w:right="0" w:hanging="1614" w:hangingChars="538"/>
        <w:jc w:val="both"/>
        <w:rPr>
          <w:rFonts w:hint="default" w:ascii="楷体" w:hAnsi="楷体" w:eastAsia="楷体" w:cs="楷体"/>
          <w:color w:val="auto"/>
          <w:spacing w:val="0"/>
          <w:w w:val="100"/>
          <w:position w:val="0"/>
          <w:sz w:val="30"/>
          <w:szCs w:val="30"/>
          <w:highlight w:val="none"/>
          <w:u w:val="none"/>
          <w:shd w:val="clear" w:color="auto" w:fill="auto"/>
          <w:lang w:val="en-US" w:eastAsia="zh-CN" w:bidi="en-US"/>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乙方:</w:t>
      </w:r>
      <w:r>
        <w:rPr>
          <w:rFonts w:hint="eastAsia" w:ascii="楷体" w:hAnsi="楷体" w:eastAsia="楷体" w:cs="楷体"/>
          <w:color w:val="auto"/>
          <w:spacing w:val="0"/>
          <w:w w:val="100"/>
          <w:position w:val="0"/>
          <w:sz w:val="30"/>
          <w:szCs w:val="30"/>
          <w:highlight w:val="none"/>
          <w:u w:val="none"/>
          <w:shd w:val="clear" w:color="auto" w:fill="auto"/>
          <w:lang w:val="en-US" w:eastAsia="zh-CN" w:bidi="zh-TW"/>
        </w:rPr>
        <w:t xml:space="preserve">                                 </w:t>
      </w:r>
    </w:p>
    <w:p>
      <w:pPr>
        <w:keepNext w:val="0"/>
        <w:keepLines w:val="0"/>
        <w:widowControl w:val="0"/>
        <w:shd w:val="clear" w:color="auto" w:fill="auto"/>
        <w:bidi w:val="0"/>
        <w:spacing w:before="0" w:after="660" w:line="499" w:lineRule="exact"/>
        <w:ind w:left="3294" w:leftChars="700" w:right="0" w:hanging="1614" w:hangingChars="538"/>
        <w:jc w:val="left"/>
        <w:rPr>
          <w:rFonts w:hint="eastAsia" w:ascii="楷体" w:hAnsi="楷体" w:eastAsia="楷体" w:cs="楷体"/>
          <w:color w:val="auto"/>
          <w:spacing w:val="0"/>
          <w:w w:val="100"/>
          <w:position w:val="0"/>
          <w:sz w:val="30"/>
          <w:szCs w:val="30"/>
          <w:highlight w:val="none"/>
          <w:u w:val="none"/>
          <w:shd w:val="clear" w:color="auto" w:fill="auto"/>
          <w:lang w:val="zh-TW" w:eastAsia="zh-TW" w:bidi="zh-TW"/>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鉴证方：陕西四方衡裕项目管理有限公司</w:t>
      </w:r>
    </w:p>
    <w:p>
      <w:pPr>
        <w:keepNext w:val="0"/>
        <w:keepLines w:val="0"/>
        <w:widowControl w:val="0"/>
        <w:shd w:val="clear" w:color="auto" w:fill="auto"/>
        <w:bidi w:val="0"/>
        <w:spacing w:before="0" w:after="0" w:line="348" w:lineRule="auto"/>
        <w:ind w:left="0" w:right="0" w:firstLine="0"/>
        <w:jc w:val="center"/>
        <w:rPr>
          <w:rFonts w:hint="eastAsia" w:ascii="楷体" w:hAnsi="楷体" w:eastAsia="楷体" w:cs="楷体"/>
          <w:color w:val="auto"/>
          <w:spacing w:val="0"/>
          <w:w w:val="100"/>
          <w:position w:val="0"/>
          <w:sz w:val="30"/>
          <w:szCs w:val="30"/>
          <w:highlight w:val="none"/>
          <w:u w:val="none"/>
          <w:shd w:val="clear" w:color="auto" w:fill="auto"/>
          <w:lang w:val="en-US" w:eastAsia="en-US" w:bidi="en-US"/>
        </w:rPr>
      </w:pPr>
    </w:p>
    <w:p>
      <w:pPr>
        <w:keepNext w:val="0"/>
        <w:keepLines w:val="0"/>
        <w:widowControl w:val="0"/>
        <w:shd w:val="clear" w:color="auto" w:fill="auto"/>
        <w:bidi w:val="0"/>
        <w:spacing w:before="0" w:after="0" w:line="348" w:lineRule="auto"/>
        <w:ind w:left="0" w:right="0" w:firstLine="0"/>
        <w:jc w:val="center"/>
        <w:rPr>
          <w:rFonts w:hint="eastAsia" w:ascii="楷体" w:hAnsi="楷体" w:eastAsia="楷体" w:cs="楷体"/>
          <w:color w:val="auto"/>
          <w:spacing w:val="0"/>
          <w:w w:val="100"/>
          <w:position w:val="0"/>
          <w:sz w:val="30"/>
          <w:szCs w:val="30"/>
          <w:highlight w:val="none"/>
          <w:u w:val="none"/>
          <w:shd w:val="clear" w:color="auto" w:fill="auto"/>
          <w:lang w:val="en-US" w:eastAsia="en-US" w:bidi="en-US"/>
        </w:rPr>
      </w:pPr>
      <w:r>
        <w:rPr>
          <w:rFonts w:hint="eastAsia" w:ascii="楷体" w:hAnsi="楷体" w:eastAsia="楷体" w:cs="楷体"/>
          <w:color w:val="auto"/>
          <w:spacing w:val="0"/>
          <w:w w:val="100"/>
          <w:position w:val="0"/>
          <w:sz w:val="30"/>
          <w:szCs w:val="30"/>
          <w:highlight w:val="none"/>
          <w:u w:val="none"/>
          <w:shd w:val="clear" w:color="auto" w:fill="auto"/>
          <w:lang w:val="en-US" w:eastAsia="en-US" w:bidi="en-US"/>
        </w:rPr>
        <w:t>202</w:t>
      </w:r>
      <w:r>
        <w:rPr>
          <w:rFonts w:hint="eastAsia" w:ascii="楷体" w:hAnsi="楷体" w:eastAsia="楷体" w:cs="楷体"/>
          <w:color w:val="auto"/>
          <w:spacing w:val="0"/>
          <w:w w:val="100"/>
          <w:position w:val="0"/>
          <w:sz w:val="30"/>
          <w:szCs w:val="30"/>
          <w:highlight w:val="none"/>
          <w:u w:val="none"/>
          <w:shd w:val="clear" w:color="auto" w:fill="auto"/>
          <w:lang w:val="en-US" w:eastAsia="zh-CN" w:bidi="en-US"/>
        </w:rPr>
        <w:t>2</w:t>
      </w: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年</w:t>
      </w:r>
      <w:r>
        <w:rPr>
          <w:rFonts w:hint="eastAsia" w:ascii="楷体" w:hAnsi="楷体" w:eastAsia="楷体" w:cs="楷体"/>
          <w:color w:val="auto"/>
          <w:spacing w:val="0"/>
          <w:w w:val="100"/>
          <w:position w:val="0"/>
          <w:sz w:val="30"/>
          <w:szCs w:val="30"/>
          <w:highlight w:val="none"/>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月</w:t>
      </w:r>
    </w:p>
    <w:p>
      <w:pPr>
        <w:keepNext w:val="0"/>
        <w:keepLines w:val="0"/>
        <w:widowControl w:val="0"/>
        <w:shd w:val="clear" w:color="auto" w:fill="auto"/>
        <w:bidi w:val="0"/>
        <w:spacing w:before="0" w:after="0" w:line="499" w:lineRule="exact"/>
        <w:ind w:left="0" w:right="0" w:firstLine="0"/>
        <w:jc w:val="center"/>
        <w:rPr>
          <w:rFonts w:hint="eastAsia" w:ascii="楷体" w:hAnsi="楷体" w:eastAsia="楷体" w:cs="楷体"/>
          <w:color w:val="auto"/>
          <w:spacing w:val="0"/>
          <w:w w:val="100"/>
          <w:position w:val="0"/>
          <w:sz w:val="30"/>
          <w:szCs w:val="30"/>
          <w:highlight w:val="none"/>
          <w:u w:val="none"/>
          <w:shd w:val="clear" w:color="auto" w:fill="auto"/>
          <w:lang w:val="zh-TW" w:eastAsia="zh-TW" w:bidi="zh-TW"/>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中国西安</w:t>
      </w:r>
    </w:p>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highlight w:val="none"/>
          <w:shd w:val="clear" w:color="auto" w:fill="auto"/>
          <w:lang w:eastAsia="en-US" w:bidi="en-US"/>
        </w:rPr>
      </w:pPr>
      <w:bookmarkStart w:id="28" w:name="bookmark5"/>
      <w:bookmarkStart w:id="29" w:name="bookmark4"/>
      <w:bookmarkStart w:id="30" w:name="bookmark3"/>
      <w:r>
        <w:rPr>
          <w:rFonts w:hint="eastAsia" w:ascii="楷体" w:hAnsi="楷体" w:eastAsia="楷体" w:cs="楷体"/>
          <w:color w:val="auto"/>
          <w:spacing w:val="0"/>
          <w:w w:val="100"/>
          <w:kern w:val="0"/>
          <w:position w:val="0"/>
          <w:highlight w:val="none"/>
          <w:shd w:val="clear" w:color="auto" w:fill="auto"/>
          <w:lang w:eastAsia="en-US" w:bidi="en-US"/>
        </w:rPr>
        <w:br w:type="page"/>
      </w:r>
    </w:p>
    <w:p>
      <w:pPr>
        <w:keepNext/>
        <w:keepLines/>
        <w:widowControl w:val="0"/>
        <w:shd w:val="clear" w:color="auto" w:fill="auto"/>
        <w:bidi w:val="0"/>
        <w:spacing w:before="0" w:after="380" w:line="240" w:lineRule="auto"/>
        <w:ind w:left="0" w:right="0" w:firstLine="0"/>
        <w:jc w:val="center"/>
        <w:outlineLvl w:val="1"/>
        <w:rPr>
          <w:rFonts w:hint="eastAsia" w:ascii="楷体" w:hAnsi="楷体" w:eastAsia="楷体" w:cs="楷体"/>
          <w:color w:val="auto"/>
          <w:spacing w:val="0"/>
          <w:w w:val="100"/>
          <w:position w:val="0"/>
          <w:sz w:val="36"/>
          <w:szCs w:val="36"/>
          <w:highlight w:val="none"/>
          <w:u w:val="none"/>
          <w:shd w:val="clear" w:color="auto" w:fill="auto"/>
          <w:lang w:val="zh-TW" w:eastAsia="zh-TW" w:bidi="zh-TW"/>
        </w:rPr>
      </w:pPr>
      <w:r>
        <w:rPr>
          <w:rFonts w:hint="eastAsia" w:ascii="楷体" w:hAnsi="楷体" w:eastAsia="楷体" w:cs="楷体"/>
          <w:color w:val="auto"/>
          <w:spacing w:val="0"/>
          <w:w w:val="100"/>
          <w:position w:val="0"/>
          <w:sz w:val="36"/>
          <w:szCs w:val="36"/>
          <w:highlight w:val="none"/>
          <w:u w:val="none"/>
          <w:shd w:val="clear" w:color="auto" w:fill="auto"/>
          <w:lang w:val="zh-TW" w:eastAsia="zh-TW" w:bidi="zh-TW"/>
        </w:rPr>
        <w:t>供货合同</w:t>
      </w:r>
      <w:bookmarkEnd w:id="28"/>
      <w:bookmarkEnd w:id="29"/>
      <w:bookmarkEnd w:id="30"/>
    </w:p>
    <w:p>
      <w:pPr>
        <w:keepNext w:val="0"/>
        <w:keepLines w:val="0"/>
        <w:pageBreakBefore w:val="0"/>
        <w:widowControl w:val="0"/>
        <w:shd w:val="clear" w:color="auto" w:fill="auto"/>
        <w:kinsoku/>
        <w:wordWrap/>
        <w:overflowPunct/>
        <w:topLinePunct w:val="0"/>
        <w:autoSpaceDE/>
        <w:autoSpaceDN/>
        <w:bidi w:val="0"/>
        <w:adjustRightInd/>
        <w:snapToGrid/>
        <w:spacing w:before="0" w:after="0" w:line="398" w:lineRule="exact"/>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zh-TW" w:eastAsia="zh-CN" w:bidi="zh-TW"/>
        </w:rPr>
        <w:t>采</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购人名称全称）</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西安国家民用航天产业基地管理委员会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98" w:lineRule="exact"/>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（供应商名称全称）</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鉴证方：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陕西四方衡裕项目管理有限公司</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98" w:lineRule="exact"/>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鉴证方就甲方所需货物，在西安国家民用航天产业基地财政金融局的监督管理下，按照政府</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购程序组织竞争性谈判，确定乙方为</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航天基地执法车辆采购项目</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（项目编号：</w:t>
      </w:r>
      <w:r>
        <w:rPr>
          <w:rFonts w:hint="eastAsia" w:ascii="楷体" w:hAnsi="楷体" w:eastAsia="楷体" w:cs="楷体"/>
          <w:color w:val="auto"/>
          <w:spacing w:val="0"/>
          <w:w w:val="100"/>
          <w:position w:val="0"/>
          <w:sz w:val="24"/>
          <w:szCs w:val="24"/>
          <w:highlight w:val="none"/>
          <w:u w:val="single"/>
          <w:shd w:val="clear" w:color="auto" w:fill="auto"/>
          <w:lang w:val="en-US" w:eastAsia="en-US" w:bidi="zh-TW"/>
        </w:rPr>
        <w:t>HYTH-202207064</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成交供应商。</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据《中华人民共和国政府采购法》、《中华人民共和国民法典》以及</w:t>
      </w:r>
      <w:r>
        <w:rPr>
          <w:rFonts w:hint="eastAsia" w:ascii="楷体" w:hAnsi="楷体" w:cs="楷体"/>
          <w:color w:val="auto"/>
          <w:spacing w:val="0"/>
          <w:w w:val="100"/>
          <w:position w:val="0"/>
          <w:sz w:val="24"/>
          <w:szCs w:val="24"/>
          <w:highlight w:val="none"/>
          <w:u w:val="none"/>
          <w:shd w:val="clear" w:color="auto" w:fill="auto"/>
          <w:lang w:val="en-US" w:eastAsia="zh-CN" w:bidi="zh-TW"/>
        </w:rPr>
        <w:t>陕西四方衡裕项目管理有限公司</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竞争性谈判文件、成交通知书，经甲、乙双方协商，鉴证方确认，达成如下合同条款。</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98" w:lineRule="exact"/>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31" w:name="bookmark6"/>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一</w:t>
      </w:r>
      <w:bookmarkEnd w:id="31"/>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、合同标的物内容（以响应文件正本和澄清表〈函〉为准）</w:t>
      </w:r>
    </w:p>
    <w:tbl>
      <w:tblPr>
        <w:tblStyle w:val="43"/>
        <w:tblW w:w="9102" w:type="dxa"/>
        <w:jc w:val="center"/>
        <w:tblLayout w:type="fixed"/>
        <w:tblCellMar>
          <w:top w:w="0" w:type="dxa"/>
          <w:left w:w="10" w:type="dxa"/>
          <w:bottom w:w="0" w:type="dxa"/>
          <w:right w:w="10" w:type="dxa"/>
        </w:tblCellMar>
      </w:tblPr>
      <w:tblGrid>
        <w:gridCol w:w="768"/>
        <w:gridCol w:w="1661"/>
        <w:gridCol w:w="1661"/>
        <w:gridCol w:w="1661"/>
        <w:gridCol w:w="1661"/>
        <w:gridCol w:w="1690"/>
      </w:tblGrid>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序号</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0" w:firstLine="0" w:firstLineChars="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货物名称</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规格型号</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单价（元）</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4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数量</w:t>
            </w: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40" w:after="0" w:line="240" w:lineRule="auto"/>
              <w:ind w:left="0" w:right="320" w:firstLine="0" w:firstLineChars="0"/>
              <w:jc w:val="righ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总价（元）</w:t>
            </w: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4</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5</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49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00" w:after="0" w:line="240" w:lineRule="auto"/>
              <w:ind w:left="0" w:right="0" w:firstLine="0" w:firstLineChars="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合计</w:t>
            </w:r>
          </w:p>
        </w:tc>
        <w:tc>
          <w:tcPr>
            <w:gridSpan w:val="5"/>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0" w:firstLine="0" w:firstLineChars="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备注</w:t>
            </w:r>
          </w:p>
        </w:tc>
        <w:tc>
          <w:tcPr>
            <w:gridSpan w:val="5"/>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bl>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（技术</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参数可附附件</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或详见响应文件，需说明清楚，表格可根据实际情况调整）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CN" w:bidi="zh-TW"/>
        </w:rPr>
      </w:pPr>
      <w:bookmarkStart w:id="32" w:name="bookmark7"/>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二</w:t>
      </w:r>
      <w:bookmarkEnd w:id="32"/>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、交货</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条件：</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490" w:lineRule="exact"/>
        <w:ind w:left="240" w:leftChars="10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33" w:name="bookmark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3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一）交货地点：甲方指定地点。</w:t>
      </w:r>
    </w:p>
    <w:p>
      <w:pPr>
        <w:keepNext w:val="0"/>
        <w:keepLines w:val="0"/>
        <w:pageBreakBefore w:val="0"/>
        <w:widowControl w:val="0"/>
        <w:shd w:val="clear" w:color="auto" w:fill="auto"/>
        <w:tabs>
          <w:tab w:val="left" w:pos="1390"/>
        </w:tabs>
        <w:kinsoku/>
        <w:wordWrap/>
        <w:overflowPunct/>
        <w:topLinePunct w:val="0"/>
        <w:autoSpaceDE/>
        <w:autoSpaceDN/>
        <w:bidi w:val="0"/>
        <w:adjustRightInd/>
        <w:snapToGrid/>
        <w:spacing w:before="0" w:after="0" w:line="403" w:lineRule="exact"/>
        <w:ind w:left="240" w:leftChars="10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34" w:name="bookmark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3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二）交货期：2023年3月交货。</w:t>
      </w:r>
    </w:p>
    <w:p>
      <w:pPr>
        <w:keepNext w:val="0"/>
        <w:keepLines w:val="0"/>
        <w:pageBreakBefore w:val="0"/>
        <w:widowControl w:val="0"/>
        <w:shd w:val="clear" w:color="auto" w:fill="auto"/>
        <w:tabs>
          <w:tab w:val="left" w:pos="986"/>
        </w:tabs>
        <w:kinsoku/>
        <w:wordWrap/>
        <w:overflowPunct/>
        <w:topLinePunct w:val="0"/>
        <w:autoSpaceDE/>
        <w:autoSpaceDN/>
        <w:bidi w:val="0"/>
        <w:adjustRightInd/>
        <w:snapToGrid/>
        <w:spacing w:before="0" w:after="0" w:line="499"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35" w:name="bookmark10"/>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三</w:t>
      </w:r>
      <w:bookmarkEnd w:id="35"/>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合同价款</w:t>
      </w:r>
    </w:p>
    <w:p>
      <w:pPr>
        <w:keepNext w:val="0"/>
        <w:keepLines w:val="0"/>
        <w:pageBreakBefore w:val="0"/>
        <w:widowControl w:val="0"/>
        <w:shd w:val="clear" w:color="auto" w:fill="auto"/>
        <w:tabs>
          <w:tab w:val="left" w:pos="6715"/>
          <w:tab w:val="left" w:pos="8117"/>
        </w:tabs>
        <w:kinsoku/>
        <w:wordWrap/>
        <w:overflowPunct/>
        <w:topLinePunct w:val="0"/>
        <w:autoSpaceDE/>
        <w:autoSpaceDN/>
        <w:bidi w:val="0"/>
        <w:adjustRightInd/>
        <w:snapToGrid/>
        <w:spacing w:before="0" w:after="10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合同总价款为人民币</w:t>
      </w:r>
      <w:r>
        <w:rPr>
          <w:rFonts w:hint="eastAsia" w:ascii="楷体" w:hAnsi="楷体" w:eastAsia="楷体" w:cs="楷体"/>
          <w:i w:val="0"/>
          <w:iCs w:val="0"/>
          <w:color w:val="auto"/>
          <w:spacing w:val="0"/>
          <w:w w:val="100"/>
          <w:position w:val="0"/>
          <w:sz w:val="24"/>
          <w:szCs w:val="24"/>
          <w:highlight w:val="none"/>
          <w:u w:val="none"/>
          <w:shd w:val="clear" w:color="auto" w:fill="auto"/>
          <w:lang w:val="zh-TW" w:eastAsia="zh-TW" w:bidi="zh-TW"/>
        </w:rPr>
        <w:t>（大写）</w:t>
      </w:r>
      <w:r>
        <w:rPr>
          <w:rFonts w:hint="eastAsia" w:ascii="楷体" w:hAnsi="楷体" w:eastAsia="楷体" w:cs="楷体"/>
          <w:i/>
          <w:iCs/>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i/>
          <w:iCs/>
          <w:color w:val="auto"/>
          <w:spacing w:val="0"/>
          <w:w w:val="100"/>
          <w:position w:val="0"/>
          <w:sz w:val="24"/>
          <w:szCs w:val="24"/>
          <w:highlight w:val="none"/>
          <w:u w:val="none"/>
          <w:shd w:val="clear" w:color="auto" w:fill="auto"/>
          <w:lang w:val="en-US" w:eastAsia="zh-CN" w:bidi="zh-TW"/>
        </w:rPr>
        <w:t xml:space="preserve"> </w:t>
      </w:r>
      <w:r>
        <w:rPr>
          <w:rFonts w:hint="eastAsia" w:ascii="楷体" w:hAnsi="楷体" w:eastAsia="楷体" w:cs="楷体"/>
          <w:i/>
          <w:i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ab/>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元。</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490" w:lineRule="exact"/>
        <w:ind w:left="0" w:right="0" w:firstLine="4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CN" w:eastAsia="zh-TW" w:bidi="zh-TW"/>
        </w:rPr>
      </w:pPr>
      <w:bookmarkStart w:id="36" w:name="bookmark1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3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二）合同总包括：</w:t>
      </w:r>
      <w:r>
        <w:rPr>
          <w:rFonts w:hint="eastAsia" w:ascii="楷体" w:hAnsi="楷体" w:eastAsia="楷体" w:cs="楷体"/>
          <w:color w:val="auto"/>
          <w:spacing w:val="0"/>
          <w:w w:val="100"/>
          <w:position w:val="0"/>
          <w:sz w:val="24"/>
          <w:szCs w:val="24"/>
          <w:highlight w:val="none"/>
          <w:u w:val="none"/>
          <w:shd w:val="clear" w:color="auto" w:fill="auto"/>
          <w:lang w:val="zh-CN" w:eastAsia="zh-TW" w:bidi="zh-TW"/>
        </w:rPr>
        <w:t>交货期内全部供货和服务内容可能发生的全部费用。</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41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37" w:name="bookmark1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3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三）合同总价一次性包死，不受市场价格变化因素的影响。</w:t>
      </w:r>
    </w:p>
    <w:p>
      <w:pPr>
        <w:keepNext w:val="0"/>
        <w:keepLines w:val="0"/>
        <w:pageBreakBefore w:val="0"/>
        <w:widowControl w:val="0"/>
        <w:shd w:val="clear" w:color="auto" w:fill="auto"/>
        <w:tabs>
          <w:tab w:val="left" w:pos="986"/>
        </w:tabs>
        <w:kinsoku/>
        <w:wordWrap/>
        <w:overflowPunct/>
        <w:topLinePunct w:val="0"/>
        <w:autoSpaceDE/>
        <w:autoSpaceDN/>
        <w:bidi w:val="0"/>
        <w:adjustRightInd/>
        <w:snapToGrid/>
        <w:spacing w:before="0" w:after="0" w:line="509"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38" w:name="bookmark13"/>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四</w:t>
      </w:r>
      <w:bookmarkEnd w:id="38"/>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、款项结算</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409"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bookmarkStart w:id="39" w:name="bookmark17"/>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款项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的支付：</w:t>
      </w:r>
      <w:r>
        <w:rPr>
          <w:rFonts w:hint="eastAsia" w:ascii="楷体" w:hAnsi="楷体" w:eastAsia="楷体" w:cs="楷体"/>
          <w:color w:val="auto"/>
          <w:kern w:val="0"/>
          <w:sz w:val="24"/>
          <w:szCs w:val="24"/>
          <w:highlight w:val="none"/>
          <w:lang w:val="en-US" w:eastAsia="zh-CN"/>
        </w:rPr>
        <w:t>甲乙双方签订合同后，</w:t>
      </w:r>
      <w:r>
        <w:rPr>
          <w:rFonts w:hint="eastAsia" w:ascii="楷体" w:hAnsi="楷体" w:cs="楷体"/>
          <w:color w:val="auto"/>
          <w:kern w:val="0"/>
          <w:sz w:val="24"/>
          <w:szCs w:val="24"/>
          <w:highlight w:val="none"/>
          <w:lang w:val="en-US" w:eastAsia="zh-CN"/>
        </w:rPr>
        <w:t>乙方将</w:t>
      </w:r>
      <w:r>
        <w:rPr>
          <w:rFonts w:hint="eastAsia" w:ascii="楷体" w:hAnsi="楷体" w:eastAsia="楷体" w:cs="楷体"/>
          <w:color w:val="auto"/>
          <w:kern w:val="0"/>
          <w:sz w:val="24"/>
          <w:szCs w:val="24"/>
          <w:highlight w:val="none"/>
          <w:lang w:val="en-US" w:eastAsia="zh-CN"/>
        </w:rPr>
        <w:t>车辆</w:t>
      </w:r>
      <w:r>
        <w:rPr>
          <w:rFonts w:hint="eastAsia" w:ascii="楷体" w:hAnsi="楷体" w:cs="楷体"/>
          <w:color w:val="auto"/>
          <w:kern w:val="0"/>
          <w:sz w:val="24"/>
          <w:szCs w:val="24"/>
          <w:highlight w:val="none"/>
          <w:lang w:val="en-US" w:eastAsia="zh-CN"/>
        </w:rPr>
        <w:t>送至甲方指定地点</w:t>
      </w:r>
      <w:r>
        <w:rPr>
          <w:rFonts w:hint="eastAsia" w:ascii="楷体" w:hAnsi="楷体" w:eastAsia="楷体" w:cs="楷体"/>
          <w:color w:val="auto"/>
          <w:kern w:val="0"/>
          <w:sz w:val="24"/>
          <w:szCs w:val="24"/>
          <w:highlight w:val="none"/>
          <w:lang w:val="en-US" w:eastAsia="zh-CN"/>
        </w:rPr>
        <w:t>，</w:t>
      </w:r>
      <w:r>
        <w:rPr>
          <w:rFonts w:hint="eastAsia" w:ascii="楷体" w:hAnsi="楷体" w:cs="楷体"/>
          <w:color w:val="auto"/>
          <w:kern w:val="0"/>
          <w:sz w:val="24"/>
          <w:szCs w:val="24"/>
          <w:highlight w:val="none"/>
          <w:lang w:val="en-US" w:eastAsia="zh-CN"/>
        </w:rPr>
        <w:t>并向甲方提供所有</w:t>
      </w:r>
      <w:r>
        <w:rPr>
          <w:rFonts w:hint="eastAsia" w:ascii="楷体" w:hAnsi="楷体" w:eastAsia="楷体" w:cs="楷体"/>
          <w:color w:val="auto"/>
          <w:kern w:val="0"/>
          <w:sz w:val="24"/>
          <w:szCs w:val="24"/>
          <w:highlight w:val="none"/>
          <w:lang w:val="en-US" w:eastAsia="zh-CN"/>
        </w:rPr>
        <w:t>机动车合格证书</w:t>
      </w:r>
      <w:r>
        <w:rPr>
          <w:rFonts w:hint="eastAsia" w:ascii="楷体" w:hAnsi="楷体" w:cs="楷体"/>
          <w:color w:val="auto"/>
          <w:kern w:val="0"/>
          <w:sz w:val="24"/>
          <w:szCs w:val="24"/>
          <w:highlight w:val="none"/>
          <w:lang w:val="en-US" w:eastAsia="zh-CN"/>
        </w:rPr>
        <w:t>，于</w:t>
      </w:r>
      <w:r>
        <w:rPr>
          <w:rFonts w:hint="eastAsia" w:ascii="楷体" w:hAnsi="楷体" w:eastAsia="楷体" w:cs="楷体"/>
          <w:color w:val="auto"/>
          <w:kern w:val="0"/>
          <w:sz w:val="24"/>
          <w:szCs w:val="24"/>
          <w:highlight w:val="none"/>
          <w:lang w:val="en-US" w:eastAsia="zh-CN"/>
        </w:rPr>
        <w:t>乙方</w:t>
      </w:r>
      <w:r>
        <w:rPr>
          <w:rFonts w:hint="eastAsia" w:ascii="楷体" w:hAnsi="楷体" w:cs="楷体"/>
          <w:color w:val="auto"/>
          <w:kern w:val="0"/>
          <w:sz w:val="24"/>
          <w:szCs w:val="24"/>
          <w:highlight w:val="none"/>
          <w:lang w:val="en-US" w:eastAsia="zh-CN"/>
        </w:rPr>
        <w:t>提供</w:t>
      </w:r>
      <w:r>
        <w:rPr>
          <w:rFonts w:hint="eastAsia" w:ascii="楷体" w:hAnsi="楷体" w:eastAsia="楷体" w:cs="楷体"/>
          <w:color w:val="auto"/>
          <w:kern w:val="0"/>
          <w:sz w:val="24"/>
          <w:szCs w:val="24"/>
          <w:highlight w:val="none"/>
          <w:lang w:val="en-US" w:eastAsia="zh-CN"/>
        </w:rPr>
        <w:t>符合税务要求的全额正式税务发票</w:t>
      </w:r>
      <w:r>
        <w:rPr>
          <w:rFonts w:hint="eastAsia" w:ascii="楷体" w:hAnsi="楷体" w:cs="楷体"/>
          <w:color w:val="auto"/>
          <w:kern w:val="0"/>
          <w:sz w:val="24"/>
          <w:szCs w:val="24"/>
          <w:highlight w:val="none"/>
          <w:lang w:val="en-US" w:eastAsia="zh-CN"/>
        </w:rPr>
        <w:t>给</w:t>
      </w:r>
      <w:r>
        <w:rPr>
          <w:rFonts w:hint="eastAsia" w:ascii="楷体" w:hAnsi="楷体" w:eastAsia="楷体" w:cs="楷体"/>
          <w:color w:val="auto"/>
          <w:kern w:val="0"/>
          <w:sz w:val="24"/>
          <w:szCs w:val="24"/>
          <w:highlight w:val="none"/>
          <w:lang w:val="en-US" w:eastAsia="zh-CN"/>
        </w:rPr>
        <w:t>甲方</w:t>
      </w:r>
      <w:r>
        <w:rPr>
          <w:rFonts w:hint="eastAsia" w:ascii="楷体" w:hAnsi="楷体" w:cs="楷体"/>
          <w:color w:val="auto"/>
          <w:kern w:val="0"/>
          <w:sz w:val="24"/>
          <w:szCs w:val="24"/>
          <w:highlight w:val="none"/>
          <w:lang w:val="en-US" w:eastAsia="zh-CN"/>
        </w:rPr>
        <w:t>后，</w:t>
      </w:r>
      <w:r>
        <w:rPr>
          <w:rFonts w:hint="eastAsia" w:ascii="楷体" w:hAnsi="楷体" w:eastAsia="楷体" w:cs="楷体"/>
          <w:color w:val="auto"/>
          <w:kern w:val="0"/>
          <w:sz w:val="24"/>
          <w:szCs w:val="24"/>
          <w:highlight w:val="none"/>
          <w:lang w:val="en-US" w:eastAsia="zh-CN"/>
        </w:rPr>
        <w:t>一次性支付合同金额的100%。</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409"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39"/>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）支付方式：银行转账。</w:t>
      </w:r>
    </w:p>
    <w:p>
      <w:pPr>
        <w:keepNext w:val="0"/>
        <w:keepLines w:val="0"/>
        <w:pageBreakBefore w:val="0"/>
        <w:widowControl w:val="0"/>
        <w:shd w:val="clear" w:color="auto" w:fill="auto"/>
        <w:tabs>
          <w:tab w:val="left" w:pos="986"/>
        </w:tabs>
        <w:kinsoku/>
        <w:wordWrap/>
        <w:overflowPunct/>
        <w:topLinePunct w:val="0"/>
        <w:autoSpaceDE/>
        <w:autoSpaceDN/>
        <w:bidi w:val="0"/>
        <w:adjustRightInd/>
        <w:snapToGrid/>
        <w:spacing w:before="0" w:after="0" w:line="413"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40" w:name="bookmark19"/>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五</w:t>
      </w:r>
      <w:bookmarkEnd w:id="40"/>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双方的权利和义务</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41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1" w:name="bookmark2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甲方的权利和义务</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413" w:lineRule="exact"/>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CN" w:bidi="zh-TW"/>
        </w:rPr>
      </w:pPr>
      <w:bookmarkStart w:id="42" w:name="bookmark21"/>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甲方在收到货物通知后，应按</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谈判</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文件的需求</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及成交供应商响应文件响应内容</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进行核实，如发现不符合合同规定，及时提出</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CN" w:bidi="zh-TW"/>
        </w:rPr>
        <w:t>。</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413" w:lineRule="exact"/>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甲方在收到货后，组织人员按提供的技术参数指标进行验收。</w:t>
      </w:r>
    </w:p>
    <w:p>
      <w:pPr>
        <w:keepNext w:val="0"/>
        <w:keepLines w:val="0"/>
        <w:pageBreakBefore w:val="0"/>
        <w:widowControl w:val="0"/>
        <w:shd w:val="clear" w:color="auto" w:fill="auto"/>
        <w:tabs>
          <w:tab w:val="left" w:pos="1328"/>
        </w:tabs>
        <w:kinsoku/>
        <w:wordWrap/>
        <w:overflowPunct/>
        <w:topLinePunct w:val="0"/>
        <w:autoSpaceDE/>
        <w:autoSpaceDN/>
        <w:bidi w:val="0"/>
        <w:adjustRightInd/>
        <w:snapToGrid/>
        <w:spacing w:before="0" w:after="0" w:line="413" w:lineRule="exact"/>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w:t>
      </w:r>
      <w:bookmarkEnd w:id="42"/>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二）</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乙方的权利和义务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13" w:lineRule="exact"/>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乙方在合同约定的时间内交付产品，并负责产品的检验。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13" w:lineRule="exact"/>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2、乙方所提供的产品必须保证原厂生产，符合采购技术需求，运输全过程中的安全由乙方负责。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13" w:lineRule="exact"/>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3、乙方应积极配合甲方，最终完成产品的检验工作。</w:t>
      </w:r>
    </w:p>
    <w:p>
      <w:pPr>
        <w:keepNext w:val="0"/>
        <w:keepLines w:val="0"/>
        <w:pageBreakBefore w:val="0"/>
        <w:widowControl w:val="0"/>
        <w:shd w:val="clear" w:color="auto" w:fill="auto"/>
        <w:tabs>
          <w:tab w:val="left" w:pos="996"/>
        </w:tabs>
        <w:kinsoku/>
        <w:wordWrap/>
        <w:overflowPunct/>
        <w:topLinePunct w:val="0"/>
        <w:autoSpaceDE/>
        <w:autoSpaceDN/>
        <w:bidi w:val="0"/>
        <w:adjustRightInd/>
        <w:snapToGrid/>
        <w:spacing w:before="0" w:after="0" w:line="494"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43" w:name="bookmark22"/>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六</w:t>
      </w:r>
      <w:bookmarkEnd w:id="43"/>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质量保证</w:t>
      </w:r>
    </w:p>
    <w:p>
      <w:pPr>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413" w:lineRule="exact"/>
        <w:ind w:left="240" w:leftChars="10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必须执行下列条款：</w:t>
      </w:r>
    </w:p>
    <w:p>
      <w:pPr>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413" w:lineRule="exact"/>
        <w:ind w:left="240" w:leftChars="10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（一）保证所供产品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设计、制造、产品性能、材料的选择和材料的检验及产品的测试等，均应按国内外通行的现行标准和相应的技术规范，以及质量、安全、环保标准和要求执行，这些标准和技术规范应为合同签订日为止最新公布发行的标准和技术规范。</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4" w:name="bookmark2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二）保证所供产品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技术指标先进、质量性能可靠、配置合理、进货渠道正规，全面满足竞争性谈判文件要求，是全新、未使用过的、完整的、安全可靠的产品。严禁提供旧货翻新或假冒伪劣产品或次品、残品，并完全符合强制性的国家技术质量规范和</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竞争性谈判</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文件规定的质量、规格、性能和技术规范等的要求。并能按期交付。在交付甲方前发生的风险均由乙方负责。</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5" w:name="bookmark2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三）保证所供产品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在装卸、运输和仓储过程中有足够的包装保护，防止产品/设备受潮、锈蚀、遭受冲撞及其他不可预见的损坏。</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6" w:name="bookmark2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四）保证所供产品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具有良好的外观，适合各种安装场所的使用要求，确保达到最佳运行状态。</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7" w:name="bookmark2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五）乙方所供产品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因侵权而产生的一切后果由乙方负责，甲方保留索赔权。</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8" w:name="bookmark2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六）乙方提供的货物经正确安装、正常运转和保养，在其使用寿命期内须具有符合质量要求和产品说明书的性能。在货物免费质保期之内，乙方须对由于设计、工艺或材料的缺陷而发生的任何不足或故障负责。</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楷体" w:hAnsi="楷体" w:eastAsia="楷体" w:cs="楷体"/>
          <w:color w:val="auto"/>
          <w:spacing w:val="0"/>
          <w:w w:val="100"/>
          <w:position w:val="0"/>
          <w:sz w:val="24"/>
          <w:szCs w:val="24"/>
          <w:highlight w:val="none"/>
          <w:u w:val="single"/>
          <w:shd w:val="clear" w:color="auto" w:fill="auto"/>
          <w:lang w:val="zh-TW" w:eastAsia="zh-CN" w:bidi="zh-TW"/>
        </w:rPr>
        <w:t xml:space="preserve">  </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single"/>
          <w:shd w:val="clear" w:color="auto" w:fill="auto"/>
          <w:lang w:val="zh-TW"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日内应免费维修或更换有缺陷的货物或部件。如果乙方在收到通知后</w:t>
      </w:r>
      <w:r>
        <w:rPr>
          <w:rFonts w:hint="eastAsia" w:ascii="楷体" w:hAnsi="楷体" w:eastAsia="楷体" w:cs="楷体"/>
          <w:color w:val="auto"/>
          <w:spacing w:val="0"/>
          <w:w w:val="100"/>
          <w:position w:val="0"/>
          <w:sz w:val="24"/>
          <w:szCs w:val="24"/>
          <w:highlight w:val="none"/>
          <w:u w:val="single"/>
          <w:shd w:val="clear" w:color="auto" w:fill="auto"/>
          <w:lang w:val="zh-TW"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日内没有弥补缺陷，甲方可采取必要的补救措施，但由此引发的风险和费用将由乙方承担。</w:t>
      </w:r>
    </w:p>
    <w:p>
      <w:pPr>
        <w:pStyle w:val="2"/>
        <w:rPr>
          <w:rFonts w:hint="default" w:eastAsia="楷体"/>
          <w:lang w:val="en-US" w:eastAsia="zh-CN"/>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八</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w:t>
      </w:r>
      <w:r>
        <w:rPr>
          <w:rFonts w:hint="eastAsia" w:ascii="楷体" w:hAnsi="楷体" w:cs="楷体"/>
          <w:color w:val="auto"/>
          <w:spacing w:val="0"/>
          <w:w w:val="100"/>
          <w:position w:val="0"/>
          <w:sz w:val="24"/>
          <w:szCs w:val="24"/>
          <w:highlight w:val="none"/>
          <w:u w:val="none"/>
          <w:shd w:val="clear" w:color="auto" w:fill="auto"/>
          <w:lang w:val="en-US" w:eastAsia="zh-CN" w:bidi="zh-TW"/>
        </w:rPr>
        <w:t>需保证</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提供的货物</w:t>
      </w:r>
      <w:r>
        <w:rPr>
          <w:rFonts w:hint="eastAsia" w:ascii="楷体" w:hAnsi="楷体" w:cs="楷体"/>
          <w:color w:val="auto"/>
          <w:spacing w:val="0"/>
          <w:w w:val="100"/>
          <w:position w:val="0"/>
          <w:sz w:val="24"/>
          <w:szCs w:val="24"/>
          <w:highlight w:val="none"/>
          <w:u w:val="none"/>
          <w:shd w:val="clear" w:color="auto" w:fill="auto"/>
          <w:lang w:val="en-US" w:eastAsia="zh-CN" w:bidi="zh-TW"/>
        </w:rPr>
        <w:t>来源渠道合法，不会有任何第三方向甲方主张任何权利。</w:t>
      </w:r>
    </w:p>
    <w:p>
      <w:pPr>
        <w:keepNext w:val="0"/>
        <w:keepLines w:val="0"/>
        <w:pageBreakBefore w:val="0"/>
        <w:widowControl w:val="0"/>
        <w:shd w:val="clear" w:color="auto" w:fill="auto"/>
        <w:tabs>
          <w:tab w:val="left" w:pos="986"/>
        </w:tabs>
        <w:kinsoku/>
        <w:wordWrap/>
        <w:overflowPunct/>
        <w:topLinePunct w:val="0"/>
        <w:autoSpaceDE/>
        <w:autoSpaceDN/>
        <w:bidi w:val="0"/>
        <w:adjustRightInd/>
        <w:snapToGrid/>
        <w:spacing w:before="0" w:after="0" w:line="494"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bookmarkStart w:id="49" w:name="bookmark30"/>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七</w:t>
      </w:r>
      <w:bookmarkEnd w:id="49"/>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包装和储存</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0" w:name="bookmark3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及其备附件的包装应为出厂时的原包装，包装内应附有详细的装箱清单、出厂合格证明及其他相关资料。</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1" w:name="bookmark3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二）运输由乙方负责，运杂费已包含在合同总价内，包括从产品/设备供应地点运送至交付地点所含的运输费、装卸费、仓储费、保险费等。</w:t>
      </w:r>
    </w:p>
    <w:p>
      <w:pPr>
        <w:keepNext w:val="0"/>
        <w:keepLines w:val="0"/>
        <w:pageBreakBefore w:val="0"/>
        <w:widowControl w:val="0"/>
        <w:shd w:val="clear" w:color="auto" w:fill="auto"/>
        <w:tabs>
          <w:tab w:val="left" w:pos="140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2" w:name="bookmark3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三）运输方式由乙方自行选择，但必须保证按期交付。</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3" w:name="bookmark3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及其备附件到达甲方指定地点后，乙方应按有关技术规程和甲方要求进行存放和保管。</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4" w:name="bookmark3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五）乙方在货物发运前对其进行满足运输距离、防潮、防震、防锈和防破损装卸等要求包装，以保证货物安全运达甲方指定地点。</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 xml:space="preserve"> 乙方负责所有产品的运输。确保产品安全、完整到达使用地点，运杂费用包含在总价内，包括产品从供货地点到使用地点的运输费、保险费、搬运费、装卸费、仓储费等。</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使用说明书、质量检验证明书、随配附件和工具以及清单一并附于货物内。</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八</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乙方在货物发运手续办理完毕后24小时内或货到甲方48小时前通知甲方，以准备接货。</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九</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货物在交付甲方前发生的风险均由乙方负责。</w:t>
      </w:r>
    </w:p>
    <w:p>
      <w:pPr>
        <w:keepNext w:val="0"/>
        <w:keepLines w:val="0"/>
        <w:pageBreakBefore w:val="0"/>
        <w:widowControl w:val="0"/>
        <w:shd w:val="clear" w:color="auto" w:fill="auto"/>
        <w:tabs>
          <w:tab w:val="left" w:pos="1384"/>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货物在规定的交付期限内由乙方送达甲方指定的地点视为交付，乙方同时需通知甲方货物已送达。</w:t>
      </w:r>
    </w:p>
    <w:p>
      <w:pPr>
        <w:keepNext w:val="0"/>
        <w:keepLines w:val="0"/>
        <w:pageBreakBefore w:val="0"/>
        <w:widowControl w:val="0"/>
        <w:shd w:val="clear" w:color="auto" w:fill="auto"/>
        <w:tabs>
          <w:tab w:val="left" w:pos="986"/>
        </w:tabs>
        <w:kinsoku/>
        <w:wordWrap/>
        <w:overflowPunct/>
        <w:topLinePunct w:val="0"/>
        <w:autoSpaceDE/>
        <w:autoSpaceDN/>
        <w:bidi w:val="0"/>
        <w:adjustRightInd/>
        <w:snapToGrid/>
        <w:spacing w:before="0" w:after="0" w:line="499"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bookmarkStart w:id="55" w:name="bookmark36"/>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八</w:t>
      </w:r>
      <w:bookmarkEnd w:id="55"/>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ab/>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验收</w:t>
      </w:r>
    </w:p>
    <w:p>
      <w:pPr>
        <w:keepNext w:val="0"/>
        <w:keepLines w:val="0"/>
        <w:pageBreakBefore w:val="0"/>
        <w:widowControl w:val="0"/>
        <w:shd w:val="clear" w:color="auto" w:fill="auto"/>
        <w:kinsoku/>
        <w:wordWrap/>
        <w:overflowPunct/>
        <w:topLinePunct w:val="0"/>
        <w:autoSpaceDE/>
        <w:autoSpaceDN/>
        <w:bidi w:val="0"/>
        <w:adjustRightInd/>
        <w:snapToGrid/>
        <w:spacing w:before="0" w:after="6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（一）外观验收：产品及其备附件到达甲方指定地点后，甲方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根据</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合同要求，在乙方和甲方相关负责人双方同时在场的情况下，进行外观</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验收</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，确认产地、规格、型号和数量。</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6" w:name="bookmark3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二）安装调试：乙方应配合甲方的工期要求，负责在现场对产品进行安装、调试和试运行，直至验收合格。乙方应提供全部安装、调试过程中所需的材料、设施设备、人工等。试运行应当在甲方的监督下进行。</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7" w:name="bookmark3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5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三）最终验收：产品安装调试和运行后，由乙方向甲方递交产</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品</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安装调试记录和验收文件，并列出交货清单，作为甲方收货验收和使用的技术条件依据，检验的结果应随货物交甲方。经甲方确认后，组织乙方进行系统</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验收</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（必要时甲方可委托具有相关资质的第三方检测机构/技术专家对产品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进行系统验收，由此产生的相关费用由乙方承担，需要国家法定检验部门进行检验或验收的由乙方负责联系）。验收合格后，填写政府</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购项目覆约验收单（一式伍份）作为对产品/设备的最终认可。政府采购项目履约</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验收单</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（原件）送采购代理机构一份。</w:t>
      </w:r>
    </w:p>
    <w:p>
      <w:pPr>
        <w:keepNext w:val="0"/>
        <w:keepLines w:val="0"/>
        <w:pageBreakBefore w:val="0"/>
        <w:widowControl w:val="0"/>
        <w:shd w:val="clear" w:color="auto" w:fill="auto"/>
        <w:tabs>
          <w:tab w:val="left" w:pos="1428"/>
        </w:tabs>
        <w:kinsoku/>
        <w:wordWrap/>
        <w:overflowPunct/>
        <w:topLinePunct w:val="0"/>
        <w:autoSpaceDE/>
        <w:autoSpaceDN/>
        <w:bidi w:val="0"/>
        <w:adjustRightInd/>
        <w:snapToGrid/>
        <w:spacing w:before="0" w:after="120" w:line="398" w:lineRule="exact"/>
        <w:ind w:left="0" w:right="0" w:firstLine="480" w:firstLineChars="200"/>
        <w:jc w:val="both"/>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pPr>
      <w:bookmarkStart w:id="58" w:name="bookmark39"/>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w:t>
      </w:r>
      <w:bookmarkEnd w:id="58"/>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四）验收</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CN" w:bidi="zh-TW"/>
        </w:rPr>
        <w:t>依</w:t>
      </w:r>
      <w:r>
        <w:rPr>
          <w:rFonts w:hint="eastAsia" w:ascii="楷体" w:hAnsi="楷体" w:eastAsia="楷体" w:cs="楷体"/>
          <w:b w:val="0"/>
          <w:bCs w:val="0"/>
          <w:color w:val="auto"/>
          <w:spacing w:val="0"/>
          <w:w w:val="100"/>
          <w:position w:val="0"/>
          <w:sz w:val="24"/>
          <w:szCs w:val="24"/>
          <w:highlight w:val="none"/>
          <w:u w:val="none"/>
          <w:shd w:val="clear" w:color="auto" w:fill="auto"/>
          <w:lang w:val="zh-TW" w:eastAsia="zh-TW" w:bidi="zh-TW"/>
        </w:rPr>
        <w:t>据</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9" w:name="bookmark4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bookmarkEnd w:id="5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、竞争性谈判文件、响应文件、澄清表（函）；</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0" w:name="bookmark4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bookmarkEnd w:id="6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、本合同及附件文本；</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1" w:name="bookmark4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bookmarkEnd w:id="6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、合同签订时国家及行业现行的标准和技术规范。</w:t>
      </w:r>
    </w:p>
    <w:p>
      <w:pPr>
        <w:keepNext w:val="0"/>
        <w:keepLines w:val="0"/>
        <w:pageBreakBefore w:val="0"/>
        <w:widowControl w:val="0"/>
        <w:shd w:val="clear" w:color="auto" w:fill="auto"/>
        <w:tabs>
          <w:tab w:val="left" w:pos="1410"/>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2" w:name="bookmark4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6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五）乙方应向甲方提交项目实施过程中的所有资料，以便甲方日后管理和维护。</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必须符合</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竞争性谈判</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文件、采购合同以及国家规定的质量标准。</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基本要求</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1）货物为全新产品，无污染，无侵权行为、表面无划损、无任何缺陷隐患，在中国境内可依规安全合法使用。</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2）交付验收基本标准</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依次序对照适用标准为：①符合中华人民共和国国家安全质量标准、环保标准或行业标准；②符合采购文件和响应承诺中甲方认可的合理最佳配置、参数及各项要求；③货物来源国官方标准。上述标准必须是有关官方机构发布的最新版本的标准。</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3）验收由甲乙双方及相关人员依国家有关标准、合同及有关附件要求进行。乙方须为验收提供必需的相关条件及一切费用。</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4）技术资料</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begin"/>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instrText xml:space="preserve"> = 1 \* GB3 </w:instrTex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separate"/>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①</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end"/>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交货时，乙方应同时交付产品使用手册、质量检验证书（合格证）等相关资料。</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begin"/>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instrText xml:space="preserve"> = 2 \* GB3 </w:instrTex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separate"/>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②</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fldChar w:fldCharType="end"/>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验收后，乙方应向甲方提供验收报告。</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9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乙方必须保证提供全新的、完整的、安全可靠的产品。严禁提供旧货翻新或假冒伪劣产品或次品、残品。并且全部货物没有设计、材料或工艺上的缺陷。须提供厂家出具的合格证书、国家实行生产许可的应提交生产许可证，国家实行强制认证的应提交强制认证证书，国家实行计量检测认证的应提交计量检测体系合格证书。货物的技术参数及配置情况必须由乙方提供国家相关检测机构出具的检验报告、生产厂家公开发布的印刷资料等技术资料予以支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九、售后服务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乙方提供以下售后服务：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1"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质量保证期：自甲方签发最终验收合格证书之日起</w:t>
      </w:r>
      <w:r>
        <w:rPr>
          <w:rFonts w:hint="eastAsia" w:ascii="楷体" w:hAnsi="楷体" w:eastAsia="楷体" w:cs="楷体"/>
          <w:color w:val="auto"/>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，若该质量保证期小于国家标准，则以国家标准为准。产品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终身维修。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1"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质保期内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车辆售后服务必须有保障，在规定或承诺时间范围内排除故障并解决问题，在节假日期间、售后放假休息时间、工休等期间需提前告知甲方或制定应急预案，但无论何种因素，乙方均必须保证售后服务及时，确保货物在免费质保期内正常使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在免费质保期内，其维护、维修服务不收取任何额外费用。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在免费质保期内，乙方为甲方提供免费保养、检查、清洗、修理、更换等服务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凡正常使用中出现的故障，均由乙方负责提供免费检测维修、更换不合格的零部件直至整机（更换的零部件或整机应保证自更换之日起提供相同的质量保证期），若需返厂处理，乙方应承担相关费用。同时记录检修清况，并向甲方提供检修报告。</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凡设备发生质量问题或出现其他故障，接到甲方通知后，服务响应时间不超过</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小时，</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小时内派专业维修人员到达现场，</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小时内排除故障。排除故障的期限最长不得超过两个工作日，若不能按期排除故障，乙方应能够提供同款车型免费代用，不得因此影响甲方正常工作，否则甲方有权指定第三方维修，维修费用由乙方承担。若需送回生产厂，乙方承担往返费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免费提供每周</w:t>
      </w:r>
      <w:r>
        <w:rPr>
          <w:rFonts w:hint="eastAsia" w:ascii="楷体" w:hAnsi="楷体" w:eastAsia="楷体" w:cs="楷体"/>
          <w:color w:val="auto"/>
          <w:spacing w:val="0"/>
          <w:w w:val="100"/>
          <w:position w:val="0"/>
          <w:sz w:val="24"/>
          <w:szCs w:val="24"/>
          <w:highlight w:val="none"/>
          <w:u w:val="single"/>
          <w:shd w:val="clear" w:color="auto" w:fill="auto"/>
          <w:lang w:val="en-US" w:eastAsia="en-US" w:bidi="zh-TW"/>
        </w:rPr>
        <w:t>7x24</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小时不间断的电话支持服务,解答用户在使用过程中遇到的问题，及时提出解决问题的建议和对策。</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、定期派专业维修人员到现场走访，给予检查维护。并向甲方提供巡检单（一式两份，由双方签字确认），内容包含但不限于巡检时间、巡检内容、巡检结果。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9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7</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、款项结清前，对所供产品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进行一次全面检测、保养和维护。</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400"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3" w:name="bookmark5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6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二）质保期满后</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乙方应保证</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货物终身维修，维修时只收取部件成本费（免工时费），当发生故障时，乙方应按质保期内相同的服务标准进行维护处理。</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4" w:name="bookmark5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6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三）人员培训</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提供产品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的现场/驻厂培训，使甲方操作、维护人员（约</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人）掌握操作使用、维护保养及其他必备知识。甲方要求派遣专业技术人员参与项目实施的，在项目整体实施及质保期内，随时向甲方技术人员讲解技术和实施方案。培训费用已包含在合同总价内。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培训内容包含但不限于：工作原理、车辆正确操作方法、专用设备的正确操作方法、日常管理维护保养知识、安全交底、操作规程、使用注意事项等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，学会为止。</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培训方式：上门培训。</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3"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技术</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与服务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5" w:name="bookmark5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6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一）技术资料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合格证；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6" w:name="bookmark5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bookmarkEnd w:id="6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技术参数；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7" w:name="bookmark5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bookmarkEnd w:id="6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使用维护说明书（中</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英</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文）；</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8" w:name="bookmark57"/>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乙方按产生文件规定的时间向甲方提供使用货物的有关技术资料。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没有甲方事先书面同意，乙方不得将由甲方提供的有关合同或任何合同条文、规格、计划、图纸、样品或资料提供给与履行本合同无关的任何其他人。</w:t>
      </w:r>
    </w:p>
    <w:bookmarkEnd w:id="68"/>
    <w:p>
      <w:pPr>
        <w:keepNext w:val="0"/>
        <w:keepLines w:val="0"/>
        <w:pageBreakBefore w:val="0"/>
        <w:widowControl w:val="0"/>
        <w:shd w:val="clear" w:color="auto" w:fill="auto"/>
        <w:kinsoku/>
        <w:wordWrap/>
        <w:overflowPunct/>
        <w:topLinePunct w:val="0"/>
        <w:autoSpaceDE/>
        <w:autoSpaceDN/>
        <w:bidi w:val="0"/>
        <w:adjustRightInd/>
        <w:snapToGrid/>
        <w:spacing w:before="0" w:after="0" w:line="408"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、其它资料。</w:t>
      </w:r>
    </w:p>
    <w:p>
      <w:pPr>
        <w:keepNext w:val="0"/>
        <w:keepLines w:val="0"/>
        <w:pageBreakBefore w:val="0"/>
        <w:widowControl w:val="0"/>
        <w:shd w:val="clear" w:color="auto" w:fill="auto"/>
        <w:tabs>
          <w:tab w:val="left" w:pos="140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69" w:name="bookmark5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6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二）服务承诺</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3" w:lineRule="exact"/>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以响应文件、澄清表（函）、合同和随产品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的相关文件为准。</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4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0" w:name="bookmark5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三）服务要求</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4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所有设备均由乙方免费送货至甲方指定的交货地点并安装调试好，安装调试应以本需求书要求的技术参数指标为标准。</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4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所有货物交货后的拆箱、安装、调试等项工作(包括其费用)由乙方负责，但必须在用户指定人员的参与下进行。调试的原始记录需经各方签字后作为验收的文件之一。</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4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应提供包括但不限于满足设备安装、使用和维护的技术文件，如设备和附件装箱清单、设备质量合格检定证明文件（包括合格证书和质检报告）、设备保修服务卡、设备中英文使用说明及有关图纸和维护手册等。</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4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应按出厂标准及国家有关要求进行包装及运输。</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403"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en-US"/>
        </w:rPr>
        <w:t>十一、违约</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责任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合同中未约定的，按《民法典》中的相关条款执行。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（二）未按合同要求提供产品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或产品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质量不能满足合同要求，甲方应当将乙方违约的情况以及拟采取的措施以书面形式报政府</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购监管部门，根据政府采购监管部门的处理意见，甲方有权</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据《民法典》有关条款及合同约定解除合同，乙方应向甲方支付合同总价款</w:t>
      </w:r>
      <w:r>
        <w:rPr>
          <w:rFonts w:hint="eastAsia" w:ascii="楷体" w:hAnsi="楷体" w:eastAsia="楷体" w:cs="楷体"/>
          <w:color w:val="auto"/>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％的违约金。同时，政府采购监管部门有权</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据《政府采购法》及相关法律法规对乙方的违法行为进行相应的处罚。</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1" w:name="bookmark6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三）甲方无正当理由拒收货物的，需向乙方偿付本合同总价款</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%的违约金。甲方由于自身原因逾期付款的，则毎日按逾期金额的</w:t>
      </w:r>
      <w:r>
        <w:rPr>
          <w:rFonts w:hint="eastAsia" w:ascii="楷体" w:hAnsi="楷体" w:eastAsia="楷体" w:cs="楷体"/>
          <w:color w:val="auto"/>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％向乙方偿付违约金。</w:t>
      </w:r>
    </w:p>
    <w:p>
      <w:pPr>
        <w:keepNext w:val="0"/>
        <w:keepLines w:val="0"/>
        <w:pageBreakBefore w:val="0"/>
        <w:widowControl w:val="0"/>
        <w:shd w:val="clear" w:color="auto" w:fill="auto"/>
        <w:tabs>
          <w:tab w:val="left" w:pos="1448"/>
          <w:tab w:val="left" w:pos="3629"/>
          <w:tab w:val="left" w:pos="6144"/>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2" w:name="bookmark6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四）乙方逾期交付产品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的（包括返修、更换、补交等），应当自逾期之日起每日按逾期交付部分价款总额的</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%向甲方支付违约金。若因乙方原因逾期交货超过</w:t>
      </w:r>
    </w:p>
    <w:p>
      <w:pPr>
        <w:keepNext w:val="0"/>
        <w:keepLines w:val="0"/>
        <w:pageBreakBefore w:val="0"/>
        <w:widowControl w:val="0"/>
        <w:shd w:val="clear" w:color="auto" w:fill="auto"/>
        <w:tabs>
          <w:tab w:val="left" w:pos="1448"/>
          <w:tab w:val="left" w:pos="3629"/>
          <w:tab w:val="left" w:pos="6144"/>
        </w:tabs>
        <w:kinsoku/>
        <w:wordWrap/>
        <w:overflowPunct/>
        <w:topLinePunct w:val="0"/>
        <w:autoSpaceDE/>
        <w:autoSpaceDN/>
        <w:bidi w:val="0"/>
        <w:adjustRightInd/>
        <w:snapToGrid/>
        <w:spacing w:before="0" w:after="0" w:line="403" w:lineRule="exact"/>
        <w:ind w:left="0" w:leftChars="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single"/>
          <w:shd w:val="clear" w:color="auto" w:fill="auto"/>
          <w:lang w:val="en-US" w:eastAsia="zh-CN" w:bidi="zh-CN"/>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天的，甲方有权拒收并解除本合同，且乙方应向甲方支付合同总价款</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ab/>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w:t>
      </w:r>
    </w:p>
    <w:p>
      <w:pPr>
        <w:keepNext w:val="0"/>
        <w:keepLines w:val="0"/>
        <w:pageBreakBefore w:val="0"/>
        <w:widowControl w:val="0"/>
        <w:shd w:val="clear" w:color="auto" w:fill="auto"/>
        <w:tabs>
          <w:tab w:val="left" w:pos="144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3" w:name="bookmark6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五）如乙方所交的产品</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经甲方验收不符合合同约定或规定标准的，甲方有权拒收，乙方应当在甲方指定期限内更换，由此导致乙方逾期交货的，乙方还应承担逾期交货的违约责任。</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4" w:name="bookmark6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六）本合同中各条款约定的违约金可自甲方未支付款项中直接扣除，违约金若不能弥补甲方损失的，乙方还应赔偿甲方损失。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3"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十二、</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争议解决</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100" w:line="41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5" w:name="bookmark6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一）本合同在履行过程中发生的争议，由甲、乙双方当事人协商解决，协商不成的按下列第</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2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种方式解决：</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6" w:name="bookmark6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bookmarkEnd w:id="7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、提交西安仲裁委员会仲裁；</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7" w:name="bookmark67"/>
      <w:bookmarkEnd w:id="77"/>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法向甲方所在地人民法院起诉。</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8" w:name="bookmark6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7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二）本条款为独立条款，本合同的无效、变更、解除和终止均不影响本条款的效力。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3" w:lineRule="exact"/>
        <w:ind w:left="0" w:right="0" w:firstLine="482" w:firstLineChars="200"/>
        <w:jc w:val="both"/>
        <w:textAlignment w:val="auto"/>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kern w:val="0"/>
          <w:position w:val="0"/>
          <w:sz w:val="24"/>
          <w:szCs w:val="24"/>
          <w:highlight w:val="none"/>
          <w:u w:val="none"/>
          <w:shd w:val="clear" w:color="auto" w:fill="auto"/>
          <w:lang w:val="zh-TW" w:eastAsia="zh-TW" w:bidi="zh-TW"/>
        </w:rPr>
        <w:t>十</w:t>
      </w:r>
      <w:r>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t>三</w:t>
      </w:r>
      <w:r>
        <w:rPr>
          <w:rFonts w:hint="eastAsia" w:ascii="楷体" w:hAnsi="楷体" w:eastAsia="楷体" w:cs="楷体"/>
          <w:b/>
          <w:bCs/>
          <w:color w:val="auto"/>
          <w:spacing w:val="0"/>
          <w:w w:val="100"/>
          <w:kern w:val="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t>合同纠纷处理</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因本合同或与本合同有关的一切事项发生争议，由双方友好协商解决。协商不成的，向</w:t>
      </w:r>
      <w:r>
        <w:rPr>
          <w:rFonts w:hint="eastAsia" w:ascii="楷体" w:hAnsi="楷体" w:cs="楷体"/>
          <w:color w:val="auto"/>
          <w:spacing w:val="0"/>
          <w:w w:val="100"/>
          <w:position w:val="0"/>
          <w:sz w:val="24"/>
          <w:szCs w:val="24"/>
          <w:highlight w:val="none"/>
          <w:u w:val="none"/>
          <w:shd w:val="clear" w:color="auto" w:fill="auto"/>
          <w:lang w:val="en-US" w:eastAsia="zh-CN" w:bidi="zh-TW"/>
        </w:rPr>
        <w:t>甲方所在地</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人民法院提起诉讼。</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3" w:lineRule="exact"/>
        <w:ind w:left="0" w:right="0" w:firstLine="482" w:firstLineChars="200"/>
        <w:jc w:val="both"/>
        <w:textAlignment w:val="auto"/>
        <w:rPr>
          <w:rFonts w:hint="eastAsia" w:ascii="楷体" w:hAnsi="楷体" w:eastAsia="楷体" w:cs="楷体"/>
          <w:b/>
          <w:bCs/>
          <w:color w:val="auto"/>
          <w:spacing w:val="0"/>
          <w:w w:val="100"/>
          <w:kern w:val="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t>十四、</w:t>
      </w:r>
      <w:r>
        <w:rPr>
          <w:rFonts w:hint="eastAsia" w:ascii="楷体" w:hAnsi="楷体" w:eastAsia="楷体" w:cs="楷体"/>
          <w:b/>
          <w:bCs/>
          <w:color w:val="auto"/>
          <w:spacing w:val="0"/>
          <w:w w:val="100"/>
          <w:kern w:val="0"/>
          <w:position w:val="0"/>
          <w:sz w:val="24"/>
          <w:szCs w:val="24"/>
          <w:highlight w:val="none"/>
          <w:u w:val="none"/>
          <w:shd w:val="clear" w:color="auto" w:fill="auto"/>
          <w:lang w:val="zh-TW" w:eastAsia="zh-TW" w:bidi="zh-TW"/>
        </w:rPr>
        <w:t>违约解除合同</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在乙方违约的情况下，甲方可向乙方发出书面通知，部分或全部终止合同，同时保留向对方追诉的权利。</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乙方未能在合同规定的限期或甲方同意延长的限期内提供全部或部分货物，</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可以解除合同的。</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乙方有转让和未经甲方同意的分包行为，可以解除合同的。</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乙方未能履行合同规定的其它主要义务的。</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在本合同履行过程中有腐败和欺诈行为的。</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3" w:lineRule="exact"/>
        <w:ind w:left="0" w:right="0" w:firstLine="482" w:firstLineChars="200"/>
        <w:jc w:val="both"/>
        <w:textAlignment w:val="auto"/>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kern w:val="0"/>
          <w:position w:val="0"/>
          <w:sz w:val="24"/>
          <w:szCs w:val="24"/>
          <w:highlight w:val="none"/>
          <w:u w:val="none"/>
          <w:shd w:val="clear" w:color="auto" w:fill="auto"/>
          <w:lang w:val="en-US" w:eastAsia="zh-CN" w:bidi="zh-TW"/>
        </w:rPr>
        <w:t>十五、索赔</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 如果货物的质量、规格、数量、重量等与合同不符，或在免费质保期内证实货物存有缺陷，包括潜在的缺陷或使用不符合要求的材料等，甲方有权根据有资质的权威质检机构的检验结果向乙方提出索赔(但责任应由保险公司或运输部门承担的除外)。</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在根据合同规定的检验期和免费质保期内，如果乙方对甲方提出的索赔负有责任，乙方应按照甲方同意的下列一种或多种方式解决索赔事宜：</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根据货物低劣程度、损坏程度以及甲方所遭受损失的数额，经双方商定降低货物的价格，或由有权的部门评估，以降低后的价格或评估价格为准。</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用符合规格、质量和性能要求的新零件、部件或货物来更换有缺陷的部分或修补缺陷部分，乙方承担一切费用和风险并负担甲方所发生的一切直接费用。同时，乙方应相应延长修补或更换件的免费质保期。</w:t>
      </w:r>
    </w:p>
    <w:p>
      <w:pPr>
        <w:keepNext w:val="0"/>
        <w:keepLines w:val="0"/>
        <w:pageBreakBefore w:val="0"/>
        <w:widowControl w:val="0"/>
        <w:shd w:val="clear" w:color="auto" w:fill="auto"/>
        <w:tabs>
          <w:tab w:val="left" w:pos="1429"/>
        </w:tabs>
        <w:kinsoku/>
        <w:wordWrap/>
        <w:overflowPunct/>
        <w:topLinePunct w:val="0"/>
        <w:autoSpaceDE/>
        <w:autoSpaceDN/>
        <w:bidi w:val="0"/>
        <w:adjustRightInd/>
        <w:snapToGrid/>
        <w:spacing w:before="0" w:after="0" w:line="432"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如果在甲方发出索赔通知后</w:t>
      </w:r>
      <w:r>
        <w:rPr>
          <w:rFonts w:hint="eastAsia" w:ascii="楷体" w:hAnsi="楷体" w:eastAsia="楷体" w:cs="楷体"/>
          <w:color w:val="auto"/>
          <w:spacing w:val="0"/>
          <w:w w:val="100"/>
          <w:position w:val="0"/>
          <w:sz w:val="24"/>
          <w:szCs w:val="24"/>
          <w:highlight w:val="none"/>
          <w:u w:val="single"/>
          <w:shd w:val="clear" w:color="auto" w:fill="auto"/>
          <w:lang w:val="zh-TW"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日内，乙方未作答复，上述索赔应视为已被乙方接受。如乙方未能在甲方提出索赔通知后</w:t>
      </w:r>
      <w:r>
        <w:rPr>
          <w:rFonts w:hint="eastAsia" w:ascii="楷体" w:hAnsi="楷体" w:eastAsia="楷体" w:cs="楷体"/>
          <w:color w:val="auto"/>
          <w:spacing w:val="0"/>
          <w:w w:val="100"/>
          <w:position w:val="0"/>
          <w:sz w:val="24"/>
          <w:szCs w:val="24"/>
          <w:highlight w:val="none"/>
          <w:u w:val="single"/>
          <w:shd w:val="clear" w:color="auto" w:fill="auto"/>
          <w:lang w:val="zh-TW"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日内或买方同意的更长时间内，按照本合同规定的任何一种方法解决索赔事宜，甲方将从合同款中扣回索赔金额。如果这些金额不足以补偿索赔金额，甲方有权向乙方提出不足部分的补偿。</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432"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关于送达</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的约定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94"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本合同项下甲乙双方任何一方向对方发出的通知、信件、数据电文等，应当发送至本合同下列约定的地址、联系人和通信终端。</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94"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甲方联系人：XXX</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联系电话：</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XXX-XXXXXX</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联系地址：</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XXXXXXXXX,</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邮编</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XXXX</w:t>
      </w:r>
      <w:r>
        <w:rPr>
          <w:rFonts w:hint="eastAsia" w:ascii="楷体" w:hAnsi="楷体" w:eastAsia="楷体" w:cs="楷体"/>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sym w:font="Wingdings 2" w:char="00A3"/>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同意</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sym w:font="Wingdings 2" w:char="00A3"/>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移动电话：</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1XXXXXXXXX,</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XXX-XXXXXX,</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微信号：</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XXXXXXXXX,</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电子邮箱：</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XXX@XXX.com。</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405"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乙方联系人：XXX,</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联系电话：</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XXX-XXXXXX,</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联系地址：</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XXXXXXXXX,</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w:t>
      </w:r>
      <w:r>
        <w:rPr>
          <w:rFonts w:hint="eastAsia" w:ascii="楷体" w:hAnsi="楷体" w:eastAsia="楷体" w:cs="楷体"/>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乙方（□同意□不同意）接受电子文件送达，电子终端信息如下：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移动电话：</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1XXXXXXXXX,</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XXX-XXXXXX</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微信号：</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XXXXXXXXX,</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电子邮箱：</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w:t>
      </w:r>
      <w:r>
        <w:rPr>
          <w:rFonts w:hint="eastAsia" w:ascii="楷体" w:hAnsi="楷体" w:eastAsia="楷体" w:cs="楷体"/>
          <w:color w:val="auto"/>
          <w:spacing w:val="0"/>
          <w:w w:val="100"/>
          <w:position w:val="0"/>
          <w:sz w:val="24"/>
          <w:szCs w:val="24"/>
          <w:highlight w:val="none"/>
          <w:u w:val="none"/>
          <w:shd w:val="clear" w:color="auto" w:fill="auto"/>
          <w:lang w:val="en-US" w:eastAsia="zh-CN" w:bidi="en-US"/>
        </w:rPr>
        <w:t>@</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XXX.com。</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6"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（二）各种通讯方式应当按照下列方式确定其送达时间：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6"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79" w:name="bookmark6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bookmarkEnd w:id="7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、面呈之通知在被通知人签收时视为送达，被通知人未签收的不得视为有效的送达。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6"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0" w:name="bookmark7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bookmarkEnd w:id="8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、以邮寄方式进行的通知均应采用邮政挂号快件或特快专递的方式进行，自信件交邮后的第7日视为送达。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6"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1" w:name="bookmark7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bookmarkEnd w:id="8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、发出的短信/传真/微信/电子邮件，自前述电子文件内容在发送方正确填写地址且未被系统退回的情况下，视为进入对方数据电文接收系统即视为送达。若送达日为非工作日，则视为在下一工作日送达。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06"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2" w:name="bookmark7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4</w:t>
      </w:r>
      <w:bookmarkEnd w:id="8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、一方当事人变更名称、地址、联系人或通信终端的，应当在变更后3日内及时书面通知对方当事人，对方当事人实际收到变更通知前的送达仍为有效送达，电子送达与书面送达具有同等法律效力。</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405"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、合同变更</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403"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八</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、合同</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生效</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本合同一式</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份，甲方持</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份，乙方持</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份，鉴证方持壹份，本合同甲、乙、鉴证各方签字并盖章后生效，合同执行完毕后，自动失效（合同的服务承诺则长期有效）。</w:t>
      </w:r>
    </w:p>
    <w:p>
      <w:pPr>
        <w:keepNext w:val="0"/>
        <w:keepLines w:val="0"/>
        <w:pageBreakBefore w:val="0"/>
        <w:widowControl w:val="0"/>
        <w:shd w:val="clear" w:color="auto" w:fill="auto"/>
        <w:kinsoku/>
        <w:wordWrap/>
        <w:overflowPunct/>
        <w:topLinePunct w:val="0"/>
        <w:autoSpaceDE/>
        <w:autoSpaceDN/>
        <w:bidi w:val="0"/>
        <w:adjustRightInd/>
        <w:snapToGrid/>
        <w:spacing w:before="0" w:after="40" w:line="405" w:lineRule="exact"/>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十九、</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其他事项</w:t>
      </w:r>
    </w:p>
    <w:p>
      <w:pPr>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3" w:name="bookmark7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一）鉴证方作为集中采购代理机构对合同进行确认。</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12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4" w:name="bookmark7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二）西安市财政局在合同的履行期间以及履行期后，可以随时检查项目的执行情况，对采购标准、</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购内容进行调查核实，并对发现的问题进行处理。</w:t>
      </w:r>
      <w:bookmarkStart w:id="85" w:name="bookmark75"/>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12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三）竞争性谈判文件、响应文件、澄清表（函）、成交通知书、合同附件均成为合同不可分割的部分。</w:t>
      </w:r>
    </w:p>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384"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6" w:name="bookmark7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四）不可抗力事件处理</w:t>
      </w:r>
    </w:p>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384"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甲乙双方因不可抗力导致本合同全部或部分不能履行时，发生不可抗力的一方应当在不可抗力发生后</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天内书面通知对方，以减轻可能给对方造成的损失。因不可抗力导致本合同全部或部分不能履行时，双方各自承担其因此而造成的损失、损害。</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12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120" w:line="403" w:lineRule="exact"/>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本合同中的不可抗力指不能预见、不能避免并不能克服的客观情况。包括但不限于：自然灾害如地震、台风、洪水、火灾；政府行为、法律规定或其适用的变化或者其他任何无法预见、避免或者控制的事件。</w:t>
      </w:r>
    </w:p>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87" w:name="bookmark7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8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五）合同未尽事宜，由甲、乙双方协商并经鉴证方确认后签订政府采购补充合同，与原合同具有同等法律效力。</w:t>
      </w:r>
    </w:p>
    <w:tbl>
      <w:tblPr>
        <w:tblStyle w:val="43"/>
        <w:tblW w:w="8379" w:type="dxa"/>
        <w:jc w:val="center"/>
        <w:tblLayout w:type="fixed"/>
        <w:tblCellMar>
          <w:top w:w="0" w:type="dxa"/>
          <w:left w:w="10" w:type="dxa"/>
          <w:bottom w:w="0" w:type="dxa"/>
          <w:right w:w="10" w:type="dxa"/>
        </w:tblCellMar>
      </w:tblPr>
      <w:tblGrid>
        <w:gridCol w:w="2688"/>
        <w:gridCol w:w="2700"/>
        <w:gridCol w:w="2991"/>
      </w:tblGrid>
      <w:tr>
        <w:tblPrEx>
          <w:tblCellMar>
            <w:top w:w="0" w:type="dxa"/>
            <w:left w:w="10" w:type="dxa"/>
            <w:bottom w:w="0" w:type="dxa"/>
            <w:right w:w="10" w:type="dxa"/>
          </w:tblCellMar>
        </w:tblPrEx>
        <w:trPr>
          <w:trHeight w:val="535"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w:t>
            </w:r>
          </w:p>
        </w:tc>
        <w:tc>
          <w:tcPr>
            <w:tcW w:w="2991"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鉴证方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554"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采购人名称</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供应商全称</w:t>
            </w:r>
          </w:p>
        </w:tc>
        <w:tc>
          <w:tcPr>
            <w:tcW w:w="2991" w:type="dxa"/>
            <w:tcBorders>
              <w:top w:val="single" w:color="auto" w:sz="4" w:space="0"/>
              <w:left w:val="single" w:color="auto" w:sz="4" w:space="0"/>
              <w:bottom w:val="nil"/>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采购代理机构</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859" w:hRule="exact"/>
          <w:jc w:val="center"/>
        </w:trPr>
        <w:tc>
          <w:tcPr>
            <w:tcW w:w="2688" w:type="dxa"/>
            <w:tcBorders>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700" w:type="dxa"/>
            <w:tcBorders>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991" w:type="dxa"/>
            <w:tcBorders>
              <w:top w:val="nil"/>
              <w:left w:val="single" w:color="auto" w:sz="4" w:space="0"/>
              <w:bottom w:val="nil"/>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陕西四方衡裕项目管理有限公司</w:t>
            </w:r>
          </w:p>
        </w:tc>
      </w:tr>
      <w:tr>
        <w:tblPrEx>
          <w:tblCellMar>
            <w:top w:w="0" w:type="dxa"/>
            <w:left w:w="10" w:type="dxa"/>
            <w:bottom w:w="0" w:type="dxa"/>
            <w:right w:w="10" w:type="dxa"/>
          </w:tblCellMar>
        </w:tblPrEx>
        <w:trPr>
          <w:trHeight w:val="432" w:hRule="exact"/>
          <w:jc w:val="center"/>
        </w:trPr>
        <w:tc>
          <w:tcPr>
            <w:tcW w:w="2688" w:type="dxa"/>
            <w:tcBorders>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（盖章）</w:t>
            </w:r>
          </w:p>
        </w:tc>
        <w:tc>
          <w:tcPr>
            <w:tcW w:w="2700" w:type="dxa"/>
            <w:tcBorders>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（盖章）</w:t>
            </w:r>
          </w:p>
        </w:tc>
        <w:tc>
          <w:tcPr>
            <w:tcW w:w="2991" w:type="dxa"/>
            <w:tcBorders>
              <w:top w:val="nil"/>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（盖章）</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930" w:hRule="exact"/>
          <w:jc w:val="center"/>
        </w:trPr>
        <w:tc>
          <w:tcPr>
            <w:tcW w:w="2688" w:type="dxa"/>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地址：</w:t>
            </w:r>
          </w:p>
        </w:tc>
        <w:tc>
          <w:tcPr>
            <w:tcW w:w="2700" w:type="dxa"/>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地址：</w:t>
            </w:r>
          </w:p>
        </w:tc>
        <w:tc>
          <w:tcPr>
            <w:tcW w:w="2991"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地址：</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p>
        </w:tc>
        <w:tc>
          <w:tcPr>
            <w:tcW w:w="299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法定代表人：</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法定代表人：</w:t>
            </w:r>
          </w:p>
        </w:tc>
        <w:tc>
          <w:tcPr>
            <w:tcW w:w="2991"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负责人：</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11" w:hRule="exact"/>
          <w:jc w:val="center"/>
        </w:trPr>
        <w:tc>
          <w:tcPr>
            <w:tcW w:w="2688" w:type="dxa"/>
            <w:tcBorders>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700" w:type="dxa"/>
            <w:tcBorders>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991" w:type="dxa"/>
            <w:tcBorders>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（签字）</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30"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被授权代表：（签字）</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被授权代表：（签字）</w:t>
            </w:r>
          </w:p>
        </w:tc>
        <w:tc>
          <w:tcPr>
            <w:tcW w:w="299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审核人（签字）:</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电话：</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电话：</w:t>
            </w:r>
          </w:p>
        </w:tc>
        <w:tc>
          <w:tcPr>
            <w:tcW w:w="299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承办人（签字）:</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p>
        </w:tc>
        <w:tc>
          <w:tcPr>
            <w:tcW w:w="2991"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开户银行：</w:t>
            </w:r>
          </w:p>
        </w:tc>
        <w:tc>
          <w:tcPr>
            <w:tcW w:w="2991"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ab/>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c>
          <w:tcPr>
            <w:tcW w:w="2700" w:type="dxa"/>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帐号：</w:t>
            </w:r>
          </w:p>
        </w:tc>
        <w:tc>
          <w:tcPr>
            <w:tcW w:w="2991"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tc>
      </w:tr>
      <w:tr>
        <w:tblPrEx>
          <w:tblCellMar>
            <w:top w:w="0" w:type="dxa"/>
            <w:left w:w="10" w:type="dxa"/>
            <w:bottom w:w="0" w:type="dxa"/>
            <w:right w:w="10" w:type="dxa"/>
          </w:tblCellMar>
        </w:tblPrEx>
        <w:trPr>
          <w:trHeight w:val="776" w:hRule="exact"/>
          <w:jc w:val="center"/>
        </w:trPr>
        <w:tc>
          <w:tcPr>
            <w:tcW w:w="26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日期：  年  月   日</w:t>
            </w:r>
          </w:p>
        </w:tc>
        <w:tc>
          <w:tcPr>
            <w:tcW w:w="270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日期：  年  月  日</w:t>
            </w:r>
          </w:p>
        </w:tc>
        <w:tc>
          <w:tcPr>
            <w:tcW w:w="29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0" w:right="0"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日期：    年   月   日</w:t>
            </w:r>
          </w:p>
        </w:tc>
      </w:tr>
    </w:tbl>
    <w:p>
      <w:pPr>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380" w:line="413" w:lineRule="exact"/>
        <w:ind w:left="18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p>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highlight w:val="none"/>
          <w:shd w:val="clear" w:color="auto" w:fill="auto"/>
          <w:lang w:eastAsia="en-US" w:bidi="en-US"/>
        </w:rPr>
      </w:pPr>
      <w:r>
        <w:rPr>
          <w:rFonts w:hint="eastAsia" w:ascii="楷体" w:hAnsi="楷体" w:eastAsia="楷体" w:cs="楷体"/>
          <w:color w:val="auto"/>
          <w:spacing w:val="0"/>
          <w:w w:val="100"/>
          <w:kern w:val="0"/>
          <w:position w:val="0"/>
          <w:highlight w:val="none"/>
          <w:shd w:val="clear" w:color="auto" w:fill="auto"/>
          <w:lang w:eastAsia="en-US" w:bidi="en-US"/>
        </w:rPr>
        <w:br w:type="page"/>
      </w:r>
    </w:p>
    <w:p>
      <w:pPr>
        <w:keepNext w:val="0"/>
        <w:keepLines w:val="0"/>
        <w:widowControl w:val="0"/>
        <w:shd w:val="clear" w:color="auto" w:fill="auto"/>
        <w:bidi w:val="0"/>
        <w:spacing w:before="0" w:after="0" w:line="403" w:lineRule="exact"/>
        <w:ind w:left="180" w:right="0" w:firstLine="700"/>
        <w:jc w:val="both"/>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pStyle w:val="4"/>
        <w:rPr>
          <w:rFonts w:ascii="楷体" w:hAnsi="楷体" w:cs="楷体"/>
        </w:rPr>
      </w:pPr>
      <w:bookmarkStart w:id="88" w:name="_Toc12330_WPSOffice_Level1"/>
      <w:bookmarkStart w:id="89" w:name="_Toc24680"/>
      <w:r>
        <w:rPr>
          <w:rFonts w:hint="eastAsia" w:ascii="楷体" w:hAnsi="楷体" w:cs="楷体"/>
        </w:rPr>
        <w:t>响应文件格式</w:t>
      </w:r>
      <w:bookmarkEnd w:id="88"/>
      <w:bookmarkEnd w:id="89"/>
    </w:p>
    <w:p>
      <w:pPr>
        <w:widowControl/>
        <w:ind w:firstLine="562"/>
        <w:rPr>
          <w:rFonts w:ascii="楷体" w:hAnsi="楷体" w:cs="楷体"/>
          <w:b/>
          <w:bCs/>
          <w:kern w:val="0"/>
          <w:sz w:val="28"/>
          <w:szCs w:val="28"/>
          <w:lang w:val="zh-CN"/>
        </w:rPr>
        <w:sectPr>
          <w:headerReference r:id="rId12" w:type="default"/>
          <w:footerReference r:id="rId13" w:type="default"/>
          <w:pgSz w:w="11906" w:h="16838"/>
          <w:pgMar w:top="1418" w:right="1128" w:bottom="1418" w:left="1178" w:header="851" w:footer="992" w:gutter="0"/>
          <w:cols w:space="720" w:num="1"/>
          <w:docGrid w:linePitch="312" w:charSpace="0"/>
        </w:sectPr>
      </w:pPr>
    </w:p>
    <w:p>
      <w:pPr>
        <w:widowControl/>
        <w:ind w:firstLine="562"/>
        <w:outlineLvl w:val="0"/>
        <w:rPr>
          <w:rFonts w:ascii="楷体" w:hAnsi="楷体" w:cs="楷体"/>
          <w:b/>
          <w:bCs/>
          <w:kern w:val="0"/>
          <w:sz w:val="28"/>
          <w:szCs w:val="28"/>
          <w:lang w:val="zh-CN"/>
        </w:rPr>
      </w:pPr>
      <w:bookmarkStart w:id="90" w:name="_Toc15681_WPSOffice_Level1"/>
      <w:bookmarkStart w:id="91" w:name="_Toc25505"/>
      <w:bookmarkStart w:id="92" w:name="_Toc25741"/>
      <w:bookmarkStart w:id="93" w:name="_Toc16405_WPSOffice_Level1"/>
      <w:bookmarkStart w:id="94" w:name="_Toc6176"/>
      <w:bookmarkStart w:id="95" w:name="_Toc25204"/>
      <w:bookmarkStart w:id="96" w:name="_Toc1349"/>
      <w:bookmarkStart w:id="97" w:name="_Toc19016_WPSOffice_Level1"/>
      <w:bookmarkStart w:id="98" w:name="_Toc21095_WPSOffice_Level1"/>
      <w:bookmarkStart w:id="99" w:name="_Toc6858_WPSOffice_Level1"/>
      <w:bookmarkStart w:id="100" w:name="_Toc21872_WPSOffice_Level1"/>
      <w:r>
        <w:rPr>
          <w:rFonts w:hint="eastAsia" w:ascii="楷体" w:hAnsi="楷体" w:cs="楷体"/>
          <w:b/>
          <w:bCs/>
          <w:kern w:val="0"/>
          <w:sz w:val="28"/>
          <w:szCs w:val="28"/>
          <w:lang w:val="zh-CN"/>
        </w:rPr>
        <w:t>正本/副本</w:t>
      </w:r>
      <w:bookmarkEnd w:id="90"/>
      <w:bookmarkEnd w:id="91"/>
      <w:bookmarkEnd w:id="92"/>
      <w:bookmarkEnd w:id="93"/>
      <w:bookmarkEnd w:id="94"/>
      <w:bookmarkEnd w:id="95"/>
      <w:bookmarkEnd w:id="96"/>
      <w:bookmarkEnd w:id="97"/>
      <w:bookmarkEnd w:id="98"/>
      <w:bookmarkEnd w:id="99"/>
      <w:bookmarkEnd w:id="100"/>
    </w:p>
    <w:p>
      <w:pPr>
        <w:widowControl/>
        <w:ind w:firstLine="562"/>
        <w:jc w:val="right"/>
        <w:outlineLvl w:val="0"/>
        <w:rPr>
          <w:rFonts w:ascii="楷体" w:hAnsi="楷体" w:cs="楷体"/>
          <w:b/>
          <w:bCs/>
          <w:kern w:val="0"/>
          <w:sz w:val="28"/>
          <w:szCs w:val="28"/>
          <w:lang w:val="zh-CN"/>
        </w:rPr>
      </w:pPr>
      <w:bookmarkStart w:id="101" w:name="_Toc28574"/>
      <w:bookmarkStart w:id="102" w:name="_Toc1686_WPSOffice_Level1"/>
      <w:bookmarkStart w:id="103" w:name="_Toc13152_WPSOffice_Level1"/>
      <w:bookmarkStart w:id="104" w:name="_Toc10332"/>
      <w:bookmarkStart w:id="105" w:name="_Toc8685_WPSOffice_Level1"/>
      <w:bookmarkStart w:id="106" w:name="_Toc22602"/>
      <w:bookmarkStart w:id="107" w:name="_Toc7837"/>
      <w:bookmarkStart w:id="108" w:name="_Toc25400_WPSOffice_Level1"/>
      <w:bookmarkStart w:id="109" w:name="_Toc18828_WPSOffice_Level1"/>
      <w:bookmarkStart w:id="110" w:name="_Toc21720_WPSOffice_Level1"/>
      <w:bookmarkStart w:id="111" w:name="_Toc2274"/>
      <w:r>
        <w:rPr>
          <w:rFonts w:hint="eastAsia" w:ascii="楷体" w:hAnsi="楷体" w:cs="楷体"/>
          <w:b/>
          <w:bCs/>
          <w:kern w:val="0"/>
          <w:sz w:val="28"/>
          <w:szCs w:val="28"/>
          <w:lang w:val="zh-CN"/>
        </w:rPr>
        <w:t>政府采购项目</w:t>
      </w:r>
      <w:bookmarkEnd w:id="101"/>
      <w:bookmarkEnd w:id="102"/>
      <w:bookmarkEnd w:id="103"/>
      <w:bookmarkEnd w:id="104"/>
      <w:bookmarkEnd w:id="105"/>
      <w:bookmarkEnd w:id="106"/>
      <w:bookmarkEnd w:id="107"/>
      <w:bookmarkEnd w:id="108"/>
      <w:bookmarkEnd w:id="109"/>
      <w:bookmarkEnd w:id="110"/>
      <w:bookmarkEnd w:id="111"/>
    </w:p>
    <w:p>
      <w:pPr>
        <w:pStyle w:val="42"/>
        <w:ind w:left="481" w:leftChars="0" w:hanging="481" w:hangingChars="109"/>
        <w:jc w:val="center"/>
        <w:rPr>
          <w:rFonts w:ascii="楷体" w:hAnsi="楷体" w:cs="楷体"/>
          <w:b/>
          <w:bCs/>
          <w:kern w:val="0"/>
          <w:sz w:val="44"/>
          <w:szCs w:val="44"/>
        </w:rPr>
      </w:pPr>
      <w:bookmarkStart w:id="112" w:name="_Toc27024_WPSOffice_Level2"/>
      <w:bookmarkStart w:id="113" w:name="_Toc29276_WPSOffice_Level2"/>
    </w:p>
    <w:p>
      <w:pPr>
        <w:pStyle w:val="42"/>
        <w:ind w:left="481" w:leftChars="0" w:hanging="481" w:hangingChars="109"/>
        <w:jc w:val="center"/>
        <w:rPr>
          <w:rFonts w:ascii="楷体" w:hAnsi="楷体" w:cs="楷体"/>
          <w:b/>
          <w:bCs/>
          <w:kern w:val="0"/>
          <w:sz w:val="44"/>
          <w:szCs w:val="44"/>
        </w:rPr>
      </w:pPr>
    </w:p>
    <w:p>
      <w:pPr>
        <w:pStyle w:val="3"/>
        <w:ind w:left="0" w:leftChars="0" w:firstLine="0" w:firstLineChars="0"/>
        <w:jc w:val="center"/>
        <w:rPr>
          <w:rFonts w:hint="eastAsia" w:ascii="楷体" w:hAnsi="楷体" w:eastAsia="楷体" w:cs="楷体"/>
          <w:b/>
          <w:bCs/>
          <w:kern w:val="0"/>
          <w:sz w:val="44"/>
          <w:szCs w:val="44"/>
          <w:lang w:eastAsia="zh-CN"/>
        </w:rPr>
      </w:pPr>
      <w:r>
        <w:rPr>
          <w:rFonts w:hint="eastAsia" w:ascii="楷体" w:hAnsi="楷体" w:cs="楷体"/>
          <w:b/>
          <w:bCs/>
          <w:kern w:val="0"/>
          <w:sz w:val="48"/>
          <w:szCs w:val="48"/>
          <w:lang w:eastAsia="zh-CN"/>
        </w:rPr>
        <w:t>航天基地执法车辆采购项目</w:t>
      </w:r>
    </w:p>
    <w:p>
      <w:pPr>
        <w:ind w:firstLine="480"/>
      </w:pPr>
    </w:p>
    <w:p>
      <w:pPr>
        <w:pStyle w:val="2"/>
      </w:pPr>
    </w:p>
    <w:p>
      <w:pPr>
        <w:pStyle w:val="2"/>
      </w:pPr>
    </w:p>
    <w:p>
      <w:pPr>
        <w:pStyle w:val="2"/>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竞争性谈判响应</w:t>
      </w:r>
      <w:r>
        <w:rPr>
          <w:rFonts w:hint="eastAsia" w:ascii="楷体" w:hAnsi="楷体" w:cs="楷体"/>
          <w:b/>
          <w:bCs/>
          <w:kern w:val="0"/>
          <w:sz w:val="52"/>
          <w:szCs w:val="52"/>
          <w:lang w:val="zh-CN"/>
        </w:rPr>
        <w:t>文件</w:t>
      </w:r>
      <w:bookmarkEnd w:id="112"/>
      <w:bookmarkEnd w:id="113"/>
    </w:p>
    <w:p>
      <w:pPr>
        <w:widowControl/>
        <w:ind w:firstLine="562"/>
        <w:jc w:val="center"/>
        <w:rPr>
          <w:rFonts w:ascii="楷体" w:hAnsi="楷体" w:cs="楷体"/>
          <w:b/>
          <w:bCs/>
          <w:kern w:val="0"/>
          <w:sz w:val="28"/>
          <w:szCs w:val="28"/>
        </w:rPr>
      </w:pPr>
    </w:p>
    <w:p>
      <w:pPr>
        <w:widowControl/>
        <w:ind w:left="0" w:leftChars="0" w:firstLine="0" w:firstLineChars="0"/>
        <w:jc w:val="center"/>
        <w:rPr>
          <w:rFonts w:ascii="楷体" w:hAnsi="楷体" w:cs="楷体"/>
          <w:b/>
          <w:bCs/>
          <w:kern w:val="0"/>
          <w:sz w:val="28"/>
          <w:szCs w:val="28"/>
          <w:lang w:val="zh-CN"/>
        </w:rPr>
      </w:pPr>
      <w:r>
        <w:rPr>
          <w:rFonts w:hint="eastAsia" w:ascii="楷体" w:hAnsi="楷体" w:cs="楷体"/>
          <w:b/>
          <w:bCs/>
          <w:kern w:val="0"/>
          <w:sz w:val="28"/>
          <w:szCs w:val="28"/>
          <w:lang w:val="zh-CN"/>
        </w:rPr>
        <w:t>采购项目编号：HYTH-202207064</w:t>
      </w: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42"/>
        <w:ind w:left="480" w:firstLine="482"/>
        <w:rPr>
          <w:rFonts w:ascii="楷体" w:hAnsi="楷体" w:cs="楷体"/>
          <w:b/>
          <w:bCs/>
          <w:kern w:val="0"/>
        </w:rPr>
      </w:pPr>
    </w:p>
    <w:p>
      <w:pPr>
        <w:pStyle w:val="42"/>
        <w:ind w:left="480" w:firstLine="482"/>
        <w:rPr>
          <w:rFonts w:ascii="楷体" w:hAnsi="楷体" w:cs="楷体"/>
          <w:b/>
          <w:bCs/>
          <w:kern w:val="0"/>
        </w:rPr>
      </w:pPr>
    </w:p>
    <w:p>
      <w:pPr>
        <w:widowControl/>
        <w:ind w:firstLine="482"/>
        <w:rPr>
          <w:rFonts w:ascii="楷体" w:hAnsi="楷体" w:cs="楷体"/>
          <w:b/>
          <w:bCs/>
          <w:kern w:val="0"/>
        </w:rPr>
      </w:pPr>
      <w:r>
        <w:rPr>
          <w:rFonts w:hint="eastAsia" w:ascii="楷体" w:hAnsi="楷体" w:cs="楷体"/>
          <w:b/>
          <w:bCs/>
          <w:kern w:val="0"/>
        </w:rPr>
        <w:t xml:space="preserve">              </w:t>
      </w:r>
    </w:p>
    <w:p>
      <w:pPr>
        <w:widowControl/>
        <w:ind w:firstLine="2530" w:firstLineChars="900"/>
        <w:outlineLvl w:val="0"/>
        <w:rPr>
          <w:rFonts w:ascii="楷体" w:hAnsi="楷体" w:cs="楷体"/>
          <w:b/>
          <w:bCs/>
          <w:kern w:val="0"/>
          <w:sz w:val="28"/>
          <w:szCs w:val="28"/>
        </w:rPr>
      </w:pPr>
      <w:bookmarkStart w:id="114" w:name="_Toc31078_WPSOffice_Level1"/>
      <w:bookmarkStart w:id="115" w:name="_Toc9130"/>
      <w:bookmarkStart w:id="116" w:name="_Toc32411_WPSOffice_Level1"/>
      <w:bookmarkStart w:id="117" w:name="_Toc11535_WPSOffice_Level1"/>
      <w:bookmarkStart w:id="118" w:name="_Toc10902"/>
      <w:bookmarkStart w:id="119" w:name="_Toc7607_WPSOffice_Level1"/>
      <w:bookmarkStart w:id="120" w:name="_Toc23023_WPSOffice_Level1"/>
      <w:bookmarkStart w:id="121" w:name="_Toc24244_WPSOffice_Level1"/>
      <w:bookmarkStart w:id="122" w:name="_Toc23895"/>
      <w:bookmarkStart w:id="123" w:name="_Toc16008"/>
      <w:bookmarkStart w:id="124" w:name="_Toc30829"/>
      <w:r>
        <w:rPr>
          <w:rFonts w:hint="eastAsia" w:ascii="楷体" w:hAnsi="楷体" w:cs="楷体"/>
          <w:b/>
          <w:bCs/>
          <w:kern w:val="0"/>
          <w:sz w:val="28"/>
          <w:szCs w:val="28"/>
        </w:rPr>
        <w:t xml:space="preserve">供 应 商 </w:t>
      </w:r>
      <w:r>
        <w:rPr>
          <w:rFonts w:hint="eastAsia" w:ascii="楷体" w:hAnsi="楷体" w:cs="楷体"/>
          <w:b/>
          <w:bCs/>
          <w:kern w:val="0"/>
          <w:sz w:val="28"/>
          <w:szCs w:val="28"/>
          <w:lang w:val="zh-CN"/>
        </w:rPr>
        <w:t>：</w:t>
      </w:r>
      <w:bookmarkEnd w:id="114"/>
      <w:bookmarkEnd w:id="115"/>
      <w:bookmarkEnd w:id="116"/>
      <w:bookmarkEnd w:id="117"/>
      <w:bookmarkEnd w:id="118"/>
      <w:bookmarkEnd w:id="119"/>
      <w:bookmarkEnd w:id="120"/>
      <w:bookmarkEnd w:id="121"/>
      <w:r>
        <w:rPr>
          <w:rFonts w:hint="eastAsia" w:ascii="楷体" w:hAnsi="楷体" w:cs="楷体"/>
          <w:b/>
          <w:bCs/>
          <w:kern w:val="0"/>
          <w:sz w:val="28"/>
          <w:szCs w:val="28"/>
          <w:u w:val="single"/>
        </w:rPr>
        <w:t xml:space="preserve">      (公章）</w:t>
      </w:r>
      <w:bookmarkEnd w:id="122"/>
      <w:bookmarkEnd w:id="123"/>
      <w:bookmarkEnd w:id="124"/>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125" w:name="_Toc11689_WPSOffice_Level1"/>
      <w:bookmarkStart w:id="126" w:name="_Toc5864_WPSOffice_Level1"/>
      <w:bookmarkStart w:id="127" w:name="_Toc1030_WPSOffice_Level1"/>
    </w:p>
    <w:p>
      <w:pPr>
        <w:widowControl/>
        <w:ind w:firstLine="2530" w:firstLineChars="900"/>
        <w:outlineLvl w:val="0"/>
        <w:rPr>
          <w:rFonts w:ascii="楷体" w:hAnsi="楷体" w:cs="楷体"/>
          <w:b/>
          <w:bCs/>
          <w:kern w:val="0"/>
        </w:rPr>
      </w:pPr>
      <w:bookmarkStart w:id="128" w:name="_Toc16770"/>
      <w:bookmarkStart w:id="129" w:name="_Toc23182"/>
      <w:bookmarkStart w:id="130" w:name="_Toc2538"/>
      <w:bookmarkStart w:id="131" w:name="_Toc27578"/>
      <w:bookmarkStart w:id="132" w:name="_Toc23670"/>
      <w:bookmarkStart w:id="133" w:name="_Toc28776_WPSOffice_Level1"/>
      <w:bookmarkStart w:id="134" w:name="_Toc23123_WPSOffice_Level1"/>
      <w:bookmarkStart w:id="135" w:name="_Toc19130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125"/>
      <w:bookmarkEnd w:id="126"/>
      <w:bookmarkEnd w:id="127"/>
      <w:bookmarkEnd w:id="128"/>
      <w:bookmarkEnd w:id="129"/>
      <w:bookmarkEnd w:id="130"/>
      <w:bookmarkEnd w:id="131"/>
      <w:bookmarkEnd w:id="132"/>
      <w:bookmarkEnd w:id="133"/>
      <w:bookmarkEnd w:id="134"/>
      <w:bookmarkEnd w:id="135"/>
      <w:r>
        <w:rPr>
          <w:rFonts w:hint="eastAsia" w:ascii="楷体" w:hAnsi="楷体" w:cs="楷体"/>
          <w:b/>
          <w:bCs/>
          <w:kern w:val="0"/>
          <w:sz w:val="28"/>
          <w:szCs w:val="28"/>
          <w:u w:val="single"/>
        </w:rPr>
        <w:t xml:space="preserve">                        </w:t>
      </w:r>
      <w:r>
        <w:rPr>
          <w:rFonts w:hint="eastAsia" w:ascii="楷体" w:hAnsi="楷体" w:cs="楷体"/>
          <w:b/>
          <w:bCs/>
          <w:kern w:val="0"/>
          <w:sz w:val="28"/>
          <w:szCs w:val="28"/>
        </w:rPr>
        <w:t xml:space="preserve">         </w:t>
      </w:r>
      <w:r>
        <w:rPr>
          <w:rFonts w:hint="eastAsia" w:ascii="楷体" w:hAnsi="楷体" w:cs="楷体"/>
          <w:b/>
          <w:bCs/>
          <w:kern w:val="0"/>
        </w:rPr>
        <w:t xml:space="preserve">          </w:t>
      </w:r>
    </w:p>
    <w:p>
      <w:pPr>
        <w:widowControl/>
        <w:ind w:firstLine="482"/>
        <w:rPr>
          <w:rFonts w:ascii="楷体" w:hAnsi="楷体" w:cs="楷体"/>
          <w:b/>
          <w:bCs/>
          <w:kern w:val="0"/>
        </w:rPr>
      </w:pPr>
    </w:p>
    <w:p>
      <w:pPr>
        <w:ind w:firstLine="482"/>
        <w:rPr>
          <w:rFonts w:ascii="楷体" w:hAnsi="楷体" w:cs="楷体"/>
          <w:b/>
          <w:bCs/>
          <w:kern w:val="0"/>
          <w:lang w:val="zh-CN"/>
        </w:rPr>
      </w:pPr>
      <w:bookmarkStart w:id="136" w:name="_Toc533610811"/>
      <w:r>
        <w:rPr>
          <w:rFonts w:hint="eastAsia" w:ascii="楷体" w:hAnsi="楷体" w:cs="楷体"/>
          <w:b/>
          <w:bCs/>
          <w:kern w:val="0"/>
          <w:lang w:val="zh-CN"/>
        </w:rPr>
        <w:br w:type="page"/>
      </w:r>
    </w:p>
    <w:bookmarkEnd w:id="136"/>
    <w:p>
      <w:pPr>
        <w:pStyle w:val="5"/>
        <w:numPr>
          <w:ilvl w:val="1"/>
          <w:numId w:val="0"/>
        </w:numPr>
        <w:jc w:val="center"/>
        <w:rPr>
          <w:lang w:val="zh-CN"/>
        </w:rPr>
      </w:pPr>
      <w:bookmarkStart w:id="137" w:name="_Toc16275_WPSOffice_Level1"/>
      <w:bookmarkStart w:id="138" w:name="_Toc26798"/>
      <w:bookmarkStart w:id="139" w:name="_Toc533610812"/>
      <w:bookmarkStart w:id="140" w:name="_Toc2998_WPSOffice_Level1"/>
      <w:bookmarkStart w:id="141" w:name="_Toc15010_WPSOffice_Level1"/>
      <w:bookmarkStart w:id="142" w:name="_Toc4724_WPSOffice_Level1"/>
      <w:bookmarkStart w:id="143" w:name="_Toc3007_WPSOffice_Level1"/>
      <w:bookmarkStart w:id="144" w:name="_Toc21178_WPSOffice_Level1"/>
      <w:r>
        <w:rPr>
          <w:rFonts w:hint="eastAsia"/>
          <w:lang w:val="zh-CN"/>
        </w:rPr>
        <w:t xml:space="preserve">第一部分  </w:t>
      </w:r>
      <w:r>
        <w:rPr>
          <w:rFonts w:hint="eastAsia"/>
        </w:rPr>
        <w:t>谈判</w:t>
      </w:r>
      <w:r>
        <w:rPr>
          <w:rFonts w:hint="eastAsia"/>
          <w:lang w:val="zh-CN"/>
        </w:rPr>
        <w:t>响应函</w:t>
      </w:r>
      <w:bookmarkEnd w:id="137"/>
      <w:bookmarkEnd w:id="138"/>
      <w:bookmarkEnd w:id="139"/>
      <w:bookmarkEnd w:id="140"/>
      <w:bookmarkEnd w:id="141"/>
      <w:bookmarkEnd w:id="142"/>
      <w:bookmarkEnd w:id="143"/>
      <w:bookmarkEnd w:id="144"/>
    </w:p>
    <w:p>
      <w:pPr>
        <w:widowControl/>
        <w:ind w:firstLine="0" w:firstLineChars="0"/>
        <w:rPr>
          <w:rFonts w:ascii="楷体" w:hAnsi="楷体" w:cs="楷体"/>
          <w:b/>
          <w:bCs/>
          <w:kern w:val="0"/>
        </w:rPr>
      </w:pPr>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谈判文件，经详细研究，我们决定参加本次谈判活动。为此，我方郑重声明以下诸点，并负法律责任。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、愿意按照谈判文件中的一切要求，提供本项目</w:t>
      </w:r>
      <w:r>
        <w:rPr>
          <w:rFonts w:hint="eastAsia" w:ascii="楷体" w:hAnsi="楷体" w:cs="楷体"/>
          <w:kern w:val="0"/>
        </w:rPr>
        <w:t>供货服务</w:t>
      </w:r>
      <w:r>
        <w:rPr>
          <w:rFonts w:hint="eastAsia" w:ascii="楷体" w:hAnsi="楷体" w:cs="楷体"/>
          <w:kern w:val="0"/>
          <w:lang w:val="zh-CN"/>
        </w:rPr>
        <w:t>，完成合同的责任和义务。</w:t>
      </w:r>
    </w:p>
    <w:p>
      <w:pPr>
        <w:widowControl/>
        <w:ind w:firstLine="480"/>
        <w:rPr>
          <w:rFonts w:ascii="楷体" w:hAnsi="楷体" w:cs="楷体"/>
          <w:kern w:val="0"/>
          <w:highlight w:val="none"/>
        </w:rPr>
      </w:pPr>
      <w:r>
        <w:rPr>
          <w:rFonts w:hint="eastAsia" w:ascii="楷体" w:hAnsi="楷体" w:cs="楷体"/>
          <w:kern w:val="0"/>
        </w:rPr>
        <w:t>2</w:t>
      </w:r>
      <w:r>
        <w:rPr>
          <w:rFonts w:hint="eastAsia" w:ascii="楷体" w:hAnsi="楷体" w:cs="楷体"/>
          <w:kern w:val="0"/>
          <w:lang w:val="zh-CN"/>
        </w:rPr>
        <w:t>、按谈判文件的规定，</w:t>
      </w:r>
      <w:r>
        <w:rPr>
          <w:rFonts w:hint="eastAsia" w:ascii="楷体" w:hAnsi="楷体" w:cs="楷体"/>
          <w:kern w:val="0"/>
          <w:highlight w:val="none"/>
          <w:lang w:val="zh-CN"/>
        </w:rPr>
        <w:t>我公司的</w:t>
      </w:r>
      <w:r>
        <w:rPr>
          <w:rFonts w:hint="eastAsia" w:ascii="楷体" w:hAnsi="楷体" w:cs="楷体"/>
          <w:kern w:val="0"/>
          <w:highlight w:val="none"/>
          <w:lang w:eastAsia="zh-CN"/>
        </w:rPr>
        <w:t>谈判</w:t>
      </w:r>
      <w:r>
        <w:rPr>
          <w:rFonts w:hint="eastAsia" w:ascii="楷体" w:hAnsi="楷体" w:cs="楷体"/>
          <w:kern w:val="0"/>
          <w:highlight w:val="none"/>
          <w:lang w:val="zh-CN"/>
        </w:rPr>
        <w:t>总报价为：人民币（大写）：</w:t>
      </w:r>
      <w:r>
        <w:rPr>
          <w:rFonts w:hint="eastAsia" w:ascii="楷体" w:hAnsi="楷体" w:cs="楷体"/>
          <w:kern w:val="0"/>
          <w:highlight w:val="none"/>
          <w:u w:val="single"/>
        </w:rPr>
        <w:t xml:space="preserve">           </w:t>
      </w:r>
      <w:r>
        <w:rPr>
          <w:rFonts w:hint="eastAsia" w:ascii="楷体" w:hAnsi="楷体" w:cs="楷体"/>
          <w:kern w:val="0"/>
          <w:highlight w:val="none"/>
          <w:lang w:val="zh-CN"/>
        </w:rPr>
        <w:t>（</w:t>
      </w:r>
      <w:r>
        <w:rPr>
          <w:rFonts w:hint="eastAsia" w:ascii="楷体" w:hAnsi="楷体" w:cs="楷体"/>
          <w:kern w:val="0"/>
          <w:highlight w:val="none"/>
        </w:rPr>
        <w:t>小写</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元）</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w:t>
      </w:r>
      <w:r>
        <w:rPr>
          <w:rFonts w:hint="eastAsia" w:ascii="楷体" w:hAnsi="楷体" w:cs="楷体"/>
          <w:kern w:val="0"/>
          <w:highlight w:val="none"/>
          <w:lang w:val="zh-CN"/>
        </w:rPr>
        <w:t>件正本壹份、副本</w:t>
      </w:r>
      <w:r>
        <w:rPr>
          <w:rFonts w:hint="eastAsia" w:ascii="楷体" w:hAnsi="楷体" w:cs="楷体"/>
          <w:kern w:val="0"/>
          <w:highlight w:val="none"/>
          <w:lang w:val="zh-CN" w:eastAsia="zh-CN"/>
        </w:rPr>
        <w:t>贰</w:t>
      </w:r>
      <w:r>
        <w:rPr>
          <w:rFonts w:hint="eastAsia" w:ascii="楷体" w:hAnsi="楷体" w:cs="楷体"/>
          <w:kern w:val="0"/>
          <w:highlight w:val="none"/>
          <w:lang w:val="zh-CN"/>
        </w:rPr>
        <w:t>份，</w:t>
      </w:r>
      <w:r>
        <w:rPr>
          <w:rFonts w:hint="eastAsia" w:ascii="楷体" w:hAnsi="楷体" w:cs="楷体"/>
          <w:kern w:val="0"/>
          <w:highlight w:val="none"/>
          <w:lang w:val="zh-CN" w:eastAsia="zh-CN"/>
        </w:rPr>
        <w:t>电子版（U盘）壹份</w:t>
      </w:r>
      <w:r>
        <w:rPr>
          <w:rFonts w:hint="eastAsia" w:ascii="楷体" w:hAnsi="楷体" w:cs="楷体"/>
          <w:kern w:val="0"/>
          <w:highlight w:val="none"/>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、已详细阅读了谈判文件，完全理解并放弃提出含糊不清或易形成歧义的表述和资料。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、谈判后在规定的有效期内撤回响应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有效期自谈判之日起90</w:t>
      </w:r>
      <w:r>
        <w:rPr>
          <w:rFonts w:hint="eastAsia" w:ascii="楷体" w:hAnsi="楷体" w:cs="楷体"/>
          <w:kern w:val="0"/>
          <w:lang w:val="zh-CN"/>
        </w:rPr>
        <w:t>个日历天，若我方成交，响应文件有效期延长至合同执行完毕。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地</w:t>
      </w:r>
      <w:r>
        <w:rPr>
          <w:rFonts w:hint="eastAsia" w:ascii="楷体" w:hAnsi="楷体" w:cs="楷体"/>
          <w:kern w:val="0"/>
        </w:rPr>
        <w:t xml:space="preserve">    </w:t>
      </w:r>
      <w:r>
        <w:rPr>
          <w:rFonts w:hint="eastAsia" w:ascii="楷体" w:hAnsi="楷体" w:cs="楷体"/>
          <w:kern w:val="0"/>
          <w:lang w:val="zh-CN"/>
        </w:rPr>
        <w:t>址</w:t>
      </w:r>
      <w:r>
        <w:rPr>
          <w:rFonts w:hint="eastAsia" w:ascii="楷体" w:hAnsi="楷体" w:cs="楷体"/>
          <w:kern w:val="0"/>
        </w:rPr>
        <w:t>：</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w:t>
      </w:r>
      <w:r>
        <w:rPr>
          <w:rFonts w:hint="eastAsia" w:ascii="楷体" w:hAnsi="楷体" w:cs="楷体"/>
          <w:kern w:val="0"/>
        </w:rPr>
        <w:t xml:space="preserve">    </w:t>
      </w:r>
      <w:r>
        <w:rPr>
          <w:rFonts w:hint="eastAsia" w:ascii="楷体" w:hAnsi="楷体" w:cs="楷体"/>
          <w:kern w:val="0"/>
          <w:lang w:val="zh-CN"/>
        </w:rPr>
        <w:t>号：</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w:t>
      </w:r>
      <w:r>
        <w:rPr>
          <w:rFonts w:hint="eastAsia" w:ascii="楷体" w:hAnsi="楷体" w:cs="楷体"/>
          <w:kern w:val="0"/>
        </w:rPr>
        <w:t xml:space="preserve">    </w:t>
      </w:r>
      <w:r>
        <w:rPr>
          <w:rFonts w:hint="eastAsia" w:ascii="楷体" w:hAnsi="楷体" w:cs="楷体"/>
          <w:kern w:val="0"/>
          <w:lang w:val="zh-CN"/>
        </w:rPr>
        <w:t>真：</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sectPr>
          <w:pgSz w:w="11906" w:h="16838"/>
          <w:pgMar w:top="1418" w:right="1213" w:bottom="1418" w:left="1134"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p>
      <w:pPr>
        <w:pStyle w:val="5"/>
        <w:numPr>
          <w:ilvl w:val="1"/>
          <w:numId w:val="0"/>
        </w:numPr>
        <w:ind w:left="480" w:leftChars="200"/>
        <w:jc w:val="center"/>
        <w:rPr>
          <w:lang w:val="zh-CN"/>
        </w:rPr>
      </w:pPr>
      <w:bookmarkStart w:id="145" w:name="_Toc11669_WPSOffice_Level1"/>
      <w:bookmarkStart w:id="146" w:name="_Toc21214_WPSOffice_Level1"/>
      <w:bookmarkStart w:id="147" w:name="_Toc533610813"/>
      <w:bookmarkStart w:id="148" w:name="_Toc24066_WPSOffice_Level1"/>
      <w:bookmarkStart w:id="149" w:name="_Toc13533"/>
      <w:bookmarkStart w:id="150" w:name="_Toc30984_WPSOffice_Level1"/>
      <w:bookmarkStart w:id="151" w:name="_Toc24126_WPSOffice_Level1"/>
      <w:bookmarkStart w:id="152" w:name="_Toc21246_WPSOffice_Level1"/>
      <w:r>
        <w:rPr>
          <w:rFonts w:hint="eastAsia"/>
          <w:lang w:val="zh-CN"/>
        </w:rPr>
        <w:t>第二部分   谈判报价一览表</w:t>
      </w:r>
      <w:bookmarkEnd w:id="145"/>
      <w:bookmarkEnd w:id="146"/>
      <w:bookmarkEnd w:id="147"/>
      <w:bookmarkEnd w:id="148"/>
      <w:bookmarkEnd w:id="149"/>
      <w:bookmarkEnd w:id="150"/>
      <w:bookmarkEnd w:id="151"/>
      <w:bookmarkEnd w:id="152"/>
    </w:p>
    <w:p>
      <w:pPr>
        <w:widowControl/>
        <w:ind w:firstLine="480"/>
        <w:rPr>
          <w:rFonts w:hint="eastAsia" w:ascii="楷体" w:hAnsi="楷体" w:eastAsia="楷体" w:cs="楷体"/>
          <w:kern w:val="0"/>
          <w:lang w:eastAsia="zh-CN"/>
        </w:rPr>
      </w:pPr>
      <w:r>
        <w:rPr>
          <w:rFonts w:hint="eastAsia" w:ascii="楷体" w:hAnsi="楷体" w:cs="楷体"/>
          <w:kern w:val="0"/>
        </w:rPr>
        <w:t xml:space="preserve">                                                         </w:t>
      </w:r>
      <w:r>
        <w:rPr>
          <w:rFonts w:hint="eastAsia" w:ascii="楷体" w:hAnsi="楷体" w:cs="楷体"/>
          <w:kern w:val="0"/>
          <w:lang w:val="zh-CN"/>
        </w:rPr>
        <w:t>单位</w:t>
      </w:r>
      <w:r>
        <w:rPr>
          <w:rFonts w:hint="eastAsia" w:ascii="楷体" w:hAnsi="楷体" w:cs="楷体"/>
          <w:kern w:val="0"/>
        </w:rPr>
        <w:t xml:space="preserve"> </w:t>
      </w:r>
      <w:r>
        <w:rPr>
          <w:rFonts w:hint="eastAsia" w:ascii="楷体" w:hAnsi="楷体" w:cs="楷体"/>
          <w:kern w:val="0"/>
          <w:lang w:val="zh-CN"/>
        </w:rPr>
        <w:t>：元</w:t>
      </w:r>
    </w:p>
    <w:tbl>
      <w:tblPr>
        <w:tblStyle w:val="43"/>
        <w:tblW w:w="8249" w:type="dxa"/>
        <w:jc w:val="center"/>
        <w:tblLayout w:type="fixed"/>
        <w:tblCellMar>
          <w:top w:w="0" w:type="dxa"/>
          <w:left w:w="108" w:type="dxa"/>
          <w:bottom w:w="0" w:type="dxa"/>
          <w:right w:w="108" w:type="dxa"/>
        </w:tblCellMar>
      </w:tblPr>
      <w:tblGrid>
        <w:gridCol w:w="1759"/>
        <w:gridCol w:w="6490"/>
      </w:tblGrid>
      <w:tr>
        <w:tblPrEx>
          <w:tblCellMar>
            <w:top w:w="0" w:type="dxa"/>
            <w:left w:w="108" w:type="dxa"/>
            <w:bottom w:w="0" w:type="dxa"/>
            <w:right w:w="108" w:type="dxa"/>
          </w:tblCellMar>
        </w:tblPrEx>
        <w:trPr>
          <w:trHeight w:val="1025"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lang w:val="zh-CN"/>
              </w:rPr>
            </w:pPr>
            <w:r>
              <w:rPr>
                <w:rFonts w:hint="eastAsia" w:ascii="楷体" w:hAnsi="楷体" w:cs="楷体"/>
                <w:kern w:val="0"/>
              </w:rPr>
              <w:t>采购项目名称</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00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kern w:val="0"/>
              </w:rPr>
            </w:pPr>
            <w:r>
              <w:rPr>
                <w:rFonts w:hint="eastAsia" w:ascii="楷体" w:hAnsi="楷体" w:cs="楷体"/>
                <w:kern w:val="0"/>
              </w:rPr>
              <w:t>采购项目编号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00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default" w:ascii="楷体" w:hAnsi="楷体" w:eastAsia="楷体" w:cs="楷体"/>
                <w:kern w:val="0"/>
                <w:lang w:val="en-US" w:eastAsia="zh-CN"/>
              </w:rPr>
            </w:pPr>
            <w:r>
              <w:rPr>
                <w:rFonts w:hint="eastAsia" w:ascii="楷体" w:hAnsi="楷体" w:cs="楷体"/>
                <w:kern w:val="0"/>
                <w:lang w:val="en-US" w:eastAsia="zh-CN"/>
              </w:rPr>
              <w:t>供应商名称</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2453"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谈判报价</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highlight w:val="none"/>
                <w:u w:val="single"/>
              </w:rPr>
            </w:pPr>
            <w:r>
              <w:rPr>
                <w:rFonts w:hint="eastAsia"/>
                <w:highlight w:val="none"/>
              </w:rPr>
              <w:t>大写：</w:t>
            </w:r>
            <w:r>
              <w:rPr>
                <w:rFonts w:hint="eastAsia"/>
                <w:highlight w:val="none"/>
                <w:u w:val="single"/>
              </w:rPr>
              <w:t xml:space="preserve">                              </w:t>
            </w:r>
          </w:p>
          <w:p>
            <w:pPr>
              <w:pStyle w:val="37"/>
              <w:ind w:firstLine="0" w:firstLineChars="0"/>
              <w:jc w:val="left"/>
              <w:rPr>
                <w:rFonts w:ascii="楷体" w:hAnsi="楷体" w:cs="楷体"/>
                <w:kern w:val="0"/>
                <w:sz w:val="24"/>
                <w:highlight w:val="none"/>
              </w:rPr>
            </w:pPr>
          </w:p>
          <w:p>
            <w:pPr>
              <w:widowControl/>
              <w:ind w:firstLine="0" w:firstLineChars="0"/>
              <w:jc w:val="left"/>
              <w:rPr>
                <w:u w:val="single"/>
              </w:rPr>
            </w:pPr>
            <w:r>
              <w:rPr>
                <w:rFonts w:hint="eastAsia" w:ascii="楷体" w:hAnsi="楷体" w:cs="楷体"/>
                <w:kern w:val="0"/>
                <w:sz w:val="24"/>
                <w:highlight w:val="none"/>
              </w:rPr>
              <w:t>小写：</w:t>
            </w:r>
            <w:r>
              <w:rPr>
                <w:rFonts w:hint="eastAsia" w:ascii="楷体" w:hAnsi="楷体" w:cs="楷体"/>
                <w:kern w:val="0"/>
                <w:sz w:val="24"/>
                <w:highlight w:val="none"/>
                <w:u w:val="single"/>
              </w:rPr>
              <w:t xml:space="preserve">                              </w:t>
            </w: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交货期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976"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rPr>
              <w:t>质保期</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218" w:hRule="atLeast"/>
          <w:jc w:val="center"/>
        </w:trPr>
        <w:tc>
          <w:tcPr>
            <w:tcW w:w="175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b/>
                <w:bCs/>
                <w:kern w:val="0"/>
              </w:rPr>
              <w:t>备注</w:t>
            </w:r>
          </w:p>
        </w:tc>
        <w:tc>
          <w:tcPr>
            <w:tcW w:w="6490"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ascii="楷体" w:hAnsi="楷体" w:cs="楷体"/>
              </w:rPr>
            </w:pPr>
            <w:r>
              <w:rPr>
                <w:rFonts w:hint="eastAsia" w:ascii="楷体" w:hAnsi="楷体" w:cs="楷体"/>
                <w:b/>
                <w:bCs/>
              </w:rPr>
              <w:t>表内报价以元为单位，精确到小数点后两位。</w:t>
            </w: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lang w:val="zh-CN"/>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sectPr>
          <w:pgSz w:w="11906" w:h="16838"/>
          <w:pgMar w:top="1440" w:right="896" w:bottom="1440" w:left="1236" w:header="851" w:footer="992" w:gutter="0"/>
          <w:cols w:space="720" w:num="1"/>
          <w:docGrid w:linePitch="312" w:charSpace="0"/>
        </w:sectPr>
      </w:pPr>
    </w:p>
    <w:p>
      <w:pPr>
        <w:widowControl/>
        <w:ind w:firstLine="562"/>
        <w:jc w:val="center"/>
        <w:rPr>
          <w:rFonts w:hint="eastAsia" w:ascii="楷体" w:hAnsi="楷体" w:cs="楷体"/>
          <w:b/>
          <w:bCs/>
          <w:color w:val="000000" w:themeColor="text1"/>
          <w:kern w:val="0"/>
          <w:sz w:val="28"/>
          <w:szCs w:val="28"/>
          <w14:textFill>
            <w14:solidFill>
              <w14:schemeClr w14:val="tx1"/>
            </w14:solidFill>
          </w14:textFill>
        </w:rPr>
      </w:pPr>
      <w:bookmarkStart w:id="153" w:name="_Toc7087_WPSOffice_Level2"/>
      <w:bookmarkStart w:id="154" w:name="_Toc28774_WPSOffice_Level2"/>
    </w:p>
    <w:p>
      <w:pPr>
        <w:widowControl/>
        <w:ind w:firstLine="0" w:firstLineChars="0"/>
        <w:jc w:val="center"/>
        <w:rPr>
          <w:rFonts w:ascii="楷体" w:hAnsi="楷体" w:cs="楷体"/>
          <w:b/>
          <w:bCs/>
          <w:kern w:val="0"/>
          <w:sz w:val="28"/>
          <w:szCs w:val="28"/>
        </w:rPr>
      </w:pPr>
      <w:r>
        <w:rPr>
          <w:rFonts w:hint="eastAsia" w:ascii="楷体" w:hAnsi="楷体" w:cs="楷体"/>
          <w:b/>
          <w:bCs/>
          <w:kern w:val="0"/>
          <w:sz w:val="28"/>
          <w:szCs w:val="28"/>
          <w:lang w:val="en-US" w:eastAsia="zh-CN"/>
        </w:rPr>
        <w:t>分项报价</w:t>
      </w:r>
      <w:r>
        <w:rPr>
          <w:rFonts w:hint="eastAsia" w:ascii="楷体" w:hAnsi="楷体" w:cs="楷体"/>
          <w:b/>
          <w:bCs/>
          <w:kern w:val="0"/>
          <w:sz w:val="28"/>
          <w:szCs w:val="28"/>
        </w:rPr>
        <w:t>表</w:t>
      </w:r>
    </w:p>
    <w:p>
      <w:pPr>
        <w:widowControl/>
        <w:ind w:firstLine="480"/>
        <w:rPr>
          <w:rFonts w:hint="eastAsia"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3"/>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02"/>
        <w:gridCol w:w="2128"/>
        <w:gridCol w:w="1351"/>
        <w:gridCol w:w="1063"/>
        <w:gridCol w:w="1396"/>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1415"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序号</w:t>
            </w:r>
          </w:p>
        </w:tc>
        <w:tc>
          <w:tcPr>
            <w:tcW w:w="1402"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产品名称</w:t>
            </w:r>
          </w:p>
        </w:tc>
        <w:tc>
          <w:tcPr>
            <w:tcW w:w="2128"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规格型号/品牌</w:t>
            </w:r>
          </w:p>
        </w:tc>
        <w:tc>
          <w:tcPr>
            <w:tcW w:w="1351"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数 量</w:t>
            </w:r>
          </w:p>
        </w:tc>
        <w:tc>
          <w:tcPr>
            <w:tcW w:w="1063"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单 价</w:t>
            </w:r>
          </w:p>
        </w:tc>
        <w:tc>
          <w:tcPr>
            <w:tcW w:w="1396" w:type="dxa"/>
            <w:noWrap w:val="0"/>
            <w:vAlign w:val="center"/>
          </w:tcPr>
          <w:p>
            <w:pPr>
              <w:ind w:firstLine="0" w:firstLineChars="0"/>
              <w:jc w:val="center"/>
              <w:rPr>
                <w:rFonts w:hint="eastAsia" w:ascii="Times New Roman" w:hAnsi="Times New Roman" w:cs="Times New Roman"/>
              </w:rPr>
            </w:pPr>
            <w:r>
              <w:rPr>
                <w:rFonts w:hint="eastAsia" w:ascii="Times New Roman" w:hAnsi="Times New Roman" w:cs="Times New Roman"/>
              </w:rPr>
              <w:t>合 计</w:t>
            </w:r>
          </w:p>
        </w:tc>
        <w:tc>
          <w:tcPr>
            <w:tcW w:w="1169" w:type="dxa"/>
            <w:noWrap w:val="0"/>
            <w:vAlign w:val="center"/>
          </w:tcPr>
          <w:p>
            <w:pPr>
              <w:ind w:firstLine="0" w:firstLineChars="0"/>
              <w:jc w:val="center"/>
              <w:rPr>
                <w:rFonts w:hint="eastAsia" w:ascii="Times New Roman" w:hAnsi="Times New Roman" w:cs="Times New Roman"/>
              </w:rPr>
            </w:pPr>
            <w:r>
              <w:rPr>
                <w:rFonts w:hint="eastAsia"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415"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1</w:t>
            </w:r>
          </w:p>
        </w:tc>
        <w:tc>
          <w:tcPr>
            <w:tcW w:w="1402" w:type="dxa"/>
            <w:noWrap w:val="0"/>
            <w:vAlign w:val="center"/>
          </w:tcPr>
          <w:p>
            <w:pPr>
              <w:ind w:firstLine="480"/>
              <w:rPr>
                <w:rFonts w:ascii="Times New Roman" w:hAnsi="Times New Roman" w:cs="Times New Roman"/>
              </w:rPr>
            </w:pPr>
          </w:p>
        </w:tc>
        <w:tc>
          <w:tcPr>
            <w:tcW w:w="2128" w:type="dxa"/>
            <w:noWrap w:val="0"/>
            <w:vAlign w:val="center"/>
          </w:tcPr>
          <w:p>
            <w:pPr>
              <w:ind w:firstLine="480"/>
              <w:rPr>
                <w:rFonts w:ascii="Times New Roman" w:hAnsi="Times New Roman" w:cs="Times New Roman"/>
              </w:rPr>
            </w:pPr>
          </w:p>
        </w:tc>
        <w:tc>
          <w:tcPr>
            <w:tcW w:w="1351" w:type="dxa"/>
            <w:noWrap w:val="0"/>
            <w:vAlign w:val="center"/>
          </w:tcPr>
          <w:p>
            <w:pPr>
              <w:ind w:firstLine="480"/>
              <w:rPr>
                <w:rFonts w:ascii="Times New Roman" w:hAnsi="Times New Roman" w:cs="Times New Roman"/>
              </w:rPr>
            </w:pPr>
          </w:p>
        </w:tc>
        <w:tc>
          <w:tcPr>
            <w:tcW w:w="1063" w:type="dxa"/>
            <w:noWrap w:val="0"/>
            <w:vAlign w:val="center"/>
          </w:tcPr>
          <w:p>
            <w:pPr>
              <w:ind w:firstLine="480"/>
              <w:rPr>
                <w:rFonts w:ascii="Times New Roman" w:hAnsi="Times New Roman" w:cs="Times New Roman"/>
              </w:rPr>
            </w:pPr>
          </w:p>
        </w:tc>
        <w:tc>
          <w:tcPr>
            <w:tcW w:w="1396" w:type="dxa"/>
            <w:noWrap w:val="0"/>
            <w:vAlign w:val="center"/>
          </w:tcPr>
          <w:p>
            <w:pPr>
              <w:ind w:firstLine="480"/>
              <w:rPr>
                <w:rFonts w:ascii="Times New Roman" w:hAnsi="Times New Roman" w:cs="Times New Roman"/>
              </w:rPr>
            </w:pPr>
          </w:p>
        </w:tc>
        <w:tc>
          <w:tcPr>
            <w:tcW w:w="1169" w:type="dxa"/>
            <w:noWrap w:val="0"/>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415" w:type="dxa"/>
            <w:noWrap w:val="0"/>
            <w:vAlign w:val="center"/>
          </w:tcPr>
          <w:p>
            <w:pPr>
              <w:ind w:firstLine="480"/>
              <w:jc w:val="center"/>
              <w:rPr>
                <w:rFonts w:ascii="Times New Roman" w:hAnsi="Times New Roman" w:cs="Times New Roman"/>
              </w:rPr>
            </w:pPr>
          </w:p>
        </w:tc>
        <w:tc>
          <w:tcPr>
            <w:tcW w:w="1402" w:type="dxa"/>
            <w:noWrap w:val="0"/>
            <w:vAlign w:val="center"/>
          </w:tcPr>
          <w:p>
            <w:pPr>
              <w:ind w:firstLine="480"/>
              <w:rPr>
                <w:rFonts w:ascii="Times New Roman" w:hAnsi="Times New Roman" w:cs="Times New Roman"/>
              </w:rPr>
            </w:pPr>
          </w:p>
        </w:tc>
        <w:tc>
          <w:tcPr>
            <w:tcW w:w="2128" w:type="dxa"/>
            <w:noWrap w:val="0"/>
            <w:vAlign w:val="center"/>
          </w:tcPr>
          <w:p>
            <w:pPr>
              <w:ind w:firstLine="480"/>
              <w:rPr>
                <w:rFonts w:ascii="Times New Roman" w:hAnsi="Times New Roman" w:cs="Times New Roman"/>
              </w:rPr>
            </w:pPr>
          </w:p>
        </w:tc>
        <w:tc>
          <w:tcPr>
            <w:tcW w:w="1351" w:type="dxa"/>
            <w:noWrap w:val="0"/>
            <w:vAlign w:val="center"/>
          </w:tcPr>
          <w:p>
            <w:pPr>
              <w:ind w:firstLine="480"/>
              <w:rPr>
                <w:rFonts w:ascii="Times New Roman" w:hAnsi="Times New Roman" w:cs="Times New Roman"/>
              </w:rPr>
            </w:pPr>
          </w:p>
        </w:tc>
        <w:tc>
          <w:tcPr>
            <w:tcW w:w="1063" w:type="dxa"/>
            <w:noWrap w:val="0"/>
            <w:vAlign w:val="center"/>
          </w:tcPr>
          <w:p>
            <w:pPr>
              <w:ind w:firstLine="480"/>
              <w:rPr>
                <w:rFonts w:ascii="Times New Roman" w:hAnsi="Times New Roman" w:cs="Times New Roman"/>
              </w:rPr>
            </w:pPr>
          </w:p>
        </w:tc>
        <w:tc>
          <w:tcPr>
            <w:tcW w:w="1396" w:type="dxa"/>
            <w:noWrap w:val="0"/>
            <w:vAlign w:val="center"/>
          </w:tcPr>
          <w:p>
            <w:pPr>
              <w:ind w:firstLine="480"/>
              <w:rPr>
                <w:rFonts w:ascii="Times New Roman" w:hAnsi="Times New Roman" w:cs="Times New Roman"/>
              </w:rPr>
            </w:pPr>
          </w:p>
        </w:tc>
        <w:tc>
          <w:tcPr>
            <w:tcW w:w="1169" w:type="dxa"/>
            <w:noWrap w:val="0"/>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415" w:type="dxa"/>
            <w:noWrap w:val="0"/>
            <w:vAlign w:val="center"/>
          </w:tcPr>
          <w:p>
            <w:pPr>
              <w:ind w:firstLine="0" w:firstLineChars="0"/>
              <w:jc w:val="center"/>
              <w:rPr>
                <w:rFonts w:ascii="Times New Roman" w:hAnsi="Times New Roman" w:cs="Times New Roman"/>
              </w:rPr>
            </w:pPr>
            <w:r>
              <w:rPr>
                <w:rFonts w:hint="eastAsia" w:ascii="Times New Roman" w:hAnsi="Times New Roman" w:cs="Times New Roman"/>
              </w:rPr>
              <w:t>…</w:t>
            </w:r>
          </w:p>
        </w:tc>
        <w:tc>
          <w:tcPr>
            <w:tcW w:w="1402" w:type="dxa"/>
            <w:noWrap w:val="0"/>
            <w:vAlign w:val="center"/>
          </w:tcPr>
          <w:p>
            <w:pPr>
              <w:ind w:firstLine="480"/>
              <w:rPr>
                <w:rFonts w:ascii="Times New Roman" w:hAnsi="Times New Roman" w:cs="Times New Roman"/>
              </w:rPr>
            </w:pPr>
          </w:p>
        </w:tc>
        <w:tc>
          <w:tcPr>
            <w:tcW w:w="2128" w:type="dxa"/>
            <w:noWrap w:val="0"/>
            <w:vAlign w:val="center"/>
          </w:tcPr>
          <w:p>
            <w:pPr>
              <w:ind w:firstLine="480"/>
              <w:rPr>
                <w:rFonts w:ascii="Times New Roman" w:hAnsi="Times New Roman" w:cs="Times New Roman"/>
              </w:rPr>
            </w:pPr>
          </w:p>
        </w:tc>
        <w:tc>
          <w:tcPr>
            <w:tcW w:w="1351" w:type="dxa"/>
            <w:noWrap w:val="0"/>
            <w:vAlign w:val="center"/>
          </w:tcPr>
          <w:p>
            <w:pPr>
              <w:ind w:firstLine="480"/>
              <w:rPr>
                <w:rFonts w:ascii="Times New Roman" w:hAnsi="Times New Roman" w:cs="Times New Roman"/>
              </w:rPr>
            </w:pPr>
          </w:p>
        </w:tc>
        <w:tc>
          <w:tcPr>
            <w:tcW w:w="1063" w:type="dxa"/>
            <w:noWrap w:val="0"/>
            <w:vAlign w:val="center"/>
          </w:tcPr>
          <w:p>
            <w:pPr>
              <w:ind w:firstLine="480"/>
              <w:rPr>
                <w:rFonts w:ascii="Times New Roman" w:hAnsi="Times New Roman" w:cs="Times New Roman"/>
              </w:rPr>
            </w:pPr>
          </w:p>
        </w:tc>
        <w:tc>
          <w:tcPr>
            <w:tcW w:w="1396" w:type="dxa"/>
            <w:noWrap w:val="0"/>
            <w:vAlign w:val="center"/>
          </w:tcPr>
          <w:p>
            <w:pPr>
              <w:ind w:firstLine="480"/>
              <w:rPr>
                <w:rFonts w:ascii="Times New Roman" w:hAnsi="Times New Roman" w:cs="Times New Roman"/>
              </w:rPr>
            </w:pPr>
          </w:p>
        </w:tc>
        <w:tc>
          <w:tcPr>
            <w:tcW w:w="1169" w:type="dxa"/>
            <w:noWrap w:val="0"/>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415" w:type="dxa"/>
            <w:noWrap w:val="0"/>
            <w:vAlign w:val="center"/>
          </w:tcPr>
          <w:p>
            <w:pPr>
              <w:ind w:firstLine="0" w:firstLineChars="0"/>
              <w:jc w:val="center"/>
              <w:rPr>
                <w:rFonts w:ascii="Times New Roman" w:hAnsi="Times New Roman" w:cs="Times New Roman"/>
              </w:rPr>
            </w:pPr>
            <w:r>
              <w:rPr>
                <w:rFonts w:ascii="Times New Roman" w:hAnsi="Times New Roman" w:cs="Times New Roman"/>
              </w:rPr>
              <w:t>N</w:t>
            </w:r>
          </w:p>
        </w:tc>
        <w:tc>
          <w:tcPr>
            <w:tcW w:w="1402" w:type="dxa"/>
            <w:noWrap w:val="0"/>
            <w:vAlign w:val="center"/>
          </w:tcPr>
          <w:p>
            <w:pPr>
              <w:ind w:firstLine="480"/>
              <w:rPr>
                <w:rFonts w:ascii="Times New Roman" w:hAnsi="Times New Roman" w:cs="Times New Roman"/>
              </w:rPr>
            </w:pPr>
          </w:p>
        </w:tc>
        <w:tc>
          <w:tcPr>
            <w:tcW w:w="2128" w:type="dxa"/>
            <w:noWrap w:val="0"/>
            <w:vAlign w:val="center"/>
          </w:tcPr>
          <w:p>
            <w:pPr>
              <w:ind w:firstLine="480"/>
              <w:rPr>
                <w:rFonts w:ascii="Times New Roman" w:hAnsi="Times New Roman" w:cs="Times New Roman"/>
              </w:rPr>
            </w:pPr>
          </w:p>
        </w:tc>
        <w:tc>
          <w:tcPr>
            <w:tcW w:w="1351" w:type="dxa"/>
            <w:noWrap w:val="0"/>
            <w:vAlign w:val="center"/>
          </w:tcPr>
          <w:p>
            <w:pPr>
              <w:ind w:firstLine="480"/>
              <w:rPr>
                <w:rFonts w:ascii="Times New Roman" w:hAnsi="Times New Roman" w:cs="Times New Roman"/>
              </w:rPr>
            </w:pPr>
          </w:p>
        </w:tc>
        <w:tc>
          <w:tcPr>
            <w:tcW w:w="1063" w:type="dxa"/>
            <w:noWrap w:val="0"/>
            <w:vAlign w:val="center"/>
          </w:tcPr>
          <w:p>
            <w:pPr>
              <w:ind w:firstLine="480"/>
              <w:rPr>
                <w:rFonts w:ascii="Times New Roman" w:hAnsi="Times New Roman" w:cs="Times New Roman"/>
              </w:rPr>
            </w:pPr>
          </w:p>
        </w:tc>
        <w:tc>
          <w:tcPr>
            <w:tcW w:w="1396" w:type="dxa"/>
            <w:noWrap w:val="0"/>
            <w:vAlign w:val="center"/>
          </w:tcPr>
          <w:p>
            <w:pPr>
              <w:ind w:firstLine="480"/>
              <w:rPr>
                <w:rFonts w:ascii="Times New Roman" w:hAnsi="Times New Roman" w:cs="Times New Roman"/>
              </w:rPr>
            </w:pPr>
          </w:p>
        </w:tc>
        <w:tc>
          <w:tcPr>
            <w:tcW w:w="1169" w:type="dxa"/>
            <w:noWrap w:val="0"/>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415" w:type="dxa"/>
            <w:noWrap w:val="0"/>
            <w:vAlign w:val="center"/>
          </w:tcPr>
          <w:p>
            <w:pPr>
              <w:pStyle w:val="37"/>
              <w:ind w:firstLine="0" w:firstLineChars="0"/>
              <w:rPr>
                <w:rFonts w:ascii="Times New Roman" w:hAnsi="Times New Roman" w:cs="Times New Roman"/>
              </w:rPr>
            </w:pPr>
            <w:r>
              <w:rPr>
                <w:rFonts w:hint="eastAsia" w:ascii="楷体" w:hAnsi="楷体" w:eastAsia="楷体" w:cs="楷体"/>
                <w:kern w:val="0"/>
                <w:sz w:val="24"/>
              </w:rPr>
              <w:t>总价合计：</w:t>
            </w:r>
          </w:p>
        </w:tc>
        <w:tc>
          <w:tcPr>
            <w:tcW w:w="8509" w:type="dxa"/>
            <w:gridSpan w:val="6"/>
            <w:noWrap w:val="0"/>
            <w:vAlign w:val="center"/>
          </w:tcPr>
          <w:p>
            <w:pPr>
              <w:pStyle w:val="37"/>
              <w:ind w:firstLine="0" w:firstLineChars="0"/>
              <w:rPr>
                <w:rFonts w:ascii="Times New Roman" w:hAnsi="Times New Roman" w:cs="Times New Roman"/>
              </w:rPr>
            </w:pPr>
            <w:r>
              <w:rPr>
                <w:rFonts w:hint="eastAsia" w:ascii="楷体" w:hAnsi="楷体" w:eastAsia="楷体" w:cs="楷体"/>
                <w:kern w:val="0"/>
                <w:sz w:val="24"/>
              </w:rPr>
              <w:t>大写</w:t>
            </w:r>
            <w:r>
              <w:rPr>
                <w:rFonts w:hint="eastAsia" w:ascii="楷体" w:hAnsi="楷体" w:eastAsia="楷体" w:cs="楷体"/>
                <w:kern w:val="0"/>
                <w:sz w:val="24"/>
                <w:lang w:eastAsia="zh-CN"/>
              </w:rPr>
              <w:t>：</w:t>
            </w:r>
            <w:r>
              <w:rPr>
                <w:rFonts w:hint="eastAsia" w:ascii="楷体" w:hAnsi="楷体" w:eastAsia="楷体" w:cs="楷体"/>
                <w:kern w:val="0"/>
                <w:sz w:val="24"/>
                <w:u w:val="none"/>
              </w:rPr>
              <w:t xml:space="preserve">               （￥         元）</w:t>
            </w:r>
          </w:p>
        </w:tc>
      </w:tr>
    </w:tbl>
    <w:p>
      <w:pPr>
        <w:widowControl w:val="0"/>
        <w:spacing w:line="360" w:lineRule="auto"/>
        <w:ind w:firstLine="480" w:firstLineChars="200"/>
        <w:jc w:val="both"/>
        <w:rPr>
          <w:rFonts w:ascii="楷体" w:hAnsi="楷体" w:eastAsia="楷体" w:cs="楷体"/>
          <w:kern w:val="0"/>
          <w:sz w:val="24"/>
          <w:szCs w:val="24"/>
          <w:lang w:val="en-US" w:eastAsia="zh-CN" w:bidi="ar-SA"/>
        </w:rPr>
      </w:pPr>
    </w:p>
    <w:p>
      <w:pPr>
        <w:kinsoku w:val="0"/>
        <w:ind w:left="479" w:leftChars="100" w:hanging="239" w:hangingChars="99"/>
        <w:jc w:val="left"/>
        <w:rPr>
          <w:rFonts w:ascii="楷体" w:hAnsi="楷体" w:cs="楷体"/>
        </w:rPr>
      </w:pPr>
      <w:r>
        <w:rPr>
          <w:rFonts w:hint="eastAsia" w:ascii="楷体" w:hAnsi="楷体" w:cs="楷体"/>
          <w:b/>
        </w:rPr>
        <w:t>注：</w:t>
      </w:r>
      <w:r>
        <w:rPr>
          <w:rFonts w:hint="eastAsia" w:ascii="楷体" w:hAnsi="楷体" w:cs="楷体"/>
        </w:rPr>
        <w:t>1、如果不提供详细分项报价将视为没有实质性响应</w:t>
      </w:r>
      <w:r>
        <w:rPr>
          <w:rFonts w:hint="eastAsia" w:ascii="楷体" w:hAnsi="楷体" w:cs="楷体"/>
          <w:lang w:val="en-US" w:eastAsia="zh-CN"/>
        </w:rPr>
        <w:t>采购</w:t>
      </w:r>
      <w:r>
        <w:rPr>
          <w:rFonts w:hint="eastAsia" w:ascii="楷体" w:hAnsi="楷体" w:cs="楷体"/>
        </w:rPr>
        <w:t>文件；</w:t>
      </w:r>
    </w:p>
    <w:p>
      <w:pPr>
        <w:kinsoku w:val="0"/>
        <w:ind w:firstLine="720" w:firstLineChars="300"/>
        <w:jc w:val="left"/>
        <w:rPr>
          <w:rFonts w:ascii="楷体" w:hAnsi="楷体" w:cs="楷体"/>
        </w:rPr>
      </w:pPr>
      <w:r>
        <w:rPr>
          <w:rFonts w:hint="eastAsia" w:ascii="楷体" w:hAnsi="楷体" w:cs="楷体"/>
        </w:rPr>
        <w:t>2、分项报价表列出报价的分项明细，明细合计应与</w:t>
      </w:r>
      <w:r>
        <w:rPr>
          <w:rFonts w:hint="eastAsia" w:ascii="楷体" w:hAnsi="楷体" w:cs="楷体"/>
          <w:lang w:val="zh-CN"/>
        </w:rPr>
        <w:t>谈判报价</w:t>
      </w:r>
      <w:r>
        <w:rPr>
          <w:rFonts w:hint="eastAsia" w:ascii="楷体" w:hAnsi="楷体" w:cs="楷体"/>
        </w:rPr>
        <w:t>一览表一致。</w:t>
      </w:r>
    </w:p>
    <w:p>
      <w:pPr>
        <w:kinsoku w:val="0"/>
        <w:ind w:left="720" w:leftChars="300" w:firstLine="0" w:firstLineChars="0"/>
        <w:jc w:val="left"/>
        <w:rPr>
          <w:rFonts w:ascii="楷体" w:hAnsi="楷体" w:cs="楷体"/>
        </w:rPr>
      </w:pPr>
      <w:r>
        <w:rPr>
          <w:rFonts w:hint="eastAsia" w:ascii="楷体" w:hAnsi="楷体" w:cs="楷体"/>
        </w:rPr>
        <w:t>3、所有根据合同或其它原因应由供应商支付的税款和其它应交纳的费用都要包括在供应商提交的</w:t>
      </w:r>
      <w:r>
        <w:rPr>
          <w:rFonts w:hint="eastAsia" w:ascii="楷体" w:hAnsi="楷体" w:cs="楷体"/>
          <w:lang w:val="en-US" w:eastAsia="zh-CN"/>
        </w:rPr>
        <w:t>报价</w:t>
      </w:r>
      <w:r>
        <w:rPr>
          <w:rFonts w:hint="eastAsia" w:ascii="楷体" w:hAnsi="楷体" w:cs="楷体"/>
        </w:rPr>
        <w:t>中；</w:t>
      </w:r>
    </w:p>
    <w:p>
      <w:pPr>
        <w:widowControl w:val="0"/>
        <w:spacing w:after="120" w:line="360" w:lineRule="auto"/>
        <w:ind w:left="240" w:leftChars="100" w:firstLine="480" w:firstLineChars="200"/>
        <w:jc w:val="both"/>
        <w:rPr>
          <w:rFonts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4、应包含服务与货物运至最终目的地的运输、保险、安装调试和伴随服务的其他所有费用。</w:t>
      </w:r>
    </w:p>
    <w:p>
      <w:pPr>
        <w:widowControl w:val="0"/>
        <w:spacing w:after="120" w:line="360" w:lineRule="auto"/>
        <w:ind w:left="480" w:leftChars="200" w:firstLine="480" w:firstLineChars="200"/>
        <w:jc w:val="both"/>
        <w:rPr>
          <w:rFonts w:hint="eastAsia" w:ascii="楷体" w:hAnsi="楷体" w:eastAsia="楷体" w:cs="楷体"/>
          <w:kern w:val="0"/>
          <w:sz w:val="24"/>
          <w:szCs w:val="24"/>
          <w:lang w:val="en-US" w:eastAsia="zh-CN" w:bidi="ar-SA"/>
        </w:rPr>
      </w:pPr>
    </w:p>
    <w:p>
      <w:pPr>
        <w:widowControl w:val="0"/>
        <w:spacing w:line="360" w:lineRule="auto"/>
        <w:ind w:firstLine="482" w:firstLineChars="200"/>
        <w:jc w:val="both"/>
        <w:rPr>
          <w:rFonts w:hint="eastAsia" w:ascii="楷体" w:hAnsi="楷体" w:eastAsia="楷体" w:cs="楷体"/>
          <w:b/>
          <w:kern w:val="2"/>
          <w:sz w:val="24"/>
          <w:szCs w:val="24"/>
          <w:lang w:val="en-US" w:eastAsia="zh-CN" w:bidi="ar-SA"/>
        </w:rPr>
      </w:pPr>
    </w:p>
    <w:p>
      <w:pPr>
        <w:widowControl/>
        <w:ind w:firstLine="480"/>
        <w:rPr>
          <w:rFonts w:hint="eastAsia" w:ascii="楷体" w:hAnsi="楷体" w:cs="楷体"/>
          <w:kern w:val="0"/>
        </w:rPr>
      </w:pPr>
      <w:r>
        <w:rPr>
          <w:rFonts w:hint="eastAsia" w:ascii="楷体" w:hAnsi="楷体" w:cs="楷体"/>
          <w:kern w:val="0"/>
          <w:lang w:val="en-US" w:eastAsia="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hint="eastAsia" w:ascii="楷体" w:hAnsi="楷体" w:cs="楷体"/>
          <w:kern w:val="0"/>
        </w:rPr>
      </w:pPr>
    </w:p>
    <w:p>
      <w:pPr>
        <w:widowControl/>
        <w:ind w:firstLine="480"/>
        <w:rPr>
          <w:rFonts w:hint="eastAsia"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hint="eastAsia" w:ascii="楷体" w:hAnsi="楷体" w:cs="楷体"/>
          <w:kern w:val="0"/>
          <w:lang w:val="zh-CN"/>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年       月      日</w:t>
      </w:r>
    </w:p>
    <w:p>
      <w:pPr>
        <w:widowControl/>
        <w:ind w:firstLine="562"/>
        <w:jc w:val="center"/>
        <w:rPr>
          <w:rFonts w:hint="eastAsia" w:ascii="楷体" w:hAnsi="楷体" w:cs="楷体"/>
          <w:b/>
          <w:bCs/>
          <w:color w:val="000000" w:themeColor="text1"/>
          <w:kern w:val="0"/>
          <w:sz w:val="28"/>
          <w:szCs w:val="28"/>
          <w14:textFill>
            <w14:solidFill>
              <w14:schemeClr w14:val="tx1"/>
            </w14:solidFill>
          </w14:textFill>
        </w:rPr>
      </w:pPr>
      <w:r>
        <w:rPr>
          <w:rFonts w:hint="eastAsia" w:ascii="楷体" w:hAnsi="楷体" w:cs="楷体"/>
          <w:b/>
          <w:bCs/>
          <w:kern w:val="0"/>
        </w:rPr>
        <w:br w:type="page"/>
      </w:r>
    </w:p>
    <w:bookmarkEnd w:id="153"/>
    <w:p>
      <w:pPr>
        <w:widowControl/>
        <w:ind w:firstLine="482"/>
        <w:jc w:val="center"/>
        <w:rPr>
          <w:rFonts w:ascii="楷体" w:hAnsi="楷体" w:cs="楷体"/>
          <w:b/>
          <w:bCs/>
          <w:kern w:val="0"/>
          <w:sz w:val="28"/>
          <w:szCs w:val="28"/>
        </w:rPr>
      </w:pPr>
      <w:r>
        <w:rPr>
          <w:rFonts w:hint="eastAsia" w:ascii="楷体" w:hAnsi="楷体" w:cs="楷体"/>
          <w:b/>
          <w:bCs/>
          <w:kern w:val="0"/>
          <w:sz w:val="28"/>
          <w:szCs w:val="28"/>
        </w:rPr>
        <w:t>节能环保、环境标志产品明细表</w:t>
      </w:r>
    </w:p>
    <w:p>
      <w:pPr>
        <w:widowControl/>
        <w:ind w:firstLine="480"/>
        <w:rPr>
          <w:rFonts w:hint="eastAsia" w:ascii="楷体" w:hAnsi="楷体" w:cs="楷体"/>
          <w:kern w:val="0"/>
        </w:rPr>
      </w:pPr>
    </w:p>
    <w:p>
      <w:pPr>
        <w:widowControl/>
        <w:ind w:firstLine="480"/>
        <w:rPr>
          <w:rFonts w:ascii="Times New Roman" w:hAnsi="Times New Roman" w:cs="Times New Roman"/>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3"/>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序</w:t>
            </w:r>
          </w:p>
          <w:p>
            <w:pPr>
              <w:ind w:firstLine="0" w:firstLineChars="0"/>
              <w:jc w:val="center"/>
              <w:rPr>
                <w:rFonts w:ascii="Times New Roman" w:hAnsi="Times New Roman" w:cs="Times New Roman"/>
              </w:rPr>
            </w:pPr>
            <w:r>
              <w:rPr>
                <w:rFonts w:hint="eastAsia" w:ascii="Times New Roman" w:hAnsi="Times New Roman" w:cs="Times New Roman"/>
              </w:rPr>
              <w:t>号</w:t>
            </w:r>
          </w:p>
        </w:tc>
        <w:tc>
          <w:tcPr>
            <w:tcW w:w="1554"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产品</w:t>
            </w:r>
          </w:p>
          <w:p>
            <w:pPr>
              <w:ind w:firstLine="0" w:firstLineChars="0"/>
              <w:jc w:val="center"/>
              <w:rPr>
                <w:rFonts w:ascii="Times New Roman" w:hAnsi="Times New Roman" w:cs="Times New Roman"/>
              </w:rPr>
            </w:pPr>
            <w:r>
              <w:rPr>
                <w:rFonts w:hint="eastAsia" w:ascii="Times New Roman" w:hAnsi="Times New Roman" w:cs="Times New Roman"/>
              </w:rPr>
              <w:t>名称</w:t>
            </w:r>
          </w:p>
        </w:tc>
        <w:tc>
          <w:tcPr>
            <w:tcW w:w="1036" w:type="dxa"/>
            <w:tcBorders>
              <w:top w:val="single" w:color="auto" w:sz="6" w:space="0"/>
              <w:left w:val="single" w:color="auto" w:sz="6" w:space="0"/>
              <w:bottom w:val="single" w:color="auto" w:sz="6" w:space="0"/>
              <w:right w:val="single" w:color="auto" w:sz="4"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制造</w:t>
            </w:r>
          </w:p>
          <w:p>
            <w:pPr>
              <w:ind w:firstLine="0" w:firstLineChars="0"/>
              <w:jc w:val="center"/>
              <w:rPr>
                <w:rFonts w:ascii="Times New Roman" w:hAnsi="Times New Roman" w:cs="Times New Roman"/>
              </w:rPr>
            </w:pPr>
            <w:r>
              <w:rPr>
                <w:rFonts w:hint="eastAsia" w:ascii="Times New Roman" w:hAnsi="Times New Roman" w:cs="Times New Roman"/>
              </w:rPr>
              <w:t>厂家</w:t>
            </w:r>
          </w:p>
        </w:tc>
        <w:tc>
          <w:tcPr>
            <w:tcW w:w="1036" w:type="dxa"/>
            <w:tcBorders>
              <w:top w:val="single" w:color="auto" w:sz="6" w:space="0"/>
              <w:left w:val="single" w:color="auto" w:sz="4"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规格</w:t>
            </w:r>
          </w:p>
          <w:p>
            <w:pPr>
              <w:ind w:firstLine="0" w:firstLineChars="0"/>
              <w:jc w:val="center"/>
              <w:rPr>
                <w:rFonts w:ascii="Times New Roman" w:hAnsi="Times New Roman" w:cs="Times New Roman"/>
              </w:rPr>
            </w:pPr>
            <w:r>
              <w:rPr>
                <w:rFonts w:hint="eastAsia" w:ascii="Times New Roman" w:hAnsi="Times New Roman" w:cs="Times New Roman"/>
              </w:rPr>
              <w:t>型号</w:t>
            </w: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r>
              <w:rPr>
                <w:rFonts w:hint="eastAsia" w:ascii="Times New Roman" w:hAnsi="Times New Roman" w:cs="Times New Roman"/>
              </w:rPr>
              <w:t>类</w:t>
            </w:r>
          </w:p>
          <w:p>
            <w:pPr>
              <w:ind w:firstLine="0" w:firstLineChars="0"/>
              <w:jc w:val="center"/>
              <w:rPr>
                <w:rFonts w:ascii="Times New Roman" w:hAnsi="Times New Roman" w:cs="Times New Roman"/>
              </w:rPr>
            </w:pPr>
            <w:r>
              <w:rPr>
                <w:rFonts w:hint="eastAsia" w:ascii="Times New Roman" w:hAnsi="Times New Roman" w:cs="Times New Roman"/>
              </w:rPr>
              <w:t>别</w:t>
            </w:r>
          </w:p>
        </w:tc>
        <w:tc>
          <w:tcPr>
            <w:tcW w:w="1676"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认证证书</w:t>
            </w:r>
          </w:p>
          <w:p>
            <w:pPr>
              <w:ind w:firstLine="0" w:firstLineChars="0"/>
              <w:jc w:val="center"/>
              <w:rPr>
                <w:rFonts w:ascii="Times New Roman" w:hAnsi="Times New Roman" w:cs="Times New Roman"/>
              </w:rPr>
            </w:pPr>
            <w:r>
              <w:rPr>
                <w:rFonts w:hint="eastAsia" w:ascii="Times New Roman" w:hAnsi="Times New Roman" w:cs="Times New Roman"/>
              </w:rPr>
              <w:t>编号</w:t>
            </w:r>
          </w:p>
        </w:tc>
        <w:tc>
          <w:tcPr>
            <w:tcW w:w="716"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数</w:t>
            </w:r>
          </w:p>
          <w:p>
            <w:pPr>
              <w:ind w:firstLine="0" w:firstLineChars="0"/>
              <w:jc w:val="center"/>
              <w:rPr>
                <w:rFonts w:ascii="Times New Roman" w:hAnsi="Times New Roman" w:cs="Times New Roman"/>
              </w:rPr>
            </w:pPr>
            <w:r>
              <w:rPr>
                <w:rFonts w:hint="eastAsia" w:ascii="Times New Roman" w:hAnsi="Times New Roman" w:cs="Times New Roman"/>
              </w:rPr>
              <w:t>量</w:t>
            </w:r>
          </w:p>
        </w:tc>
        <w:tc>
          <w:tcPr>
            <w:tcW w:w="716"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单</w:t>
            </w:r>
          </w:p>
          <w:p>
            <w:pPr>
              <w:ind w:firstLine="0" w:firstLineChars="0"/>
              <w:jc w:val="center"/>
              <w:rPr>
                <w:rFonts w:ascii="Times New Roman" w:hAnsi="Times New Roman" w:cs="Times New Roman"/>
              </w:rPr>
            </w:pPr>
            <w:r>
              <w:rPr>
                <w:rFonts w:hint="eastAsia" w:ascii="Times New Roman" w:hAnsi="Times New Roman" w:cs="Times New Roman"/>
              </w:rPr>
              <w:t>价</w:t>
            </w:r>
          </w:p>
        </w:tc>
        <w:tc>
          <w:tcPr>
            <w:tcW w:w="716" w:type="dxa"/>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总</w:t>
            </w:r>
          </w:p>
          <w:p>
            <w:pPr>
              <w:ind w:firstLine="0" w:firstLineChars="0"/>
              <w:jc w:val="center"/>
              <w:rPr>
                <w:rFonts w:ascii="Times New Roman" w:hAnsi="Times New Roman" w:cs="Times New Roman"/>
              </w:rPr>
            </w:pPr>
            <w:r>
              <w:rPr>
                <w:rFonts w:hint="eastAsia" w:ascii="Times New Roman" w:hAnsi="Times New Roman" w:cs="Times New Roman"/>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554"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6" w:space="0"/>
              <w:bottom w:val="single" w:color="auto" w:sz="6" w:space="0"/>
              <w:right w:val="single" w:color="auto" w:sz="4"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4"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67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554"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6" w:space="0"/>
              <w:bottom w:val="single" w:color="auto" w:sz="6" w:space="0"/>
              <w:right w:val="single" w:color="auto" w:sz="4"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4"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67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554"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6" w:space="0"/>
              <w:bottom w:val="single" w:color="auto" w:sz="6" w:space="0"/>
              <w:right w:val="single" w:color="auto" w:sz="4"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4"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67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554"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6" w:space="0"/>
              <w:bottom w:val="single" w:color="auto" w:sz="6" w:space="0"/>
              <w:right w:val="single" w:color="auto" w:sz="4"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4"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67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554"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6" w:space="0"/>
              <w:bottom w:val="single" w:color="auto" w:sz="6" w:space="0"/>
              <w:right w:val="single" w:color="auto" w:sz="4" w:space="0"/>
            </w:tcBorders>
            <w:noWrap/>
            <w:vAlign w:val="top"/>
          </w:tcPr>
          <w:p>
            <w:pPr>
              <w:ind w:firstLine="0" w:firstLineChars="0"/>
              <w:jc w:val="center"/>
              <w:rPr>
                <w:rFonts w:ascii="Times New Roman" w:hAnsi="Times New Roman" w:cs="Times New Roman"/>
              </w:rPr>
            </w:pPr>
          </w:p>
        </w:tc>
        <w:tc>
          <w:tcPr>
            <w:tcW w:w="1036" w:type="dxa"/>
            <w:tcBorders>
              <w:top w:val="single" w:color="auto" w:sz="6" w:space="0"/>
              <w:left w:val="single" w:color="auto" w:sz="4"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167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c>
          <w:tcPr>
            <w:tcW w:w="716" w:type="dxa"/>
            <w:tcBorders>
              <w:top w:val="single" w:color="auto" w:sz="6" w:space="0"/>
              <w:left w:val="single" w:color="auto" w:sz="6" w:space="0"/>
              <w:bottom w:val="single" w:color="auto" w:sz="6" w:space="0"/>
              <w:right w:val="single" w:color="auto" w:sz="6" w:space="0"/>
            </w:tcBorders>
            <w:noWrap/>
            <w:vAlign w:val="top"/>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r>
              <w:rPr>
                <w:rFonts w:hint="eastAsia" w:ascii="Times New Roman" w:hAnsi="Times New Roman" w:cs="Times New Roman"/>
              </w:rPr>
              <w:t>占</w:t>
            </w:r>
            <w:r>
              <w:rPr>
                <w:rFonts w:hint="eastAsia" w:ascii="Times New Roman" w:hAnsi="Times New Roman" w:cs="Times New Roman"/>
                <w:lang w:val="en-US" w:eastAsia="zh-CN"/>
              </w:rPr>
              <w:t>报价</w:t>
            </w:r>
            <w:r>
              <w:rPr>
                <w:rFonts w:hint="eastAsia" w:ascii="Times New Roman" w:hAnsi="Times New Roman" w:cs="Times New Roman"/>
              </w:rPr>
              <w:t>总价的百分比（%）</w:t>
            </w:r>
          </w:p>
        </w:tc>
        <w:tc>
          <w:tcPr>
            <w:tcW w:w="3824" w:type="dxa"/>
            <w:gridSpan w:val="4"/>
            <w:tcBorders>
              <w:top w:val="single" w:color="auto" w:sz="6" w:space="0"/>
              <w:left w:val="single" w:color="auto" w:sz="6" w:space="0"/>
              <w:bottom w:val="single" w:color="auto" w:sz="6" w:space="0"/>
              <w:right w:val="single" w:color="auto" w:sz="6" w:space="0"/>
            </w:tcBorders>
            <w:noWrap/>
            <w:vAlign w:val="center"/>
          </w:tcPr>
          <w:p>
            <w:pPr>
              <w:ind w:firstLine="0" w:firstLineChars="0"/>
              <w:jc w:val="center"/>
              <w:rPr>
                <w:rFonts w:ascii="Times New Roman" w:hAnsi="Times New Roman" w:cs="Times New Roman"/>
              </w:rPr>
            </w:pPr>
          </w:p>
        </w:tc>
      </w:tr>
    </w:tbl>
    <w:p>
      <w:pPr>
        <w:ind w:left="1320" w:leftChars="200" w:hanging="840" w:hangingChars="350"/>
        <w:jc w:val="left"/>
        <w:rPr>
          <w:rFonts w:ascii="Times New Roman" w:hAnsi="Times New Roman" w:cs="Times New Roman"/>
        </w:rPr>
      </w:pPr>
      <w:r>
        <w:rPr>
          <w:rFonts w:hint="eastAsia" w:ascii="Times New Roman" w:hAnsi="Times New Roman" w:cs="Times New Roman"/>
        </w:rPr>
        <w:t>注：1、如产品为节能环保、环境标志产品，须按格式逐项填写，并附相关证明，否则评审时不予计分。</w:t>
      </w:r>
    </w:p>
    <w:p>
      <w:pPr>
        <w:ind w:firstLine="960" w:firstLineChars="400"/>
        <w:jc w:val="left"/>
        <w:rPr>
          <w:rFonts w:ascii="Times New Roman" w:hAnsi="Times New Roman" w:cs="Times New Roman"/>
        </w:rPr>
      </w:pPr>
      <w:bookmarkStart w:id="155" w:name="_Toc25494_WPSOffice_Level2"/>
      <w:r>
        <w:rPr>
          <w:rFonts w:hint="eastAsia" w:ascii="Times New Roman" w:hAnsi="Times New Roman" w:cs="Times New Roman"/>
        </w:rPr>
        <w:t>2、类别填写：节能环保产品或环境标志产品。</w:t>
      </w:r>
      <w:bookmarkEnd w:id="155"/>
    </w:p>
    <w:p>
      <w:pPr>
        <w:widowControl/>
        <w:ind w:firstLine="480"/>
        <w:rPr>
          <w:rFonts w:ascii="楷体" w:hAnsi="楷体" w:cs="楷体"/>
          <w:color w:val="000000" w:themeColor="text1"/>
          <w:kern w:val="0"/>
          <w:lang w:val="zh-CN"/>
          <w14:textFill>
            <w14:solidFill>
              <w14:schemeClr w14:val="tx1"/>
            </w14:solidFill>
          </w14:textFill>
        </w:rPr>
      </w:pP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供应商</w:t>
      </w:r>
      <w:r>
        <w:rPr>
          <w:rFonts w:hint="eastAsia" w:ascii="楷体" w:hAnsi="楷体" w:cs="楷体"/>
          <w:color w:val="000000" w:themeColor="text1"/>
          <w:kern w:val="0"/>
          <w14:textFill>
            <w14:solidFill>
              <w14:schemeClr w14:val="tx1"/>
            </w14:solidFill>
          </w14:textFill>
        </w:rPr>
        <w:t>全称</w:t>
      </w:r>
      <w:r>
        <w:rPr>
          <w:rFonts w:hint="eastAsia" w:ascii="楷体" w:hAnsi="楷体" w:cs="楷体"/>
          <w:color w:val="000000" w:themeColor="text1"/>
          <w:kern w:val="0"/>
          <w:lang w:val="zh-CN"/>
          <w14:textFill>
            <w14:solidFill>
              <w14:schemeClr w14:val="tx1"/>
            </w14:solidFill>
          </w14:textFill>
        </w:rPr>
        <w:t>：</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（公章）</w:t>
      </w:r>
    </w:p>
    <w:p>
      <w:pPr>
        <w:widowControl/>
        <w:ind w:firstLine="480"/>
        <w:rPr>
          <w:rFonts w:ascii="楷体" w:hAnsi="楷体" w:cs="楷体"/>
          <w:color w:val="000000" w:themeColor="text1"/>
          <w:kern w:val="0"/>
          <w14:textFill>
            <w14:solidFill>
              <w14:schemeClr w14:val="tx1"/>
            </w14:solidFill>
          </w14:textFill>
        </w:rPr>
      </w:pPr>
    </w:p>
    <w:p>
      <w:pPr>
        <w:widowControl/>
        <w:ind w:firstLine="480"/>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法定代表人</w:t>
      </w:r>
      <w:r>
        <w:rPr>
          <w:rFonts w:hint="eastAsia" w:ascii="楷体" w:hAnsi="楷体" w:cs="楷体"/>
          <w:color w:val="000000" w:themeColor="text1"/>
          <w:kern w:val="0"/>
          <w14:textFill>
            <w14:solidFill>
              <w14:schemeClr w14:val="tx1"/>
            </w14:solidFill>
          </w14:textFill>
        </w:rPr>
        <w:t>或</w:t>
      </w:r>
      <w:r>
        <w:rPr>
          <w:rFonts w:hint="eastAsia" w:ascii="楷体" w:hAnsi="楷体" w:cs="楷体"/>
          <w:color w:val="000000" w:themeColor="text1"/>
          <w:kern w:val="0"/>
          <w:lang w:val="zh-CN"/>
          <w14:textFill>
            <w14:solidFill>
              <w14:schemeClr w14:val="tx1"/>
            </w14:solidFill>
          </w14:textFill>
        </w:rPr>
        <w:t>授权代表：</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（签字）</w:t>
      </w:r>
    </w:p>
    <w:p>
      <w:pPr>
        <w:widowControl/>
        <w:ind w:firstLine="480"/>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 xml:space="preserve">  </w:t>
      </w:r>
    </w:p>
    <w:p>
      <w:pPr>
        <w:widowControl/>
        <w:ind w:firstLine="6000" w:firstLineChars="2500"/>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 xml:space="preserve"> 年       月      日</w:t>
      </w:r>
    </w:p>
    <w:p>
      <w:pPr>
        <w:ind w:firstLine="562"/>
        <w:rPr>
          <w:rFonts w:ascii="Arial" w:hAnsi="Arial"/>
          <w:b/>
          <w:sz w:val="28"/>
        </w:rPr>
      </w:pPr>
      <w:r>
        <w:rPr>
          <w:rFonts w:hint="eastAsia" w:ascii="Arial" w:hAnsi="Arial"/>
          <w:b/>
          <w:sz w:val="28"/>
        </w:rPr>
        <w:br w:type="page"/>
      </w:r>
    </w:p>
    <w:p>
      <w:pPr>
        <w:jc w:val="center"/>
        <w:rPr>
          <w:rFonts w:hint="eastAsia" w:ascii="楷体" w:hAnsi="楷体" w:cs="楷体"/>
          <w:b/>
          <w:bCs/>
          <w:color w:val="auto"/>
          <w:kern w:val="0"/>
          <w:sz w:val="28"/>
          <w:szCs w:val="28"/>
          <w:highlight w:val="none"/>
        </w:rPr>
      </w:pPr>
      <w:r>
        <w:rPr>
          <w:rFonts w:hint="eastAsia" w:ascii="楷体" w:hAnsi="楷体" w:cs="楷体"/>
          <w:b/>
          <w:bCs/>
          <w:color w:val="auto"/>
          <w:kern w:val="0"/>
          <w:sz w:val="28"/>
          <w:szCs w:val="28"/>
          <w:highlight w:val="none"/>
        </w:rPr>
        <w:t>货物说明一览表</w:t>
      </w:r>
    </w:p>
    <w:p>
      <w:pPr>
        <w:widowControl/>
        <w:ind w:left="0" w:leftChars="0" w:firstLine="0" w:firstLineChars="0"/>
        <w:rPr>
          <w:rFonts w:hint="eastAsia" w:ascii="楷体" w:hAnsi="楷体" w:cs="楷体"/>
          <w:b w:val="0"/>
          <w:bCs w:val="0"/>
          <w:color w:val="auto"/>
          <w:kern w:val="0"/>
          <w:highlight w:val="none"/>
          <w:u w:val="none"/>
          <w:lang w:val="en-US" w:eastAsia="zh-CN"/>
        </w:rPr>
      </w:pPr>
    </w:p>
    <w:p>
      <w:pPr>
        <w:widowControl/>
        <w:ind w:left="0" w:leftChars="0" w:firstLine="0" w:firstLineChars="0"/>
        <w:rPr>
          <w:rFonts w:ascii="楷体" w:hAnsi="楷体" w:cs="楷体"/>
          <w:color w:val="auto"/>
          <w:kern w:val="0"/>
          <w:highlight w:val="none"/>
        </w:rPr>
      </w:pPr>
      <w:r>
        <w:rPr>
          <w:rFonts w:hint="eastAsia" w:ascii="楷体" w:hAnsi="楷体" w:cs="楷体"/>
          <w:b w:val="0"/>
          <w:bCs w:val="0"/>
          <w:color w:val="000000"/>
          <w:kern w:val="0"/>
          <w:highlight w:val="none"/>
          <w:u w:val="none"/>
          <w:lang w:val="en-US" w:eastAsia="zh-CN"/>
        </w:rPr>
        <w:t>采购项目编号</w:t>
      </w:r>
      <w:r>
        <w:rPr>
          <w:rFonts w:hint="eastAsia" w:ascii="楷体" w:hAnsi="楷体" w:cs="楷体"/>
          <w:b w:val="0"/>
          <w:bCs w:val="0"/>
          <w:color w:val="auto"/>
          <w:kern w:val="0"/>
          <w:highlight w:val="none"/>
          <w:u w:val="none"/>
          <w:lang w:val="en-US" w:eastAsia="zh-CN"/>
        </w:rPr>
        <w:t>：</w:t>
      </w:r>
      <w:r>
        <w:rPr>
          <w:rFonts w:hint="eastAsia" w:ascii="楷体" w:hAnsi="楷体" w:cs="楷体"/>
          <w:b w:val="0"/>
          <w:bCs w:val="0"/>
          <w:color w:val="auto"/>
          <w:kern w:val="0"/>
          <w:highlight w:val="none"/>
          <w:u w:val="single"/>
          <w:lang w:val="en-US" w:eastAsia="zh-CN"/>
        </w:rPr>
        <w:t xml:space="preserve">               </w:t>
      </w:r>
      <w:r>
        <w:rPr>
          <w:rFonts w:hint="eastAsia" w:ascii="楷体" w:hAnsi="楷体" w:cs="楷体"/>
          <w:b w:val="0"/>
          <w:bCs w:val="0"/>
          <w:color w:val="auto"/>
          <w:kern w:val="0"/>
          <w:highlight w:val="none"/>
          <w:u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b/>
          <w:bCs/>
          <w:color w:val="auto"/>
          <w:kern w:val="0"/>
          <w:highlight w:val="none"/>
          <w:lang w:val="en-US" w:eastAsia="zh-CN"/>
        </w:rPr>
        <w:t xml:space="preserve"> </w:t>
      </w:r>
      <w:r>
        <w:rPr>
          <w:rFonts w:hint="eastAsia" w:ascii="楷体" w:hAnsi="楷体" w:cs="楷体"/>
          <w:b/>
          <w:bCs/>
          <w:color w:val="auto"/>
          <w:kern w:val="0"/>
          <w:highlight w:val="none"/>
        </w:rPr>
        <w:t xml:space="preserve"> </w:t>
      </w:r>
      <w:r>
        <w:rPr>
          <w:rFonts w:hint="eastAsia" w:ascii="楷体" w:hAnsi="楷体" w:cs="楷体"/>
          <w:color w:val="auto"/>
          <w:kern w:val="0"/>
          <w:highlight w:val="none"/>
        </w:rPr>
        <w:t xml:space="preserve">第  </w:t>
      </w:r>
      <w:r>
        <w:rPr>
          <w:rFonts w:hint="eastAsia" w:ascii="楷体" w:hAnsi="楷体" w:cs="楷体"/>
          <w:color w:val="auto"/>
          <w:kern w:val="0"/>
          <w:highlight w:val="none"/>
          <w:lang w:val="zh-CN"/>
        </w:rPr>
        <w:t>页</w:t>
      </w:r>
      <w:r>
        <w:rPr>
          <w:rFonts w:hint="eastAsia" w:ascii="楷体" w:hAnsi="楷体" w:cs="楷体"/>
          <w:color w:val="auto"/>
          <w:kern w:val="0"/>
          <w:highlight w:val="none"/>
        </w:rPr>
        <w:t>，共  页</w:t>
      </w:r>
    </w:p>
    <w:tbl>
      <w:tblPr>
        <w:tblStyle w:val="43"/>
        <w:tblW w:w="10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序号</w:t>
            </w:r>
          </w:p>
        </w:tc>
        <w:tc>
          <w:tcPr>
            <w:tcW w:w="1218"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名称</w:t>
            </w:r>
          </w:p>
        </w:tc>
        <w:tc>
          <w:tcPr>
            <w:tcW w:w="1374" w:type="dxa"/>
            <w:tcBorders>
              <w:top w:val="double" w:color="auto" w:sz="4" w:space="0"/>
            </w:tcBorders>
            <w:noWrap w:val="0"/>
            <w:vAlign w:val="center"/>
          </w:tcPr>
          <w:p>
            <w:pPr>
              <w:ind w:left="0" w:leftChars="0" w:firstLine="0" w:firstLineChars="0"/>
              <w:rPr>
                <w:color w:val="auto"/>
                <w:highlight w:val="none"/>
              </w:rPr>
            </w:pPr>
            <w:r>
              <w:rPr>
                <w:rFonts w:hint="eastAsia"/>
                <w:color w:val="auto"/>
                <w:highlight w:val="none"/>
              </w:rPr>
              <w:t>品牌</w:t>
            </w:r>
            <w:r>
              <w:rPr>
                <w:color w:val="auto"/>
                <w:highlight w:val="none"/>
              </w:rPr>
              <w:t>/</w:t>
            </w:r>
            <w:r>
              <w:rPr>
                <w:rFonts w:hint="eastAsia"/>
                <w:color w:val="auto"/>
                <w:highlight w:val="none"/>
              </w:rPr>
              <w:t>型号</w:t>
            </w:r>
          </w:p>
        </w:tc>
        <w:tc>
          <w:tcPr>
            <w:tcW w:w="3050"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配置、规格及主要技术参数</w:t>
            </w:r>
          </w:p>
        </w:tc>
        <w:tc>
          <w:tcPr>
            <w:tcW w:w="1642" w:type="dxa"/>
            <w:tcBorders>
              <w:top w:val="double" w:color="auto" w:sz="4" w:space="0"/>
            </w:tcBorders>
            <w:noWrap w:val="0"/>
            <w:vAlign w:val="center"/>
          </w:tcPr>
          <w:p>
            <w:pPr>
              <w:ind w:left="0" w:leftChars="0" w:firstLine="0" w:firstLineChars="0"/>
              <w:jc w:val="center"/>
              <w:rPr>
                <w:color w:val="auto"/>
                <w:highlight w:val="none"/>
              </w:rPr>
            </w:pPr>
            <w:r>
              <w:rPr>
                <w:rFonts w:hint="eastAsia"/>
                <w:color w:val="auto"/>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rFonts w:hint="eastAsia"/>
                <w:color w:val="auto"/>
                <w:highlight w:val="none"/>
              </w:rPr>
            </w:pPr>
            <w:r>
              <w:rPr>
                <w:rFonts w:hint="eastAsia"/>
                <w:color w:val="auto"/>
                <w:highlight w:val="none"/>
              </w:rPr>
              <w:t>数量</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color w:val="auto"/>
                <w:highlight w:val="none"/>
              </w:rPr>
            </w:pPr>
            <w:r>
              <w:rPr>
                <w:rFonts w:hint="eastAsia"/>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top"/>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color w:val="auto"/>
                <w:highlight w:val="none"/>
              </w:rPr>
            </w:pPr>
          </w:p>
        </w:tc>
        <w:tc>
          <w:tcPr>
            <w:tcW w:w="1218" w:type="dxa"/>
            <w:noWrap w:val="0"/>
            <w:vAlign w:val="center"/>
          </w:tcPr>
          <w:p>
            <w:pPr>
              <w:rPr>
                <w:color w:val="auto"/>
                <w:highlight w:val="none"/>
              </w:rPr>
            </w:pPr>
          </w:p>
        </w:tc>
        <w:tc>
          <w:tcPr>
            <w:tcW w:w="1374" w:type="dxa"/>
            <w:noWrap w:val="0"/>
            <w:vAlign w:val="top"/>
          </w:tcPr>
          <w:p>
            <w:pPr>
              <w:rPr>
                <w:color w:val="auto"/>
                <w:highlight w:val="none"/>
              </w:rPr>
            </w:pPr>
          </w:p>
        </w:tc>
        <w:tc>
          <w:tcPr>
            <w:tcW w:w="3050" w:type="dxa"/>
            <w:noWrap w:val="0"/>
            <w:vAlign w:val="top"/>
          </w:tcPr>
          <w:p>
            <w:pPr>
              <w:rPr>
                <w:color w:val="auto"/>
                <w:highlight w:val="none"/>
              </w:rPr>
            </w:pPr>
          </w:p>
        </w:tc>
        <w:tc>
          <w:tcPr>
            <w:tcW w:w="1642" w:type="dxa"/>
            <w:noWrap w:val="0"/>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c>
          <w:tcPr>
            <w:tcW w:w="1080" w:type="dxa"/>
            <w:noWrap w:val="0"/>
            <w:tcMar>
              <w:top w:w="28" w:type="dxa"/>
              <w:left w:w="57" w:type="dxa"/>
              <w:bottom w:w="28" w:type="dxa"/>
              <w:right w:w="57" w:type="dxa"/>
            </w:tcMar>
            <w:vAlign w:val="top"/>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color w:val="auto"/>
                <w:highlight w:val="none"/>
              </w:rPr>
            </w:pPr>
          </w:p>
        </w:tc>
        <w:tc>
          <w:tcPr>
            <w:tcW w:w="1218" w:type="dxa"/>
            <w:tcBorders>
              <w:bottom w:val="double" w:color="auto" w:sz="4" w:space="0"/>
            </w:tcBorders>
            <w:noWrap w:val="0"/>
            <w:vAlign w:val="center"/>
          </w:tcPr>
          <w:p>
            <w:pPr>
              <w:rPr>
                <w:color w:val="auto"/>
                <w:highlight w:val="none"/>
              </w:rPr>
            </w:pPr>
          </w:p>
        </w:tc>
        <w:tc>
          <w:tcPr>
            <w:tcW w:w="1374" w:type="dxa"/>
            <w:tcBorders>
              <w:bottom w:val="double" w:color="auto" w:sz="4" w:space="0"/>
            </w:tcBorders>
            <w:noWrap w:val="0"/>
            <w:vAlign w:val="top"/>
          </w:tcPr>
          <w:p>
            <w:pPr>
              <w:rPr>
                <w:color w:val="auto"/>
                <w:highlight w:val="none"/>
              </w:rPr>
            </w:pPr>
          </w:p>
        </w:tc>
        <w:tc>
          <w:tcPr>
            <w:tcW w:w="3050" w:type="dxa"/>
            <w:tcBorders>
              <w:bottom w:val="double" w:color="auto" w:sz="4" w:space="0"/>
            </w:tcBorders>
            <w:noWrap w:val="0"/>
            <w:vAlign w:val="top"/>
          </w:tcPr>
          <w:p>
            <w:pPr>
              <w:rPr>
                <w:color w:val="auto"/>
                <w:highlight w:val="none"/>
              </w:rPr>
            </w:pPr>
          </w:p>
        </w:tc>
        <w:tc>
          <w:tcPr>
            <w:tcW w:w="1642" w:type="dxa"/>
            <w:tcBorders>
              <w:bottom w:val="double" w:color="auto" w:sz="4" w:space="0"/>
            </w:tcBorders>
            <w:noWrap w:val="0"/>
            <w:vAlign w:val="top"/>
          </w:tcPr>
          <w:p>
            <w:pPr>
              <w:rPr>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color w:val="auto"/>
                <w:highlight w:val="none"/>
              </w:rPr>
            </w:pPr>
          </w:p>
        </w:tc>
      </w:tr>
    </w:tbl>
    <w:p>
      <w:pPr>
        <w:ind w:left="0" w:leftChars="0" w:firstLine="0" w:firstLineChars="0"/>
        <w:rPr>
          <w:rFonts w:hint="eastAsia"/>
          <w:color w:val="auto"/>
          <w:highlight w:val="none"/>
        </w:rPr>
      </w:pPr>
    </w:p>
    <w:p>
      <w:pPr>
        <w:ind w:left="0" w:leftChars="0" w:firstLine="0" w:firstLineChars="0"/>
        <w:rPr>
          <w:color w:val="auto"/>
          <w:highlight w:val="none"/>
        </w:rPr>
      </w:pPr>
      <w:r>
        <w:rPr>
          <w:rFonts w:hint="eastAsia"/>
          <w:color w:val="auto"/>
          <w:highlight w:val="none"/>
        </w:rPr>
        <w:t>注：</w:t>
      </w:r>
      <w:r>
        <w:rPr>
          <w:color w:val="auto"/>
          <w:highlight w:val="none"/>
        </w:rPr>
        <w:t>1</w:t>
      </w:r>
      <w:r>
        <w:rPr>
          <w:rFonts w:hint="eastAsia" w:eastAsia="楷体"/>
          <w:color w:val="auto"/>
          <w:highlight w:val="none"/>
          <w:lang w:eastAsia="zh-CN"/>
        </w:rPr>
        <w:t>、</w:t>
      </w:r>
      <w:r>
        <w:rPr>
          <w:rFonts w:hint="eastAsia"/>
          <w:color w:val="auto"/>
          <w:highlight w:val="none"/>
        </w:rPr>
        <w:t>本表须如实逐项填写，不得空缺。空缺将视为没有实质性响应</w:t>
      </w:r>
      <w:r>
        <w:rPr>
          <w:rFonts w:hint="eastAsia" w:eastAsia="楷体" w:asciiTheme="minorHAnsi"/>
          <w:color w:val="auto"/>
          <w:highlight w:val="none"/>
          <w:lang w:val="en-US" w:eastAsia="zh-CN"/>
        </w:rPr>
        <w:t>谈判</w:t>
      </w:r>
      <w:r>
        <w:rPr>
          <w:rFonts w:hint="eastAsia"/>
          <w:color w:val="auto"/>
          <w:highlight w:val="none"/>
        </w:rPr>
        <w:t>文件。</w:t>
      </w:r>
    </w:p>
    <w:p>
      <w:pPr>
        <w:rPr>
          <w:color w:val="auto"/>
          <w:highlight w:val="none"/>
        </w:rPr>
      </w:pPr>
      <w:r>
        <w:rPr>
          <w:color w:val="auto"/>
          <w:highlight w:val="none"/>
        </w:rPr>
        <w:t>2</w:t>
      </w:r>
      <w:r>
        <w:rPr>
          <w:rFonts w:hint="eastAsia" w:eastAsia="楷体"/>
          <w:color w:val="auto"/>
          <w:highlight w:val="none"/>
          <w:lang w:eastAsia="zh-CN"/>
        </w:rPr>
        <w:t>、</w:t>
      </w:r>
      <w:r>
        <w:rPr>
          <w:rFonts w:hint="eastAsia"/>
          <w:color w:val="auto"/>
          <w:highlight w:val="none"/>
        </w:rPr>
        <w:t>若货物没有具体型号和注册商标的须注明。各项货物详细技术性能可另页描述。</w:t>
      </w:r>
    </w:p>
    <w:p>
      <w:pPr>
        <w:rPr>
          <w:rFonts w:hint="eastAsia" w:ascii="Arial" w:hAnsi="Arial"/>
          <w:b/>
          <w:color w:val="auto"/>
          <w:sz w:val="28"/>
          <w:highlight w:val="none"/>
        </w:rPr>
      </w:pPr>
    </w:p>
    <w:p>
      <w:pPr>
        <w:pStyle w:val="3"/>
        <w:rPr>
          <w:rFonts w:hint="eastAsia" w:ascii="Arial" w:hAnsi="Arial"/>
          <w:b/>
          <w:color w:val="auto"/>
          <w:sz w:val="28"/>
          <w:highlight w:val="none"/>
        </w:rPr>
      </w:pPr>
    </w:p>
    <w:p>
      <w:pPr>
        <w:rPr>
          <w:rFonts w:hint="eastAsia"/>
          <w:highlight w:val="none"/>
        </w:rPr>
      </w:pPr>
    </w:p>
    <w:p>
      <w:pPr>
        <w:widowControl/>
        <w:ind w:firstLine="480"/>
        <w:rPr>
          <w:rFonts w:hint="eastAsia" w:ascii="楷体" w:hAnsi="楷体" w:cs="楷体"/>
          <w:color w:val="auto"/>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left="0" w:leftChars="0" w:firstLine="0" w:firstLineChars="0"/>
        <w:jc w:val="center"/>
        <w:rPr>
          <w:rFonts w:hint="eastAsia" w:ascii="Arial" w:hAnsi="Arial" w:eastAsia="楷体" w:cs="Times New Roman"/>
          <w:b/>
          <w:color w:val="auto"/>
          <w:kern w:val="2"/>
          <w:sz w:val="28"/>
          <w:szCs w:val="24"/>
          <w:highlight w:val="none"/>
          <w:lang w:val="zh-CN" w:eastAsia="zh-CN" w:bidi="ar-SA"/>
        </w:rPr>
      </w:pPr>
      <w:r>
        <w:rPr>
          <w:rFonts w:hint="eastAsia" w:ascii="楷体" w:hAnsi="楷体" w:cs="楷体"/>
          <w:color w:val="auto"/>
          <w:kern w:val="0"/>
          <w:highlight w:val="none"/>
          <w:lang w:val="zh-CN"/>
        </w:rPr>
        <w:t xml:space="preserve"> </w:t>
      </w:r>
      <w:r>
        <w:rPr>
          <w:rFonts w:hint="eastAsia" w:ascii="楷体" w:hAnsi="楷体" w:cs="楷体"/>
          <w:color w:val="auto"/>
          <w:kern w:val="0"/>
          <w:highlight w:val="none"/>
          <w:lang w:val="en-US" w:eastAsia="zh-CN"/>
        </w:rPr>
        <w:t xml:space="preserve">                                          </w:t>
      </w:r>
      <w:r>
        <w:rPr>
          <w:rFonts w:hint="eastAsia" w:ascii="楷体" w:hAnsi="楷体" w:cs="楷体"/>
          <w:color w:val="auto"/>
          <w:kern w:val="0"/>
          <w:highlight w:val="none"/>
          <w:lang w:val="zh-CN"/>
        </w:rPr>
        <w:t>年       月      日</w:t>
      </w:r>
    </w:p>
    <w:p>
      <w:pPr>
        <w:spacing w:line="440" w:lineRule="exact"/>
        <w:ind w:firstLine="480"/>
        <w:jc w:val="center"/>
        <w:rPr>
          <w:rFonts w:hint="eastAsia" w:ascii="楷体" w:hAnsi="楷体" w:cs="楷体"/>
          <w:b/>
          <w:sz w:val="30"/>
          <w:szCs w:val="30"/>
        </w:rPr>
      </w:pPr>
    </w:p>
    <w:p>
      <w:pPr>
        <w:spacing w:line="440" w:lineRule="exact"/>
        <w:ind w:firstLine="480"/>
        <w:jc w:val="center"/>
        <w:rPr>
          <w:rFonts w:hint="eastAsia" w:ascii="楷体" w:hAnsi="楷体" w:cs="楷体"/>
          <w:b/>
          <w:sz w:val="30"/>
          <w:szCs w:val="30"/>
        </w:rPr>
      </w:pPr>
    </w:p>
    <w:p>
      <w:pPr>
        <w:rPr>
          <w:rFonts w:hint="eastAsia" w:ascii="楷体" w:hAnsi="楷体" w:cs="楷体"/>
          <w:b/>
          <w:sz w:val="30"/>
          <w:szCs w:val="30"/>
        </w:rPr>
      </w:pPr>
      <w:r>
        <w:rPr>
          <w:rFonts w:hint="eastAsia" w:ascii="楷体" w:hAnsi="楷体" w:cs="楷体"/>
          <w:b/>
          <w:sz w:val="30"/>
          <w:szCs w:val="30"/>
        </w:rPr>
        <w:br w:type="page"/>
      </w:r>
    </w:p>
    <w:p>
      <w:pPr>
        <w:spacing w:line="440" w:lineRule="exact"/>
        <w:ind w:firstLine="480"/>
        <w:jc w:val="center"/>
        <w:rPr>
          <w:rFonts w:ascii="楷体" w:hAnsi="楷体" w:cs="楷体"/>
          <w:b/>
          <w:sz w:val="30"/>
          <w:szCs w:val="30"/>
        </w:rPr>
      </w:pPr>
      <w:r>
        <w:rPr>
          <w:rFonts w:hint="eastAsia" w:ascii="楷体" w:hAnsi="楷体" w:cs="楷体"/>
          <w:b/>
          <w:sz w:val="30"/>
          <w:szCs w:val="30"/>
        </w:rPr>
        <w:t>关键零部件及备品备件清单</w:t>
      </w:r>
    </w:p>
    <w:p>
      <w:pPr>
        <w:ind w:firstLine="480"/>
        <w:jc w:val="left"/>
        <w:rPr>
          <w:rFonts w:hint="eastAsia" w:ascii="楷体" w:hAnsi="楷体" w:cs="楷体"/>
          <w:kern w:val="0"/>
        </w:rPr>
      </w:pPr>
    </w:p>
    <w:p>
      <w:pPr>
        <w:ind w:firstLine="480"/>
        <w:jc w:val="left"/>
        <w:rPr>
          <w:rFonts w:ascii="楷体" w:hAnsi="楷体" w:cs="楷体"/>
          <w:bCs/>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b/>
          <w:bCs/>
          <w:kern w:val="0"/>
        </w:rPr>
        <w:t xml:space="preserve">            </w:t>
      </w:r>
      <w:r>
        <w:rPr>
          <w:rFonts w:hint="eastAsia" w:ascii="楷体" w:hAnsi="楷体" w:cs="楷体"/>
          <w:kern w:val="0"/>
        </w:rPr>
        <w:t xml:space="preserve">第  </w:t>
      </w:r>
      <w:r>
        <w:rPr>
          <w:rFonts w:hint="eastAsia" w:ascii="楷体" w:hAnsi="楷体" w:cs="楷体"/>
          <w:kern w:val="0"/>
          <w:lang w:val="zh-CN"/>
        </w:rPr>
        <w:t>页</w:t>
      </w:r>
      <w:r>
        <w:rPr>
          <w:rFonts w:hint="eastAsia" w:ascii="楷体" w:hAnsi="楷体" w:cs="楷体"/>
          <w:kern w:val="0"/>
        </w:rPr>
        <w:t>，共  页</w:t>
      </w:r>
      <w:r>
        <w:rPr>
          <w:rFonts w:hint="eastAsia" w:ascii="楷体" w:hAnsi="楷体" w:cs="楷体"/>
          <w:bCs/>
        </w:rPr>
        <w:t xml:space="preserve">                    </w:t>
      </w:r>
    </w:p>
    <w:tbl>
      <w:tblPr>
        <w:tblStyle w:val="43"/>
        <w:tblW w:w="90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517"/>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954" w:type="dxa"/>
            <w:noWrap w:val="0"/>
            <w:vAlign w:val="center"/>
          </w:tcPr>
          <w:p>
            <w:pPr>
              <w:spacing w:line="440" w:lineRule="exact"/>
              <w:ind w:firstLine="0" w:firstLineChars="0"/>
              <w:jc w:val="center"/>
              <w:rPr>
                <w:rFonts w:ascii="楷体" w:hAnsi="楷体" w:cs="楷体"/>
              </w:rPr>
            </w:pPr>
            <w:r>
              <w:rPr>
                <w:rFonts w:hint="eastAsia" w:ascii="楷体" w:hAnsi="楷体" w:cs="楷体"/>
              </w:rPr>
              <w:t>序号</w:t>
            </w:r>
          </w:p>
        </w:tc>
        <w:tc>
          <w:tcPr>
            <w:tcW w:w="1746" w:type="dxa"/>
            <w:noWrap w:val="0"/>
            <w:vAlign w:val="center"/>
          </w:tcPr>
          <w:p>
            <w:pPr>
              <w:spacing w:line="440" w:lineRule="exact"/>
              <w:ind w:firstLine="0" w:firstLineChars="0"/>
              <w:jc w:val="center"/>
              <w:rPr>
                <w:rFonts w:ascii="楷体" w:hAnsi="楷体" w:cs="楷体"/>
              </w:rPr>
            </w:pPr>
            <w:r>
              <w:rPr>
                <w:rFonts w:hint="eastAsia" w:ascii="楷体" w:hAnsi="楷体" w:cs="楷体"/>
              </w:rPr>
              <w:t>产品名称</w:t>
            </w:r>
          </w:p>
        </w:tc>
        <w:tc>
          <w:tcPr>
            <w:tcW w:w="1820" w:type="dxa"/>
            <w:noWrap w:val="0"/>
            <w:vAlign w:val="center"/>
          </w:tcPr>
          <w:p>
            <w:pPr>
              <w:spacing w:line="440" w:lineRule="exact"/>
              <w:ind w:firstLine="0" w:firstLineChars="0"/>
              <w:jc w:val="center"/>
              <w:rPr>
                <w:rFonts w:ascii="楷体" w:hAnsi="楷体" w:cs="楷体"/>
              </w:rPr>
            </w:pPr>
            <w:r>
              <w:rPr>
                <w:rFonts w:hint="eastAsia" w:ascii="楷体" w:hAnsi="楷体" w:cs="楷体"/>
              </w:rPr>
              <w:t>型号、规格</w:t>
            </w:r>
          </w:p>
        </w:tc>
        <w:tc>
          <w:tcPr>
            <w:tcW w:w="1542" w:type="dxa"/>
            <w:noWrap w:val="0"/>
            <w:vAlign w:val="center"/>
          </w:tcPr>
          <w:p>
            <w:pPr>
              <w:spacing w:line="440" w:lineRule="exact"/>
              <w:ind w:firstLine="0" w:firstLineChars="0"/>
              <w:jc w:val="center"/>
              <w:rPr>
                <w:rFonts w:ascii="楷体" w:hAnsi="楷体" w:cs="楷体"/>
              </w:rPr>
            </w:pPr>
            <w:r>
              <w:rPr>
                <w:rFonts w:hint="eastAsia" w:ascii="楷体" w:hAnsi="楷体" w:cs="楷体"/>
              </w:rPr>
              <w:t>产地/制造商</w:t>
            </w:r>
          </w:p>
        </w:tc>
        <w:tc>
          <w:tcPr>
            <w:tcW w:w="1517" w:type="dxa"/>
            <w:noWrap w:val="0"/>
            <w:vAlign w:val="center"/>
          </w:tcPr>
          <w:p>
            <w:pPr>
              <w:spacing w:line="440" w:lineRule="exact"/>
              <w:ind w:firstLine="0" w:firstLineChars="0"/>
              <w:jc w:val="center"/>
              <w:rPr>
                <w:rStyle w:val="53"/>
                <w:rFonts w:ascii="楷体" w:hAnsi="楷体" w:cs="楷体"/>
              </w:rPr>
            </w:pPr>
            <w:r>
              <w:rPr>
                <w:rFonts w:hint="eastAsia" w:ascii="楷体" w:hAnsi="楷体" w:cs="楷体"/>
              </w:rPr>
              <w:t>单价（元）</w:t>
            </w:r>
          </w:p>
        </w:tc>
        <w:tc>
          <w:tcPr>
            <w:tcW w:w="1499" w:type="dxa"/>
            <w:noWrap w:val="0"/>
            <w:vAlign w:val="center"/>
          </w:tcPr>
          <w:p>
            <w:pPr>
              <w:spacing w:line="440" w:lineRule="exact"/>
              <w:ind w:firstLine="0" w:firstLineChars="0"/>
              <w:jc w:val="center"/>
              <w:rPr>
                <w:rFonts w:ascii="楷体" w:hAnsi="楷体" w:cs="楷体"/>
              </w:rPr>
            </w:pPr>
            <w:r>
              <w:rPr>
                <w:rFonts w:hint="eastAsia" w:ascii="楷体" w:hAnsi="楷体" w:cs="楷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954" w:type="dxa"/>
            <w:noWrap w:val="0"/>
            <w:vAlign w:val="center"/>
          </w:tcPr>
          <w:p>
            <w:pPr>
              <w:spacing w:line="440" w:lineRule="exact"/>
              <w:ind w:firstLine="480"/>
              <w:jc w:val="center"/>
              <w:rPr>
                <w:rFonts w:ascii="楷体" w:hAnsi="楷体" w:cs="楷体"/>
              </w:rPr>
            </w:pPr>
            <w:r>
              <w:rPr>
                <w:rFonts w:hint="eastAsia" w:ascii="楷体" w:hAnsi="楷体" w:cs="楷体"/>
              </w:rPr>
              <w:t>1</w:t>
            </w:r>
          </w:p>
        </w:tc>
        <w:tc>
          <w:tcPr>
            <w:tcW w:w="1746" w:type="dxa"/>
            <w:noWrap w:val="0"/>
            <w:vAlign w:val="center"/>
          </w:tcPr>
          <w:p>
            <w:pPr>
              <w:spacing w:line="440" w:lineRule="exact"/>
              <w:ind w:firstLine="480"/>
              <w:jc w:val="center"/>
              <w:rPr>
                <w:rFonts w:ascii="楷体" w:hAnsi="楷体" w:cs="楷体"/>
              </w:rPr>
            </w:pPr>
            <w:r>
              <w:rPr>
                <w:rFonts w:hint="eastAsia" w:ascii="楷体" w:hAnsi="楷体" w:cs="楷体"/>
              </w:rPr>
              <w:t>…</w:t>
            </w:r>
          </w:p>
        </w:tc>
        <w:tc>
          <w:tcPr>
            <w:tcW w:w="1820" w:type="dxa"/>
            <w:noWrap w:val="0"/>
            <w:vAlign w:val="center"/>
          </w:tcPr>
          <w:p>
            <w:pPr>
              <w:spacing w:line="440" w:lineRule="exact"/>
              <w:ind w:firstLine="480"/>
              <w:jc w:val="center"/>
              <w:rPr>
                <w:rFonts w:ascii="楷体" w:hAnsi="楷体" w:cs="楷体"/>
              </w:rPr>
            </w:pPr>
          </w:p>
        </w:tc>
        <w:tc>
          <w:tcPr>
            <w:tcW w:w="1542" w:type="dxa"/>
            <w:noWrap w:val="0"/>
            <w:vAlign w:val="top"/>
          </w:tcPr>
          <w:p>
            <w:pPr>
              <w:spacing w:line="440" w:lineRule="exact"/>
              <w:ind w:firstLine="480"/>
              <w:jc w:val="center"/>
              <w:rPr>
                <w:rFonts w:ascii="楷体" w:hAnsi="楷体" w:cs="楷体"/>
              </w:rPr>
            </w:pPr>
          </w:p>
        </w:tc>
        <w:tc>
          <w:tcPr>
            <w:tcW w:w="1517" w:type="dxa"/>
            <w:noWrap w:val="0"/>
            <w:vAlign w:val="center"/>
          </w:tcPr>
          <w:p>
            <w:pPr>
              <w:spacing w:line="440" w:lineRule="exact"/>
              <w:ind w:firstLine="480"/>
              <w:jc w:val="center"/>
              <w:rPr>
                <w:rFonts w:ascii="楷体" w:hAnsi="楷体" w:cs="楷体"/>
              </w:rPr>
            </w:pPr>
          </w:p>
        </w:tc>
        <w:tc>
          <w:tcPr>
            <w:tcW w:w="1499" w:type="dxa"/>
            <w:noWrap w:val="0"/>
            <w:vAlign w:val="center"/>
          </w:tcPr>
          <w:p>
            <w:pPr>
              <w:spacing w:line="440" w:lineRule="exact"/>
              <w:ind w:firstLine="480"/>
              <w:jc w:val="center"/>
              <w:rPr>
                <w:rFonts w:ascii="楷体" w:hAnsi="楷体" w:cs="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954" w:type="dxa"/>
            <w:noWrap w:val="0"/>
            <w:vAlign w:val="center"/>
          </w:tcPr>
          <w:p>
            <w:pPr>
              <w:spacing w:line="440" w:lineRule="exact"/>
              <w:ind w:firstLine="480"/>
              <w:jc w:val="center"/>
              <w:rPr>
                <w:rFonts w:ascii="楷体" w:hAnsi="楷体" w:cs="楷体"/>
              </w:rPr>
            </w:pPr>
            <w:r>
              <w:rPr>
                <w:rFonts w:hint="eastAsia" w:ascii="楷体" w:hAnsi="楷体" w:cs="楷体"/>
              </w:rPr>
              <w:t>2</w:t>
            </w:r>
          </w:p>
        </w:tc>
        <w:tc>
          <w:tcPr>
            <w:tcW w:w="1746" w:type="dxa"/>
            <w:noWrap w:val="0"/>
            <w:vAlign w:val="center"/>
          </w:tcPr>
          <w:p>
            <w:pPr>
              <w:spacing w:line="440" w:lineRule="exact"/>
              <w:ind w:firstLine="480"/>
              <w:jc w:val="center"/>
              <w:rPr>
                <w:rFonts w:ascii="楷体" w:hAnsi="楷体" w:cs="楷体"/>
              </w:rPr>
            </w:pPr>
            <w:r>
              <w:rPr>
                <w:rFonts w:hint="eastAsia" w:ascii="楷体" w:hAnsi="楷体" w:cs="楷体"/>
              </w:rPr>
              <w:t>…</w:t>
            </w:r>
          </w:p>
        </w:tc>
        <w:tc>
          <w:tcPr>
            <w:tcW w:w="1820" w:type="dxa"/>
            <w:noWrap w:val="0"/>
            <w:vAlign w:val="center"/>
          </w:tcPr>
          <w:p>
            <w:pPr>
              <w:spacing w:line="440" w:lineRule="exact"/>
              <w:ind w:firstLine="480"/>
              <w:jc w:val="center"/>
              <w:rPr>
                <w:rFonts w:ascii="楷体" w:hAnsi="楷体" w:cs="楷体"/>
              </w:rPr>
            </w:pPr>
          </w:p>
        </w:tc>
        <w:tc>
          <w:tcPr>
            <w:tcW w:w="1542" w:type="dxa"/>
            <w:noWrap w:val="0"/>
            <w:vAlign w:val="top"/>
          </w:tcPr>
          <w:p>
            <w:pPr>
              <w:spacing w:line="440" w:lineRule="exact"/>
              <w:ind w:firstLine="480"/>
              <w:jc w:val="center"/>
              <w:rPr>
                <w:rFonts w:ascii="楷体" w:hAnsi="楷体" w:cs="楷体"/>
              </w:rPr>
            </w:pPr>
          </w:p>
        </w:tc>
        <w:tc>
          <w:tcPr>
            <w:tcW w:w="1517" w:type="dxa"/>
            <w:noWrap w:val="0"/>
            <w:vAlign w:val="center"/>
          </w:tcPr>
          <w:p>
            <w:pPr>
              <w:spacing w:line="440" w:lineRule="exact"/>
              <w:ind w:firstLine="480"/>
              <w:jc w:val="center"/>
              <w:rPr>
                <w:rFonts w:ascii="楷体" w:hAnsi="楷体" w:cs="楷体"/>
              </w:rPr>
            </w:pPr>
          </w:p>
        </w:tc>
        <w:tc>
          <w:tcPr>
            <w:tcW w:w="1499" w:type="dxa"/>
            <w:noWrap w:val="0"/>
            <w:vAlign w:val="center"/>
          </w:tcPr>
          <w:p>
            <w:pPr>
              <w:spacing w:line="440" w:lineRule="exact"/>
              <w:ind w:firstLine="480"/>
              <w:jc w:val="center"/>
              <w:rPr>
                <w:rFonts w:ascii="楷体" w:hAnsi="楷体" w:cs="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noWrap w:val="0"/>
            <w:vAlign w:val="center"/>
          </w:tcPr>
          <w:p>
            <w:pPr>
              <w:spacing w:line="440" w:lineRule="exact"/>
              <w:ind w:firstLine="480"/>
              <w:jc w:val="center"/>
              <w:rPr>
                <w:rFonts w:ascii="楷体" w:hAnsi="楷体" w:cs="楷体"/>
              </w:rPr>
            </w:pPr>
            <w:r>
              <w:rPr>
                <w:rFonts w:hint="eastAsia" w:ascii="楷体" w:hAnsi="楷体" w:cs="楷体"/>
              </w:rPr>
              <w:t>…</w:t>
            </w:r>
          </w:p>
        </w:tc>
        <w:tc>
          <w:tcPr>
            <w:tcW w:w="1746" w:type="dxa"/>
            <w:noWrap w:val="0"/>
            <w:vAlign w:val="center"/>
          </w:tcPr>
          <w:p>
            <w:pPr>
              <w:spacing w:line="440" w:lineRule="exact"/>
              <w:ind w:firstLine="480"/>
              <w:jc w:val="center"/>
              <w:rPr>
                <w:rFonts w:ascii="楷体" w:hAnsi="楷体" w:cs="楷体"/>
              </w:rPr>
            </w:pPr>
          </w:p>
        </w:tc>
        <w:tc>
          <w:tcPr>
            <w:tcW w:w="1820" w:type="dxa"/>
            <w:noWrap w:val="0"/>
            <w:vAlign w:val="center"/>
          </w:tcPr>
          <w:p>
            <w:pPr>
              <w:spacing w:line="440" w:lineRule="exact"/>
              <w:ind w:firstLine="480"/>
              <w:jc w:val="center"/>
              <w:rPr>
                <w:rFonts w:ascii="楷体" w:hAnsi="楷体" w:cs="楷体"/>
              </w:rPr>
            </w:pPr>
          </w:p>
        </w:tc>
        <w:tc>
          <w:tcPr>
            <w:tcW w:w="1542" w:type="dxa"/>
            <w:noWrap w:val="0"/>
            <w:vAlign w:val="top"/>
          </w:tcPr>
          <w:p>
            <w:pPr>
              <w:spacing w:line="440" w:lineRule="exact"/>
              <w:ind w:firstLine="480"/>
              <w:jc w:val="center"/>
              <w:rPr>
                <w:rFonts w:ascii="楷体" w:hAnsi="楷体" w:cs="楷体"/>
              </w:rPr>
            </w:pPr>
          </w:p>
        </w:tc>
        <w:tc>
          <w:tcPr>
            <w:tcW w:w="1517" w:type="dxa"/>
            <w:noWrap w:val="0"/>
            <w:vAlign w:val="center"/>
          </w:tcPr>
          <w:p>
            <w:pPr>
              <w:spacing w:line="440" w:lineRule="exact"/>
              <w:ind w:firstLine="480"/>
              <w:jc w:val="center"/>
              <w:rPr>
                <w:rFonts w:ascii="楷体" w:hAnsi="楷体" w:cs="楷体"/>
              </w:rPr>
            </w:pPr>
          </w:p>
        </w:tc>
        <w:tc>
          <w:tcPr>
            <w:tcW w:w="1499" w:type="dxa"/>
            <w:noWrap w:val="0"/>
            <w:vAlign w:val="center"/>
          </w:tcPr>
          <w:p>
            <w:pPr>
              <w:spacing w:line="440" w:lineRule="exact"/>
              <w:ind w:firstLine="480"/>
              <w:jc w:val="center"/>
              <w:rPr>
                <w:rFonts w:ascii="楷体" w:hAnsi="楷体" w:cs="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noWrap w:val="0"/>
            <w:vAlign w:val="center"/>
          </w:tcPr>
          <w:p>
            <w:pPr>
              <w:spacing w:line="440" w:lineRule="exact"/>
              <w:ind w:firstLine="480"/>
              <w:jc w:val="center"/>
              <w:rPr>
                <w:rFonts w:ascii="楷体" w:hAnsi="楷体" w:cs="楷体"/>
              </w:rPr>
            </w:pPr>
          </w:p>
        </w:tc>
        <w:tc>
          <w:tcPr>
            <w:tcW w:w="1746" w:type="dxa"/>
            <w:noWrap w:val="0"/>
            <w:vAlign w:val="center"/>
          </w:tcPr>
          <w:p>
            <w:pPr>
              <w:spacing w:line="440" w:lineRule="exact"/>
              <w:ind w:firstLine="480"/>
              <w:jc w:val="center"/>
              <w:rPr>
                <w:rFonts w:ascii="楷体" w:hAnsi="楷体" w:cs="楷体"/>
              </w:rPr>
            </w:pPr>
          </w:p>
        </w:tc>
        <w:tc>
          <w:tcPr>
            <w:tcW w:w="1820" w:type="dxa"/>
            <w:noWrap w:val="0"/>
            <w:vAlign w:val="center"/>
          </w:tcPr>
          <w:p>
            <w:pPr>
              <w:spacing w:line="440" w:lineRule="exact"/>
              <w:ind w:firstLine="480"/>
              <w:jc w:val="center"/>
              <w:rPr>
                <w:rFonts w:ascii="楷体" w:hAnsi="楷体" w:cs="楷体"/>
              </w:rPr>
            </w:pPr>
          </w:p>
        </w:tc>
        <w:tc>
          <w:tcPr>
            <w:tcW w:w="1542" w:type="dxa"/>
            <w:noWrap w:val="0"/>
            <w:vAlign w:val="top"/>
          </w:tcPr>
          <w:p>
            <w:pPr>
              <w:spacing w:line="440" w:lineRule="exact"/>
              <w:ind w:firstLine="480"/>
              <w:jc w:val="center"/>
              <w:rPr>
                <w:rFonts w:ascii="楷体" w:hAnsi="楷体" w:cs="楷体"/>
              </w:rPr>
            </w:pPr>
          </w:p>
        </w:tc>
        <w:tc>
          <w:tcPr>
            <w:tcW w:w="1517" w:type="dxa"/>
            <w:noWrap w:val="0"/>
            <w:vAlign w:val="center"/>
          </w:tcPr>
          <w:p>
            <w:pPr>
              <w:spacing w:line="440" w:lineRule="exact"/>
              <w:ind w:firstLine="480"/>
              <w:jc w:val="center"/>
              <w:rPr>
                <w:rFonts w:ascii="楷体" w:hAnsi="楷体" w:cs="楷体"/>
              </w:rPr>
            </w:pPr>
          </w:p>
        </w:tc>
        <w:tc>
          <w:tcPr>
            <w:tcW w:w="1499" w:type="dxa"/>
            <w:noWrap w:val="0"/>
            <w:vAlign w:val="center"/>
          </w:tcPr>
          <w:p>
            <w:pPr>
              <w:spacing w:line="440" w:lineRule="exact"/>
              <w:ind w:firstLine="480"/>
              <w:jc w:val="center"/>
              <w:rPr>
                <w:rFonts w:ascii="楷体" w:hAnsi="楷体" w:cs="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noWrap w:val="0"/>
            <w:vAlign w:val="center"/>
          </w:tcPr>
          <w:p>
            <w:pPr>
              <w:spacing w:line="440" w:lineRule="exact"/>
              <w:ind w:firstLine="480"/>
              <w:jc w:val="center"/>
              <w:rPr>
                <w:rFonts w:ascii="楷体" w:hAnsi="楷体" w:cs="楷体"/>
              </w:rPr>
            </w:pPr>
          </w:p>
        </w:tc>
        <w:tc>
          <w:tcPr>
            <w:tcW w:w="1746" w:type="dxa"/>
            <w:noWrap w:val="0"/>
            <w:vAlign w:val="center"/>
          </w:tcPr>
          <w:p>
            <w:pPr>
              <w:spacing w:line="440" w:lineRule="exact"/>
              <w:ind w:firstLine="480"/>
              <w:jc w:val="center"/>
              <w:rPr>
                <w:rFonts w:ascii="楷体" w:hAnsi="楷体" w:cs="楷体"/>
              </w:rPr>
            </w:pPr>
          </w:p>
        </w:tc>
        <w:tc>
          <w:tcPr>
            <w:tcW w:w="1820" w:type="dxa"/>
            <w:noWrap w:val="0"/>
            <w:vAlign w:val="center"/>
          </w:tcPr>
          <w:p>
            <w:pPr>
              <w:spacing w:line="440" w:lineRule="exact"/>
              <w:ind w:firstLine="480"/>
              <w:jc w:val="center"/>
              <w:rPr>
                <w:rFonts w:ascii="楷体" w:hAnsi="楷体" w:cs="楷体"/>
              </w:rPr>
            </w:pPr>
          </w:p>
        </w:tc>
        <w:tc>
          <w:tcPr>
            <w:tcW w:w="1542" w:type="dxa"/>
            <w:noWrap w:val="0"/>
            <w:vAlign w:val="top"/>
          </w:tcPr>
          <w:p>
            <w:pPr>
              <w:spacing w:line="440" w:lineRule="exact"/>
              <w:ind w:firstLine="480"/>
              <w:jc w:val="center"/>
              <w:rPr>
                <w:rFonts w:ascii="楷体" w:hAnsi="楷体" w:cs="楷体"/>
              </w:rPr>
            </w:pPr>
          </w:p>
        </w:tc>
        <w:tc>
          <w:tcPr>
            <w:tcW w:w="1517" w:type="dxa"/>
            <w:noWrap w:val="0"/>
            <w:vAlign w:val="center"/>
          </w:tcPr>
          <w:p>
            <w:pPr>
              <w:spacing w:line="440" w:lineRule="exact"/>
              <w:ind w:firstLine="480"/>
              <w:jc w:val="center"/>
              <w:rPr>
                <w:rFonts w:ascii="楷体" w:hAnsi="楷体" w:cs="楷体"/>
              </w:rPr>
            </w:pPr>
          </w:p>
        </w:tc>
        <w:tc>
          <w:tcPr>
            <w:tcW w:w="1499" w:type="dxa"/>
            <w:noWrap w:val="0"/>
            <w:vAlign w:val="center"/>
          </w:tcPr>
          <w:p>
            <w:pPr>
              <w:spacing w:line="440" w:lineRule="exact"/>
              <w:ind w:firstLine="480"/>
              <w:jc w:val="center"/>
              <w:rPr>
                <w:rFonts w:ascii="楷体" w:hAnsi="楷体" w:cs="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noWrap w:val="0"/>
            <w:vAlign w:val="center"/>
          </w:tcPr>
          <w:p>
            <w:pPr>
              <w:spacing w:line="440" w:lineRule="exact"/>
              <w:ind w:firstLine="480"/>
              <w:jc w:val="center"/>
              <w:rPr>
                <w:rFonts w:ascii="楷体" w:hAnsi="楷体" w:cs="楷体"/>
              </w:rPr>
            </w:pPr>
          </w:p>
        </w:tc>
        <w:tc>
          <w:tcPr>
            <w:tcW w:w="1746" w:type="dxa"/>
            <w:noWrap w:val="0"/>
            <w:vAlign w:val="center"/>
          </w:tcPr>
          <w:p>
            <w:pPr>
              <w:spacing w:line="440" w:lineRule="exact"/>
              <w:ind w:firstLine="480"/>
              <w:jc w:val="center"/>
              <w:rPr>
                <w:rFonts w:ascii="楷体" w:hAnsi="楷体" w:cs="楷体"/>
              </w:rPr>
            </w:pPr>
          </w:p>
        </w:tc>
        <w:tc>
          <w:tcPr>
            <w:tcW w:w="1820" w:type="dxa"/>
            <w:noWrap w:val="0"/>
            <w:vAlign w:val="center"/>
          </w:tcPr>
          <w:p>
            <w:pPr>
              <w:spacing w:line="440" w:lineRule="exact"/>
              <w:ind w:firstLine="480"/>
              <w:jc w:val="center"/>
              <w:rPr>
                <w:rFonts w:ascii="楷体" w:hAnsi="楷体" w:cs="楷体"/>
              </w:rPr>
            </w:pPr>
          </w:p>
        </w:tc>
        <w:tc>
          <w:tcPr>
            <w:tcW w:w="1542" w:type="dxa"/>
            <w:noWrap w:val="0"/>
            <w:vAlign w:val="top"/>
          </w:tcPr>
          <w:p>
            <w:pPr>
              <w:spacing w:line="440" w:lineRule="exact"/>
              <w:ind w:firstLine="480"/>
              <w:jc w:val="center"/>
              <w:rPr>
                <w:rFonts w:ascii="楷体" w:hAnsi="楷体" w:cs="楷体"/>
              </w:rPr>
            </w:pPr>
          </w:p>
        </w:tc>
        <w:tc>
          <w:tcPr>
            <w:tcW w:w="1517" w:type="dxa"/>
            <w:noWrap w:val="0"/>
            <w:vAlign w:val="center"/>
          </w:tcPr>
          <w:p>
            <w:pPr>
              <w:spacing w:line="440" w:lineRule="exact"/>
              <w:ind w:firstLine="480"/>
              <w:jc w:val="center"/>
              <w:rPr>
                <w:rFonts w:ascii="楷体" w:hAnsi="楷体" w:cs="楷体"/>
              </w:rPr>
            </w:pPr>
          </w:p>
        </w:tc>
        <w:tc>
          <w:tcPr>
            <w:tcW w:w="1499" w:type="dxa"/>
            <w:noWrap w:val="0"/>
            <w:vAlign w:val="center"/>
          </w:tcPr>
          <w:p>
            <w:pPr>
              <w:spacing w:line="440" w:lineRule="exact"/>
              <w:ind w:firstLine="480"/>
              <w:jc w:val="center"/>
              <w:rPr>
                <w:rFonts w:ascii="楷体" w:hAnsi="楷体" w:cs="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noWrap w:val="0"/>
            <w:vAlign w:val="center"/>
          </w:tcPr>
          <w:p>
            <w:pPr>
              <w:spacing w:line="440" w:lineRule="exact"/>
              <w:ind w:firstLine="480"/>
              <w:jc w:val="center"/>
              <w:rPr>
                <w:rFonts w:ascii="楷体" w:hAnsi="楷体" w:cs="楷体"/>
              </w:rPr>
            </w:pPr>
          </w:p>
        </w:tc>
        <w:tc>
          <w:tcPr>
            <w:tcW w:w="1746" w:type="dxa"/>
            <w:noWrap w:val="0"/>
            <w:vAlign w:val="center"/>
          </w:tcPr>
          <w:p>
            <w:pPr>
              <w:spacing w:line="440" w:lineRule="exact"/>
              <w:ind w:firstLine="480"/>
              <w:jc w:val="center"/>
              <w:rPr>
                <w:rFonts w:ascii="楷体" w:hAnsi="楷体" w:cs="楷体"/>
              </w:rPr>
            </w:pPr>
          </w:p>
        </w:tc>
        <w:tc>
          <w:tcPr>
            <w:tcW w:w="1820" w:type="dxa"/>
            <w:noWrap w:val="0"/>
            <w:vAlign w:val="center"/>
          </w:tcPr>
          <w:p>
            <w:pPr>
              <w:spacing w:line="440" w:lineRule="exact"/>
              <w:ind w:firstLine="480"/>
              <w:jc w:val="center"/>
              <w:rPr>
                <w:rFonts w:ascii="楷体" w:hAnsi="楷体" w:cs="楷体"/>
              </w:rPr>
            </w:pPr>
          </w:p>
        </w:tc>
        <w:tc>
          <w:tcPr>
            <w:tcW w:w="1542" w:type="dxa"/>
            <w:noWrap w:val="0"/>
            <w:vAlign w:val="top"/>
          </w:tcPr>
          <w:p>
            <w:pPr>
              <w:spacing w:line="440" w:lineRule="exact"/>
              <w:ind w:firstLine="480"/>
              <w:jc w:val="center"/>
              <w:rPr>
                <w:rFonts w:ascii="楷体" w:hAnsi="楷体" w:cs="楷体"/>
              </w:rPr>
            </w:pPr>
          </w:p>
        </w:tc>
        <w:tc>
          <w:tcPr>
            <w:tcW w:w="1517" w:type="dxa"/>
            <w:noWrap w:val="0"/>
            <w:vAlign w:val="center"/>
          </w:tcPr>
          <w:p>
            <w:pPr>
              <w:spacing w:line="440" w:lineRule="exact"/>
              <w:ind w:firstLine="480"/>
              <w:jc w:val="center"/>
              <w:rPr>
                <w:rFonts w:ascii="楷体" w:hAnsi="楷体" w:cs="楷体"/>
              </w:rPr>
            </w:pPr>
          </w:p>
        </w:tc>
        <w:tc>
          <w:tcPr>
            <w:tcW w:w="1499" w:type="dxa"/>
            <w:noWrap w:val="0"/>
            <w:vAlign w:val="center"/>
          </w:tcPr>
          <w:p>
            <w:pPr>
              <w:spacing w:line="440" w:lineRule="exact"/>
              <w:ind w:firstLine="480"/>
              <w:jc w:val="center"/>
              <w:rPr>
                <w:rFonts w:ascii="楷体" w:hAnsi="楷体" w:cs="楷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noWrap w:val="0"/>
            <w:vAlign w:val="center"/>
          </w:tcPr>
          <w:p>
            <w:pPr>
              <w:spacing w:line="440" w:lineRule="exact"/>
              <w:ind w:firstLine="480"/>
              <w:jc w:val="center"/>
              <w:rPr>
                <w:rFonts w:ascii="楷体" w:hAnsi="楷体" w:cs="楷体"/>
              </w:rPr>
            </w:pPr>
          </w:p>
        </w:tc>
        <w:tc>
          <w:tcPr>
            <w:tcW w:w="1746" w:type="dxa"/>
            <w:noWrap w:val="0"/>
            <w:vAlign w:val="center"/>
          </w:tcPr>
          <w:p>
            <w:pPr>
              <w:spacing w:line="440" w:lineRule="exact"/>
              <w:ind w:firstLine="480"/>
              <w:jc w:val="center"/>
              <w:rPr>
                <w:rFonts w:ascii="楷体" w:hAnsi="楷体" w:cs="楷体"/>
              </w:rPr>
            </w:pPr>
          </w:p>
        </w:tc>
        <w:tc>
          <w:tcPr>
            <w:tcW w:w="1820" w:type="dxa"/>
            <w:noWrap w:val="0"/>
            <w:vAlign w:val="center"/>
          </w:tcPr>
          <w:p>
            <w:pPr>
              <w:spacing w:line="440" w:lineRule="exact"/>
              <w:ind w:firstLine="480"/>
              <w:jc w:val="center"/>
              <w:rPr>
                <w:rFonts w:ascii="楷体" w:hAnsi="楷体" w:cs="楷体"/>
              </w:rPr>
            </w:pPr>
          </w:p>
        </w:tc>
        <w:tc>
          <w:tcPr>
            <w:tcW w:w="1542" w:type="dxa"/>
            <w:noWrap w:val="0"/>
            <w:vAlign w:val="top"/>
          </w:tcPr>
          <w:p>
            <w:pPr>
              <w:spacing w:line="440" w:lineRule="exact"/>
              <w:ind w:firstLine="480"/>
              <w:jc w:val="center"/>
              <w:rPr>
                <w:rFonts w:ascii="楷体" w:hAnsi="楷体" w:cs="楷体"/>
              </w:rPr>
            </w:pPr>
          </w:p>
        </w:tc>
        <w:tc>
          <w:tcPr>
            <w:tcW w:w="1517" w:type="dxa"/>
            <w:noWrap w:val="0"/>
            <w:vAlign w:val="center"/>
          </w:tcPr>
          <w:p>
            <w:pPr>
              <w:spacing w:line="440" w:lineRule="exact"/>
              <w:ind w:firstLine="480"/>
              <w:jc w:val="center"/>
              <w:rPr>
                <w:rFonts w:ascii="楷体" w:hAnsi="楷体" w:cs="楷体"/>
              </w:rPr>
            </w:pPr>
          </w:p>
        </w:tc>
        <w:tc>
          <w:tcPr>
            <w:tcW w:w="1499" w:type="dxa"/>
            <w:noWrap w:val="0"/>
            <w:vAlign w:val="center"/>
          </w:tcPr>
          <w:p>
            <w:pPr>
              <w:spacing w:line="440" w:lineRule="exact"/>
              <w:ind w:firstLine="480"/>
              <w:jc w:val="center"/>
              <w:rPr>
                <w:rFonts w:ascii="楷体" w:hAnsi="楷体" w:cs="楷体"/>
              </w:rPr>
            </w:pPr>
          </w:p>
        </w:tc>
      </w:tr>
    </w:tbl>
    <w:p>
      <w:pPr>
        <w:spacing w:line="520" w:lineRule="exact"/>
        <w:ind w:firstLine="480"/>
        <w:rPr>
          <w:rFonts w:ascii="楷体" w:hAnsi="楷体" w:cs="楷体"/>
        </w:rPr>
      </w:pPr>
    </w:p>
    <w:p>
      <w:pPr>
        <w:widowControl/>
        <w:ind w:firstLine="480"/>
        <w:rPr>
          <w:rFonts w:hint="eastAsia" w:ascii="楷体" w:hAnsi="楷体" w:cs="楷体"/>
          <w:kern w:val="0"/>
        </w:rPr>
      </w:pPr>
      <w:r>
        <w:rPr>
          <w:rFonts w:hint="eastAsia" w:ascii="楷体" w:hAnsi="楷体" w:cs="楷体"/>
          <w:kern w:val="0"/>
          <w:lang w:val="zh-CN"/>
        </w:rPr>
        <w:t>供应商全称：</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hint="eastAsia" w:ascii="楷体" w:hAnsi="楷体" w:cs="楷体"/>
          <w:kern w:val="0"/>
        </w:rPr>
      </w:pPr>
    </w:p>
    <w:p>
      <w:pPr>
        <w:widowControl/>
        <w:ind w:firstLine="480"/>
        <w:rPr>
          <w:rFonts w:hint="eastAsia"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hint="eastAsia"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ind w:firstLine="480"/>
        <w:rPr>
          <w:rFonts w:hint="eastAsia"/>
        </w:rPr>
        <w:sectPr>
          <w:pgSz w:w="11906" w:h="16838"/>
          <w:pgMar w:top="1418" w:right="1418" w:bottom="1418" w:left="1418" w:header="851" w:footer="992" w:gutter="0"/>
          <w:cols w:space="720" w:num="1"/>
          <w:docGrid w:linePitch="312" w:charSpace="0"/>
        </w:sectPr>
      </w:pPr>
    </w:p>
    <w:p>
      <w:pPr>
        <w:widowControl/>
        <w:ind w:firstLine="0" w:firstLineChars="0"/>
        <w:jc w:val="center"/>
        <w:rPr>
          <w:rFonts w:hint="eastAsia" w:ascii="Arial" w:hAnsi="Arial" w:cs="Times New Roman"/>
          <w:b/>
          <w:sz w:val="28"/>
          <w:lang w:val="zh-CN"/>
        </w:rPr>
      </w:pPr>
      <w:r>
        <w:rPr>
          <w:rFonts w:hint="eastAsia" w:ascii="Arial" w:hAnsi="Arial" w:cs="Times New Roman"/>
          <w:b/>
          <w:sz w:val="28"/>
        </w:rPr>
        <w:t>商务</w:t>
      </w:r>
      <w:r>
        <w:rPr>
          <w:rFonts w:hint="eastAsia" w:ascii="Arial" w:hAnsi="Arial" w:cs="Times New Roman"/>
          <w:b/>
          <w:sz w:val="28"/>
          <w:lang w:val="zh-CN"/>
        </w:rPr>
        <w:t>偏差表</w:t>
      </w: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b/>
          <w:bCs/>
          <w:kern w:val="0"/>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noWrap w:val="0"/>
            <w:vAlign w:val="center"/>
          </w:tcPr>
          <w:p>
            <w:pPr>
              <w:widowControl/>
              <w:ind w:firstLine="0" w:firstLineChars="0"/>
              <w:jc w:val="center"/>
              <w:rPr>
                <w:rFonts w:ascii="楷体" w:hAnsi="楷体" w:cs="楷体"/>
                <w:kern w:val="0"/>
              </w:rPr>
            </w:pPr>
            <w:r>
              <w:rPr>
                <w:rFonts w:hint="eastAsia" w:ascii="楷体" w:hAnsi="楷体" w:cs="楷体"/>
                <w:kern w:val="0"/>
                <w:lang w:val="en-US" w:eastAsia="zh-CN"/>
              </w:rPr>
              <w:t>谈判</w:t>
            </w:r>
            <w:r>
              <w:rPr>
                <w:rFonts w:hint="eastAsia" w:ascii="楷体" w:hAnsi="楷体" w:cs="楷体"/>
                <w:kern w:val="0"/>
              </w:rPr>
              <w:t>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noWrap w:val="0"/>
            <w:vAlign w:val="center"/>
          </w:tcPr>
          <w:p>
            <w:pPr>
              <w:widowControl/>
              <w:ind w:firstLine="0" w:firstLineChars="0"/>
              <w:jc w:val="center"/>
              <w:rPr>
                <w:rFonts w:ascii="楷体" w:hAnsi="楷体" w:cs="楷体"/>
                <w:kern w:val="0"/>
              </w:rPr>
            </w:pPr>
            <w:r>
              <w:rPr>
                <w:rFonts w:hint="eastAsia" w:ascii="楷体" w:hAnsi="楷体" w:cs="楷体"/>
                <w:kern w:val="0"/>
                <w:lang w:val="en-US" w:eastAsia="zh-CN"/>
              </w:rPr>
              <w:t>响应</w:t>
            </w:r>
            <w:r>
              <w:rPr>
                <w:rFonts w:hint="eastAsia" w:ascii="楷体" w:hAnsi="楷体" w:cs="楷体"/>
                <w:kern w:val="0"/>
              </w:rPr>
              <w:t>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noWrap w:val="0"/>
            <w:vAlign w:val="center"/>
          </w:tcPr>
          <w:p>
            <w:pPr>
              <w:widowControl/>
              <w:ind w:firstLine="0" w:firstLineChars="0"/>
              <w:jc w:val="center"/>
              <w:rPr>
                <w:rFonts w:hint="eastAsia" w:ascii="楷体" w:hAnsi="楷体" w:cs="楷体"/>
                <w:kern w:val="0"/>
              </w:rPr>
            </w:pPr>
            <w:r>
              <w:rPr>
                <w:rFonts w:hint="eastAsia" w:ascii="楷体" w:hAnsi="楷体" w:cs="楷体"/>
                <w:kern w:val="0"/>
              </w:rPr>
              <w:t>偏离</w:t>
            </w:r>
          </w:p>
        </w:tc>
        <w:tc>
          <w:tcPr>
            <w:tcW w:w="1372" w:type="dxa"/>
            <w:noWrap w:val="0"/>
            <w:vAlign w:val="center"/>
          </w:tcPr>
          <w:p>
            <w:pPr>
              <w:widowControl/>
              <w:ind w:firstLine="0" w:firstLineChars="0"/>
              <w:jc w:val="center"/>
              <w:rPr>
                <w:rFonts w:hint="eastAsia"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r>
              <w:rPr>
                <w:rFonts w:hint="eastAsia" w:ascii="楷体" w:hAnsi="楷体" w:cs="楷体"/>
                <w:kern w:val="0"/>
              </w:rPr>
              <w:t>...</w:t>
            </w: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bl>
    <w:p>
      <w:pPr>
        <w:widowControl/>
        <w:ind w:firstLine="480"/>
        <w:rPr>
          <w:rFonts w:hint="eastAsia" w:ascii="楷体" w:hAnsi="楷体" w:cs="楷体"/>
          <w:kern w:val="0"/>
        </w:rPr>
      </w:pPr>
      <w:r>
        <w:rPr>
          <w:rFonts w:hint="eastAsia" w:ascii="楷体" w:hAnsi="楷体" w:cs="楷体"/>
          <w:kern w:val="0"/>
        </w:rPr>
        <w:t>说明：</w:t>
      </w:r>
    </w:p>
    <w:p>
      <w:pPr>
        <w:widowControl/>
        <w:ind w:firstLine="480"/>
        <w:rPr>
          <w:rFonts w:hint="eastAsia" w:ascii="楷体" w:hAnsi="楷体" w:cs="楷体"/>
          <w:color w:val="auto"/>
          <w:kern w:val="0"/>
          <w:highlight w:val="none"/>
        </w:rPr>
      </w:pPr>
      <w:r>
        <w:rPr>
          <w:rFonts w:hint="eastAsia" w:ascii="楷体" w:hAnsi="楷体" w:cs="楷体"/>
          <w:kern w:val="0"/>
          <w:highlight w:val="none"/>
        </w:rPr>
        <w:t>1.本表需填写</w:t>
      </w:r>
      <w:r>
        <w:rPr>
          <w:rFonts w:hint="eastAsia" w:ascii="楷体" w:hAnsi="楷体" w:cs="楷体"/>
          <w:kern w:val="0"/>
          <w:highlight w:val="none"/>
          <w:lang w:val="en-US" w:eastAsia="zh-CN"/>
        </w:rPr>
        <w:t>响应</w:t>
      </w:r>
      <w:r>
        <w:rPr>
          <w:rFonts w:hint="eastAsia" w:ascii="楷体" w:hAnsi="楷体" w:cs="楷体"/>
          <w:kern w:val="0"/>
          <w:highlight w:val="none"/>
        </w:rPr>
        <w:t>文件中与</w:t>
      </w:r>
      <w:r>
        <w:rPr>
          <w:rFonts w:hint="eastAsia" w:ascii="楷体" w:hAnsi="楷体" w:cs="楷体"/>
          <w:kern w:val="0"/>
          <w:highlight w:val="none"/>
          <w:lang w:val="en-US" w:eastAsia="zh-CN"/>
        </w:rPr>
        <w:t>竞争性谈判</w:t>
      </w:r>
      <w:r>
        <w:rPr>
          <w:rFonts w:hint="eastAsia" w:ascii="楷体" w:hAnsi="楷体" w:cs="楷体"/>
          <w:kern w:val="0"/>
          <w:highlight w:val="none"/>
        </w:rPr>
        <w:t>文件中商务条款</w:t>
      </w:r>
      <w:r>
        <w:rPr>
          <w:rFonts w:hint="eastAsia" w:ascii="楷体" w:hAnsi="楷体" w:cs="楷体"/>
          <w:kern w:val="0"/>
          <w:highlight w:val="none"/>
          <w:lang w:eastAsia="zh-CN"/>
        </w:rPr>
        <w:t>（第三部分采购</w:t>
      </w:r>
      <w:r>
        <w:rPr>
          <w:rFonts w:hint="eastAsia" w:ascii="楷体" w:hAnsi="楷体" w:cs="楷体"/>
          <w:kern w:val="0"/>
          <w:highlight w:val="none"/>
          <w:lang w:val="en-US" w:eastAsia="zh-CN"/>
        </w:rPr>
        <w:t>内容及</w:t>
      </w:r>
      <w:r>
        <w:rPr>
          <w:rFonts w:hint="eastAsia" w:ascii="楷体" w:hAnsi="楷体" w:cs="楷体"/>
          <w:kern w:val="0"/>
          <w:highlight w:val="none"/>
          <w:lang w:eastAsia="zh-CN"/>
        </w:rPr>
        <w:t>需求中</w:t>
      </w:r>
      <w:r>
        <w:rPr>
          <w:rFonts w:hint="eastAsia" w:ascii="楷体" w:hAnsi="楷体" w:cs="楷体"/>
          <w:kern w:val="0"/>
          <w:highlight w:val="none"/>
          <w:lang w:val="en-US" w:eastAsia="zh-CN"/>
        </w:rPr>
        <w:t>的</w:t>
      </w:r>
      <w:r>
        <w:rPr>
          <w:rFonts w:hint="eastAsia" w:ascii="楷体" w:hAnsi="楷体" w:cs="楷体"/>
          <w:kern w:val="0"/>
          <w:highlight w:val="none"/>
          <w:lang w:eastAsia="zh-CN"/>
        </w:rPr>
        <w:t>商务要求）</w:t>
      </w:r>
      <w:r>
        <w:rPr>
          <w:rFonts w:hint="eastAsia" w:ascii="楷体" w:hAnsi="楷体" w:cs="楷体"/>
          <w:kern w:val="0"/>
          <w:highlight w:val="none"/>
        </w:rPr>
        <w:t>有偏离内容</w:t>
      </w:r>
      <w:r>
        <w:rPr>
          <w:rFonts w:hint="eastAsia" w:ascii="楷体" w:hAnsi="楷体" w:cs="楷体"/>
          <w:color w:val="auto"/>
          <w:kern w:val="0"/>
          <w:highlight w:val="none"/>
        </w:rPr>
        <w:t>，商务部分不允许有负偏离。</w:t>
      </w:r>
    </w:p>
    <w:p>
      <w:pPr>
        <w:widowControl/>
        <w:ind w:firstLine="480"/>
        <w:rPr>
          <w:rFonts w:hint="eastAsia" w:ascii="楷体" w:hAnsi="楷体" w:cs="楷体"/>
          <w:kern w:val="0"/>
          <w:highlight w:val="none"/>
        </w:rPr>
      </w:pPr>
      <w:r>
        <w:rPr>
          <w:rFonts w:hint="eastAsia" w:ascii="楷体" w:hAnsi="楷体" w:cs="楷体"/>
          <w:kern w:val="0"/>
          <w:highlight w:val="none"/>
          <w:lang w:val="en-US" w:eastAsia="zh-CN"/>
        </w:rPr>
        <w:t>2、</w:t>
      </w:r>
      <w:r>
        <w:rPr>
          <w:rFonts w:hint="eastAsia" w:ascii="楷体" w:hAnsi="楷体" w:cs="楷体"/>
          <w:kern w:val="0"/>
          <w:highlight w:val="none"/>
        </w:rPr>
        <w:t>响应说明填写：优于、相同</w:t>
      </w:r>
    </w:p>
    <w:p>
      <w:pPr>
        <w:widowControl/>
        <w:ind w:firstLine="480"/>
        <w:rPr>
          <w:rFonts w:hint="eastAsia" w:ascii="楷体" w:hAnsi="楷体" w:cs="楷体"/>
          <w:kern w:val="0"/>
          <w:highlight w:val="none"/>
        </w:rPr>
      </w:pPr>
      <w:r>
        <w:rPr>
          <w:rFonts w:hint="eastAsia" w:ascii="楷体" w:hAnsi="楷体" w:cs="楷体"/>
          <w:kern w:val="0"/>
          <w:highlight w:val="none"/>
          <w:lang w:val="en-US" w:eastAsia="zh-CN"/>
        </w:rPr>
        <w:t>3</w:t>
      </w:r>
      <w:r>
        <w:rPr>
          <w:rFonts w:hint="eastAsia" w:ascii="楷体" w:hAnsi="楷体" w:cs="楷体"/>
          <w:kern w:val="0"/>
          <w:highlight w:val="none"/>
        </w:rPr>
        <w:t>.供应商必须据实填写，不得虚假响应，否则将取消其响应或成交资格，并按有关规定进处罚。</w:t>
      </w:r>
    </w:p>
    <w:p>
      <w:pPr>
        <w:widowControl/>
        <w:ind w:firstLine="480"/>
        <w:rPr>
          <w:rFonts w:hint="eastAsia" w:ascii="楷体" w:hAnsi="楷体" w:cs="楷体"/>
          <w:kern w:val="0"/>
          <w:lang w:val="zh-CN"/>
        </w:rPr>
      </w:pPr>
    </w:p>
    <w:p>
      <w:pPr>
        <w:widowControl/>
        <w:ind w:firstLine="480"/>
        <w:rPr>
          <w:rFonts w:hint="eastAsia" w:ascii="楷体" w:hAnsi="楷体" w:cs="楷体"/>
          <w:kern w:val="0"/>
        </w:rPr>
      </w:pPr>
      <w:r>
        <w:rPr>
          <w:rFonts w:hint="eastAsia" w:ascii="楷体" w:hAnsi="楷体" w:cs="楷体"/>
          <w:kern w:val="0"/>
          <w:lang w:val="zh-CN"/>
        </w:rPr>
        <w:t>供应商全称：</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hint="eastAsia" w:ascii="楷体" w:hAnsi="楷体" w:cs="楷体"/>
          <w:kern w:val="0"/>
        </w:rPr>
      </w:pPr>
    </w:p>
    <w:p>
      <w:pPr>
        <w:widowControl/>
        <w:ind w:firstLine="480"/>
        <w:rPr>
          <w:rFonts w:hint="eastAsia"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hint="eastAsia"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widowControl/>
        <w:ind w:firstLine="0" w:firstLineChars="0"/>
        <w:jc w:val="center"/>
        <w:rPr>
          <w:rFonts w:ascii="Arial" w:hAnsi="Arial" w:cs="Times New Roman"/>
          <w:b/>
          <w:sz w:val="28"/>
          <w:lang w:val="zh-CN"/>
        </w:rPr>
      </w:pPr>
      <w:r>
        <w:rPr>
          <w:rFonts w:hint="eastAsia" w:ascii="楷体" w:hAnsi="楷体" w:cs="楷体"/>
          <w:kern w:val="0"/>
          <w:lang w:val="zh-CN"/>
        </w:rPr>
        <w:br w:type="page"/>
      </w:r>
      <w:r>
        <w:rPr>
          <w:rFonts w:hint="eastAsia" w:ascii="Arial" w:hAnsi="Arial" w:cs="Times New Roman"/>
          <w:b/>
          <w:sz w:val="28"/>
        </w:rPr>
        <w:t>技术</w:t>
      </w:r>
      <w:r>
        <w:rPr>
          <w:rFonts w:hint="eastAsia" w:ascii="Arial" w:hAnsi="Arial" w:cs="Times New Roman"/>
          <w:b/>
          <w:sz w:val="28"/>
          <w:lang w:val="zh-CN"/>
        </w:rPr>
        <w:t>偏差表</w:t>
      </w:r>
    </w:p>
    <w:p>
      <w:pPr>
        <w:widowControl w:val="0"/>
        <w:spacing w:line="360" w:lineRule="auto"/>
        <w:ind w:firstLine="560" w:firstLineChars="200"/>
        <w:jc w:val="left"/>
        <w:rPr>
          <w:rFonts w:ascii="Copperplate Gothic Bold" w:hAnsi="Copperplate Gothic Bold" w:eastAsia="楷体" w:cs="Times New Roman"/>
          <w:kern w:val="2"/>
          <w:sz w:val="28"/>
          <w:szCs w:val="24"/>
          <w:lang w:val="zh-CN" w:eastAsia="zh-CN" w:bidi="ar-SA"/>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noWrap w:val="0"/>
            <w:vAlign w:val="center"/>
          </w:tcPr>
          <w:p>
            <w:pPr>
              <w:widowControl/>
              <w:ind w:firstLine="0" w:firstLineChars="0"/>
              <w:jc w:val="center"/>
              <w:rPr>
                <w:rFonts w:ascii="楷体" w:hAnsi="楷体" w:cs="楷体"/>
                <w:kern w:val="0"/>
              </w:rPr>
            </w:pPr>
            <w:r>
              <w:rPr>
                <w:rFonts w:hint="eastAsia" w:ascii="楷体" w:hAnsi="楷体" w:cs="楷体"/>
                <w:kern w:val="0"/>
                <w:lang w:val="en-US" w:eastAsia="zh-CN"/>
              </w:rPr>
              <w:t>谈判</w:t>
            </w:r>
            <w:r>
              <w:rPr>
                <w:rFonts w:hint="eastAsia" w:ascii="楷体" w:hAnsi="楷体" w:cs="楷体"/>
                <w:kern w:val="0"/>
              </w:rPr>
              <w:t>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noWrap w:val="0"/>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noWrap w:val="0"/>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noWrap w:val="0"/>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ascii="楷体" w:hAnsi="楷体" w:cs="楷体"/>
                <w:kern w:val="0"/>
              </w:rPr>
            </w:pPr>
            <w:r>
              <w:rPr>
                <w:rFonts w:hint="eastAsia" w:ascii="楷体" w:hAnsi="楷体" w:cs="楷体"/>
                <w:kern w:val="0"/>
              </w:rPr>
              <w:t>...</w:t>
            </w:r>
          </w:p>
        </w:tc>
        <w:tc>
          <w:tcPr>
            <w:tcW w:w="2231" w:type="dxa"/>
            <w:noWrap w:val="0"/>
            <w:vAlign w:val="top"/>
          </w:tcPr>
          <w:p>
            <w:pPr>
              <w:widowControl/>
              <w:ind w:firstLine="480"/>
              <w:rPr>
                <w:rFonts w:ascii="楷体" w:hAnsi="楷体" w:cs="楷体"/>
                <w:kern w:val="0"/>
              </w:rPr>
            </w:pPr>
          </w:p>
        </w:tc>
        <w:tc>
          <w:tcPr>
            <w:tcW w:w="2191" w:type="dxa"/>
            <w:noWrap w:val="0"/>
            <w:vAlign w:val="top"/>
          </w:tcPr>
          <w:p>
            <w:pPr>
              <w:widowControl/>
              <w:ind w:firstLine="480"/>
              <w:rPr>
                <w:rFonts w:ascii="楷体" w:hAnsi="楷体" w:cs="楷体"/>
                <w:kern w:val="0"/>
              </w:rPr>
            </w:pPr>
          </w:p>
        </w:tc>
        <w:tc>
          <w:tcPr>
            <w:tcW w:w="1592" w:type="dxa"/>
            <w:noWrap w:val="0"/>
            <w:vAlign w:val="top"/>
          </w:tcPr>
          <w:p>
            <w:pPr>
              <w:widowControl/>
              <w:ind w:firstLine="480"/>
              <w:rPr>
                <w:rFonts w:ascii="楷体" w:hAnsi="楷体" w:cs="楷体"/>
                <w:kern w:val="0"/>
              </w:rPr>
            </w:pPr>
          </w:p>
        </w:tc>
        <w:tc>
          <w:tcPr>
            <w:tcW w:w="1372" w:type="dxa"/>
            <w:noWrap w:val="0"/>
            <w:vAlign w:val="top"/>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en-US" w:eastAsia="zh-CN"/>
        </w:rPr>
        <w:t>1、</w:t>
      </w:r>
      <w:r>
        <w:rPr>
          <w:rFonts w:hint="eastAsia" w:ascii="楷体" w:hAnsi="楷体" w:cs="楷体"/>
          <w:color w:val="auto"/>
          <w:kern w:val="0"/>
          <w:highlight w:val="none"/>
          <w:lang w:val="zh-CN"/>
        </w:rPr>
        <w:t>请按项目的实际技术参数，逐条对应</w:t>
      </w:r>
      <w:r>
        <w:rPr>
          <w:rFonts w:hint="eastAsia" w:ascii="楷体" w:hAnsi="楷体" w:cs="楷体"/>
          <w:color w:val="auto"/>
          <w:kern w:val="0"/>
          <w:highlight w:val="none"/>
          <w:lang w:val="en-US" w:eastAsia="zh-CN"/>
        </w:rPr>
        <w:t>竞争性谈判</w:t>
      </w:r>
      <w:r>
        <w:rPr>
          <w:rFonts w:hint="eastAsia" w:ascii="楷体" w:hAnsi="楷体" w:cs="楷体"/>
          <w:color w:val="auto"/>
          <w:kern w:val="0"/>
          <w:highlight w:val="none"/>
          <w:lang w:val="zh-CN"/>
        </w:rPr>
        <w:t>文件</w:t>
      </w:r>
      <w:r>
        <w:rPr>
          <w:rFonts w:hint="eastAsia" w:ascii="楷体" w:hAnsi="楷体" w:cs="楷体"/>
          <w:color w:val="auto"/>
          <w:kern w:val="0"/>
          <w:highlight w:val="none"/>
          <w:lang w:val="zh-CN" w:eastAsia="zh-CN"/>
        </w:rPr>
        <w:t>第三部分采购</w:t>
      </w:r>
      <w:r>
        <w:rPr>
          <w:rFonts w:hint="eastAsia" w:ascii="楷体" w:hAnsi="楷体" w:cs="楷体"/>
          <w:color w:val="auto"/>
          <w:kern w:val="0"/>
          <w:highlight w:val="none"/>
          <w:lang w:val="en-US" w:eastAsia="zh-CN"/>
        </w:rPr>
        <w:t>内容及</w:t>
      </w:r>
      <w:r>
        <w:rPr>
          <w:rFonts w:hint="eastAsia" w:ascii="楷体" w:hAnsi="楷体" w:cs="楷体"/>
          <w:color w:val="auto"/>
          <w:kern w:val="0"/>
          <w:highlight w:val="none"/>
          <w:lang w:val="zh-CN" w:eastAsia="zh-CN"/>
        </w:rPr>
        <w:t>需求</w:t>
      </w:r>
      <w:r>
        <w:rPr>
          <w:rFonts w:hint="eastAsia" w:ascii="楷体" w:hAnsi="楷体" w:cs="楷体"/>
          <w:color w:val="auto"/>
          <w:kern w:val="0"/>
          <w:highlight w:val="none"/>
          <w:lang w:val="zh-CN"/>
        </w:rPr>
        <w:t>“</w:t>
      </w:r>
      <w:r>
        <w:rPr>
          <w:rFonts w:hint="eastAsia" w:ascii="楷体" w:hAnsi="楷体" w:cs="楷体"/>
          <w:color w:val="auto"/>
          <w:kern w:val="0"/>
          <w:highlight w:val="none"/>
          <w:lang w:val="zh-CN" w:eastAsia="zh-CN"/>
        </w:rPr>
        <w:t>一、货物配置、参数及要求</w:t>
      </w:r>
      <w:r>
        <w:rPr>
          <w:rFonts w:hint="eastAsia" w:ascii="楷体" w:hAnsi="楷体" w:cs="楷体"/>
          <w:color w:val="auto"/>
          <w:kern w:val="0"/>
          <w:highlight w:val="none"/>
          <w:lang w:val="zh-CN"/>
        </w:rPr>
        <w:t>”</w:t>
      </w:r>
      <w:r>
        <w:rPr>
          <w:rFonts w:hint="eastAsia" w:ascii="楷体" w:hAnsi="楷体" w:cs="楷体"/>
          <w:color w:val="auto"/>
          <w:kern w:val="0"/>
          <w:highlight w:val="none"/>
          <w:lang w:val="en-US" w:eastAsia="zh-CN"/>
        </w:rPr>
        <w:t>部分</w:t>
      </w:r>
      <w:r>
        <w:rPr>
          <w:rFonts w:hint="eastAsia" w:ascii="楷体" w:hAnsi="楷体" w:cs="楷体"/>
          <w:color w:val="auto"/>
          <w:kern w:val="0"/>
          <w:highlight w:val="none"/>
          <w:lang w:val="zh-CN"/>
        </w:rPr>
        <w:t>，认真填写本表。偏离情况填写：优于、等于或低于，偏离说明对偏离情况做出详细</w:t>
      </w:r>
      <w:r>
        <w:rPr>
          <w:rFonts w:hint="eastAsia" w:ascii="楷体" w:hAnsi="楷体" w:cs="楷体"/>
          <w:color w:val="auto"/>
          <w:kern w:val="0"/>
          <w:highlight w:val="none"/>
          <w:lang w:val="en-US" w:eastAsia="zh-CN"/>
        </w:rPr>
        <w:t>说明并提供证明材料，证明材料不限于产品检测报告复印件、官网产品相关截图等</w:t>
      </w:r>
      <w:r>
        <w:rPr>
          <w:rFonts w:hint="eastAsia" w:ascii="楷体" w:hAnsi="楷体" w:cs="楷体"/>
          <w:color w:val="auto"/>
          <w:kern w:val="0"/>
          <w:highlight w:val="none"/>
          <w:lang w:val="zh-CN"/>
        </w:rPr>
        <w:t>。</w:t>
      </w:r>
    </w:p>
    <w:p>
      <w:pPr>
        <w:widowControl/>
        <w:ind w:firstLine="480"/>
        <w:rPr>
          <w:rFonts w:hint="eastAsia" w:ascii="楷体" w:hAnsi="楷体" w:cs="楷体"/>
          <w:kern w:val="0"/>
          <w:highlight w:val="none"/>
          <w:lang w:val="zh-CN"/>
        </w:rPr>
      </w:pPr>
      <w:r>
        <w:rPr>
          <w:rFonts w:hint="eastAsia" w:ascii="楷体" w:hAnsi="楷体" w:cs="楷体"/>
          <w:kern w:val="0"/>
          <w:highlight w:val="none"/>
          <w:lang w:val="zh-CN"/>
        </w:rPr>
        <w:t>2、</w:t>
      </w:r>
      <w:r>
        <w:rPr>
          <w:rFonts w:hint="eastAsia" w:ascii="楷体" w:hAnsi="楷体" w:cs="楷体"/>
          <w:kern w:val="0"/>
          <w:highlight w:val="none"/>
          <w:lang w:val="en-US" w:eastAsia="zh-CN"/>
        </w:rPr>
        <w:t>供应商</w:t>
      </w:r>
      <w:r>
        <w:rPr>
          <w:rFonts w:hint="eastAsia" w:ascii="楷体" w:hAnsi="楷体" w:cs="楷体"/>
          <w:kern w:val="0"/>
          <w:highlight w:val="none"/>
          <w:lang w:val="zh-CN"/>
        </w:rPr>
        <w:t>应按实际情况填写，不得照抄、复制</w:t>
      </w:r>
      <w:r>
        <w:rPr>
          <w:rFonts w:hint="eastAsia" w:ascii="楷体" w:hAnsi="楷体" w:cs="楷体"/>
          <w:kern w:val="0"/>
          <w:highlight w:val="none"/>
          <w:lang w:val="en-US" w:eastAsia="zh-CN"/>
        </w:rPr>
        <w:t>竞争性谈判</w:t>
      </w:r>
      <w:r>
        <w:rPr>
          <w:rFonts w:hint="eastAsia" w:ascii="楷体" w:hAnsi="楷体" w:cs="楷体"/>
          <w:kern w:val="0"/>
          <w:highlight w:val="none"/>
          <w:lang w:val="zh-CN"/>
        </w:rPr>
        <w:t>文件技术参数要求，</w:t>
      </w:r>
      <w:r>
        <w:rPr>
          <w:rFonts w:hint="eastAsia" w:ascii="楷体" w:hAnsi="楷体" w:cs="楷体"/>
          <w:kern w:val="0"/>
          <w:highlight w:val="none"/>
          <w:lang w:val="en-US" w:eastAsia="zh-CN"/>
        </w:rPr>
        <w:t>否则视为未实质性响应竞争性谈判文件</w:t>
      </w:r>
      <w:r>
        <w:rPr>
          <w:rFonts w:hint="eastAsia" w:ascii="楷体" w:hAnsi="楷体" w:cs="楷体"/>
          <w:kern w:val="0"/>
          <w:highlight w:val="none"/>
          <w:lang w:val="zh-CN"/>
        </w:rPr>
        <w:t>。</w:t>
      </w:r>
    </w:p>
    <w:p>
      <w:pPr>
        <w:widowControl/>
        <w:ind w:firstLine="480"/>
        <w:rPr>
          <w:rFonts w:hint="eastAsia" w:ascii="楷体" w:hAnsi="楷体" w:cs="楷体"/>
          <w:kern w:val="0"/>
          <w:lang w:val="zh-CN"/>
        </w:rPr>
      </w:pPr>
      <w:r>
        <w:rPr>
          <w:rFonts w:hint="eastAsia" w:ascii="楷体" w:hAnsi="楷体" w:cs="楷体"/>
          <w:kern w:val="0"/>
          <w:lang w:val="zh-CN"/>
        </w:rPr>
        <w:t>3、供应商必须据实填写，不得虚假响应，否则将取消其响应或成交资格，并按有关规定进处罚。</w:t>
      </w:r>
    </w:p>
    <w:p>
      <w:pPr>
        <w:widowControl/>
        <w:ind w:firstLine="480"/>
        <w:rPr>
          <w:rFonts w:hint="eastAsia" w:ascii="楷体" w:hAnsi="楷体" w:cs="楷体"/>
          <w:kern w:val="0"/>
          <w:lang w:val="zh-CN"/>
        </w:rPr>
      </w:pPr>
    </w:p>
    <w:p>
      <w:pPr>
        <w:widowControl/>
        <w:ind w:firstLine="480"/>
        <w:rPr>
          <w:rFonts w:hint="eastAsia" w:ascii="楷体" w:hAnsi="楷体" w:cs="楷体"/>
          <w:kern w:val="0"/>
        </w:rPr>
      </w:pPr>
      <w:r>
        <w:rPr>
          <w:rFonts w:hint="eastAsia" w:ascii="楷体" w:hAnsi="楷体" w:cs="楷体"/>
          <w:kern w:val="0"/>
          <w:lang w:val="zh-CN"/>
        </w:rPr>
        <w:t>供应商全称：</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hint="eastAsia" w:ascii="楷体" w:hAnsi="楷体" w:cs="楷体"/>
          <w:kern w:val="0"/>
        </w:rPr>
      </w:pPr>
    </w:p>
    <w:p>
      <w:pPr>
        <w:widowControl/>
        <w:ind w:firstLine="480"/>
        <w:rPr>
          <w:rFonts w:hint="eastAsia"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hint="eastAsia" w:ascii="楷体" w:hAnsi="楷体" w:cs="楷体"/>
          <w:kern w:val="0"/>
        </w:rPr>
      </w:pPr>
      <w:r>
        <w:rPr>
          <w:rFonts w:hint="eastAsia" w:ascii="楷体" w:hAnsi="楷体" w:cs="楷体"/>
          <w:kern w:val="0"/>
          <w:lang w:val="zh-CN"/>
        </w:rPr>
        <w:t xml:space="preserve">  </w:t>
      </w:r>
    </w:p>
    <w:p>
      <w:pPr>
        <w:widowControl/>
        <w:ind w:firstLine="6000" w:firstLineChars="2500"/>
        <w:rPr>
          <w:rFonts w:hint="eastAsia" w:ascii="楷体" w:hAnsi="楷体" w:cs="楷体"/>
          <w:kern w:val="0"/>
          <w:lang w:val="zh-CN"/>
        </w:rPr>
      </w:pPr>
      <w:r>
        <w:rPr>
          <w:rFonts w:hint="eastAsia" w:ascii="楷体" w:hAnsi="楷体" w:cs="楷体"/>
          <w:kern w:val="0"/>
          <w:lang w:val="zh-CN"/>
        </w:rPr>
        <w:t xml:space="preserve"> 年       月      日</w:t>
      </w:r>
    </w:p>
    <w:p>
      <w:pPr>
        <w:ind w:firstLine="562"/>
        <w:jc w:val="center"/>
        <w:rPr>
          <w:rFonts w:hint="eastAsia" w:ascii="楷体" w:hAnsi="楷体" w:cs="楷体"/>
          <w:b/>
          <w:bCs/>
          <w:kern w:val="0"/>
          <w:sz w:val="28"/>
          <w:szCs w:val="28"/>
          <w:highlight w:val="none"/>
        </w:rPr>
      </w:pPr>
      <w:r>
        <w:rPr>
          <w:rFonts w:hint="eastAsia" w:ascii="楷体" w:hAnsi="楷体" w:cs="楷体"/>
          <w:kern w:val="0"/>
          <w:lang w:val="zh-CN"/>
        </w:rPr>
        <w:br w:type="page"/>
      </w:r>
    </w:p>
    <w:bookmarkEnd w:id="154"/>
    <w:p>
      <w:pPr>
        <w:pStyle w:val="5"/>
        <w:numPr>
          <w:ilvl w:val="1"/>
          <w:numId w:val="0"/>
        </w:numPr>
        <w:ind w:left="480" w:leftChars="200"/>
        <w:jc w:val="center"/>
        <w:rPr>
          <w:rFonts w:hint="eastAsia"/>
          <w:lang w:val="zh-CN"/>
        </w:rPr>
      </w:pPr>
      <w:bookmarkStart w:id="156" w:name="_Toc1697_WPSOffice_Level1"/>
      <w:bookmarkStart w:id="157" w:name="_Toc533610816"/>
      <w:bookmarkStart w:id="158" w:name="_Toc17496_WPSOffice_Level1"/>
      <w:bookmarkStart w:id="159" w:name="_Toc257_WPSOffice_Level1"/>
      <w:bookmarkStart w:id="160" w:name="_Toc11241_WPSOffice_Level1"/>
      <w:bookmarkStart w:id="161" w:name="_Toc18697_WPSOffice_Level1"/>
      <w:bookmarkStart w:id="162" w:name="_Toc8771_WPSOffice_Level1"/>
      <w:bookmarkStart w:id="163" w:name="_Toc32699"/>
      <w:bookmarkStart w:id="164" w:name="_Toc533610814"/>
    </w:p>
    <w:p>
      <w:pPr>
        <w:pStyle w:val="5"/>
        <w:numPr>
          <w:ilvl w:val="1"/>
          <w:numId w:val="0"/>
        </w:numPr>
        <w:ind w:left="480" w:leftChars="200"/>
        <w:jc w:val="center"/>
        <w:rPr>
          <w:lang w:val="zh-CN"/>
        </w:rPr>
      </w:pPr>
      <w:r>
        <w:rPr>
          <w:rFonts w:hint="eastAsia"/>
          <w:lang w:val="zh-CN"/>
        </w:rPr>
        <w:t>第</w:t>
      </w:r>
      <w:r>
        <w:rPr>
          <w:rFonts w:hint="eastAsia"/>
        </w:rPr>
        <w:t>三</w:t>
      </w:r>
      <w:r>
        <w:rPr>
          <w:rFonts w:hint="eastAsia"/>
          <w:lang w:val="zh-CN"/>
        </w:rPr>
        <w:t>部分  供应商承诺书</w:t>
      </w:r>
      <w:bookmarkEnd w:id="156"/>
      <w:bookmarkEnd w:id="157"/>
      <w:bookmarkEnd w:id="158"/>
      <w:bookmarkEnd w:id="159"/>
      <w:bookmarkEnd w:id="160"/>
      <w:bookmarkEnd w:id="161"/>
      <w:bookmarkEnd w:id="162"/>
      <w:bookmarkEnd w:id="163"/>
    </w:p>
    <w:p>
      <w:pPr>
        <w:widowControl/>
        <w:ind w:firstLine="0" w:firstLineChars="0"/>
        <w:outlineLvl w:val="0"/>
        <w:rPr>
          <w:rFonts w:ascii="楷体" w:hAnsi="楷体" w:cs="楷体"/>
          <w:b/>
          <w:bCs/>
          <w:kern w:val="0"/>
          <w:sz w:val="28"/>
          <w:szCs w:val="28"/>
        </w:rPr>
      </w:pPr>
      <w:bookmarkStart w:id="165" w:name="_Toc10289_WPSOffice_Level1"/>
      <w:bookmarkStart w:id="166" w:name="_Toc23907"/>
      <w:bookmarkStart w:id="167" w:name="_Toc26135_WPSOffice_Level1"/>
      <w:bookmarkStart w:id="168" w:name="_Toc12452"/>
      <w:bookmarkStart w:id="169" w:name="_Toc19222"/>
      <w:bookmarkStart w:id="170" w:name="_Toc8155_WPSOffice_Level1"/>
      <w:bookmarkStart w:id="171" w:name="_Toc5093"/>
      <w:bookmarkStart w:id="172" w:name="_Toc15915_WPSOffice_Level1"/>
      <w:bookmarkStart w:id="173" w:name="_Toc25285_WPSOffice_Level1"/>
      <w:bookmarkStart w:id="174" w:name="_Toc26074_WPSOffice_Level1"/>
      <w:r>
        <w:rPr>
          <w:rFonts w:hint="eastAsia" w:ascii="楷体" w:hAnsi="楷体" w:cs="楷体"/>
          <w:b/>
          <w:bCs/>
          <w:kern w:val="0"/>
          <w:sz w:val="28"/>
          <w:szCs w:val="28"/>
        </w:rPr>
        <w:t>陕西四方衡裕项目管理有限公司：</w:t>
      </w:r>
      <w:bookmarkEnd w:id="165"/>
      <w:bookmarkEnd w:id="166"/>
      <w:bookmarkEnd w:id="167"/>
      <w:bookmarkEnd w:id="168"/>
      <w:bookmarkEnd w:id="169"/>
      <w:bookmarkEnd w:id="170"/>
      <w:bookmarkEnd w:id="171"/>
      <w:bookmarkEnd w:id="172"/>
      <w:bookmarkEnd w:id="173"/>
      <w:bookmarkEnd w:id="174"/>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57"/>
          <w:szCs w:val="22"/>
          <w:lang w:val="zh-CN"/>
        </w:rPr>
      </w:pPr>
    </w:p>
    <w:p>
      <w:pPr>
        <w:widowControl/>
        <w:jc w:val="center"/>
        <w:rPr>
          <w:rStyle w:val="57"/>
          <w:szCs w:val="22"/>
          <w:lang w:val="zh-CN"/>
        </w:rPr>
        <w:sectPr>
          <w:footerReference r:id="rId14" w:type="even"/>
          <w:pgSz w:w="11906" w:h="16838"/>
          <w:pgMar w:top="1418" w:right="1049" w:bottom="1418" w:left="1049" w:header="851" w:footer="992" w:gutter="0"/>
          <w:cols w:space="720" w:num="1"/>
          <w:docGrid w:linePitch="312" w:charSpace="0"/>
        </w:sectPr>
      </w:pPr>
      <w:bookmarkStart w:id="175" w:name="_Toc533610817"/>
    </w:p>
    <w:p>
      <w:pPr>
        <w:pStyle w:val="5"/>
        <w:numPr>
          <w:ilvl w:val="1"/>
          <w:numId w:val="0"/>
        </w:numPr>
        <w:ind w:left="480" w:leftChars="200"/>
        <w:jc w:val="center"/>
        <w:rPr>
          <w:lang w:val="zh-CN"/>
        </w:rPr>
      </w:pPr>
      <w:bookmarkStart w:id="176" w:name="_Toc30354"/>
      <w:bookmarkStart w:id="177" w:name="_Toc1667_WPSOffice_Level1"/>
      <w:bookmarkStart w:id="178" w:name="_Toc19936_WPSOffice_Level1"/>
      <w:bookmarkStart w:id="179" w:name="_Toc12125_WPSOffice_Level1"/>
      <w:bookmarkStart w:id="180" w:name="_Toc25525_WPSOffice_Level1"/>
      <w:bookmarkStart w:id="181" w:name="_Toc26795_WPSOffice_Level1"/>
      <w:bookmarkStart w:id="182" w:name="_Toc6155_WPSOffice_Level1"/>
      <w:r>
        <w:rPr>
          <w:rFonts w:hint="eastAsia"/>
          <w:lang w:val="zh-CN"/>
        </w:rPr>
        <w:t>第</w:t>
      </w:r>
      <w:r>
        <w:rPr>
          <w:rFonts w:hint="eastAsia"/>
        </w:rPr>
        <w:t>四</w:t>
      </w:r>
      <w:r>
        <w:rPr>
          <w:rFonts w:hint="eastAsia"/>
          <w:lang w:val="zh-CN"/>
        </w:rPr>
        <w:t>部分  供应商企业关系关联承诺书</w:t>
      </w:r>
      <w:bookmarkEnd w:id="175"/>
      <w:bookmarkEnd w:id="176"/>
      <w:bookmarkEnd w:id="177"/>
      <w:bookmarkEnd w:id="178"/>
      <w:bookmarkEnd w:id="179"/>
      <w:bookmarkEnd w:id="180"/>
      <w:bookmarkEnd w:id="181"/>
      <w:bookmarkEnd w:id="182"/>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83" w:name="_Toc16551_WPSOffice_Level2"/>
      <w:bookmarkStart w:id="184" w:name="_Toc5492_WPSOffice_Level2"/>
      <w:r>
        <w:rPr>
          <w:rFonts w:hint="eastAsia" w:ascii="楷体" w:hAnsi="楷体" w:cs="楷体"/>
          <w:kern w:val="0"/>
        </w:rPr>
        <w:t>2-1管理关系说明：</w:t>
      </w:r>
      <w:bookmarkEnd w:id="183"/>
      <w:bookmarkEnd w:id="184"/>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85" w:name="_Toc29718_WPSOffice_Level2"/>
      <w:bookmarkStart w:id="186" w:name="_Toc20314_WPSOffice_Level2"/>
      <w:r>
        <w:rPr>
          <w:rFonts w:hint="eastAsia" w:ascii="楷体" w:hAnsi="楷体" w:cs="楷体"/>
          <w:kern w:val="0"/>
        </w:rPr>
        <w:t>2-2股权关系说明：</w:t>
      </w:r>
      <w:bookmarkEnd w:id="185"/>
      <w:bookmarkEnd w:id="186"/>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87" w:name="_Toc32291_WPSOffice_Level2"/>
      <w:bookmarkStart w:id="188" w:name="_Toc32538_WPSOffice_Level2"/>
      <w:r>
        <w:rPr>
          <w:rFonts w:hint="eastAsia" w:ascii="楷体" w:hAnsi="楷体" w:cs="楷体"/>
          <w:kern w:val="0"/>
        </w:rPr>
        <w:t>2-3单位负责人：</w:t>
      </w:r>
      <w:bookmarkEnd w:id="187"/>
      <w:bookmarkEnd w:id="188"/>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89" w:name="_Toc533610818"/>
      <w:bookmarkStart w:id="190" w:name="_Toc7353_WPSOffice_Level1"/>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5"/>
        <w:numPr>
          <w:ilvl w:val="1"/>
          <w:numId w:val="0"/>
        </w:numPr>
        <w:jc w:val="center"/>
        <w:rPr>
          <w:lang w:val="zh-CN"/>
        </w:rPr>
        <w:sectPr>
          <w:pgSz w:w="11906" w:h="16838"/>
          <w:pgMar w:top="1418" w:right="1134" w:bottom="1418" w:left="1134" w:header="851" w:footer="992" w:gutter="0"/>
          <w:cols w:space="720" w:num="1"/>
          <w:docGrid w:linePitch="312" w:charSpace="0"/>
        </w:sectPr>
      </w:pPr>
    </w:p>
    <w:p>
      <w:pPr>
        <w:pStyle w:val="5"/>
        <w:numPr>
          <w:ilvl w:val="1"/>
          <w:numId w:val="0"/>
        </w:numPr>
        <w:jc w:val="center"/>
        <w:rPr>
          <w:lang w:val="zh-CN"/>
        </w:rPr>
      </w:pPr>
      <w:bookmarkStart w:id="191" w:name="_Toc27206_WPSOffice_Level1"/>
      <w:bookmarkStart w:id="192" w:name="_Toc18774_WPSOffice_Level1"/>
      <w:bookmarkStart w:id="193" w:name="_Toc279_WPSOffice_Level1"/>
      <w:bookmarkStart w:id="194" w:name="_Toc17271_WPSOffice_Level1"/>
      <w:bookmarkStart w:id="195" w:name="_Toc23676_WPSOffice_Level1"/>
      <w:bookmarkStart w:id="196" w:name="_Toc22306"/>
      <w:r>
        <w:rPr>
          <w:rFonts w:hint="eastAsia"/>
          <w:lang w:val="zh-CN"/>
        </w:rPr>
        <w:t>第</w:t>
      </w:r>
      <w:r>
        <w:rPr>
          <w:rFonts w:hint="eastAsia"/>
        </w:rPr>
        <w:t>五</w:t>
      </w:r>
      <w:r>
        <w:rPr>
          <w:rFonts w:hint="eastAsia"/>
          <w:lang w:val="zh-CN"/>
        </w:rPr>
        <w:t>部分  资格证明文件</w:t>
      </w:r>
      <w:bookmarkEnd w:id="189"/>
      <w:bookmarkEnd w:id="190"/>
      <w:bookmarkEnd w:id="191"/>
      <w:bookmarkEnd w:id="192"/>
      <w:bookmarkEnd w:id="193"/>
      <w:bookmarkEnd w:id="194"/>
      <w:bookmarkEnd w:id="195"/>
      <w:bookmarkEnd w:id="196"/>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widowControl/>
        <w:ind w:firstLine="480"/>
        <w:rPr>
          <w:rFonts w:ascii="楷体" w:hAnsi="楷体" w:cs="楷体"/>
        </w:rPr>
      </w:pPr>
      <w:r>
        <w:rPr>
          <w:rFonts w:hint="eastAsia" w:ascii="楷体" w:hAnsi="楷体" w:cs="楷体"/>
        </w:rPr>
        <w:t xml:space="preserve"> </w:t>
      </w:r>
    </w:p>
    <w:p>
      <w:pPr>
        <w:ind w:firstLine="562"/>
        <w:jc w:val="center"/>
        <w:rPr>
          <w:b/>
          <w:bCs/>
          <w:sz w:val="28"/>
          <w:szCs w:val="28"/>
          <w:lang w:val="zh-CN"/>
        </w:rPr>
      </w:pPr>
      <w:bookmarkStart w:id="197" w:name="_Toc5451_WPSOffice_Level2"/>
    </w:p>
    <w:p>
      <w:pPr>
        <w:ind w:firstLine="562"/>
        <w:rPr>
          <w:b/>
          <w:bCs/>
          <w:sz w:val="28"/>
          <w:szCs w:val="28"/>
          <w:lang w:val="zh-CN"/>
        </w:rPr>
      </w:pPr>
      <w:bookmarkStart w:id="198" w:name="_Toc7817_WPSOffice_Level2"/>
      <w:r>
        <w:rPr>
          <w:rFonts w:hint="eastAsia"/>
          <w:b/>
          <w:bCs/>
          <w:sz w:val="28"/>
          <w:szCs w:val="28"/>
          <w:lang w:val="zh-CN"/>
        </w:rPr>
        <w:br w:type="page"/>
      </w:r>
    </w:p>
    <w:p>
      <w:pPr>
        <w:ind w:firstLine="562"/>
        <w:jc w:val="center"/>
        <w:rPr>
          <w:rFonts w:ascii="宋体" w:hAnsi="宋体"/>
          <w:b/>
          <w:sz w:val="32"/>
          <w:szCs w:val="32"/>
        </w:rPr>
      </w:pPr>
      <w:bookmarkStart w:id="199" w:name="_Toc363474028"/>
      <w:bookmarkStart w:id="200" w:name="_Toc16097"/>
      <w:bookmarkStart w:id="201" w:name="_Toc4867"/>
      <w:bookmarkStart w:id="202" w:name="_Toc25348"/>
      <w:bookmarkStart w:id="203" w:name="_Toc403077649"/>
      <w:bookmarkStart w:id="204" w:name="_Toc30210"/>
      <w:bookmarkStart w:id="205" w:name="_Toc19075"/>
      <w:bookmarkStart w:id="206" w:name="_Toc426457701"/>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参加谈判</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bookmarkEnd w:id="199"/>
    <w:bookmarkEnd w:id="200"/>
    <w:bookmarkEnd w:id="201"/>
    <w:bookmarkEnd w:id="202"/>
    <w:bookmarkEnd w:id="203"/>
    <w:bookmarkEnd w:id="204"/>
    <w:bookmarkEnd w:id="205"/>
    <w:bookmarkEnd w:id="206"/>
    <w:p>
      <w:pPr>
        <w:ind w:firstLine="0" w:firstLineChars="0"/>
        <w:jc w:val="center"/>
        <w:rPr>
          <w:b/>
          <w:bCs/>
          <w:sz w:val="28"/>
          <w:szCs w:val="28"/>
        </w:rPr>
      </w:pPr>
      <w:r>
        <w:rPr>
          <w:rFonts w:hint="eastAsia"/>
          <w:b/>
          <w:bCs/>
          <w:sz w:val="28"/>
          <w:szCs w:val="28"/>
          <w:lang w:val="zh-CN"/>
        </w:rPr>
        <w:t>法定代表人授权书</w:t>
      </w:r>
      <w:bookmarkEnd w:id="197"/>
      <w:bookmarkEnd w:id="198"/>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rPr>
        <w:t>陕西四方衡裕项目管理有限公司</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的谈判及合同的执行和完成，以本公司的名义处理一切与之有关的事宜。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p>
      <w:pPr>
        <w:widowControl/>
        <w:ind w:firstLine="480"/>
        <w:rPr>
          <w:rFonts w:ascii="楷体" w:hAnsi="楷体" w:cs="楷体"/>
          <w:kern w:val="0"/>
        </w:rPr>
      </w:pPr>
    </w:p>
    <w:tbl>
      <w:tblPr>
        <w:tblStyle w:val="43"/>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37"/>
              <w:ind w:firstLine="0" w:firstLineChars="0"/>
              <w:jc w:val="center"/>
            </w:pPr>
          </w:p>
        </w:tc>
      </w:tr>
    </w:tbl>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keepNext/>
        <w:keepLines/>
        <w:numPr>
          <w:ilvl w:val="3"/>
          <w:numId w:val="0"/>
        </w:numPr>
        <w:spacing w:before="280" w:after="290" w:line="372" w:lineRule="auto"/>
        <w:outlineLvl w:val="3"/>
        <w:rPr>
          <w:rFonts w:ascii="楷体" w:hAnsi="楷体" w:cs="楷体"/>
          <w:kern w:val="0"/>
        </w:rPr>
      </w:pPr>
      <w:r>
        <w:rPr>
          <w:rFonts w:hint="eastAsia" w:ascii="楷体" w:hAnsi="楷体" w:cs="楷体"/>
          <w:kern w:val="0"/>
        </w:rPr>
        <w:t xml:space="preserve">    日      期：</w:t>
      </w:r>
      <w:r>
        <w:rPr>
          <w:rFonts w:hint="eastAsia" w:ascii="楷体" w:hAnsi="楷体" w:eastAsia="黑体" w:cs="楷体"/>
          <w:b/>
          <w:kern w:val="0"/>
          <w:sz w:val="28"/>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谈判</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lang w:val="zh-CN"/>
        </w:rPr>
        <w:t>天；特此声明。</w:t>
      </w:r>
    </w:p>
    <w:p>
      <w:pPr>
        <w:widowControl/>
        <w:ind w:firstLine="480"/>
        <w:rPr>
          <w:rFonts w:ascii="楷体" w:hAnsi="楷体" w:cs="楷体"/>
          <w:b/>
          <w:bCs/>
          <w:kern w:val="0"/>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w:t>
      </w:r>
      <w:r>
        <w:rPr>
          <w:rFonts w:ascii="楷体" w:hAnsi="楷体" w:cs="楷体"/>
          <w:kern w:val="0"/>
        </w:rPr>
        <w:t>0</w:t>
      </w:r>
      <w:r>
        <w:rPr>
          <w:rFonts w:hint="eastAsia" w:ascii="楷体" w:hAnsi="楷体" w:cs="楷体"/>
          <w:kern w:val="0"/>
          <w:lang w:val="zh-CN"/>
        </w:rPr>
        <w:t>天）</w:t>
      </w:r>
      <w:r>
        <w:rPr>
          <w:rFonts w:hint="eastAsia" w:ascii="楷体" w:hAnsi="楷体" w:cs="楷体"/>
          <w:b/>
          <w:bCs/>
          <w:kern w:val="0"/>
        </w:rPr>
        <w:t xml:space="preserve"> </w:t>
      </w:r>
    </w:p>
    <w:p>
      <w:pPr>
        <w:widowControl/>
        <w:jc w:val="center"/>
        <w:rPr>
          <w:rStyle w:val="57"/>
          <w:szCs w:val="22"/>
          <w:lang w:val="zh-CN"/>
        </w:rPr>
        <w:sectPr>
          <w:pgSz w:w="11906" w:h="16838"/>
          <w:pgMar w:top="1418" w:right="1191" w:bottom="1418" w:left="1191" w:header="851" w:footer="992" w:gutter="0"/>
          <w:cols w:space="720" w:num="1"/>
          <w:docGrid w:linePitch="312" w:charSpace="0"/>
        </w:sectPr>
      </w:pPr>
    </w:p>
    <w:p>
      <w:pPr>
        <w:spacing w:line="360" w:lineRule="atLeast"/>
        <w:ind w:firstLine="643"/>
        <w:jc w:val="center"/>
        <w:rPr>
          <w:rFonts w:ascii="宋体" w:hAnsi="宋体"/>
          <w:b/>
          <w:sz w:val="32"/>
          <w:szCs w:val="32"/>
        </w:rPr>
      </w:pPr>
      <w:bookmarkStart w:id="207" w:name="_Toc16017_WPSOffice_Level1"/>
      <w:bookmarkStart w:id="208" w:name="_Toc12499_WPSOffice_Level1"/>
      <w:bookmarkStart w:id="209" w:name="_Toc10587"/>
      <w:bookmarkStart w:id="210" w:name="_Toc30319_WPSOffice_Level1"/>
      <w:bookmarkStart w:id="211" w:name="_Toc10521_WPSOffice_Level1"/>
      <w:bookmarkStart w:id="212" w:name="_Toc11146_WPSOffice_Level1"/>
      <w:bookmarkStart w:id="213" w:name="_Toc23917_WPSOffice_Level1"/>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声明参加本次政府采购活动前三年内，在经营活动中没有重大违纪，以及未被列入失信被执行人、未在重大税收违法</w:t>
      </w:r>
      <w:r>
        <w:rPr>
          <w:rFonts w:hint="eastAsia" w:ascii="宋体" w:hAnsi="宋体"/>
          <w:lang w:val="en-US" w:eastAsia="zh-CN"/>
        </w:rPr>
        <w:t>失信主体</w:t>
      </w:r>
      <w:r>
        <w:rPr>
          <w:rFonts w:hint="eastAsia" w:ascii="宋体" w:hAnsi="宋体"/>
        </w:rPr>
        <w:t>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法定代表人或授权代表（签字）：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spacing w:line="480" w:lineRule="auto"/>
        <w:ind w:firstLine="480"/>
        <w:jc w:val="left"/>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3"/>
        <w:ind w:firstLine="480"/>
        <w:rPr>
          <w:rFonts w:ascii="宋体" w:hAnsi="宋体"/>
          <w:sz w:val="24"/>
        </w:rPr>
      </w:pPr>
    </w:p>
    <w:p>
      <w:pPr>
        <w:ind w:firstLine="480"/>
      </w:pPr>
      <w: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我单位承诺：在本项目谈判</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活动中具有履行合同所必需的设备和专业技术能力，可以按照谈判文件及采购人的要求提供本项目货物服务，履行合同内容、保证产品质量，并按期交货。</w:t>
      </w:r>
    </w:p>
    <w:p>
      <w:pPr>
        <w:ind w:firstLine="480"/>
        <w:jc w:val="left"/>
        <w:rPr>
          <w:rFonts w:ascii="楷体" w:hAnsi="楷体" w:cs="楷体"/>
          <w:kern w:val="0"/>
        </w:rPr>
      </w:pPr>
    </w:p>
    <w:p>
      <w:pPr>
        <w:pStyle w:val="3"/>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法定代表人或授权代表（签字）：</w:t>
      </w:r>
      <w:r>
        <w:rPr>
          <w:rFonts w:hint="eastAsia" w:ascii="楷体" w:hAnsi="楷体" w:cs="楷体"/>
          <w:u w:val="single"/>
        </w:rPr>
        <w:t xml:space="preserve">                  </w:t>
      </w:r>
    </w:p>
    <w:p>
      <w:pPr>
        <w:pStyle w:val="20"/>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ind w:firstLine="480"/>
        <w:rPr>
          <w:lang w:val="zh-CN"/>
        </w:rPr>
      </w:pPr>
    </w:p>
    <w:p>
      <w:pPr>
        <w:ind w:firstLine="480"/>
        <w:jc w:val="center"/>
        <w:rPr>
          <w:rFonts w:ascii="宋体" w:hAnsi="宋体" w:cs="Times New Roman"/>
          <w:b/>
          <w:sz w:val="32"/>
          <w:szCs w:val="32"/>
        </w:rPr>
      </w:pPr>
      <w:r>
        <w:rPr>
          <w:rFonts w:hint="eastAsia"/>
          <w:lang w:val="zh-CN"/>
        </w:rPr>
        <w:br w:type="page"/>
      </w: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cs="Times New Roman"/>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 xml:space="preserve">的响应过程中，保证提供的产品及服务符合谈判文件规定，符合法律、行政法规规定的其他条件。 </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w:t>
      </w:r>
      <w:r>
        <w:rPr>
          <w:rFonts w:hint="eastAsia" w:ascii="宋体" w:hAnsi="宋体" w:cs="Times New Roman"/>
        </w:rPr>
        <w:t>供应商</w:t>
      </w:r>
      <w:r>
        <w:rPr>
          <w:rFonts w:hint="eastAsia" w:ascii="楷体" w:hAnsi="楷体" w:cs="楷体"/>
        </w:rPr>
        <w:t>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法定代表人或授权代表（签字）：</w:t>
      </w:r>
      <w:r>
        <w:rPr>
          <w:rFonts w:hint="eastAsia" w:ascii="楷体" w:hAnsi="楷体" w:cs="楷体"/>
          <w:u w:val="single"/>
        </w:rPr>
        <w:t xml:space="preserve">                  </w:t>
      </w:r>
    </w:p>
    <w:p>
      <w:pPr>
        <w:pStyle w:val="42"/>
        <w:ind w:left="480" w:firstLine="482"/>
        <w:rPr>
          <w:lang w:val="zh-CN"/>
        </w:rPr>
      </w:pPr>
      <w:r>
        <w:rPr>
          <w:rFonts w:hint="eastAsia" w:ascii="楷体" w:hAnsi="楷体" w:cs="楷体"/>
          <w:b/>
          <w:kern w:val="0"/>
        </w:rPr>
        <w:t xml:space="preserve">                              </w:t>
      </w:r>
      <w:r>
        <w:rPr>
          <w:rFonts w:hint="eastAsia" w:ascii="楷体" w:hAnsi="楷体" w:cs="楷体"/>
          <w:bCs/>
          <w:kern w:val="0"/>
        </w:rPr>
        <w:t xml:space="preserve">日   期：      年    月    日 </w:t>
      </w:r>
      <w:r>
        <w:rPr>
          <w:rFonts w:hint="eastAsia" w:ascii="楷体" w:hAnsi="楷体" w:cs="楷体"/>
          <w:bCs/>
          <w:kern w:val="0"/>
          <w:lang w:val="zh-CN"/>
        </w:rPr>
        <w:br w:type="page"/>
      </w:r>
    </w:p>
    <w:p>
      <w:pPr>
        <w:pStyle w:val="5"/>
        <w:numPr>
          <w:ilvl w:val="1"/>
          <w:numId w:val="0"/>
        </w:numPr>
        <w:jc w:val="center"/>
      </w:pPr>
      <w:r>
        <w:rPr>
          <w:rFonts w:hint="eastAsia"/>
          <w:lang w:val="zh-CN"/>
        </w:rPr>
        <w:t>第</w:t>
      </w:r>
      <w:r>
        <w:rPr>
          <w:rFonts w:hint="eastAsia"/>
        </w:rPr>
        <w:t>六</w:t>
      </w:r>
      <w:r>
        <w:rPr>
          <w:rFonts w:hint="eastAsia"/>
          <w:lang w:val="zh-CN"/>
        </w:rPr>
        <w:t xml:space="preserve">部分  </w:t>
      </w:r>
      <w:bookmarkEnd w:id="164"/>
      <w:bookmarkEnd w:id="207"/>
      <w:bookmarkEnd w:id="208"/>
      <w:bookmarkEnd w:id="209"/>
      <w:bookmarkEnd w:id="210"/>
      <w:bookmarkEnd w:id="211"/>
      <w:bookmarkEnd w:id="212"/>
      <w:bookmarkEnd w:id="213"/>
      <w:r>
        <w:rPr>
          <w:rFonts w:hint="eastAsia" w:ascii="楷体" w:hAnsi="楷体" w:cs="楷体"/>
          <w:kern w:val="0"/>
          <w:szCs w:val="20"/>
        </w:rPr>
        <w:t xml:space="preserve">供货服务方案 </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根据谈判文件要求及评审内容自行编制。</w:t>
      </w:r>
    </w:p>
    <w:p>
      <w:pPr>
        <w:widowControl/>
        <w:ind w:firstLine="480"/>
        <w:rPr>
          <w:rFonts w:hint="eastAsia" w:ascii="楷体" w:hAnsi="楷体" w:cs="楷体"/>
          <w:kern w:val="0"/>
        </w:rPr>
      </w:pPr>
      <w:r>
        <w:rPr>
          <w:rFonts w:hint="eastAsia" w:ascii="楷体" w:hAnsi="楷体" w:cs="楷体"/>
          <w:kern w:val="0"/>
        </w:rPr>
        <w:t>包括但不限于以下内容：</w:t>
      </w:r>
    </w:p>
    <w:p>
      <w:pPr>
        <w:widowControl/>
        <w:ind w:firstLine="480"/>
        <w:rPr>
          <w:rFonts w:hint="eastAsia" w:ascii="楷体" w:hAnsi="楷体" w:cs="楷体"/>
          <w:kern w:val="0"/>
        </w:rPr>
      </w:pPr>
      <w:r>
        <w:rPr>
          <w:rFonts w:hint="eastAsia" w:ascii="楷体" w:hAnsi="楷体" w:cs="楷体"/>
          <w:kern w:val="0"/>
          <w:highlight w:val="none"/>
        </w:rPr>
        <w:t>1.</w:t>
      </w:r>
      <w:r>
        <w:rPr>
          <w:rFonts w:hint="eastAsia" w:ascii="楷体" w:hAnsi="楷体" w:cs="楷体"/>
          <w:kern w:val="0"/>
          <w:highlight w:val="none"/>
          <w:lang w:val="en-US" w:eastAsia="zh-CN"/>
        </w:rPr>
        <w:t>1</w:t>
      </w:r>
      <w:r>
        <w:rPr>
          <w:rFonts w:hint="eastAsia" w:ascii="楷体" w:hAnsi="楷体" w:cs="楷体"/>
          <w:kern w:val="0"/>
          <w:highlight w:val="none"/>
        </w:rPr>
        <w:t>技术投标与指</w:t>
      </w:r>
      <w:r>
        <w:rPr>
          <w:rFonts w:hint="eastAsia" w:ascii="楷体" w:hAnsi="楷体" w:cs="楷体"/>
          <w:kern w:val="0"/>
        </w:rPr>
        <w:t>标说明：</w:t>
      </w:r>
    </w:p>
    <w:p>
      <w:pPr>
        <w:widowControl/>
        <w:ind w:firstLine="480"/>
        <w:rPr>
          <w:rFonts w:hint="eastAsia" w:ascii="楷体" w:hAnsi="楷体" w:cs="楷体"/>
          <w:kern w:val="0"/>
        </w:rPr>
      </w:pPr>
      <w:r>
        <w:rPr>
          <w:rFonts w:hint="eastAsia" w:ascii="楷体" w:hAnsi="楷体" w:cs="楷体"/>
          <w:kern w:val="0"/>
        </w:rPr>
        <w:t>a.标的物选配型（选配、提供）说明；</w:t>
      </w:r>
    </w:p>
    <w:p>
      <w:pPr>
        <w:widowControl/>
        <w:ind w:firstLine="480"/>
        <w:rPr>
          <w:rFonts w:hint="eastAsia" w:ascii="楷体" w:hAnsi="楷体" w:cs="楷体"/>
          <w:kern w:val="0"/>
        </w:rPr>
      </w:pPr>
      <w:r>
        <w:rPr>
          <w:rFonts w:hint="eastAsia" w:ascii="楷体" w:hAnsi="楷体" w:cs="楷体"/>
          <w:kern w:val="0"/>
        </w:rPr>
        <w:t>b.技术指标说明（数量、配置、功能、规格、知识产权、质量保证、使用说明、产品彩页等）；</w:t>
      </w:r>
    </w:p>
    <w:p>
      <w:pPr>
        <w:ind w:firstLine="480"/>
        <w:jc w:val="left"/>
        <w:rPr>
          <w:rFonts w:hint="eastAsia" w:ascii="楷体" w:hAnsi="楷体" w:cs="楷体"/>
          <w:kern w:val="0"/>
        </w:rPr>
      </w:pPr>
      <w:r>
        <w:rPr>
          <w:rFonts w:hint="eastAsia" w:ascii="楷体" w:hAnsi="楷体" w:cs="楷体"/>
          <w:kern w:val="0"/>
        </w:rPr>
        <w:t>c.质量标准、检测标准、符合国家规范及相关认证等；</w:t>
      </w:r>
    </w:p>
    <w:p>
      <w:pPr>
        <w:ind w:firstLine="480"/>
        <w:jc w:val="left"/>
        <w:rPr>
          <w:rFonts w:hint="eastAsia" w:ascii="宋体" w:hAnsi="宋体" w:cs="宋体"/>
          <w:szCs w:val="21"/>
        </w:rPr>
      </w:pPr>
      <w:r>
        <w:rPr>
          <w:rFonts w:hint="eastAsia" w:ascii="楷体" w:hAnsi="楷体" w:cs="楷体"/>
          <w:kern w:val="0"/>
        </w:rPr>
        <w:t>d.</w:t>
      </w:r>
      <w:r>
        <w:rPr>
          <w:rFonts w:hint="eastAsia" w:ascii="宋体" w:hAnsi="宋体" w:cs="宋体"/>
          <w:szCs w:val="21"/>
        </w:rPr>
        <w:t>产品验收标准和验收方法；</w:t>
      </w:r>
    </w:p>
    <w:p>
      <w:pPr>
        <w:ind w:firstLine="480"/>
        <w:jc w:val="left"/>
        <w:rPr>
          <w:rFonts w:hint="eastAsia" w:ascii="宋体" w:hAnsi="宋体" w:cs="宋体"/>
          <w:szCs w:val="21"/>
        </w:rPr>
      </w:pPr>
      <w:r>
        <w:rPr>
          <w:rFonts w:hint="eastAsia" w:ascii="楷体" w:hAnsi="楷体" w:cs="楷体"/>
          <w:kern w:val="0"/>
        </w:rPr>
        <w:t>e.</w:t>
      </w:r>
      <w:r>
        <w:rPr>
          <w:rFonts w:hint="eastAsia" w:ascii="宋体" w:hAnsi="宋体" w:cs="宋体"/>
          <w:szCs w:val="21"/>
        </w:rPr>
        <w:t>产品验收清单（注明各部件的品名、数量、价格、规格型号和原产地或制造商）；</w:t>
      </w:r>
    </w:p>
    <w:p>
      <w:pPr>
        <w:ind w:firstLine="480"/>
        <w:jc w:val="left"/>
        <w:rPr>
          <w:rFonts w:hint="eastAsia" w:ascii="宋体" w:hAnsi="宋体" w:cs="宋体"/>
          <w:szCs w:val="21"/>
        </w:rPr>
      </w:pPr>
      <w:r>
        <w:rPr>
          <w:rFonts w:hint="eastAsia" w:ascii="宋体" w:hAnsi="宋体" w:cs="宋体"/>
          <w:szCs w:val="21"/>
        </w:rPr>
        <w:t>f.产品属于强制认证的应提供强制认证复印件（如：3C认证等）；</w:t>
      </w:r>
    </w:p>
    <w:p>
      <w:pPr>
        <w:ind w:firstLine="480"/>
        <w:jc w:val="left"/>
        <w:rPr>
          <w:rFonts w:hint="eastAsia" w:ascii="楷体" w:hAnsi="楷体" w:cs="楷体"/>
          <w:kern w:val="0"/>
        </w:rPr>
      </w:pPr>
      <w:r>
        <w:rPr>
          <w:rFonts w:hint="eastAsia" w:ascii="楷体" w:hAnsi="楷体" w:cs="楷体"/>
          <w:kern w:val="0"/>
        </w:rPr>
        <w:t>g.质量保证措施</w:t>
      </w:r>
      <w:r>
        <w:rPr>
          <w:rFonts w:hint="eastAsia" w:ascii="宋体" w:hAnsi="宋体" w:cs="宋体"/>
          <w:szCs w:val="21"/>
        </w:rPr>
        <w:t>；</w:t>
      </w:r>
    </w:p>
    <w:p>
      <w:pPr>
        <w:widowControl/>
        <w:ind w:firstLine="480"/>
        <w:rPr>
          <w:rFonts w:hint="eastAsia" w:ascii="宋体" w:hAnsi="宋体" w:cs="宋体"/>
          <w:szCs w:val="21"/>
        </w:rPr>
      </w:pPr>
      <w:r>
        <w:rPr>
          <w:rFonts w:hint="eastAsia" w:ascii="楷体" w:hAnsi="楷体" w:cs="楷体"/>
          <w:kern w:val="0"/>
        </w:rPr>
        <w:t>h.项目实施计划和人员组织安排</w:t>
      </w:r>
      <w:r>
        <w:rPr>
          <w:rFonts w:hint="eastAsia" w:ascii="宋体" w:hAnsi="宋体" w:cs="宋体"/>
          <w:szCs w:val="21"/>
        </w:rPr>
        <w:t>；</w:t>
      </w:r>
    </w:p>
    <w:p>
      <w:pPr>
        <w:widowControl/>
        <w:ind w:firstLine="480"/>
        <w:rPr>
          <w:rFonts w:hint="eastAsia" w:ascii="楷体" w:hAnsi="楷体" w:cs="楷体"/>
          <w:kern w:val="0"/>
        </w:rPr>
      </w:pPr>
      <w:r>
        <w:rPr>
          <w:rFonts w:hint="eastAsia" w:ascii="宋体" w:hAnsi="宋体" w:cs="宋体"/>
          <w:szCs w:val="21"/>
        </w:rPr>
        <w:t>i.</w:t>
      </w:r>
      <w:r>
        <w:rPr>
          <w:rFonts w:hint="eastAsia" w:ascii="楷体" w:hAnsi="楷体" w:cs="楷体"/>
          <w:kern w:val="0"/>
        </w:rPr>
        <w:t>售后服务承诺等。</w:t>
      </w:r>
    </w:p>
    <w:p>
      <w:pPr>
        <w:widowControl/>
        <w:ind w:firstLine="480"/>
        <w:rPr>
          <w:rFonts w:hint="eastAsia" w:ascii="楷体" w:hAnsi="楷体" w:cs="楷体"/>
          <w:kern w:val="0"/>
        </w:rPr>
      </w:pPr>
    </w:p>
    <w:p>
      <w:pPr>
        <w:widowControl/>
        <w:ind w:firstLine="480"/>
        <w:rPr>
          <w:rFonts w:hint="eastAsia" w:ascii="楷体" w:hAnsi="楷体" w:cs="楷体"/>
          <w:kern w:val="0"/>
        </w:rPr>
      </w:pPr>
      <w:r>
        <w:rPr>
          <w:rFonts w:hint="eastAsia" w:ascii="楷体" w:hAnsi="楷体" w:cs="楷体"/>
          <w:kern w:val="0"/>
        </w:rPr>
        <w:t>1.</w:t>
      </w:r>
      <w:r>
        <w:rPr>
          <w:rFonts w:hint="eastAsia" w:ascii="楷体" w:hAnsi="楷体" w:cs="楷体"/>
          <w:kern w:val="0"/>
          <w:lang w:val="en-US" w:eastAsia="zh-CN"/>
        </w:rPr>
        <w:t>2</w:t>
      </w:r>
      <w:r>
        <w:rPr>
          <w:rFonts w:hint="eastAsia" w:ascii="楷体" w:hAnsi="楷体" w:cs="楷体"/>
          <w:kern w:val="0"/>
        </w:rPr>
        <w:t>有必要说明的技术问题</w:t>
      </w: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191" w:bottom="1440" w:left="1191" w:header="851" w:footer="992" w:gutter="0"/>
          <w:cols w:space="425" w:num="1"/>
          <w:docGrid w:type="lines" w:linePitch="312" w:charSpace="0"/>
        </w:sectPr>
      </w:pPr>
    </w:p>
    <w:p>
      <w:pPr>
        <w:pStyle w:val="5"/>
        <w:numPr>
          <w:ilvl w:val="1"/>
          <w:numId w:val="0"/>
        </w:numPr>
        <w:jc w:val="center"/>
      </w:pPr>
      <w:bookmarkStart w:id="214" w:name="_Toc31050_WPSOffice_Level1"/>
      <w:bookmarkStart w:id="215" w:name="_Toc20889_WPSOffice_Level1"/>
      <w:bookmarkStart w:id="216" w:name="_Toc21763_WPSOffice_Level1"/>
      <w:bookmarkStart w:id="217" w:name="_Toc31795_WPSOffice_Level1"/>
      <w:bookmarkStart w:id="218" w:name="_Toc16423"/>
      <w:bookmarkStart w:id="219" w:name="_Toc13445_WPSOffice_Level1"/>
      <w:r>
        <w:rPr>
          <w:rFonts w:hint="eastAsia"/>
          <w:lang w:val="zh-CN"/>
        </w:rPr>
        <w:t>第</w:t>
      </w:r>
      <w:r>
        <w:rPr>
          <w:rFonts w:hint="eastAsia"/>
        </w:rPr>
        <w:t>七</w:t>
      </w:r>
      <w:r>
        <w:rPr>
          <w:rFonts w:hint="eastAsia"/>
          <w:lang w:val="zh-CN"/>
        </w:rPr>
        <w:t xml:space="preserve">部分  </w:t>
      </w:r>
      <w:r>
        <w:rPr>
          <w:rFonts w:hint="eastAsia"/>
        </w:rPr>
        <w:t>供应商认为有必要说明的其他资料</w:t>
      </w:r>
      <w:bookmarkEnd w:id="214"/>
      <w:bookmarkEnd w:id="215"/>
      <w:bookmarkEnd w:id="216"/>
      <w:bookmarkEnd w:id="217"/>
      <w:bookmarkEnd w:id="218"/>
      <w:bookmarkEnd w:id="219"/>
    </w:p>
    <w:p>
      <w:pPr>
        <w:tabs>
          <w:tab w:val="left" w:pos="309"/>
        </w:tabs>
        <w:ind w:firstLine="480"/>
        <w:jc w:val="left"/>
        <w:rPr>
          <w:rFonts w:ascii="楷体" w:hAnsi="楷体" w:cs="楷体"/>
        </w:rPr>
      </w:pPr>
    </w:p>
    <w:p>
      <w:pPr>
        <w:ind w:firstLine="480"/>
      </w:pPr>
      <w:r>
        <w:br w:type="page"/>
      </w:r>
    </w:p>
    <w:p>
      <w:pPr>
        <w:pStyle w:val="5"/>
        <w:numPr>
          <w:ilvl w:val="1"/>
          <w:numId w:val="0"/>
        </w:numPr>
        <w:jc w:val="both"/>
        <w:rPr>
          <w:rFonts w:ascii="楷体" w:hAnsi="楷体" w:cs="楷体"/>
          <w:b w:val="0"/>
          <w:bCs/>
          <w:sz w:val="24"/>
        </w:rPr>
      </w:pPr>
      <w:r>
        <w:rPr>
          <w:rFonts w:hint="eastAsia" w:ascii="楷体" w:hAnsi="楷体" w:cs="楷体"/>
          <w:b w:val="0"/>
          <w:bCs/>
          <w:sz w:val="24"/>
        </w:rPr>
        <w:t>附件1：</w:t>
      </w:r>
    </w:p>
    <w:p>
      <w:pPr>
        <w:pStyle w:val="4"/>
        <w:numPr>
          <w:ilvl w:val="0"/>
          <w:numId w:val="0"/>
        </w:numPr>
        <w:spacing w:before="162"/>
        <w:rPr>
          <w:rFonts w:ascii="楷体" w:hAnsi="楷体" w:cs="楷体"/>
          <w:sz w:val="28"/>
          <w:szCs w:val="28"/>
        </w:rPr>
      </w:pPr>
      <w:bookmarkStart w:id="220" w:name="_Toc28535"/>
      <w:bookmarkStart w:id="221" w:name="_Toc24222"/>
      <w:bookmarkStart w:id="222" w:name="_Toc13333"/>
      <w:r>
        <w:rPr>
          <w:rFonts w:hint="eastAsia" w:ascii="楷体" w:hAnsi="楷体" w:cs="楷体"/>
          <w:sz w:val="28"/>
          <w:szCs w:val="28"/>
        </w:rPr>
        <w:t>中小企业声明函（货物）</w:t>
      </w:r>
      <w:bookmarkEnd w:id="220"/>
      <w:bookmarkEnd w:id="221"/>
      <w:bookmarkEnd w:id="222"/>
    </w:p>
    <w:p>
      <w:pPr>
        <w:pStyle w:val="3"/>
        <w:spacing w:before="55"/>
        <w:ind w:firstLine="480"/>
        <w:rPr>
          <w:rFonts w:ascii="楷体" w:hAnsi="楷体" w:cs="楷体"/>
          <w:w w:val="95"/>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采购活动，提</w:t>
      </w:r>
      <w:r>
        <w:rPr>
          <w:rFonts w:hint="eastAsia" w:ascii="楷体" w:hAnsi="楷体" w:cs="楷体"/>
          <w:w w:val="95"/>
          <w:sz w:val="24"/>
        </w:rPr>
        <w:t>供的货物全部由符合政策要求的中小企业制造。相关企业（含联合体中的中小企业、签订分包意向协议的中小企业）的具体情况如下：</w:t>
      </w:r>
    </w:p>
    <w:p>
      <w:pPr>
        <w:pStyle w:val="73"/>
        <w:tabs>
          <w:tab w:val="left" w:pos="1183"/>
          <w:tab w:val="left" w:pos="1484"/>
          <w:tab w:val="left" w:pos="4662"/>
          <w:tab w:val="left" w:pos="6903"/>
        </w:tabs>
        <w:ind w:right="169" w:firstLine="458"/>
        <w:jc w:val="left"/>
        <w:rPr>
          <w:rFonts w:ascii="楷体" w:hAnsi="楷体" w:cs="楷体"/>
        </w:rPr>
      </w:pPr>
      <w:r>
        <w:rPr>
          <w:rFonts w:hint="eastAsia" w:ascii="楷体" w:hAnsi="楷体" w:cs="楷体"/>
          <w:w w:val="96"/>
        </w:rPr>
        <w:t>1.</w:t>
      </w:r>
      <w:r>
        <w:rPr>
          <w:rFonts w:hint="eastAsia" w:ascii="楷体" w:hAnsi="楷体" w:cs="楷体"/>
          <w:w w:val="96"/>
          <w:u w:val="single"/>
        </w:rPr>
        <w:t xml:space="preserve"> </w:t>
      </w:r>
      <w:r>
        <w:rPr>
          <w:rFonts w:hint="eastAsia" w:ascii="楷体" w:hAnsi="楷体" w:cs="楷体"/>
          <w:u w:val="single"/>
        </w:rPr>
        <w:t>（标的名称）</w:t>
      </w:r>
      <w:r>
        <w:rPr>
          <w:rFonts w:hint="eastAsia" w:ascii="楷体" w:hAnsi="楷体" w:cs="楷体"/>
        </w:rPr>
        <w:t xml:space="preserve"> ，属于（</w:t>
      </w:r>
      <w:r>
        <w:rPr>
          <w:rFonts w:hint="eastAsia" w:ascii="楷体" w:hAnsi="楷体" w:cs="楷体"/>
          <w:u w:val="single"/>
        </w:rPr>
        <w:t>采购文件中明确的所属行业）</w:t>
      </w:r>
      <w:r>
        <w:rPr>
          <w:rFonts w:hint="eastAsia" w:ascii="楷体" w:hAnsi="楷体" w:cs="楷体"/>
          <w:w w:val="96"/>
          <w:u w:val="single"/>
        </w:rPr>
        <w:t>行业</w:t>
      </w:r>
      <w:r>
        <w:rPr>
          <w:rFonts w:hint="eastAsia" w:ascii="楷体" w:hAnsi="楷体" w:cs="楷体"/>
          <w:w w:val="99"/>
        </w:rPr>
        <w:t>；制造商为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人，营业收入</w:t>
      </w:r>
      <w:r>
        <w:rPr>
          <w:rFonts w:hint="eastAsia" w:ascii="楷体" w:hAnsi="楷体" w:cs="楷体"/>
        </w:rPr>
        <w:t>为</w:t>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（中型企业、小型企业、</w:t>
      </w:r>
      <w:r>
        <w:rPr>
          <w:rFonts w:hint="eastAsia" w:ascii="楷体" w:hAnsi="楷体" w:cs="楷体"/>
          <w:w w:val="96"/>
          <w:u w:val="single"/>
        </w:rPr>
        <w:t>微型企业）</w:t>
      </w:r>
      <w:r>
        <w:rPr>
          <w:rFonts w:hint="eastAsia" w:ascii="楷体" w:hAnsi="楷体" w:cs="楷体"/>
          <w:w w:val="99"/>
        </w:rPr>
        <w:t>；</w:t>
      </w:r>
    </w:p>
    <w:p>
      <w:pPr>
        <w:pStyle w:val="73"/>
        <w:tabs>
          <w:tab w:val="left" w:pos="1165"/>
          <w:tab w:val="left" w:pos="1183"/>
          <w:tab w:val="left" w:pos="4362"/>
          <w:tab w:val="left" w:pos="6577"/>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 xml:space="preserve"> </w:t>
      </w:r>
      <w:r>
        <w:rPr>
          <w:rFonts w:hint="eastAsia" w:ascii="楷体" w:hAnsi="楷体" w:cs="楷体"/>
          <w:u w:val="single"/>
        </w:rPr>
        <w:t>（标的名称）</w:t>
      </w:r>
      <w:r>
        <w:rPr>
          <w:rFonts w:hint="eastAsia" w:ascii="楷体" w:hAnsi="楷体" w:cs="楷体"/>
        </w:rPr>
        <w:t xml:space="preserve"> ，属于（</w:t>
      </w:r>
      <w:r>
        <w:rPr>
          <w:rFonts w:hint="eastAsia" w:ascii="楷体" w:hAnsi="楷体" w:cs="楷体"/>
          <w:u w:val="single"/>
        </w:rPr>
        <w:t>采购文件中明确的所属行业）</w:t>
      </w:r>
      <w:r>
        <w:rPr>
          <w:rFonts w:hint="eastAsia" w:ascii="楷体" w:hAnsi="楷体" w:cs="楷体"/>
          <w:w w:val="96"/>
          <w:u w:val="single"/>
        </w:rPr>
        <w:t>行业</w:t>
      </w:r>
      <w:r>
        <w:rPr>
          <w:rFonts w:hint="eastAsia" w:ascii="楷体" w:hAnsi="楷体" w:cs="楷体"/>
          <w:w w:val="99"/>
        </w:rPr>
        <w:t>；制造商为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人，营业收入</w:t>
      </w:r>
      <w:r>
        <w:rPr>
          <w:rFonts w:hint="eastAsia" w:ascii="楷体" w:hAnsi="楷体" w:cs="楷体"/>
        </w:rPr>
        <w:t>为</w:t>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（中型企业、小型企业、微</w:t>
      </w:r>
      <w:r>
        <w:rPr>
          <w:rFonts w:hint="eastAsia" w:ascii="楷体" w:hAnsi="楷体" w:cs="楷体"/>
          <w:w w:val="96"/>
          <w:u w:val="single"/>
        </w:rPr>
        <w:t>型企业）</w:t>
      </w:r>
      <w:r>
        <w:rPr>
          <w:rFonts w:hint="eastAsia" w:ascii="楷体" w:hAnsi="楷体" w:cs="楷体"/>
          <w:w w:val="99"/>
        </w:rPr>
        <w:t>；</w:t>
      </w:r>
    </w:p>
    <w:p>
      <w:pPr>
        <w:pStyle w:val="3"/>
        <w:ind w:left="860" w:firstLine="480"/>
        <w:rPr>
          <w:rFonts w:ascii="楷体" w:hAnsi="楷体" w:cs="楷体"/>
          <w:sz w:val="24"/>
        </w:rPr>
      </w:pPr>
      <w:r>
        <w:rPr>
          <w:rFonts w:hint="eastAsia" w:ascii="楷体" w:hAnsi="楷体" w:cs="楷体"/>
          <w:sz w:val="24"/>
        </w:rPr>
        <w:t>……</w:t>
      </w:r>
    </w:p>
    <w:p>
      <w:pPr>
        <w:pStyle w:val="3"/>
        <w:spacing w:before="105"/>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3"/>
        <w:ind w:right="372"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6"/>
        <w:ind w:firstLine="473"/>
        <w:rPr>
          <w:rFonts w:ascii="楷体" w:hAnsi="楷体" w:cs="楷体"/>
          <w:w w:val="99"/>
        </w:rPr>
      </w:pPr>
    </w:p>
    <w:p>
      <w:pPr>
        <w:spacing w:before="5"/>
        <w:ind w:left="20" w:firstLine="473"/>
        <w:jc w:val="left"/>
        <w:rPr>
          <w:rFonts w:ascii="楷体" w:hAnsi="楷体" w:cs="楷体"/>
          <w:w w:val="99"/>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pStyle w:val="6"/>
        <w:ind w:firstLine="473"/>
        <w:rPr>
          <w:rFonts w:ascii="楷体" w:hAnsi="楷体" w:cs="楷体"/>
          <w:w w:val="99"/>
        </w:rPr>
      </w:pPr>
    </w:p>
    <w:p>
      <w:pPr>
        <w:pStyle w:val="6"/>
        <w:ind w:firstLine="473"/>
        <w:rPr>
          <w:rFonts w:ascii="楷体" w:hAnsi="楷体" w:cs="楷体"/>
          <w:w w:val="99"/>
        </w:rPr>
      </w:pPr>
    </w:p>
    <w:p>
      <w:pPr>
        <w:pStyle w:val="6"/>
        <w:ind w:firstLine="3792" w:firstLineChars="1600"/>
        <w:rPr>
          <w:rFonts w:ascii="楷体" w:hAnsi="楷体" w:cs="楷体"/>
          <w:w w:val="99"/>
        </w:rPr>
      </w:pPr>
      <w:r>
        <w:rPr>
          <w:rFonts w:hint="eastAsia" w:ascii="楷体" w:hAnsi="楷体" w:cs="楷体"/>
          <w:w w:val="99"/>
        </w:rPr>
        <w:t>供应商名称（盖章）：</w:t>
      </w:r>
    </w:p>
    <w:p>
      <w:pPr>
        <w:pStyle w:val="6"/>
        <w:ind w:firstLine="3840" w:firstLineChars="1600"/>
        <w:rPr>
          <w:rFonts w:ascii="楷体" w:hAnsi="楷体" w:cs="楷体"/>
        </w:rPr>
      </w:pPr>
      <w:r>
        <w:rPr>
          <w:rFonts w:hint="eastAsia" w:ascii="楷体" w:hAnsi="楷体" w:cs="楷体"/>
        </w:rPr>
        <w:t>日  期：</w:t>
      </w:r>
    </w:p>
    <w:p>
      <w:pPr>
        <w:pStyle w:val="6"/>
        <w:ind w:firstLine="0" w:firstLineChars="0"/>
        <w:rPr>
          <w:rFonts w:ascii="楷体" w:hAnsi="楷体" w:cs="楷体"/>
          <w:bCs/>
        </w:rPr>
      </w:pPr>
      <w:r>
        <w:rPr>
          <w:rFonts w:hint="eastAsia" w:ascii="楷体" w:hAnsi="楷体" w:cs="楷体"/>
        </w:rPr>
        <w:br w:type="page"/>
      </w: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223" w:name="OLE_LINK13"/>
      <w:bookmarkStart w:id="224" w:name="OLE_LINK14"/>
      <w:r>
        <w:rPr>
          <w:rFonts w:hint="eastAsia" w:ascii="楷体" w:hAnsi="楷体" w:cs="楷体"/>
          <w:b/>
          <w:kern w:val="44"/>
          <w:sz w:val="28"/>
          <w:szCs w:val="28"/>
        </w:rPr>
        <w:t>残疾人福利性单位声明函</w:t>
      </w:r>
    </w:p>
    <w:bookmarkEnd w:id="223"/>
    <w:bookmarkEnd w:id="224"/>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w:t>
      </w: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lang w:val="en-US" w:eastAsia="zh-CN"/>
        </w:rPr>
      </w:pPr>
    </w:p>
    <w:sectPr>
      <w:pgSz w:w="11906" w:h="16838"/>
      <w:pgMar w:top="1440" w:right="1191" w:bottom="1440"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tabs>
        <w:tab w:val="left" w:pos="6291"/>
        <w:tab w:val="clear" w:pos="4153"/>
      </w:tabs>
      <w:ind w:firstLine="0" w:firstLineChars="0"/>
      <w:rPr>
        <w:i/>
        <w:iCs/>
      </w:rPr>
    </w:pPr>
    <w:r>
      <w:rPr>
        <w:rFonts w:hint="eastAsia"/>
        <w:i/>
        <w:iCs/>
      </w:rPr>
      <w:t>陕西四方衡裕项目管理有限公司</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E8gz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L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wFE8gzAgAAZAQAAA4AAAAAAAAAAQAgAAAAHwEAAGRycy9lMm9Eb2MueG1sUEsF&#10;BgAAAAAGAAYAWQEAAMQFAAAAAA==&#10;">
              <v:fill on="f" focussize="0,0"/>
              <v:stroke on="f" weight="0.5pt"/>
              <v:imagedata o:title=""/>
              <o:lock v:ext="edit" aspectratio="f"/>
              <v:textbox inset="0mm,0mm,0mm,0mm" style="mso-fit-shape-to-text:t;">
                <w:txbxContent>
                  <w:p>
                    <w:pPr>
                      <w:pStyle w:val="28"/>
                      <w:ind w:firstLine="360"/>
                    </w:pPr>
                  </w:p>
                </w:txbxContent>
              </v:textbox>
            </v:shape>
          </w:pict>
        </mc:Fallback>
      </mc:AlternateContent>
    </w:r>
    <w:r>
      <w:rPr>
        <w:rFonts w:hint="eastAsia"/>
        <w:i/>
        <w:iCs/>
      </w:rPr>
      <w:t xml:space="preserve">                                    西安市沣惠路16号泰华金贸国际8号楼</w:t>
    </w:r>
  </w:p>
  <w:p>
    <w:pPr>
      <w:pStyle w:val="2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tabs>
        <w:tab w:val="left" w:pos="6291"/>
        <w:tab w:val="clear" w:pos="4153"/>
      </w:tabs>
      <w:ind w:firstLine="0" w:firstLineChars="0"/>
      <w:rPr>
        <w:i/>
        <w:iCs/>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28"/>
                      <w:ind w:firstLine="36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28"/>
                      <w:ind w:firstLine="360"/>
                    </w:pPr>
                  </w:p>
                </w:txbxContent>
              </v:textbox>
            </v:shape>
          </w:pict>
        </mc:Fallback>
      </mc:AlternateContent>
    </w:r>
    <w:r>
      <w:rPr>
        <w:rFonts w:hint="eastAsia"/>
        <w:i/>
        <w:iCs/>
      </w:rPr>
      <w:t>陕西四方衡裕项目管理有限公司                              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1"/>
      </w:pBdr>
      <w:tabs>
        <w:tab w:val="left" w:pos="6291"/>
        <w:tab w:val="right" w:pos="8880"/>
        <w:tab w:val="clear" w:pos="4153"/>
        <w:tab w:val="clear" w:pos="8306"/>
      </w:tabs>
      <w:ind w:right="144" w:rightChars="60" w:firstLine="0" w:firstLineChars="0"/>
    </w:pPr>
    <w:r>
      <w:rPr>
        <w:rFonts w:hint="eastAsia"/>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2930525</wp:posOffset>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30.75pt;margin-top:0pt;height:144pt;width:144pt;mso-position-horizontal-relative:margin;mso-wrap-style:none;z-index:251664384;mso-width-relative:page;mso-height-relative:page;" filled="f" stroked="f" coordsize="21600,21600" o:gfxdata="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0L6idUAAAAIAQAADwAAAAAAAAABACAAAAAiAAAAZHJzL2Rvd25yZXYueG1sUEsB&#10;AhQAFAAAAAgAh07iQNpE+ZcxAgAAYwQAAA4AAAAAAAAAAQAgAAAAJAEAAGRycy9lMm9Eb2MueG1s&#10;UEsFBgAAAAAGAAYAWQEAAMcFAAAAAA==&#10;">
              <v:fill on="f" focussize="0,0"/>
              <v:stroke on="f" weight="0.5pt"/>
              <v:imagedata o:title=""/>
              <o:lock v:ext="edit" aspectratio="f"/>
              <v:textbox inset="0mm,0mm,0mm,0mm" style="mso-fit-shape-to-text:t;">
                <w:txbxContent>
                  <w:p>
                    <w:pPr>
                      <w:pStyle w:val="28"/>
                      <w:ind w:firstLine="360"/>
                    </w:pPr>
                  </w:p>
                </w:txbxContent>
              </v:textbox>
            </v:shape>
          </w:pict>
        </mc:Fallback>
      </mc:AlternateContent>
    </w:r>
    <w:r>
      <w:rPr>
        <w:rFonts w:hint="eastAsia"/>
      </w:rPr>
      <w:t xml:space="preserve"> </w:t>
    </w:r>
    <w:r>
      <mc:AlternateContent>
        <mc:Choice Requires="wps">
          <w:drawing>
            <wp:anchor distT="0" distB="0" distL="114300" distR="114300" simplePos="0" relativeHeight="251663360"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63360;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xm7s1gAAAAkBAAAPAAAAAAAAAAEAIAAAACIAAABkcnMvZG93bnJldi54bWxQ&#10;SwECFAAUAAAACACHTuJAa+TjvDICAABjBAAADgAAAAAAAAABACAAAAAlAQAAZHJzL2Uyb0RvYy54&#10;bWxQSwUGAAAAAAYABgBZAQAAyQUAAAAA&#10;">
              <v:fill on="f" focussize="0,0"/>
              <v:stroke on="f" weight="0.5pt"/>
              <v:imagedata o:title=""/>
              <o:lock v:ext="edit" aspectratio="f"/>
              <v:textbox inset="0mm,0mm,0mm,0mm" style="mso-fit-shape-to-text:t;">
                <w:txbxContent>
                  <w:p>
                    <w:pPr>
                      <w:pStyle w:val="28"/>
                      <w:ind w:firstLine="360"/>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DZnGDkMgIAAGMEAAAOAAAAAAAAAAEAIAAAACQBAABkcnMvZTJvRG9jLnht&#10;bFBLBQYAAAAABgAGAFkBAADIBQAAAAA=&#10;">
              <v:fill on="f" focussize="0,0"/>
              <v:stroke on="f" weight="0.5pt"/>
              <v:imagedata o:title=""/>
              <o:lock v:ext="edit" aspectratio="f"/>
              <v:textbox inset="0mm,0mm,0mm,0mm" style="mso-fit-shape-to-text:t;">
                <w:txbxContent>
                  <w:p>
                    <w:pPr>
                      <w:pStyle w:val="28"/>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Zm3Y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9Zm3YwAgAAYwQAAA4AAAAAAAAAAQAgAAAAHwEAAGRycy9lMm9Eb2MueG1sUEsFBgAA&#10;AAAGAAYAWQEAAMEFAAAAAA==&#10;">
              <v:fill on="f" focussize="0,0"/>
              <v:stroke on="f" weight="0.5pt"/>
              <v:imagedata o:title=""/>
              <o:lock v:ext="edit" aspectratio="f"/>
              <v:textbox inset="0mm,0mm,0mm,0mm" style="mso-fit-shape-to-text:t;">
                <w:txbxContent>
                  <w:p>
                    <w:pPr>
                      <w:pStyle w:val="28"/>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ind w:firstLine="360"/>
      <w:rPr>
        <w:rStyle w:val="47"/>
      </w:rPr>
    </w:pPr>
    <w:r>
      <w:fldChar w:fldCharType="begin"/>
    </w:r>
    <w:r>
      <w:rPr>
        <w:rStyle w:val="47"/>
      </w:rPr>
      <w:instrText xml:space="preserve">PAGE  </w:instrText>
    </w:r>
    <w:r>
      <w:fldChar w:fldCharType="separate"/>
    </w:r>
    <w:r>
      <w:rPr>
        <w:rStyle w:val="47"/>
      </w:rPr>
      <w:t>1</w:t>
    </w:r>
    <w:r>
      <w:fldChar w:fldCharType="end"/>
    </w:r>
  </w:p>
  <w:p>
    <w:pPr>
      <w:pStyle w:val="2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5"/>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CBA21056"/>
    <w:multiLevelType w:val="singleLevel"/>
    <w:tmpl w:val="CBA21056"/>
    <w:lvl w:ilvl="0" w:tentative="0">
      <w:start w:val="1"/>
      <w:numFmt w:val="chineseCounting"/>
      <w:suff w:val="nothing"/>
      <w:lvlText w:val="（%1）"/>
      <w:lvlJc w:val="left"/>
      <w:rPr>
        <w:rFonts w:hint="eastAsia"/>
      </w:rPr>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4"/>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522E049B"/>
    <w:multiLevelType w:val="singleLevel"/>
    <w:tmpl w:val="522E049B"/>
    <w:lvl w:ilvl="0" w:tentative="0">
      <w:start w:val="1"/>
      <w:numFmt w:val="decimal"/>
      <w:suff w:val="nothing"/>
      <w:lvlText w:val="%1、"/>
      <w:lvlJc w:val="left"/>
    </w:lvl>
  </w:abstractNum>
  <w:abstractNum w:abstractNumId="8">
    <w:nsid w:val="565F5DA8"/>
    <w:multiLevelType w:val="singleLevel"/>
    <w:tmpl w:val="565F5DA8"/>
    <w:lvl w:ilvl="0" w:tentative="0">
      <w:start w:val="1"/>
      <w:numFmt w:val="decimal"/>
      <w:suff w:val="nothing"/>
      <w:lvlText w:val="（%1）"/>
      <w:lvlJc w:val="left"/>
      <w:pPr>
        <w:ind w:left="-80"/>
      </w:pPr>
    </w:lvl>
  </w:abstractNum>
  <w:abstractNum w:abstractNumId="9">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7"/>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pStyle w:val="9"/>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pStyle w:val="11"/>
      <w:lvlText w:val="%1.%2.%3.%4.%5.%6.%7."/>
      <w:lvlJc w:val="left"/>
      <w:pPr>
        <w:ind w:left="1296" w:hanging="1296"/>
      </w:pPr>
      <w:rPr>
        <w:rFonts w:hint="default"/>
      </w:rPr>
    </w:lvl>
    <w:lvl w:ilvl="7" w:tentative="0">
      <w:start w:val="1"/>
      <w:numFmt w:val="decimal"/>
      <w:pStyle w:val="12"/>
      <w:lvlText w:val="%1.%2.%3.%4.%5.%6.%7.%8."/>
      <w:lvlJc w:val="left"/>
      <w:pPr>
        <w:ind w:left="1440" w:hanging="1440"/>
      </w:pPr>
      <w:rPr>
        <w:rFonts w:hint="default"/>
      </w:rPr>
    </w:lvl>
    <w:lvl w:ilvl="8" w:tentative="0">
      <w:start w:val="1"/>
      <w:numFmt w:val="decimal"/>
      <w:pStyle w:val="13"/>
      <w:lvlText w:val="%1.%2.%3.%4.%5.%6.%7.%8.%9."/>
      <w:lvlJc w:val="left"/>
      <w:pPr>
        <w:ind w:left="1583" w:hanging="1583"/>
      </w:pPr>
      <w:rPr>
        <w:rFonts w:hint="default"/>
      </w:rPr>
    </w:lvl>
  </w:abstractNum>
  <w:num w:numId="1">
    <w:abstractNumId w:val="6"/>
  </w:num>
  <w:num w:numId="2">
    <w:abstractNumId w:val="0"/>
  </w:num>
  <w:num w:numId="3">
    <w:abstractNumId w:val="9"/>
  </w:num>
  <w:num w:numId="4">
    <w:abstractNumId w:val="4"/>
  </w:num>
  <w:num w:numId="5">
    <w:abstractNumId w:val="8"/>
  </w:num>
  <w:num w:numId="6">
    <w:abstractNumId w:val="7"/>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NTRmZWJhMTZhMGI4NTIwNzY3MmY4OGE4OTA2NmYifQ=="/>
  </w:docVars>
  <w:rsids>
    <w:rsidRoot w:val="5FEE1AF0"/>
    <w:rsid w:val="000100A6"/>
    <w:rsid w:val="00014550"/>
    <w:rsid w:val="00037906"/>
    <w:rsid w:val="00045205"/>
    <w:rsid w:val="000470A4"/>
    <w:rsid w:val="00050124"/>
    <w:rsid w:val="00055921"/>
    <w:rsid w:val="00066EDF"/>
    <w:rsid w:val="00071E65"/>
    <w:rsid w:val="00082421"/>
    <w:rsid w:val="00087417"/>
    <w:rsid w:val="00092EA8"/>
    <w:rsid w:val="000A3A7D"/>
    <w:rsid w:val="000B1016"/>
    <w:rsid w:val="000C5A52"/>
    <w:rsid w:val="000C6451"/>
    <w:rsid w:val="000D027B"/>
    <w:rsid w:val="000D1AEA"/>
    <w:rsid w:val="000D40AC"/>
    <w:rsid w:val="000F6E1D"/>
    <w:rsid w:val="001269D8"/>
    <w:rsid w:val="001303E4"/>
    <w:rsid w:val="00131019"/>
    <w:rsid w:val="00137A1A"/>
    <w:rsid w:val="00164BE4"/>
    <w:rsid w:val="0016690D"/>
    <w:rsid w:val="001733EE"/>
    <w:rsid w:val="0017621D"/>
    <w:rsid w:val="0018072A"/>
    <w:rsid w:val="001A0A26"/>
    <w:rsid w:val="001B099D"/>
    <w:rsid w:val="001C7104"/>
    <w:rsid w:val="001D62FE"/>
    <w:rsid w:val="001E47CE"/>
    <w:rsid w:val="001F0B0A"/>
    <w:rsid w:val="001F594D"/>
    <w:rsid w:val="001F669B"/>
    <w:rsid w:val="0020675A"/>
    <w:rsid w:val="002119A3"/>
    <w:rsid w:val="0022169A"/>
    <w:rsid w:val="00222715"/>
    <w:rsid w:val="00247970"/>
    <w:rsid w:val="002621BF"/>
    <w:rsid w:val="002676CE"/>
    <w:rsid w:val="0029524C"/>
    <w:rsid w:val="002C141F"/>
    <w:rsid w:val="002C61F7"/>
    <w:rsid w:val="002C6F76"/>
    <w:rsid w:val="002D2C3C"/>
    <w:rsid w:val="002D7C97"/>
    <w:rsid w:val="002E1E81"/>
    <w:rsid w:val="00312BFE"/>
    <w:rsid w:val="00340DDB"/>
    <w:rsid w:val="00341566"/>
    <w:rsid w:val="0035199D"/>
    <w:rsid w:val="00352D99"/>
    <w:rsid w:val="00356DAF"/>
    <w:rsid w:val="00356DEB"/>
    <w:rsid w:val="00360E24"/>
    <w:rsid w:val="00383F51"/>
    <w:rsid w:val="00390741"/>
    <w:rsid w:val="003A5CF9"/>
    <w:rsid w:val="003C6034"/>
    <w:rsid w:val="003D21B2"/>
    <w:rsid w:val="003D7ADC"/>
    <w:rsid w:val="0040297C"/>
    <w:rsid w:val="00413AEE"/>
    <w:rsid w:val="00415206"/>
    <w:rsid w:val="00415BDB"/>
    <w:rsid w:val="004218B5"/>
    <w:rsid w:val="00424C28"/>
    <w:rsid w:val="004519BC"/>
    <w:rsid w:val="00451C36"/>
    <w:rsid w:val="004727F1"/>
    <w:rsid w:val="004809B5"/>
    <w:rsid w:val="00481D5D"/>
    <w:rsid w:val="004A0BD9"/>
    <w:rsid w:val="004B4F7F"/>
    <w:rsid w:val="004C4A09"/>
    <w:rsid w:val="004E5A1D"/>
    <w:rsid w:val="004F45AB"/>
    <w:rsid w:val="00510CCD"/>
    <w:rsid w:val="00510F4B"/>
    <w:rsid w:val="0053060A"/>
    <w:rsid w:val="0053172B"/>
    <w:rsid w:val="00531E87"/>
    <w:rsid w:val="00533B08"/>
    <w:rsid w:val="00535E12"/>
    <w:rsid w:val="00543557"/>
    <w:rsid w:val="00544D82"/>
    <w:rsid w:val="00546814"/>
    <w:rsid w:val="00551791"/>
    <w:rsid w:val="005538A0"/>
    <w:rsid w:val="0055524A"/>
    <w:rsid w:val="005560F2"/>
    <w:rsid w:val="005565EB"/>
    <w:rsid w:val="00580C06"/>
    <w:rsid w:val="0058369F"/>
    <w:rsid w:val="005A22FB"/>
    <w:rsid w:val="005A5466"/>
    <w:rsid w:val="005B1BE1"/>
    <w:rsid w:val="005D0536"/>
    <w:rsid w:val="006075F2"/>
    <w:rsid w:val="0062119B"/>
    <w:rsid w:val="0063100A"/>
    <w:rsid w:val="00641677"/>
    <w:rsid w:val="006708C6"/>
    <w:rsid w:val="00680253"/>
    <w:rsid w:val="006873F2"/>
    <w:rsid w:val="006A36FF"/>
    <w:rsid w:val="006B70F4"/>
    <w:rsid w:val="006C750A"/>
    <w:rsid w:val="006D1CFC"/>
    <w:rsid w:val="0070028C"/>
    <w:rsid w:val="00704871"/>
    <w:rsid w:val="007066E2"/>
    <w:rsid w:val="007147C6"/>
    <w:rsid w:val="007158D4"/>
    <w:rsid w:val="007215E8"/>
    <w:rsid w:val="007247B0"/>
    <w:rsid w:val="0072514A"/>
    <w:rsid w:val="00727DB7"/>
    <w:rsid w:val="00733E26"/>
    <w:rsid w:val="00744397"/>
    <w:rsid w:val="00744F52"/>
    <w:rsid w:val="00753196"/>
    <w:rsid w:val="00771F6E"/>
    <w:rsid w:val="0077738E"/>
    <w:rsid w:val="00785804"/>
    <w:rsid w:val="00792630"/>
    <w:rsid w:val="007A5061"/>
    <w:rsid w:val="007B54CE"/>
    <w:rsid w:val="007C6F0D"/>
    <w:rsid w:val="007D52B1"/>
    <w:rsid w:val="007F32C1"/>
    <w:rsid w:val="007F3381"/>
    <w:rsid w:val="007F770B"/>
    <w:rsid w:val="00811B0A"/>
    <w:rsid w:val="00815B84"/>
    <w:rsid w:val="00816344"/>
    <w:rsid w:val="00822FBE"/>
    <w:rsid w:val="008354C6"/>
    <w:rsid w:val="00843AC3"/>
    <w:rsid w:val="00850DBB"/>
    <w:rsid w:val="00854A62"/>
    <w:rsid w:val="00874D3C"/>
    <w:rsid w:val="00896C7B"/>
    <w:rsid w:val="008E7D32"/>
    <w:rsid w:val="008F1F93"/>
    <w:rsid w:val="009002A0"/>
    <w:rsid w:val="0090133E"/>
    <w:rsid w:val="0090436B"/>
    <w:rsid w:val="00917968"/>
    <w:rsid w:val="00974BB4"/>
    <w:rsid w:val="009A117E"/>
    <w:rsid w:val="009A455C"/>
    <w:rsid w:val="009D50A5"/>
    <w:rsid w:val="009D57DD"/>
    <w:rsid w:val="009D5AB3"/>
    <w:rsid w:val="009E37B4"/>
    <w:rsid w:val="009E6E51"/>
    <w:rsid w:val="009F4C1B"/>
    <w:rsid w:val="00A16807"/>
    <w:rsid w:val="00A2131B"/>
    <w:rsid w:val="00A21676"/>
    <w:rsid w:val="00A26BF1"/>
    <w:rsid w:val="00A31206"/>
    <w:rsid w:val="00A31BE6"/>
    <w:rsid w:val="00A330CA"/>
    <w:rsid w:val="00A56578"/>
    <w:rsid w:val="00A57CDF"/>
    <w:rsid w:val="00A63607"/>
    <w:rsid w:val="00A7622F"/>
    <w:rsid w:val="00AA0137"/>
    <w:rsid w:val="00AA3CEC"/>
    <w:rsid w:val="00AF3D1F"/>
    <w:rsid w:val="00B10FE1"/>
    <w:rsid w:val="00B220E0"/>
    <w:rsid w:val="00B250C9"/>
    <w:rsid w:val="00B30063"/>
    <w:rsid w:val="00B354A6"/>
    <w:rsid w:val="00B4093A"/>
    <w:rsid w:val="00B43858"/>
    <w:rsid w:val="00B51CF0"/>
    <w:rsid w:val="00B706BB"/>
    <w:rsid w:val="00B8564F"/>
    <w:rsid w:val="00B91E2C"/>
    <w:rsid w:val="00BB0DF0"/>
    <w:rsid w:val="00BC4BD9"/>
    <w:rsid w:val="00BC75C2"/>
    <w:rsid w:val="00BD3B28"/>
    <w:rsid w:val="00BD7419"/>
    <w:rsid w:val="00BF55E5"/>
    <w:rsid w:val="00C00F5E"/>
    <w:rsid w:val="00C03300"/>
    <w:rsid w:val="00C23095"/>
    <w:rsid w:val="00C257ED"/>
    <w:rsid w:val="00C47837"/>
    <w:rsid w:val="00C5267B"/>
    <w:rsid w:val="00C6090D"/>
    <w:rsid w:val="00C65D92"/>
    <w:rsid w:val="00C72958"/>
    <w:rsid w:val="00C76A98"/>
    <w:rsid w:val="00C820B6"/>
    <w:rsid w:val="00C96C1E"/>
    <w:rsid w:val="00CA118F"/>
    <w:rsid w:val="00CA30AA"/>
    <w:rsid w:val="00CA325C"/>
    <w:rsid w:val="00CE68EF"/>
    <w:rsid w:val="00CF13FE"/>
    <w:rsid w:val="00CF2CFD"/>
    <w:rsid w:val="00CF5C6D"/>
    <w:rsid w:val="00D1155A"/>
    <w:rsid w:val="00D14C48"/>
    <w:rsid w:val="00D46028"/>
    <w:rsid w:val="00D51323"/>
    <w:rsid w:val="00D55596"/>
    <w:rsid w:val="00D55E91"/>
    <w:rsid w:val="00D6256F"/>
    <w:rsid w:val="00D632D4"/>
    <w:rsid w:val="00D70501"/>
    <w:rsid w:val="00D90474"/>
    <w:rsid w:val="00D921A9"/>
    <w:rsid w:val="00D978D5"/>
    <w:rsid w:val="00DB135F"/>
    <w:rsid w:val="00DC19CB"/>
    <w:rsid w:val="00DE63D0"/>
    <w:rsid w:val="00DF44DD"/>
    <w:rsid w:val="00DF7772"/>
    <w:rsid w:val="00E219D6"/>
    <w:rsid w:val="00E37479"/>
    <w:rsid w:val="00E5044D"/>
    <w:rsid w:val="00E57CBD"/>
    <w:rsid w:val="00E62313"/>
    <w:rsid w:val="00E62631"/>
    <w:rsid w:val="00E635DF"/>
    <w:rsid w:val="00E87B68"/>
    <w:rsid w:val="00E95861"/>
    <w:rsid w:val="00EA1861"/>
    <w:rsid w:val="00EC0575"/>
    <w:rsid w:val="00EC09C1"/>
    <w:rsid w:val="00EC0A89"/>
    <w:rsid w:val="00EC6BDA"/>
    <w:rsid w:val="00ED52C5"/>
    <w:rsid w:val="00EE265E"/>
    <w:rsid w:val="00EF40AB"/>
    <w:rsid w:val="00F01A89"/>
    <w:rsid w:val="00F028D0"/>
    <w:rsid w:val="00F1385F"/>
    <w:rsid w:val="00F22C28"/>
    <w:rsid w:val="00F47F7C"/>
    <w:rsid w:val="00F500F5"/>
    <w:rsid w:val="00F66490"/>
    <w:rsid w:val="00F70794"/>
    <w:rsid w:val="00F72EB0"/>
    <w:rsid w:val="00F82397"/>
    <w:rsid w:val="00F907ED"/>
    <w:rsid w:val="00F95534"/>
    <w:rsid w:val="00FA42E4"/>
    <w:rsid w:val="00FB4BF6"/>
    <w:rsid w:val="00FB5122"/>
    <w:rsid w:val="00FB67C4"/>
    <w:rsid w:val="00FC3C8B"/>
    <w:rsid w:val="00FC6A67"/>
    <w:rsid w:val="00FC6DB3"/>
    <w:rsid w:val="01003F7B"/>
    <w:rsid w:val="01074222"/>
    <w:rsid w:val="010A6538"/>
    <w:rsid w:val="011E60B5"/>
    <w:rsid w:val="01213882"/>
    <w:rsid w:val="012313A8"/>
    <w:rsid w:val="012A2737"/>
    <w:rsid w:val="01423569"/>
    <w:rsid w:val="01542FD5"/>
    <w:rsid w:val="017111E0"/>
    <w:rsid w:val="01960AB2"/>
    <w:rsid w:val="01B41F70"/>
    <w:rsid w:val="01BD716E"/>
    <w:rsid w:val="01C256AD"/>
    <w:rsid w:val="01D60ECE"/>
    <w:rsid w:val="01E44198"/>
    <w:rsid w:val="01EA0118"/>
    <w:rsid w:val="01F1594A"/>
    <w:rsid w:val="01F51850"/>
    <w:rsid w:val="02074F0E"/>
    <w:rsid w:val="02100993"/>
    <w:rsid w:val="022A6766"/>
    <w:rsid w:val="02403C79"/>
    <w:rsid w:val="024632C4"/>
    <w:rsid w:val="0263535D"/>
    <w:rsid w:val="02867E41"/>
    <w:rsid w:val="028C6818"/>
    <w:rsid w:val="02921D80"/>
    <w:rsid w:val="02BF631A"/>
    <w:rsid w:val="02E160DA"/>
    <w:rsid w:val="02F53218"/>
    <w:rsid w:val="02F74B87"/>
    <w:rsid w:val="030B2A3C"/>
    <w:rsid w:val="030D2053"/>
    <w:rsid w:val="034C089F"/>
    <w:rsid w:val="03524675"/>
    <w:rsid w:val="0353518A"/>
    <w:rsid w:val="035B78B3"/>
    <w:rsid w:val="0368166E"/>
    <w:rsid w:val="036F7E85"/>
    <w:rsid w:val="0383523A"/>
    <w:rsid w:val="03AE73AD"/>
    <w:rsid w:val="03CA1FAF"/>
    <w:rsid w:val="03CA57BD"/>
    <w:rsid w:val="03D90FD0"/>
    <w:rsid w:val="03E836A2"/>
    <w:rsid w:val="03FC454A"/>
    <w:rsid w:val="03FD3050"/>
    <w:rsid w:val="040110CF"/>
    <w:rsid w:val="04087A2D"/>
    <w:rsid w:val="042979F2"/>
    <w:rsid w:val="043329C0"/>
    <w:rsid w:val="04442533"/>
    <w:rsid w:val="04454308"/>
    <w:rsid w:val="045526C4"/>
    <w:rsid w:val="04641D9D"/>
    <w:rsid w:val="048620A7"/>
    <w:rsid w:val="04A27AFF"/>
    <w:rsid w:val="04A66EED"/>
    <w:rsid w:val="04BC2EFE"/>
    <w:rsid w:val="04BD696B"/>
    <w:rsid w:val="04C108F7"/>
    <w:rsid w:val="04C42EA2"/>
    <w:rsid w:val="04C6425D"/>
    <w:rsid w:val="04DB6853"/>
    <w:rsid w:val="04E86B91"/>
    <w:rsid w:val="04EA6DAD"/>
    <w:rsid w:val="050C05A0"/>
    <w:rsid w:val="051C4A8C"/>
    <w:rsid w:val="052A6FAA"/>
    <w:rsid w:val="053A4F12"/>
    <w:rsid w:val="053E0F6B"/>
    <w:rsid w:val="05461B09"/>
    <w:rsid w:val="054A78EB"/>
    <w:rsid w:val="054D10EA"/>
    <w:rsid w:val="0560706F"/>
    <w:rsid w:val="0565057A"/>
    <w:rsid w:val="05793C8D"/>
    <w:rsid w:val="057A17B3"/>
    <w:rsid w:val="05832D5D"/>
    <w:rsid w:val="05946022"/>
    <w:rsid w:val="05AA02EA"/>
    <w:rsid w:val="05BC1EB1"/>
    <w:rsid w:val="05CC56C2"/>
    <w:rsid w:val="05E355AA"/>
    <w:rsid w:val="06131532"/>
    <w:rsid w:val="061340E1"/>
    <w:rsid w:val="06183EF9"/>
    <w:rsid w:val="0627463A"/>
    <w:rsid w:val="062B418F"/>
    <w:rsid w:val="06345E06"/>
    <w:rsid w:val="063B53E6"/>
    <w:rsid w:val="064F2C3F"/>
    <w:rsid w:val="06581AF4"/>
    <w:rsid w:val="06760363"/>
    <w:rsid w:val="067E67F5"/>
    <w:rsid w:val="0687384F"/>
    <w:rsid w:val="06887ED3"/>
    <w:rsid w:val="06950775"/>
    <w:rsid w:val="06AC5CE1"/>
    <w:rsid w:val="06AF621C"/>
    <w:rsid w:val="06C62F02"/>
    <w:rsid w:val="06DC5BEF"/>
    <w:rsid w:val="0700771A"/>
    <w:rsid w:val="07103C10"/>
    <w:rsid w:val="07124399"/>
    <w:rsid w:val="071A43DF"/>
    <w:rsid w:val="071C5217"/>
    <w:rsid w:val="071D689A"/>
    <w:rsid w:val="07290199"/>
    <w:rsid w:val="073538E3"/>
    <w:rsid w:val="07465DF0"/>
    <w:rsid w:val="075B63EE"/>
    <w:rsid w:val="076F17EB"/>
    <w:rsid w:val="078D33A2"/>
    <w:rsid w:val="078F577C"/>
    <w:rsid w:val="0792098C"/>
    <w:rsid w:val="07A07239"/>
    <w:rsid w:val="07A330DD"/>
    <w:rsid w:val="07A43FF1"/>
    <w:rsid w:val="07B61636"/>
    <w:rsid w:val="07C01E8B"/>
    <w:rsid w:val="07EB6D92"/>
    <w:rsid w:val="07F41CF0"/>
    <w:rsid w:val="08050580"/>
    <w:rsid w:val="081E6D6C"/>
    <w:rsid w:val="084560A8"/>
    <w:rsid w:val="084A1F37"/>
    <w:rsid w:val="084C295D"/>
    <w:rsid w:val="085728DB"/>
    <w:rsid w:val="085B2B7A"/>
    <w:rsid w:val="085D1644"/>
    <w:rsid w:val="086F1377"/>
    <w:rsid w:val="08731766"/>
    <w:rsid w:val="087343A2"/>
    <w:rsid w:val="087370B9"/>
    <w:rsid w:val="088906CF"/>
    <w:rsid w:val="08A07782"/>
    <w:rsid w:val="08A60BF7"/>
    <w:rsid w:val="08A74FB5"/>
    <w:rsid w:val="08AF4672"/>
    <w:rsid w:val="08B1373D"/>
    <w:rsid w:val="08DE633C"/>
    <w:rsid w:val="08E37446"/>
    <w:rsid w:val="08E9737B"/>
    <w:rsid w:val="08FE10F5"/>
    <w:rsid w:val="08FF26FB"/>
    <w:rsid w:val="090E5039"/>
    <w:rsid w:val="091361A6"/>
    <w:rsid w:val="0932487E"/>
    <w:rsid w:val="093D5BB3"/>
    <w:rsid w:val="09581E0B"/>
    <w:rsid w:val="095A2C8F"/>
    <w:rsid w:val="09657D9F"/>
    <w:rsid w:val="097053A7"/>
    <w:rsid w:val="09722783"/>
    <w:rsid w:val="097E3F67"/>
    <w:rsid w:val="09A173AA"/>
    <w:rsid w:val="09B74D83"/>
    <w:rsid w:val="09C1299A"/>
    <w:rsid w:val="09C83435"/>
    <w:rsid w:val="0A4A0F94"/>
    <w:rsid w:val="0A4B2570"/>
    <w:rsid w:val="0A64315D"/>
    <w:rsid w:val="0AA96DC2"/>
    <w:rsid w:val="0AAC6AA7"/>
    <w:rsid w:val="0ACA56EF"/>
    <w:rsid w:val="0AD31666"/>
    <w:rsid w:val="0AD90344"/>
    <w:rsid w:val="0ADF0A36"/>
    <w:rsid w:val="0AE147AE"/>
    <w:rsid w:val="0AF14F4D"/>
    <w:rsid w:val="0AF50259"/>
    <w:rsid w:val="0B1306DF"/>
    <w:rsid w:val="0B156206"/>
    <w:rsid w:val="0B2841EE"/>
    <w:rsid w:val="0B736329"/>
    <w:rsid w:val="0B7D3DAB"/>
    <w:rsid w:val="0BAE0FC8"/>
    <w:rsid w:val="0BCC2240"/>
    <w:rsid w:val="0BE17F48"/>
    <w:rsid w:val="0BE856C8"/>
    <w:rsid w:val="0C103949"/>
    <w:rsid w:val="0C160487"/>
    <w:rsid w:val="0C264442"/>
    <w:rsid w:val="0C4D19CF"/>
    <w:rsid w:val="0C724374"/>
    <w:rsid w:val="0C92415C"/>
    <w:rsid w:val="0CA737D5"/>
    <w:rsid w:val="0CAE4E36"/>
    <w:rsid w:val="0CC311CB"/>
    <w:rsid w:val="0CC5653B"/>
    <w:rsid w:val="0CD530CF"/>
    <w:rsid w:val="0CDE6ACB"/>
    <w:rsid w:val="0CE75980"/>
    <w:rsid w:val="0CF84031"/>
    <w:rsid w:val="0CFC7822"/>
    <w:rsid w:val="0D0524EB"/>
    <w:rsid w:val="0D1B16BD"/>
    <w:rsid w:val="0D1F5E10"/>
    <w:rsid w:val="0D366907"/>
    <w:rsid w:val="0D3C3C56"/>
    <w:rsid w:val="0D4C13ED"/>
    <w:rsid w:val="0D504F49"/>
    <w:rsid w:val="0D554F32"/>
    <w:rsid w:val="0D575A2C"/>
    <w:rsid w:val="0D5F6B75"/>
    <w:rsid w:val="0D664F15"/>
    <w:rsid w:val="0D85283A"/>
    <w:rsid w:val="0D8A1218"/>
    <w:rsid w:val="0D8D4779"/>
    <w:rsid w:val="0D9A1985"/>
    <w:rsid w:val="0DC34DAD"/>
    <w:rsid w:val="0DDF0D4D"/>
    <w:rsid w:val="0DEA355B"/>
    <w:rsid w:val="0DF90060"/>
    <w:rsid w:val="0DFF319D"/>
    <w:rsid w:val="0E0D35F3"/>
    <w:rsid w:val="0E25027A"/>
    <w:rsid w:val="0E3E5407"/>
    <w:rsid w:val="0E422B9D"/>
    <w:rsid w:val="0E4E3714"/>
    <w:rsid w:val="0E4F1A2E"/>
    <w:rsid w:val="0E613CA0"/>
    <w:rsid w:val="0E817C38"/>
    <w:rsid w:val="0E8D69FB"/>
    <w:rsid w:val="0E990978"/>
    <w:rsid w:val="0EB12745"/>
    <w:rsid w:val="0EB50007"/>
    <w:rsid w:val="0EC32756"/>
    <w:rsid w:val="0EDB1514"/>
    <w:rsid w:val="0EDD34DE"/>
    <w:rsid w:val="0EFC0328"/>
    <w:rsid w:val="0F032819"/>
    <w:rsid w:val="0F05527A"/>
    <w:rsid w:val="0F09285D"/>
    <w:rsid w:val="0F0E7B3C"/>
    <w:rsid w:val="0F1D444C"/>
    <w:rsid w:val="0F260647"/>
    <w:rsid w:val="0F425433"/>
    <w:rsid w:val="0F4E7E38"/>
    <w:rsid w:val="0F5C160A"/>
    <w:rsid w:val="0F5C7859"/>
    <w:rsid w:val="0F601A19"/>
    <w:rsid w:val="0F855CBD"/>
    <w:rsid w:val="0F8D7A83"/>
    <w:rsid w:val="0F8E3F18"/>
    <w:rsid w:val="0F9D4517"/>
    <w:rsid w:val="0F9F69E6"/>
    <w:rsid w:val="0FA7589A"/>
    <w:rsid w:val="0FA8765E"/>
    <w:rsid w:val="0FAE6C29"/>
    <w:rsid w:val="0FC040A8"/>
    <w:rsid w:val="0FC3366C"/>
    <w:rsid w:val="0FC44326"/>
    <w:rsid w:val="0FC74322"/>
    <w:rsid w:val="0FCB5E77"/>
    <w:rsid w:val="0FD46730"/>
    <w:rsid w:val="0FDF6DE2"/>
    <w:rsid w:val="0FE4264A"/>
    <w:rsid w:val="0FE67C67"/>
    <w:rsid w:val="10042C1A"/>
    <w:rsid w:val="100D1BA1"/>
    <w:rsid w:val="1025513D"/>
    <w:rsid w:val="103319CE"/>
    <w:rsid w:val="1042409D"/>
    <w:rsid w:val="104E1688"/>
    <w:rsid w:val="104F51AA"/>
    <w:rsid w:val="10513563"/>
    <w:rsid w:val="10594DE6"/>
    <w:rsid w:val="10612F5E"/>
    <w:rsid w:val="106C2D6C"/>
    <w:rsid w:val="10711641"/>
    <w:rsid w:val="107227D6"/>
    <w:rsid w:val="1080176D"/>
    <w:rsid w:val="1095207A"/>
    <w:rsid w:val="109E4FF0"/>
    <w:rsid w:val="10A35044"/>
    <w:rsid w:val="10A97373"/>
    <w:rsid w:val="10B77D5F"/>
    <w:rsid w:val="10B94FC8"/>
    <w:rsid w:val="10D97CD5"/>
    <w:rsid w:val="10EA0134"/>
    <w:rsid w:val="10FC3CE8"/>
    <w:rsid w:val="10FD1C16"/>
    <w:rsid w:val="10FD76B3"/>
    <w:rsid w:val="1109197E"/>
    <w:rsid w:val="11164A85"/>
    <w:rsid w:val="112B6004"/>
    <w:rsid w:val="11330036"/>
    <w:rsid w:val="113849FC"/>
    <w:rsid w:val="113C0692"/>
    <w:rsid w:val="11601B6D"/>
    <w:rsid w:val="116752E1"/>
    <w:rsid w:val="118063A3"/>
    <w:rsid w:val="118A6B3D"/>
    <w:rsid w:val="119D3A7D"/>
    <w:rsid w:val="11B00A36"/>
    <w:rsid w:val="11B54371"/>
    <w:rsid w:val="11CC15E8"/>
    <w:rsid w:val="11D610FD"/>
    <w:rsid w:val="11DC7A7D"/>
    <w:rsid w:val="12166977"/>
    <w:rsid w:val="121B1D88"/>
    <w:rsid w:val="122347D1"/>
    <w:rsid w:val="12265791"/>
    <w:rsid w:val="122907E8"/>
    <w:rsid w:val="124259FF"/>
    <w:rsid w:val="124826BC"/>
    <w:rsid w:val="1258608D"/>
    <w:rsid w:val="1288104C"/>
    <w:rsid w:val="12966C49"/>
    <w:rsid w:val="12BE3627"/>
    <w:rsid w:val="12CE204B"/>
    <w:rsid w:val="12D44BF8"/>
    <w:rsid w:val="12E408D9"/>
    <w:rsid w:val="12F86B39"/>
    <w:rsid w:val="12F95181"/>
    <w:rsid w:val="13117BFA"/>
    <w:rsid w:val="132E0222"/>
    <w:rsid w:val="13422A6E"/>
    <w:rsid w:val="13676615"/>
    <w:rsid w:val="137D1163"/>
    <w:rsid w:val="137D3C62"/>
    <w:rsid w:val="13835C89"/>
    <w:rsid w:val="138B0617"/>
    <w:rsid w:val="13960100"/>
    <w:rsid w:val="139D148E"/>
    <w:rsid w:val="13AC6B51"/>
    <w:rsid w:val="13B0214B"/>
    <w:rsid w:val="13B34D55"/>
    <w:rsid w:val="13DF623A"/>
    <w:rsid w:val="13E470BD"/>
    <w:rsid w:val="13E76BAD"/>
    <w:rsid w:val="13F13588"/>
    <w:rsid w:val="13FF38E2"/>
    <w:rsid w:val="14013D6A"/>
    <w:rsid w:val="140306C7"/>
    <w:rsid w:val="141F03B2"/>
    <w:rsid w:val="14222C02"/>
    <w:rsid w:val="14847F58"/>
    <w:rsid w:val="1496422C"/>
    <w:rsid w:val="14A01236"/>
    <w:rsid w:val="14A578CD"/>
    <w:rsid w:val="14A66120"/>
    <w:rsid w:val="14BF74CE"/>
    <w:rsid w:val="14DA7F76"/>
    <w:rsid w:val="14DC3F06"/>
    <w:rsid w:val="14EA439C"/>
    <w:rsid w:val="14F91294"/>
    <w:rsid w:val="150B2427"/>
    <w:rsid w:val="151C1272"/>
    <w:rsid w:val="15205ED3"/>
    <w:rsid w:val="152B35A3"/>
    <w:rsid w:val="15401385"/>
    <w:rsid w:val="15441A61"/>
    <w:rsid w:val="155D7D2C"/>
    <w:rsid w:val="15713391"/>
    <w:rsid w:val="159F717F"/>
    <w:rsid w:val="15A60B65"/>
    <w:rsid w:val="15B8435D"/>
    <w:rsid w:val="15CE3A42"/>
    <w:rsid w:val="15DD5B72"/>
    <w:rsid w:val="15E55D7B"/>
    <w:rsid w:val="15E74C42"/>
    <w:rsid w:val="15E96C0C"/>
    <w:rsid w:val="15FA6A12"/>
    <w:rsid w:val="15FC6423"/>
    <w:rsid w:val="1604337D"/>
    <w:rsid w:val="16171B93"/>
    <w:rsid w:val="16444242"/>
    <w:rsid w:val="1651046F"/>
    <w:rsid w:val="16532605"/>
    <w:rsid w:val="165617C6"/>
    <w:rsid w:val="165F12DA"/>
    <w:rsid w:val="16681DB4"/>
    <w:rsid w:val="166B55D4"/>
    <w:rsid w:val="166C5148"/>
    <w:rsid w:val="167F30CD"/>
    <w:rsid w:val="16892377"/>
    <w:rsid w:val="168E1562"/>
    <w:rsid w:val="16922E00"/>
    <w:rsid w:val="16AF5D6F"/>
    <w:rsid w:val="16BB3C05"/>
    <w:rsid w:val="16DC501F"/>
    <w:rsid w:val="16DD75A3"/>
    <w:rsid w:val="16E87A77"/>
    <w:rsid w:val="171A39BA"/>
    <w:rsid w:val="1734124D"/>
    <w:rsid w:val="1740460A"/>
    <w:rsid w:val="17424826"/>
    <w:rsid w:val="17485BB5"/>
    <w:rsid w:val="175A7499"/>
    <w:rsid w:val="17614264"/>
    <w:rsid w:val="178206E3"/>
    <w:rsid w:val="179B23DA"/>
    <w:rsid w:val="17A4103D"/>
    <w:rsid w:val="17AC6254"/>
    <w:rsid w:val="17D80CE7"/>
    <w:rsid w:val="17EE4066"/>
    <w:rsid w:val="17F43647"/>
    <w:rsid w:val="18245888"/>
    <w:rsid w:val="18252292"/>
    <w:rsid w:val="18470E71"/>
    <w:rsid w:val="18475E6C"/>
    <w:rsid w:val="18571F15"/>
    <w:rsid w:val="18613EF4"/>
    <w:rsid w:val="18626802"/>
    <w:rsid w:val="18A1557C"/>
    <w:rsid w:val="18A4026F"/>
    <w:rsid w:val="18AF29AD"/>
    <w:rsid w:val="18B352B0"/>
    <w:rsid w:val="18BD0B01"/>
    <w:rsid w:val="18C03EE5"/>
    <w:rsid w:val="18C5473A"/>
    <w:rsid w:val="18D23988"/>
    <w:rsid w:val="18D822DB"/>
    <w:rsid w:val="18D94D16"/>
    <w:rsid w:val="18E13319"/>
    <w:rsid w:val="19000DB0"/>
    <w:rsid w:val="191E373F"/>
    <w:rsid w:val="193062D5"/>
    <w:rsid w:val="193E32B0"/>
    <w:rsid w:val="1949242B"/>
    <w:rsid w:val="194B7FA1"/>
    <w:rsid w:val="196A3BC0"/>
    <w:rsid w:val="1971595E"/>
    <w:rsid w:val="19770344"/>
    <w:rsid w:val="19842DB0"/>
    <w:rsid w:val="19AF3CC9"/>
    <w:rsid w:val="19C03EBA"/>
    <w:rsid w:val="19CF6119"/>
    <w:rsid w:val="19D159ED"/>
    <w:rsid w:val="19DA6FE1"/>
    <w:rsid w:val="19E14C79"/>
    <w:rsid w:val="19E73B92"/>
    <w:rsid w:val="19E9703D"/>
    <w:rsid w:val="19F203EF"/>
    <w:rsid w:val="19FC5A15"/>
    <w:rsid w:val="1A0758B3"/>
    <w:rsid w:val="1A0E3268"/>
    <w:rsid w:val="1A0F1779"/>
    <w:rsid w:val="1A16544C"/>
    <w:rsid w:val="1A246A9B"/>
    <w:rsid w:val="1A2B6755"/>
    <w:rsid w:val="1A3F4F96"/>
    <w:rsid w:val="1A555900"/>
    <w:rsid w:val="1A565A22"/>
    <w:rsid w:val="1A577055"/>
    <w:rsid w:val="1A5F5F2A"/>
    <w:rsid w:val="1A684319"/>
    <w:rsid w:val="1A6920CA"/>
    <w:rsid w:val="1A7177EC"/>
    <w:rsid w:val="1A942910"/>
    <w:rsid w:val="1AAD345B"/>
    <w:rsid w:val="1ACB3667"/>
    <w:rsid w:val="1ACE3E4A"/>
    <w:rsid w:val="1AD67034"/>
    <w:rsid w:val="1AE9320B"/>
    <w:rsid w:val="1AEC7D00"/>
    <w:rsid w:val="1B1262BE"/>
    <w:rsid w:val="1B2E5BFB"/>
    <w:rsid w:val="1B325287"/>
    <w:rsid w:val="1B9118D8"/>
    <w:rsid w:val="1B957099"/>
    <w:rsid w:val="1BA35DD4"/>
    <w:rsid w:val="1BA94049"/>
    <w:rsid w:val="1BAD3FD4"/>
    <w:rsid w:val="1BC756B2"/>
    <w:rsid w:val="1BD16179"/>
    <w:rsid w:val="1BDF33FA"/>
    <w:rsid w:val="1BF26A1C"/>
    <w:rsid w:val="1BF754B3"/>
    <w:rsid w:val="1C01455D"/>
    <w:rsid w:val="1C027D37"/>
    <w:rsid w:val="1C054074"/>
    <w:rsid w:val="1C094184"/>
    <w:rsid w:val="1C0F0A4F"/>
    <w:rsid w:val="1C1B5646"/>
    <w:rsid w:val="1C2871E1"/>
    <w:rsid w:val="1C3F2AFE"/>
    <w:rsid w:val="1C795C1C"/>
    <w:rsid w:val="1C7E5093"/>
    <w:rsid w:val="1C9D24FF"/>
    <w:rsid w:val="1CB33D61"/>
    <w:rsid w:val="1CB82E95"/>
    <w:rsid w:val="1CC82EE4"/>
    <w:rsid w:val="1CDB049A"/>
    <w:rsid w:val="1CDE1B8C"/>
    <w:rsid w:val="1CE912A0"/>
    <w:rsid w:val="1CF814E3"/>
    <w:rsid w:val="1CFD0C68"/>
    <w:rsid w:val="1D2E0793"/>
    <w:rsid w:val="1D32182C"/>
    <w:rsid w:val="1D400B3A"/>
    <w:rsid w:val="1D4645A6"/>
    <w:rsid w:val="1D491D3F"/>
    <w:rsid w:val="1D545BE0"/>
    <w:rsid w:val="1D607A3D"/>
    <w:rsid w:val="1D696724"/>
    <w:rsid w:val="1D7414B2"/>
    <w:rsid w:val="1D813BCE"/>
    <w:rsid w:val="1D943902"/>
    <w:rsid w:val="1D9F6656"/>
    <w:rsid w:val="1DBA5B5C"/>
    <w:rsid w:val="1DCA7323"/>
    <w:rsid w:val="1DDD33DA"/>
    <w:rsid w:val="1DDF1A3C"/>
    <w:rsid w:val="1DE707E4"/>
    <w:rsid w:val="1DEB3A50"/>
    <w:rsid w:val="1DED168F"/>
    <w:rsid w:val="1E032835"/>
    <w:rsid w:val="1E0F11DA"/>
    <w:rsid w:val="1E0F1D5F"/>
    <w:rsid w:val="1E1D29EF"/>
    <w:rsid w:val="1E4E30F1"/>
    <w:rsid w:val="1E5400F5"/>
    <w:rsid w:val="1E6E5F01"/>
    <w:rsid w:val="1E8008AC"/>
    <w:rsid w:val="1E90231B"/>
    <w:rsid w:val="1EA064D4"/>
    <w:rsid w:val="1EB55CED"/>
    <w:rsid w:val="1EC0617D"/>
    <w:rsid w:val="1EC42710"/>
    <w:rsid w:val="1ECA7D39"/>
    <w:rsid w:val="1ECC0E79"/>
    <w:rsid w:val="1F0249B2"/>
    <w:rsid w:val="1F132604"/>
    <w:rsid w:val="1F1A0E24"/>
    <w:rsid w:val="1F220743"/>
    <w:rsid w:val="1F3507CD"/>
    <w:rsid w:val="1F5C21FD"/>
    <w:rsid w:val="1F654485"/>
    <w:rsid w:val="1F685731"/>
    <w:rsid w:val="1F7814AD"/>
    <w:rsid w:val="1F941997"/>
    <w:rsid w:val="1FBC1BE2"/>
    <w:rsid w:val="1FBC4A4A"/>
    <w:rsid w:val="1FD10A82"/>
    <w:rsid w:val="1FEC17D3"/>
    <w:rsid w:val="1FED43A2"/>
    <w:rsid w:val="1FEF4E1F"/>
    <w:rsid w:val="1FF266BE"/>
    <w:rsid w:val="1FFE5062"/>
    <w:rsid w:val="1FFF2056"/>
    <w:rsid w:val="201B5C14"/>
    <w:rsid w:val="203A4953"/>
    <w:rsid w:val="204523E1"/>
    <w:rsid w:val="20497650"/>
    <w:rsid w:val="207C633F"/>
    <w:rsid w:val="207F6D41"/>
    <w:rsid w:val="209239FD"/>
    <w:rsid w:val="209577A7"/>
    <w:rsid w:val="20A80158"/>
    <w:rsid w:val="20CA7652"/>
    <w:rsid w:val="20F52909"/>
    <w:rsid w:val="20FA1CCE"/>
    <w:rsid w:val="21025026"/>
    <w:rsid w:val="21031165"/>
    <w:rsid w:val="211764BD"/>
    <w:rsid w:val="215046AD"/>
    <w:rsid w:val="21513A1E"/>
    <w:rsid w:val="215C1E76"/>
    <w:rsid w:val="21723208"/>
    <w:rsid w:val="217A4C98"/>
    <w:rsid w:val="21802CB1"/>
    <w:rsid w:val="21871088"/>
    <w:rsid w:val="218B5EFC"/>
    <w:rsid w:val="219E1E53"/>
    <w:rsid w:val="21A45157"/>
    <w:rsid w:val="21A95E56"/>
    <w:rsid w:val="21B4683D"/>
    <w:rsid w:val="21CB024C"/>
    <w:rsid w:val="21DA57AC"/>
    <w:rsid w:val="21DE24BF"/>
    <w:rsid w:val="21DE514B"/>
    <w:rsid w:val="21EC34AE"/>
    <w:rsid w:val="2209072F"/>
    <w:rsid w:val="220B70D5"/>
    <w:rsid w:val="22136322"/>
    <w:rsid w:val="22147C14"/>
    <w:rsid w:val="22200466"/>
    <w:rsid w:val="223B07F0"/>
    <w:rsid w:val="223F25F8"/>
    <w:rsid w:val="224E68B2"/>
    <w:rsid w:val="22612C98"/>
    <w:rsid w:val="2266701C"/>
    <w:rsid w:val="228D6B72"/>
    <w:rsid w:val="229121BE"/>
    <w:rsid w:val="22993768"/>
    <w:rsid w:val="229A54FC"/>
    <w:rsid w:val="22AA2EE9"/>
    <w:rsid w:val="22C37093"/>
    <w:rsid w:val="22C65734"/>
    <w:rsid w:val="22CA3922"/>
    <w:rsid w:val="22D16A5E"/>
    <w:rsid w:val="22E37AEB"/>
    <w:rsid w:val="22F369D5"/>
    <w:rsid w:val="22FD3CF7"/>
    <w:rsid w:val="22FE5379"/>
    <w:rsid w:val="2306161F"/>
    <w:rsid w:val="230C1C9C"/>
    <w:rsid w:val="233174FD"/>
    <w:rsid w:val="23391097"/>
    <w:rsid w:val="233D0598"/>
    <w:rsid w:val="23411DEF"/>
    <w:rsid w:val="235C1B04"/>
    <w:rsid w:val="23684B03"/>
    <w:rsid w:val="237F3926"/>
    <w:rsid w:val="2380756E"/>
    <w:rsid w:val="23A01636"/>
    <w:rsid w:val="23B00D6A"/>
    <w:rsid w:val="23EA5C53"/>
    <w:rsid w:val="23ED1D10"/>
    <w:rsid w:val="23F67F1C"/>
    <w:rsid w:val="23FD7C8B"/>
    <w:rsid w:val="240510B5"/>
    <w:rsid w:val="241001A4"/>
    <w:rsid w:val="24170DE9"/>
    <w:rsid w:val="241C3E47"/>
    <w:rsid w:val="2428349D"/>
    <w:rsid w:val="242D7117"/>
    <w:rsid w:val="243A7B5D"/>
    <w:rsid w:val="244018DD"/>
    <w:rsid w:val="24476A9A"/>
    <w:rsid w:val="244F7702"/>
    <w:rsid w:val="24632D9F"/>
    <w:rsid w:val="246E0A04"/>
    <w:rsid w:val="246E4662"/>
    <w:rsid w:val="24840779"/>
    <w:rsid w:val="248F1CEA"/>
    <w:rsid w:val="249C4729"/>
    <w:rsid w:val="24A611CE"/>
    <w:rsid w:val="24CB3F41"/>
    <w:rsid w:val="24D02A2E"/>
    <w:rsid w:val="24E76A0D"/>
    <w:rsid w:val="24EB1A97"/>
    <w:rsid w:val="24F42EF7"/>
    <w:rsid w:val="255B2F57"/>
    <w:rsid w:val="25831FC1"/>
    <w:rsid w:val="259F204B"/>
    <w:rsid w:val="259F766B"/>
    <w:rsid w:val="25C06419"/>
    <w:rsid w:val="25D34A02"/>
    <w:rsid w:val="25DA0320"/>
    <w:rsid w:val="25E95EEA"/>
    <w:rsid w:val="25F86917"/>
    <w:rsid w:val="262C60A8"/>
    <w:rsid w:val="264659B5"/>
    <w:rsid w:val="264A7354"/>
    <w:rsid w:val="26650873"/>
    <w:rsid w:val="26726413"/>
    <w:rsid w:val="26862FFB"/>
    <w:rsid w:val="26962499"/>
    <w:rsid w:val="26A76547"/>
    <w:rsid w:val="26B6776F"/>
    <w:rsid w:val="26BD2EE9"/>
    <w:rsid w:val="26C43706"/>
    <w:rsid w:val="26D31EAA"/>
    <w:rsid w:val="26D46B1D"/>
    <w:rsid w:val="26D47413"/>
    <w:rsid w:val="26EA27E4"/>
    <w:rsid w:val="26FF4C0A"/>
    <w:rsid w:val="27050B0E"/>
    <w:rsid w:val="27091A5B"/>
    <w:rsid w:val="271C642E"/>
    <w:rsid w:val="271E57CD"/>
    <w:rsid w:val="27315561"/>
    <w:rsid w:val="27554102"/>
    <w:rsid w:val="27665A76"/>
    <w:rsid w:val="27764E75"/>
    <w:rsid w:val="277B1E25"/>
    <w:rsid w:val="27805598"/>
    <w:rsid w:val="27824DE4"/>
    <w:rsid w:val="27930F61"/>
    <w:rsid w:val="27995528"/>
    <w:rsid w:val="27A81D16"/>
    <w:rsid w:val="27AF198D"/>
    <w:rsid w:val="27B61A3F"/>
    <w:rsid w:val="27CB5845"/>
    <w:rsid w:val="27DB3EDB"/>
    <w:rsid w:val="27DC70E3"/>
    <w:rsid w:val="27DF39CB"/>
    <w:rsid w:val="27E45EEC"/>
    <w:rsid w:val="27E662B9"/>
    <w:rsid w:val="27EB2370"/>
    <w:rsid w:val="27FF059E"/>
    <w:rsid w:val="28113217"/>
    <w:rsid w:val="28164363"/>
    <w:rsid w:val="28164F13"/>
    <w:rsid w:val="282A7D9C"/>
    <w:rsid w:val="282E5558"/>
    <w:rsid w:val="2849353B"/>
    <w:rsid w:val="28520495"/>
    <w:rsid w:val="285F2D71"/>
    <w:rsid w:val="286B7B3F"/>
    <w:rsid w:val="28920A3E"/>
    <w:rsid w:val="28A349F9"/>
    <w:rsid w:val="28C72D7D"/>
    <w:rsid w:val="28C91405"/>
    <w:rsid w:val="28D01566"/>
    <w:rsid w:val="28D177B8"/>
    <w:rsid w:val="28E625BA"/>
    <w:rsid w:val="28E6715D"/>
    <w:rsid w:val="28E72859"/>
    <w:rsid w:val="28E809E7"/>
    <w:rsid w:val="28F65471"/>
    <w:rsid w:val="2905734F"/>
    <w:rsid w:val="290639B3"/>
    <w:rsid w:val="290A6837"/>
    <w:rsid w:val="290F1467"/>
    <w:rsid w:val="291B4ED7"/>
    <w:rsid w:val="29504CB3"/>
    <w:rsid w:val="295A11FE"/>
    <w:rsid w:val="297522D4"/>
    <w:rsid w:val="29865298"/>
    <w:rsid w:val="2987256D"/>
    <w:rsid w:val="29A16312"/>
    <w:rsid w:val="29A939C5"/>
    <w:rsid w:val="29AF561F"/>
    <w:rsid w:val="29BF1D06"/>
    <w:rsid w:val="29C0782D"/>
    <w:rsid w:val="29C33AE1"/>
    <w:rsid w:val="29CC7F7F"/>
    <w:rsid w:val="29CD1C30"/>
    <w:rsid w:val="29D46E34"/>
    <w:rsid w:val="29DB3600"/>
    <w:rsid w:val="29F119A6"/>
    <w:rsid w:val="29F23F88"/>
    <w:rsid w:val="2A000989"/>
    <w:rsid w:val="2A0239A1"/>
    <w:rsid w:val="2A061323"/>
    <w:rsid w:val="2A0C48B6"/>
    <w:rsid w:val="2A0D4225"/>
    <w:rsid w:val="2A0D66F1"/>
    <w:rsid w:val="2A104310"/>
    <w:rsid w:val="2A214783"/>
    <w:rsid w:val="2A755559"/>
    <w:rsid w:val="2AA35184"/>
    <w:rsid w:val="2AA66C89"/>
    <w:rsid w:val="2AA75DDE"/>
    <w:rsid w:val="2AAF43DA"/>
    <w:rsid w:val="2AB209CE"/>
    <w:rsid w:val="2AB27C77"/>
    <w:rsid w:val="2AC371AA"/>
    <w:rsid w:val="2AC944BF"/>
    <w:rsid w:val="2ADF76F6"/>
    <w:rsid w:val="2AE17ECE"/>
    <w:rsid w:val="2AF10F5C"/>
    <w:rsid w:val="2AF5107C"/>
    <w:rsid w:val="2AFA4534"/>
    <w:rsid w:val="2AFB4FC0"/>
    <w:rsid w:val="2B0810CB"/>
    <w:rsid w:val="2B200583"/>
    <w:rsid w:val="2B22047E"/>
    <w:rsid w:val="2B282A6A"/>
    <w:rsid w:val="2B3606AC"/>
    <w:rsid w:val="2B536BAA"/>
    <w:rsid w:val="2B773770"/>
    <w:rsid w:val="2B7D0830"/>
    <w:rsid w:val="2B870238"/>
    <w:rsid w:val="2B8A1EA0"/>
    <w:rsid w:val="2B9E2703"/>
    <w:rsid w:val="2B9F0C12"/>
    <w:rsid w:val="2BA54F2C"/>
    <w:rsid w:val="2BD3602D"/>
    <w:rsid w:val="2BDF043E"/>
    <w:rsid w:val="2BE041B6"/>
    <w:rsid w:val="2BFD7E6B"/>
    <w:rsid w:val="2C0C6D59"/>
    <w:rsid w:val="2C10217A"/>
    <w:rsid w:val="2C237961"/>
    <w:rsid w:val="2C2A5F65"/>
    <w:rsid w:val="2C4F3440"/>
    <w:rsid w:val="2C596E28"/>
    <w:rsid w:val="2C6072C9"/>
    <w:rsid w:val="2C676BEB"/>
    <w:rsid w:val="2C784CC9"/>
    <w:rsid w:val="2C873BB6"/>
    <w:rsid w:val="2C9237ED"/>
    <w:rsid w:val="2CBB0EF6"/>
    <w:rsid w:val="2CC00245"/>
    <w:rsid w:val="2CC43190"/>
    <w:rsid w:val="2CCA2BEB"/>
    <w:rsid w:val="2CD0422B"/>
    <w:rsid w:val="2CD44F61"/>
    <w:rsid w:val="2CE175DF"/>
    <w:rsid w:val="2CE355F1"/>
    <w:rsid w:val="2D3959EB"/>
    <w:rsid w:val="2D44291B"/>
    <w:rsid w:val="2D595ECD"/>
    <w:rsid w:val="2D7D113D"/>
    <w:rsid w:val="2DB11966"/>
    <w:rsid w:val="2DC31699"/>
    <w:rsid w:val="2DD375EA"/>
    <w:rsid w:val="2DF40180"/>
    <w:rsid w:val="2E132621"/>
    <w:rsid w:val="2E1C3595"/>
    <w:rsid w:val="2E271C28"/>
    <w:rsid w:val="2E485858"/>
    <w:rsid w:val="2E756E38"/>
    <w:rsid w:val="2E8C4CC1"/>
    <w:rsid w:val="2E8F2AC2"/>
    <w:rsid w:val="2E982B26"/>
    <w:rsid w:val="2ED33B5E"/>
    <w:rsid w:val="2ED60C76"/>
    <w:rsid w:val="2EE47B19"/>
    <w:rsid w:val="2EF811FF"/>
    <w:rsid w:val="2F20469E"/>
    <w:rsid w:val="2F222ACD"/>
    <w:rsid w:val="2F226DC0"/>
    <w:rsid w:val="2F2E5BD6"/>
    <w:rsid w:val="2F464330"/>
    <w:rsid w:val="2F492973"/>
    <w:rsid w:val="2F5577BC"/>
    <w:rsid w:val="2F5C36EE"/>
    <w:rsid w:val="2F862B4D"/>
    <w:rsid w:val="2FAD1D7F"/>
    <w:rsid w:val="2FBC62E2"/>
    <w:rsid w:val="2FC260AC"/>
    <w:rsid w:val="2FCE4DEE"/>
    <w:rsid w:val="2FD15E41"/>
    <w:rsid w:val="2FD41AB9"/>
    <w:rsid w:val="2FEE649B"/>
    <w:rsid w:val="30201308"/>
    <w:rsid w:val="302E5C02"/>
    <w:rsid w:val="303412EA"/>
    <w:rsid w:val="303A61C9"/>
    <w:rsid w:val="30463681"/>
    <w:rsid w:val="305263C5"/>
    <w:rsid w:val="306057C3"/>
    <w:rsid w:val="30750C3E"/>
    <w:rsid w:val="30775B99"/>
    <w:rsid w:val="307C7168"/>
    <w:rsid w:val="30817D16"/>
    <w:rsid w:val="308E458F"/>
    <w:rsid w:val="308F7BD1"/>
    <w:rsid w:val="30B61842"/>
    <w:rsid w:val="30C04A2E"/>
    <w:rsid w:val="30C950CF"/>
    <w:rsid w:val="30D233C3"/>
    <w:rsid w:val="30D36097"/>
    <w:rsid w:val="30D52BF8"/>
    <w:rsid w:val="30DF23E7"/>
    <w:rsid w:val="30EC5C5D"/>
    <w:rsid w:val="30F55219"/>
    <w:rsid w:val="30FE594E"/>
    <w:rsid w:val="31231C64"/>
    <w:rsid w:val="31264991"/>
    <w:rsid w:val="313A4F7D"/>
    <w:rsid w:val="315A0168"/>
    <w:rsid w:val="31734A49"/>
    <w:rsid w:val="317D428D"/>
    <w:rsid w:val="31853836"/>
    <w:rsid w:val="319121DA"/>
    <w:rsid w:val="31AD0696"/>
    <w:rsid w:val="31B56400"/>
    <w:rsid w:val="31BC2920"/>
    <w:rsid w:val="31C03801"/>
    <w:rsid w:val="31C679AA"/>
    <w:rsid w:val="31DF4F15"/>
    <w:rsid w:val="31EB11BF"/>
    <w:rsid w:val="31F035EA"/>
    <w:rsid w:val="31F0447F"/>
    <w:rsid w:val="32056724"/>
    <w:rsid w:val="320F79F7"/>
    <w:rsid w:val="321A26C3"/>
    <w:rsid w:val="323E0A57"/>
    <w:rsid w:val="32456B21"/>
    <w:rsid w:val="32470EE9"/>
    <w:rsid w:val="325B4596"/>
    <w:rsid w:val="32691281"/>
    <w:rsid w:val="32747227"/>
    <w:rsid w:val="32753ABA"/>
    <w:rsid w:val="32A045E4"/>
    <w:rsid w:val="32A72AD4"/>
    <w:rsid w:val="32B42696"/>
    <w:rsid w:val="32B95406"/>
    <w:rsid w:val="32D14858"/>
    <w:rsid w:val="32DA5FF7"/>
    <w:rsid w:val="32E2028A"/>
    <w:rsid w:val="32E25A8E"/>
    <w:rsid w:val="3322017F"/>
    <w:rsid w:val="332955BF"/>
    <w:rsid w:val="334068CC"/>
    <w:rsid w:val="33492641"/>
    <w:rsid w:val="334C6D82"/>
    <w:rsid w:val="33646BA7"/>
    <w:rsid w:val="33692733"/>
    <w:rsid w:val="337C614F"/>
    <w:rsid w:val="337F3EEB"/>
    <w:rsid w:val="338813BB"/>
    <w:rsid w:val="3389391D"/>
    <w:rsid w:val="33AA15CB"/>
    <w:rsid w:val="33C21BA8"/>
    <w:rsid w:val="33C75804"/>
    <w:rsid w:val="33CA3782"/>
    <w:rsid w:val="33FC5905"/>
    <w:rsid w:val="33FE78CF"/>
    <w:rsid w:val="34056568"/>
    <w:rsid w:val="341E3ACD"/>
    <w:rsid w:val="3421711A"/>
    <w:rsid w:val="34246E19"/>
    <w:rsid w:val="343339FE"/>
    <w:rsid w:val="346B54F2"/>
    <w:rsid w:val="34736A5C"/>
    <w:rsid w:val="3474056C"/>
    <w:rsid w:val="34784F8C"/>
    <w:rsid w:val="348A6B4C"/>
    <w:rsid w:val="34B64AA8"/>
    <w:rsid w:val="34B65AB4"/>
    <w:rsid w:val="34B77E31"/>
    <w:rsid w:val="34B9267C"/>
    <w:rsid w:val="34BC5C79"/>
    <w:rsid w:val="34C51A18"/>
    <w:rsid w:val="34D76DF0"/>
    <w:rsid w:val="34EE2D8D"/>
    <w:rsid w:val="34F44425"/>
    <w:rsid w:val="34FE0EF2"/>
    <w:rsid w:val="350D45FB"/>
    <w:rsid w:val="353648CD"/>
    <w:rsid w:val="355230B6"/>
    <w:rsid w:val="35527E07"/>
    <w:rsid w:val="356508B3"/>
    <w:rsid w:val="35656CD1"/>
    <w:rsid w:val="35962329"/>
    <w:rsid w:val="35995C6C"/>
    <w:rsid w:val="359B4418"/>
    <w:rsid w:val="35A21FFB"/>
    <w:rsid w:val="35A76236"/>
    <w:rsid w:val="35C67405"/>
    <w:rsid w:val="35CC7F77"/>
    <w:rsid w:val="35D02C1B"/>
    <w:rsid w:val="35E46651"/>
    <w:rsid w:val="35E825E5"/>
    <w:rsid w:val="35EE2F41"/>
    <w:rsid w:val="35FA0F21"/>
    <w:rsid w:val="36107168"/>
    <w:rsid w:val="36414640"/>
    <w:rsid w:val="3647070D"/>
    <w:rsid w:val="36541D46"/>
    <w:rsid w:val="366F23BE"/>
    <w:rsid w:val="367479D5"/>
    <w:rsid w:val="367A3CF7"/>
    <w:rsid w:val="36870626"/>
    <w:rsid w:val="36AC30B3"/>
    <w:rsid w:val="36BA0134"/>
    <w:rsid w:val="36BD312A"/>
    <w:rsid w:val="36D0359E"/>
    <w:rsid w:val="36E035B0"/>
    <w:rsid w:val="36E25286"/>
    <w:rsid w:val="36EE5988"/>
    <w:rsid w:val="36F42C06"/>
    <w:rsid w:val="36F565E3"/>
    <w:rsid w:val="37057643"/>
    <w:rsid w:val="37112AB9"/>
    <w:rsid w:val="371F2036"/>
    <w:rsid w:val="3730039B"/>
    <w:rsid w:val="37544D02"/>
    <w:rsid w:val="375603D5"/>
    <w:rsid w:val="375A4E1C"/>
    <w:rsid w:val="375D2B5F"/>
    <w:rsid w:val="375E7CC2"/>
    <w:rsid w:val="37873738"/>
    <w:rsid w:val="379C45EC"/>
    <w:rsid w:val="379E40DF"/>
    <w:rsid w:val="37A75B88"/>
    <w:rsid w:val="37CB5D1A"/>
    <w:rsid w:val="37D810B0"/>
    <w:rsid w:val="37DE77FC"/>
    <w:rsid w:val="37E023D0"/>
    <w:rsid w:val="37E65D9B"/>
    <w:rsid w:val="37EE28CD"/>
    <w:rsid w:val="38080D1C"/>
    <w:rsid w:val="3814146F"/>
    <w:rsid w:val="381B47A3"/>
    <w:rsid w:val="3820786B"/>
    <w:rsid w:val="38271F34"/>
    <w:rsid w:val="383340DB"/>
    <w:rsid w:val="384900E4"/>
    <w:rsid w:val="384A5E01"/>
    <w:rsid w:val="384F73BE"/>
    <w:rsid w:val="38543F62"/>
    <w:rsid w:val="385C2840"/>
    <w:rsid w:val="387365C9"/>
    <w:rsid w:val="38836937"/>
    <w:rsid w:val="38A1241F"/>
    <w:rsid w:val="38B62526"/>
    <w:rsid w:val="38BD364A"/>
    <w:rsid w:val="38C01ED4"/>
    <w:rsid w:val="38C32861"/>
    <w:rsid w:val="38EA047A"/>
    <w:rsid w:val="392D2DFA"/>
    <w:rsid w:val="3950297B"/>
    <w:rsid w:val="396C52DB"/>
    <w:rsid w:val="39700927"/>
    <w:rsid w:val="3975231E"/>
    <w:rsid w:val="397B2011"/>
    <w:rsid w:val="39987E7E"/>
    <w:rsid w:val="399E7F9B"/>
    <w:rsid w:val="39B14C14"/>
    <w:rsid w:val="39BB1DBE"/>
    <w:rsid w:val="39C25D4B"/>
    <w:rsid w:val="39CB3F82"/>
    <w:rsid w:val="39D24FAF"/>
    <w:rsid w:val="39DD6103"/>
    <w:rsid w:val="39F06245"/>
    <w:rsid w:val="3A036621"/>
    <w:rsid w:val="3A06303A"/>
    <w:rsid w:val="3A104AA6"/>
    <w:rsid w:val="3A15755D"/>
    <w:rsid w:val="3A3307D1"/>
    <w:rsid w:val="3A37590B"/>
    <w:rsid w:val="3A3867DC"/>
    <w:rsid w:val="3A465B2C"/>
    <w:rsid w:val="3A4A69EC"/>
    <w:rsid w:val="3A6366DE"/>
    <w:rsid w:val="3A6A35F5"/>
    <w:rsid w:val="3A755AAC"/>
    <w:rsid w:val="3A816B64"/>
    <w:rsid w:val="3A840611"/>
    <w:rsid w:val="3A8605F9"/>
    <w:rsid w:val="3A8E179F"/>
    <w:rsid w:val="3A936BF0"/>
    <w:rsid w:val="3A956C3F"/>
    <w:rsid w:val="3AB266A6"/>
    <w:rsid w:val="3AD01CD8"/>
    <w:rsid w:val="3AD849D6"/>
    <w:rsid w:val="3ADC221B"/>
    <w:rsid w:val="3AE90147"/>
    <w:rsid w:val="3AFF2A8F"/>
    <w:rsid w:val="3B0003ED"/>
    <w:rsid w:val="3B057795"/>
    <w:rsid w:val="3B0F5F10"/>
    <w:rsid w:val="3B1E7458"/>
    <w:rsid w:val="3B1F3ECA"/>
    <w:rsid w:val="3B2003A1"/>
    <w:rsid w:val="3B245E6D"/>
    <w:rsid w:val="3B337E5E"/>
    <w:rsid w:val="3B447FEC"/>
    <w:rsid w:val="3B7D7184"/>
    <w:rsid w:val="3B824942"/>
    <w:rsid w:val="3BAE6E99"/>
    <w:rsid w:val="3BB2142F"/>
    <w:rsid w:val="3BB27DBE"/>
    <w:rsid w:val="3BB7551B"/>
    <w:rsid w:val="3BC0692E"/>
    <w:rsid w:val="3BE005AE"/>
    <w:rsid w:val="3BF57B4E"/>
    <w:rsid w:val="3BFB3D78"/>
    <w:rsid w:val="3C2D2B00"/>
    <w:rsid w:val="3C333E8E"/>
    <w:rsid w:val="3C3C0057"/>
    <w:rsid w:val="3C593CB6"/>
    <w:rsid w:val="3C5A1E59"/>
    <w:rsid w:val="3C616142"/>
    <w:rsid w:val="3C71156A"/>
    <w:rsid w:val="3C731C3F"/>
    <w:rsid w:val="3C83693B"/>
    <w:rsid w:val="3C8C360C"/>
    <w:rsid w:val="3CA13613"/>
    <w:rsid w:val="3CA23D82"/>
    <w:rsid w:val="3CA9440F"/>
    <w:rsid w:val="3CB054DF"/>
    <w:rsid w:val="3CB10DF0"/>
    <w:rsid w:val="3CB63D9B"/>
    <w:rsid w:val="3CB7061B"/>
    <w:rsid w:val="3CC0565A"/>
    <w:rsid w:val="3CC22028"/>
    <w:rsid w:val="3CC2593E"/>
    <w:rsid w:val="3CCF3FB6"/>
    <w:rsid w:val="3CD00108"/>
    <w:rsid w:val="3CD2783E"/>
    <w:rsid w:val="3CD63197"/>
    <w:rsid w:val="3CE64A58"/>
    <w:rsid w:val="3CFE7CBA"/>
    <w:rsid w:val="3D051E15"/>
    <w:rsid w:val="3D0F0457"/>
    <w:rsid w:val="3D1A4C23"/>
    <w:rsid w:val="3D211F38"/>
    <w:rsid w:val="3D262431"/>
    <w:rsid w:val="3D332764"/>
    <w:rsid w:val="3D390EF4"/>
    <w:rsid w:val="3D510A70"/>
    <w:rsid w:val="3D7D1865"/>
    <w:rsid w:val="3D873653"/>
    <w:rsid w:val="3D8A068A"/>
    <w:rsid w:val="3D93277C"/>
    <w:rsid w:val="3D986E46"/>
    <w:rsid w:val="3DA212CB"/>
    <w:rsid w:val="3DB37034"/>
    <w:rsid w:val="3DB96F28"/>
    <w:rsid w:val="3DBF3C2B"/>
    <w:rsid w:val="3DDF7E2A"/>
    <w:rsid w:val="3DFB591B"/>
    <w:rsid w:val="3DFB699E"/>
    <w:rsid w:val="3E075C5D"/>
    <w:rsid w:val="3E233537"/>
    <w:rsid w:val="3E2448D3"/>
    <w:rsid w:val="3E2D65EC"/>
    <w:rsid w:val="3E66054B"/>
    <w:rsid w:val="3E7362D6"/>
    <w:rsid w:val="3E746047"/>
    <w:rsid w:val="3E851917"/>
    <w:rsid w:val="3E87795B"/>
    <w:rsid w:val="3E8D214A"/>
    <w:rsid w:val="3E9F580B"/>
    <w:rsid w:val="3ECA6D2C"/>
    <w:rsid w:val="3ECC09EB"/>
    <w:rsid w:val="3EE8468D"/>
    <w:rsid w:val="3EF15AFC"/>
    <w:rsid w:val="3F0552C5"/>
    <w:rsid w:val="3F19736B"/>
    <w:rsid w:val="3F283A52"/>
    <w:rsid w:val="3F367F1D"/>
    <w:rsid w:val="3F3E6DD2"/>
    <w:rsid w:val="3F446ADE"/>
    <w:rsid w:val="3F474A0F"/>
    <w:rsid w:val="3F485EA2"/>
    <w:rsid w:val="3F4D31D0"/>
    <w:rsid w:val="3F5555D5"/>
    <w:rsid w:val="3F57651A"/>
    <w:rsid w:val="3F826A32"/>
    <w:rsid w:val="3F9E234A"/>
    <w:rsid w:val="3FA4757D"/>
    <w:rsid w:val="3FA6339D"/>
    <w:rsid w:val="3FB53538"/>
    <w:rsid w:val="3FB85D52"/>
    <w:rsid w:val="3FB91DE2"/>
    <w:rsid w:val="3FC411F2"/>
    <w:rsid w:val="3FD53F2D"/>
    <w:rsid w:val="3FD878CA"/>
    <w:rsid w:val="3FEF3BC5"/>
    <w:rsid w:val="3FF87876"/>
    <w:rsid w:val="401D732F"/>
    <w:rsid w:val="402661E4"/>
    <w:rsid w:val="403146F2"/>
    <w:rsid w:val="40330A27"/>
    <w:rsid w:val="40354679"/>
    <w:rsid w:val="403B1351"/>
    <w:rsid w:val="405839EC"/>
    <w:rsid w:val="4059552F"/>
    <w:rsid w:val="406867FC"/>
    <w:rsid w:val="407E15B5"/>
    <w:rsid w:val="40905D53"/>
    <w:rsid w:val="40AB733B"/>
    <w:rsid w:val="40AD0EDE"/>
    <w:rsid w:val="40AF442B"/>
    <w:rsid w:val="40CB1663"/>
    <w:rsid w:val="40D47CAF"/>
    <w:rsid w:val="40DB36CC"/>
    <w:rsid w:val="40DC68A2"/>
    <w:rsid w:val="40DF083D"/>
    <w:rsid w:val="40E62552"/>
    <w:rsid w:val="40F462E2"/>
    <w:rsid w:val="40F96D46"/>
    <w:rsid w:val="410E2997"/>
    <w:rsid w:val="412928FB"/>
    <w:rsid w:val="41292C1C"/>
    <w:rsid w:val="412F731A"/>
    <w:rsid w:val="41635215"/>
    <w:rsid w:val="41717599"/>
    <w:rsid w:val="417C5514"/>
    <w:rsid w:val="41807AC5"/>
    <w:rsid w:val="41900189"/>
    <w:rsid w:val="419F6380"/>
    <w:rsid w:val="41C7743F"/>
    <w:rsid w:val="41CA0DF1"/>
    <w:rsid w:val="41CE08E1"/>
    <w:rsid w:val="41CE6B33"/>
    <w:rsid w:val="41D92A7A"/>
    <w:rsid w:val="41EB6676"/>
    <w:rsid w:val="42060576"/>
    <w:rsid w:val="42084152"/>
    <w:rsid w:val="42176CFE"/>
    <w:rsid w:val="4224353A"/>
    <w:rsid w:val="423229B8"/>
    <w:rsid w:val="423A171C"/>
    <w:rsid w:val="425429EA"/>
    <w:rsid w:val="425608D6"/>
    <w:rsid w:val="42725710"/>
    <w:rsid w:val="427E2EEA"/>
    <w:rsid w:val="429116AF"/>
    <w:rsid w:val="42A84942"/>
    <w:rsid w:val="42AB6E74"/>
    <w:rsid w:val="42C41CE4"/>
    <w:rsid w:val="42FC1EB6"/>
    <w:rsid w:val="43020B7B"/>
    <w:rsid w:val="430E7F14"/>
    <w:rsid w:val="43217E93"/>
    <w:rsid w:val="43286A5A"/>
    <w:rsid w:val="43560B8E"/>
    <w:rsid w:val="43727992"/>
    <w:rsid w:val="4374370A"/>
    <w:rsid w:val="43775F90"/>
    <w:rsid w:val="43911BC6"/>
    <w:rsid w:val="43997D14"/>
    <w:rsid w:val="439E79D4"/>
    <w:rsid w:val="43B6628E"/>
    <w:rsid w:val="43C125F9"/>
    <w:rsid w:val="43CD38AD"/>
    <w:rsid w:val="43D40B48"/>
    <w:rsid w:val="43D61CCF"/>
    <w:rsid w:val="43DD7AE2"/>
    <w:rsid w:val="43EA2B7B"/>
    <w:rsid w:val="43F565F9"/>
    <w:rsid w:val="43FD02A4"/>
    <w:rsid w:val="44071E88"/>
    <w:rsid w:val="44110F59"/>
    <w:rsid w:val="441D5B50"/>
    <w:rsid w:val="44234039"/>
    <w:rsid w:val="442C18EF"/>
    <w:rsid w:val="442E1112"/>
    <w:rsid w:val="442F3F94"/>
    <w:rsid w:val="44394FA8"/>
    <w:rsid w:val="44410523"/>
    <w:rsid w:val="44587568"/>
    <w:rsid w:val="446C618F"/>
    <w:rsid w:val="44784B34"/>
    <w:rsid w:val="448009AF"/>
    <w:rsid w:val="448028C4"/>
    <w:rsid w:val="448E7634"/>
    <w:rsid w:val="44924B44"/>
    <w:rsid w:val="449A42C4"/>
    <w:rsid w:val="44A030AA"/>
    <w:rsid w:val="44A5472E"/>
    <w:rsid w:val="44AD7264"/>
    <w:rsid w:val="44BA618E"/>
    <w:rsid w:val="44CA1F84"/>
    <w:rsid w:val="44CE29A6"/>
    <w:rsid w:val="44D10724"/>
    <w:rsid w:val="44E968C2"/>
    <w:rsid w:val="44FC5765"/>
    <w:rsid w:val="45097E82"/>
    <w:rsid w:val="451257DE"/>
    <w:rsid w:val="45482010"/>
    <w:rsid w:val="454A2974"/>
    <w:rsid w:val="45554E75"/>
    <w:rsid w:val="456D3F9A"/>
    <w:rsid w:val="45806396"/>
    <w:rsid w:val="458069FE"/>
    <w:rsid w:val="45863281"/>
    <w:rsid w:val="459028EC"/>
    <w:rsid w:val="45AE47EA"/>
    <w:rsid w:val="45BE7630"/>
    <w:rsid w:val="45DB03AB"/>
    <w:rsid w:val="45EF1B62"/>
    <w:rsid w:val="45F20916"/>
    <w:rsid w:val="45F72B5A"/>
    <w:rsid w:val="45F91CA4"/>
    <w:rsid w:val="45FD127F"/>
    <w:rsid w:val="460D4EC0"/>
    <w:rsid w:val="461B7694"/>
    <w:rsid w:val="46256A94"/>
    <w:rsid w:val="462D7B07"/>
    <w:rsid w:val="462F56C6"/>
    <w:rsid w:val="46357180"/>
    <w:rsid w:val="464B2CD3"/>
    <w:rsid w:val="46507553"/>
    <w:rsid w:val="465C7207"/>
    <w:rsid w:val="465E7D59"/>
    <w:rsid w:val="46603AD2"/>
    <w:rsid w:val="4683682A"/>
    <w:rsid w:val="46B0764D"/>
    <w:rsid w:val="46DD5457"/>
    <w:rsid w:val="46E52EB6"/>
    <w:rsid w:val="46F21DFF"/>
    <w:rsid w:val="470001C6"/>
    <w:rsid w:val="470F0F36"/>
    <w:rsid w:val="471179F3"/>
    <w:rsid w:val="471843AC"/>
    <w:rsid w:val="47273CD2"/>
    <w:rsid w:val="473A25FA"/>
    <w:rsid w:val="473C7B6E"/>
    <w:rsid w:val="473E689A"/>
    <w:rsid w:val="474C4109"/>
    <w:rsid w:val="474F4272"/>
    <w:rsid w:val="47501D98"/>
    <w:rsid w:val="47732DC9"/>
    <w:rsid w:val="477744D2"/>
    <w:rsid w:val="47985E6A"/>
    <w:rsid w:val="47B37D6A"/>
    <w:rsid w:val="47B83813"/>
    <w:rsid w:val="47C25F84"/>
    <w:rsid w:val="47C626DD"/>
    <w:rsid w:val="47C962F6"/>
    <w:rsid w:val="47D87938"/>
    <w:rsid w:val="4804356D"/>
    <w:rsid w:val="480A4498"/>
    <w:rsid w:val="480C5037"/>
    <w:rsid w:val="48272AF9"/>
    <w:rsid w:val="4828053B"/>
    <w:rsid w:val="483D056E"/>
    <w:rsid w:val="484E277B"/>
    <w:rsid w:val="48573151"/>
    <w:rsid w:val="48743963"/>
    <w:rsid w:val="48770B0E"/>
    <w:rsid w:val="488F3D80"/>
    <w:rsid w:val="48A64365"/>
    <w:rsid w:val="48A81E24"/>
    <w:rsid w:val="48AD702B"/>
    <w:rsid w:val="48FF5FCC"/>
    <w:rsid w:val="49172B6D"/>
    <w:rsid w:val="49182A11"/>
    <w:rsid w:val="493457F5"/>
    <w:rsid w:val="495F6164"/>
    <w:rsid w:val="49634005"/>
    <w:rsid w:val="496C712A"/>
    <w:rsid w:val="4972249A"/>
    <w:rsid w:val="49875631"/>
    <w:rsid w:val="498B5309"/>
    <w:rsid w:val="49975A5C"/>
    <w:rsid w:val="499E503D"/>
    <w:rsid w:val="49A1129B"/>
    <w:rsid w:val="49AD1724"/>
    <w:rsid w:val="49C03205"/>
    <w:rsid w:val="49C95673"/>
    <w:rsid w:val="49D71453"/>
    <w:rsid w:val="49E7484D"/>
    <w:rsid w:val="4A161077"/>
    <w:rsid w:val="4A17094B"/>
    <w:rsid w:val="4A281A89"/>
    <w:rsid w:val="4A3C720C"/>
    <w:rsid w:val="4A3E7858"/>
    <w:rsid w:val="4A431740"/>
    <w:rsid w:val="4A4D25BF"/>
    <w:rsid w:val="4A5825F7"/>
    <w:rsid w:val="4A590B85"/>
    <w:rsid w:val="4A6218ED"/>
    <w:rsid w:val="4A6F4C2B"/>
    <w:rsid w:val="4A747F49"/>
    <w:rsid w:val="4A8204BA"/>
    <w:rsid w:val="4A8C1339"/>
    <w:rsid w:val="4AA67F9D"/>
    <w:rsid w:val="4AB80380"/>
    <w:rsid w:val="4AC2658C"/>
    <w:rsid w:val="4B0B04B0"/>
    <w:rsid w:val="4B1112FF"/>
    <w:rsid w:val="4B3521B9"/>
    <w:rsid w:val="4B466343"/>
    <w:rsid w:val="4B490AA9"/>
    <w:rsid w:val="4B4B4D50"/>
    <w:rsid w:val="4B691CF1"/>
    <w:rsid w:val="4B7B23AB"/>
    <w:rsid w:val="4B971D44"/>
    <w:rsid w:val="4B9A5A9B"/>
    <w:rsid w:val="4B9F5338"/>
    <w:rsid w:val="4BAF6F0E"/>
    <w:rsid w:val="4BC47D6E"/>
    <w:rsid w:val="4BCD1C09"/>
    <w:rsid w:val="4BD55D4D"/>
    <w:rsid w:val="4BDF7405"/>
    <w:rsid w:val="4BE968CD"/>
    <w:rsid w:val="4C154998"/>
    <w:rsid w:val="4C207F8B"/>
    <w:rsid w:val="4C2A574A"/>
    <w:rsid w:val="4C2F5E95"/>
    <w:rsid w:val="4C612351"/>
    <w:rsid w:val="4C621307"/>
    <w:rsid w:val="4C832B30"/>
    <w:rsid w:val="4C882D15"/>
    <w:rsid w:val="4C8A2384"/>
    <w:rsid w:val="4C8B3928"/>
    <w:rsid w:val="4C8C73CE"/>
    <w:rsid w:val="4C977C31"/>
    <w:rsid w:val="4CA3099D"/>
    <w:rsid w:val="4CB93F3C"/>
    <w:rsid w:val="4CD46FC7"/>
    <w:rsid w:val="4CD55219"/>
    <w:rsid w:val="4CF904B8"/>
    <w:rsid w:val="4CFB6302"/>
    <w:rsid w:val="4D0515BA"/>
    <w:rsid w:val="4D2B308B"/>
    <w:rsid w:val="4D596FC1"/>
    <w:rsid w:val="4D5B6DA0"/>
    <w:rsid w:val="4D666B1E"/>
    <w:rsid w:val="4D67738B"/>
    <w:rsid w:val="4DA846DC"/>
    <w:rsid w:val="4DB32607"/>
    <w:rsid w:val="4DB35361"/>
    <w:rsid w:val="4DC64B62"/>
    <w:rsid w:val="4DE4148C"/>
    <w:rsid w:val="4E037B64"/>
    <w:rsid w:val="4E08055C"/>
    <w:rsid w:val="4E1306D8"/>
    <w:rsid w:val="4E1C0F9A"/>
    <w:rsid w:val="4E1D1085"/>
    <w:rsid w:val="4E2131E3"/>
    <w:rsid w:val="4E2E267E"/>
    <w:rsid w:val="4E3046D1"/>
    <w:rsid w:val="4E3441C2"/>
    <w:rsid w:val="4E49009D"/>
    <w:rsid w:val="4E4F4932"/>
    <w:rsid w:val="4E695FC7"/>
    <w:rsid w:val="4E8D5680"/>
    <w:rsid w:val="4E946A0E"/>
    <w:rsid w:val="4E9F491C"/>
    <w:rsid w:val="4EBD056C"/>
    <w:rsid w:val="4EC14F8F"/>
    <w:rsid w:val="4EC92B5C"/>
    <w:rsid w:val="4EE20553"/>
    <w:rsid w:val="4EE32F66"/>
    <w:rsid w:val="4EF86F9D"/>
    <w:rsid w:val="4EFE032C"/>
    <w:rsid w:val="4F073901"/>
    <w:rsid w:val="4F16408C"/>
    <w:rsid w:val="4F196F13"/>
    <w:rsid w:val="4F4426D6"/>
    <w:rsid w:val="4F4E4647"/>
    <w:rsid w:val="4F523D3A"/>
    <w:rsid w:val="4F560168"/>
    <w:rsid w:val="4F672375"/>
    <w:rsid w:val="4F6D3C13"/>
    <w:rsid w:val="4F8D5D1F"/>
    <w:rsid w:val="4FA75F54"/>
    <w:rsid w:val="4FA9473B"/>
    <w:rsid w:val="4FAB1174"/>
    <w:rsid w:val="4FD50C0F"/>
    <w:rsid w:val="5003644E"/>
    <w:rsid w:val="50175917"/>
    <w:rsid w:val="50292C55"/>
    <w:rsid w:val="50401E9C"/>
    <w:rsid w:val="50484D17"/>
    <w:rsid w:val="504A5312"/>
    <w:rsid w:val="505C7A00"/>
    <w:rsid w:val="506A549A"/>
    <w:rsid w:val="506F561E"/>
    <w:rsid w:val="507C59AC"/>
    <w:rsid w:val="508036EE"/>
    <w:rsid w:val="50B96C00"/>
    <w:rsid w:val="50D37CC2"/>
    <w:rsid w:val="50D9663E"/>
    <w:rsid w:val="50DC4E4F"/>
    <w:rsid w:val="50DE0415"/>
    <w:rsid w:val="51002139"/>
    <w:rsid w:val="510559A1"/>
    <w:rsid w:val="511A7763"/>
    <w:rsid w:val="512119E5"/>
    <w:rsid w:val="512F2A1E"/>
    <w:rsid w:val="51511D0D"/>
    <w:rsid w:val="51644DBE"/>
    <w:rsid w:val="516923D4"/>
    <w:rsid w:val="518A5394"/>
    <w:rsid w:val="51900792"/>
    <w:rsid w:val="519C6CA7"/>
    <w:rsid w:val="51A96C75"/>
    <w:rsid w:val="51D91265"/>
    <w:rsid w:val="51DA76E8"/>
    <w:rsid w:val="51F74E7A"/>
    <w:rsid w:val="5207032B"/>
    <w:rsid w:val="520922B1"/>
    <w:rsid w:val="520E4CE3"/>
    <w:rsid w:val="521A1920"/>
    <w:rsid w:val="524F15CA"/>
    <w:rsid w:val="526112FD"/>
    <w:rsid w:val="526248E0"/>
    <w:rsid w:val="5267030E"/>
    <w:rsid w:val="52854D33"/>
    <w:rsid w:val="52AF02BB"/>
    <w:rsid w:val="52B256B5"/>
    <w:rsid w:val="52B32207"/>
    <w:rsid w:val="52BA464A"/>
    <w:rsid w:val="52CA62C5"/>
    <w:rsid w:val="52E26C4F"/>
    <w:rsid w:val="52F10254"/>
    <w:rsid w:val="52F67BBC"/>
    <w:rsid w:val="53096FE2"/>
    <w:rsid w:val="531D3476"/>
    <w:rsid w:val="534D1596"/>
    <w:rsid w:val="535D7D17"/>
    <w:rsid w:val="53654E1D"/>
    <w:rsid w:val="536746F1"/>
    <w:rsid w:val="53690258"/>
    <w:rsid w:val="5369461B"/>
    <w:rsid w:val="538C4158"/>
    <w:rsid w:val="538E7ED0"/>
    <w:rsid w:val="539465E3"/>
    <w:rsid w:val="53B00F8F"/>
    <w:rsid w:val="53B120BE"/>
    <w:rsid w:val="53BF39E1"/>
    <w:rsid w:val="53E72C60"/>
    <w:rsid w:val="53E95DB1"/>
    <w:rsid w:val="53E977FC"/>
    <w:rsid w:val="53F853CD"/>
    <w:rsid w:val="5415414D"/>
    <w:rsid w:val="541B6DA9"/>
    <w:rsid w:val="542A23AF"/>
    <w:rsid w:val="54322D3A"/>
    <w:rsid w:val="54385F57"/>
    <w:rsid w:val="5452279B"/>
    <w:rsid w:val="54554E92"/>
    <w:rsid w:val="545C1D7C"/>
    <w:rsid w:val="54617393"/>
    <w:rsid w:val="54630471"/>
    <w:rsid w:val="547030C2"/>
    <w:rsid w:val="54736B0A"/>
    <w:rsid w:val="547B4175"/>
    <w:rsid w:val="548509EE"/>
    <w:rsid w:val="54A47C87"/>
    <w:rsid w:val="54A656ED"/>
    <w:rsid w:val="54B17E75"/>
    <w:rsid w:val="54D8352B"/>
    <w:rsid w:val="54DE4E87"/>
    <w:rsid w:val="54FA0062"/>
    <w:rsid w:val="55064E2E"/>
    <w:rsid w:val="551C2A2B"/>
    <w:rsid w:val="553E54AB"/>
    <w:rsid w:val="555962BC"/>
    <w:rsid w:val="558D4BF8"/>
    <w:rsid w:val="55943798"/>
    <w:rsid w:val="559E63C4"/>
    <w:rsid w:val="55B31E70"/>
    <w:rsid w:val="55B64781"/>
    <w:rsid w:val="55E94242"/>
    <w:rsid w:val="55F3226C"/>
    <w:rsid w:val="55F34962"/>
    <w:rsid w:val="55FB73A4"/>
    <w:rsid w:val="55FF3307"/>
    <w:rsid w:val="55FF6A41"/>
    <w:rsid w:val="560A68F0"/>
    <w:rsid w:val="561608B9"/>
    <w:rsid w:val="56183700"/>
    <w:rsid w:val="561843C9"/>
    <w:rsid w:val="5637484F"/>
    <w:rsid w:val="56533498"/>
    <w:rsid w:val="566C6DD6"/>
    <w:rsid w:val="56723A9B"/>
    <w:rsid w:val="568D26C1"/>
    <w:rsid w:val="56952421"/>
    <w:rsid w:val="569B14DB"/>
    <w:rsid w:val="56A90805"/>
    <w:rsid w:val="56B82AB9"/>
    <w:rsid w:val="56BC4D54"/>
    <w:rsid w:val="56BD287A"/>
    <w:rsid w:val="56E32228"/>
    <w:rsid w:val="56EB388B"/>
    <w:rsid w:val="56F544BC"/>
    <w:rsid w:val="56F95FA8"/>
    <w:rsid w:val="57050DEA"/>
    <w:rsid w:val="57093508"/>
    <w:rsid w:val="57196E28"/>
    <w:rsid w:val="571D7BA4"/>
    <w:rsid w:val="57220D17"/>
    <w:rsid w:val="573E1C0D"/>
    <w:rsid w:val="573E7E5F"/>
    <w:rsid w:val="57441692"/>
    <w:rsid w:val="57525A8B"/>
    <w:rsid w:val="575320A7"/>
    <w:rsid w:val="5794182D"/>
    <w:rsid w:val="579441E3"/>
    <w:rsid w:val="57A077DA"/>
    <w:rsid w:val="57A8201B"/>
    <w:rsid w:val="57AE1FAA"/>
    <w:rsid w:val="57BE1051"/>
    <w:rsid w:val="57C82477"/>
    <w:rsid w:val="57F4051E"/>
    <w:rsid w:val="58065672"/>
    <w:rsid w:val="5814473B"/>
    <w:rsid w:val="581A2B32"/>
    <w:rsid w:val="581F559B"/>
    <w:rsid w:val="583A2D37"/>
    <w:rsid w:val="58416541"/>
    <w:rsid w:val="58443253"/>
    <w:rsid w:val="584F5F0B"/>
    <w:rsid w:val="5869538F"/>
    <w:rsid w:val="58767185"/>
    <w:rsid w:val="58906498"/>
    <w:rsid w:val="58920462"/>
    <w:rsid w:val="589A4DA0"/>
    <w:rsid w:val="58A66BC7"/>
    <w:rsid w:val="58BC103B"/>
    <w:rsid w:val="58CE0D6F"/>
    <w:rsid w:val="58DA3BB7"/>
    <w:rsid w:val="58ED7447"/>
    <w:rsid w:val="59061610"/>
    <w:rsid w:val="59082B28"/>
    <w:rsid w:val="590E560F"/>
    <w:rsid w:val="591556F3"/>
    <w:rsid w:val="593B4656"/>
    <w:rsid w:val="59505A7A"/>
    <w:rsid w:val="59523BBD"/>
    <w:rsid w:val="59796F2C"/>
    <w:rsid w:val="597E09E7"/>
    <w:rsid w:val="59924DE9"/>
    <w:rsid w:val="59957B26"/>
    <w:rsid w:val="5999137D"/>
    <w:rsid w:val="59E36A9C"/>
    <w:rsid w:val="59E952F1"/>
    <w:rsid w:val="59FB0929"/>
    <w:rsid w:val="59FF38D6"/>
    <w:rsid w:val="5A0B6739"/>
    <w:rsid w:val="5A221372"/>
    <w:rsid w:val="5A240E3D"/>
    <w:rsid w:val="5A272E2C"/>
    <w:rsid w:val="5A3B0686"/>
    <w:rsid w:val="5A3D1FB2"/>
    <w:rsid w:val="5A42282A"/>
    <w:rsid w:val="5A517EA9"/>
    <w:rsid w:val="5A673229"/>
    <w:rsid w:val="5A8272AA"/>
    <w:rsid w:val="5AB67D0C"/>
    <w:rsid w:val="5AD308BE"/>
    <w:rsid w:val="5AD67640"/>
    <w:rsid w:val="5AEC027A"/>
    <w:rsid w:val="5AEC4BD6"/>
    <w:rsid w:val="5AF4709E"/>
    <w:rsid w:val="5B0D744A"/>
    <w:rsid w:val="5B1310D9"/>
    <w:rsid w:val="5B2639E2"/>
    <w:rsid w:val="5B4E700F"/>
    <w:rsid w:val="5B7B245B"/>
    <w:rsid w:val="5B8D4C84"/>
    <w:rsid w:val="5BAB0BE2"/>
    <w:rsid w:val="5BB56ECC"/>
    <w:rsid w:val="5BD112A2"/>
    <w:rsid w:val="5BD668B8"/>
    <w:rsid w:val="5BD95DE5"/>
    <w:rsid w:val="5BDE1204"/>
    <w:rsid w:val="5BE54D4D"/>
    <w:rsid w:val="5C01571F"/>
    <w:rsid w:val="5C091834"/>
    <w:rsid w:val="5C1B17C5"/>
    <w:rsid w:val="5C1B4635"/>
    <w:rsid w:val="5C227E33"/>
    <w:rsid w:val="5C3B118A"/>
    <w:rsid w:val="5C3E5E81"/>
    <w:rsid w:val="5C4001D5"/>
    <w:rsid w:val="5C480E38"/>
    <w:rsid w:val="5C514191"/>
    <w:rsid w:val="5C5B0909"/>
    <w:rsid w:val="5C5F7B02"/>
    <w:rsid w:val="5C7560D1"/>
    <w:rsid w:val="5C7A3F0B"/>
    <w:rsid w:val="5C8004BE"/>
    <w:rsid w:val="5C875E04"/>
    <w:rsid w:val="5CAB379D"/>
    <w:rsid w:val="5CC226FE"/>
    <w:rsid w:val="5CC60084"/>
    <w:rsid w:val="5CCE6B97"/>
    <w:rsid w:val="5CFC6B1B"/>
    <w:rsid w:val="5D0B253C"/>
    <w:rsid w:val="5D1458EA"/>
    <w:rsid w:val="5D224252"/>
    <w:rsid w:val="5D250CD4"/>
    <w:rsid w:val="5D276C9F"/>
    <w:rsid w:val="5D355860"/>
    <w:rsid w:val="5D377843"/>
    <w:rsid w:val="5D43603B"/>
    <w:rsid w:val="5D6D0B56"/>
    <w:rsid w:val="5D746F0D"/>
    <w:rsid w:val="5DAD084A"/>
    <w:rsid w:val="5DC6458D"/>
    <w:rsid w:val="5DC72AC5"/>
    <w:rsid w:val="5DCB1D21"/>
    <w:rsid w:val="5DDC5CDC"/>
    <w:rsid w:val="5E08087F"/>
    <w:rsid w:val="5E082F75"/>
    <w:rsid w:val="5E1E79FB"/>
    <w:rsid w:val="5E224037"/>
    <w:rsid w:val="5E2424F1"/>
    <w:rsid w:val="5E312C8D"/>
    <w:rsid w:val="5E3D389E"/>
    <w:rsid w:val="5E4A0E97"/>
    <w:rsid w:val="5E622685"/>
    <w:rsid w:val="5E742D65"/>
    <w:rsid w:val="5E7670AA"/>
    <w:rsid w:val="5E7A79CF"/>
    <w:rsid w:val="5E8545C5"/>
    <w:rsid w:val="5E8C78A1"/>
    <w:rsid w:val="5E8D7804"/>
    <w:rsid w:val="5E9E7E3D"/>
    <w:rsid w:val="5E9F11E3"/>
    <w:rsid w:val="5EAD2244"/>
    <w:rsid w:val="5ECC361A"/>
    <w:rsid w:val="5ED2780B"/>
    <w:rsid w:val="5EFA28BD"/>
    <w:rsid w:val="5F092B01"/>
    <w:rsid w:val="5F1B113F"/>
    <w:rsid w:val="5F40136E"/>
    <w:rsid w:val="5F4104EC"/>
    <w:rsid w:val="5F6F3D89"/>
    <w:rsid w:val="5F7A1C50"/>
    <w:rsid w:val="5F812FF5"/>
    <w:rsid w:val="5F864151"/>
    <w:rsid w:val="5F900C8B"/>
    <w:rsid w:val="5F9A62ED"/>
    <w:rsid w:val="5FAB2661"/>
    <w:rsid w:val="5FC1162D"/>
    <w:rsid w:val="5FD90725"/>
    <w:rsid w:val="5FE9671A"/>
    <w:rsid w:val="5FEE1AF0"/>
    <w:rsid w:val="5FFB1229"/>
    <w:rsid w:val="6005151A"/>
    <w:rsid w:val="60054C6C"/>
    <w:rsid w:val="60104DCE"/>
    <w:rsid w:val="60107EBF"/>
    <w:rsid w:val="60395519"/>
    <w:rsid w:val="60471B32"/>
    <w:rsid w:val="605032F6"/>
    <w:rsid w:val="60604155"/>
    <w:rsid w:val="60614F66"/>
    <w:rsid w:val="6063305B"/>
    <w:rsid w:val="60694C9E"/>
    <w:rsid w:val="60904E92"/>
    <w:rsid w:val="60940AF0"/>
    <w:rsid w:val="60997EB4"/>
    <w:rsid w:val="60A61F54"/>
    <w:rsid w:val="60AA3E6F"/>
    <w:rsid w:val="60AF08C7"/>
    <w:rsid w:val="60B33D1D"/>
    <w:rsid w:val="60CB64A8"/>
    <w:rsid w:val="60D2036F"/>
    <w:rsid w:val="60F54FDA"/>
    <w:rsid w:val="60F81710"/>
    <w:rsid w:val="60FD48E7"/>
    <w:rsid w:val="61050A63"/>
    <w:rsid w:val="61050B98"/>
    <w:rsid w:val="61204069"/>
    <w:rsid w:val="613E38B5"/>
    <w:rsid w:val="61496562"/>
    <w:rsid w:val="615477F6"/>
    <w:rsid w:val="6166100A"/>
    <w:rsid w:val="61716E0A"/>
    <w:rsid w:val="6186757B"/>
    <w:rsid w:val="61AD00BB"/>
    <w:rsid w:val="61B815D6"/>
    <w:rsid w:val="61D545EF"/>
    <w:rsid w:val="61E466DF"/>
    <w:rsid w:val="61F53810"/>
    <w:rsid w:val="61FA2BD4"/>
    <w:rsid w:val="620E530D"/>
    <w:rsid w:val="621C64A7"/>
    <w:rsid w:val="6236701D"/>
    <w:rsid w:val="623E51B7"/>
    <w:rsid w:val="6250236C"/>
    <w:rsid w:val="625654A9"/>
    <w:rsid w:val="625A151F"/>
    <w:rsid w:val="628368F3"/>
    <w:rsid w:val="62903A8C"/>
    <w:rsid w:val="62955851"/>
    <w:rsid w:val="629C02F9"/>
    <w:rsid w:val="629D3964"/>
    <w:rsid w:val="629D4F72"/>
    <w:rsid w:val="62AE11A6"/>
    <w:rsid w:val="62B00E7B"/>
    <w:rsid w:val="62C236F2"/>
    <w:rsid w:val="62DD677E"/>
    <w:rsid w:val="62E80C7F"/>
    <w:rsid w:val="62F23C4B"/>
    <w:rsid w:val="630F50FD"/>
    <w:rsid w:val="63557D9E"/>
    <w:rsid w:val="635822A8"/>
    <w:rsid w:val="636165B6"/>
    <w:rsid w:val="63654982"/>
    <w:rsid w:val="636945A2"/>
    <w:rsid w:val="63735C89"/>
    <w:rsid w:val="638751A9"/>
    <w:rsid w:val="63A96660"/>
    <w:rsid w:val="63AE2AA6"/>
    <w:rsid w:val="63B868A3"/>
    <w:rsid w:val="63BC2837"/>
    <w:rsid w:val="63BD514C"/>
    <w:rsid w:val="63D6033A"/>
    <w:rsid w:val="63E3689B"/>
    <w:rsid w:val="640D3443"/>
    <w:rsid w:val="6411248A"/>
    <w:rsid w:val="641B57B0"/>
    <w:rsid w:val="642A1A86"/>
    <w:rsid w:val="643D7D60"/>
    <w:rsid w:val="643F3F9E"/>
    <w:rsid w:val="64431E1B"/>
    <w:rsid w:val="644C775D"/>
    <w:rsid w:val="645B7690"/>
    <w:rsid w:val="64667C95"/>
    <w:rsid w:val="6470086D"/>
    <w:rsid w:val="64987468"/>
    <w:rsid w:val="64BF784B"/>
    <w:rsid w:val="64EC0EFA"/>
    <w:rsid w:val="64F23483"/>
    <w:rsid w:val="65071890"/>
    <w:rsid w:val="650D376B"/>
    <w:rsid w:val="65295CAB"/>
    <w:rsid w:val="653B3C30"/>
    <w:rsid w:val="653B778C"/>
    <w:rsid w:val="65404DA2"/>
    <w:rsid w:val="65564F61"/>
    <w:rsid w:val="655717C1"/>
    <w:rsid w:val="65644F35"/>
    <w:rsid w:val="65953340"/>
    <w:rsid w:val="659D7751"/>
    <w:rsid w:val="65A45CC1"/>
    <w:rsid w:val="65A56AD6"/>
    <w:rsid w:val="65AE30D4"/>
    <w:rsid w:val="65B2748A"/>
    <w:rsid w:val="65B37C6A"/>
    <w:rsid w:val="65B72FD0"/>
    <w:rsid w:val="65BA71B0"/>
    <w:rsid w:val="65C94540"/>
    <w:rsid w:val="65CE2AC8"/>
    <w:rsid w:val="65D44049"/>
    <w:rsid w:val="65D75707"/>
    <w:rsid w:val="65F85E8A"/>
    <w:rsid w:val="65FE21FE"/>
    <w:rsid w:val="66090C74"/>
    <w:rsid w:val="66231163"/>
    <w:rsid w:val="663D753A"/>
    <w:rsid w:val="663D7B2C"/>
    <w:rsid w:val="6650370B"/>
    <w:rsid w:val="66503974"/>
    <w:rsid w:val="66534B7A"/>
    <w:rsid w:val="666856F9"/>
    <w:rsid w:val="6680077E"/>
    <w:rsid w:val="6683216E"/>
    <w:rsid w:val="66865182"/>
    <w:rsid w:val="669C79BD"/>
    <w:rsid w:val="66A8037E"/>
    <w:rsid w:val="66B00B1C"/>
    <w:rsid w:val="66D80A0B"/>
    <w:rsid w:val="66DB10C0"/>
    <w:rsid w:val="66DD4F9F"/>
    <w:rsid w:val="66DE2DCE"/>
    <w:rsid w:val="66DE326F"/>
    <w:rsid w:val="66FE4513"/>
    <w:rsid w:val="67347C48"/>
    <w:rsid w:val="673A1362"/>
    <w:rsid w:val="673E32F3"/>
    <w:rsid w:val="67492634"/>
    <w:rsid w:val="674F1318"/>
    <w:rsid w:val="676D4A11"/>
    <w:rsid w:val="678002DF"/>
    <w:rsid w:val="678B60C3"/>
    <w:rsid w:val="679A2E90"/>
    <w:rsid w:val="679D64DC"/>
    <w:rsid w:val="67A25B10"/>
    <w:rsid w:val="67A6168E"/>
    <w:rsid w:val="67B83627"/>
    <w:rsid w:val="67BE6CAD"/>
    <w:rsid w:val="67CC0B6F"/>
    <w:rsid w:val="67DC3D0A"/>
    <w:rsid w:val="67E40345"/>
    <w:rsid w:val="67F97686"/>
    <w:rsid w:val="68060525"/>
    <w:rsid w:val="682B3AE8"/>
    <w:rsid w:val="68323ABD"/>
    <w:rsid w:val="685A2CB6"/>
    <w:rsid w:val="6874548F"/>
    <w:rsid w:val="688E4077"/>
    <w:rsid w:val="68921DB9"/>
    <w:rsid w:val="68A13DAA"/>
    <w:rsid w:val="68A44C79"/>
    <w:rsid w:val="68AA7102"/>
    <w:rsid w:val="68B126DE"/>
    <w:rsid w:val="68B62188"/>
    <w:rsid w:val="68B84DD7"/>
    <w:rsid w:val="68C31739"/>
    <w:rsid w:val="68C60278"/>
    <w:rsid w:val="68DB550E"/>
    <w:rsid w:val="68F8308A"/>
    <w:rsid w:val="691535BF"/>
    <w:rsid w:val="6922138F"/>
    <w:rsid w:val="69242BA7"/>
    <w:rsid w:val="693F6D4A"/>
    <w:rsid w:val="6946402E"/>
    <w:rsid w:val="6953779A"/>
    <w:rsid w:val="695B000E"/>
    <w:rsid w:val="696D56D5"/>
    <w:rsid w:val="6975410E"/>
    <w:rsid w:val="69815861"/>
    <w:rsid w:val="69846A14"/>
    <w:rsid w:val="699A46D0"/>
    <w:rsid w:val="69AC6EAA"/>
    <w:rsid w:val="69B3042D"/>
    <w:rsid w:val="69C40340"/>
    <w:rsid w:val="69C97A5C"/>
    <w:rsid w:val="69DE3C76"/>
    <w:rsid w:val="69E14E8A"/>
    <w:rsid w:val="69F02690"/>
    <w:rsid w:val="6A0E546F"/>
    <w:rsid w:val="6A2E3D63"/>
    <w:rsid w:val="6A2F607C"/>
    <w:rsid w:val="6A405384"/>
    <w:rsid w:val="6A574602"/>
    <w:rsid w:val="6A665DC9"/>
    <w:rsid w:val="6A747072"/>
    <w:rsid w:val="6A8676FB"/>
    <w:rsid w:val="6AB0409E"/>
    <w:rsid w:val="6ABC4493"/>
    <w:rsid w:val="6ACB3360"/>
    <w:rsid w:val="6AD61E82"/>
    <w:rsid w:val="6AD820AF"/>
    <w:rsid w:val="6AD94147"/>
    <w:rsid w:val="6AE31F6E"/>
    <w:rsid w:val="6AF6662F"/>
    <w:rsid w:val="6B4D0A75"/>
    <w:rsid w:val="6B560E7C"/>
    <w:rsid w:val="6B5E5F82"/>
    <w:rsid w:val="6B87197D"/>
    <w:rsid w:val="6B956590"/>
    <w:rsid w:val="6BAD222E"/>
    <w:rsid w:val="6BAE6F0A"/>
    <w:rsid w:val="6BB50C1F"/>
    <w:rsid w:val="6BBD539F"/>
    <w:rsid w:val="6BC404DB"/>
    <w:rsid w:val="6BDF47D9"/>
    <w:rsid w:val="6BE20961"/>
    <w:rsid w:val="6BEC17E0"/>
    <w:rsid w:val="6C263272"/>
    <w:rsid w:val="6C4576FD"/>
    <w:rsid w:val="6C494E84"/>
    <w:rsid w:val="6C733CAF"/>
    <w:rsid w:val="6C9F35C2"/>
    <w:rsid w:val="6CA009E5"/>
    <w:rsid w:val="6CB370DA"/>
    <w:rsid w:val="6CBF0CA2"/>
    <w:rsid w:val="6CCB5065"/>
    <w:rsid w:val="6CF21078"/>
    <w:rsid w:val="6CFB084B"/>
    <w:rsid w:val="6CFD28C4"/>
    <w:rsid w:val="6CFF74CD"/>
    <w:rsid w:val="6D013069"/>
    <w:rsid w:val="6D06568C"/>
    <w:rsid w:val="6D0665FD"/>
    <w:rsid w:val="6D0C5754"/>
    <w:rsid w:val="6D0C6B49"/>
    <w:rsid w:val="6D260D22"/>
    <w:rsid w:val="6D3056A3"/>
    <w:rsid w:val="6D3A3FBA"/>
    <w:rsid w:val="6D3E42BD"/>
    <w:rsid w:val="6D431B0A"/>
    <w:rsid w:val="6D57712D"/>
    <w:rsid w:val="6D6655C2"/>
    <w:rsid w:val="6D77690C"/>
    <w:rsid w:val="6D7952F5"/>
    <w:rsid w:val="6D827085"/>
    <w:rsid w:val="6D837F22"/>
    <w:rsid w:val="6D840A3C"/>
    <w:rsid w:val="6D88378A"/>
    <w:rsid w:val="6D9B34BE"/>
    <w:rsid w:val="6D9D5E3B"/>
    <w:rsid w:val="6DBC61FF"/>
    <w:rsid w:val="6DC46481"/>
    <w:rsid w:val="6DD0054B"/>
    <w:rsid w:val="6DDA6AC7"/>
    <w:rsid w:val="6DE24C48"/>
    <w:rsid w:val="6DFB3F5C"/>
    <w:rsid w:val="6E272FA3"/>
    <w:rsid w:val="6E337B9A"/>
    <w:rsid w:val="6E3E6985"/>
    <w:rsid w:val="6E417AF2"/>
    <w:rsid w:val="6E573888"/>
    <w:rsid w:val="6E6F375D"/>
    <w:rsid w:val="6E753D6F"/>
    <w:rsid w:val="6E796114"/>
    <w:rsid w:val="6E7E5DD5"/>
    <w:rsid w:val="6E8338F1"/>
    <w:rsid w:val="6E8977BA"/>
    <w:rsid w:val="6E8D497A"/>
    <w:rsid w:val="6E8D5E58"/>
    <w:rsid w:val="6E8F0529"/>
    <w:rsid w:val="6E985C4F"/>
    <w:rsid w:val="6EBE3907"/>
    <w:rsid w:val="6ED6297A"/>
    <w:rsid w:val="6EDC10B0"/>
    <w:rsid w:val="6EE964AB"/>
    <w:rsid w:val="6EF1444D"/>
    <w:rsid w:val="6EFA58FF"/>
    <w:rsid w:val="6F116C0A"/>
    <w:rsid w:val="6F257CB8"/>
    <w:rsid w:val="6F2A2D4B"/>
    <w:rsid w:val="6F2E106A"/>
    <w:rsid w:val="6F3040D9"/>
    <w:rsid w:val="6F321C00"/>
    <w:rsid w:val="6F327E52"/>
    <w:rsid w:val="6F406E66"/>
    <w:rsid w:val="6F433E0D"/>
    <w:rsid w:val="6F5558EE"/>
    <w:rsid w:val="6F5578B1"/>
    <w:rsid w:val="6F571DF4"/>
    <w:rsid w:val="6F654F99"/>
    <w:rsid w:val="6F6A1399"/>
    <w:rsid w:val="6F6C1AE8"/>
    <w:rsid w:val="6F8A5598"/>
    <w:rsid w:val="6F8E2167"/>
    <w:rsid w:val="6F971E18"/>
    <w:rsid w:val="6FA40632"/>
    <w:rsid w:val="6FBA6625"/>
    <w:rsid w:val="6FC23551"/>
    <w:rsid w:val="6FC24913"/>
    <w:rsid w:val="6FCD0EE0"/>
    <w:rsid w:val="6FD1766A"/>
    <w:rsid w:val="6FDC35C0"/>
    <w:rsid w:val="700A1F81"/>
    <w:rsid w:val="701E10FB"/>
    <w:rsid w:val="70231548"/>
    <w:rsid w:val="702F4B85"/>
    <w:rsid w:val="70345A2B"/>
    <w:rsid w:val="7038481D"/>
    <w:rsid w:val="704A54CC"/>
    <w:rsid w:val="705B4C88"/>
    <w:rsid w:val="70652935"/>
    <w:rsid w:val="706A25A3"/>
    <w:rsid w:val="706B2204"/>
    <w:rsid w:val="707C52CC"/>
    <w:rsid w:val="70845508"/>
    <w:rsid w:val="70950A61"/>
    <w:rsid w:val="70D9086D"/>
    <w:rsid w:val="70DD1B4B"/>
    <w:rsid w:val="70E46F2A"/>
    <w:rsid w:val="70E64A50"/>
    <w:rsid w:val="70EB7773"/>
    <w:rsid w:val="70ED2CEF"/>
    <w:rsid w:val="70F723C2"/>
    <w:rsid w:val="70FF0531"/>
    <w:rsid w:val="71026C01"/>
    <w:rsid w:val="710B2708"/>
    <w:rsid w:val="7110742E"/>
    <w:rsid w:val="71175551"/>
    <w:rsid w:val="711B2292"/>
    <w:rsid w:val="711C2D67"/>
    <w:rsid w:val="71341B93"/>
    <w:rsid w:val="71462F4A"/>
    <w:rsid w:val="715036E2"/>
    <w:rsid w:val="71551BD5"/>
    <w:rsid w:val="71663DE2"/>
    <w:rsid w:val="716D0DA2"/>
    <w:rsid w:val="717E5EC6"/>
    <w:rsid w:val="718F158B"/>
    <w:rsid w:val="718F6301"/>
    <w:rsid w:val="71940950"/>
    <w:rsid w:val="719620FA"/>
    <w:rsid w:val="719A2A5E"/>
    <w:rsid w:val="719E36D9"/>
    <w:rsid w:val="719E4926"/>
    <w:rsid w:val="71A92412"/>
    <w:rsid w:val="71AA6A9C"/>
    <w:rsid w:val="71C01D26"/>
    <w:rsid w:val="71D22608"/>
    <w:rsid w:val="71D62D16"/>
    <w:rsid w:val="71DD68CA"/>
    <w:rsid w:val="71E52F59"/>
    <w:rsid w:val="7215753B"/>
    <w:rsid w:val="721770E5"/>
    <w:rsid w:val="72404633"/>
    <w:rsid w:val="72434B7C"/>
    <w:rsid w:val="724A7260"/>
    <w:rsid w:val="725B41D0"/>
    <w:rsid w:val="72672A77"/>
    <w:rsid w:val="727918F3"/>
    <w:rsid w:val="728269FA"/>
    <w:rsid w:val="72834520"/>
    <w:rsid w:val="729055BB"/>
    <w:rsid w:val="72912A35"/>
    <w:rsid w:val="729B0D29"/>
    <w:rsid w:val="72A05DB0"/>
    <w:rsid w:val="72A15CCB"/>
    <w:rsid w:val="72A9667D"/>
    <w:rsid w:val="72C47013"/>
    <w:rsid w:val="72E476B5"/>
    <w:rsid w:val="72FA685C"/>
    <w:rsid w:val="731965CD"/>
    <w:rsid w:val="733F4A2F"/>
    <w:rsid w:val="734168B5"/>
    <w:rsid w:val="735A18AB"/>
    <w:rsid w:val="736C2262"/>
    <w:rsid w:val="737A236B"/>
    <w:rsid w:val="73893DB8"/>
    <w:rsid w:val="738C1E32"/>
    <w:rsid w:val="739127D3"/>
    <w:rsid w:val="7394345B"/>
    <w:rsid w:val="73A46324"/>
    <w:rsid w:val="73A702A0"/>
    <w:rsid w:val="73A83927"/>
    <w:rsid w:val="73BC5F3C"/>
    <w:rsid w:val="73C3696D"/>
    <w:rsid w:val="73F756AE"/>
    <w:rsid w:val="73F92CEC"/>
    <w:rsid w:val="73FA3FC5"/>
    <w:rsid w:val="740B600C"/>
    <w:rsid w:val="740C6EC3"/>
    <w:rsid w:val="743046BC"/>
    <w:rsid w:val="743326A2"/>
    <w:rsid w:val="74393A30"/>
    <w:rsid w:val="743E4BA3"/>
    <w:rsid w:val="744523D5"/>
    <w:rsid w:val="744D26E7"/>
    <w:rsid w:val="748C68A1"/>
    <w:rsid w:val="74A1112D"/>
    <w:rsid w:val="74C40DF7"/>
    <w:rsid w:val="74D3178F"/>
    <w:rsid w:val="74FA4F6E"/>
    <w:rsid w:val="751226B5"/>
    <w:rsid w:val="752113B0"/>
    <w:rsid w:val="752E4C17"/>
    <w:rsid w:val="753F5076"/>
    <w:rsid w:val="754C0EED"/>
    <w:rsid w:val="754E350B"/>
    <w:rsid w:val="7577348D"/>
    <w:rsid w:val="75792336"/>
    <w:rsid w:val="75817B14"/>
    <w:rsid w:val="75986A2F"/>
    <w:rsid w:val="759E43CA"/>
    <w:rsid w:val="75AA5710"/>
    <w:rsid w:val="75B56427"/>
    <w:rsid w:val="75D92DD5"/>
    <w:rsid w:val="75DE663D"/>
    <w:rsid w:val="75E029B8"/>
    <w:rsid w:val="75E77B6B"/>
    <w:rsid w:val="75FA458B"/>
    <w:rsid w:val="76582317"/>
    <w:rsid w:val="767412F6"/>
    <w:rsid w:val="76757B27"/>
    <w:rsid w:val="767E4144"/>
    <w:rsid w:val="76871919"/>
    <w:rsid w:val="769906B9"/>
    <w:rsid w:val="769C1807"/>
    <w:rsid w:val="769C4840"/>
    <w:rsid w:val="769E1095"/>
    <w:rsid w:val="76AE59B3"/>
    <w:rsid w:val="76C40D5A"/>
    <w:rsid w:val="76C63351"/>
    <w:rsid w:val="76D01151"/>
    <w:rsid w:val="77052CBA"/>
    <w:rsid w:val="770B16B4"/>
    <w:rsid w:val="770C0F88"/>
    <w:rsid w:val="77100A78"/>
    <w:rsid w:val="7715608F"/>
    <w:rsid w:val="772B0B64"/>
    <w:rsid w:val="773F70C0"/>
    <w:rsid w:val="77440722"/>
    <w:rsid w:val="77451356"/>
    <w:rsid w:val="774B7D02"/>
    <w:rsid w:val="779276DF"/>
    <w:rsid w:val="77AF0F39"/>
    <w:rsid w:val="77C43611"/>
    <w:rsid w:val="77E3618D"/>
    <w:rsid w:val="77EE1099"/>
    <w:rsid w:val="77F10E8A"/>
    <w:rsid w:val="77F43EF6"/>
    <w:rsid w:val="7807680D"/>
    <w:rsid w:val="78185E04"/>
    <w:rsid w:val="782567A5"/>
    <w:rsid w:val="782C7B34"/>
    <w:rsid w:val="782D5F42"/>
    <w:rsid w:val="78307C92"/>
    <w:rsid w:val="78395DAD"/>
    <w:rsid w:val="78583AA6"/>
    <w:rsid w:val="78672387"/>
    <w:rsid w:val="786848E4"/>
    <w:rsid w:val="789254BD"/>
    <w:rsid w:val="78A771BA"/>
    <w:rsid w:val="78B91973"/>
    <w:rsid w:val="78B95140"/>
    <w:rsid w:val="78C108F9"/>
    <w:rsid w:val="78EA6370"/>
    <w:rsid w:val="78EC2E1F"/>
    <w:rsid w:val="78EE294D"/>
    <w:rsid w:val="78F84251"/>
    <w:rsid w:val="792720A9"/>
    <w:rsid w:val="79330A4E"/>
    <w:rsid w:val="79335EBE"/>
    <w:rsid w:val="793C4485"/>
    <w:rsid w:val="795B60D9"/>
    <w:rsid w:val="795F1843"/>
    <w:rsid w:val="795F3DFF"/>
    <w:rsid w:val="796F083C"/>
    <w:rsid w:val="797866AB"/>
    <w:rsid w:val="797A0721"/>
    <w:rsid w:val="798722A4"/>
    <w:rsid w:val="798F3644"/>
    <w:rsid w:val="79BE715B"/>
    <w:rsid w:val="79BF0534"/>
    <w:rsid w:val="79D500AA"/>
    <w:rsid w:val="79FF5A4A"/>
    <w:rsid w:val="7A1563A6"/>
    <w:rsid w:val="7A1B533A"/>
    <w:rsid w:val="7A2A31FE"/>
    <w:rsid w:val="7A2B20CE"/>
    <w:rsid w:val="7A3E58FC"/>
    <w:rsid w:val="7A4264AC"/>
    <w:rsid w:val="7A454EDD"/>
    <w:rsid w:val="7A49603F"/>
    <w:rsid w:val="7A502CE7"/>
    <w:rsid w:val="7A5D31D2"/>
    <w:rsid w:val="7A6D6350"/>
    <w:rsid w:val="7A8F379A"/>
    <w:rsid w:val="7AAD049B"/>
    <w:rsid w:val="7AAE6E4A"/>
    <w:rsid w:val="7ABA27A9"/>
    <w:rsid w:val="7AC51486"/>
    <w:rsid w:val="7AE733E7"/>
    <w:rsid w:val="7AEA15E0"/>
    <w:rsid w:val="7AF1431C"/>
    <w:rsid w:val="7B137C20"/>
    <w:rsid w:val="7B201964"/>
    <w:rsid w:val="7B3960C4"/>
    <w:rsid w:val="7B4038F6"/>
    <w:rsid w:val="7B444EC9"/>
    <w:rsid w:val="7B7251D1"/>
    <w:rsid w:val="7B726518"/>
    <w:rsid w:val="7B8D5082"/>
    <w:rsid w:val="7B99331A"/>
    <w:rsid w:val="7B9D2AF7"/>
    <w:rsid w:val="7B9D48A5"/>
    <w:rsid w:val="7BB911A5"/>
    <w:rsid w:val="7BCF5763"/>
    <w:rsid w:val="7BD27F04"/>
    <w:rsid w:val="7BF462AE"/>
    <w:rsid w:val="7BFF08CD"/>
    <w:rsid w:val="7C00374D"/>
    <w:rsid w:val="7C030BAC"/>
    <w:rsid w:val="7C162F0C"/>
    <w:rsid w:val="7C1A422C"/>
    <w:rsid w:val="7C1F7192"/>
    <w:rsid w:val="7C2B230C"/>
    <w:rsid w:val="7C2F1FD0"/>
    <w:rsid w:val="7C3579C8"/>
    <w:rsid w:val="7C4411C4"/>
    <w:rsid w:val="7C5C14C8"/>
    <w:rsid w:val="7C683105"/>
    <w:rsid w:val="7C6F4493"/>
    <w:rsid w:val="7C790E6E"/>
    <w:rsid w:val="7C95784B"/>
    <w:rsid w:val="7CA35EEB"/>
    <w:rsid w:val="7CA852A4"/>
    <w:rsid w:val="7CAB2FF1"/>
    <w:rsid w:val="7CB85914"/>
    <w:rsid w:val="7CC06A9D"/>
    <w:rsid w:val="7CE64029"/>
    <w:rsid w:val="7CF84488"/>
    <w:rsid w:val="7D0B52CB"/>
    <w:rsid w:val="7D0B583E"/>
    <w:rsid w:val="7D1C22D9"/>
    <w:rsid w:val="7D234CDD"/>
    <w:rsid w:val="7D3437CE"/>
    <w:rsid w:val="7D382AD7"/>
    <w:rsid w:val="7D3A3C06"/>
    <w:rsid w:val="7D465607"/>
    <w:rsid w:val="7D56664F"/>
    <w:rsid w:val="7D5A4E0C"/>
    <w:rsid w:val="7D6F5ECE"/>
    <w:rsid w:val="7D9C3A6F"/>
    <w:rsid w:val="7DB9749D"/>
    <w:rsid w:val="7DD22286"/>
    <w:rsid w:val="7DE642E1"/>
    <w:rsid w:val="7DFE72FF"/>
    <w:rsid w:val="7E0933DA"/>
    <w:rsid w:val="7E283249"/>
    <w:rsid w:val="7E3145D4"/>
    <w:rsid w:val="7E3239CA"/>
    <w:rsid w:val="7E385DDD"/>
    <w:rsid w:val="7E425DC7"/>
    <w:rsid w:val="7E7B5204"/>
    <w:rsid w:val="7E871901"/>
    <w:rsid w:val="7E8A55B4"/>
    <w:rsid w:val="7E9D1E05"/>
    <w:rsid w:val="7EA42017"/>
    <w:rsid w:val="7EAD4DFF"/>
    <w:rsid w:val="7EB95E49"/>
    <w:rsid w:val="7EC565EC"/>
    <w:rsid w:val="7ECD4F5C"/>
    <w:rsid w:val="7ED104B3"/>
    <w:rsid w:val="7EF02F3D"/>
    <w:rsid w:val="7EF64051"/>
    <w:rsid w:val="7F0936B3"/>
    <w:rsid w:val="7F383A96"/>
    <w:rsid w:val="7F3853ED"/>
    <w:rsid w:val="7F3D5D2B"/>
    <w:rsid w:val="7FC05006"/>
    <w:rsid w:val="7FE85496"/>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4">
    <w:name w:val="heading 1"/>
    <w:basedOn w:val="1"/>
    <w:next w:val="1"/>
    <w:link w:val="57"/>
    <w:qFormat/>
    <w:uiPriority w:val="0"/>
    <w:pPr>
      <w:keepNext/>
      <w:keepLines/>
      <w:numPr>
        <w:ilvl w:val="0"/>
        <w:numId w:val="1"/>
      </w:numPr>
      <w:spacing w:before="340" w:after="330" w:line="576" w:lineRule="auto"/>
      <w:ind w:firstLine="0" w:firstLineChars="0"/>
      <w:jc w:val="center"/>
      <w:outlineLvl w:val="0"/>
    </w:pPr>
    <w:rPr>
      <w:b/>
      <w:kern w:val="44"/>
      <w:sz w:val="44"/>
    </w:rPr>
  </w:style>
  <w:style w:type="paragraph" w:styleId="5">
    <w:name w:val="heading 2"/>
    <w:basedOn w:val="1"/>
    <w:next w:val="6"/>
    <w:link w:val="196"/>
    <w:unhideWhenUsed/>
    <w:qFormat/>
    <w:uiPriority w:val="0"/>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7">
    <w:name w:val="heading 3"/>
    <w:basedOn w:val="1"/>
    <w:next w:val="1"/>
    <w:link w:val="60"/>
    <w:semiHidden/>
    <w:unhideWhenUsed/>
    <w:qFormat/>
    <w:uiPriority w:val="0"/>
    <w:pPr>
      <w:keepNext/>
      <w:keepLines/>
      <w:numPr>
        <w:ilvl w:val="2"/>
        <w:numId w:val="3"/>
      </w:numPr>
      <w:spacing w:before="260" w:after="260" w:line="413" w:lineRule="auto"/>
      <w:outlineLvl w:val="2"/>
    </w:pPr>
    <w:rPr>
      <w:b/>
      <w:sz w:val="32"/>
    </w:rPr>
  </w:style>
  <w:style w:type="paragraph" w:styleId="8">
    <w:name w:val="heading 4"/>
    <w:basedOn w:val="1"/>
    <w:next w:val="1"/>
    <w:link w:val="61"/>
    <w:semiHidden/>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9">
    <w:name w:val="heading 5"/>
    <w:basedOn w:val="1"/>
    <w:next w:val="1"/>
    <w:link w:val="62"/>
    <w:semiHidden/>
    <w:unhideWhenUsed/>
    <w:qFormat/>
    <w:uiPriority w:val="0"/>
    <w:pPr>
      <w:keepNext/>
      <w:keepLines/>
      <w:numPr>
        <w:ilvl w:val="4"/>
        <w:numId w:val="3"/>
      </w:numPr>
      <w:spacing w:before="280" w:after="290" w:line="372" w:lineRule="auto"/>
      <w:outlineLvl w:val="4"/>
    </w:pPr>
    <w:rPr>
      <w:b/>
      <w:sz w:val="28"/>
    </w:rPr>
  </w:style>
  <w:style w:type="paragraph" w:styleId="10">
    <w:name w:val="heading 6"/>
    <w:basedOn w:val="1"/>
    <w:next w:val="1"/>
    <w:link w:val="63"/>
    <w:semiHidden/>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1">
    <w:name w:val="heading 7"/>
    <w:basedOn w:val="1"/>
    <w:next w:val="1"/>
    <w:link w:val="64"/>
    <w:semiHidden/>
    <w:unhideWhenUsed/>
    <w:qFormat/>
    <w:uiPriority w:val="0"/>
    <w:pPr>
      <w:keepNext/>
      <w:keepLines/>
      <w:numPr>
        <w:ilvl w:val="6"/>
        <w:numId w:val="3"/>
      </w:numPr>
      <w:spacing w:before="240" w:after="64" w:line="317" w:lineRule="auto"/>
      <w:outlineLvl w:val="6"/>
    </w:pPr>
    <w:rPr>
      <w:b/>
    </w:rPr>
  </w:style>
  <w:style w:type="paragraph" w:styleId="12">
    <w:name w:val="heading 8"/>
    <w:basedOn w:val="1"/>
    <w:next w:val="1"/>
    <w:link w:val="65"/>
    <w:semiHidden/>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3">
    <w:name w:val="heading 9"/>
    <w:basedOn w:val="1"/>
    <w:next w:val="1"/>
    <w:link w:val="66"/>
    <w:semiHidden/>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120" w:line="240" w:lineRule="auto"/>
      <w:ind w:firstLine="420" w:firstLineChars="100"/>
    </w:pPr>
    <w:rPr>
      <w:rFonts w:ascii="Times New Roman" w:hAnsi="Times New Roman"/>
      <w:sz w:val="18"/>
      <w:szCs w:val="18"/>
    </w:rPr>
  </w:style>
  <w:style w:type="paragraph" w:styleId="3">
    <w:name w:val="Body Text"/>
    <w:basedOn w:val="1"/>
    <w:next w:val="1"/>
    <w:link w:val="56"/>
    <w:qFormat/>
    <w:uiPriority w:val="99"/>
    <w:pPr>
      <w:jc w:val="left"/>
    </w:pPr>
    <w:rPr>
      <w:rFonts w:ascii="Copperplate Gothic Bold" w:hAnsi="Copperplate Gothic Bold"/>
      <w:sz w:val="28"/>
    </w:rPr>
  </w:style>
  <w:style w:type="paragraph" w:styleId="6">
    <w:name w:val="Normal Indent"/>
    <w:basedOn w:val="1"/>
    <w:next w:val="1"/>
    <w:link w:val="58"/>
    <w:qFormat/>
    <w:uiPriority w:val="0"/>
    <w:pPr>
      <w:ind w:firstLine="420"/>
    </w:pPr>
  </w:style>
  <w:style w:type="paragraph" w:styleId="14">
    <w:name w:val="toc 7"/>
    <w:basedOn w:val="1"/>
    <w:next w:val="1"/>
    <w:unhideWhenUsed/>
    <w:qFormat/>
    <w:uiPriority w:val="0"/>
    <w:pPr>
      <w:spacing w:line="240" w:lineRule="auto"/>
      <w:ind w:left="2520" w:leftChars="1200" w:firstLine="0" w:firstLineChars="0"/>
    </w:pPr>
    <w:rPr>
      <w:rFonts w:ascii="Calibri" w:hAnsi="Calibri" w:eastAsia="宋体" w:cs="Times New Roman"/>
      <w:sz w:val="21"/>
      <w:szCs w:val="22"/>
    </w:rPr>
  </w:style>
  <w:style w:type="paragraph" w:styleId="15">
    <w:name w:val="Document Map"/>
    <w:basedOn w:val="1"/>
    <w:link w:val="89"/>
    <w:unhideWhenUsed/>
    <w:qFormat/>
    <w:uiPriority w:val="0"/>
    <w:pPr>
      <w:shd w:val="clear" w:color="auto" w:fill="000080"/>
      <w:spacing w:line="240" w:lineRule="auto"/>
      <w:ind w:firstLine="0" w:firstLineChars="0"/>
    </w:pPr>
    <w:rPr>
      <w:rFonts w:ascii="Times New Roman" w:hAnsi="Times New Roman" w:eastAsia="宋体" w:cs="Times New Roman"/>
      <w:sz w:val="21"/>
    </w:rPr>
  </w:style>
  <w:style w:type="paragraph" w:styleId="16">
    <w:name w:val="annotation text"/>
    <w:basedOn w:val="1"/>
    <w:link w:val="83"/>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link w:val="87"/>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Indent"/>
    <w:basedOn w:val="1"/>
    <w:link w:val="67"/>
    <w:unhideWhenUsed/>
    <w:qFormat/>
    <w:uiPriority w:val="0"/>
    <w:pPr>
      <w:spacing w:after="120"/>
      <w:ind w:left="420" w:leftChars="200"/>
    </w:pPr>
  </w:style>
  <w:style w:type="paragraph" w:styleId="19">
    <w:name w:val="Block Text"/>
    <w:basedOn w:val="1"/>
    <w:next w:val="20"/>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0">
    <w:name w:val="Plain Text"/>
    <w:basedOn w:val="1"/>
    <w:next w:val="1"/>
    <w:link w:val="68"/>
    <w:qFormat/>
    <w:uiPriority w:val="99"/>
    <w:rPr>
      <w:rFonts w:ascii="宋体" w:hAnsi="Courier New"/>
      <w:szCs w:val="21"/>
    </w:rPr>
  </w:style>
  <w:style w:type="paragraph" w:styleId="21">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2">
    <w:name w:val="toc 5"/>
    <w:basedOn w:val="1"/>
    <w:next w:val="1"/>
    <w:unhideWhenUsed/>
    <w:qFormat/>
    <w:uiPriority w:val="0"/>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3">
    <w:name w:val="toc 3"/>
    <w:basedOn w:val="1"/>
    <w:next w:val="1"/>
    <w:unhideWhenUsed/>
    <w:qFormat/>
    <w:uiPriority w:val="0"/>
    <w:pPr>
      <w:spacing w:line="240" w:lineRule="auto"/>
      <w:ind w:left="840" w:leftChars="400" w:firstLine="0" w:firstLineChars="0"/>
    </w:pPr>
    <w:rPr>
      <w:rFonts w:ascii="Times New Roman" w:hAnsi="Times New Roman" w:eastAsia="宋体" w:cs="Times New Roman"/>
      <w:sz w:val="21"/>
    </w:rPr>
  </w:style>
  <w:style w:type="paragraph" w:styleId="24">
    <w:name w:val="toc 8"/>
    <w:basedOn w:val="1"/>
    <w:next w:val="1"/>
    <w:unhideWhenUsed/>
    <w:qFormat/>
    <w:uiPriority w:val="0"/>
    <w:pPr>
      <w:spacing w:line="240" w:lineRule="auto"/>
      <w:ind w:left="2940" w:leftChars="1400" w:firstLine="0" w:firstLineChars="0"/>
    </w:pPr>
    <w:rPr>
      <w:rFonts w:ascii="Calibri" w:hAnsi="Calibri" w:eastAsia="宋体" w:cs="Times New Roman"/>
      <w:sz w:val="21"/>
      <w:szCs w:val="22"/>
    </w:rPr>
  </w:style>
  <w:style w:type="paragraph" w:styleId="25">
    <w:name w:val="Date"/>
    <w:basedOn w:val="1"/>
    <w:next w:val="1"/>
    <w:link w:val="86"/>
    <w:unhideWhenUsed/>
    <w:qFormat/>
    <w:uiPriority w:val="0"/>
    <w:pPr>
      <w:spacing w:line="240" w:lineRule="auto"/>
      <w:ind w:left="100" w:leftChars="2500" w:firstLine="0" w:firstLineChars="0"/>
    </w:pPr>
    <w:rPr>
      <w:rFonts w:ascii="Times New Roman" w:hAnsi="Times New Roman" w:eastAsia="宋体" w:cs="Times New Roman"/>
      <w:sz w:val="21"/>
    </w:rPr>
  </w:style>
  <w:style w:type="paragraph" w:styleId="26">
    <w:name w:val="Body Text Indent 2"/>
    <w:basedOn w:val="1"/>
    <w:link w:val="82"/>
    <w:qFormat/>
    <w:uiPriority w:val="0"/>
    <w:pPr>
      <w:spacing w:after="120" w:line="480" w:lineRule="auto"/>
      <w:ind w:left="420" w:leftChars="200"/>
    </w:pPr>
  </w:style>
  <w:style w:type="paragraph" w:styleId="27">
    <w:name w:val="Balloon Text"/>
    <w:basedOn w:val="1"/>
    <w:link w:val="69"/>
    <w:qFormat/>
    <w:uiPriority w:val="0"/>
    <w:pPr>
      <w:spacing w:line="240" w:lineRule="auto"/>
    </w:pPr>
    <w:rPr>
      <w:sz w:val="18"/>
      <w:szCs w:val="18"/>
    </w:rPr>
  </w:style>
  <w:style w:type="paragraph" w:styleId="28">
    <w:name w:val="footer"/>
    <w:basedOn w:val="1"/>
    <w:link w:val="70"/>
    <w:qFormat/>
    <w:uiPriority w:val="99"/>
    <w:pPr>
      <w:tabs>
        <w:tab w:val="center" w:pos="4153"/>
        <w:tab w:val="right" w:pos="8306"/>
      </w:tabs>
      <w:snapToGrid w:val="0"/>
      <w:jc w:val="left"/>
    </w:pPr>
    <w:rPr>
      <w:sz w:val="18"/>
    </w:rPr>
  </w:style>
  <w:style w:type="paragraph" w:styleId="29">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0">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1">
    <w:name w:val="toc 4"/>
    <w:basedOn w:val="1"/>
    <w:next w:val="1"/>
    <w:unhideWhenUsed/>
    <w:qFormat/>
    <w:uiPriority w:val="0"/>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2">
    <w:name w:val="Subtitle"/>
    <w:basedOn w:val="1"/>
    <w:next w:val="1"/>
    <w:link w:val="85"/>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3">
    <w:name w:val="toc 6"/>
    <w:basedOn w:val="1"/>
    <w:next w:val="1"/>
    <w:unhideWhenUsed/>
    <w:qFormat/>
    <w:uiPriority w:val="0"/>
    <w:pPr>
      <w:spacing w:line="240" w:lineRule="auto"/>
      <w:ind w:left="2100" w:leftChars="1000" w:firstLine="0" w:firstLineChars="0"/>
    </w:pPr>
    <w:rPr>
      <w:rFonts w:ascii="Calibri" w:hAnsi="Calibri" w:eastAsia="宋体" w:cs="Times New Roman"/>
      <w:sz w:val="21"/>
      <w:szCs w:val="22"/>
    </w:rPr>
  </w:style>
  <w:style w:type="paragraph" w:styleId="34">
    <w:name w:val="Body Text Indent 3"/>
    <w:basedOn w:val="1"/>
    <w:link w:val="88"/>
    <w:unhideWhenUsed/>
    <w:qFormat/>
    <w:uiPriority w:val="0"/>
    <w:pPr>
      <w:adjustRightInd w:val="0"/>
      <w:snapToGrid w:val="0"/>
      <w:ind w:firstLine="600"/>
    </w:pPr>
    <w:rPr>
      <w:rFonts w:ascii="黑体" w:hAnsi="Times New Roman" w:eastAsia="黑体" w:cs="Times New Roman"/>
      <w:sz w:val="30"/>
      <w:szCs w:val="28"/>
    </w:rPr>
  </w:style>
  <w:style w:type="paragraph" w:styleId="35">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36">
    <w:name w:val="toc 9"/>
    <w:basedOn w:val="1"/>
    <w:next w:val="1"/>
    <w:unhideWhenUsed/>
    <w:qFormat/>
    <w:uiPriority w:val="0"/>
    <w:pPr>
      <w:spacing w:line="240" w:lineRule="auto"/>
      <w:ind w:left="3360" w:leftChars="1600" w:firstLine="0" w:firstLineChars="0"/>
    </w:pPr>
    <w:rPr>
      <w:rFonts w:ascii="Calibri" w:hAnsi="Calibri" w:eastAsia="宋体" w:cs="Times New Roman"/>
      <w:sz w:val="21"/>
      <w:szCs w:val="22"/>
    </w:rPr>
  </w:style>
  <w:style w:type="paragraph" w:styleId="37">
    <w:name w:val="Body Text 2"/>
    <w:basedOn w:val="1"/>
    <w:link w:val="72"/>
    <w:qFormat/>
    <w:uiPriority w:val="0"/>
    <w:rPr>
      <w:rFonts w:ascii="楷体_GB2312" w:hAnsi="Copperplate Gothic Bold" w:eastAsia="楷体_GB2312"/>
      <w:sz w:val="28"/>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rPr>
  </w:style>
  <w:style w:type="paragraph" w:styleId="39">
    <w:name w:val="Normal (Web)"/>
    <w:basedOn w:val="1"/>
    <w:qFormat/>
    <w:uiPriority w:val="99"/>
    <w:pPr>
      <w:widowControl/>
      <w:spacing w:before="100" w:beforeAutospacing="1" w:after="100" w:afterAutospacing="1"/>
      <w:jc w:val="left"/>
    </w:pPr>
    <w:rPr>
      <w:rFonts w:ascii="宋体" w:hAnsi="宋体" w:cs="宋体"/>
      <w:kern w:val="0"/>
    </w:rPr>
  </w:style>
  <w:style w:type="paragraph" w:styleId="40">
    <w:name w:val="Title"/>
    <w:basedOn w:val="1"/>
    <w:link w:val="84"/>
    <w:qFormat/>
    <w:uiPriority w:val="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1">
    <w:name w:val="annotation subject"/>
    <w:basedOn w:val="16"/>
    <w:next w:val="16"/>
    <w:link w:val="90"/>
    <w:unhideWhenUsed/>
    <w:qFormat/>
    <w:uiPriority w:val="0"/>
    <w:pPr>
      <w:adjustRightInd/>
      <w:spacing w:line="240" w:lineRule="auto"/>
    </w:pPr>
    <w:rPr>
      <w:b/>
      <w:bCs/>
      <w:kern w:val="2"/>
      <w:sz w:val="21"/>
      <w:szCs w:val="24"/>
    </w:rPr>
  </w:style>
  <w:style w:type="paragraph" w:styleId="42">
    <w:name w:val="Body Text First Indent 2"/>
    <w:basedOn w:val="18"/>
    <w:unhideWhenUsed/>
    <w:qFormat/>
    <w:uiPriority w:val="0"/>
    <w:pPr>
      <w:ind w:firstLine="420"/>
    </w:p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rPr>
  </w:style>
  <w:style w:type="character" w:styleId="47">
    <w:name w:val="page number"/>
    <w:basedOn w:val="45"/>
    <w:qFormat/>
    <w:uiPriority w:val="0"/>
  </w:style>
  <w:style w:type="character" w:styleId="48">
    <w:name w:val="FollowedHyperlink"/>
    <w:basedOn w:val="45"/>
    <w:unhideWhenUsed/>
    <w:qFormat/>
    <w:uiPriority w:val="99"/>
    <w:rPr>
      <w:color w:val="954F72" w:themeColor="followedHyperlink"/>
      <w:u w:val="single"/>
      <w14:textFill>
        <w14:solidFill>
          <w14:schemeClr w14:val="folHlink"/>
        </w14:solidFill>
      </w14:textFill>
    </w:rPr>
  </w:style>
  <w:style w:type="character" w:styleId="49">
    <w:name w:val="Emphasis"/>
    <w:basedOn w:val="45"/>
    <w:qFormat/>
    <w:uiPriority w:val="0"/>
  </w:style>
  <w:style w:type="character" w:styleId="50">
    <w:name w:val="HTML Definition"/>
    <w:basedOn w:val="45"/>
    <w:unhideWhenUsed/>
    <w:qFormat/>
    <w:uiPriority w:val="0"/>
    <w:rPr>
      <w:i/>
    </w:rPr>
  </w:style>
  <w:style w:type="character" w:styleId="51">
    <w:name w:val="Hyperlink"/>
    <w:basedOn w:val="45"/>
    <w:qFormat/>
    <w:uiPriority w:val="99"/>
    <w:rPr>
      <w:color w:val="0563C1" w:themeColor="hyperlink"/>
      <w:u w:val="single"/>
      <w14:textFill>
        <w14:solidFill>
          <w14:schemeClr w14:val="hlink"/>
        </w14:solidFill>
      </w14:textFill>
    </w:rPr>
  </w:style>
  <w:style w:type="character" w:styleId="52">
    <w:name w:val="HTML Code"/>
    <w:unhideWhenUsed/>
    <w:qFormat/>
    <w:uiPriority w:val="0"/>
    <w:rPr>
      <w:rFonts w:hint="default" w:ascii="Consolas" w:hAnsi="Consolas" w:eastAsia="Consolas" w:cs="Consolas"/>
      <w:color w:val="C7254E"/>
      <w:sz w:val="21"/>
      <w:szCs w:val="21"/>
      <w:shd w:val="clear" w:color="auto" w:fill="F9F2F4"/>
    </w:rPr>
  </w:style>
  <w:style w:type="character" w:styleId="53">
    <w:name w:val="annotation reference"/>
    <w:basedOn w:val="45"/>
    <w:unhideWhenUsed/>
    <w:qFormat/>
    <w:uiPriority w:val="0"/>
    <w:rPr>
      <w:sz w:val="21"/>
      <w:szCs w:val="21"/>
    </w:rPr>
  </w:style>
  <w:style w:type="character" w:styleId="54">
    <w:name w:val="HTML Keyboard"/>
    <w:unhideWhenUsed/>
    <w:qFormat/>
    <w:uiPriority w:val="0"/>
    <w:rPr>
      <w:rFonts w:hint="default" w:ascii="Consolas" w:hAnsi="Consolas" w:eastAsia="Consolas" w:cs="Consolas"/>
      <w:color w:val="FFFFFF"/>
      <w:sz w:val="21"/>
      <w:szCs w:val="21"/>
      <w:shd w:val="clear" w:color="auto" w:fill="333333"/>
    </w:rPr>
  </w:style>
  <w:style w:type="character" w:styleId="55">
    <w:name w:val="HTML Sample"/>
    <w:unhideWhenUsed/>
    <w:qFormat/>
    <w:uiPriority w:val="0"/>
    <w:rPr>
      <w:rFonts w:hint="default" w:ascii="Consolas" w:hAnsi="Consolas" w:eastAsia="Consolas" w:cs="Consolas"/>
      <w:sz w:val="21"/>
      <w:szCs w:val="21"/>
    </w:rPr>
  </w:style>
  <w:style w:type="character" w:customStyle="1" w:styleId="56">
    <w:name w:val="正文文本 字符"/>
    <w:basedOn w:val="45"/>
    <w:link w:val="3"/>
    <w:qFormat/>
    <w:uiPriority w:val="99"/>
    <w:rPr>
      <w:rFonts w:ascii="Copperplate Gothic Bold" w:hAnsi="Copperplate Gothic Bold" w:eastAsia="楷体" w:cstheme="minorBidi"/>
      <w:kern w:val="2"/>
      <w:sz w:val="28"/>
      <w:szCs w:val="24"/>
    </w:rPr>
  </w:style>
  <w:style w:type="character" w:customStyle="1" w:styleId="57">
    <w:name w:val="标题 1 字符"/>
    <w:link w:val="4"/>
    <w:qFormat/>
    <w:uiPriority w:val="0"/>
    <w:rPr>
      <w:rFonts w:eastAsia="楷体" w:asciiTheme="minorHAnsi" w:hAnsiTheme="minorHAnsi" w:cstheme="minorBidi"/>
      <w:b/>
      <w:kern w:val="44"/>
      <w:sz w:val="44"/>
      <w:szCs w:val="24"/>
    </w:rPr>
  </w:style>
  <w:style w:type="character" w:customStyle="1" w:styleId="58">
    <w:name w:val="正文缩进 字符"/>
    <w:link w:val="6"/>
    <w:qFormat/>
    <w:locked/>
    <w:uiPriority w:val="0"/>
    <w:rPr>
      <w:rFonts w:eastAsia="楷体" w:asciiTheme="minorHAnsi" w:hAnsiTheme="minorHAnsi" w:cstheme="minorBidi"/>
      <w:kern w:val="2"/>
      <w:sz w:val="24"/>
      <w:szCs w:val="24"/>
    </w:rPr>
  </w:style>
  <w:style w:type="character" w:customStyle="1" w:styleId="59">
    <w:name w:val="标题 2 字符"/>
    <w:link w:val="5"/>
    <w:qFormat/>
    <w:uiPriority w:val="0"/>
    <w:rPr>
      <w:rFonts w:ascii="Arial" w:hAnsi="Arial" w:eastAsia="楷体" w:cstheme="minorBidi"/>
      <w:b/>
      <w:kern w:val="2"/>
      <w:sz w:val="28"/>
      <w:szCs w:val="24"/>
    </w:rPr>
  </w:style>
  <w:style w:type="character" w:customStyle="1" w:styleId="60">
    <w:name w:val="标题 3 字符"/>
    <w:basedOn w:val="45"/>
    <w:link w:val="7"/>
    <w:semiHidden/>
    <w:qFormat/>
    <w:uiPriority w:val="0"/>
    <w:rPr>
      <w:rFonts w:eastAsia="楷体" w:asciiTheme="minorHAnsi" w:hAnsiTheme="minorHAnsi" w:cstheme="minorBidi"/>
      <w:b/>
      <w:kern w:val="2"/>
      <w:sz w:val="32"/>
      <w:szCs w:val="24"/>
    </w:rPr>
  </w:style>
  <w:style w:type="character" w:customStyle="1" w:styleId="61">
    <w:name w:val="标题 4 字符"/>
    <w:basedOn w:val="45"/>
    <w:link w:val="8"/>
    <w:semiHidden/>
    <w:qFormat/>
    <w:uiPriority w:val="0"/>
    <w:rPr>
      <w:rFonts w:ascii="Arial" w:hAnsi="Arial" w:eastAsia="黑体" w:cstheme="minorBidi"/>
      <w:b/>
      <w:kern w:val="2"/>
      <w:sz w:val="28"/>
      <w:szCs w:val="24"/>
    </w:rPr>
  </w:style>
  <w:style w:type="character" w:customStyle="1" w:styleId="62">
    <w:name w:val="标题 5 字符"/>
    <w:basedOn w:val="45"/>
    <w:link w:val="9"/>
    <w:semiHidden/>
    <w:qFormat/>
    <w:uiPriority w:val="0"/>
    <w:rPr>
      <w:rFonts w:eastAsia="楷体" w:asciiTheme="minorHAnsi" w:hAnsiTheme="minorHAnsi" w:cstheme="minorBidi"/>
      <w:b/>
      <w:kern w:val="2"/>
      <w:sz w:val="28"/>
      <w:szCs w:val="24"/>
    </w:rPr>
  </w:style>
  <w:style w:type="character" w:customStyle="1" w:styleId="63">
    <w:name w:val="标题 6 字符"/>
    <w:basedOn w:val="45"/>
    <w:link w:val="10"/>
    <w:semiHidden/>
    <w:qFormat/>
    <w:uiPriority w:val="0"/>
    <w:rPr>
      <w:rFonts w:ascii="Arial" w:hAnsi="Arial" w:eastAsia="黑体" w:cstheme="minorBidi"/>
      <w:b/>
      <w:kern w:val="2"/>
      <w:sz w:val="24"/>
      <w:szCs w:val="24"/>
    </w:rPr>
  </w:style>
  <w:style w:type="character" w:customStyle="1" w:styleId="64">
    <w:name w:val="标题 7 字符"/>
    <w:basedOn w:val="45"/>
    <w:link w:val="11"/>
    <w:semiHidden/>
    <w:qFormat/>
    <w:uiPriority w:val="0"/>
    <w:rPr>
      <w:rFonts w:eastAsia="楷体" w:asciiTheme="minorHAnsi" w:hAnsiTheme="minorHAnsi" w:cstheme="minorBidi"/>
      <w:b/>
      <w:kern w:val="2"/>
      <w:sz w:val="24"/>
      <w:szCs w:val="24"/>
    </w:rPr>
  </w:style>
  <w:style w:type="character" w:customStyle="1" w:styleId="65">
    <w:name w:val="标题 8 字符"/>
    <w:basedOn w:val="45"/>
    <w:link w:val="12"/>
    <w:semiHidden/>
    <w:qFormat/>
    <w:uiPriority w:val="0"/>
    <w:rPr>
      <w:rFonts w:ascii="Arial" w:hAnsi="Arial" w:eastAsia="黑体" w:cstheme="minorBidi"/>
      <w:kern w:val="2"/>
      <w:sz w:val="24"/>
      <w:szCs w:val="24"/>
    </w:rPr>
  </w:style>
  <w:style w:type="character" w:customStyle="1" w:styleId="66">
    <w:name w:val="标题 9 字符"/>
    <w:basedOn w:val="45"/>
    <w:link w:val="13"/>
    <w:semiHidden/>
    <w:qFormat/>
    <w:uiPriority w:val="0"/>
    <w:rPr>
      <w:rFonts w:ascii="Arial" w:hAnsi="Arial" w:eastAsia="黑体" w:cstheme="minorBidi"/>
      <w:kern w:val="2"/>
      <w:sz w:val="21"/>
      <w:szCs w:val="24"/>
    </w:rPr>
  </w:style>
  <w:style w:type="character" w:customStyle="1" w:styleId="67">
    <w:name w:val="正文文本缩进 字符"/>
    <w:basedOn w:val="45"/>
    <w:link w:val="18"/>
    <w:qFormat/>
    <w:uiPriority w:val="0"/>
    <w:rPr>
      <w:rFonts w:eastAsia="楷体" w:asciiTheme="minorHAnsi" w:hAnsiTheme="minorHAnsi" w:cstheme="minorBidi"/>
      <w:kern w:val="2"/>
      <w:sz w:val="24"/>
      <w:szCs w:val="24"/>
    </w:rPr>
  </w:style>
  <w:style w:type="character" w:customStyle="1" w:styleId="68">
    <w:name w:val="纯文本 字符"/>
    <w:basedOn w:val="45"/>
    <w:link w:val="20"/>
    <w:qFormat/>
    <w:uiPriority w:val="99"/>
    <w:rPr>
      <w:rFonts w:ascii="宋体" w:hAnsi="Courier New" w:eastAsia="楷体" w:cstheme="minorBidi"/>
      <w:kern w:val="2"/>
      <w:sz w:val="24"/>
      <w:szCs w:val="21"/>
    </w:rPr>
  </w:style>
  <w:style w:type="character" w:customStyle="1" w:styleId="69">
    <w:name w:val="批注框文本 字符"/>
    <w:basedOn w:val="45"/>
    <w:link w:val="27"/>
    <w:qFormat/>
    <w:uiPriority w:val="0"/>
    <w:rPr>
      <w:rFonts w:eastAsia="楷体"/>
      <w:kern w:val="2"/>
      <w:sz w:val="18"/>
      <w:szCs w:val="18"/>
    </w:rPr>
  </w:style>
  <w:style w:type="character" w:customStyle="1" w:styleId="70">
    <w:name w:val="页脚 字符"/>
    <w:basedOn w:val="45"/>
    <w:link w:val="28"/>
    <w:qFormat/>
    <w:uiPriority w:val="99"/>
    <w:rPr>
      <w:rFonts w:eastAsia="楷体"/>
      <w:kern w:val="2"/>
      <w:sz w:val="18"/>
      <w:szCs w:val="24"/>
    </w:rPr>
  </w:style>
  <w:style w:type="character" w:customStyle="1" w:styleId="71">
    <w:name w:val="页眉 字符"/>
    <w:basedOn w:val="45"/>
    <w:link w:val="29"/>
    <w:qFormat/>
    <w:uiPriority w:val="0"/>
    <w:rPr>
      <w:rFonts w:eastAsia="楷体" w:asciiTheme="minorHAnsi" w:hAnsiTheme="minorHAnsi" w:cstheme="minorBidi"/>
      <w:kern w:val="2"/>
      <w:sz w:val="18"/>
      <w:szCs w:val="24"/>
    </w:rPr>
  </w:style>
  <w:style w:type="character" w:customStyle="1" w:styleId="72">
    <w:name w:val="正文文本 2 字符"/>
    <w:basedOn w:val="45"/>
    <w:link w:val="37"/>
    <w:qFormat/>
    <w:uiPriority w:val="0"/>
    <w:rPr>
      <w:rFonts w:ascii="楷体_GB2312" w:hAnsi="Copperplate Gothic Bold" w:eastAsia="楷体_GB2312" w:cstheme="minorBidi"/>
      <w:kern w:val="2"/>
      <w:sz w:val="28"/>
      <w:szCs w:val="24"/>
    </w:rPr>
  </w:style>
  <w:style w:type="paragraph" w:styleId="73">
    <w:name w:val="List Paragraph"/>
    <w:basedOn w:val="1"/>
    <w:qFormat/>
    <w:uiPriority w:val="34"/>
    <w:pPr>
      <w:ind w:firstLine="420"/>
    </w:p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6">
    <w:name w:val="title1"/>
    <w:basedOn w:val="1"/>
    <w:qFormat/>
    <w:uiPriority w:val="0"/>
    <w:pPr>
      <w:spacing w:before="150"/>
      <w:ind w:firstLine="0"/>
      <w:jc w:val="left"/>
    </w:pPr>
    <w:rPr>
      <w:rFonts w:cs="Times New Roman"/>
      <w:b/>
      <w:kern w:val="0"/>
      <w:sz w:val="22"/>
      <w:szCs w:val="22"/>
    </w:rPr>
  </w:style>
  <w:style w:type="paragraph" w:customStyle="1" w:styleId="77">
    <w:name w:val="_Style 2"/>
    <w:basedOn w:val="1"/>
    <w:qFormat/>
    <w:uiPriority w:val="34"/>
    <w:pPr>
      <w:ind w:firstLine="420"/>
    </w:pPr>
  </w:style>
  <w:style w:type="character" w:customStyle="1" w:styleId="78">
    <w:name w:val="font21"/>
    <w:basedOn w:val="45"/>
    <w:qFormat/>
    <w:uiPriority w:val="0"/>
    <w:rPr>
      <w:rFonts w:hint="eastAsia" w:ascii="宋体" w:hAnsi="宋体" w:eastAsia="宋体" w:cs="宋体"/>
      <w:color w:val="000000"/>
      <w:sz w:val="16"/>
      <w:szCs w:val="16"/>
      <w:u w:val="none"/>
    </w:rPr>
  </w:style>
  <w:style w:type="character" w:customStyle="1" w:styleId="79">
    <w:name w:val="font31"/>
    <w:basedOn w:val="45"/>
    <w:qFormat/>
    <w:uiPriority w:val="0"/>
    <w:rPr>
      <w:rFonts w:hint="eastAsia" w:ascii="宋体" w:hAnsi="宋体" w:eastAsia="宋体" w:cs="宋体"/>
      <w:color w:val="000000"/>
      <w:sz w:val="16"/>
      <w:szCs w:val="16"/>
      <w:u w:val="none"/>
    </w:rPr>
  </w:style>
  <w:style w:type="paragraph" w:customStyle="1" w:styleId="80">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1">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2">
    <w:name w:val="正文文本缩进 2 字符"/>
    <w:basedOn w:val="45"/>
    <w:link w:val="26"/>
    <w:qFormat/>
    <w:uiPriority w:val="0"/>
    <w:rPr>
      <w:rFonts w:eastAsia="楷体" w:asciiTheme="minorHAnsi" w:hAnsiTheme="minorHAnsi" w:cstheme="minorBidi"/>
      <w:kern w:val="2"/>
      <w:sz w:val="24"/>
      <w:szCs w:val="24"/>
    </w:rPr>
  </w:style>
  <w:style w:type="character" w:customStyle="1" w:styleId="83">
    <w:name w:val="批注文字 字符"/>
    <w:basedOn w:val="45"/>
    <w:link w:val="16"/>
    <w:qFormat/>
    <w:uiPriority w:val="0"/>
    <w:rPr>
      <w:sz w:val="24"/>
    </w:rPr>
  </w:style>
  <w:style w:type="character" w:customStyle="1" w:styleId="84">
    <w:name w:val="标题 字符"/>
    <w:basedOn w:val="45"/>
    <w:link w:val="40"/>
    <w:qFormat/>
    <w:uiPriority w:val="0"/>
    <w:rPr>
      <w:rFonts w:ascii="Arial" w:hAnsi="Arial" w:eastAsia="楷体_GB2312" w:cs="Arial"/>
      <w:b/>
      <w:sz w:val="32"/>
      <w:szCs w:val="32"/>
    </w:rPr>
  </w:style>
  <w:style w:type="character" w:customStyle="1" w:styleId="85">
    <w:name w:val="副标题 字符"/>
    <w:basedOn w:val="45"/>
    <w:link w:val="32"/>
    <w:qFormat/>
    <w:uiPriority w:val="0"/>
    <w:rPr>
      <w:rFonts w:ascii="Cambria" w:hAnsi="Cambria"/>
      <w:b/>
      <w:bCs/>
      <w:kern w:val="28"/>
      <w:sz w:val="32"/>
      <w:szCs w:val="32"/>
    </w:rPr>
  </w:style>
  <w:style w:type="character" w:customStyle="1" w:styleId="86">
    <w:name w:val="日期 字符"/>
    <w:basedOn w:val="45"/>
    <w:link w:val="25"/>
    <w:qFormat/>
    <w:uiPriority w:val="0"/>
    <w:rPr>
      <w:kern w:val="2"/>
      <w:sz w:val="21"/>
      <w:szCs w:val="24"/>
    </w:rPr>
  </w:style>
  <w:style w:type="character" w:customStyle="1" w:styleId="87">
    <w:name w:val="正文文本 3 字符"/>
    <w:basedOn w:val="45"/>
    <w:link w:val="17"/>
    <w:qFormat/>
    <w:uiPriority w:val="0"/>
    <w:rPr>
      <w:sz w:val="16"/>
      <w:szCs w:val="16"/>
    </w:rPr>
  </w:style>
  <w:style w:type="character" w:customStyle="1" w:styleId="88">
    <w:name w:val="正文文本缩进 3 字符"/>
    <w:basedOn w:val="45"/>
    <w:link w:val="34"/>
    <w:qFormat/>
    <w:uiPriority w:val="0"/>
    <w:rPr>
      <w:rFonts w:ascii="黑体" w:eastAsia="黑体"/>
      <w:kern w:val="2"/>
      <w:sz w:val="30"/>
      <w:szCs w:val="28"/>
    </w:rPr>
  </w:style>
  <w:style w:type="character" w:customStyle="1" w:styleId="89">
    <w:name w:val="文档结构图 字符"/>
    <w:basedOn w:val="45"/>
    <w:link w:val="15"/>
    <w:qFormat/>
    <w:uiPriority w:val="0"/>
    <w:rPr>
      <w:kern w:val="2"/>
      <w:sz w:val="21"/>
      <w:szCs w:val="24"/>
      <w:shd w:val="clear" w:color="auto" w:fill="000080"/>
    </w:rPr>
  </w:style>
  <w:style w:type="character" w:customStyle="1" w:styleId="90">
    <w:name w:val="批注主题 字符"/>
    <w:basedOn w:val="83"/>
    <w:link w:val="41"/>
    <w:qFormat/>
    <w:uiPriority w:val="0"/>
    <w:rPr>
      <w:b/>
      <w:bCs/>
      <w:kern w:val="2"/>
      <w:sz w:val="21"/>
      <w:szCs w:val="24"/>
    </w:rPr>
  </w:style>
  <w:style w:type="paragraph" w:styleId="9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92">
    <w:name w:val="Quote"/>
    <w:basedOn w:val="1"/>
    <w:next w:val="1"/>
    <w:link w:val="93"/>
    <w:qFormat/>
    <w:uiPriority w:val="0"/>
    <w:pPr>
      <w:spacing w:line="240" w:lineRule="auto"/>
      <w:ind w:firstLine="0" w:firstLineChars="0"/>
    </w:pPr>
    <w:rPr>
      <w:rFonts w:ascii="Times New Roman" w:hAnsi="Times New Roman" w:eastAsia="宋体" w:cs="Times New Roman"/>
      <w:i/>
      <w:iCs/>
      <w:color w:val="000000"/>
      <w:sz w:val="21"/>
      <w:szCs w:val="22"/>
    </w:rPr>
  </w:style>
  <w:style w:type="character" w:customStyle="1" w:styleId="93">
    <w:name w:val="引用 字符"/>
    <w:basedOn w:val="45"/>
    <w:link w:val="92"/>
    <w:qFormat/>
    <w:uiPriority w:val="0"/>
    <w:rPr>
      <w:i/>
      <w:iCs/>
      <w:color w:val="000000"/>
      <w:kern w:val="2"/>
      <w:sz w:val="21"/>
      <w:szCs w:val="22"/>
    </w:rPr>
  </w:style>
  <w:style w:type="paragraph" w:styleId="94">
    <w:name w:val="Intense Quote"/>
    <w:basedOn w:val="1"/>
    <w:next w:val="1"/>
    <w:link w:val="95"/>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95">
    <w:name w:val="明显引用 字符"/>
    <w:basedOn w:val="45"/>
    <w:link w:val="94"/>
    <w:qFormat/>
    <w:uiPriority w:val="0"/>
    <w:rPr>
      <w:b/>
      <w:bCs/>
      <w:i/>
      <w:iCs/>
      <w:color w:val="4F81BD"/>
      <w:kern w:val="2"/>
      <w:sz w:val="21"/>
      <w:szCs w:val="22"/>
    </w:rPr>
  </w:style>
  <w:style w:type="character" w:customStyle="1" w:styleId="96">
    <w:name w:val="Blockquote Char"/>
    <w:link w:val="97"/>
    <w:qFormat/>
    <w:locked/>
    <w:uiPriority w:val="0"/>
    <w:rPr>
      <w:sz w:val="24"/>
    </w:rPr>
  </w:style>
  <w:style w:type="paragraph" w:customStyle="1" w:styleId="97">
    <w:name w:val="Blockquote"/>
    <w:basedOn w:val="1"/>
    <w:link w:val="96"/>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98">
    <w:name w:val="标题5 Char Char"/>
    <w:link w:val="99"/>
    <w:qFormat/>
    <w:locked/>
    <w:uiPriority w:val="0"/>
    <w:rPr>
      <w:rFonts w:ascii="Arial" w:hAnsi="Arial" w:cs="Arial"/>
      <w:b/>
      <w:bCs/>
      <w:sz w:val="24"/>
      <w:szCs w:val="32"/>
    </w:rPr>
  </w:style>
  <w:style w:type="paragraph" w:customStyle="1" w:styleId="99">
    <w:name w:val="标题5"/>
    <w:basedOn w:val="7"/>
    <w:link w:val="98"/>
    <w:qFormat/>
    <w:uiPriority w:val="0"/>
    <w:pPr>
      <w:numPr>
        <w:ilvl w:val="0"/>
        <w:numId w:val="0"/>
      </w:numPr>
      <w:spacing w:line="412" w:lineRule="auto"/>
    </w:pPr>
    <w:rPr>
      <w:rFonts w:ascii="Arial" w:hAnsi="Arial" w:eastAsia="宋体" w:cs="Arial"/>
      <w:bCs/>
      <w:kern w:val="0"/>
      <w:sz w:val="24"/>
      <w:szCs w:val="32"/>
    </w:rPr>
  </w:style>
  <w:style w:type="character" w:customStyle="1" w:styleId="100">
    <w:name w:val="p0 Char"/>
    <w:link w:val="101"/>
    <w:qFormat/>
    <w:locked/>
    <w:uiPriority w:val="0"/>
    <w:rPr>
      <w:sz w:val="21"/>
      <w:szCs w:val="21"/>
    </w:rPr>
  </w:style>
  <w:style w:type="paragraph" w:customStyle="1" w:styleId="101">
    <w:name w:val="p0"/>
    <w:basedOn w:val="1"/>
    <w:link w:val="100"/>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2">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03">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04">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5">
    <w:name w:val="Char Char Char"/>
    <w:basedOn w:val="1"/>
    <w:qFormat/>
    <w:uiPriority w:val="0"/>
    <w:pPr>
      <w:ind w:firstLine="0" w:firstLineChars="0"/>
      <w:jc w:val="center"/>
    </w:pPr>
    <w:rPr>
      <w:rFonts w:ascii="Tahoma" w:hAnsi="Tahoma" w:eastAsia="宋体" w:cs="Times New Roman"/>
      <w:szCs w:val="20"/>
    </w:rPr>
  </w:style>
  <w:style w:type="paragraph" w:customStyle="1" w:styleId="106">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7">
    <w:name w:val="正文首行缩进两字符"/>
    <w:basedOn w:val="1"/>
    <w:qFormat/>
    <w:uiPriority w:val="0"/>
    <w:pPr>
      <w:ind w:firstLine="200"/>
    </w:pPr>
    <w:rPr>
      <w:rFonts w:ascii="Times New Roman" w:hAnsi="Times New Roman" w:eastAsia="宋体" w:cs="Times New Roman"/>
      <w:sz w:val="21"/>
    </w:rPr>
  </w:style>
  <w:style w:type="paragraph" w:customStyle="1" w:styleId="108">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09">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0">
    <w:name w:val="样式 标题 3 + (中文) 黑体 小四 非加粗 段前: 7.8 磅 段后: 0 磅 行距: 固定值 20 磅"/>
    <w:basedOn w:val="7"/>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1">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13">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4">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15">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16">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7">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8">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样式 标题 2 + Times New Roman 四号 非加粗 段前: 5 磅 段后: 0 磅 行距: 固定值 20..."/>
    <w:basedOn w:val="5"/>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0">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1">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2">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3">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24">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25">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26">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2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28">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29">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0">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1">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2">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35">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36">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37">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8">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39">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0">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1">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2">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明显强调1"/>
    <w:qFormat/>
    <w:uiPriority w:val="0"/>
    <w:rPr>
      <w:b/>
      <w:bCs/>
      <w:i/>
      <w:iCs/>
      <w:color w:val="4F81BD"/>
    </w:rPr>
  </w:style>
  <w:style w:type="character" w:customStyle="1" w:styleId="146">
    <w:name w:val="不明显参考1"/>
    <w:qFormat/>
    <w:uiPriority w:val="0"/>
    <w:rPr>
      <w:smallCaps/>
      <w:color w:val="C0504D"/>
      <w:u w:val="single"/>
    </w:rPr>
  </w:style>
  <w:style w:type="character" w:customStyle="1" w:styleId="147">
    <w:name w:val="明显参考1"/>
    <w:qFormat/>
    <w:uiPriority w:val="0"/>
    <w:rPr>
      <w:b/>
      <w:bCs/>
      <w:smallCaps/>
      <w:color w:val="C0504D"/>
      <w:spacing w:val="5"/>
      <w:u w:val="single"/>
    </w:rPr>
  </w:style>
  <w:style w:type="character" w:customStyle="1" w:styleId="148">
    <w:name w:val="书籍标题1"/>
    <w:qFormat/>
    <w:uiPriority w:val="0"/>
    <w:rPr>
      <w:b/>
      <w:bCs/>
      <w:smallCaps/>
      <w:spacing w:val="5"/>
    </w:rPr>
  </w:style>
  <w:style w:type="character" w:customStyle="1" w:styleId="149">
    <w:name w:val="hover3"/>
    <w:qFormat/>
    <w:uiPriority w:val="0"/>
    <w:rPr>
      <w:shd w:val="clear" w:color="auto" w:fill="EEEEEE"/>
    </w:rPr>
  </w:style>
  <w:style w:type="character" w:customStyle="1" w:styleId="150">
    <w:name w:val="引用 Char1"/>
    <w:qFormat/>
    <w:uiPriority w:val="99"/>
    <w:rPr>
      <w:i/>
      <w:iCs/>
      <w:color w:val="000000"/>
      <w:kern w:val="2"/>
      <w:sz w:val="21"/>
      <w:szCs w:val="24"/>
    </w:rPr>
  </w:style>
  <w:style w:type="character" w:customStyle="1" w:styleId="151">
    <w:name w:val="副标题 Char1"/>
    <w:qFormat/>
    <w:uiPriority w:val="0"/>
    <w:rPr>
      <w:rFonts w:hint="default" w:ascii="Cambria" w:hAnsi="Cambria" w:cs="Times New Roman"/>
      <w:b/>
      <w:bCs/>
      <w:kern w:val="28"/>
      <w:sz w:val="32"/>
      <w:szCs w:val="32"/>
    </w:rPr>
  </w:style>
  <w:style w:type="character" w:customStyle="1" w:styleId="152">
    <w:name w:val="明显引用 Char1"/>
    <w:basedOn w:val="45"/>
    <w:qFormat/>
    <w:uiPriority w:val="99"/>
    <w:rPr>
      <w:b/>
      <w:bCs/>
      <w:i/>
      <w:iCs/>
      <w:color w:val="5B9BD5" w:themeColor="accent1"/>
      <w:kern w:val="2"/>
      <w:sz w:val="21"/>
      <w:szCs w:val="24"/>
      <w14:textFill>
        <w14:solidFill>
          <w14:schemeClr w14:val="accent1"/>
        </w14:solidFill>
      </w14:textFill>
    </w:rPr>
  </w:style>
  <w:style w:type="character" w:customStyle="1" w:styleId="153">
    <w:name w:val="批注文字 Char1"/>
    <w:basedOn w:val="45"/>
    <w:qFormat/>
    <w:uiPriority w:val="0"/>
    <w:rPr>
      <w:kern w:val="2"/>
      <w:sz w:val="21"/>
      <w:szCs w:val="24"/>
    </w:rPr>
  </w:style>
  <w:style w:type="character" w:customStyle="1" w:styleId="154">
    <w:name w:val="日期 Char1"/>
    <w:basedOn w:val="45"/>
    <w:qFormat/>
    <w:uiPriority w:val="0"/>
    <w:rPr>
      <w:kern w:val="2"/>
      <w:sz w:val="21"/>
      <w:szCs w:val="24"/>
    </w:rPr>
  </w:style>
  <w:style w:type="character" w:customStyle="1" w:styleId="155">
    <w:name w:val="副标题 Char2"/>
    <w:basedOn w:val="45"/>
    <w:qFormat/>
    <w:uiPriority w:val="11"/>
    <w:rPr>
      <w:rFonts w:hint="default" w:asciiTheme="majorHAnsi" w:hAnsiTheme="majorHAnsi" w:cstheme="majorBidi"/>
      <w:b/>
      <w:bCs/>
      <w:kern w:val="28"/>
      <w:sz w:val="32"/>
      <w:szCs w:val="32"/>
    </w:rPr>
  </w:style>
  <w:style w:type="character" w:customStyle="1" w:styleId="156">
    <w:name w:val="文档结构图 Char1"/>
    <w:qFormat/>
    <w:uiPriority w:val="0"/>
    <w:rPr>
      <w:rFonts w:hint="eastAsia" w:ascii="宋体" w:hAnsi="宋体" w:eastAsia="宋体"/>
      <w:kern w:val="2"/>
      <w:sz w:val="18"/>
      <w:szCs w:val="18"/>
    </w:rPr>
  </w:style>
  <w:style w:type="character" w:customStyle="1" w:styleId="157">
    <w:name w:val="批注框文本 Char1"/>
    <w:qFormat/>
    <w:uiPriority w:val="0"/>
    <w:rPr>
      <w:kern w:val="2"/>
      <w:sz w:val="18"/>
      <w:szCs w:val="18"/>
    </w:rPr>
  </w:style>
  <w:style w:type="character" w:customStyle="1" w:styleId="158">
    <w:name w:val="button"/>
    <w:basedOn w:val="45"/>
    <w:qFormat/>
    <w:uiPriority w:val="0"/>
  </w:style>
  <w:style w:type="character" w:customStyle="1" w:styleId="159">
    <w:name w:val="标题4 Char Char"/>
    <w:qFormat/>
    <w:uiPriority w:val="0"/>
    <w:rPr>
      <w:rFonts w:hint="default" w:ascii="Arial" w:hAnsi="Arial" w:cs="Arial"/>
      <w:b/>
      <w:bCs/>
      <w:sz w:val="24"/>
      <w:szCs w:val="32"/>
    </w:rPr>
  </w:style>
  <w:style w:type="character" w:customStyle="1" w:styleId="160">
    <w:name w:val="标题 Char1"/>
    <w:basedOn w:val="45"/>
    <w:qFormat/>
    <w:uiPriority w:val="10"/>
    <w:rPr>
      <w:rFonts w:hint="default" w:asciiTheme="majorHAnsi" w:hAnsiTheme="majorHAnsi" w:cstheme="majorBidi"/>
      <w:b/>
      <w:bCs/>
      <w:kern w:val="2"/>
      <w:sz w:val="32"/>
      <w:szCs w:val="32"/>
    </w:rPr>
  </w:style>
  <w:style w:type="character" w:customStyle="1" w:styleId="161">
    <w:name w:val="bds_nopic2"/>
    <w:qFormat/>
    <w:uiPriority w:val="0"/>
    <w:rPr>
      <w:rFonts w:hint="default" w:ascii="Times New Roman" w:hAnsi="Times New Roman" w:eastAsia="宋体" w:cs="Times New Roman"/>
    </w:rPr>
  </w:style>
  <w:style w:type="character" w:customStyle="1" w:styleId="162">
    <w:name w:val="tmpztreemove_arrow"/>
    <w:qFormat/>
    <w:uiPriority w:val="0"/>
    <w:rPr>
      <w:shd w:val="clear" w:color="auto" w:fill="FFFFFF"/>
    </w:rPr>
  </w:style>
  <w:style w:type="character" w:customStyle="1" w:styleId="163">
    <w:name w:val="批注文字 Char Char"/>
    <w:qFormat/>
    <w:uiPriority w:val="0"/>
    <w:rPr>
      <w:rFonts w:hint="eastAsia" w:ascii="宋体" w:hAnsi="Times New Roman" w:eastAsia="宋体" w:cs="Times New Roman"/>
      <w:sz w:val="28"/>
      <w:szCs w:val="20"/>
    </w:rPr>
  </w:style>
  <w:style w:type="character" w:customStyle="1" w:styleId="164">
    <w:name w:val="正文文本 Char1"/>
    <w:basedOn w:val="45"/>
    <w:qFormat/>
    <w:uiPriority w:val="0"/>
    <w:rPr>
      <w:kern w:val="2"/>
      <w:sz w:val="21"/>
      <w:szCs w:val="24"/>
    </w:rPr>
  </w:style>
  <w:style w:type="character" w:customStyle="1" w:styleId="165">
    <w:name w:val="Char Char Char Char Char Char Char Char Char"/>
    <w:qFormat/>
    <w:uiPriority w:val="0"/>
    <w:rPr>
      <w:sz w:val="18"/>
      <w:szCs w:val="18"/>
    </w:rPr>
  </w:style>
  <w:style w:type="character" w:customStyle="1" w:styleId="166">
    <w:name w:val="glyphicon4"/>
    <w:basedOn w:val="45"/>
    <w:qFormat/>
    <w:uiPriority w:val="0"/>
  </w:style>
  <w:style w:type="character" w:customStyle="1" w:styleId="167">
    <w:name w:val="hour_pm"/>
    <w:basedOn w:val="45"/>
    <w:qFormat/>
    <w:uiPriority w:val="0"/>
  </w:style>
  <w:style w:type="character" w:customStyle="1" w:styleId="168">
    <w:name w:val="rili11"/>
    <w:qFormat/>
    <w:uiPriority w:val="0"/>
    <w:rPr>
      <w:sz w:val="21"/>
      <w:szCs w:val="21"/>
    </w:rPr>
  </w:style>
  <w:style w:type="character" w:customStyle="1" w:styleId="169">
    <w:name w:val="普通文字1 Char"/>
    <w:qFormat/>
    <w:uiPriority w:val="0"/>
    <w:rPr>
      <w:rFonts w:hint="eastAsia" w:ascii="宋体" w:hAnsi="Courier New" w:eastAsia="宋体"/>
      <w:kern w:val="2"/>
      <w:sz w:val="21"/>
      <w:lang w:val="en-US" w:eastAsia="zh-CN" w:bidi="ar-SA"/>
    </w:rPr>
  </w:style>
  <w:style w:type="character" w:customStyle="1" w:styleId="170">
    <w:name w:val="hour_am"/>
    <w:basedOn w:val="45"/>
    <w:qFormat/>
    <w:uiPriority w:val="0"/>
  </w:style>
  <w:style w:type="character" w:customStyle="1" w:styleId="171">
    <w:name w:val="Char Char"/>
    <w:qFormat/>
    <w:uiPriority w:val="0"/>
    <w:rPr>
      <w:sz w:val="18"/>
      <w:szCs w:val="18"/>
    </w:rPr>
  </w:style>
  <w:style w:type="character" w:customStyle="1" w:styleId="172">
    <w:name w:val="old"/>
    <w:qFormat/>
    <w:uiPriority w:val="0"/>
    <w:rPr>
      <w:color w:val="999999"/>
    </w:rPr>
  </w:style>
  <w:style w:type="character" w:customStyle="1" w:styleId="173">
    <w:name w:val="批注主题 Char1"/>
    <w:qFormat/>
    <w:uiPriority w:val="0"/>
    <w:rPr>
      <w:b/>
      <w:bCs/>
      <w:kern w:val="2"/>
      <w:sz w:val="21"/>
      <w:szCs w:val="22"/>
    </w:rPr>
  </w:style>
  <w:style w:type="character" w:customStyle="1" w:styleId="174">
    <w:name w:val="引用 Char2"/>
    <w:basedOn w:val="45"/>
    <w:qFormat/>
    <w:uiPriority w:val="29"/>
    <w:rPr>
      <w:i/>
      <w:iCs/>
      <w:color w:val="000000" w:themeColor="text1"/>
      <w:kern w:val="2"/>
      <w:sz w:val="21"/>
      <w:szCs w:val="24"/>
      <w14:textFill>
        <w14:solidFill>
          <w14:schemeClr w14:val="tx1"/>
        </w14:solidFill>
      </w14:textFill>
    </w:rPr>
  </w:style>
  <w:style w:type="character" w:customStyle="1" w:styleId="175">
    <w:name w:val="Blockquote Char Char"/>
    <w:qFormat/>
    <w:locked/>
    <w:uiPriority w:val="0"/>
    <w:rPr>
      <w:sz w:val="24"/>
    </w:rPr>
  </w:style>
  <w:style w:type="character" w:customStyle="1" w:styleId="176">
    <w:name w:val="textcontents"/>
    <w:qFormat/>
    <w:uiPriority w:val="0"/>
    <w:rPr>
      <w:rFonts w:hint="default" w:ascii="Times New Roman" w:hAnsi="Times New Roman" w:cs="Times New Roman"/>
    </w:rPr>
  </w:style>
  <w:style w:type="character" w:customStyle="1" w:styleId="177">
    <w:name w:val="indent"/>
    <w:basedOn w:val="45"/>
    <w:qFormat/>
    <w:uiPriority w:val="0"/>
  </w:style>
  <w:style w:type="paragraph" w:customStyle="1" w:styleId="178">
    <w:name w:val="title11"/>
    <w:basedOn w:val="1"/>
    <w:qFormat/>
    <w:uiPriority w:val="0"/>
    <w:pPr>
      <w:spacing w:before="150" w:line="450" w:lineRule="atLeast"/>
      <w:jc w:val="left"/>
    </w:pPr>
    <w:rPr>
      <w:rFonts w:cs="Times New Roman"/>
      <w:b/>
      <w:kern w:val="0"/>
    </w:rPr>
  </w:style>
  <w:style w:type="character" w:customStyle="1" w:styleId="179">
    <w:name w:val="span-long"/>
    <w:basedOn w:val="45"/>
    <w:qFormat/>
    <w:uiPriority w:val="0"/>
  </w:style>
  <w:style w:type="character" w:customStyle="1" w:styleId="180">
    <w:name w:val="stclosebtn"/>
    <w:basedOn w:val="45"/>
    <w:qFormat/>
    <w:uiPriority w:val="0"/>
  </w:style>
  <w:style w:type="character" w:customStyle="1" w:styleId="181">
    <w:name w:val="proollist"/>
    <w:basedOn w:val="45"/>
    <w:qFormat/>
    <w:uiPriority w:val="0"/>
  </w:style>
  <w:style w:type="character" w:customStyle="1" w:styleId="182">
    <w:name w:val="input-direction"/>
    <w:basedOn w:val="45"/>
    <w:qFormat/>
    <w:uiPriority w:val="0"/>
    <w:rPr>
      <w:color w:val="FF6600"/>
    </w:rPr>
  </w:style>
  <w:style w:type="character" w:customStyle="1" w:styleId="183">
    <w:name w:val="beforeinfotext"/>
    <w:basedOn w:val="45"/>
    <w:qFormat/>
    <w:uiPriority w:val="0"/>
    <w:rPr>
      <w:color w:val="666666"/>
    </w:rPr>
  </w:style>
  <w:style w:type="character" w:customStyle="1" w:styleId="184">
    <w:name w:val="hilite6"/>
    <w:basedOn w:val="45"/>
    <w:qFormat/>
    <w:uiPriority w:val="0"/>
    <w:rPr>
      <w:color w:val="FFFFFF"/>
      <w:shd w:val="clear" w:color="auto" w:fill="666677"/>
    </w:rPr>
  </w:style>
  <w:style w:type="character" w:customStyle="1" w:styleId="185">
    <w:name w:val="phone"/>
    <w:basedOn w:val="45"/>
    <w:qFormat/>
    <w:uiPriority w:val="0"/>
    <w:rPr>
      <w:color w:val="FF8833"/>
      <w:sz w:val="18"/>
      <w:szCs w:val="18"/>
    </w:rPr>
  </w:style>
  <w:style w:type="character" w:customStyle="1" w:styleId="186">
    <w:name w:val="number"/>
    <w:basedOn w:val="45"/>
    <w:qFormat/>
    <w:uiPriority w:val="0"/>
    <w:rPr>
      <w:color w:val="FF8833"/>
      <w:sz w:val="18"/>
      <w:szCs w:val="18"/>
    </w:rPr>
  </w:style>
  <w:style w:type="character" w:customStyle="1" w:styleId="187">
    <w:name w:val="active6"/>
    <w:basedOn w:val="45"/>
    <w:qFormat/>
    <w:uiPriority w:val="0"/>
    <w:rPr>
      <w:color w:val="00FF00"/>
      <w:shd w:val="clear" w:color="auto" w:fill="000000"/>
    </w:rPr>
  </w:style>
  <w:style w:type="character" w:customStyle="1" w:styleId="188">
    <w:name w:val="hilite"/>
    <w:basedOn w:val="45"/>
    <w:qFormat/>
    <w:uiPriority w:val="0"/>
    <w:rPr>
      <w:color w:val="FFFFFF"/>
      <w:shd w:val="clear" w:color="auto" w:fill="666677"/>
    </w:rPr>
  </w:style>
  <w:style w:type="character" w:customStyle="1" w:styleId="189">
    <w:name w:val="active"/>
    <w:basedOn w:val="45"/>
    <w:qFormat/>
    <w:uiPriority w:val="0"/>
    <w:rPr>
      <w:color w:val="00FF00"/>
      <w:shd w:val="clear" w:color="auto" w:fill="000000"/>
    </w:rPr>
  </w:style>
  <w:style w:type="paragraph" w:customStyle="1" w:styleId="190">
    <w:name w:val="title12"/>
    <w:basedOn w:val="1"/>
    <w:qFormat/>
    <w:uiPriority w:val="0"/>
    <w:pPr>
      <w:spacing w:before="150"/>
      <w:ind w:firstLine="0"/>
      <w:jc w:val="left"/>
    </w:pPr>
    <w:rPr>
      <w:rFonts w:cs="Times New Roman"/>
      <w:b/>
      <w:kern w:val="0"/>
      <w:sz w:val="22"/>
      <w:szCs w:val="22"/>
    </w:rPr>
  </w:style>
  <w:style w:type="character" w:customStyle="1" w:styleId="191">
    <w:name w:val="NormalCharacter"/>
    <w:semiHidden/>
    <w:qFormat/>
    <w:uiPriority w:val="0"/>
    <w:rPr>
      <w:rFonts w:eastAsia="楷体" w:asciiTheme="minorHAnsi" w:hAnsiTheme="minorHAnsi" w:cstheme="minorBidi"/>
      <w:kern w:val="2"/>
      <w:sz w:val="24"/>
      <w:szCs w:val="24"/>
      <w:lang w:val="en-US" w:eastAsia="zh-CN" w:bidi="ar-SA"/>
    </w:rPr>
  </w:style>
  <w:style w:type="character" w:customStyle="1" w:styleId="192">
    <w:name w:val="UserStyle_11"/>
    <w:basedOn w:val="191"/>
    <w:qFormat/>
    <w:uiPriority w:val="0"/>
    <w:rPr>
      <w:rFonts w:ascii="宋体" w:hAnsi="宋体" w:eastAsia="宋体" w:cstheme="minorBidi"/>
      <w:color w:val="000000"/>
      <w:kern w:val="2"/>
      <w:sz w:val="21"/>
      <w:szCs w:val="21"/>
      <w:lang w:val="en-US" w:eastAsia="zh-CN" w:bidi="ar-SA"/>
    </w:rPr>
  </w:style>
  <w:style w:type="character" w:customStyle="1" w:styleId="193">
    <w:name w:val="font01"/>
    <w:basedOn w:val="45"/>
    <w:qFormat/>
    <w:uiPriority w:val="0"/>
    <w:rPr>
      <w:rFonts w:hint="eastAsia" w:ascii="宋体" w:hAnsi="宋体" w:eastAsia="宋体" w:cs="宋体"/>
      <w:b/>
      <w:color w:val="000000"/>
      <w:sz w:val="18"/>
      <w:szCs w:val="18"/>
      <w:u w:val="none"/>
    </w:rPr>
  </w:style>
  <w:style w:type="paragraph" w:customStyle="1" w:styleId="194">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195">
    <w:name w:val="Subtle Emphasis"/>
    <w:basedOn w:val="45"/>
    <w:qFormat/>
    <w:uiPriority w:val="19"/>
    <w:rPr>
      <w:i/>
      <w:iCs/>
      <w:color w:val="404040" w:themeColor="text1" w:themeTint="BF"/>
      <w14:textFill>
        <w14:solidFill>
          <w14:schemeClr w14:val="tx1">
            <w14:lumMod w14:val="75000"/>
            <w14:lumOff w14:val="25000"/>
          </w14:schemeClr>
        </w14:solidFill>
      </w14:textFill>
    </w:rPr>
  </w:style>
  <w:style w:type="character" w:customStyle="1" w:styleId="196">
    <w:name w:val="标题 2 Char"/>
    <w:link w:val="5"/>
    <w:qFormat/>
    <w:uiPriority w:val="9"/>
    <w:rPr>
      <w:rFonts w:ascii="Arial" w:hAnsi="Arial" w:eastAsia="黑体"/>
      <w:b/>
      <w:sz w:val="30"/>
    </w:rPr>
  </w:style>
  <w:style w:type="paragraph" w:customStyle="1" w:styleId="197">
    <w:name w:val="Heading #1|1"/>
    <w:basedOn w:val="1"/>
    <w:qFormat/>
    <w:uiPriority w:val="0"/>
    <w:pPr>
      <w:widowControl w:val="0"/>
      <w:shd w:val="clear" w:color="auto" w:fill="auto"/>
      <w:spacing w:after="120" w:line="1133" w:lineRule="exact"/>
      <w:jc w:val="center"/>
      <w:outlineLvl w:val="0"/>
    </w:pPr>
    <w:rPr>
      <w:rFonts w:ascii="宋体" w:hAnsi="宋体" w:eastAsia="宋体" w:cs="宋体"/>
      <w:sz w:val="56"/>
      <w:szCs w:val="56"/>
      <w:u w:val="none"/>
      <w:shd w:val="clear" w:color="auto" w:fill="auto"/>
      <w:lang w:val="zh-TW" w:eastAsia="zh-TW" w:bidi="zh-TW"/>
    </w:rPr>
  </w:style>
  <w:style w:type="paragraph" w:customStyle="1" w:styleId="198">
    <w:name w:val="Body text|3"/>
    <w:basedOn w:val="1"/>
    <w:qFormat/>
    <w:uiPriority w:val="0"/>
    <w:pPr>
      <w:widowControl w:val="0"/>
      <w:shd w:val="clear" w:color="auto" w:fill="auto"/>
      <w:spacing w:line="317" w:lineRule="auto"/>
      <w:jc w:val="center"/>
    </w:pPr>
    <w:rPr>
      <w:sz w:val="30"/>
      <w:szCs w:val="30"/>
      <w:u w:val="none"/>
      <w:shd w:val="clear" w:color="auto" w:fill="auto"/>
    </w:rPr>
  </w:style>
  <w:style w:type="paragraph" w:customStyle="1" w:styleId="199">
    <w:name w:val="Body text|4"/>
    <w:basedOn w:val="1"/>
    <w:qFormat/>
    <w:uiPriority w:val="0"/>
    <w:pPr>
      <w:widowControl w:val="0"/>
      <w:shd w:val="clear" w:color="auto" w:fill="auto"/>
      <w:spacing w:after="1200" w:line="295" w:lineRule="auto"/>
    </w:pPr>
    <w:rPr>
      <w:rFonts w:ascii="宋体" w:hAnsi="宋体" w:eastAsia="宋体" w:cs="宋体"/>
      <w:sz w:val="30"/>
      <w:szCs w:val="30"/>
      <w:u w:val="none"/>
      <w:shd w:val="clear" w:color="auto" w:fill="auto"/>
      <w:lang w:val="zh-TW" w:eastAsia="zh-TW" w:bidi="zh-TW"/>
    </w:rPr>
  </w:style>
  <w:style w:type="paragraph" w:customStyle="1" w:styleId="200">
    <w:name w:val="Heading #2|1"/>
    <w:basedOn w:val="1"/>
    <w:qFormat/>
    <w:uiPriority w:val="0"/>
    <w:pPr>
      <w:widowControl w:val="0"/>
      <w:shd w:val="clear" w:color="auto" w:fill="auto"/>
      <w:spacing w:after="380"/>
      <w:jc w:val="center"/>
      <w:outlineLvl w:val="1"/>
    </w:pPr>
    <w:rPr>
      <w:rFonts w:ascii="宋体" w:hAnsi="宋体" w:eastAsia="宋体" w:cs="宋体"/>
      <w:sz w:val="36"/>
      <w:szCs w:val="36"/>
      <w:u w:val="none"/>
      <w:shd w:val="clear" w:color="auto" w:fill="auto"/>
      <w:lang w:val="zh-TW" w:eastAsia="zh-TW" w:bidi="zh-TW"/>
    </w:rPr>
  </w:style>
  <w:style w:type="paragraph" w:customStyle="1" w:styleId="201">
    <w:name w:val="Body text|1"/>
    <w:basedOn w:val="1"/>
    <w:qFormat/>
    <w:uiPriority w:val="0"/>
    <w:pPr>
      <w:widowControl w:val="0"/>
      <w:shd w:val="clear" w:color="auto" w:fill="auto"/>
      <w:spacing w:line="391" w:lineRule="auto"/>
      <w:ind w:firstLine="400"/>
    </w:pPr>
    <w:rPr>
      <w:rFonts w:ascii="宋体" w:hAnsi="宋体" w:eastAsia="宋体" w:cs="宋体"/>
      <w:sz w:val="22"/>
      <w:szCs w:val="22"/>
      <w:u w:val="none"/>
      <w:shd w:val="clear" w:color="auto" w:fill="auto"/>
      <w:lang w:val="zh-TW" w:eastAsia="zh-TW" w:bidi="zh-TW"/>
    </w:rPr>
  </w:style>
  <w:style w:type="paragraph" w:customStyle="1" w:styleId="202">
    <w:name w:val="Other|1"/>
    <w:basedOn w:val="1"/>
    <w:qFormat/>
    <w:uiPriority w:val="0"/>
    <w:pPr>
      <w:widowControl w:val="0"/>
      <w:shd w:val="clear" w:color="auto" w:fill="auto"/>
      <w:spacing w:line="391" w:lineRule="auto"/>
      <w:ind w:firstLine="400"/>
    </w:pPr>
    <w:rPr>
      <w:rFonts w:ascii="宋体" w:hAnsi="宋体" w:eastAsia="宋体" w:cs="宋体"/>
      <w:sz w:val="22"/>
      <w:szCs w:val="22"/>
      <w:u w:val="none"/>
      <w:shd w:val="clear" w:color="auto" w:fill="auto"/>
      <w:lang w:val="zh-TW" w:eastAsia="zh-TW" w:bidi="zh-TW"/>
    </w:rPr>
  </w:style>
  <w:style w:type="paragraph" w:customStyle="1" w:styleId="203">
    <w:name w:val="Table caption|1"/>
    <w:basedOn w:val="1"/>
    <w:qFormat/>
    <w:uiPriority w:val="0"/>
    <w:pPr>
      <w:widowControl w:val="0"/>
      <w:shd w:val="clear" w:color="auto" w:fill="auto"/>
      <w:spacing w:line="490" w:lineRule="exact"/>
      <w:ind w:firstLine="620"/>
    </w:pPr>
    <w:rPr>
      <w:rFonts w:ascii="宋体" w:hAnsi="宋体" w:eastAsia="宋体" w:cs="宋体"/>
      <w:sz w:val="22"/>
      <w:szCs w:val="22"/>
      <w:u w:val="none"/>
      <w:shd w:val="clear" w:color="auto" w:fill="auto"/>
      <w:lang w:val="zh-TW" w:eastAsia="zh-TW" w:bidi="zh-TW"/>
    </w:rPr>
  </w:style>
  <w:style w:type="paragraph" w:customStyle="1" w:styleId="204">
    <w:name w:val="Body text|2"/>
    <w:basedOn w:val="1"/>
    <w:qFormat/>
    <w:uiPriority w:val="0"/>
    <w:pPr>
      <w:widowControl w:val="0"/>
      <w:shd w:val="clear" w:color="auto" w:fill="auto"/>
      <w:spacing w:after="100"/>
      <w:ind w:firstLine="540"/>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5027E-F85E-430E-91C6-90CB43D71FD8}">
  <ds:schemaRefs/>
</ds:datastoreItem>
</file>

<file path=docProps/app.xml><?xml version="1.0" encoding="utf-8"?>
<Properties xmlns="http://schemas.openxmlformats.org/officeDocument/2006/extended-properties" xmlns:vt="http://schemas.openxmlformats.org/officeDocument/2006/docPropsVTypes">
  <Template>Normal</Template>
  <Pages>60</Pages>
  <Words>26453</Words>
  <Characters>27660</Characters>
  <Lines>172</Lines>
  <Paragraphs>48</Paragraphs>
  <TotalTime>0</TotalTime>
  <ScaleCrop>false</ScaleCrop>
  <LinksUpToDate>false</LinksUpToDate>
  <CharactersWithSpaces>30882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2022-07-03T10:46:00Z</dcterms:created>
  <dc:creator>Administrator</dc:creator>
  <cp:lastModifiedBy>张</cp:lastModifiedBy>
  <cp:lastPrinted>2022-04-22T05:37:00Z</cp:lastPrinted>
  <dcterms:modified xsi:type="dcterms:W3CDTF">2022-11-03T03:14:01Z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C58A703F95B846A2AB519BD9EDE9116C</vt:lpwstr>
  </property>
  <property fmtid="{D5CDD505-2E9C-101B-9397-08002B2CF9AE}" pid="4" name="commondata">
    <vt:lpwstr>eyJoZGlkIjoiYTRhNTRmZWJhMTZhMGI4NTIwNzY3MmY4OGE4OTA2NmYifQ==</vt:lpwstr>
  </property>
</Properties>
</file>