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一、项目概况</w:t>
      </w:r>
    </w:p>
    <w:p>
      <w:pPr>
        <w:rPr>
          <w:rFonts w:hint="eastAsia"/>
        </w:rPr>
      </w:pPr>
      <w:r>
        <w:rPr>
          <w:rFonts w:hint="eastAsia"/>
        </w:rPr>
        <w:t>本项目</w:t>
      </w:r>
      <w:r>
        <w:rPr>
          <w:rFonts w:hint="eastAsia"/>
          <w:lang w:val="en-US" w:eastAsia="zh-CN"/>
        </w:rPr>
        <w:t>采购预算910,000.00元</w:t>
      </w:r>
      <w:r>
        <w:rPr>
          <w:rFonts w:hint="eastAsia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二、规划区域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规划区域为西安国家民用航天产业基地外围组团城镇建设单元25.92平方公里。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三、规划期限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近期至2025年，远期至2035年。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具体内容详见竞争性磋商文件第三章</w:t>
      </w:r>
    </w:p>
    <w:p>
      <w:pPr>
        <w:rPr>
          <w:rFonts w:hint="default" w:eastAsia="楷体"/>
          <w:lang w:val="en-US" w:eastAsia="zh-CN"/>
        </w:rPr>
      </w:pP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TJhYmYwY2E0NTNlZTdlZWRhOTg2YTFkZDhiYjUifQ=="/>
    <w:docVar w:name="KSO_WPS_MARK_KEY" w:val="0985a780-50a2-4866-b7c7-41a87fc82a4f"/>
  </w:docVars>
  <w:rsids>
    <w:rsidRoot w:val="201E5D1F"/>
    <w:rsid w:val="201E5D1F"/>
    <w:rsid w:val="337113E9"/>
    <w:rsid w:val="48BD1BF3"/>
    <w:rsid w:val="703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 3"/>
    <w:basedOn w:val="1"/>
    <w:unhideWhenUsed/>
    <w:qFormat/>
    <w:uiPriority w:val="0"/>
    <w:pPr>
      <w:widowControl/>
      <w:spacing w:after="120" w:line="240" w:lineRule="auto"/>
      <w:ind w:firstLine="0" w:firstLineChars="0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styleId="5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108</Characters>
  <Lines>0</Lines>
  <Paragraphs>0</Paragraphs>
  <TotalTime>0</TotalTime>
  <ScaleCrop>false</ScaleCrop>
  <LinksUpToDate>false</LinksUpToDate>
  <CharactersWithSpaces>108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2023-02-10T05:57:00Z</dcterms:created>
  <dc:creator>Administrator</dc:creator>
  <cp:lastModifiedBy>liguoguo</cp:lastModifiedBy>
  <dcterms:modified xsi:type="dcterms:W3CDTF">2023-02-12T06:59:32Z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A1F7B2B53D34401DB10145383B06A0D1</vt:lpwstr>
  </property>
</Properties>
</file>