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b/>
          <w:bCs/>
          <w:color w:val="auto"/>
          <w:sz w:val="28"/>
          <w:szCs w:val="28"/>
          <w:highlight w:val="none"/>
          <w:lang w:val="zh-CN"/>
        </w:rPr>
        <w:sectPr>
          <w:headerReference r:id="rId5" w:type="first"/>
          <w:footerReference r:id="rId8" w:type="first"/>
          <w:headerReference r:id="rId3" w:type="default"/>
          <w:footerReference r:id="rId6" w:type="default"/>
          <w:headerReference r:id="rId4" w:type="even"/>
          <w:footerReference r:id="rId7" w:type="even"/>
          <w:pgSz w:w="11907" w:h="16840"/>
          <w:pgMar w:top="1440" w:right="1800" w:bottom="1440" w:left="1800" w:header="851" w:footer="992" w:gutter="0"/>
          <w:cols w:space="720" w:num="1"/>
          <w:titlePg/>
        </w:sectPr>
      </w:pPr>
      <w:bookmarkStart w:id="0" w:name="_Toc31018"/>
      <w:r>
        <w:rPr>
          <w:rFonts w:hint="default" w:ascii="Times New Roman" w:hAnsi="Times New Roman" w:cs="Times New Roman"/>
          <w:b/>
          <w:bCs/>
          <w:color w:val="auto"/>
          <w:sz w:val="28"/>
          <w:szCs w:val="28"/>
          <w:highlight w:val="none"/>
          <w:lang w:val="zh-CN"/>
        </w:rPr>
        <w:drawing>
          <wp:inline distT="0" distB="0" distL="114300" distR="114300">
            <wp:extent cx="5271770" cy="7595235"/>
            <wp:effectExtent l="0" t="0" r="5080" b="5715"/>
            <wp:docPr id="1" name="图片 1" descr="57幼部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7幼部室"/>
                    <pic:cNvPicPr>
                      <a:picLocks noChangeAspect="1"/>
                    </pic:cNvPicPr>
                  </pic:nvPicPr>
                  <pic:blipFill>
                    <a:blip r:embed="rId16"/>
                    <a:stretch>
                      <a:fillRect/>
                    </a:stretch>
                  </pic:blipFill>
                  <pic:spPr>
                    <a:xfrm>
                      <a:off x="0" y="0"/>
                      <a:ext cx="5271770" cy="7595235"/>
                    </a:xfrm>
                    <a:prstGeom prst="rect">
                      <a:avLst/>
                    </a:prstGeom>
                  </pic:spPr>
                </pic:pic>
              </a:graphicData>
            </a:graphic>
          </wp:inline>
        </w:drawing>
      </w:r>
    </w:p>
    <w:p>
      <w:pPr>
        <w:keepNext/>
        <w:keepLines/>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cs="Times New Roman"/>
          <w:bCs/>
          <w:color w:val="auto"/>
          <w:sz w:val="32"/>
          <w:szCs w:val="32"/>
          <w:highlight w:val="none"/>
        </w:rPr>
      </w:pPr>
      <w:r>
        <w:rPr>
          <w:rFonts w:hint="default" w:ascii="Times New Roman" w:hAnsi="Times New Roman" w:cs="Times New Roman"/>
          <w:b w:val="0"/>
          <w:bCs/>
          <w:color w:val="auto"/>
          <w:sz w:val="32"/>
          <w:szCs w:val="32"/>
          <w:highlight w:val="none"/>
          <w:lang w:val="en-US" w:eastAsia="zh-CN"/>
        </w:rPr>
        <w:t xml:space="preserve">  </w:t>
      </w:r>
      <w:r>
        <w:rPr>
          <w:rFonts w:hint="default" w:ascii="Times New Roman" w:hAnsi="Times New Roman" w:cs="Times New Roman"/>
          <w:b w:val="0"/>
          <w:bCs/>
          <w:color w:val="auto"/>
          <w:sz w:val="32"/>
          <w:szCs w:val="32"/>
          <w:highlight w:val="none"/>
        </w:rPr>
        <w:t>目    录</w:t>
      </w:r>
      <w:bookmarkEnd w:id="0"/>
    </w:p>
    <w:p>
      <w:pPr>
        <w:pStyle w:val="20"/>
        <w:tabs>
          <w:tab w:val="right" w:leader="dot" w:pos="8959"/>
        </w:tabs>
        <w:spacing w:line="360" w:lineRule="auto"/>
        <w:rPr>
          <w:rFonts w:hint="default" w:ascii="Times New Roman" w:hAnsi="Times New Roman" w:eastAsia="宋体" w:cs="Times New Roman"/>
          <w:highlight w:val="none"/>
        </w:rPr>
      </w:pPr>
      <w:r>
        <w:rPr>
          <w:rFonts w:hint="default" w:ascii="Times New Roman" w:hAnsi="Times New Roman" w:eastAsia="宋体" w:cs="Times New Roman"/>
          <w:b/>
          <w:bCs/>
          <w:color w:val="auto"/>
          <w:sz w:val="21"/>
          <w:szCs w:val="21"/>
          <w:highlight w:val="none"/>
        </w:rPr>
        <w:fldChar w:fldCharType="begin"/>
      </w:r>
      <w:r>
        <w:rPr>
          <w:rFonts w:hint="default" w:ascii="Times New Roman" w:hAnsi="Times New Roman" w:eastAsia="宋体" w:cs="Times New Roman"/>
          <w:b/>
          <w:bCs/>
          <w:color w:val="auto"/>
          <w:sz w:val="21"/>
          <w:szCs w:val="21"/>
          <w:highlight w:val="none"/>
        </w:rPr>
        <w:instrText xml:space="preserve">TOC \o "1-2" \h \u </w:instrText>
      </w:r>
      <w:r>
        <w:rPr>
          <w:rFonts w:hint="default" w:ascii="Times New Roman" w:hAnsi="Times New Roman" w:eastAsia="宋体" w:cs="Times New Roman"/>
          <w:b/>
          <w:bCs/>
          <w:color w:val="auto"/>
          <w:sz w:val="21"/>
          <w:szCs w:val="21"/>
          <w:highlight w:val="none"/>
        </w:rPr>
        <w:fldChar w:fldCharType="separate"/>
      </w:r>
    </w:p>
    <w:p>
      <w:pPr>
        <w:pStyle w:val="21"/>
        <w:tabs>
          <w:tab w:val="right" w:leader="dot" w:pos="8959"/>
        </w:tabs>
        <w:spacing w:line="360" w:lineRule="auto"/>
        <w:rPr>
          <w:rFonts w:hint="default" w:ascii="Times New Roman" w:hAnsi="Times New Roman" w:eastAsia="宋体" w:cs="Times New Roman"/>
          <w:b/>
          <w:sz w:val="21"/>
          <w:szCs w:val="21"/>
          <w:highlight w:val="none"/>
        </w:rPr>
      </w:pPr>
      <w:r>
        <w:rPr>
          <w:rFonts w:hint="default" w:ascii="Times New Roman" w:hAnsi="Times New Roman" w:eastAsia="宋体" w:cs="Times New Roman"/>
          <w:b/>
          <w:bCs/>
          <w:color w:val="auto"/>
          <w:sz w:val="21"/>
          <w:szCs w:val="22"/>
          <w:highlight w:val="none"/>
        </w:rPr>
        <w:fldChar w:fldCharType="begin"/>
      </w:r>
      <w:r>
        <w:rPr>
          <w:rFonts w:hint="default" w:ascii="Times New Roman" w:hAnsi="Times New Roman" w:eastAsia="宋体" w:cs="Times New Roman"/>
          <w:b/>
          <w:bCs/>
          <w:sz w:val="21"/>
          <w:szCs w:val="22"/>
          <w:highlight w:val="none"/>
        </w:rPr>
        <w:instrText xml:space="preserve"> HYPERLINK \l _Toc6830 </w:instrText>
      </w:r>
      <w:r>
        <w:rPr>
          <w:rFonts w:hint="default" w:ascii="Times New Roman" w:hAnsi="Times New Roman" w:eastAsia="宋体" w:cs="Times New Roman"/>
          <w:b/>
          <w:bCs/>
          <w:sz w:val="21"/>
          <w:szCs w:val="22"/>
          <w:highlight w:val="none"/>
        </w:rPr>
        <w:fldChar w:fldCharType="separate"/>
      </w:r>
      <w:r>
        <w:rPr>
          <w:rFonts w:hint="default" w:ascii="Times New Roman" w:hAnsi="Times New Roman" w:eastAsia="宋体" w:cs="Times New Roman"/>
          <w:b/>
          <w:bCs/>
          <w:kern w:val="44"/>
          <w:sz w:val="21"/>
          <w:szCs w:val="36"/>
          <w:highlight w:val="none"/>
        </w:rPr>
        <w:t>第一</w:t>
      </w:r>
      <w:r>
        <w:rPr>
          <w:rFonts w:hint="default" w:ascii="Times New Roman" w:hAnsi="Times New Roman" w:eastAsia="宋体" w:cs="Times New Roman"/>
          <w:b/>
          <w:bCs/>
          <w:sz w:val="21"/>
          <w:szCs w:val="36"/>
          <w:highlight w:val="none"/>
        </w:rPr>
        <w:t>章 竞争性磋商公告</w:t>
      </w:r>
      <w:r>
        <w:rPr>
          <w:rFonts w:hint="default" w:ascii="Times New Roman" w:hAnsi="Times New Roman" w:eastAsia="宋体" w:cs="Times New Roman"/>
          <w:b/>
          <w:sz w:val="21"/>
          <w:szCs w:val="21"/>
          <w:highlight w:val="none"/>
        </w:rPr>
        <w:tab/>
      </w:r>
      <w:r>
        <w:rPr>
          <w:rFonts w:hint="default" w:ascii="Times New Roman" w:hAnsi="Times New Roman" w:eastAsia="宋体" w:cs="Times New Roman"/>
          <w:b/>
          <w:sz w:val="21"/>
          <w:szCs w:val="21"/>
          <w:highlight w:val="none"/>
        </w:rPr>
        <w:fldChar w:fldCharType="begin"/>
      </w:r>
      <w:r>
        <w:rPr>
          <w:rFonts w:hint="default" w:ascii="Times New Roman" w:hAnsi="Times New Roman" w:eastAsia="宋体" w:cs="Times New Roman"/>
          <w:b/>
          <w:sz w:val="21"/>
          <w:szCs w:val="21"/>
          <w:highlight w:val="none"/>
        </w:rPr>
        <w:instrText xml:space="preserve"> PAGEREF _Toc6830 \h </w:instrText>
      </w:r>
      <w:r>
        <w:rPr>
          <w:rFonts w:hint="default" w:ascii="Times New Roman" w:hAnsi="Times New Roman" w:eastAsia="宋体" w:cs="Times New Roman"/>
          <w:b/>
          <w:sz w:val="21"/>
          <w:szCs w:val="21"/>
          <w:highlight w:val="none"/>
        </w:rPr>
        <w:fldChar w:fldCharType="separate"/>
      </w:r>
      <w:r>
        <w:rPr>
          <w:rFonts w:hint="default" w:ascii="Times New Roman" w:hAnsi="Times New Roman" w:eastAsia="宋体" w:cs="Times New Roman"/>
          <w:b/>
          <w:sz w:val="21"/>
          <w:szCs w:val="21"/>
          <w:highlight w:val="none"/>
        </w:rPr>
        <w:t>2</w:t>
      </w:r>
      <w:r>
        <w:rPr>
          <w:rFonts w:hint="default" w:ascii="Times New Roman" w:hAnsi="Times New Roman" w:eastAsia="宋体" w:cs="Times New Roman"/>
          <w:b/>
          <w:sz w:val="21"/>
          <w:szCs w:val="21"/>
          <w:highlight w:val="none"/>
        </w:rPr>
        <w:fldChar w:fldCharType="end"/>
      </w:r>
      <w:r>
        <w:rPr>
          <w:rFonts w:hint="default" w:ascii="Times New Roman" w:hAnsi="Times New Roman" w:eastAsia="宋体" w:cs="Times New Roman"/>
          <w:b/>
          <w:bCs/>
          <w:color w:val="auto"/>
          <w:sz w:val="21"/>
          <w:szCs w:val="22"/>
          <w:highlight w:val="none"/>
        </w:rPr>
        <w:fldChar w:fldCharType="end"/>
      </w:r>
    </w:p>
    <w:p>
      <w:pPr>
        <w:pStyle w:val="21"/>
        <w:tabs>
          <w:tab w:val="right" w:leader="dot" w:pos="8959"/>
        </w:tabs>
        <w:spacing w:line="360" w:lineRule="auto"/>
        <w:rPr>
          <w:rFonts w:hint="default" w:ascii="Times New Roman" w:hAnsi="Times New Roman" w:eastAsia="宋体" w:cs="Times New Roman"/>
          <w:b/>
          <w:sz w:val="21"/>
          <w:szCs w:val="21"/>
          <w:highlight w:val="none"/>
        </w:rPr>
      </w:pPr>
      <w:r>
        <w:rPr>
          <w:rFonts w:hint="default" w:ascii="Times New Roman" w:hAnsi="Times New Roman" w:eastAsia="宋体" w:cs="Times New Roman"/>
          <w:b/>
          <w:bCs/>
          <w:color w:val="auto"/>
          <w:sz w:val="21"/>
          <w:szCs w:val="22"/>
          <w:highlight w:val="none"/>
        </w:rPr>
        <w:fldChar w:fldCharType="begin"/>
      </w:r>
      <w:r>
        <w:rPr>
          <w:rFonts w:hint="default" w:ascii="Times New Roman" w:hAnsi="Times New Roman" w:eastAsia="宋体" w:cs="Times New Roman"/>
          <w:b/>
          <w:bCs/>
          <w:sz w:val="21"/>
          <w:szCs w:val="22"/>
          <w:highlight w:val="none"/>
        </w:rPr>
        <w:instrText xml:space="preserve"> HYPERLINK \l _Toc32502 </w:instrText>
      </w:r>
      <w:r>
        <w:rPr>
          <w:rFonts w:hint="default" w:ascii="Times New Roman" w:hAnsi="Times New Roman" w:eastAsia="宋体" w:cs="Times New Roman"/>
          <w:b/>
          <w:bCs/>
          <w:sz w:val="21"/>
          <w:szCs w:val="22"/>
          <w:highlight w:val="none"/>
        </w:rPr>
        <w:fldChar w:fldCharType="separate"/>
      </w:r>
      <w:r>
        <w:rPr>
          <w:rFonts w:hint="default" w:ascii="Times New Roman" w:hAnsi="Times New Roman" w:eastAsia="宋体" w:cs="Times New Roman"/>
          <w:b/>
          <w:bCs/>
          <w:sz w:val="21"/>
          <w:szCs w:val="36"/>
          <w:highlight w:val="none"/>
          <w:lang w:eastAsia="zh-CN"/>
        </w:rPr>
        <w:t>第二章</w:t>
      </w:r>
      <w:r>
        <w:rPr>
          <w:rFonts w:hint="default" w:ascii="Times New Roman" w:hAnsi="Times New Roman" w:eastAsia="宋体" w:cs="Times New Roman"/>
          <w:b/>
          <w:bCs/>
          <w:sz w:val="21"/>
          <w:szCs w:val="36"/>
          <w:highlight w:val="none"/>
        </w:rPr>
        <w:t xml:space="preserve"> 供应商须知</w:t>
      </w:r>
      <w:r>
        <w:rPr>
          <w:rFonts w:hint="default" w:ascii="Times New Roman" w:hAnsi="Times New Roman" w:eastAsia="宋体" w:cs="Times New Roman"/>
          <w:b/>
          <w:sz w:val="21"/>
          <w:szCs w:val="21"/>
          <w:highlight w:val="none"/>
        </w:rPr>
        <w:tab/>
      </w:r>
      <w:r>
        <w:rPr>
          <w:rFonts w:hint="default" w:ascii="Times New Roman" w:hAnsi="Times New Roman" w:eastAsia="宋体" w:cs="Times New Roman"/>
          <w:b/>
          <w:sz w:val="21"/>
          <w:szCs w:val="21"/>
          <w:highlight w:val="none"/>
          <w:lang w:val="en-US" w:eastAsia="zh-CN"/>
        </w:rPr>
        <w:t>6</w:t>
      </w:r>
      <w:r>
        <w:rPr>
          <w:rFonts w:hint="default" w:ascii="Times New Roman" w:hAnsi="Times New Roman" w:eastAsia="宋体" w:cs="Times New Roman"/>
          <w:b/>
          <w:bCs/>
          <w:color w:val="auto"/>
          <w:sz w:val="21"/>
          <w:szCs w:val="22"/>
          <w:highlight w:val="none"/>
        </w:rPr>
        <w:fldChar w:fldCharType="end"/>
      </w:r>
    </w:p>
    <w:p>
      <w:pPr>
        <w:pStyle w:val="20"/>
        <w:tabs>
          <w:tab w:val="right" w:leader="dot" w:pos="8959"/>
        </w:tabs>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bCs/>
          <w:color w:val="auto"/>
          <w:sz w:val="21"/>
          <w:szCs w:val="22"/>
          <w:highlight w:val="none"/>
        </w:rPr>
        <w:fldChar w:fldCharType="begin"/>
      </w:r>
      <w:r>
        <w:rPr>
          <w:rFonts w:hint="default" w:ascii="Times New Roman" w:hAnsi="Times New Roman" w:eastAsia="宋体" w:cs="Times New Roman"/>
          <w:bCs/>
          <w:sz w:val="21"/>
          <w:szCs w:val="22"/>
          <w:highlight w:val="none"/>
        </w:rPr>
        <w:instrText xml:space="preserve"> HYPERLINK \l _Toc12532 </w:instrText>
      </w:r>
      <w:r>
        <w:rPr>
          <w:rFonts w:hint="default" w:ascii="Times New Roman" w:hAnsi="Times New Roman" w:eastAsia="宋体" w:cs="Times New Roman"/>
          <w:bCs/>
          <w:sz w:val="21"/>
          <w:szCs w:val="22"/>
          <w:highlight w:val="none"/>
        </w:rPr>
        <w:fldChar w:fldCharType="separate"/>
      </w:r>
      <w:r>
        <w:rPr>
          <w:rFonts w:hint="default" w:ascii="Times New Roman" w:hAnsi="Times New Roman" w:eastAsia="宋体" w:cs="Times New Roman"/>
          <w:bCs/>
          <w:sz w:val="21"/>
          <w:szCs w:val="36"/>
          <w:highlight w:val="none"/>
        </w:rPr>
        <w:t>供应商须知前附表</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lang w:val="en-US" w:eastAsia="zh-CN"/>
        </w:rPr>
        <w:t>6</w:t>
      </w:r>
      <w:r>
        <w:rPr>
          <w:rFonts w:hint="default" w:ascii="Times New Roman" w:hAnsi="Times New Roman" w:eastAsia="宋体" w:cs="Times New Roman"/>
          <w:bCs/>
          <w:color w:val="auto"/>
          <w:sz w:val="21"/>
          <w:szCs w:val="22"/>
          <w:highlight w:val="none"/>
        </w:rPr>
        <w:fldChar w:fldCharType="end"/>
      </w:r>
    </w:p>
    <w:p>
      <w:pPr>
        <w:pStyle w:val="20"/>
        <w:tabs>
          <w:tab w:val="right" w:leader="dot" w:pos="8959"/>
        </w:tabs>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bCs/>
          <w:color w:val="auto"/>
          <w:sz w:val="21"/>
          <w:szCs w:val="22"/>
          <w:highlight w:val="none"/>
        </w:rPr>
        <w:fldChar w:fldCharType="begin"/>
      </w:r>
      <w:r>
        <w:rPr>
          <w:rFonts w:hint="default" w:ascii="Times New Roman" w:hAnsi="Times New Roman" w:eastAsia="宋体" w:cs="Times New Roman"/>
          <w:bCs/>
          <w:sz w:val="21"/>
          <w:szCs w:val="22"/>
          <w:highlight w:val="none"/>
        </w:rPr>
        <w:instrText xml:space="preserve"> HYPERLINK \l _Toc16440 </w:instrText>
      </w:r>
      <w:r>
        <w:rPr>
          <w:rFonts w:hint="default" w:ascii="Times New Roman" w:hAnsi="Times New Roman" w:eastAsia="宋体" w:cs="Times New Roman"/>
          <w:bCs/>
          <w:sz w:val="21"/>
          <w:szCs w:val="22"/>
          <w:highlight w:val="none"/>
        </w:rPr>
        <w:fldChar w:fldCharType="separate"/>
      </w:r>
      <w:r>
        <w:rPr>
          <w:rFonts w:hint="default" w:ascii="Times New Roman" w:hAnsi="Times New Roman" w:eastAsia="宋体" w:cs="Times New Roman"/>
          <w:bCs/>
          <w:sz w:val="21"/>
          <w:szCs w:val="36"/>
          <w:highlight w:val="none"/>
        </w:rPr>
        <w:t>1.总  则</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PAGEREF _Toc16440 \h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8</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bCs/>
          <w:color w:val="auto"/>
          <w:sz w:val="21"/>
          <w:szCs w:val="22"/>
          <w:highlight w:val="none"/>
        </w:rPr>
        <w:fldChar w:fldCharType="end"/>
      </w:r>
    </w:p>
    <w:p>
      <w:pPr>
        <w:pStyle w:val="20"/>
        <w:tabs>
          <w:tab w:val="right" w:leader="dot" w:pos="8959"/>
        </w:tabs>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bCs/>
          <w:color w:val="auto"/>
          <w:sz w:val="21"/>
          <w:szCs w:val="22"/>
          <w:highlight w:val="none"/>
        </w:rPr>
        <w:fldChar w:fldCharType="begin"/>
      </w:r>
      <w:r>
        <w:rPr>
          <w:rFonts w:hint="default" w:ascii="Times New Roman" w:hAnsi="Times New Roman" w:eastAsia="宋体" w:cs="Times New Roman"/>
          <w:bCs/>
          <w:sz w:val="21"/>
          <w:szCs w:val="22"/>
          <w:highlight w:val="none"/>
        </w:rPr>
        <w:instrText xml:space="preserve"> HYPERLINK \l _Toc27354 </w:instrText>
      </w:r>
      <w:r>
        <w:rPr>
          <w:rFonts w:hint="default" w:ascii="Times New Roman" w:hAnsi="Times New Roman" w:eastAsia="宋体" w:cs="Times New Roman"/>
          <w:bCs/>
          <w:sz w:val="21"/>
          <w:szCs w:val="22"/>
          <w:highlight w:val="none"/>
        </w:rPr>
        <w:fldChar w:fldCharType="separate"/>
      </w:r>
      <w:r>
        <w:rPr>
          <w:rFonts w:hint="default" w:ascii="Times New Roman" w:hAnsi="Times New Roman" w:eastAsia="宋体" w:cs="Times New Roman"/>
          <w:bCs/>
          <w:sz w:val="21"/>
          <w:szCs w:val="36"/>
          <w:highlight w:val="none"/>
        </w:rPr>
        <w:t>2.磋商文件</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PAGEREF _Toc27354 \h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11</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bCs/>
          <w:color w:val="auto"/>
          <w:sz w:val="21"/>
          <w:szCs w:val="22"/>
          <w:highlight w:val="none"/>
        </w:rPr>
        <w:fldChar w:fldCharType="end"/>
      </w:r>
    </w:p>
    <w:p>
      <w:pPr>
        <w:pStyle w:val="20"/>
        <w:tabs>
          <w:tab w:val="right" w:leader="dot" w:pos="8959"/>
        </w:tabs>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bCs/>
          <w:color w:val="auto"/>
          <w:sz w:val="21"/>
          <w:szCs w:val="22"/>
          <w:highlight w:val="none"/>
        </w:rPr>
        <w:fldChar w:fldCharType="begin"/>
      </w:r>
      <w:r>
        <w:rPr>
          <w:rFonts w:hint="default" w:ascii="Times New Roman" w:hAnsi="Times New Roman" w:eastAsia="宋体" w:cs="Times New Roman"/>
          <w:bCs/>
          <w:sz w:val="21"/>
          <w:szCs w:val="22"/>
          <w:highlight w:val="none"/>
        </w:rPr>
        <w:instrText xml:space="preserve"> HYPERLINK \l _Toc31541 </w:instrText>
      </w:r>
      <w:r>
        <w:rPr>
          <w:rFonts w:hint="default" w:ascii="Times New Roman" w:hAnsi="Times New Roman" w:eastAsia="宋体" w:cs="Times New Roman"/>
          <w:bCs/>
          <w:sz w:val="21"/>
          <w:szCs w:val="22"/>
          <w:highlight w:val="none"/>
        </w:rPr>
        <w:fldChar w:fldCharType="separate"/>
      </w:r>
      <w:r>
        <w:rPr>
          <w:rFonts w:hint="default" w:ascii="Times New Roman" w:hAnsi="Times New Roman" w:eastAsia="宋体" w:cs="Times New Roman"/>
          <w:bCs/>
          <w:sz w:val="21"/>
          <w:szCs w:val="36"/>
          <w:highlight w:val="none"/>
        </w:rPr>
        <w:t>3.供应商</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PAGEREF _Toc31541 \h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12</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bCs/>
          <w:color w:val="auto"/>
          <w:sz w:val="21"/>
          <w:szCs w:val="22"/>
          <w:highlight w:val="none"/>
        </w:rPr>
        <w:fldChar w:fldCharType="end"/>
      </w:r>
    </w:p>
    <w:p>
      <w:pPr>
        <w:pStyle w:val="20"/>
        <w:tabs>
          <w:tab w:val="right" w:leader="dot" w:pos="8959"/>
        </w:tabs>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bCs/>
          <w:color w:val="auto"/>
          <w:sz w:val="21"/>
          <w:szCs w:val="22"/>
          <w:highlight w:val="none"/>
        </w:rPr>
        <w:fldChar w:fldCharType="begin"/>
      </w:r>
      <w:r>
        <w:rPr>
          <w:rFonts w:hint="default" w:ascii="Times New Roman" w:hAnsi="Times New Roman" w:eastAsia="宋体" w:cs="Times New Roman"/>
          <w:bCs/>
          <w:sz w:val="21"/>
          <w:szCs w:val="22"/>
          <w:highlight w:val="none"/>
        </w:rPr>
        <w:instrText xml:space="preserve"> HYPERLINK \l _Toc10483 </w:instrText>
      </w:r>
      <w:r>
        <w:rPr>
          <w:rFonts w:hint="default" w:ascii="Times New Roman" w:hAnsi="Times New Roman" w:eastAsia="宋体" w:cs="Times New Roman"/>
          <w:bCs/>
          <w:sz w:val="21"/>
          <w:szCs w:val="22"/>
          <w:highlight w:val="none"/>
        </w:rPr>
        <w:fldChar w:fldCharType="separate"/>
      </w:r>
      <w:r>
        <w:rPr>
          <w:rFonts w:hint="default" w:ascii="Times New Roman" w:hAnsi="Times New Roman" w:eastAsia="宋体" w:cs="Times New Roman"/>
          <w:bCs/>
          <w:sz w:val="21"/>
          <w:szCs w:val="36"/>
          <w:highlight w:val="none"/>
        </w:rPr>
        <w:t>4.响应文件</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PAGEREF _Toc10483 \h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15</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bCs/>
          <w:color w:val="auto"/>
          <w:sz w:val="21"/>
          <w:szCs w:val="22"/>
          <w:highlight w:val="none"/>
        </w:rPr>
        <w:fldChar w:fldCharType="end"/>
      </w:r>
    </w:p>
    <w:p>
      <w:pPr>
        <w:pStyle w:val="20"/>
        <w:tabs>
          <w:tab w:val="right" w:leader="dot" w:pos="8959"/>
        </w:tabs>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bCs/>
          <w:color w:val="auto"/>
          <w:sz w:val="21"/>
          <w:szCs w:val="22"/>
          <w:highlight w:val="none"/>
        </w:rPr>
        <w:fldChar w:fldCharType="begin"/>
      </w:r>
      <w:r>
        <w:rPr>
          <w:rFonts w:hint="default" w:ascii="Times New Roman" w:hAnsi="Times New Roman" w:eastAsia="宋体" w:cs="Times New Roman"/>
          <w:bCs/>
          <w:sz w:val="21"/>
          <w:szCs w:val="22"/>
          <w:highlight w:val="none"/>
        </w:rPr>
        <w:instrText xml:space="preserve"> HYPERLINK \l _Toc29244 </w:instrText>
      </w:r>
      <w:r>
        <w:rPr>
          <w:rFonts w:hint="default" w:ascii="Times New Roman" w:hAnsi="Times New Roman" w:eastAsia="宋体" w:cs="Times New Roman"/>
          <w:bCs/>
          <w:sz w:val="21"/>
          <w:szCs w:val="22"/>
          <w:highlight w:val="none"/>
        </w:rPr>
        <w:fldChar w:fldCharType="separate"/>
      </w:r>
      <w:r>
        <w:rPr>
          <w:rFonts w:hint="default" w:ascii="Times New Roman" w:hAnsi="Times New Roman" w:eastAsia="宋体" w:cs="Times New Roman"/>
          <w:bCs/>
          <w:sz w:val="21"/>
          <w:szCs w:val="36"/>
          <w:highlight w:val="none"/>
        </w:rPr>
        <w:t>5.响应文件的提交</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PAGEREF _Toc29244 \h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20</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bCs/>
          <w:color w:val="auto"/>
          <w:sz w:val="21"/>
          <w:szCs w:val="22"/>
          <w:highlight w:val="none"/>
        </w:rPr>
        <w:fldChar w:fldCharType="end"/>
      </w:r>
    </w:p>
    <w:p>
      <w:pPr>
        <w:pStyle w:val="20"/>
        <w:tabs>
          <w:tab w:val="right" w:leader="dot" w:pos="8959"/>
        </w:tabs>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bCs/>
          <w:color w:val="auto"/>
          <w:sz w:val="21"/>
          <w:szCs w:val="22"/>
          <w:highlight w:val="none"/>
        </w:rPr>
        <w:fldChar w:fldCharType="begin"/>
      </w:r>
      <w:r>
        <w:rPr>
          <w:rFonts w:hint="default" w:ascii="Times New Roman" w:hAnsi="Times New Roman" w:eastAsia="宋体" w:cs="Times New Roman"/>
          <w:bCs/>
          <w:sz w:val="21"/>
          <w:szCs w:val="22"/>
          <w:highlight w:val="none"/>
        </w:rPr>
        <w:instrText xml:space="preserve"> HYPERLINK \l _Toc4614 </w:instrText>
      </w:r>
      <w:r>
        <w:rPr>
          <w:rFonts w:hint="default" w:ascii="Times New Roman" w:hAnsi="Times New Roman" w:eastAsia="宋体" w:cs="Times New Roman"/>
          <w:bCs/>
          <w:sz w:val="21"/>
          <w:szCs w:val="22"/>
          <w:highlight w:val="none"/>
        </w:rPr>
        <w:fldChar w:fldCharType="separate"/>
      </w:r>
      <w:r>
        <w:rPr>
          <w:rFonts w:hint="default" w:ascii="Times New Roman" w:hAnsi="Times New Roman" w:eastAsia="宋体" w:cs="Times New Roman"/>
          <w:sz w:val="21"/>
          <w:szCs w:val="36"/>
          <w:highlight w:val="none"/>
        </w:rPr>
        <w:t>6.开启响应文件</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PAGEREF _Toc4614 \h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21</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bCs/>
          <w:color w:val="auto"/>
          <w:sz w:val="21"/>
          <w:szCs w:val="22"/>
          <w:highlight w:val="none"/>
        </w:rPr>
        <w:fldChar w:fldCharType="end"/>
      </w:r>
    </w:p>
    <w:p>
      <w:pPr>
        <w:pStyle w:val="20"/>
        <w:tabs>
          <w:tab w:val="right" w:leader="dot" w:pos="8959"/>
        </w:tabs>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bCs/>
          <w:color w:val="auto"/>
          <w:sz w:val="21"/>
          <w:szCs w:val="22"/>
          <w:highlight w:val="none"/>
        </w:rPr>
        <w:fldChar w:fldCharType="begin"/>
      </w:r>
      <w:r>
        <w:rPr>
          <w:rFonts w:hint="default" w:ascii="Times New Roman" w:hAnsi="Times New Roman" w:eastAsia="宋体" w:cs="Times New Roman"/>
          <w:bCs/>
          <w:sz w:val="21"/>
          <w:szCs w:val="22"/>
          <w:highlight w:val="none"/>
        </w:rPr>
        <w:instrText xml:space="preserve"> HYPERLINK \l _Toc9764 </w:instrText>
      </w:r>
      <w:r>
        <w:rPr>
          <w:rFonts w:hint="default" w:ascii="Times New Roman" w:hAnsi="Times New Roman" w:eastAsia="宋体" w:cs="Times New Roman"/>
          <w:bCs/>
          <w:sz w:val="21"/>
          <w:szCs w:val="22"/>
          <w:highlight w:val="none"/>
        </w:rPr>
        <w:fldChar w:fldCharType="separate"/>
      </w:r>
      <w:r>
        <w:rPr>
          <w:rFonts w:hint="default" w:ascii="Times New Roman" w:hAnsi="Times New Roman" w:eastAsia="宋体" w:cs="Times New Roman"/>
          <w:sz w:val="21"/>
          <w:szCs w:val="36"/>
          <w:highlight w:val="none"/>
        </w:rPr>
        <w:t>7.磋商</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PAGEREF _Toc9764 \h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22</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bCs/>
          <w:color w:val="auto"/>
          <w:sz w:val="21"/>
          <w:szCs w:val="22"/>
          <w:highlight w:val="none"/>
        </w:rPr>
        <w:fldChar w:fldCharType="end"/>
      </w:r>
    </w:p>
    <w:p>
      <w:pPr>
        <w:pStyle w:val="20"/>
        <w:tabs>
          <w:tab w:val="right" w:leader="dot" w:pos="8959"/>
        </w:tabs>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bCs/>
          <w:color w:val="auto"/>
          <w:sz w:val="21"/>
          <w:szCs w:val="22"/>
          <w:highlight w:val="none"/>
        </w:rPr>
        <w:fldChar w:fldCharType="begin"/>
      </w:r>
      <w:r>
        <w:rPr>
          <w:rFonts w:hint="default" w:ascii="Times New Roman" w:hAnsi="Times New Roman" w:eastAsia="宋体" w:cs="Times New Roman"/>
          <w:bCs/>
          <w:sz w:val="21"/>
          <w:szCs w:val="22"/>
          <w:highlight w:val="none"/>
        </w:rPr>
        <w:instrText xml:space="preserve"> HYPERLINK \l _Toc7177 </w:instrText>
      </w:r>
      <w:r>
        <w:rPr>
          <w:rFonts w:hint="default" w:ascii="Times New Roman" w:hAnsi="Times New Roman" w:eastAsia="宋体" w:cs="Times New Roman"/>
          <w:bCs/>
          <w:sz w:val="21"/>
          <w:szCs w:val="22"/>
          <w:highlight w:val="none"/>
        </w:rPr>
        <w:fldChar w:fldCharType="separate"/>
      </w:r>
      <w:r>
        <w:rPr>
          <w:rFonts w:hint="default" w:ascii="Times New Roman" w:hAnsi="Times New Roman" w:eastAsia="宋体" w:cs="Times New Roman"/>
          <w:sz w:val="21"/>
          <w:szCs w:val="36"/>
          <w:highlight w:val="none"/>
        </w:rPr>
        <w:t>8.确定成交供应商</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PAGEREF _Toc7177 \h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25</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bCs/>
          <w:color w:val="auto"/>
          <w:sz w:val="21"/>
          <w:szCs w:val="22"/>
          <w:highlight w:val="none"/>
        </w:rPr>
        <w:fldChar w:fldCharType="end"/>
      </w:r>
    </w:p>
    <w:p>
      <w:pPr>
        <w:pStyle w:val="20"/>
        <w:tabs>
          <w:tab w:val="right" w:leader="dot" w:pos="8959"/>
        </w:tabs>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bCs/>
          <w:color w:val="auto"/>
          <w:sz w:val="21"/>
          <w:szCs w:val="22"/>
          <w:highlight w:val="none"/>
        </w:rPr>
        <w:fldChar w:fldCharType="begin"/>
      </w:r>
      <w:r>
        <w:rPr>
          <w:rFonts w:hint="default" w:ascii="Times New Roman" w:hAnsi="Times New Roman" w:eastAsia="宋体" w:cs="Times New Roman"/>
          <w:bCs/>
          <w:sz w:val="21"/>
          <w:szCs w:val="22"/>
          <w:highlight w:val="none"/>
        </w:rPr>
        <w:instrText xml:space="preserve"> HYPERLINK \l _Toc15761 </w:instrText>
      </w:r>
      <w:r>
        <w:rPr>
          <w:rFonts w:hint="default" w:ascii="Times New Roman" w:hAnsi="Times New Roman" w:eastAsia="宋体" w:cs="Times New Roman"/>
          <w:bCs/>
          <w:sz w:val="21"/>
          <w:szCs w:val="22"/>
          <w:highlight w:val="none"/>
        </w:rPr>
        <w:fldChar w:fldCharType="separate"/>
      </w:r>
      <w:r>
        <w:rPr>
          <w:rFonts w:hint="default" w:ascii="Times New Roman" w:hAnsi="Times New Roman" w:eastAsia="宋体" w:cs="Times New Roman"/>
          <w:sz w:val="21"/>
          <w:szCs w:val="36"/>
          <w:highlight w:val="none"/>
        </w:rPr>
        <w:t>9.合同授予</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PAGEREF _Toc15761 \h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25</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bCs/>
          <w:color w:val="auto"/>
          <w:sz w:val="21"/>
          <w:szCs w:val="22"/>
          <w:highlight w:val="none"/>
        </w:rPr>
        <w:fldChar w:fldCharType="end"/>
      </w:r>
    </w:p>
    <w:p>
      <w:pPr>
        <w:pStyle w:val="20"/>
        <w:tabs>
          <w:tab w:val="right" w:leader="dot" w:pos="8959"/>
        </w:tabs>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bCs/>
          <w:color w:val="auto"/>
          <w:sz w:val="21"/>
          <w:szCs w:val="22"/>
          <w:highlight w:val="none"/>
        </w:rPr>
        <w:fldChar w:fldCharType="begin"/>
      </w:r>
      <w:r>
        <w:rPr>
          <w:rFonts w:hint="default" w:ascii="Times New Roman" w:hAnsi="Times New Roman" w:eastAsia="宋体" w:cs="Times New Roman"/>
          <w:bCs/>
          <w:sz w:val="21"/>
          <w:szCs w:val="22"/>
          <w:highlight w:val="none"/>
        </w:rPr>
        <w:instrText xml:space="preserve"> HYPERLINK \l _Toc16772 </w:instrText>
      </w:r>
      <w:r>
        <w:rPr>
          <w:rFonts w:hint="default" w:ascii="Times New Roman" w:hAnsi="Times New Roman" w:eastAsia="宋体" w:cs="Times New Roman"/>
          <w:bCs/>
          <w:sz w:val="21"/>
          <w:szCs w:val="22"/>
          <w:highlight w:val="none"/>
        </w:rPr>
        <w:fldChar w:fldCharType="separate"/>
      </w:r>
      <w:r>
        <w:rPr>
          <w:rFonts w:hint="default" w:ascii="Times New Roman" w:hAnsi="Times New Roman" w:eastAsia="宋体" w:cs="Times New Roman"/>
          <w:sz w:val="21"/>
          <w:szCs w:val="36"/>
          <w:highlight w:val="none"/>
        </w:rPr>
        <w:t>10.终止磋商</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PAGEREF _Toc16772 \h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26</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bCs/>
          <w:color w:val="auto"/>
          <w:sz w:val="21"/>
          <w:szCs w:val="22"/>
          <w:highlight w:val="none"/>
        </w:rPr>
        <w:fldChar w:fldCharType="end"/>
      </w:r>
    </w:p>
    <w:p>
      <w:pPr>
        <w:pStyle w:val="20"/>
        <w:tabs>
          <w:tab w:val="right" w:leader="dot" w:pos="8959"/>
        </w:tabs>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bCs/>
          <w:color w:val="auto"/>
          <w:sz w:val="21"/>
          <w:szCs w:val="22"/>
          <w:highlight w:val="none"/>
        </w:rPr>
        <w:fldChar w:fldCharType="begin"/>
      </w:r>
      <w:r>
        <w:rPr>
          <w:rFonts w:hint="default" w:ascii="Times New Roman" w:hAnsi="Times New Roman" w:eastAsia="宋体" w:cs="Times New Roman"/>
          <w:bCs/>
          <w:sz w:val="21"/>
          <w:szCs w:val="22"/>
          <w:highlight w:val="none"/>
        </w:rPr>
        <w:instrText xml:space="preserve"> HYPERLINK \l _Toc25975 </w:instrText>
      </w:r>
      <w:r>
        <w:rPr>
          <w:rFonts w:hint="default" w:ascii="Times New Roman" w:hAnsi="Times New Roman" w:eastAsia="宋体" w:cs="Times New Roman"/>
          <w:bCs/>
          <w:sz w:val="21"/>
          <w:szCs w:val="22"/>
          <w:highlight w:val="none"/>
        </w:rPr>
        <w:fldChar w:fldCharType="separate"/>
      </w:r>
      <w:r>
        <w:rPr>
          <w:rFonts w:hint="default" w:ascii="Times New Roman" w:hAnsi="Times New Roman" w:eastAsia="宋体" w:cs="Times New Roman"/>
          <w:sz w:val="21"/>
          <w:szCs w:val="40"/>
          <w:highlight w:val="none"/>
        </w:rPr>
        <w:t>11.质疑与投诉</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PAGEREF _Toc25975 \h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27</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bCs/>
          <w:color w:val="auto"/>
          <w:sz w:val="21"/>
          <w:szCs w:val="22"/>
          <w:highlight w:val="none"/>
        </w:rPr>
        <w:fldChar w:fldCharType="end"/>
      </w:r>
    </w:p>
    <w:p>
      <w:pPr>
        <w:pStyle w:val="20"/>
        <w:tabs>
          <w:tab w:val="right" w:leader="dot" w:pos="8959"/>
        </w:tabs>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bCs/>
          <w:color w:val="auto"/>
          <w:sz w:val="21"/>
          <w:szCs w:val="22"/>
          <w:highlight w:val="none"/>
        </w:rPr>
        <w:fldChar w:fldCharType="begin"/>
      </w:r>
      <w:r>
        <w:rPr>
          <w:rFonts w:hint="default" w:ascii="Times New Roman" w:hAnsi="Times New Roman" w:eastAsia="宋体" w:cs="Times New Roman"/>
          <w:bCs/>
          <w:sz w:val="21"/>
          <w:szCs w:val="22"/>
          <w:highlight w:val="none"/>
        </w:rPr>
        <w:instrText xml:space="preserve"> HYPERLINK \l _Toc28134 </w:instrText>
      </w:r>
      <w:r>
        <w:rPr>
          <w:rFonts w:hint="default" w:ascii="Times New Roman" w:hAnsi="Times New Roman" w:eastAsia="宋体" w:cs="Times New Roman"/>
          <w:bCs/>
          <w:sz w:val="21"/>
          <w:szCs w:val="22"/>
          <w:highlight w:val="none"/>
        </w:rPr>
        <w:fldChar w:fldCharType="separate"/>
      </w:r>
      <w:r>
        <w:rPr>
          <w:rFonts w:hint="default" w:ascii="Times New Roman" w:hAnsi="Times New Roman" w:eastAsia="宋体" w:cs="Times New Roman"/>
          <w:sz w:val="21"/>
          <w:szCs w:val="40"/>
          <w:highlight w:val="none"/>
        </w:rPr>
        <w:t>12.其他</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PAGEREF _Toc28134 \h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29</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bCs/>
          <w:color w:val="auto"/>
          <w:sz w:val="21"/>
          <w:szCs w:val="22"/>
          <w:highlight w:val="none"/>
        </w:rPr>
        <w:fldChar w:fldCharType="end"/>
      </w:r>
    </w:p>
    <w:p>
      <w:pPr>
        <w:pStyle w:val="21"/>
        <w:tabs>
          <w:tab w:val="right" w:leader="dot" w:pos="8959"/>
        </w:tabs>
        <w:spacing w:line="360" w:lineRule="auto"/>
        <w:rPr>
          <w:rFonts w:hint="default" w:ascii="Times New Roman" w:hAnsi="Times New Roman" w:eastAsia="宋体" w:cs="Times New Roman"/>
          <w:b/>
          <w:sz w:val="21"/>
          <w:szCs w:val="21"/>
          <w:highlight w:val="none"/>
          <w:lang w:val="en-US" w:eastAsia="zh-CN"/>
        </w:rPr>
      </w:pPr>
      <w:r>
        <w:rPr>
          <w:rFonts w:hint="default" w:ascii="Times New Roman" w:hAnsi="Times New Roman" w:eastAsia="宋体" w:cs="Times New Roman"/>
          <w:b/>
          <w:bCs/>
          <w:color w:val="auto"/>
          <w:sz w:val="21"/>
          <w:szCs w:val="22"/>
          <w:highlight w:val="none"/>
        </w:rPr>
        <w:fldChar w:fldCharType="begin"/>
      </w:r>
      <w:r>
        <w:rPr>
          <w:rFonts w:hint="default" w:ascii="Times New Roman" w:hAnsi="Times New Roman" w:eastAsia="宋体" w:cs="Times New Roman"/>
          <w:b/>
          <w:bCs/>
          <w:sz w:val="21"/>
          <w:szCs w:val="22"/>
          <w:highlight w:val="none"/>
        </w:rPr>
        <w:instrText xml:space="preserve"> HYPERLINK \l _Toc11440 </w:instrText>
      </w:r>
      <w:r>
        <w:rPr>
          <w:rFonts w:hint="default" w:ascii="Times New Roman" w:hAnsi="Times New Roman" w:eastAsia="宋体" w:cs="Times New Roman"/>
          <w:b/>
          <w:bCs/>
          <w:sz w:val="21"/>
          <w:szCs w:val="22"/>
          <w:highlight w:val="none"/>
        </w:rPr>
        <w:fldChar w:fldCharType="separate"/>
      </w:r>
      <w:r>
        <w:rPr>
          <w:rFonts w:hint="default" w:ascii="Times New Roman" w:hAnsi="Times New Roman" w:eastAsia="宋体" w:cs="Times New Roman"/>
          <w:b/>
          <w:bCs/>
          <w:sz w:val="21"/>
          <w:szCs w:val="36"/>
          <w:highlight w:val="none"/>
        </w:rPr>
        <w:t>第三章 磋商办法</w:t>
      </w:r>
      <w:r>
        <w:rPr>
          <w:rFonts w:hint="default" w:ascii="Times New Roman" w:hAnsi="Times New Roman" w:eastAsia="宋体" w:cs="Times New Roman"/>
          <w:b/>
          <w:sz w:val="21"/>
          <w:szCs w:val="21"/>
          <w:highlight w:val="none"/>
        </w:rPr>
        <w:tab/>
      </w:r>
      <w:r>
        <w:rPr>
          <w:rFonts w:hint="default" w:ascii="Times New Roman" w:hAnsi="Times New Roman" w:eastAsia="宋体" w:cs="Times New Roman"/>
          <w:b/>
          <w:sz w:val="21"/>
          <w:szCs w:val="21"/>
          <w:highlight w:val="none"/>
          <w:lang w:val="en-US" w:eastAsia="zh-CN"/>
        </w:rPr>
        <w:t>3</w:t>
      </w:r>
      <w:r>
        <w:rPr>
          <w:rFonts w:hint="default" w:ascii="Times New Roman" w:hAnsi="Times New Roman" w:eastAsia="宋体" w:cs="Times New Roman"/>
          <w:b/>
          <w:bCs/>
          <w:color w:val="auto"/>
          <w:sz w:val="21"/>
          <w:szCs w:val="22"/>
          <w:highlight w:val="none"/>
        </w:rPr>
        <w:fldChar w:fldCharType="end"/>
      </w:r>
      <w:r>
        <w:rPr>
          <w:rFonts w:hint="default" w:ascii="Times New Roman" w:hAnsi="Times New Roman" w:eastAsia="宋体" w:cs="Times New Roman"/>
          <w:b/>
          <w:bCs/>
          <w:color w:val="auto"/>
          <w:sz w:val="21"/>
          <w:szCs w:val="22"/>
          <w:highlight w:val="none"/>
          <w:lang w:val="en-US" w:eastAsia="zh-CN"/>
        </w:rPr>
        <w:t>2</w:t>
      </w:r>
    </w:p>
    <w:p>
      <w:pPr>
        <w:pStyle w:val="20"/>
        <w:tabs>
          <w:tab w:val="right" w:leader="dot" w:pos="8959"/>
        </w:tabs>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bCs/>
          <w:color w:val="auto"/>
          <w:sz w:val="21"/>
          <w:szCs w:val="22"/>
          <w:highlight w:val="none"/>
        </w:rPr>
        <w:fldChar w:fldCharType="begin"/>
      </w:r>
      <w:r>
        <w:rPr>
          <w:rFonts w:hint="default" w:ascii="Times New Roman" w:hAnsi="Times New Roman" w:eastAsia="宋体" w:cs="Times New Roman"/>
          <w:bCs/>
          <w:sz w:val="21"/>
          <w:szCs w:val="22"/>
          <w:highlight w:val="none"/>
        </w:rPr>
        <w:instrText xml:space="preserve"> HYPERLINK \l _Toc2368 </w:instrText>
      </w:r>
      <w:r>
        <w:rPr>
          <w:rFonts w:hint="default" w:ascii="Times New Roman" w:hAnsi="Times New Roman" w:eastAsia="宋体" w:cs="Times New Roman"/>
          <w:bCs/>
          <w:sz w:val="21"/>
          <w:szCs w:val="22"/>
          <w:highlight w:val="none"/>
        </w:rPr>
        <w:fldChar w:fldCharType="separate"/>
      </w:r>
      <w:r>
        <w:rPr>
          <w:rFonts w:hint="default" w:ascii="Times New Roman" w:hAnsi="Times New Roman" w:eastAsia="宋体" w:cs="Times New Roman"/>
          <w:sz w:val="21"/>
          <w:szCs w:val="36"/>
          <w:highlight w:val="none"/>
        </w:rPr>
        <w:t>1.磋商程序</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PAGEREF _Toc2368 \h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30</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bCs/>
          <w:color w:val="auto"/>
          <w:sz w:val="21"/>
          <w:szCs w:val="22"/>
          <w:highlight w:val="none"/>
        </w:rPr>
        <w:fldChar w:fldCharType="end"/>
      </w:r>
    </w:p>
    <w:p>
      <w:pPr>
        <w:pStyle w:val="20"/>
        <w:tabs>
          <w:tab w:val="right" w:leader="dot" w:pos="8959"/>
        </w:tabs>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bCs/>
          <w:color w:val="auto"/>
          <w:sz w:val="21"/>
          <w:szCs w:val="22"/>
          <w:highlight w:val="none"/>
        </w:rPr>
        <w:fldChar w:fldCharType="begin"/>
      </w:r>
      <w:r>
        <w:rPr>
          <w:rFonts w:hint="default" w:ascii="Times New Roman" w:hAnsi="Times New Roman" w:eastAsia="宋体" w:cs="Times New Roman"/>
          <w:bCs/>
          <w:sz w:val="21"/>
          <w:szCs w:val="22"/>
          <w:highlight w:val="none"/>
        </w:rPr>
        <w:instrText xml:space="preserve"> HYPERLINK \l _Toc1337 </w:instrText>
      </w:r>
      <w:r>
        <w:rPr>
          <w:rFonts w:hint="default" w:ascii="Times New Roman" w:hAnsi="Times New Roman" w:eastAsia="宋体" w:cs="Times New Roman"/>
          <w:bCs/>
          <w:sz w:val="21"/>
          <w:szCs w:val="22"/>
          <w:highlight w:val="none"/>
        </w:rPr>
        <w:fldChar w:fldCharType="separate"/>
      </w:r>
      <w:r>
        <w:rPr>
          <w:rFonts w:hint="default" w:ascii="Times New Roman" w:hAnsi="Times New Roman" w:eastAsia="宋体" w:cs="Times New Roman"/>
          <w:sz w:val="21"/>
          <w:szCs w:val="36"/>
          <w:highlight w:val="none"/>
        </w:rPr>
        <w:t>2.评审方法</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PAGEREF _Toc1337 \h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36</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bCs/>
          <w:color w:val="auto"/>
          <w:sz w:val="21"/>
          <w:szCs w:val="22"/>
          <w:highlight w:val="none"/>
        </w:rPr>
        <w:fldChar w:fldCharType="end"/>
      </w:r>
    </w:p>
    <w:p>
      <w:pPr>
        <w:pStyle w:val="21"/>
        <w:tabs>
          <w:tab w:val="right" w:leader="dot" w:pos="8959"/>
        </w:tabs>
        <w:spacing w:line="360" w:lineRule="auto"/>
        <w:rPr>
          <w:rFonts w:hint="default" w:ascii="Times New Roman" w:hAnsi="Times New Roman" w:eastAsia="宋体" w:cs="Times New Roman"/>
          <w:b/>
          <w:sz w:val="21"/>
          <w:szCs w:val="21"/>
          <w:highlight w:val="none"/>
        </w:rPr>
      </w:pPr>
      <w:r>
        <w:rPr>
          <w:rFonts w:hint="default" w:ascii="Times New Roman" w:hAnsi="Times New Roman" w:eastAsia="宋体" w:cs="Times New Roman"/>
          <w:b/>
          <w:bCs/>
          <w:color w:val="auto"/>
          <w:sz w:val="21"/>
          <w:szCs w:val="22"/>
          <w:highlight w:val="none"/>
        </w:rPr>
        <w:fldChar w:fldCharType="begin"/>
      </w:r>
      <w:r>
        <w:rPr>
          <w:rFonts w:hint="default" w:ascii="Times New Roman" w:hAnsi="Times New Roman" w:eastAsia="宋体" w:cs="Times New Roman"/>
          <w:b/>
          <w:bCs/>
          <w:sz w:val="21"/>
          <w:szCs w:val="22"/>
          <w:highlight w:val="none"/>
        </w:rPr>
        <w:instrText xml:space="preserve"> HYPERLINK \l _Toc1790 </w:instrText>
      </w:r>
      <w:r>
        <w:rPr>
          <w:rFonts w:hint="default" w:ascii="Times New Roman" w:hAnsi="Times New Roman" w:eastAsia="宋体" w:cs="Times New Roman"/>
          <w:b/>
          <w:bCs/>
          <w:sz w:val="21"/>
          <w:szCs w:val="22"/>
          <w:highlight w:val="none"/>
        </w:rPr>
        <w:fldChar w:fldCharType="separate"/>
      </w:r>
      <w:r>
        <w:rPr>
          <w:rFonts w:hint="default" w:ascii="Times New Roman" w:hAnsi="Times New Roman" w:eastAsia="宋体" w:cs="Times New Roman"/>
          <w:b/>
          <w:bCs/>
          <w:sz w:val="21"/>
          <w:szCs w:val="36"/>
          <w:highlight w:val="none"/>
        </w:rPr>
        <w:t>第四章 采购内容及要求</w:t>
      </w:r>
      <w:r>
        <w:rPr>
          <w:rFonts w:hint="default" w:ascii="Times New Roman" w:hAnsi="Times New Roman" w:eastAsia="宋体" w:cs="Times New Roman"/>
          <w:b/>
          <w:sz w:val="21"/>
          <w:szCs w:val="21"/>
          <w:highlight w:val="none"/>
        </w:rPr>
        <w:tab/>
      </w:r>
      <w:r>
        <w:rPr>
          <w:rFonts w:hint="default" w:ascii="Times New Roman" w:hAnsi="Times New Roman" w:eastAsia="宋体" w:cs="Times New Roman"/>
          <w:b/>
          <w:sz w:val="21"/>
          <w:szCs w:val="21"/>
          <w:highlight w:val="none"/>
        </w:rPr>
        <w:fldChar w:fldCharType="begin"/>
      </w:r>
      <w:r>
        <w:rPr>
          <w:rFonts w:hint="default" w:ascii="Times New Roman" w:hAnsi="Times New Roman" w:eastAsia="宋体" w:cs="Times New Roman"/>
          <w:b/>
          <w:sz w:val="21"/>
          <w:szCs w:val="21"/>
          <w:highlight w:val="none"/>
        </w:rPr>
        <w:instrText xml:space="preserve"> PAGEREF _Toc1790 \h </w:instrText>
      </w:r>
      <w:r>
        <w:rPr>
          <w:rFonts w:hint="default" w:ascii="Times New Roman" w:hAnsi="Times New Roman" w:eastAsia="宋体" w:cs="Times New Roman"/>
          <w:b/>
          <w:sz w:val="21"/>
          <w:szCs w:val="21"/>
          <w:highlight w:val="none"/>
        </w:rPr>
        <w:fldChar w:fldCharType="separate"/>
      </w:r>
      <w:r>
        <w:rPr>
          <w:rFonts w:hint="default" w:ascii="Times New Roman" w:hAnsi="Times New Roman" w:eastAsia="宋体" w:cs="Times New Roman"/>
          <w:b/>
          <w:sz w:val="21"/>
          <w:szCs w:val="21"/>
          <w:highlight w:val="none"/>
        </w:rPr>
        <w:t>42</w:t>
      </w:r>
      <w:r>
        <w:rPr>
          <w:rFonts w:hint="default" w:ascii="Times New Roman" w:hAnsi="Times New Roman" w:eastAsia="宋体" w:cs="Times New Roman"/>
          <w:b/>
          <w:sz w:val="21"/>
          <w:szCs w:val="21"/>
          <w:highlight w:val="none"/>
        </w:rPr>
        <w:fldChar w:fldCharType="end"/>
      </w:r>
      <w:r>
        <w:rPr>
          <w:rFonts w:hint="default" w:ascii="Times New Roman" w:hAnsi="Times New Roman" w:eastAsia="宋体" w:cs="Times New Roman"/>
          <w:b/>
          <w:bCs/>
          <w:color w:val="auto"/>
          <w:sz w:val="21"/>
          <w:szCs w:val="22"/>
          <w:highlight w:val="none"/>
        </w:rPr>
        <w:fldChar w:fldCharType="end"/>
      </w:r>
    </w:p>
    <w:p>
      <w:pPr>
        <w:pStyle w:val="20"/>
        <w:tabs>
          <w:tab w:val="right" w:leader="dot" w:pos="8959"/>
        </w:tabs>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bCs/>
          <w:color w:val="auto"/>
          <w:sz w:val="21"/>
          <w:szCs w:val="22"/>
          <w:highlight w:val="none"/>
        </w:rPr>
        <w:fldChar w:fldCharType="begin"/>
      </w:r>
      <w:r>
        <w:rPr>
          <w:rFonts w:hint="default" w:ascii="Times New Roman" w:hAnsi="Times New Roman" w:eastAsia="宋体" w:cs="Times New Roman"/>
          <w:bCs/>
          <w:sz w:val="21"/>
          <w:szCs w:val="22"/>
          <w:highlight w:val="none"/>
        </w:rPr>
        <w:instrText xml:space="preserve"> HYPERLINK \l _Toc24722 </w:instrText>
      </w:r>
      <w:r>
        <w:rPr>
          <w:rFonts w:hint="default" w:ascii="Times New Roman" w:hAnsi="Times New Roman" w:eastAsia="宋体" w:cs="Times New Roman"/>
          <w:bCs/>
          <w:sz w:val="21"/>
          <w:szCs w:val="22"/>
          <w:highlight w:val="none"/>
        </w:rPr>
        <w:fldChar w:fldCharType="separate"/>
      </w:r>
      <w:r>
        <w:rPr>
          <w:rFonts w:hint="default" w:ascii="Times New Roman" w:hAnsi="Times New Roman" w:eastAsia="宋体" w:cs="Times New Roman"/>
          <w:sz w:val="21"/>
          <w:szCs w:val="32"/>
          <w:highlight w:val="none"/>
          <w:lang w:val="en-US" w:eastAsia="zh-CN"/>
        </w:rPr>
        <w:t>1.</w:t>
      </w:r>
      <w:r>
        <w:rPr>
          <w:rFonts w:hint="default" w:ascii="Times New Roman" w:hAnsi="Times New Roman" w:eastAsia="宋体" w:cs="Times New Roman"/>
          <w:sz w:val="21"/>
          <w:szCs w:val="32"/>
          <w:highlight w:val="none"/>
          <w:lang w:eastAsia="zh-CN"/>
        </w:rPr>
        <w:t>项目概况及总体要求</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PAGEREF _Toc24722 \h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42</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bCs/>
          <w:color w:val="auto"/>
          <w:sz w:val="21"/>
          <w:szCs w:val="22"/>
          <w:highlight w:val="none"/>
        </w:rPr>
        <w:fldChar w:fldCharType="end"/>
      </w:r>
    </w:p>
    <w:p>
      <w:pPr>
        <w:pStyle w:val="20"/>
        <w:tabs>
          <w:tab w:val="right" w:leader="dot" w:pos="8959"/>
        </w:tabs>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bCs/>
          <w:color w:val="auto"/>
          <w:sz w:val="21"/>
          <w:szCs w:val="22"/>
          <w:highlight w:val="none"/>
        </w:rPr>
        <w:fldChar w:fldCharType="begin"/>
      </w:r>
      <w:r>
        <w:rPr>
          <w:rFonts w:hint="default" w:ascii="Times New Roman" w:hAnsi="Times New Roman" w:eastAsia="宋体" w:cs="Times New Roman"/>
          <w:bCs/>
          <w:sz w:val="21"/>
          <w:szCs w:val="22"/>
          <w:highlight w:val="none"/>
        </w:rPr>
        <w:instrText xml:space="preserve"> HYPERLINK \l _Toc14176 </w:instrText>
      </w:r>
      <w:r>
        <w:rPr>
          <w:rFonts w:hint="default" w:ascii="Times New Roman" w:hAnsi="Times New Roman" w:eastAsia="宋体" w:cs="Times New Roman"/>
          <w:bCs/>
          <w:sz w:val="21"/>
          <w:szCs w:val="22"/>
          <w:highlight w:val="none"/>
        </w:rPr>
        <w:fldChar w:fldCharType="separate"/>
      </w:r>
      <w:r>
        <w:rPr>
          <w:rFonts w:hint="default" w:ascii="Times New Roman" w:hAnsi="Times New Roman" w:eastAsia="宋体" w:cs="Times New Roman"/>
          <w:sz w:val="21"/>
          <w:szCs w:val="32"/>
          <w:highlight w:val="none"/>
          <w:lang w:val="en-US" w:eastAsia="zh-CN"/>
        </w:rPr>
        <w:t>2.</w:t>
      </w:r>
      <w:r>
        <w:rPr>
          <w:rFonts w:hint="default" w:ascii="Times New Roman" w:hAnsi="Times New Roman" w:eastAsia="宋体" w:cs="Times New Roman"/>
          <w:sz w:val="21"/>
          <w:szCs w:val="32"/>
          <w:highlight w:val="none"/>
        </w:rPr>
        <w:t>服务内容与要求</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PAGEREF _Toc14176 \h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42</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bCs/>
          <w:color w:val="auto"/>
          <w:sz w:val="21"/>
          <w:szCs w:val="22"/>
          <w:highlight w:val="none"/>
        </w:rPr>
        <w:fldChar w:fldCharType="end"/>
      </w:r>
    </w:p>
    <w:p>
      <w:pPr>
        <w:pStyle w:val="20"/>
        <w:tabs>
          <w:tab w:val="right" w:leader="dot" w:pos="8959"/>
        </w:tabs>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bCs/>
          <w:color w:val="auto"/>
          <w:sz w:val="21"/>
          <w:szCs w:val="22"/>
          <w:highlight w:val="none"/>
        </w:rPr>
        <w:fldChar w:fldCharType="begin"/>
      </w:r>
      <w:r>
        <w:rPr>
          <w:rFonts w:hint="default" w:ascii="Times New Roman" w:hAnsi="Times New Roman" w:eastAsia="宋体" w:cs="Times New Roman"/>
          <w:bCs/>
          <w:sz w:val="21"/>
          <w:szCs w:val="22"/>
          <w:highlight w:val="none"/>
        </w:rPr>
        <w:instrText xml:space="preserve"> HYPERLINK \l _Toc18378 </w:instrText>
      </w:r>
      <w:r>
        <w:rPr>
          <w:rFonts w:hint="default" w:ascii="Times New Roman" w:hAnsi="Times New Roman" w:eastAsia="宋体" w:cs="Times New Roman"/>
          <w:bCs/>
          <w:sz w:val="21"/>
          <w:szCs w:val="22"/>
          <w:highlight w:val="none"/>
        </w:rPr>
        <w:fldChar w:fldCharType="separate"/>
      </w:r>
      <w:r>
        <w:rPr>
          <w:rFonts w:hint="default" w:ascii="Times New Roman" w:hAnsi="Times New Roman" w:eastAsia="宋体" w:cs="Times New Roman"/>
          <w:sz w:val="21"/>
          <w:szCs w:val="40"/>
          <w:highlight w:val="none"/>
          <w:lang w:val="en-US" w:eastAsia="zh-CN"/>
        </w:rPr>
        <w:t>3.</w:t>
      </w:r>
      <w:r>
        <w:rPr>
          <w:rFonts w:hint="default" w:ascii="Times New Roman" w:hAnsi="Times New Roman" w:eastAsia="宋体" w:cs="Times New Roman"/>
          <w:bCs/>
          <w:sz w:val="21"/>
          <w:szCs w:val="40"/>
          <w:highlight w:val="none"/>
        </w:rPr>
        <w:t>商务要求</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PAGEREF _Toc18378 \h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42</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bCs/>
          <w:color w:val="auto"/>
          <w:sz w:val="21"/>
          <w:szCs w:val="22"/>
          <w:highlight w:val="none"/>
        </w:rPr>
        <w:fldChar w:fldCharType="end"/>
      </w:r>
    </w:p>
    <w:p>
      <w:pPr>
        <w:pStyle w:val="21"/>
        <w:tabs>
          <w:tab w:val="right" w:leader="dot" w:pos="8959"/>
        </w:tabs>
        <w:spacing w:line="360" w:lineRule="auto"/>
        <w:rPr>
          <w:rFonts w:hint="default" w:ascii="Times New Roman" w:hAnsi="Times New Roman" w:eastAsia="宋体" w:cs="Times New Roman"/>
          <w:b/>
          <w:sz w:val="21"/>
          <w:szCs w:val="21"/>
          <w:highlight w:val="none"/>
          <w:lang w:val="en-US" w:eastAsia="zh-CN"/>
        </w:rPr>
      </w:pPr>
      <w:r>
        <w:rPr>
          <w:rFonts w:hint="default" w:ascii="Times New Roman" w:hAnsi="Times New Roman" w:eastAsia="宋体" w:cs="Times New Roman"/>
          <w:b/>
          <w:bCs/>
          <w:color w:val="auto"/>
          <w:sz w:val="21"/>
          <w:szCs w:val="22"/>
          <w:highlight w:val="none"/>
        </w:rPr>
        <w:fldChar w:fldCharType="begin"/>
      </w:r>
      <w:r>
        <w:rPr>
          <w:rFonts w:hint="default" w:ascii="Times New Roman" w:hAnsi="Times New Roman" w:eastAsia="宋体" w:cs="Times New Roman"/>
          <w:b/>
          <w:bCs/>
          <w:sz w:val="21"/>
          <w:szCs w:val="22"/>
          <w:highlight w:val="none"/>
        </w:rPr>
        <w:instrText xml:space="preserve"> HYPERLINK \l _Toc22972 </w:instrText>
      </w:r>
      <w:r>
        <w:rPr>
          <w:rFonts w:hint="default" w:ascii="Times New Roman" w:hAnsi="Times New Roman" w:eastAsia="宋体" w:cs="Times New Roman"/>
          <w:b/>
          <w:bCs/>
          <w:sz w:val="21"/>
          <w:szCs w:val="22"/>
          <w:highlight w:val="none"/>
        </w:rPr>
        <w:fldChar w:fldCharType="separate"/>
      </w:r>
      <w:r>
        <w:rPr>
          <w:rFonts w:hint="default" w:ascii="Times New Roman" w:hAnsi="Times New Roman" w:eastAsia="宋体" w:cs="Times New Roman"/>
          <w:b/>
          <w:bCs/>
          <w:kern w:val="2"/>
          <w:sz w:val="21"/>
          <w:szCs w:val="36"/>
          <w:highlight w:val="none"/>
          <w:lang w:val="en-US" w:eastAsia="zh-CN" w:bidi="ar-SA"/>
        </w:rPr>
        <w:t>第五章 政府采购合同格式</w:t>
      </w:r>
      <w:r>
        <w:rPr>
          <w:rFonts w:hint="default" w:ascii="Times New Roman" w:hAnsi="Times New Roman" w:eastAsia="宋体" w:cs="Times New Roman"/>
          <w:b/>
          <w:sz w:val="21"/>
          <w:szCs w:val="21"/>
          <w:highlight w:val="none"/>
        </w:rPr>
        <w:tab/>
      </w:r>
      <w:r>
        <w:rPr>
          <w:rFonts w:hint="default" w:ascii="Times New Roman" w:hAnsi="Times New Roman" w:eastAsia="宋体" w:cs="Times New Roman"/>
          <w:b/>
          <w:bCs/>
          <w:color w:val="auto"/>
          <w:sz w:val="21"/>
          <w:szCs w:val="22"/>
          <w:highlight w:val="none"/>
        </w:rPr>
        <w:fldChar w:fldCharType="end"/>
      </w:r>
      <w:r>
        <w:rPr>
          <w:rFonts w:hint="default" w:ascii="Times New Roman" w:hAnsi="Times New Roman" w:cs="Times New Roman"/>
          <w:b/>
          <w:bCs/>
          <w:color w:val="auto"/>
          <w:sz w:val="21"/>
          <w:szCs w:val="22"/>
          <w:highlight w:val="none"/>
          <w:lang w:val="en-US" w:eastAsia="zh-CN"/>
        </w:rPr>
        <w:t>93</w:t>
      </w:r>
    </w:p>
    <w:p>
      <w:pPr>
        <w:pStyle w:val="21"/>
        <w:tabs>
          <w:tab w:val="right" w:leader="dot" w:pos="8959"/>
        </w:tabs>
        <w:spacing w:line="360" w:lineRule="auto"/>
        <w:rPr>
          <w:rFonts w:hint="default" w:ascii="Times New Roman" w:hAnsi="Times New Roman" w:eastAsia="宋体" w:cs="Times New Roman"/>
          <w:b/>
          <w:sz w:val="21"/>
          <w:szCs w:val="21"/>
          <w:highlight w:val="none"/>
          <w:lang w:val="en-US" w:eastAsia="zh-CN"/>
        </w:rPr>
      </w:pPr>
      <w:r>
        <w:rPr>
          <w:rFonts w:hint="default" w:ascii="Times New Roman" w:hAnsi="Times New Roman" w:eastAsia="宋体" w:cs="Times New Roman"/>
          <w:b/>
          <w:bCs/>
          <w:color w:val="auto"/>
          <w:sz w:val="21"/>
          <w:szCs w:val="22"/>
          <w:highlight w:val="none"/>
        </w:rPr>
        <w:fldChar w:fldCharType="begin"/>
      </w:r>
      <w:r>
        <w:rPr>
          <w:rFonts w:hint="default" w:ascii="Times New Roman" w:hAnsi="Times New Roman" w:eastAsia="宋体" w:cs="Times New Roman"/>
          <w:b/>
          <w:bCs/>
          <w:sz w:val="21"/>
          <w:szCs w:val="22"/>
          <w:highlight w:val="none"/>
        </w:rPr>
        <w:instrText xml:space="preserve"> HYPERLINK \l _Toc5441 </w:instrText>
      </w:r>
      <w:r>
        <w:rPr>
          <w:rFonts w:hint="default" w:ascii="Times New Roman" w:hAnsi="Times New Roman" w:eastAsia="宋体" w:cs="Times New Roman"/>
          <w:b/>
          <w:bCs/>
          <w:sz w:val="21"/>
          <w:szCs w:val="22"/>
          <w:highlight w:val="none"/>
        </w:rPr>
        <w:fldChar w:fldCharType="separate"/>
      </w:r>
      <w:r>
        <w:rPr>
          <w:rFonts w:hint="default" w:ascii="Times New Roman" w:hAnsi="Times New Roman" w:eastAsia="宋体" w:cs="Times New Roman"/>
          <w:b/>
          <w:sz w:val="21"/>
          <w:szCs w:val="36"/>
          <w:highlight w:val="none"/>
        </w:rPr>
        <w:t>第六章 响应文件格式</w:t>
      </w:r>
      <w:r>
        <w:rPr>
          <w:rFonts w:hint="default" w:ascii="Times New Roman" w:hAnsi="Times New Roman" w:eastAsia="宋体" w:cs="Times New Roman"/>
          <w:b/>
          <w:sz w:val="21"/>
          <w:szCs w:val="21"/>
          <w:highlight w:val="none"/>
        </w:rPr>
        <w:tab/>
      </w:r>
      <w:r>
        <w:rPr>
          <w:rFonts w:hint="default" w:ascii="Times New Roman" w:hAnsi="Times New Roman" w:cs="Times New Roman"/>
          <w:b/>
          <w:sz w:val="21"/>
          <w:szCs w:val="21"/>
          <w:highlight w:val="none"/>
          <w:lang w:val="en-US" w:eastAsia="zh-CN"/>
        </w:rPr>
        <w:t>9</w:t>
      </w:r>
      <w:r>
        <w:rPr>
          <w:rFonts w:hint="default" w:ascii="Times New Roman" w:hAnsi="Times New Roman" w:eastAsia="宋体" w:cs="Times New Roman"/>
          <w:b/>
          <w:bCs/>
          <w:color w:val="auto"/>
          <w:sz w:val="21"/>
          <w:szCs w:val="22"/>
          <w:highlight w:val="none"/>
        </w:rPr>
        <w:fldChar w:fldCharType="end"/>
      </w:r>
      <w:r>
        <w:rPr>
          <w:rFonts w:hint="default" w:ascii="Times New Roman" w:hAnsi="Times New Roman" w:cs="Times New Roman"/>
          <w:b/>
          <w:bCs/>
          <w:color w:val="auto"/>
          <w:sz w:val="21"/>
          <w:szCs w:val="22"/>
          <w:highlight w:val="none"/>
          <w:lang w:val="en-US" w:eastAsia="zh-CN"/>
        </w:rPr>
        <w:t>8</w:t>
      </w:r>
    </w:p>
    <w:p>
      <w:pPr>
        <w:pStyle w:val="3"/>
        <w:spacing w:line="360" w:lineRule="auto"/>
        <w:jc w:val="center"/>
        <w:outlineLvl w:val="9"/>
        <w:rPr>
          <w:rFonts w:hint="default" w:ascii="Times New Roman" w:hAnsi="Times New Roman" w:eastAsia="黑体" w:cs="Times New Roman"/>
          <w:b w:val="0"/>
          <w:color w:val="auto"/>
          <w:kern w:val="44"/>
          <w:sz w:val="44"/>
          <w:szCs w:val="44"/>
          <w:highlight w:val="none"/>
        </w:rPr>
      </w:pPr>
      <w:r>
        <w:rPr>
          <w:rFonts w:hint="default" w:ascii="Times New Roman" w:hAnsi="Times New Roman" w:eastAsia="宋体" w:cs="Times New Roman"/>
          <w:bCs/>
          <w:color w:val="auto"/>
          <w:szCs w:val="21"/>
          <w:highlight w:val="none"/>
        </w:rPr>
        <w:fldChar w:fldCharType="end"/>
      </w:r>
    </w:p>
    <w:p>
      <w:pPr>
        <w:pStyle w:val="4"/>
        <w:spacing w:before="120" w:beforeLines="50" w:after="240" w:afterLines="100" w:line="360" w:lineRule="auto"/>
        <w:ind w:firstLine="0"/>
        <w:jc w:val="center"/>
        <w:rPr>
          <w:rFonts w:hint="default" w:ascii="Times New Roman" w:hAnsi="Times New Roman" w:eastAsia="黑体" w:cs="Times New Roman"/>
          <w:b/>
          <w:color w:val="auto"/>
          <w:kern w:val="44"/>
          <w:sz w:val="44"/>
          <w:szCs w:val="44"/>
          <w:highlight w:val="none"/>
        </w:rPr>
      </w:pPr>
    </w:p>
    <w:p>
      <w:pPr>
        <w:pStyle w:val="4"/>
        <w:spacing w:before="120" w:beforeLines="50" w:after="240" w:afterLines="100" w:line="360" w:lineRule="auto"/>
        <w:ind w:firstLine="0"/>
        <w:jc w:val="center"/>
        <w:outlineLvl w:val="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kern w:val="44"/>
          <w:sz w:val="32"/>
          <w:szCs w:val="32"/>
          <w:highlight w:val="none"/>
        </w:rPr>
        <w:br w:type="page"/>
      </w:r>
      <w:bookmarkStart w:id="1" w:name="_Toc6830"/>
      <w:r>
        <w:rPr>
          <w:rFonts w:hint="default" w:ascii="Times New Roman" w:hAnsi="Times New Roman" w:eastAsia="黑体" w:cs="Times New Roman"/>
          <w:bCs/>
          <w:color w:val="auto"/>
          <w:kern w:val="44"/>
          <w:sz w:val="32"/>
          <w:szCs w:val="32"/>
          <w:highlight w:val="none"/>
        </w:rPr>
        <w:t>第一</w:t>
      </w:r>
      <w:r>
        <w:rPr>
          <w:rFonts w:hint="default" w:ascii="Times New Roman" w:hAnsi="Times New Roman" w:eastAsia="黑体" w:cs="Times New Roman"/>
          <w:bCs/>
          <w:color w:val="auto"/>
          <w:sz w:val="32"/>
          <w:szCs w:val="32"/>
          <w:highlight w:val="none"/>
        </w:rPr>
        <w:t>章 竞争性磋商公告</w:t>
      </w:r>
      <w:bookmarkEnd w:id="1"/>
    </w:p>
    <w:p>
      <w:pPr>
        <w:widowControl/>
        <w:tabs>
          <w:tab w:val="left" w:pos="1620"/>
        </w:tabs>
        <w:spacing w:line="360" w:lineRule="auto"/>
        <w:ind w:right="-197" w:rightChars="-94"/>
        <w:jc w:val="left"/>
        <w:outlineLvl w:val="9"/>
        <w:rPr>
          <w:rFonts w:hint="default" w:ascii="Times New Roman" w:hAnsi="Times New Roman" w:cs="Times New Roman"/>
          <w:b/>
          <w:color w:val="auto"/>
          <w:kern w:val="0"/>
          <w:sz w:val="24"/>
          <w:highlight w:val="none"/>
          <w:lang w:val="en-US" w:eastAsia="zh-CN"/>
        </w:rPr>
      </w:pPr>
      <w:bookmarkStart w:id="2" w:name="_Toc213496267"/>
      <w:bookmarkStart w:id="3" w:name="_Toc217446031"/>
      <w:bookmarkStart w:id="4" w:name="_Toc213396759"/>
      <w:bookmarkStart w:id="5" w:name="_Toc213396945"/>
      <w:bookmarkStart w:id="6" w:name="_Toc213397009"/>
      <w:bookmarkStart w:id="7" w:name="_Toc89075871"/>
      <w:bookmarkStart w:id="8" w:name="_Toc77400776"/>
      <w:bookmarkStart w:id="9" w:name="_Toc183682339"/>
      <w:bookmarkStart w:id="10" w:name="_Toc183582202"/>
      <w:r>
        <w:rPr>
          <w:rFonts w:hint="default" w:ascii="Times New Roman" w:hAnsi="Times New Roman" w:cs="Times New Roman"/>
          <w:b/>
          <w:color w:val="auto"/>
          <w:kern w:val="0"/>
          <w:sz w:val="24"/>
          <w:highlight w:val="none"/>
          <w:lang w:val="en-US" w:eastAsia="zh-CN"/>
        </w:rPr>
        <w:t>项目概况</w:t>
      </w:r>
    </w:p>
    <w:p>
      <w:pPr>
        <w:widowControl/>
        <w:tabs>
          <w:tab w:val="left" w:pos="1620"/>
        </w:tabs>
        <w:spacing w:line="360" w:lineRule="auto"/>
        <w:ind w:right="-197" w:rightChars="-94" w:firstLine="420" w:firstLineChars="200"/>
        <w:jc w:val="left"/>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eastAsia="zh-CN"/>
        </w:rPr>
        <w:t>西安高新区第五十七幼儿园部室设备采购项目潜在的供应商可在西安市新城区长乐中路38号金花新都汇A座12层</w:t>
      </w:r>
      <w:r>
        <w:rPr>
          <w:rFonts w:hint="default" w:ascii="Times New Roman" w:hAnsi="Times New Roman" w:cs="Times New Roman"/>
          <w:color w:val="auto"/>
          <w:kern w:val="0"/>
          <w:sz w:val="21"/>
          <w:szCs w:val="21"/>
          <w:highlight w:val="none"/>
          <w:lang w:val="en-US" w:eastAsia="zh-CN"/>
        </w:rPr>
        <w:t>1201室</w:t>
      </w:r>
      <w:r>
        <w:rPr>
          <w:rFonts w:hint="default" w:ascii="Times New Roman" w:hAnsi="Times New Roman" w:cs="Times New Roman"/>
          <w:color w:val="auto"/>
          <w:kern w:val="0"/>
          <w:sz w:val="21"/>
          <w:szCs w:val="21"/>
          <w:highlight w:val="none"/>
          <w:lang w:val="en-US" w:eastAsia="zh-CN"/>
        </w:rPr>
        <w:fldChar w:fldCharType="begin"/>
      </w:r>
      <w:r>
        <w:rPr>
          <w:rFonts w:hint="default" w:ascii="Times New Roman" w:hAnsi="Times New Roman" w:cs="Times New Roman"/>
          <w:color w:val="auto"/>
          <w:kern w:val="0"/>
          <w:sz w:val="21"/>
          <w:szCs w:val="21"/>
          <w:highlight w:val="none"/>
          <w:lang w:val="en-US" w:eastAsia="zh-CN"/>
        </w:rPr>
        <w:instrText xml:space="preserve"> HYPERLINK "mailto:162095058@qq.com获取采购文件，并于2021-07-" </w:instrText>
      </w:r>
      <w:r>
        <w:rPr>
          <w:rFonts w:hint="default" w:ascii="Times New Roman" w:hAnsi="Times New Roman" w:cs="Times New Roman"/>
          <w:color w:val="auto"/>
          <w:kern w:val="0"/>
          <w:sz w:val="21"/>
          <w:szCs w:val="21"/>
          <w:highlight w:val="none"/>
          <w:lang w:val="en-US" w:eastAsia="zh-CN"/>
        </w:rPr>
        <w:fldChar w:fldCharType="separate"/>
      </w:r>
      <w:r>
        <w:rPr>
          <w:rFonts w:hint="default" w:ascii="Times New Roman" w:hAnsi="Times New Roman" w:cs="Times New Roman"/>
          <w:color w:val="auto"/>
          <w:kern w:val="0"/>
          <w:sz w:val="21"/>
          <w:szCs w:val="21"/>
          <w:highlight w:val="none"/>
          <w:lang w:eastAsia="zh-CN"/>
        </w:rPr>
        <w:t>获取采购文件，并于2022年07月11日 09时00分</w:t>
      </w:r>
      <w:r>
        <w:rPr>
          <w:rFonts w:hint="default" w:ascii="Times New Roman" w:hAnsi="Times New Roman" w:cs="Times New Roman"/>
          <w:color w:val="auto"/>
          <w:kern w:val="0"/>
          <w:sz w:val="21"/>
          <w:szCs w:val="21"/>
          <w:highlight w:val="none"/>
          <w:lang w:val="en-US" w:eastAsia="zh-CN"/>
        </w:rPr>
        <w:fldChar w:fldCharType="end"/>
      </w:r>
      <w:r>
        <w:rPr>
          <w:rFonts w:hint="default" w:ascii="Times New Roman" w:hAnsi="Times New Roman" w:cs="Times New Roman"/>
          <w:color w:val="auto"/>
          <w:kern w:val="0"/>
          <w:sz w:val="21"/>
          <w:szCs w:val="21"/>
          <w:highlight w:val="none"/>
          <w:lang w:val="en-US" w:eastAsia="zh-CN"/>
        </w:rPr>
        <w:t>（北京时间）</w:t>
      </w:r>
      <w:r>
        <w:rPr>
          <w:rFonts w:hint="default" w:ascii="Times New Roman" w:hAnsi="Times New Roman" w:cs="Times New Roman"/>
          <w:color w:val="auto"/>
          <w:kern w:val="0"/>
          <w:sz w:val="21"/>
          <w:szCs w:val="21"/>
          <w:highlight w:val="none"/>
          <w:lang w:eastAsia="zh-CN"/>
        </w:rPr>
        <w:t>前递交响应文件。</w:t>
      </w:r>
    </w:p>
    <w:p>
      <w:pPr>
        <w:widowControl/>
        <w:tabs>
          <w:tab w:val="left" w:pos="1620"/>
        </w:tabs>
        <w:spacing w:line="360" w:lineRule="auto"/>
        <w:ind w:right="-197" w:rightChars="-94"/>
        <w:jc w:val="left"/>
        <w:outlineLvl w:val="9"/>
        <w:rPr>
          <w:rFonts w:hint="default" w:ascii="Times New Roman" w:hAnsi="Times New Roman" w:cs="Times New Roman"/>
          <w:color w:val="auto"/>
          <w:highlight w:val="none"/>
          <w:lang w:eastAsia="zh-CN"/>
        </w:rPr>
      </w:pPr>
      <w:r>
        <w:rPr>
          <w:rFonts w:hint="default" w:ascii="Times New Roman" w:hAnsi="Times New Roman" w:cs="Times New Roman"/>
          <w:b/>
          <w:color w:val="auto"/>
          <w:kern w:val="0"/>
          <w:sz w:val="24"/>
          <w:highlight w:val="none"/>
        </w:rPr>
        <w:t>一、</w:t>
      </w:r>
      <w:r>
        <w:rPr>
          <w:rFonts w:hint="default" w:ascii="Times New Roman" w:hAnsi="Times New Roman" w:cs="Times New Roman"/>
          <w:b/>
          <w:color w:val="auto"/>
          <w:kern w:val="0"/>
          <w:sz w:val="24"/>
          <w:highlight w:val="none"/>
          <w:lang w:eastAsia="zh-CN"/>
        </w:rPr>
        <w:t>项目基本情况</w:t>
      </w:r>
    </w:p>
    <w:p>
      <w:pPr>
        <w:widowControl/>
        <w:tabs>
          <w:tab w:val="left" w:pos="1620"/>
        </w:tabs>
        <w:spacing w:line="360" w:lineRule="auto"/>
        <w:ind w:right="-197" w:rightChars="-94" w:firstLine="420" w:firstLineChars="200"/>
        <w:jc w:val="left"/>
        <w:outlineLvl w:val="9"/>
        <w:rPr>
          <w:rFonts w:hint="default" w:ascii="Times New Roman" w:hAnsi="Times New Roman" w:eastAsia="宋体" w:cs="Times New Roman"/>
          <w:b w:val="0"/>
          <w:bCs/>
          <w:color w:val="auto"/>
          <w:kern w:val="0"/>
          <w:sz w:val="21"/>
          <w:szCs w:val="21"/>
          <w:highlight w:val="none"/>
          <w:lang w:val="en-US" w:eastAsia="zh-CN"/>
        </w:rPr>
      </w:pPr>
      <w:r>
        <w:rPr>
          <w:rFonts w:hint="default" w:ascii="Times New Roman" w:hAnsi="Times New Roman" w:cs="Times New Roman"/>
          <w:b w:val="0"/>
          <w:bCs/>
          <w:color w:val="auto"/>
          <w:kern w:val="0"/>
          <w:sz w:val="21"/>
          <w:szCs w:val="21"/>
          <w:highlight w:val="none"/>
          <w:lang w:val="en-US" w:eastAsia="zh-CN"/>
        </w:rPr>
        <w:t>1、项目编号：ZDZC2022062201</w:t>
      </w:r>
    </w:p>
    <w:p>
      <w:pPr>
        <w:widowControl/>
        <w:tabs>
          <w:tab w:val="left" w:pos="1620"/>
        </w:tabs>
        <w:spacing w:line="360" w:lineRule="auto"/>
        <w:ind w:right="-197" w:rightChars="-94" w:firstLine="420" w:firstLineChars="200"/>
        <w:jc w:val="left"/>
        <w:outlineLvl w:val="9"/>
        <w:rPr>
          <w:rFonts w:hint="default" w:ascii="Times New Roman" w:hAnsi="Times New Roman" w:cs="Times New Roman"/>
          <w:b w:val="0"/>
          <w:bCs/>
          <w:color w:val="auto"/>
          <w:kern w:val="0"/>
          <w:sz w:val="21"/>
          <w:szCs w:val="21"/>
          <w:highlight w:val="none"/>
          <w:lang w:val="en-US" w:eastAsia="zh-CN"/>
        </w:rPr>
      </w:pPr>
      <w:r>
        <w:rPr>
          <w:rFonts w:hint="default" w:ascii="Times New Roman" w:hAnsi="Times New Roman" w:cs="Times New Roman"/>
          <w:b w:val="0"/>
          <w:bCs/>
          <w:color w:val="auto"/>
          <w:kern w:val="0"/>
          <w:sz w:val="21"/>
          <w:szCs w:val="21"/>
          <w:highlight w:val="none"/>
          <w:lang w:val="en-US" w:eastAsia="zh-CN"/>
        </w:rPr>
        <w:t>2、项目名称：西安高新区第五十七幼儿园部室设备采购项目</w:t>
      </w:r>
    </w:p>
    <w:p>
      <w:pPr>
        <w:widowControl/>
        <w:tabs>
          <w:tab w:val="left" w:pos="1620"/>
        </w:tabs>
        <w:spacing w:line="360" w:lineRule="auto"/>
        <w:ind w:right="-197" w:rightChars="-94" w:firstLine="420" w:firstLineChars="200"/>
        <w:jc w:val="left"/>
        <w:outlineLvl w:val="9"/>
        <w:rPr>
          <w:rFonts w:hint="default" w:ascii="Times New Roman" w:hAnsi="Times New Roman" w:cs="Times New Roman"/>
          <w:b w:val="0"/>
          <w:bCs/>
          <w:color w:val="auto"/>
          <w:kern w:val="0"/>
          <w:sz w:val="21"/>
          <w:szCs w:val="21"/>
          <w:highlight w:val="none"/>
          <w:lang w:val="en-US" w:eastAsia="zh-CN"/>
        </w:rPr>
      </w:pPr>
      <w:r>
        <w:rPr>
          <w:rFonts w:hint="default" w:ascii="Times New Roman" w:hAnsi="Times New Roman" w:cs="Times New Roman"/>
          <w:b w:val="0"/>
          <w:bCs/>
          <w:color w:val="auto"/>
          <w:kern w:val="0"/>
          <w:sz w:val="21"/>
          <w:szCs w:val="21"/>
          <w:highlight w:val="none"/>
          <w:lang w:val="en-US" w:eastAsia="zh-CN"/>
        </w:rPr>
        <w:t>3、采购方式：竞争性磋商</w:t>
      </w:r>
    </w:p>
    <w:p>
      <w:pPr>
        <w:widowControl/>
        <w:tabs>
          <w:tab w:val="left" w:pos="1620"/>
        </w:tabs>
        <w:spacing w:line="360" w:lineRule="auto"/>
        <w:ind w:right="-197" w:rightChars="-94" w:firstLine="420" w:firstLineChars="200"/>
        <w:jc w:val="left"/>
        <w:outlineLvl w:val="9"/>
        <w:rPr>
          <w:rFonts w:hint="default" w:ascii="Times New Roman" w:hAnsi="Times New Roman" w:cs="Times New Roman"/>
          <w:b w:val="0"/>
          <w:bCs/>
          <w:color w:val="auto"/>
          <w:kern w:val="0"/>
          <w:sz w:val="21"/>
          <w:szCs w:val="21"/>
          <w:highlight w:val="none"/>
          <w:lang w:val="en-US" w:eastAsia="zh-CN"/>
        </w:rPr>
      </w:pPr>
      <w:r>
        <w:rPr>
          <w:rFonts w:hint="default" w:ascii="Times New Roman" w:hAnsi="Times New Roman" w:cs="Times New Roman"/>
          <w:b w:val="0"/>
          <w:bCs/>
          <w:color w:val="auto"/>
          <w:kern w:val="0"/>
          <w:sz w:val="21"/>
          <w:szCs w:val="21"/>
          <w:highlight w:val="none"/>
          <w:lang w:val="en-US" w:eastAsia="zh-CN"/>
        </w:rPr>
        <w:t>4、预算金额：335000.00元</w:t>
      </w:r>
    </w:p>
    <w:p>
      <w:pPr>
        <w:widowControl/>
        <w:tabs>
          <w:tab w:val="left" w:pos="1620"/>
        </w:tabs>
        <w:spacing w:line="360" w:lineRule="auto"/>
        <w:ind w:right="-197" w:rightChars="-94" w:firstLine="420" w:firstLineChars="200"/>
        <w:jc w:val="left"/>
        <w:outlineLvl w:val="9"/>
        <w:rPr>
          <w:rFonts w:hint="default" w:ascii="Times New Roman" w:hAnsi="Times New Roman" w:cs="Times New Roman"/>
          <w:b w:val="0"/>
          <w:bCs/>
          <w:color w:val="auto"/>
          <w:kern w:val="0"/>
          <w:sz w:val="21"/>
          <w:szCs w:val="21"/>
          <w:highlight w:val="none"/>
          <w:lang w:val="en-US" w:eastAsia="zh-CN"/>
        </w:rPr>
      </w:pPr>
      <w:r>
        <w:rPr>
          <w:rFonts w:hint="default" w:ascii="Times New Roman" w:hAnsi="Times New Roman" w:cs="Times New Roman"/>
          <w:b w:val="0"/>
          <w:bCs/>
          <w:color w:val="auto"/>
          <w:kern w:val="0"/>
          <w:sz w:val="21"/>
          <w:szCs w:val="21"/>
          <w:highlight w:val="none"/>
          <w:lang w:val="en-US" w:eastAsia="zh-CN"/>
        </w:rPr>
        <w:t>5、采购需求：</w:t>
      </w:r>
    </w:p>
    <w:p>
      <w:pPr>
        <w:widowControl/>
        <w:tabs>
          <w:tab w:val="left" w:pos="1620"/>
        </w:tabs>
        <w:spacing w:line="360" w:lineRule="auto"/>
        <w:ind w:right="-197" w:rightChars="-94" w:firstLine="420" w:firstLineChars="200"/>
        <w:jc w:val="left"/>
        <w:outlineLvl w:val="9"/>
        <w:rPr>
          <w:rFonts w:hint="default" w:ascii="Times New Roman" w:hAnsi="Times New Roman" w:cs="Times New Roman"/>
          <w:b w:val="0"/>
          <w:bCs/>
          <w:color w:val="auto"/>
          <w:kern w:val="0"/>
          <w:sz w:val="21"/>
          <w:szCs w:val="21"/>
          <w:highlight w:val="none"/>
          <w:lang w:val="en-US" w:eastAsia="zh-CN"/>
        </w:rPr>
      </w:pPr>
      <w:r>
        <w:rPr>
          <w:rFonts w:hint="default" w:ascii="Times New Roman" w:hAnsi="Times New Roman" w:cs="Times New Roman"/>
          <w:b w:val="0"/>
          <w:bCs/>
          <w:color w:val="auto"/>
          <w:kern w:val="0"/>
          <w:sz w:val="21"/>
          <w:szCs w:val="21"/>
          <w:highlight w:val="none"/>
          <w:lang w:val="en-US" w:eastAsia="zh-CN"/>
        </w:rPr>
        <w:t>合同包1（西安高新区第五十七幼儿园部室设备采购项目）：</w:t>
      </w:r>
    </w:p>
    <w:p>
      <w:pPr>
        <w:widowControl/>
        <w:tabs>
          <w:tab w:val="left" w:pos="1620"/>
        </w:tabs>
        <w:spacing w:line="360" w:lineRule="auto"/>
        <w:ind w:right="-197" w:rightChars="-94" w:firstLine="420" w:firstLineChars="200"/>
        <w:jc w:val="left"/>
        <w:outlineLvl w:val="9"/>
        <w:rPr>
          <w:rFonts w:hint="default" w:ascii="Times New Roman" w:hAnsi="Times New Roman" w:cs="Times New Roman"/>
          <w:b w:val="0"/>
          <w:bCs/>
          <w:color w:val="auto"/>
          <w:kern w:val="0"/>
          <w:sz w:val="21"/>
          <w:szCs w:val="21"/>
          <w:highlight w:val="none"/>
          <w:lang w:val="en-US" w:eastAsia="zh-CN"/>
        </w:rPr>
      </w:pPr>
      <w:r>
        <w:rPr>
          <w:rFonts w:hint="default" w:ascii="Times New Roman" w:hAnsi="Times New Roman" w:cs="Times New Roman"/>
          <w:b w:val="0"/>
          <w:bCs/>
          <w:color w:val="auto"/>
          <w:kern w:val="0"/>
          <w:sz w:val="21"/>
          <w:szCs w:val="21"/>
          <w:highlight w:val="none"/>
          <w:lang w:val="en-US" w:eastAsia="zh-CN"/>
        </w:rPr>
        <w:t>合同包预算金额：335000.00元</w:t>
      </w:r>
    </w:p>
    <w:tbl>
      <w:tblPr>
        <w:tblStyle w:val="18"/>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200"/>
        <w:gridCol w:w="1650"/>
        <w:gridCol w:w="1165"/>
        <w:gridCol w:w="1460"/>
        <w:gridCol w:w="1251"/>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sz w:val="21"/>
                <w:szCs w:val="21"/>
                <w:highlight w:val="none"/>
                <w:vertAlign w:val="baseline"/>
                <w:lang w:eastAsia="zh-CN"/>
              </w:rPr>
            </w:pPr>
            <w:r>
              <w:rPr>
                <w:rFonts w:hint="default" w:ascii="Times New Roman" w:hAnsi="Times New Roman" w:eastAsia="宋体" w:cs="Times New Roman"/>
                <w:b w:val="0"/>
                <w:bCs w:val="0"/>
                <w:i w:val="0"/>
                <w:iCs w:val="0"/>
                <w:caps w:val="0"/>
                <w:color w:val="333333"/>
                <w:spacing w:val="0"/>
                <w:sz w:val="21"/>
                <w:szCs w:val="21"/>
                <w:highlight w:val="none"/>
                <w:shd w:val="clear" w:fill="FFFFFF"/>
              </w:rPr>
              <w:t>品目号</w:t>
            </w:r>
          </w:p>
        </w:tc>
        <w:tc>
          <w:tcPr>
            <w:tcW w:w="1200" w:type="dxa"/>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highlight w:val="none"/>
                <w:vertAlign w:val="baseline"/>
                <w:lang w:eastAsia="zh-CN"/>
              </w:rPr>
            </w:pPr>
            <w:r>
              <w:rPr>
                <w:rFonts w:hint="default" w:ascii="Times New Roman" w:hAnsi="Times New Roman" w:eastAsia="宋体" w:cs="Times New Roman"/>
                <w:b w:val="0"/>
                <w:bCs w:val="0"/>
                <w:i w:val="0"/>
                <w:iCs w:val="0"/>
                <w:caps w:val="0"/>
                <w:color w:val="333333"/>
                <w:spacing w:val="0"/>
                <w:sz w:val="21"/>
                <w:szCs w:val="21"/>
                <w:highlight w:val="none"/>
                <w:shd w:val="clear" w:fill="FFFFFF"/>
              </w:rPr>
              <w:t>品目名称</w:t>
            </w:r>
          </w:p>
        </w:tc>
        <w:tc>
          <w:tcPr>
            <w:tcW w:w="1650" w:type="dxa"/>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highlight w:val="none"/>
                <w:vertAlign w:val="baseline"/>
              </w:rPr>
            </w:pPr>
            <w:r>
              <w:rPr>
                <w:rFonts w:hint="default" w:ascii="Times New Roman" w:hAnsi="Times New Roman" w:eastAsia="宋体" w:cs="Times New Roman"/>
                <w:b w:val="0"/>
                <w:bCs w:val="0"/>
                <w:i w:val="0"/>
                <w:iCs w:val="0"/>
                <w:caps w:val="0"/>
                <w:color w:val="333333"/>
                <w:spacing w:val="0"/>
                <w:sz w:val="21"/>
                <w:szCs w:val="21"/>
                <w:highlight w:val="none"/>
                <w:shd w:val="clear" w:fill="FFFFFF"/>
              </w:rPr>
              <w:t>采购标的</w:t>
            </w:r>
          </w:p>
        </w:tc>
        <w:tc>
          <w:tcPr>
            <w:tcW w:w="1165" w:type="dxa"/>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highlight w:val="none"/>
                <w:vertAlign w:val="baseline"/>
              </w:rPr>
            </w:pPr>
            <w:r>
              <w:rPr>
                <w:rFonts w:hint="default" w:ascii="Times New Roman" w:hAnsi="Times New Roman" w:eastAsia="宋体" w:cs="Times New Roman"/>
                <w:b w:val="0"/>
                <w:bCs w:val="0"/>
                <w:i w:val="0"/>
                <w:iCs w:val="0"/>
                <w:caps w:val="0"/>
                <w:color w:val="333333"/>
                <w:spacing w:val="0"/>
                <w:sz w:val="21"/>
                <w:szCs w:val="21"/>
                <w:highlight w:val="none"/>
                <w:shd w:val="clear" w:fill="FFFFFF"/>
              </w:rPr>
              <w:t>数量（单位）</w:t>
            </w:r>
          </w:p>
        </w:tc>
        <w:tc>
          <w:tcPr>
            <w:tcW w:w="1460" w:type="dxa"/>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i w:val="0"/>
                <w:iCs w:val="0"/>
                <w:caps w:val="0"/>
                <w:color w:val="333333"/>
                <w:spacing w:val="0"/>
                <w:sz w:val="21"/>
                <w:szCs w:val="21"/>
                <w:highlight w:val="none"/>
                <w:shd w:val="clear" w:fill="FFFFFF"/>
              </w:rPr>
            </w:pPr>
            <w:r>
              <w:rPr>
                <w:rFonts w:hint="default" w:ascii="Times New Roman" w:hAnsi="Times New Roman" w:eastAsia="宋体" w:cs="Times New Roman"/>
                <w:b w:val="0"/>
                <w:bCs w:val="0"/>
                <w:i w:val="0"/>
                <w:iCs w:val="0"/>
                <w:caps w:val="0"/>
                <w:color w:val="333333"/>
                <w:spacing w:val="0"/>
                <w:sz w:val="21"/>
                <w:szCs w:val="21"/>
                <w:highlight w:val="none"/>
                <w:shd w:val="clear" w:fill="FFFFFF"/>
              </w:rPr>
              <w:t>技术规格、参数及要求</w:t>
            </w:r>
          </w:p>
        </w:tc>
        <w:tc>
          <w:tcPr>
            <w:tcW w:w="1251" w:type="dxa"/>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highlight w:val="none"/>
                <w:vertAlign w:val="baseline"/>
              </w:rPr>
            </w:pPr>
            <w:r>
              <w:rPr>
                <w:rFonts w:hint="default" w:ascii="Times New Roman" w:hAnsi="Times New Roman" w:eastAsia="宋体" w:cs="Times New Roman"/>
                <w:b w:val="0"/>
                <w:bCs w:val="0"/>
                <w:i w:val="0"/>
                <w:iCs w:val="0"/>
                <w:caps w:val="0"/>
                <w:color w:val="333333"/>
                <w:spacing w:val="0"/>
                <w:sz w:val="21"/>
                <w:szCs w:val="21"/>
                <w:highlight w:val="none"/>
                <w:shd w:val="clear" w:fill="FFFFFF"/>
              </w:rPr>
              <w:t>品目预算(元)</w:t>
            </w:r>
          </w:p>
        </w:tc>
        <w:tc>
          <w:tcPr>
            <w:tcW w:w="1374" w:type="dxa"/>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highlight w:val="none"/>
                <w:vertAlign w:val="baseline"/>
              </w:rPr>
            </w:pPr>
            <w:r>
              <w:rPr>
                <w:rFonts w:hint="default" w:ascii="Times New Roman" w:hAnsi="Times New Roman" w:eastAsia="宋体" w:cs="Times New Roman"/>
                <w:b w:val="0"/>
                <w:bCs w:val="0"/>
                <w:i w:val="0"/>
                <w:iCs w:val="0"/>
                <w:caps w:val="0"/>
                <w:color w:val="333333"/>
                <w:spacing w:val="0"/>
                <w:sz w:val="21"/>
                <w:szCs w:val="21"/>
                <w:highlight w:val="none"/>
                <w:shd w:val="clear" w:fill="FFFFFF"/>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1-1</w:t>
            </w:r>
          </w:p>
        </w:tc>
        <w:tc>
          <w:tcPr>
            <w:tcW w:w="1200" w:type="dxa"/>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highlight w:val="none"/>
                <w:vertAlign w:val="baseline"/>
              </w:rPr>
            </w:pPr>
            <w:r>
              <w:rPr>
                <w:rFonts w:hint="default" w:ascii="Times New Roman" w:hAnsi="Times New Roman" w:eastAsia="宋体" w:cs="Times New Roman"/>
                <w:b w:val="0"/>
                <w:bCs w:val="0"/>
                <w:sz w:val="21"/>
                <w:szCs w:val="21"/>
                <w:highlight w:val="none"/>
                <w:vertAlign w:val="baseline"/>
              </w:rPr>
              <w:t>教具</w:t>
            </w:r>
          </w:p>
        </w:tc>
        <w:tc>
          <w:tcPr>
            <w:tcW w:w="1650" w:type="dxa"/>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highlight w:val="none"/>
                <w:vertAlign w:val="baseline"/>
              </w:rPr>
            </w:pPr>
            <w:r>
              <w:rPr>
                <w:rFonts w:hint="default" w:ascii="Times New Roman" w:hAnsi="Times New Roman" w:eastAsia="宋体" w:cs="Times New Roman"/>
                <w:b w:val="0"/>
                <w:bCs w:val="0"/>
                <w:sz w:val="21"/>
                <w:szCs w:val="21"/>
                <w:highlight w:val="none"/>
                <w:vertAlign w:val="baseline"/>
              </w:rPr>
              <w:t>采购幼儿园部室设施设备</w:t>
            </w:r>
          </w:p>
        </w:tc>
        <w:tc>
          <w:tcPr>
            <w:tcW w:w="1165" w:type="dxa"/>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highlight w:val="none"/>
                <w:vertAlign w:val="baseline"/>
              </w:rPr>
            </w:pPr>
            <w:r>
              <w:rPr>
                <w:rFonts w:hint="default" w:ascii="Times New Roman" w:hAnsi="Times New Roman" w:eastAsia="宋体" w:cs="Times New Roman"/>
                <w:b w:val="0"/>
                <w:bCs w:val="0"/>
                <w:i w:val="0"/>
                <w:iCs w:val="0"/>
                <w:caps w:val="0"/>
                <w:color w:val="333333"/>
                <w:spacing w:val="0"/>
                <w:sz w:val="21"/>
                <w:szCs w:val="21"/>
                <w:highlight w:val="none"/>
                <w:shd w:val="clear" w:fill="FFFFFF"/>
              </w:rPr>
              <w:t>1(</w:t>
            </w:r>
            <w:r>
              <w:rPr>
                <w:rFonts w:hint="default" w:ascii="Times New Roman" w:hAnsi="Times New Roman" w:eastAsia="宋体" w:cs="Times New Roman"/>
                <w:b w:val="0"/>
                <w:bCs w:val="0"/>
                <w:i w:val="0"/>
                <w:iCs w:val="0"/>
                <w:caps w:val="0"/>
                <w:color w:val="333333"/>
                <w:spacing w:val="0"/>
                <w:sz w:val="21"/>
                <w:szCs w:val="21"/>
                <w:highlight w:val="none"/>
                <w:shd w:val="clear" w:fill="FFFFFF"/>
                <w:lang w:eastAsia="zh-CN"/>
              </w:rPr>
              <w:t>批</w:t>
            </w:r>
            <w:r>
              <w:rPr>
                <w:rFonts w:hint="default" w:ascii="Times New Roman" w:hAnsi="Times New Roman" w:eastAsia="宋体" w:cs="Times New Roman"/>
                <w:b w:val="0"/>
                <w:bCs w:val="0"/>
                <w:i w:val="0"/>
                <w:iCs w:val="0"/>
                <w:caps w:val="0"/>
                <w:color w:val="333333"/>
                <w:spacing w:val="0"/>
                <w:sz w:val="21"/>
                <w:szCs w:val="21"/>
                <w:highlight w:val="none"/>
                <w:shd w:val="clear" w:fill="FFFFFF"/>
              </w:rPr>
              <w:t>)</w:t>
            </w:r>
          </w:p>
        </w:tc>
        <w:tc>
          <w:tcPr>
            <w:tcW w:w="1460" w:type="dxa"/>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i w:val="0"/>
                <w:iCs w:val="0"/>
                <w:caps w:val="0"/>
                <w:color w:val="333333"/>
                <w:spacing w:val="0"/>
                <w:sz w:val="21"/>
                <w:szCs w:val="21"/>
                <w:highlight w:val="none"/>
                <w:shd w:val="clear" w:fill="FFFFFF"/>
              </w:rPr>
              <w:t>详见采购文件</w:t>
            </w:r>
          </w:p>
        </w:tc>
        <w:tc>
          <w:tcPr>
            <w:tcW w:w="1251" w:type="dxa"/>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highlight w:val="none"/>
                <w:vertAlign w:val="baseline"/>
                <w:lang w:val="en-US"/>
              </w:rPr>
            </w:pPr>
            <w:r>
              <w:rPr>
                <w:rFonts w:hint="default" w:ascii="Times New Roman" w:hAnsi="Times New Roman" w:cs="Times New Roman"/>
                <w:b w:val="0"/>
                <w:bCs/>
                <w:color w:val="auto"/>
                <w:kern w:val="0"/>
                <w:sz w:val="21"/>
                <w:szCs w:val="21"/>
                <w:highlight w:val="none"/>
                <w:lang w:val="en-US" w:eastAsia="zh-CN"/>
              </w:rPr>
              <w:t>335000.00</w:t>
            </w:r>
          </w:p>
        </w:tc>
        <w:tc>
          <w:tcPr>
            <w:tcW w:w="1374" w:type="dxa"/>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z w:val="21"/>
                <w:szCs w:val="21"/>
                <w:highlight w:val="none"/>
                <w:vertAlign w:val="baseline"/>
              </w:rPr>
            </w:pPr>
            <w:r>
              <w:rPr>
                <w:rFonts w:hint="default" w:ascii="Times New Roman" w:hAnsi="Times New Roman" w:cs="Times New Roman"/>
                <w:b w:val="0"/>
                <w:bCs w:val="0"/>
                <w:sz w:val="21"/>
                <w:szCs w:val="21"/>
                <w:highlight w:val="none"/>
                <w:lang w:val="en-US" w:eastAsia="zh-CN"/>
              </w:rPr>
              <w:t>-</w:t>
            </w:r>
          </w:p>
        </w:tc>
      </w:tr>
    </w:tbl>
    <w:p>
      <w:pPr>
        <w:widowControl/>
        <w:tabs>
          <w:tab w:val="left" w:pos="1620"/>
        </w:tabs>
        <w:spacing w:line="360" w:lineRule="auto"/>
        <w:ind w:right="-197" w:rightChars="-94" w:firstLine="420" w:firstLineChars="200"/>
        <w:jc w:val="left"/>
        <w:outlineLvl w:val="9"/>
        <w:rPr>
          <w:rFonts w:hint="default" w:ascii="Times New Roman" w:hAnsi="Times New Roman" w:cs="Times New Roman"/>
          <w:b w:val="0"/>
          <w:bCs/>
          <w:color w:val="auto"/>
          <w:kern w:val="0"/>
          <w:sz w:val="21"/>
          <w:szCs w:val="21"/>
          <w:highlight w:val="none"/>
          <w:lang w:val="en-US" w:eastAsia="zh-CN"/>
        </w:rPr>
      </w:pPr>
      <w:r>
        <w:rPr>
          <w:rFonts w:hint="default" w:ascii="Times New Roman" w:hAnsi="Times New Roman" w:cs="Times New Roman"/>
          <w:b w:val="0"/>
          <w:bCs/>
          <w:color w:val="auto"/>
          <w:kern w:val="0"/>
          <w:sz w:val="21"/>
          <w:szCs w:val="21"/>
          <w:highlight w:val="none"/>
          <w:lang w:val="en-US" w:eastAsia="zh-CN"/>
        </w:rPr>
        <w:t>6、本合同包不接受联合体投标</w:t>
      </w:r>
    </w:p>
    <w:p>
      <w:pPr>
        <w:widowControl/>
        <w:tabs>
          <w:tab w:val="left" w:pos="1620"/>
        </w:tabs>
        <w:spacing w:line="360" w:lineRule="auto"/>
        <w:ind w:right="-197" w:rightChars="-94" w:firstLine="420" w:firstLineChars="200"/>
        <w:jc w:val="left"/>
        <w:outlineLvl w:val="9"/>
        <w:rPr>
          <w:rFonts w:hint="default" w:ascii="Times New Roman" w:hAnsi="Times New Roman" w:cs="Times New Roman"/>
          <w:b w:val="0"/>
          <w:bCs/>
          <w:color w:val="auto"/>
          <w:kern w:val="0"/>
          <w:sz w:val="21"/>
          <w:szCs w:val="21"/>
          <w:highlight w:val="none"/>
          <w:lang w:val="en-US" w:eastAsia="zh-CN"/>
        </w:rPr>
      </w:pPr>
      <w:r>
        <w:rPr>
          <w:rFonts w:hint="default" w:ascii="Times New Roman" w:hAnsi="Times New Roman" w:cs="Times New Roman"/>
          <w:b w:val="0"/>
          <w:bCs/>
          <w:color w:val="auto"/>
          <w:kern w:val="0"/>
          <w:sz w:val="21"/>
          <w:szCs w:val="21"/>
          <w:highlight w:val="none"/>
          <w:lang w:val="en-US" w:eastAsia="zh-CN"/>
        </w:rPr>
        <w:t>7、合同履行期限：合同签订后15个日历日内</w:t>
      </w:r>
    </w:p>
    <w:p>
      <w:pPr>
        <w:widowControl/>
        <w:tabs>
          <w:tab w:val="left" w:pos="1620"/>
        </w:tabs>
        <w:spacing w:line="360" w:lineRule="auto"/>
        <w:ind w:right="-197" w:rightChars="-94"/>
        <w:jc w:val="left"/>
        <w:outlineLvl w:val="9"/>
        <w:rPr>
          <w:rFonts w:hint="default" w:ascii="Times New Roman" w:hAnsi="Times New Roman" w:cs="Times New Roman"/>
          <w:b/>
          <w:color w:val="auto"/>
          <w:kern w:val="0"/>
          <w:sz w:val="24"/>
          <w:highlight w:val="none"/>
          <w:lang w:eastAsia="zh-CN"/>
        </w:rPr>
      </w:pPr>
      <w:r>
        <w:rPr>
          <w:rFonts w:hint="default" w:ascii="Times New Roman" w:hAnsi="Times New Roman" w:cs="Times New Roman"/>
          <w:b/>
          <w:color w:val="auto"/>
          <w:kern w:val="0"/>
          <w:sz w:val="24"/>
          <w:highlight w:val="none"/>
          <w:lang w:eastAsia="zh-CN"/>
        </w:rPr>
        <w:t>二、</w:t>
      </w:r>
      <w:r>
        <w:rPr>
          <w:rFonts w:hint="default" w:ascii="Times New Roman" w:hAnsi="Times New Roman" w:cs="Times New Roman"/>
          <w:b/>
          <w:color w:val="auto"/>
          <w:kern w:val="0"/>
          <w:sz w:val="24"/>
          <w:highlight w:val="none"/>
          <w:lang w:val="en-US" w:eastAsia="zh-CN"/>
        </w:rPr>
        <w:t>申请人</w:t>
      </w:r>
      <w:r>
        <w:rPr>
          <w:rFonts w:hint="default" w:ascii="Times New Roman" w:hAnsi="Times New Roman" w:cs="Times New Roman"/>
          <w:b/>
          <w:color w:val="auto"/>
          <w:kern w:val="0"/>
          <w:sz w:val="24"/>
          <w:highlight w:val="none"/>
          <w:lang w:eastAsia="zh-CN"/>
        </w:rPr>
        <w:t>的资格要求</w:t>
      </w:r>
    </w:p>
    <w:p>
      <w:pPr>
        <w:widowControl/>
        <w:tabs>
          <w:tab w:val="left" w:pos="1620"/>
        </w:tabs>
        <w:spacing w:line="360" w:lineRule="auto"/>
        <w:ind w:right="-197" w:rightChars="-94" w:firstLine="420" w:firstLineChars="200"/>
        <w:jc w:val="left"/>
        <w:outlineLvl w:val="9"/>
        <w:rPr>
          <w:rFonts w:hint="default" w:ascii="Times New Roman" w:hAnsi="Times New Roman" w:cs="Times New Roman"/>
          <w:b w:val="0"/>
          <w:bCs/>
          <w:color w:val="auto"/>
          <w:kern w:val="0"/>
          <w:sz w:val="21"/>
          <w:szCs w:val="21"/>
          <w:highlight w:val="none"/>
          <w:lang w:val="en-US" w:eastAsia="zh-CN"/>
        </w:rPr>
      </w:pPr>
      <w:r>
        <w:rPr>
          <w:rFonts w:hint="default" w:ascii="Times New Roman" w:hAnsi="Times New Roman" w:cs="Times New Roman"/>
          <w:b w:val="0"/>
          <w:bCs/>
          <w:color w:val="auto"/>
          <w:kern w:val="0"/>
          <w:sz w:val="21"/>
          <w:szCs w:val="21"/>
          <w:highlight w:val="none"/>
          <w:lang w:val="en-US" w:eastAsia="zh-CN"/>
        </w:rPr>
        <w:t>1.满足《中华人民共和国政府采购法》第二十二条规定；</w:t>
      </w:r>
    </w:p>
    <w:p>
      <w:pPr>
        <w:widowControl/>
        <w:tabs>
          <w:tab w:val="left" w:pos="1620"/>
        </w:tabs>
        <w:spacing w:line="360" w:lineRule="auto"/>
        <w:ind w:right="-197" w:rightChars="-94" w:firstLine="420" w:firstLineChars="200"/>
        <w:jc w:val="left"/>
        <w:outlineLvl w:val="9"/>
        <w:rPr>
          <w:rFonts w:hint="default" w:ascii="Times New Roman" w:hAnsi="Times New Roman" w:cs="Times New Roman"/>
          <w:b w:val="0"/>
          <w:bCs/>
          <w:color w:val="auto"/>
          <w:kern w:val="0"/>
          <w:sz w:val="21"/>
          <w:szCs w:val="21"/>
          <w:highlight w:val="none"/>
          <w:lang w:val="en-US" w:eastAsia="zh-CN"/>
        </w:rPr>
      </w:pPr>
      <w:r>
        <w:rPr>
          <w:rFonts w:hint="default" w:ascii="Times New Roman" w:hAnsi="Times New Roman" w:cs="Times New Roman"/>
          <w:b w:val="0"/>
          <w:bCs/>
          <w:color w:val="auto"/>
          <w:kern w:val="0"/>
          <w:sz w:val="21"/>
          <w:szCs w:val="21"/>
          <w:highlight w:val="none"/>
          <w:lang w:val="en-US" w:eastAsia="zh-CN"/>
        </w:rPr>
        <w:t>2.落实政府采购政策需满足的资格要求：无。</w:t>
      </w:r>
    </w:p>
    <w:p>
      <w:pPr>
        <w:widowControl/>
        <w:tabs>
          <w:tab w:val="left" w:pos="1620"/>
        </w:tabs>
        <w:spacing w:line="360" w:lineRule="auto"/>
        <w:ind w:right="-197" w:rightChars="-94" w:firstLine="420" w:firstLineChars="200"/>
        <w:jc w:val="left"/>
        <w:outlineLvl w:val="9"/>
        <w:rPr>
          <w:rFonts w:hint="default" w:ascii="Times New Roman" w:hAnsi="Times New Roman" w:cs="Times New Roman"/>
          <w:b w:val="0"/>
          <w:bCs/>
          <w:color w:val="auto"/>
          <w:kern w:val="0"/>
          <w:sz w:val="21"/>
          <w:szCs w:val="21"/>
          <w:highlight w:val="none"/>
          <w:lang w:val="en-US" w:eastAsia="zh-CN"/>
        </w:rPr>
      </w:pPr>
      <w:r>
        <w:rPr>
          <w:rFonts w:hint="default" w:ascii="Times New Roman" w:hAnsi="Times New Roman" w:cs="Times New Roman"/>
          <w:b w:val="0"/>
          <w:bCs/>
          <w:color w:val="auto"/>
          <w:kern w:val="0"/>
          <w:sz w:val="21"/>
          <w:szCs w:val="21"/>
          <w:highlight w:val="none"/>
          <w:lang w:val="en-US" w:eastAsia="zh-CN"/>
        </w:rPr>
        <w:t>3.本项目的特定资格要求：</w:t>
      </w:r>
    </w:p>
    <w:p>
      <w:pPr>
        <w:pStyle w:val="27"/>
        <w:spacing w:line="360" w:lineRule="auto"/>
        <w:ind w:firstLine="480"/>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SA"/>
        </w:rPr>
        <w:t>合同包1（</w:t>
      </w:r>
      <w:r>
        <w:rPr>
          <w:rFonts w:hint="default" w:ascii="Times New Roman" w:hAnsi="Times New Roman" w:cs="Times New Roman"/>
          <w:b w:val="0"/>
          <w:bCs/>
          <w:color w:val="auto"/>
          <w:kern w:val="0"/>
          <w:sz w:val="21"/>
          <w:szCs w:val="21"/>
          <w:highlight w:val="none"/>
          <w:lang w:val="en-US" w:eastAsia="zh-CN"/>
        </w:rPr>
        <w:t>西安高新区第五十七幼儿园部室设备采购项目</w:t>
      </w:r>
      <w:r>
        <w:rPr>
          <w:rFonts w:hint="default" w:ascii="Times New Roman" w:hAnsi="Times New Roman" w:eastAsia="宋体" w:cs="Times New Roman"/>
          <w:b w:val="0"/>
          <w:bCs/>
          <w:color w:val="auto"/>
          <w:kern w:val="0"/>
          <w:sz w:val="21"/>
          <w:szCs w:val="21"/>
          <w:highlight w:val="none"/>
          <w:lang w:val="en-US" w:eastAsia="zh-CN" w:bidi="ar-SA"/>
        </w:rPr>
        <w:t>）特定资格要求如下：</w:t>
      </w:r>
    </w:p>
    <w:p>
      <w:pPr>
        <w:pStyle w:val="27"/>
        <w:spacing w:line="360" w:lineRule="auto"/>
        <w:ind w:firstLine="480"/>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SA"/>
        </w:rPr>
        <w:t>（1）法定代表人（单位负责人）参加磋商的，提供本人身份证复印件</w:t>
      </w:r>
      <w:r>
        <w:rPr>
          <w:rFonts w:hint="default" w:ascii="Times New Roman" w:hAnsi="Times New Roman" w:cs="Times New Roman"/>
          <w:b w:val="0"/>
          <w:bCs/>
          <w:color w:val="auto"/>
          <w:kern w:val="0"/>
          <w:sz w:val="21"/>
          <w:szCs w:val="21"/>
          <w:highlight w:val="none"/>
          <w:lang w:val="en-US" w:eastAsia="zh-CN" w:bidi="ar-SA"/>
        </w:rPr>
        <w:t>及法定代表人身份证明</w:t>
      </w:r>
      <w:r>
        <w:rPr>
          <w:rFonts w:hint="default" w:ascii="Times New Roman" w:hAnsi="Times New Roman" w:eastAsia="宋体" w:cs="Times New Roman"/>
          <w:b w:val="0"/>
          <w:bCs/>
          <w:color w:val="auto"/>
          <w:kern w:val="0"/>
          <w:sz w:val="21"/>
          <w:szCs w:val="21"/>
          <w:highlight w:val="none"/>
          <w:lang w:val="en-US" w:eastAsia="zh-CN" w:bidi="ar-SA"/>
        </w:rPr>
        <w:t>；法定代表人（单位负责人）授权他人参加磋商的，提供法定代表人（单位负责人）委托授权书并出示被授权代表的身份证复印件；</w:t>
      </w:r>
    </w:p>
    <w:p>
      <w:pPr>
        <w:pStyle w:val="27"/>
        <w:spacing w:line="360" w:lineRule="auto"/>
        <w:ind w:firstLine="480"/>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SA"/>
        </w:rPr>
        <w:t>（2）符合《财政部关于在政府采购活动中查询及使用信用记录有关问题的通知》（财库【2016】125号）文件中信用查询的要求。 </w:t>
      </w:r>
    </w:p>
    <w:p>
      <w:pPr>
        <w:spacing w:line="360" w:lineRule="auto"/>
        <w:ind w:firstLine="420" w:firstLineChars="200"/>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SA"/>
        </w:rPr>
        <w:t>说明：1、单位负责人为同一人或者存在控股、管理关系的不同供应商，不得同时参加本项目采购活动。</w:t>
      </w:r>
    </w:p>
    <w:p>
      <w:pPr>
        <w:spacing w:line="360" w:lineRule="auto"/>
        <w:ind w:firstLine="420" w:firstLineChars="200"/>
        <w:rPr>
          <w:rFonts w:hint="default" w:ascii="Times New Roman" w:hAnsi="Times New Roman" w:cs="Times New Roman"/>
          <w:sz w:val="24"/>
          <w:highlight w:val="none"/>
        </w:rPr>
      </w:pPr>
      <w:r>
        <w:rPr>
          <w:rFonts w:hint="default" w:ascii="Times New Roman" w:hAnsi="Times New Roman" w:eastAsia="宋体" w:cs="Times New Roman"/>
          <w:b w:val="0"/>
          <w:bCs/>
          <w:color w:val="auto"/>
          <w:kern w:val="0"/>
          <w:sz w:val="21"/>
          <w:szCs w:val="21"/>
          <w:highlight w:val="none"/>
          <w:lang w:val="en-US" w:eastAsia="zh-CN" w:bidi="ar-SA"/>
        </w:rPr>
        <w:t> 2、为本项目提供过整体设计、规范编制或者项目管理、监理、检测等服务的供应商，不得再参加本项目采购活动。</w:t>
      </w:r>
    </w:p>
    <w:p>
      <w:pPr>
        <w:widowControl/>
        <w:tabs>
          <w:tab w:val="left" w:pos="1620"/>
        </w:tabs>
        <w:spacing w:line="360" w:lineRule="auto"/>
        <w:ind w:right="-197" w:rightChars="-94"/>
        <w:jc w:val="left"/>
        <w:outlineLvl w:val="9"/>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lang w:eastAsia="zh-CN"/>
        </w:rPr>
        <w:t>三、获取采购文件</w:t>
      </w:r>
    </w:p>
    <w:p>
      <w:pPr>
        <w:spacing w:line="360" w:lineRule="auto"/>
        <w:ind w:firstLine="420" w:firstLineChars="200"/>
        <w:outlineLvl w:val="9"/>
        <w:rPr>
          <w:rFonts w:hint="default" w:ascii="Times New Roman" w:hAnsi="Times New Roman" w:cs="Times New Roman"/>
          <w:b w:val="0"/>
          <w:bCs w:val="0"/>
          <w:color w:val="auto"/>
          <w:kern w:val="0"/>
          <w:sz w:val="21"/>
          <w:szCs w:val="21"/>
          <w:highlight w:val="none"/>
        </w:rPr>
      </w:pPr>
      <w:r>
        <w:rPr>
          <w:rFonts w:hint="default" w:ascii="Times New Roman" w:hAnsi="Times New Roman" w:cs="Times New Roman"/>
          <w:b w:val="0"/>
          <w:bCs w:val="0"/>
          <w:color w:val="auto"/>
          <w:kern w:val="0"/>
          <w:sz w:val="21"/>
          <w:szCs w:val="21"/>
          <w:highlight w:val="none"/>
        </w:rPr>
        <w:t>时间：202</w:t>
      </w:r>
      <w:r>
        <w:rPr>
          <w:rFonts w:hint="default" w:ascii="Times New Roman" w:hAnsi="Times New Roman" w:cs="Times New Roman"/>
          <w:b w:val="0"/>
          <w:bCs w:val="0"/>
          <w:color w:val="auto"/>
          <w:kern w:val="0"/>
          <w:sz w:val="21"/>
          <w:szCs w:val="21"/>
          <w:highlight w:val="none"/>
          <w:lang w:val="en-US" w:eastAsia="zh-CN"/>
        </w:rPr>
        <w:t>2</w:t>
      </w:r>
      <w:r>
        <w:rPr>
          <w:rFonts w:hint="default" w:ascii="Times New Roman" w:hAnsi="Times New Roman" w:cs="Times New Roman"/>
          <w:b w:val="0"/>
          <w:bCs w:val="0"/>
          <w:color w:val="auto"/>
          <w:kern w:val="0"/>
          <w:sz w:val="21"/>
          <w:szCs w:val="21"/>
          <w:highlight w:val="none"/>
        </w:rPr>
        <w:t>年</w:t>
      </w:r>
      <w:r>
        <w:rPr>
          <w:rFonts w:hint="default" w:ascii="Times New Roman" w:hAnsi="Times New Roman" w:cs="Times New Roman"/>
          <w:b w:val="0"/>
          <w:bCs w:val="0"/>
          <w:color w:val="auto"/>
          <w:kern w:val="0"/>
          <w:sz w:val="21"/>
          <w:szCs w:val="21"/>
          <w:highlight w:val="none"/>
          <w:lang w:val="en-US" w:eastAsia="zh-CN"/>
        </w:rPr>
        <w:t>07</w:t>
      </w:r>
      <w:r>
        <w:rPr>
          <w:rFonts w:hint="default" w:ascii="Times New Roman" w:hAnsi="Times New Roman" w:cs="Times New Roman"/>
          <w:b w:val="0"/>
          <w:bCs w:val="0"/>
          <w:color w:val="auto"/>
          <w:kern w:val="0"/>
          <w:sz w:val="21"/>
          <w:szCs w:val="21"/>
          <w:highlight w:val="none"/>
        </w:rPr>
        <w:t>月</w:t>
      </w:r>
      <w:r>
        <w:rPr>
          <w:rFonts w:hint="default" w:ascii="Times New Roman" w:hAnsi="Times New Roman" w:cs="Times New Roman"/>
          <w:b w:val="0"/>
          <w:bCs w:val="0"/>
          <w:color w:val="auto"/>
          <w:kern w:val="0"/>
          <w:sz w:val="21"/>
          <w:szCs w:val="21"/>
          <w:highlight w:val="none"/>
          <w:lang w:val="en-US" w:eastAsia="zh-CN"/>
        </w:rPr>
        <w:t>01</w:t>
      </w:r>
      <w:r>
        <w:rPr>
          <w:rFonts w:hint="default" w:ascii="Times New Roman" w:hAnsi="Times New Roman" w:cs="Times New Roman"/>
          <w:b w:val="0"/>
          <w:bCs w:val="0"/>
          <w:color w:val="auto"/>
          <w:kern w:val="0"/>
          <w:sz w:val="21"/>
          <w:szCs w:val="21"/>
          <w:highlight w:val="none"/>
        </w:rPr>
        <w:t>日至2022年</w:t>
      </w:r>
      <w:r>
        <w:rPr>
          <w:rFonts w:hint="default" w:ascii="Times New Roman" w:hAnsi="Times New Roman" w:cs="Times New Roman"/>
          <w:b w:val="0"/>
          <w:bCs w:val="0"/>
          <w:color w:val="auto"/>
          <w:kern w:val="0"/>
          <w:sz w:val="21"/>
          <w:szCs w:val="21"/>
          <w:highlight w:val="none"/>
          <w:lang w:val="en-US" w:eastAsia="zh-CN"/>
        </w:rPr>
        <w:t>07</w:t>
      </w:r>
      <w:r>
        <w:rPr>
          <w:rFonts w:hint="default" w:ascii="Times New Roman" w:hAnsi="Times New Roman" w:cs="Times New Roman"/>
          <w:b w:val="0"/>
          <w:bCs w:val="0"/>
          <w:color w:val="auto"/>
          <w:kern w:val="0"/>
          <w:sz w:val="21"/>
          <w:szCs w:val="21"/>
          <w:highlight w:val="none"/>
        </w:rPr>
        <w:t>月</w:t>
      </w:r>
      <w:r>
        <w:rPr>
          <w:rFonts w:hint="default" w:ascii="Times New Roman" w:hAnsi="Times New Roman" w:cs="Times New Roman"/>
          <w:b w:val="0"/>
          <w:bCs w:val="0"/>
          <w:color w:val="auto"/>
          <w:kern w:val="0"/>
          <w:sz w:val="21"/>
          <w:szCs w:val="21"/>
          <w:highlight w:val="none"/>
          <w:lang w:val="en-US" w:eastAsia="zh-CN"/>
        </w:rPr>
        <w:t>07</w:t>
      </w:r>
      <w:r>
        <w:rPr>
          <w:rFonts w:hint="default" w:ascii="Times New Roman" w:hAnsi="Times New Roman" w:cs="Times New Roman"/>
          <w:b w:val="0"/>
          <w:bCs w:val="0"/>
          <w:color w:val="auto"/>
          <w:kern w:val="0"/>
          <w:sz w:val="21"/>
          <w:szCs w:val="21"/>
          <w:highlight w:val="none"/>
        </w:rPr>
        <w:t>日，每天上午09</w:t>
      </w:r>
      <w:r>
        <w:rPr>
          <w:rFonts w:hint="eastAsia" w:ascii="Times New Roman" w:hAnsi="Times New Roman" w:cs="Times New Roman"/>
          <w:b w:val="0"/>
          <w:bCs w:val="0"/>
          <w:color w:val="auto"/>
          <w:kern w:val="0"/>
          <w:sz w:val="21"/>
          <w:szCs w:val="21"/>
          <w:highlight w:val="none"/>
          <w:lang w:eastAsia="zh-CN"/>
        </w:rPr>
        <w:t>：</w:t>
      </w:r>
      <w:r>
        <w:rPr>
          <w:rFonts w:hint="default" w:ascii="Times New Roman" w:hAnsi="Times New Roman" w:cs="Times New Roman"/>
          <w:b w:val="0"/>
          <w:bCs w:val="0"/>
          <w:color w:val="auto"/>
          <w:kern w:val="0"/>
          <w:sz w:val="21"/>
          <w:szCs w:val="21"/>
          <w:highlight w:val="none"/>
        </w:rPr>
        <w:t>00</w:t>
      </w:r>
      <w:r>
        <w:rPr>
          <w:rFonts w:hint="eastAsia" w:ascii="Times New Roman" w:hAnsi="Times New Roman" w:cs="Times New Roman"/>
          <w:b w:val="0"/>
          <w:bCs w:val="0"/>
          <w:color w:val="auto"/>
          <w:kern w:val="0"/>
          <w:sz w:val="21"/>
          <w:szCs w:val="21"/>
          <w:highlight w:val="none"/>
          <w:lang w:eastAsia="zh-CN"/>
        </w:rPr>
        <w:t>：</w:t>
      </w:r>
      <w:r>
        <w:rPr>
          <w:rFonts w:hint="default" w:ascii="Times New Roman" w:hAnsi="Times New Roman" w:cs="Times New Roman"/>
          <w:b w:val="0"/>
          <w:bCs w:val="0"/>
          <w:color w:val="auto"/>
          <w:kern w:val="0"/>
          <w:sz w:val="21"/>
          <w:szCs w:val="21"/>
          <w:highlight w:val="none"/>
        </w:rPr>
        <w:t>00至2</w:t>
      </w:r>
      <w:r>
        <w:rPr>
          <w:rFonts w:hint="eastAsia" w:ascii="Times New Roman" w:hAnsi="Times New Roman" w:cs="Times New Roman"/>
          <w:b w:val="0"/>
          <w:bCs w:val="0"/>
          <w:color w:val="auto"/>
          <w:kern w:val="0"/>
          <w:sz w:val="21"/>
          <w:szCs w:val="21"/>
          <w:highlight w:val="none"/>
          <w:lang w:eastAsia="zh-CN"/>
        </w:rPr>
        <w:t>：</w:t>
      </w:r>
      <w:r>
        <w:rPr>
          <w:rFonts w:hint="default" w:ascii="Times New Roman" w:hAnsi="Times New Roman" w:cs="Times New Roman"/>
          <w:b w:val="0"/>
          <w:bCs w:val="0"/>
          <w:color w:val="auto"/>
          <w:kern w:val="0"/>
          <w:sz w:val="21"/>
          <w:szCs w:val="21"/>
          <w:highlight w:val="none"/>
        </w:rPr>
        <w:t>00</w:t>
      </w:r>
      <w:r>
        <w:rPr>
          <w:rFonts w:hint="eastAsia" w:ascii="Times New Roman" w:hAnsi="Times New Roman" w:cs="Times New Roman"/>
          <w:b w:val="0"/>
          <w:bCs w:val="0"/>
          <w:color w:val="auto"/>
          <w:kern w:val="0"/>
          <w:sz w:val="21"/>
          <w:szCs w:val="21"/>
          <w:highlight w:val="none"/>
          <w:lang w:eastAsia="zh-CN"/>
        </w:rPr>
        <w:t>：</w:t>
      </w:r>
      <w:r>
        <w:rPr>
          <w:rFonts w:hint="default" w:ascii="Times New Roman" w:hAnsi="Times New Roman" w:cs="Times New Roman"/>
          <w:b w:val="0"/>
          <w:bCs w:val="0"/>
          <w:color w:val="auto"/>
          <w:kern w:val="0"/>
          <w:sz w:val="21"/>
          <w:szCs w:val="21"/>
          <w:highlight w:val="none"/>
        </w:rPr>
        <w:t>00，下午14</w:t>
      </w:r>
      <w:r>
        <w:rPr>
          <w:rFonts w:hint="eastAsia" w:ascii="Times New Roman" w:hAnsi="Times New Roman" w:cs="Times New Roman"/>
          <w:b w:val="0"/>
          <w:bCs w:val="0"/>
          <w:color w:val="auto"/>
          <w:kern w:val="0"/>
          <w:sz w:val="21"/>
          <w:szCs w:val="21"/>
          <w:highlight w:val="none"/>
          <w:lang w:eastAsia="zh-CN"/>
        </w:rPr>
        <w:t>：</w:t>
      </w:r>
      <w:r>
        <w:rPr>
          <w:rFonts w:hint="default" w:ascii="Times New Roman" w:hAnsi="Times New Roman" w:cs="Times New Roman"/>
          <w:b w:val="0"/>
          <w:bCs w:val="0"/>
          <w:color w:val="auto"/>
          <w:kern w:val="0"/>
          <w:sz w:val="21"/>
          <w:szCs w:val="21"/>
          <w:highlight w:val="none"/>
        </w:rPr>
        <w:t>00</w:t>
      </w:r>
      <w:r>
        <w:rPr>
          <w:rFonts w:hint="eastAsia" w:ascii="Times New Roman" w:hAnsi="Times New Roman" w:cs="Times New Roman"/>
          <w:b w:val="0"/>
          <w:bCs w:val="0"/>
          <w:color w:val="auto"/>
          <w:kern w:val="0"/>
          <w:sz w:val="21"/>
          <w:szCs w:val="21"/>
          <w:highlight w:val="none"/>
          <w:lang w:eastAsia="zh-CN"/>
        </w:rPr>
        <w:t>：</w:t>
      </w:r>
      <w:r>
        <w:rPr>
          <w:rFonts w:hint="default" w:ascii="Times New Roman" w:hAnsi="Times New Roman" w:cs="Times New Roman"/>
          <w:b w:val="0"/>
          <w:bCs w:val="0"/>
          <w:color w:val="auto"/>
          <w:kern w:val="0"/>
          <w:sz w:val="21"/>
          <w:szCs w:val="21"/>
          <w:highlight w:val="none"/>
        </w:rPr>
        <w:t>00至17</w:t>
      </w:r>
      <w:r>
        <w:rPr>
          <w:rFonts w:hint="eastAsia" w:ascii="Times New Roman" w:hAnsi="Times New Roman" w:cs="Times New Roman"/>
          <w:b w:val="0"/>
          <w:bCs w:val="0"/>
          <w:color w:val="auto"/>
          <w:kern w:val="0"/>
          <w:sz w:val="21"/>
          <w:szCs w:val="21"/>
          <w:highlight w:val="none"/>
          <w:lang w:eastAsia="zh-CN"/>
        </w:rPr>
        <w:t>：</w:t>
      </w:r>
      <w:r>
        <w:rPr>
          <w:rFonts w:hint="default" w:ascii="Times New Roman" w:hAnsi="Times New Roman" w:cs="Times New Roman"/>
          <w:b w:val="0"/>
          <w:bCs w:val="0"/>
          <w:color w:val="auto"/>
          <w:kern w:val="0"/>
          <w:sz w:val="21"/>
          <w:szCs w:val="21"/>
          <w:highlight w:val="none"/>
        </w:rPr>
        <w:t>00</w:t>
      </w:r>
      <w:r>
        <w:rPr>
          <w:rFonts w:hint="eastAsia" w:ascii="Times New Roman" w:hAnsi="Times New Roman" w:cs="Times New Roman"/>
          <w:b w:val="0"/>
          <w:bCs w:val="0"/>
          <w:color w:val="auto"/>
          <w:kern w:val="0"/>
          <w:sz w:val="21"/>
          <w:szCs w:val="21"/>
          <w:highlight w:val="none"/>
          <w:lang w:eastAsia="zh-CN"/>
        </w:rPr>
        <w:t>：</w:t>
      </w:r>
      <w:r>
        <w:rPr>
          <w:rFonts w:hint="default" w:ascii="Times New Roman" w:hAnsi="Times New Roman" w:cs="Times New Roman"/>
          <w:b w:val="0"/>
          <w:bCs w:val="0"/>
          <w:color w:val="auto"/>
          <w:kern w:val="0"/>
          <w:sz w:val="21"/>
          <w:szCs w:val="21"/>
          <w:highlight w:val="none"/>
        </w:rPr>
        <w:t>00（北京时间</w:t>
      </w:r>
      <w:r>
        <w:rPr>
          <w:rFonts w:hint="default" w:ascii="Times New Roman" w:hAnsi="Times New Roman" w:cs="Times New Roman"/>
          <w:b w:val="0"/>
          <w:bCs w:val="0"/>
          <w:color w:val="auto"/>
          <w:kern w:val="0"/>
          <w:sz w:val="21"/>
          <w:szCs w:val="21"/>
          <w:highlight w:val="none"/>
          <w:lang w:eastAsia="zh-CN"/>
        </w:rPr>
        <w:t>，</w:t>
      </w:r>
      <w:r>
        <w:rPr>
          <w:rFonts w:hint="default" w:ascii="Times New Roman" w:hAnsi="Times New Roman" w:cs="Times New Roman"/>
          <w:b w:val="0"/>
          <w:bCs w:val="0"/>
          <w:color w:val="auto"/>
          <w:kern w:val="0"/>
          <w:sz w:val="21"/>
          <w:szCs w:val="21"/>
          <w:highlight w:val="none"/>
        </w:rPr>
        <w:t>法定节假日除外）</w:t>
      </w:r>
    </w:p>
    <w:p>
      <w:pPr>
        <w:spacing w:line="360" w:lineRule="auto"/>
        <w:ind w:firstLine="420" w:firstLineChars="200"/>
        <w:outlineLvl w:val="9"/>
        <w:rPr>
          <w:rFonts w:hint="default" w:ascii="Times New Roman" w:hAnsi="Times New Roman" w:cs="Times New Roman"/>
          <w:b w:val="0"/>
          <w:bCs w:val="0"/>
          <w:color w:val="auto"/>
          <w:kern w:val="0"/>
          <w:sz w:val="21"/>
          <w:szCs w:val="21"/>
          <w:highlight w:val="none"/>
        </w:rPr>
      </w:pPr>
      <w:r>
        <w:rPr>
          <w:rFonts w:hint="default" w:ascii="Times New Roman" w:hAnsi="Times New Roman" w:cs="Times New Roman"/>
          <w:b w:val="0"/>
          <w:bCs w:val="0"/>
          <w:color w:val="auto"/>
          <w:kern w:val="0"/>
          <w:sz w:val="21"/>
          <w:szCs w:val="21"/>
          <w:highlight w:val="none"/>
        </w:rPr>
        <w:t>地点：</w:t>
      </w:r>
      <w:r>
        <w:rPr>
          <w:rFonts w:hint="default" w:ascii="Times New Roman" w:hAnsi="Times New Roman" w:cs="Times New Roman"/>
          <w:b w:val="0"/>
          <w:bCs w:val="0"/>
          <w:color w:val="auto"/>
          <w:kern w:val="0"/>
          <w:sz w:val="21"/>
          <w:szCs w:val="21"/>
          <w:highlight w:val="none"/>
          <w:lang w:eastAsia="zh-CN"/>
        </w:rPr>
        <w:t>西安市新城区长乐中路38号金花新都汇A座12层</w:t>
      </w:r>
      <w:r>
        <w:rPr>
          <w:rFonts w:hint="default" w:ascii="Times New Roman" w:hAnsi="Times New Roman" w:cs="Times New Roman"/>
          <w:b w:val="0"/>
          <w:bCs w:val="0"/>
          <w:color w:val="auto"/>
          <w:kern w:val="0"/>
          <w:sz w:val="21"/>
          <w:szCs w:val="21"/>
          <w:highlight w:val="none"/>
          <w:lang w:val="en-US" w:eastAsia="zh-CN"/>
        </w:rPr>
        <w:t>1201室</w:t>
      </w:r>
    </w:p>
    <w:p>
      <w:pPr>
        <w:spacing w:line="360" w:lineRule="auto"/>
        <w:ind w:firstLine="420" w:firstLineChars="200"/>
        <w:outlineLvl w:val="9"/>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eastAsia="zh-CN"/>
        </w:rPr>
        <w:t>方式：现场获取</w:t>
      </w:r>
    </w:p>
    <w:p>
      <w:pPr>
        <w:spacing w:line="360" w:lineRule="auto"/>
        <w:ind w:firstLine="420" w:firstLineChars="200"/>
        <w:outlineLvl w:val="9"/>
        <w:rPr>
          <w:rFonts w:hint="default" w:ascii="Times New Roman" w:hAnsi="Times New Roman" w:cs="Times New Roman"/>
          <w:b w:val="0"/>
          <w:bCs w:val="0"/>
          <w:color w:val="auto"/>
          <w:kern w:val="0"/>
          <w:sz w:val="21"/>
          <w:szCs w:val="21"/>
          <w:highlight w:val="none"/>
        </w:rPr>
      </w:pPr>
      <w:r>
        <w:rPr>
          <w:rFonts w:hint="default" w:ascii="Times New Roman" w:hAnsi="Times New Roman" w:cs="Times New Roman"/>
          <w:b w:val="0"/>
          <w:bCs w:val="0"/>
          <w:color w:val="auto"/>
          <w:kern w:val="0"/>
          <w:sz w:val="21"/>
          <w:szCs w:val="21"/>
          <w:highlight w:val="none"/>
        </w:rPr>
        <w:t>售价：</w:t>
      </w:r>
      <w:r>
        <w:rPr>
          <w:rFonts w:hint="default" w:ascii="Times New Roman" w:hAnsi="Times New Roman" w:cs="Times New Roman"/>
          <w:b w:val="0"/>
          <w:bCs w:val="0"/>
          <w:color w:val="auto"/>
          <w:kern w:val="0"/>
          <w:sz w:val="21"/>
          <w:szCs w:val="21"/>
          <w:highlight w:val="none"/>
          <w:lang w:eastAsia="zh-CN"/>
        </w:rPr>
        <w:t>免费赠送</w:t>
      </w:r>
    </w:p>
    <w:p>
      <w:pPr>
        <w:spacing w:line="360" w:lineRule="auto"/>
        <w:outlineLvl w:val="9"/>
        <w:rPr>
          <w:rFonts w:hint="default" w:ascii="Times New Roman" w:hAnsi="Times New Roman" w:eastAsia="宋体" w:cs="Times New Roman"/>
          <w:b w:val="0"/>
          <w:bCs w:val="0"/>
          <w:color w:val="auto"/>
          <w:kern w:val="0"/>
          <w:sz w:val="24"/>
          <w:highlight w:val="none"/>
          <w:lang w:eastAsia="zh-CN"/>
        </w:rPr>
      </w:pPr>
      <w:r>
        <w:rPr>
          <w:rFonts w:hint="default" w:ascii="Times New Roman" w:hAnsi="Times New Roman" w:cs="Times New Roman"/>
          <w:b w:val="0"/>
          <w:bCs w:val="0"/>
          <w:color w:val="auto"/>
          <w:kern w:val="0"/>
          <w:sz w:val="24"/>
          <w:highlight w:val="none"/>
          <w:lang w:eastAsia="zh-CN"/>
        </w:rPr>
        <w:t>四</w:t>
      </w:r>
      <w:r>
        <w:rPr>
          <w:rFonts w:hint="default" w:ascii="Times New Roman" w:hAnsi="Times New Roman" w:cs="Times New Roman"/>
          <w:b w:val="0"/>
          <w:bCs w:val="0"/>
          <w:color w:val="auto"/>
          <w:kern w:val="0"/>
          <w:sz w:val="24"/>
          <w:highlight w:val="none"/>
        </w:rPr>
        <w:t>、</w:t>
      </w:r>
      <w:r>
        <w:rPr>
          <w:rFonts w:hint="default" w:ascii="Times New Roman" w:hAnsi="Times New Roman" w:cs="Times New Roman"/>
          <w:b w:val="0"/>
          <w:bCs w:val="0"/>
          <w:color w:val="auto"/>
          <w:kern w:val="0"/>
          <w:sz w:val="24"/>
          <w:highlight w:val="none"/>
          <w:lang w:eastAsia="zh-CN"/>
        </w:rPr>
        <w:t>响应</w:t>
      </w:r>
      <w:r>
        <w:rPr>
          <w:rFonts w:hint="default" w:ascii="Times New Roman" w:hAnsi="Times New Roman" w:cs="Times New Roman"/>
          <w:b w:val="0"/>
          <w:bCs w:val="0"/>
          <w:color w:val="auto"/>
          <w:kern w:val="0"/>
          <w:sz w:val="24"/>
          <w:highlight w:val="none"/>
        </w:rPr>
        <w:t>文件提交</w:t>
      </w:r>
    </w:p>
    <w:p>
      <w:pPr>
        <w:spacing w:line="360" w:lineRule="auto"/>
        <w:ind w:firstLine="420" w:firstLineChars="200"/>
        <w:outlineLvl w:val="9"/>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rPr>
        <w:t>截止时间：</w:t>
      </w:r>
      <w:r>
        <w:rPr>
          <w:rFonts w:hint="default" w:ascii="Times New Roman" w:hAnsi="Times New Roman" w:cs="Times New Roman"/>
          <w:b w:val="0"/>
          <w:bCs w:val="0"/>
          <w:color w:val="auto"/>
          <w:kern w:val="0"/>
          <w:sz w:val="21"/>
          <w:szCs w:val="21"/>
          <w:highlight w:val="none"/>
          <w:lang w:val="en-US" w:eastAsia="zh-CN"/>
        </w:rPr>
        <w:t>2022年07月11日09时00分00秒（北京时间）</w:t>
      </w:r>
    </w:p>
    <w:p>
      <w:pPr>
        <w:spacing w:line="360" w:lineRule="auto"/>
        <w:ind w:firstLine="420" w:firstLineChars="200"/>
        <w:outlineLvl w:val="9"/>
        <w:rPr>
          <w:rFonts w:hint="default" w:ascii="Times New Roman" w:hAnsi="Times New Roman"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rPr>
        <w:t>地点：</w:t>
      </w:r>
      <w:r>
        <w:rPr>
          <w:rFonts w:hint="default" w:ascii="Times New Roman" w:hAnsi="Times New Roman" w:cs="Times New Roman"/>
          <w:color w:val="auto"/>
          <w:kern w:val="0"/>
          <w:sz w:val="21"/>
          <w:szCs w:val="21"/>
          <w:highlight w:val="none"/>
          <w:lang w:eastAsia="zh-CN"/>
        </w:rPr>
        <w:t>西安市新城区长乐中路38号金花新都汇A座12层会议室</w:t>
      </w:r>
    </w:p>
    <w:p>
      <w:pPr>
        <w:spacing w:line="360" w:lineRule="auto"/>
        <w:outlineLvl w:val="9"/>
        <w:rPr>
          <w:rFonts w:hint="default" w:ascii="Times New Roman" w:hAnsi="Times New Roman" w:cs="Times New Roman"/>
          <w:b/>
          <w:bCs/>
          <w:color w:val="auto"/>
          <w:kern w:val="0"/>
          <w:sz w:val="24"/>
          <w:highlight w:val="none"/>
          <w:lang w:eastAsia="zh-CN"/>
        </w:rPr>
      </w:pPr>
      <w:r>
        <w:rPr>
          <w:rFonts w:hint="default" w:ascii="Times New Roman" w:hAnsi="Times New Roman" w:cs="Times New Roman"/>
          <w:b/>
          <w:bCs/>
          <w:color w:val="auto"/>
          <w:kern w:val="0"/>
          <w:sz w:val="24"/>
          <w:highlight w:val="none"/>
          <w:lang w:eastAsia="zh-CN"/>
        </w:rPr>
        <w:t>五、开启</w:t>
      </w:r>
    </w:p>
    <w:p>
      <w:pPr>
        <w:spacing w:line="360" w:lineRule="auto"/>
        <w:ind w:firstLine="420" w:firstLineChars="200"/>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时间：2022年07月1</w:t>
      </w:r>
      <w:r>
        <w:rPr>
          <w:rFonts w:hint="default" w:ascii="Times New Roman" w:hAnsi="Times New Roman" w:cs="Times New Roman"/>
          <w:color w:val="auto"/>
          <w:kern w:val="0"/>
          <w:sz w:val="21"/>
          <w:szCs w:val="21"/>
          <w:highlight w:val="none"/>
          <w:lang w:val="en-US" w:eastAsia="zh-CN"/>
        </w:rPr>
        <w:t>1</w:t>
      </w:r>
      <w:r>
        <w:rPr>
          <w:rFonts w:hint="default" w:ascii="Times New Roman" w:hAnsi="Times New Roman" w:cs="Times New Roman"/>
          <w:color w:val="auto"/>
          <w:kern w:val="0"/>
          <w:sz w:val="21"/>
          <w:szCs w:val="21"/>
          <w:highlight w:val="none"/>
        </w:rPr>
        <w:t>日 09时</w:t>
      </w:r>
      <w:r>
        <w:rPr>
          <w:rFonts w:hint="default" w:ascii="Times New Roman" w:hAnsi="Times New Roman" w:cs="Times New Roman"/>
          <w:color w:val="auto"/>
          <w:kern w:val="0"/>
          <w:sz w:val="21"/>
          <w:szCs w:val="21"/>
          <w:highlight w:val="none"/>
          <w:lang w:val="en-US" w:eastAsia="zh-CN"/>
        </w:rPr>
        <w:t>0</w:t>
      </w:r>
      <w:r>
        <w:rPr>
          <w:rFonts w:hint="default" w:ascii="Times New Roman" w:hAnsi="Times New Roman" w:cs="Times New Roman"/>
          <w:color w:val="auto"/>
          <w:kern w:val="0"/>
          <w:sz w:val="21"/>
          <w:szCs w:val="21"/>
          <w:highlight w:val="none"/>
        </w:rPr>
        <w:t>0分00秒 （北京时间）</w:t>
      </w:r>
    </w:p>
    <w:p>
      <w:pPr>
        <w:spacing w:line="360" w:lineRule="auto"/>
        <w:ind w:firstLine="420" w:firstLineChars="200"/>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地点：西安市新城区长乐中路38号金花新都汇A座12层会议室</w:t>
      </w:r>
    </w:p>
    <w:p>
      <w:pPr>
        <w:numPr>
          <w:ilvl w:val="0"/>
          <w:numId w:val="0"/>
        </w:numPr>
        <w:spacing w:line="360" w:lineRule="auto"/>
        <w:outlineLvl w:val="9"/>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lang w:val="en-US" w:eastAsia="zh-CN"/>
        </w:rPr>
        <w:t>六、</w:t>
      </w:r>
      <w:r>
        <w:rPr>
          <w:rFonts w:hint="default" w:ascii="Times New Roman" w:hAnsi="Times New Roman" w:cs="Times New Roman"/>
          <w:b/>
          <w:bCs/>
          <w:color w:val="auto"/>
          <w:kern w:val="0"/>
          <w:sz w:val="24"/>
          <w:highlight w:val="none"/>
          <w:lang w:eastAsia="zh-CN"/>
        </w:rPr>
        <w:t>公告期限</w:t>
      </w:r>
    </w:p>
    <w:p>
      <w:pPr>
        <w:spacing w:line="360" w:lineRule="auto"/>
        <w:ind w:firstLine="420" w:firstLineChars="200"/>
        <w:outlineLvl w:val="9"/>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eastAsia="zh-CN"/>
        </w:rPr>
        <w:t>自本公告发布之日起</w:t>
      </w:r>
      <w:r>
        <w:rPr>
          <w:rFonts w:hint="default" w:ascii="Times New Roman" w:hAnsi="Times New Roman" w:cs="Times New Roman"/>
          <w:color w:val="auto"/>
          <w:kern w:val="0"/>
          <w:sz w:val="21"/>
          <w:szCs w:val="21"/>
          <w:highlight w:val="none"/>
          <w:lang w:val="en-US" w:eastAsia="zh-CN"/>
        </w:rPr>
        <w:t>3个工作日</w:t>
      </w:r>
    </w:p>
    <w:p>
      <w:pPr>
        <w:numPr>
          <w:ilvl w:val="0"/>
          <w:numId w:val="0"/>
        </w:numPr>
        <w:spacing w:line="360" w:lineRule="auto"/>
        <w:outlineLvl w:val="9"/>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lang w:val="en-US" w:eastAsia="zh-CN"/>
        </w:rPr>
        <w:t>七、</w:t>
      </w:r>
      <w:r>
        <w:rPr>
          <w:rFonts w:hint="default" w:ascii="Times New Roman" w:hAnsi="Times New Roman" w:cs="Times New Roman"/>
          <w:b/>
          <w:bCs/>
          <w:color w:val="auto"/>
          <w:kern w:val="0"/>
          <w:sz w:val="24"/>
          <w:highlight w:val="none"/>
        </w:rPr>
        <w:t>其他</w:t>
      </w:r>
      <w:r>
        <w:rPr>
          <w:rFonts w:hint="default" w:ascii="Times New Roman" w:hAnsi="Times New Roman" w:cs="Times New Roman"/>
          <w:b/>
          <w:bCs/>
          <w:color w:val="auto"/>
          <w:kern w:val="0"/>
          <w:sz w:val="24"/>
          <w:highlight w:val="none"/>
          <w:lang w:eastAsia="zh-CN"/>
        </w:rPr>
        <w:t>补充事宜</w:t>
      </w:r>
      <w:r>
        <w:rPr>
          <w:rFonts w:hint="default" w:ascii="Times New Roman" w:hAnsi="Times New Roman" w:cs="Times New Roman"/>
          <w:b/>
          <w:bCs/>
          <w:color w:val="auto"/>
          <w:kern w:val="0"/>
          <w:sz w:val="24"/>
          <w:highlight w:val="none"/>
        </w:rPr>
        <w:t>：</w:t>
      </w:r>
    </w:p>
    <w:p>
      <w:pPr>
        <w:spacing w:line="360" w:lineRule="auto"/>
        <w:ind w:firstLine="420" w:firstLineChars="200"/>
        <w:outlineLvl w:val="9"/>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1.</w:t>
      </w:r>
      <w:r>
        <w:rPr>
          <w:rFonts w:hint="default" w:ascii="Times New Roman" w:hAnsi="Times New Roman" w:cs="Times New Roman"/>
          <w:color w:val="auto"/>
          <w:kern w:val="0"/>
          <w:sz w:val="21"/>
          <w:szCs w:val="21"/>
          <w:highlight w:val="none"/>
          <w:lang w:eastAsia="zh-CN"/>
        </w:rPr>
        <w:t>本项目为非面向中小企业采购项目。</w:t>
      </w:r>
    </w:p>
    <w:p>
      <w:pPr>
        <w:spacing w:line="360" w:lineRule="auto"/>
        <w:ind w:firstLine="420" w:firstLineChars="200"/>
        <w:outlineLvl w:val="9"/>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lang w:eastAsia="zh-CN"/>
        </w:rPr>
        <w:t>潜在供应商获取磋商文件时，须携带供应商出具的对获取人的授权委托书或介绍信原件以及获取人的身份证复印件加盖公章（携带原件）。</w:t>
      </w:r>
    </w:p>
    <w:p>
      <w:pPr>
        <w:spacing w:line="360" w:lineRule="auto"/>
        <w:ind w:firstLine="420" w:firstLineChars="200"/>
        <w:outlineLvl w:val="9"/>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lang w:eastAsia="zh-CN"/>
        </w:rPr>
        <w:t>.请潜在供应商务必按照《陕西省财政厅关于政府采购供应商注册登记有关事项的通知》要求，通过陕西省政府采购网（http</w:t>
      </w:r>
      <w:r>
        <w:rPr>
          <w:rFonts w:hint="eastAsia" w:ascii="Times New Roman" w:hAnsi="Times New Roman"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eastAsia="zh-CN"/>
        </w:rPr>
        <w:t>//www.ccgp-shaanxi.gov.cn/）进行陕西政府采购统一身份认证注册登记。</w:t>
      </w:r>
    </w:p>
    <w:p>
      <w:pPr>
        <w:spacing w:line="360" w:lineRule="auto"/>
        <w:ind w:firstLine="420" w:firstLineChars="200"/>
        <w:outlineLvl w:val="9"/>
        <w:rPr>
          <w:rFonts w:hint="default" w:ascii="Times New Roman" w:hAnsi="Times New Roman" w:eastAsia="宋体" w:cs="Times New Roman"/>
          <w:color w:val="auto"/>
          <w:kern w:val="0"/>
          <w:sz w:val="24"/>
          <w:highlight w:val="none"/>
          <w:lang w:eastAsia="zh-CN"/>
        </w:rPr>
      </w:pPr>
      <w:r>
        <w:rPr>
          <w:rFonts w:hint="default" w:ascii="Times New Roman" w:hAnsi="Times New Roman"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lang w:eastAsia="zh-CN"/>
        </w:rPr>
        <w:t>.本项目需要落实的政府采购政策：（1）中小企业扶持政策：《政府采购促进中小企业发展管理办法》（财库〔2020〕46号）；、《财政部、司法部关于政府采购支持监狱企业发展有关问题的通知》（财库〔2014〕68号）；《关于促进残疾人就业政府采购政策的通知》（财库〔2017〕141号）。（2）中小企业融资政策：《陕西省中小企业政府采购信用融资办法》（陕财办采〔2018〕23号）。（3）节能产品强制采购、节能产品和环境标志产品优先采购政策：《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4）进口产品审批政策：《财政部关于印发&lt;进口产品管理办法&gt;的通知》（财库[2007]119号）；《财政部办公厅关于政府采购进口产品管理有关问题的通知》（财办库[2008]248号）。（5）其他需要落实的政府采购政策。</w:t>
      </w:r>
    </w:p>
    <w:p>
      <w:pPr>
        <w:numPr>
          <w:ilvl w:val="0"/>
          <w:numId w:val="0"/>
        </w:numPr>
        <w:spacing w:line="360" w:lineRule="auto"/>
        <w:outlineLvl w:val="9"/>
        <w:rPr>
          <w:rFonts w:hint="default" w:ascii="Times New Roman" w:hAnsi="Times New Roman" w:cs="Times New Roman"/>
          <w:b/>
          <w:bCs/>
          <w:color w:val="auto"/>
          <w:kern w:val="0"/>
          <w:sz w:val="24"/>
          <w:highlight w:val="none"/>
          <w:lang w:val="en-US" w:eastAsia="zh-CN"/>
        </w:rPr>
      </w:pPr>
      <w:r>
        <w:rPr>
          <w:rFonts w:hint="default" w:ascii="Times New Roman" w:hAnsi="Times New Roman" w:cs="Times New Roman"/>
          <w:b/>
          <w:bCs/>
          <w:color w:val="auto"/>
          <w:kern w:val="0"/>
          <w:sz w:val="24"/>
          <w:highlight w:val="none"/>
          <w:lang w:val="en-US" w:eastAsia="zh-CN"/>
        </w:rPr>
        <w:t>八、对本次采购提出询问，请按以下方式联系。</w:t>
      </w:r>
    </w:p>
    <w:p>
      <w:pPr>
        <w:numPr>
          <w:ilvl w:val="0"/>
          <w:numId w:val="0"/>
        </w:numPr>
        <w:spacing w:line="360" w:lineRule="auto"/>
        <w:ind w:leftChars="200"/>
        <w:outlineLvl w:val="9"/>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1、采购人信息</w:t>
      </w:r>
    </w:p>
    <w:p>
      <w:pPr>
        <w:numPr>
          <w:ilvl w:val="0"/>
          <w:numId w:val="0"/>
        </w:numPr>
        <w:spacing w:line="360" w:lineRule="auto"/>
        <w:ind w:leftChars="200"/>
        <w:outlineLvl w:val="9"/>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名称：西安高新技术产业开发区教育局（西安高新区第五十七幼儿园）</w:t>
      </w:r>
    </w:p>
    <w:p>
      <w:pPr>
        <w:numPr>
          <w:ilvl w:val="0"/>
          <w:numId w:val="0"/>
        </w:numPr>
        <w:spacing w:line="360" w:lineRule="auto"/>
        <w:ind w:leftChars="200"/>
        <w:outlineLvl w:val="9"/>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地址：西安市高新区都市之门B座</w:t>
      </w:r>
    </w:p>
    <w:p>
      <w:pPr>
        <w:numPr>
          <w:ilvl w:val="0"/>
          <w:numId w:val="0"/>
        </w:numPr>
        <w:spacing w:line="360" w:lineRule="auto"/>
        <w:ind w:leftChars="200"/>
        <w:outlineLvl w:val="9"/>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联系方式：13363952256</w:t>
      </w:r>
    </w:p>
    <w:p>
      <w:pPr>
        <w:numPr>
          <w:ilvl w:val="0"/>
          <w:numId w:val="0"/>
        </w:numPr>
        <w:spacing w:line="360" w:lineRule="auto"/>
        <w:ind w:leftChars="200"/>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2、采购代理机构信息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eastAsia="zh-CN"/>
        </w:rPr>
        <w:t>名称：</w:t>
      </w:r>
      <w:r>
        <w:rPr>
          <w:rFonts w:hint="default" w:ascii="Times New Roman" w:hAnsi="Times New Roman" w:cs="Times New Roman"/>
          <w:color w:val="auto"/>
          <w:kern w:val="0"/>
          <w:sz w:val="21"/>
          <w:szCs w:val="21"/>
          <w:highlight w:val="none"/>
          <w:lang w:val="en-US" w:eastAsia="zh-CN"/>
        </w:rPr>
        <w:t>正大鹏安建设项目管理有限公司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outlineLvl w:val="9"/>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eastAsia="zh-CN"/>
        </w:rPr>
        <w:t>联系地址：西安市新城区长乐中路38号金花新都汇A座12层</w:t>
      </w:r>
      <w:r>
        <w:rPr>
          <w:rFonts w:hint="default" w:ascii="Times New Roman" w:hAnsi="Times New Roman" w:cs="Times New Roman"/>
          <w:color w:val="auto"/>
          <w:kern w:val="0"/>
          <w:sz w:val="21"/>
          <w:szCs w:val="21"/>
          <w:highlight w:val="none"/>
          <w:lang w:val="en-US" w:eastAsia="zh-CN"/>
        </w:rPr>
        <w:t>1201室</w:t>
      </w:r>
    </w:p>
    <w:p>
      <w:pPr>
        <w:pStyle w:val="2"/>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color w:val="auto"/>
          <w:kern w:val="0"/>
          <w:sz w:val="21"/>
          <w:szCs w:val="21"/>
          <w:highlight w:val="none"/>
          <w:lang w:val="en-US" w:eastAsia="zh-CN"/>
        </w:rPr>
        <w:t>联系方式</w:t>
      </w:r>
    </w:p>
    <w:p>
      <w:pPr>
        <w:numPr>
          <w:ilvl w:val="0"/>
          <w:numId w:val="0"/>
        </w:numPr>
        <w:spacing w:line="360" w:lineRule="auto"/>
        <w:ind w:leftChars="200"/>
        <w:outlineLvl w:val="9"/>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3、项目联系方式</w:t>
      </w:r>
    </w:p>
    <w:p>
      <w:pPr>
        <w:numPr>
          <w:ilvl w:val="0"/>
          <w:numId w:val="0"/>
        </w:numPr>
        <w:spacing w:line="360" w:lineRule="auto"/>
        <w:ind w:leftChars="200"/>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eastAsia="zh-CN"/>
        </w:rPr>
        <w:t>项目联系人：王工、庄工</w:t>
      </w:r>
    </w:p>
    <w:p>
      <w:pPr>
        <w:numPr>
          <w:ilvl w:val="0"/>
          <w:numId w:val="0"/>
        </w:numPr>
        <w:spacing w:line="360" w:lineRule="auto"/>
        <w:ind w:leftChars="200"/>
        <w:outlineLvl w:val="9"/>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电话：18729530649</w:t>
      </w:r>
    </w:p>
    <w:p>
      <w:pPr>
        <w:spacing w:after="50" w:line="600" w:lineRule="exact"/>
        <w:jc w:val="center"/>
        <w:outlineLvl w:val="0"/>
        <w:rPr>
          <w:rFonts w:hint="default" w:ascii="Times New Roman" w:hAnsi="Times New Roman" w:eastAsia="黑体" w:cs="Times New Roman"/>
          <w:bCs/>
          <w:color w:val="auto"/>
          <w:sz w:val="32"/>
          <w:szCs w:val="32"/>
          <w:highlight w:val="none"/>
        </w:rPr>
      </w:pPr>
      <w:r>
        <w:rPr>
          <w:rFonts w:hint="default" w:ascii="Times New Roman" w:hAnsi="Times New Roman" w:cs="Times New Roman"/>
          <w:color w:val="auto"/>
          <w:kern w:val="0"/>
          <w:sz w:val="24"/>
          <w:highlight w:val="none"/>
        </w:rPr>
        <w:br w:type="page"/>
      </w:r>
      <w:bookmarkStart w:id="11" w:name="_Toc32502"/>
      <w:r>
        <w:rPr>
          <w:rFonts w:hint="default" w:ascii="Times New Roman" w:hAnsi="Times New Roman" w:eastAsia="黑体" w:cs="Times New Roman"/>
          <w:bCs/>
          <w:color w:val="auto"/>
          <w:sz w:val="32"/>
          <w:szCs w:val="32"/>
          <w:highlight w:val="none"/>
          <w:lang w:eastAsia="zh-CN"/>
        </w:rPr>
        <w:t>第二章</w:t>
      </w:r>
      <w:r>
        <w:rPr>
          <w:rFonts w:hint="default" w:ascii="Times New Roman" w:hAnsi="Times New Roman" w:eastAsia="黑体" w:cs="Times New Roman"/>
          <w:bCs/>
          <w:color w:val="auto"/>
          <w:sz w:val="32"/>
          <w:szCs w:val="32"/>
          <w:highlight w:val="none"/>
        </w:rPr>
        <w:t xml:space="preserve"> 供应商须知</w:t>
      </w:r>
      <w:bookmarkEnd w:id="2"/>
      <w:bookmarkEnd w:id="3"/>
      <w:bookmarkEnd w:id="4"/>
      <w:bookmarkEnd w:id="5"/>
      <w:bookmarkEnd w:id="6"/>
      <w:bookmarkEnd w:id="11"/>
      <w:bookmarkStart w:id="12" w:name="_Toc184283909"/>
      <w:bookmarkStart w:id="13" w:name="_Toc184274915"/>
    </w:p>
    <w:p>
      <w:pPr>
        <w:spacing w:after="50" w:line="600" w:lineRule="exact"/>
        <w:jc w:val="center"/>
        <w:outlineLvl w:val="1"/>
        <w:rPr>
          <w:rFonts w:hint="default" w:ascii="Times New Roman" w:hAnsi="Times New Roman" w:eastAsia="黑体" w:cs="Times New Roman"/>
          <w:bCs/>
          <w:color w:val="auto"/>
          <w:sz w:val="32"/>
          <w:szCs w:val="32"/>
          <w:highlight w:val="none"/>
        </w:rPr>
      </w:pPr>
      <w:bookmarkStart w:id="14" w:name="_Toc12532"/>
      <w:r>
        <w:rPr>
          <w:rFonts w:hint="default" w:ascii="Times New Roman" w:hAnsi="Times New Roman" w:eastAsia="黑体" w:cs="Times New Roman"/>
          <w:bCs/>
          <w:color w:val="auto"/>
          <w:sz w:val="32"/>
          <w:szCs w:val="32"/>
          <w:highlight w:val="none"/>
        </w:rPr>
        <w:t>供应商须知前附表</w:t>
      </w:r>
      <w:bookmarkEnd w:id="14"/>
    </w:p>
    <w:tbl>
      <w:tblPr>
        <w:tblStyle w:val="17"/>
        <w:tblpPr w:leftFromText="180" w:rightFromText="180" w:vertAnchor="text" w:horzAnchor="page" w:tblpX="1218" w:tblpY="634"/>
        <w:tblOverlap w:val="never"/>
        <w:tblW w:w="95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1912"/>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tblHeader/>
        </w:trPr>
        <w:tc>
          <w:tcPr>
            <w:tcW w:w="714" w:type="dxa"/>
            <w:noWrap w:val="0"/>
            <w:vAlign w:val="center"/>
          </w:tcPr>
          <w:p>
            <w:pPr>
              <w:pStyle w:val="22"/>
              <w:spacing w:line="240" w:lineRule="auto"/>
              <w:ind w:left="9"/>
              <w:jc w:val="center"/>
              <w:rPr>
                <w:rFonts w:hint="default" w:ascii="Times New Roman" w:hAnsi="Times New Roman" w:eastAsia="宋体" w:cs="Times New Roman"/>
                <w:color w:val="auto"/>
                <w:sz w:val="21"/>
                <w:szCs w:val="21"/>
                <w:highlight w:val="none"/>
                <w:lang w:val="zh-CN"/>
              </w:rPr>
            </w:pPr>
            <w:bookmarkStart w:id="15" w:name="_Toc213397010"/>
            <w:bookmarkStart w:id="16" w:name="_Toc213396760"/>
            <w:bookmarkStart w:id="17" w:name="_Toc217446032"/>
            <w:bookmarkStart w:id="18" w:name="_Toc213496268"/>
            <w:bookmarkStart w:id="19" w:name="_Toc189727030"/>
            <w:bookmarkStart w:id="20" w:name="_Toc213396946"/>
            <w:r>
              <w:rPr>
                <w:rFonts w:hint="default" w:ascii="Times New Roman" w:hAnsi="Times New Roman" w:eastAsia="宋体" w:cs="Times New Roman"/>
                <w:color w:val="auto"/>
                <w:sz w:val="21"/>
                <w:szCs w:val="21"/>
                <w:highlight w:val="none"/>
                <w:lang w:val="zh-CN"/>
              </w:rPr>
              <w:t xml:space="preserve">序号 </w:t>
            </w:r>
          </w:p>
        </w:tc>
        <w:tc>
          <w:tcPr>
            <w:tcW w:w="1912" w:type="dxa"/>
            <w:noWrap w:val="0"/>
            <w:vAlign w:val="center"/>
          </w:tcPr>
          <w:p>
            <w:pPr>
              <w:pStyle w:val="22"/>
              <w:spacing w:line="240" w:lineRule="auto"/>
              <w:ind w:left="38"/>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内容</w:t>
            </w:r>
          </w:p>
        </w:tc>
        <w:tc>
          <w:tcPr>
            <w:tcW w:w="6875" w:type="dxa"/>
            <w:noWrap w:val="0"/>
            <w:vAlign w:val="center"/>
          </w:tcPr>
          <w:p>
            <w:pPr>
              <w:pStyle w:val="22"/>
              <w:spacing w:line="240" w:lineRule="auto"/>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rPr>
            </w:pPr>
          </w:p>
        </w:tc>
        <w:tc>
          <w:tcPr>
            <w:tcW w:w="1912" w:type="dxa"/>
            <w:noWrap w:val="0"/>
            <w:vAlign w:val="center"/>
          </w:tcPr>
          <w:p>
            <w:pPr>
              <w:pStyle w:val="22"/>
              <w:spacing w:line="240" w:lineRule="auto"/>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采购人</w:t>
            </w:r>
          </w:p>
        </w:tc>
        <w:tc>
          <w:tcPr>
            <w:tcW w:w="6875" w:type="dxa"/>
            <w:noWrap w:val="0"/>
            <w:vAlign w:val="center"/>
          </w:tcPr>
          <w:p>
            <w:pPr>
              <w:pStyle w:val="22"/>
              <w:spacing w:line="240" w:lineRule="auto"/>
              <w:ind w:firstLine="210" w:firstLineChars="1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名  称：</w:t>
            </w:r>
            <w:r>
              <w:rPr>
                <w:rFonts w:hint="default" w:ascii="Times New Roman" w:hAnsi="Times New Roman" w:cs="Times New Roman"/>
                <w:color w:val="auto"/>
                <w:kern w:val="0"/>
                <w:sz w:val="21"/>
                <w:szCs w:val="21"/>
                <w:highlight w:val="none"/>
                <w:lang w:val="en-US" w:eastAsia="zh-CN"/>
              </w:rPr>
              <w:t>西安高新技术产业开发区教育局（西安高新区第五十七幼儿园）</w:t>
            </w:r>
          </w:p>
          <w:p>
            <w:pPr>
              <w:pStyle w:val="22"/>
              <w:spacing w:line="240" w:lineRule="auto"/>
              <w:ind w:firstLine="210" w:firstLineChars="1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地</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址：</w:t>
            </w:r>
            <w:r>
              <w:rPr>
                <w:rFonts w:hint="default" w:ascii="Times New Roman" w:hAnsi="Times New Roman" w:cs="Times New Roman"/>
                <w:color w:val="auto"/>
                <w:kern w:val="0"/>
                <w:sz w:val="21"/>
                <w:szCs w:val="21"/>
                <w:highlight w:val="none"/>
                <w:lang w:val="en-US" w:eastAsia="zh-CN"/>
              </w:rPr>
              <w:t>西安市高新区都市之门B座</w:t>
            </w:r>
          </w:p>
          <w:p>
            <w:pPr>
              <w:pStyle w:val="22"/>
              <w:spacing w:line="240" w:lineRule="auto"/>
              <w:ind w:firstLine="210" w:firstLineChars="1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联系人：</w:t>
            </w:r>
            <w:r>
              <w:rPr>
                <w:rFonts w:hint="default" w:ascii="Times New Roman" w:hAnsi="Times New Roman" w:cs="Times New Roman"/>
                <w:color w:val="auto"/>
                <w:kern w:val="0"/>
                <w:sz w:val="21"/>
                <w:szCs w:val="21"/>
                <w:highlight w:val="none"/>
                <w:lang w:val="en-US" w:eastAsia="zh-CN"/>
              </w:rPr>
              <w:t>肖老师</w:t>
            </w:r>
          </w:p>
          <w:p>
            <w:pPr>
              <w:pStyle w:val="22"/>
              <w:spacing w:line="240" w:lineRule="auto"/>
              <w:ind w:firstLine="210" w:firstLineChars="1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电</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话：</w:t>
            </w:r>
            <w:r>
              <w:rPr>
                <w:rFonts w:hint="default" w:ascii="Times New Roman" w:hAnsi="Times New Roman" w:cs="Times New Roman"/>
                <w:color w:val="auto"/>
                <w:kern w:val="0"/>
                <w:sz w:val="21"/>
                <w:szCs w:val="21"/>
                <w:highlight w:val="none"/>
                <w:lang w:val="en-US" w:eastAsia="zh-CN"/>
              </w:rPr>
              <w:t>13363952256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rPr>
            </w:pPr>
          </w:p>
        </w:tc>
        <w:tc>
          <w:tcPr>
            <w:tcW w:w="1912" w:type="dxa"/>
            <w:noWrap w:val="0"/>
            <w:vAlign w:val="center"/>
          </w:tcPr>
          <w:p>
            <w:pPr>
              <w:pStyle w:val="22"/>
              <w:spacing w:line="240" w:lineRule="auto"/>
              <w:ind w:left="38"/>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采购代理机构</w:t>
            </w:r>
          </w:p>
        </w:tc>
        <w:tc>
          <w:tcPr>
            <w:tcW w:w="6875" w:type="dxa"/>
            <w:noWrap w:val="0"/>
            <w:vAlign w:val="center"/>
          </w:tcPr>
          <w:p>
            <w:pPr>
              <w:pStyle w:val="22"/>
              <w:ind w:left="634" w:leftChars="102" w:hanging="420" w:hanging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名  称</w:t>
            </w:r>
            <w:r>
              <w:rPr>
                <w:rFonts w:hint="eastAsia" w:ascii="Times New Roman" w:hAnsi="Times New Roman" w:cs="Times New Roman"/>
                <w:sz w:val="21"/>
                <w:szCs w:val="21"/>
                <w:highlight w:val="none"/>
                <w:lang w:eastAsia="zh-CN"/>
              </w:rPr>
              <w:t>：</w:t>
            </w:r>
            <w:r>
              <w:rPr>
                <w:rFonts w:hint="default" w:ascii="Times New Roman" w:hAnsi="Times New Roman" w:eastAsia="宋体" w:cs="Times New Roman"/>
                <w:sz w:val="21"/>
                <w:szCs w:val="21"/>
                <w:highlight w:val="none"/>
              </w:rPr>
              <w:t xml:space="preserve"> </w:t>
            </w:r>
            <w:r>
              <w:rPr>
                <w:rFonts w:hint="default" w:ascii="Times New Roman" w:hAnsi="Times New Roman" w:cs="Times New Roman"/>
                <w:sz w:val="21"/>
                <w:szCs w:val="21"/>
                <w:highlight w:val="none"/>
                <w:lang w:eastAsia="zh-CN"/>
              </w:rPr>
              <w:t>正大鹏安建设项目管理有限公司</w:t>
            </w:r>
          </w:p>
          <w:p>
            <w:pPr>
              <w:pStyle w:val="22"/>
              <w:ind w:firstLine="210" w:firstLineChars="1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地  址：</w:t>
            </w:r>
            <w:r>
              <w:rPr>
                <w:rFonts w:hint="default" w:ascii="Times New Roman" w:hAnsi="Times New Roman" w:cs="Times New Roman"/>
                <w:color w:val="auto"/>
                <w:kern w:val="0"/>
                <w:sz w:val="21"/>
                <w:szCs w:val="21"/>
                <w:highlight w:val="none"/>
                <w:lang w:eastAsia="zh-CN"/>
              </w:rPr>
              <w:t>西安市新城区长乐中路38号金花新都汇A座12层</w:t>
            </w:r>
            <w:r>
              <w:rPr>
                <w:rFonts w:hint="default" w:ascii="Times New Roman" w:hAnsi="Times New Roman" w:cs="Times New Roman"/>
                <w:color w:val="auto"/>
                <w:kern w:val="0"/>
                <w:sz w:val="21"/>
                <w:szCs w:val="21"/>
                <w:highlight w:val="none"/>
                <w:lang w:val="en-US" w:eastAsia="zh-CN"/>
              </w:rPr>
              <w:t>1201室</w:t>
            </w:r>
          </w:p>
          <w:p>
            <w:pPr>
              <w:pStyle w:val="22"/>
              <w:ind w:firstLine="210" w:firstLineChars="1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联系人：</w:t>
            </w:r>
            <w:r>
              <w:rPr>
                <w:rFonts w:hint="default" w:ascii="Times New Roman" w:hAnsi="Times New Roman" w:cs="Times New Roman"/>
                <w:color w:val="auto"/>
                <w:kern w:val="0"/>
                <w:sz w:val="21"/>
                <w:szCs w:val="21"/>
                <w:highlight w:val="none"/>
                <w:lang w:eastAsia="zh-CN"/>
              </w:rPr>
              <w:t>王工、庄工</w:t>
            </w:r>
          </w:p>
          <w:p>
            <w:pPr>
              <w:pStyle w:val="22"/>
              <w:spacing w:line="240" w:lineRule="auto"/>
              <w:ind w:firstLine="210" w:firstLineChars="100"/>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sz w:val="21"/>
                <w:szCs w:val="21"/>
                <w:highlight w:val="none"/>
              </w:rPr>
              <w:t>电  话：</w:t>
            </w:r>
            <w:r>
              <w:rPr>
                <w:rFonts w:hint="default" w:ascii="Times New Roman" w:hAnsi="Times New Roman" w:cs="Times New Roman"/>
                <w:color w:val="auto"/>
                <w:kern w:val="0"/>
                <w:sz w:val="21"/>
                <w:szCs w:val="21"/>
                <w:highlight w:val="none"/>
                <w:lang w:val="en-US" w:eastAsia="zh-CN"/>
              </w:rPr>
              <w:t>18729530649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exac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rPr>
            </w:pPr>
          </w:p>
        </w:tc>
        <w:tc>
          <w:tcPr>
            <w:tcW w:w="1912" w:type="dxa"/>
            <w:noWrap w:val="0"/>
            <w:vAlign w:val="center"/>
          </w:tcPr>
          <w:p>
            <w:pPr>
              <w:pStyle w:val="22"/>
              <w:spacing w:line="240" w:lineRule="auto"/>
              <w:ind w:left="38"/>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采购项目名称</w:t>
            </w:r>
          </w:p>
        </w:tc>
        <w:tc>
          <w:tcPr>
            <w:tcW w:w="6875" w:type="dxa"/>
            <w:noWrap w:val="0"/>
            <w:vAlign w:val="center"/>
          </w:tcPr>
          <w:p>
            <w:pPr>
              <w:pStyle w:val="22"/>
              <w:spacing w:line="240" w:lineRule="auto"/>
              <w:ind w:left="220" w:leftChars="100" w:hanging="10" w:firstLineChars="0"/>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kern w:val="0"/>
                <w:sz w:val="21"/>
                <w:szCs w:val="21"/>
                <w:highlight w:val="none"/>
                <w:lang w:val="en-US" w:eastAsia="zh-CN"/>
              </w:rPr>
              <w:t>西安高新区第五十七幼儿园部室设备采购项目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exac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rPr>
            </w:pPr>
          </w:p>
        </w:tc>
        <w:tc>
          <w:tcPr>
            <w:tcW w:w="1912" w:type="dxa"/>
            <w:noWrap w:val="0"/>
            <w:vAlign w:val="center"/>
          </w:tcPr>
          <w:p>
            <w:pPr>
              <w:pStyle w:val="22"/>
              <w:spacing w:line="240" w:lineRule="auto"/>
              <w:ind w:left="38"/>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采购项目编号</w:t>
            </w:r>
          </w:p>
        </w:tc>
        <w:tc>
          <w:tcPr>
            <w:tcW w:w="6875" w:type="dxa"/>
            <w:noWrap w:val="0"/>
            <w:vAlign w:val="center"/>
          </w:tcPr>
          <w:p>
            <w:pPr>
              <w:keepNext w:val="0"/>
              <w:keepLines w:val="0"/>
              <w:pageBreakBefore w:val="0"/>
              <w:widowControl/>
              <w:tabs>
                <w:tab w:val="left" w:pos="1620"/>
              </w:tabs>
              <w:kinsoku/>
              <w:wordWrap/>
              <w:overflowPunct/>
              <w:topLinePunct w:val="0"/>
              <w:autoSpaceDE/>
              <w:autoSpaceDN/>
              <w:bidi w:val="0"/>
              <w:adjustRightInd/>
              <w:snapToGrid/>
              <w:spacing w:line="240" w:lineRule="auto"/>
              <w:ind w:right="0" w:rightChars="0" w:firstLine="210" w:firstLineChars="100"/>
              <w:jc w:val="left"/>
              <w:textAlignment w:val="auto"/>
              <w:outlineLvl w:val="9"/>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kern w:val="2"/>
                <w:sz w:val="21"/>
                <w:szCs w:val="24"/>
                <w:highlight w:val="none"/>
                <w:lang w:val="en-US" w:eastAsia="zh-CN" w:bidi="ar-SA"/>
              </w:rPr>
              <w:t>ZDZC2022062201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exac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rPr>
            </w:pPr>
          </w:p>
        </w:tc>
        <w:tc>
          <w:tcPr>
            <w:tcW w:w="1912" w:type="dxa"/>
            <w:noWrap w:val="0"/>
            <w:vAlign w:val="center"/>
          </w:tcPr>
          <w:p>
            <w:pPr>
              <w:pStyle w:val="22"/>
              <w:spacing w:line="240" w:lineRule="auto"/>
              <w:ind w:left="38"/>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采购方式</w:t>
            </w:r>
          </w:p>
        </w:tc>
        <w:tc>
          <w:tcPr>
            <w:tcW w:w="6875" w:type="dxa"/>
            <w:noWrap w:val="0"/>
            <w:vAlign w:val="center"/>
          </w:tcPr>
          <w:p>
            <w:pPr>
              <w:spacing w:line="240" w:lineRule="auto"/>
              <w:ind w:firstLine="210" w:firstLineChars="1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exact"/>
        </w:trPr>
        <w:tc>
          <w:tcPr>
            <w:tcW w:w="714" w:type="dxa"/>
            <w:vMerge w:val="restart"/>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b w:val="0"/>
                <w:bCs w:val="0"/>
                <w:color w:val="auto"/>
                <w:sz w:val="21"/>
                <w:szCs w:val="21"/>
                <w:highlight w:val="none"/>
                <w:lang w:val="zh-CN" w:eastAsia="zh-CN" w:bidi="ar-SA"/>
              </w:rPr>
            </w:pPr>
          </w:p>
        </w:tc>
        <w:tc>
          <w:tcPr>
            <w:tcW w:w="1912" w:type="dxa"/>
            <w:noWrap w:val="0"/>
            <w:vAlign w:val="center"/>
          </w:tcPr>
          <w:p>
            <w:pPr>
              <w:pStyle w:val="22"/>
              <w:spacing w:line="240" w:lineRule="auto"/>
              <w:ind w:left="38" w:leftChars="0"/>
              <w:jc w:val="center"/>
              <w:rPr>
                <w:rFonts w:hint="default" w:ascii="Times New Roman" w:hAnsi="Times New Roman" w:eastAsia="宋体" w:cs="Times New Roman"/>
                <w:b w:val="0"/>
                <w:bCs w:val="0"/>
                <w:color w:val="auto"/>
                <w:sz w:val="21"/>
                <w:szCs w:val="21"/>
                <w:highlight w:val="none"/>
                <w:lang w:val="zh-CN" w:eastAsia="zh-CN" w:bidi="ar-SA"/>
              </w:rPr>
            </w:pPr>
            <w:r>
              <w:rPr>
                <w:rFonts w:hint="default" w:ascii="Times New Roman" w:hAnsi="Times New Roman" w:eastAsia="宋体" w:cs="Times New Roman"/>
                <w:b w:val="0"/>
                <w:bCs w:val="0"/>
                <w:color w:val="auto"/>
                <w:sz w:val="21"/>
                <w:szCs w:val="21"/>
                <w:highlight w:val="none"/>
                <w:lang w:val="zh-CN"/>
              </w:rPr>
              <w:t>预算金额</w:t>
            </w:r>
          </w:p>
        </w:tc>
        <w:tc>
          <w:tcPr>
            <w:tcW w:w="6875" w:type="dxa"/>
            <w:noWrap w:val="0"/>
            <w:vAlign w:val="center"/>
          </w:tcPr>
          <w:p>
            <w:pPr>
              <w:pStyle w:val="22"/>
              <w:spacing w:line="320" w:lineRule="exact"/>
              <w:ind w:firstLine="210" w:firstLineChars="100"/>
              <w:jc w:val="both"/>
              <w:rPr>
                <w:rFonts w:hint="default" w:ascii="Times New Roman" w:hAnsi="Times New Roman" w:eastAsia="宋体" w:cs="Times New Roman"/>
                <w:b w:val="0"/>
                <w:bCs w:val="0"/>
                <w:color w:val="auto"/>
                <w:sz w:val="21"/>
                <w:szCs w:val="21"/>
                <w:highlight w:val="none"/>
                <w:lang w:val="zh-CN" w:eastAsia="zh-CN" w:bidi="ar-SA"/>
              </w:rPr>
            </w:pPr>
            <w:r>
              <w:rPr>
                <w:rFonts w:hint="default" w:ascii="Times New Roman" w:hAnsi="Times New Roman" w:eastAsia="宋体" w:cs="Times New Roman"/>
                <w:color w:val="auto"/>
                <w:sz w:val="21"/>
                <w:szCs w:val="21"/>
                <w:highlight w:val="none"/>
              </w:rPr>
              <w:t>本项目预算金额</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cs="Times New Roman"/>
                <w:color w:val="auto"/>
                <w:sz w:val="21"/>
                <w:szCs w:val="21"/>
                <w:highlight w:val="none"/>
                <w:u w:val="single"/>
                <w:lang w:val="en-US" w:eastAsia="zh-CN"/>
              </w:rPr>
              <w:t>335000</w:t>
            </w:r>
            <w:r>
              <w:rPr>
                <w:rFonts w:hint="default" w:ascii="Times New Roman" w:hAnsi="Times New Roman" w:eastAsia="宋体" w:cs="Times New Roman"/>
                <w:color w:val="auto"/>
                <w:sz w:val="21"/>
                <w:szCs w:val="21"/>
                <w:highlight w:val="none"/>
                <w:u w:val="single"/>
                <w:lang w:val="en-US" w:eastAsia="zh-CN"/>
              </w:rPr>
              <w:t>.00元</w:t>
            </w:r>
            <w:r>
              <w:rPr>
                <w:rFonts w:hint="default" w:ascii="Times New Roman" w:hAnsi="Times New Roman" w:eastAsia="宋体" w:cs="Times New Roman"/>
                <w:color w:val="auto"/>
                <w:sz w:val="21"/>
                <w:szCs w:val="21"/>
                <w:highlight w:val="none"/>
              </w:rPr>
              <w:t>。供应商磋商报价超出预算金额的，作为不实质性响应磋商文件，按无效响应文件处理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exact"/>
        </w:trPr>
        <w:tc>
          <w:tcPr>
            <w:tcW w:w="714" w:type="dxa"/>
            <w:vMerge w:val="continue"/>
            <w:noWrap w:val="0"/>
            <w:vAlign w:val="center"/>
          </w:tcPr>
          <w:p>
            <w:pPr>
              <w:pStyle w:val="22"/>
              <w:spacing w:line="240" w:lineRule="auto"/>
              <w:ind w:left="425" w:leftChars="0" w:hanging="425" w:firstLineChars="0"/>
              <w:jc w:val="center"/>
              <w:rPr>
                <w:rFonts w:hint="default" w:ascii="Times New Roman" w:hAnsi="Times New Roman" w:eastAsia="宋体" w:cs="Times New Roman"/>
                <w:b w:val="0"/>
                <w:bCs w:val="0"/>
                <w:color w:val="auto"/>
                <w:sz w:val="21"/>
                <w:szCs w:val="21"/>
                <w:highlight w:val="none"/>
                <w:lang w:val="zh-CN" w:eastAsia="zh-CN" w:bidi="ar-SA"/>
              </w:rPr>
            </w:pPr>
          </w:p>
        </w:tc>
        <w:tc>
          <w:tcPr>
            <w:tcW w:w="1912" w:type="dxa"/>
            <w:noWrap w:val="0"/>
            <w:vAlign w:val="center"/>
          </w:tcPr>
          <w:p>
            <w:pPr>
              <w:pStyle w:val="22"/>
              <w:spacing w:line="240" w:lineRule="auto"/>
              <w:ind w:left="38" w:leftChars="0"/>
              <w:jc w:val="center"/>
              <w:rPr>
                <w:rFonts w:hint="default" w:ascii="Times New Roman" w:hAnsi="Times New Roman" w:eastAsia="宋体" w:cs="Times New Roman"/>
                <w:b w:val="0"/>
                <w:bCs w:val="0"/>
                <w:color w:val="auto"/>
                <w:sz w:val="21"/>
                <w:szCs w:val="21"/>
                <w:highlight w:val="none"/>
                <w:lang w:val="zh-CN"/>
              </w:rPr>
            </w:pPr>
            <w:r>
              <w:rPr>
                <w:rFonts w:hint="default" w:ascii="Times New Roman" w:hAnsi="Times New Roman" w:eastAsia="宋体" w:cs="Times New Roman"/>
                <w:b w:val="0"/>
                <w:bCs w:val="0"/>
                <w:color w:val="auto"/>
                <w:sz w:val="21"/>
                <w:szCs w:val="21"/>
                <w:highlight w:val="none"/>
                <w:lang w:val="zh-CN"/>
              </w:rPr>
              <w:t>最高限价</w:t>
            </w:r>
          </w:p>
        </w:tc>
        <w:tc>
          <w:tcPr>
            <w:tcW w:w="6875" w:type="dxa"/>
            <w:noWrap w:val="0"/>
            <w:vAlign w:val="center"/>
          </w:tcPr>
          <w:p>
            <w:pPr>
              <w:pStyle w:val="22"/>
              <w:ind w:firstLine="210" w:firstLineChars="1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w:t>
            </w:r>
          </w:p>
          <w:p>
            <w:pPr>
              <w:pStyle w:val="22"/>
              <w:ind w:firstLine="210" w:firstLineChars="100"/>
              <w:jc w:val="both"/>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有，本项目最高限价：￥</w:t>
            </w:r>
            <w:r>
              <w:rPr>
                <w:rFonts w:hint="default" w:ascii="Times New Roman" w:hAnsi="Times New Roman" w:eastAsia="宋体"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rPr>
              <w:t>。供应商磋商报价超出最高限价的，作为不实质性响应磋商文件，按无效响应文件处理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exac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b w:val="0"/>
                <w:bCs w:val="0"/>
                <w:color w:val="auto"/>
                <w:sz w:val="21"/>
                <w:szCs w:val="21"/>
                <w:highlight w:val="none"/>
                <w:lang w:val="zh-CN" w:eastAsia="zh-CN" w:bidi="ar-SA"/>
              </w:rPr>
            </w:pPr>
          </w:p>
        </w:tc>
        <w:tc>
          <w:tcPr>
            <w:tcW w:w="1912" w:type="dxa"/>
            <w:noWrap w:val="0"/>
            <w:vAlign w:val="center"/>
          </w:tcPr>
          <w:p>
            <w:pPr>
              <w:pStyle w:val="22"/>
              <w:ind w:left="38"/>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是否预留份额专门</w:t>
            </w:r>
          </w:p>
          <w:p>
            <w:pPr>
              <w:pStyle w:val="22"/>
              <w:ind w:left="38" w:leftChars="0"/>
              <w:jc w:val="center"/>
              <w:rPr>
                <w:rFonts w:hint="default" w:ascii="Times New Roman" w:hAnsi="Times New Roman" w:eastAsia="宋体" w:cs="Times New Roman"/>
                <w:b/>
                <w:bCs/>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面向中小企业采购</w:t>
            </w:r>
          </w:p>
        </w:tc>
        <w:tc>
          <w:tcPr>
            <w:tcW w:w="6875" w:type="dxa"/>
            <w:noWrap w:val="0"/>
            <w:vAlign w:val="center"/>
          </w:tcPr>
          <w:p>
            <w:pPr>
              <w:pStyle w:val="22"/>
              <w:ind w:firstLine="210" w:firstLineChars="100"/>
              <w:jc w:val="both"/>
              <w:rPr>
                <w:rFonts w:hint="default" w:ascii="Times New Roman" w:hAnsi="Times New Roman" w:eastAsia="宋体" w:cs="Times New Roman"/>
                <w:b/>
                <w:bCs/>
                <w:color w:val="auto"/>
                <w:sz w:val="21"/>
                <w:szCs w:val="21"/>
                <w:highlight w:val="none"/>
                <w:lang w:val="zh-CN" w:eastAsia="zh-CN" w:bidi="ar-SA"/>
              </w:rPr>
            </w:pPr>
            <w:r>
              <w:rPr>
                <w:rFonts w:hint="default" w:ascii="Times New Roman" w:hAnsi="Times New Roman" w:cs="Times New Roman"/>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exac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b w:val="0"/>
                <w:bCs w:val="0"/>
                <w:color w:val="auto"/>
                <w:sz w:val="21"/>
                <w:szCs w:val="21"/>
                <w:highlight w:val="none"/>
                <w:lang w:val="zh-CN" w:eastAsia="zh-CN" w:bidi="ar-SA"/>
              </w:rPr>
            </w:pPr>
          </w:p>
        </w:tc>
        <w:tc>
          <w:tcPr>
            <w:tcW w:w="1912" w:type="dxa"/>
            <w:noWrap w:val="0"/>
            <w:vAlign w:val="center"/>
          </w:tcPr>
          <w:p>
            <w:pPr>
              <w:pStyle w:val="22"/>
              <w:jc w:val="center"/>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是否接受联合体</w:t>
            </w:r>
          </w:p>
        </w:tc>
        <w:tc>
          <w:tcPr>
            <w:tcW w:w="6875" w:type="dxa"/>
            <w:noWrap w:val="0"/>
            <w:vAlign w:val="center"/>
          </w:tcPr>
          <w:p>
            <w:pPr>
              <w:ind w:left="105" w:leftChars="50" w:right="105" w:rightChars="50" w:firstLine="105" w:firstLineChars="5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Cs w:val="21"/>
                <w:highlight w:val="none"/>
              </w:rPr>
              <w:t>不接受</w:t>
            </w:r>
          </w:p>
          <w:p>
            <w:pPr>
              <w:ind w:left="105" w:leftChars="50" w:right="105" w:rightChars="50" w:firstLine="105" w:firstLineChars="50"/>
              <w:rPr>
                <w:rFonts w:hint="default" w:ascii="Times New Roman" w:hAnsi="Times New Roman" w:eastAsia="宋体" w:cs="Times New Roman"/>
                <w:color w:val="auto"/>
                <w:kern w:val="2"/>
                <w:sz w:val="21"/>
                <w:szCs w:val="21"/>
                <w:highlight w:val="none"/>
                <w:lang w:val="zh-CN" w:eastAsia="zh-CN" w:bidi="ar-SA"/>
              </w:rPr>
            </w:pPr>
            <w:r>
              <w:rPr>
                <w:rFonts w:hint="default" w:ascii="Times New Roman" w:hAnsi="Times New Roman" w:eastAsia="宋体" w:cs="Times New Roman"/>
                <w:color w:val="auto"/>
                <w:szCs w:val="21"/>
                <w:highlight w:val="none"/>
              </w:rPr>
              <w:t>□接受，详见供应商须知第3.3条款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bidi="ar-SA"/>
              </w:rPr>
            </w:pPr>
          </w:p>
        </w:tc>
        <w:tc>
          <w:tcPr>
            <w:tcW w:w="1912" w:type="dxa"/>
            <w:noWrap w:val="0"/>
            <w:vAlign w:val="center"/>
          </w:tcPr>
          <w:p>
            <w:pPr>
              <w:pStyle w:val="22"/>
              <w:ind w:left="38" w:leftChars="0"/>
              <w:jc w:val="center"/>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采购内容</w:t>
            </w:r>
          </w:p>
        </w:tc>
        <w:tc>
          <w:tcPr>
            <w:tcW w:w="6875" w:type="dxa"/>
            <w:noWrap w:val="0"/>
            <w:vAlign w:val="center"/>
          </w:tcPr>
          <w:p>
            <w:pPr>
              <w:pStyle w:val="22"/>
              <w:jc w:val="both"/>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 xml:space="preserve">  详见磋商文件第四章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exac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bidi="ar-SA"/>
              </w:rPr>
            </w:pPr>
          </w:p>
        </w:tc>
        <w:tc>
          <w:tcPr>
            <w:tcW w:w="1912" w:type="dxa"/>
            <w:noWrap w:val="0"/>
            <w:vAlign w:val="center"/>
          </w:tcPr>
          <w:p>
            <w:pPr>
              <w:pStyle w:val="22"/>
              <w:ind w:left="38" w:lef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sz w:val="21"/>
                <w:szCs w:val="21"/>
                <w:highlight w:val="none"/>
                <w:lang w:val="zh-CN"/>
              </w:rPr>
              <w:t>是否采购进口产品</w:t>
            </w:r>
          </w:p>
        </w:tc>
        <w:tc>
          <w:tcPr>
            <w:tcW w:w="6875" w:type="dxa"/>
            <w:noWrap w:val="0"/>
            <w:vAlign w:val="center"/>
          </w:tcPr>
          <w:p>
            <w:pPr>
              <w:pStyle w:val="22"/>
              <w:ind w:firstLine="210" w:firstLineChars="10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sz w:val="21"/>
                <w:szCs w:val="21"/>
                <w:highlight w:val="none"/>
              </w:rPr>
              <w:t>否</w:t>
            </w:r>
          </w:p>
          <w:p>
            <w:pPr>
              <w:adjustRightInd w:val="0"/>
              <w:snapToGrid w:val="0"/>
              <w:ind w:firstLine="210" w:firstLineChars="1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szCs w:val="21"/>
                <w:highlight w:val="none"/>
              </w:rPr>
              <w:t>□是，</w:t>
            </w:r>
            <w:r>
              <w:rPr>
                <w:rFonts w:hint="default" w:ascii="Times New Roman" w:hAnsi="Times New Roman" w:eastAsia="宋体" w:cs="Times New Roman"/>
                <w:kern w:val="0"/>
                <w:szCs w:val="21"/>
                <w:highlight w:val="none"/>
              </w:rPr>
              <w:t>不限制满足磋商文件要求的国内产品参与磋商竞争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exac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bidi="ar-SA"/>
              </w:rPr>
            </w:pPr>
          </w:p>
        </w:tc>
        <w:tc>
          <w:tcPr>
            <w:tcW w:w="1912" w:type="dxa"/>
            <w:noWrap w:val="0"/>
            <w:vAlign w:val="center"/>
          </w:tcPr>
          <w:p>
            <w:pPr>
              <w:pStyle w:val="22"/>
              <w:spacing w:line="240" w:lineRule="auto"/>
              <w:ind w:left="96" w:leftChars="0"/>
              <w:jc w:val="center"/>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cs="Times New Roman"/>
                <w:color w:val="auto"/>
                <w:sz w:val="21"/>
                <w:szCs w:val="21"/>
                <w:highlight w:val="none"/>
                <w:lang w:val="en-US" w:eastAsia="zh-CN"/>
              </w:rPr>
              <w:t>供货时间</w:t>
            </w:r>
          </w:p>
        </w:tc>
        <w:tc>
          <w:tcPr>
            <w:tcW w:w="6875" w:type="dxa"/>
            <w:noWrap w:val="0"/>
            <w:vAlign w:val="center"/>
          </w:tcPr>
          <w:p>
            <w:pPr>
              <w:pStyle w:val="22"/>
              <w:spacing w:line="240" w:lineRule="auto"/>
              <w:ind w:firstLine="210" w:firstLineChars="100"/>
              <w:jc w:val="left"/>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eastAsia="zh-CN" w:bidi="ar-SA"/>
              </w:rPr>
              <w:t>合同签订后15个日历日内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exac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bidi="ar-SA"/>
              </w:rPr>
            </w:pPr>
          </w:p>
        </w:tc>
        <w:tc>
          <w:tcPr>
            <w:tcW w:w="1912" w:type="dxa"/>
            <w:noWrap w:val="0"/>
            <w:vAlign w:val="center"/>
          </w:tcPr>
          <w:p>
            <w:pPr>
              <w:pStyle w:val="22"/>
              <w:spacing w:line="240" w:lineRule="auto"/>
              <w:ind w:left="96" w:leftChars="0"/>
              <w:jc w:val="center"/>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cs="Times New Roman"/>
                <w:color w:val="auto"/>
                <w:sz w:val="21"/>
                <w:szCs w:val="21"/>
                <w:highlight w:val="none"/>
                <w:lang w:val="en-US" w:eastAsia="zh-CN"/>
              </w:rPr>
              <w:t>供货</w:t>
            </w:r>
            <w:r>
              <w:rPr>
                <w:rFonts w:hint="default" w:ascii="Times New Roman" w:hAnsi="Times New Roman" w:eastAsia="宋体" w:cs="Times New Roman"/>
                <w:color w:val="auto"/>
                <w:sz w:val="21"/>
                <w:szCs w:val="21"/>
                <w:highlight w:val="none"/>
                <w:lang w:val="zh-CN"/>
              </w:rPr>
              <w:t>地点</w:t>
            </w:r>
          </w:p>
        </w:tc>
        <w:tc>
          <w:tcPr>
            <w:tcW w:w="6875" w:type="dxa"/>
            <w:noWrap w:val="0"/>
            <w:vAlign w:val="center"/>
          </w:tcPr>
          <w:p>
            <w:pPr>
              <w:pStyle w:val="22"/>
              <w:spacing w:line="240" w:lineRule="auto"/>
              <w:ind w:left="634" w:leftChars="102" w:hanging="420" w:hangingChars="200"/>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bidi="ar-SA"/>
              </w:rPr>
            </w:pPr>
          </w:p>
        </w:tc>
        <w:tc>
          <w:tcPr>
            <w:tcW w:w="1912" w:type="dxa"/>
            <w:noWrap w:val="0"/>
            <w:vAlign w:val="center"/>
          </w:tcPr>
          <w:p>
            <w:pPr>
              <w:pStyle w:val="22"/>
              <w:spacing w:line="240" w:lineRule="auto"/>
              <w:ind w:left="96" w:leftChars="0"/>
              <w:jc w:val="center"/>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质量要求、验收标准</w:t>
            </w:r>
          </w:p>
        </w:tc>
        <w:tc>
          <w:tcPr>
            <w:tcW w:w="6875" w:type="dxa"/>
            <w:noWrap w:val="0"/>
            <w:vAlign w:val="center"/>
          </w:tcPr>
          <w:p>
            <w:pPr>
              <w:pStyle w:val="22"/>
              <w:spacing w:line="240" w:lineRule="auto"/>
              <w:ind w:firstLine="210" w:firstLineChars="100"/>
              <w:jc w:val="both"/>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详见</w:t>
            </w:r>
            <w:r>
              <w:rPr>
                <w:rFonts w:hint="default" w:ascii="Times New Roman" w:hAnsi="Times New Roman" w:eastAsia="宋体" w:cs="Times New Roman"/>
                <w:color w:val="auto"/>
                <w:sz w:val="21"/>
                <w:szCs w:val="21"/>
                <w:highlight w:val="none"/>
                <w:lang w:eastAsia="zh-CN"/>
              </w:rPr>
              <w:t>磋商文件</w:t>
            </w:r>
            <w:r>
              <w:rPr>
                <w:rFonts w:hint="default" w:ascii="Times New Roman" w:hAnsi="Times New Roman" w:eastAsia="宋体" w:cs="Times New Roman"/>
                <w:color w:val="auto"/>
                <w:sz w:val="21"/>
                <w:szCs w:val="21"/>
                <w:highlight w:val="none"/>
              </w:rPr>
              <w:t>第</w:t>
            </w:r>
            <w:r>
              <w:rPr>
                <w:rFonts w:hint="default" w:ascii="Times New Roman" w:hAnsi="Times New Roman" w:cs="Times New Roman"/>
                <w:color w:val="auto"/>
                <w:sz w:val="21"/>
                <w:szCs w:val="21"/>
                <w:highlight w:val="none"/>
                <w:lang w:val="en-US" w:eastAsia="zh-CN"/>
              </w:rPr>
              <w:t>五</w:t>
            </w:r>
            <w:r>
              <w:rPr>
                <w:rFonts w:hint="default" w:ascii="Times New Roman" w:hAnsi="Times New Roman" w:eastAsia="宋体" w:cs="Times New Roman"/>
                <w:color w:val="auto"/>
                <w:sz w:val="21"/>
                <w:szCs w:val="21"/>
                <w:highlight w:val="none"/>
              </w:rPr>
              <w:t>章</w:t>
            </w:r>
            <w:r>
              <w:rPr>
                <w:rFonts w:hint="default" w:ascii="Times New Roman" w:hAnsi="Times New Roman" w:cs="Times New Roman"/>
                <w:color w:val="auto"/>
                <w:sz w:val="21"/>
                <w:szCs w:val="21"/>
                <w:highlight w:val="none"/>
                <w:lang w:val="en-US" w:eastAsia="zh-CN"/>
              </w:rPr>
              <w:t>第七条、第八条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bidi="ar-SA"/>
              </w:rPr>
            </w:pPr>
          </w:p>
        </w:tc>
        <w:tc>
          <w:tcPr>
            <w:tcW w:w="1912" w:type="dxa"/>
            <w:noWrap w:val="0"/>
            <w:vAlign w:val="center"/>
          </w:tcPr>
          <w:p>
            <w:pPr>
              <w:pStyle w:val="22"/>
              <w:spacing w:line="240" w:lineRule="auto"/>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服务费用支付方式、</w:t>
            </w:r>
          </w:p>
          <w:p>
            <w:pPr>
              <w:pStyle w:val="22"/>
              <w:spacing w:line="240" w:lineRule="auto"/>
              <w:jc w:val="center"/>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时间和条件</w:t>
            </w:r>
          </w:p>
        </w:tc>
        <w:tc>
          <w:tcPr>
            <w:tcW w:w="6875" w:type="dxa"/>
            <w:noWrap w:val="0"/>
            <w:vAlign w:val="center"/>
          </w:tcPr>
          <w:p>
            <w:pPr>
              <w:spacing w:line="240" w:lineRule="auto"/>
              <w:ind w:left="105" w:leftChars="50" w:right="105" w:rightChars="50" w:firstLine="105" w:firstLineChars="50"/>
              <w:rPr>
                <w:rFonts w:hint="default" w:ascii="Times New Roman" w:hAnsi="Times New Roman" w:eastAsia="宋体" w:cs="Times New Roman"/>
                <w:color w:val="auto"/>
                <w:kern w:val="2"/>
                <w:sz w:val="21"/>
                <w:szCs w:val="21"/>
                <w:highlight w:val="none"/>
                <w:lang w:val="zh-CN" w:eastAsia="zh-CN" w:bidi="ar-SA"/>
              </w:rPr>
            </w:pPr>
            <w:r>
              <w:rPr>
                <w:rFonts w:hint="default" w:ascii="Times New Roman" w:hAnsi="Times New Roman" w:eastAsia="宋体" w:cs="Times New Roman"/>
                <w:color w:val="auto"/>
                <w:szCs w:val="21"/>
                <w:highlight w:val="none"/>
              </w:rPr>
              <w:t>详见</w:t>
            </w:r>
            <w:r>
              <w:rPr>
                <w:rFonts w:hint="default" w:ascii="Times New Roman" w:hAnsi="Times New Roman" w:eastAsia="宋体" w:cs="Times New Roman"/>
                <w:color w:val="auto"/>
                <w:szCs w:val="21"/>
                <w:highlight w:val="none"/>
                <w:lang w:eastAsia="zh-CN"/>
              </w:rPr>
              <w:t>磋商文件</w:t>
            </w:r>
            <w:r>
              <w:rPr>
                <w:rFonts w:hint="default" w:ascii="Times New Roman" w:hAnsi="Times New Roman" w:eastAsia="宋体" w:cs="Times New Roman"/>
                <w:color w:val="auto"/>
                <w:szCs w:val="21"/>
                <w:highlight w:val="none"/>
              </w:rPr>
              <w:t>第五章第三条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exac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bidi="ar-SA"/>
              </w:rPr>
            </w:pPr>
          </w:p>
        </w:tc>
        <w:tc>
          <w:tcPr>
            <w:tcW w:w="1912" w:type="dxa"/>
            <w:noWrap w:val="0"/>
            <w:vAlign w:val="center"/>
          </w:tcPr>
          <w:p>
            <w:pPr>
              <w:pStyle w:val="22"/>
              <w:spacing w:line="240" w:lineRule="auto"/>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考察现场、</w:t>
            </w:r>
          </w:p>
          <w:p>
            <w:pPr>
              <w:pStyle w:val="22"/>
              <w:spacing w:line="240" w:lineRule="auto"/>
              <w:jc w:val="center"/>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磋商前答疑会</w:t>
            </w:r>
          </w:p>
        </w:tc>
        <w:tc>
          <w:tcPr>
            <w:tcW w:w="6875" w:type="dxa"/>
            <w:noWrap w:val="0"/>
            <w:vAlign w:val="center"/>
          </w:tcPr>
          <w:p>
            <w:pPr>
              <w:pStyle w:val="22"/>
              <w:spacing w:line="240" w:lineRule="auto"/>
              <w:ind w:left="210" w:leftChars="1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zh-CN"/>
              </w:rPr>
              <w:t>不组织</w:t>
            </w:r>
          </w:p>
          <w:p>
            <w:pPr>
              <w:pStyle w:val="22"/>
              <w:spacing w:line="240" w:lineRule="auto"/>
              <w:ind w:left="210" w:leftChars="100"/>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sym w:font="Wingdings 2" w:char="00A3"/>
            </w:r>
            <w:r>
              <w:rPr>
                <w:rFonts w:hint="default" w:ascii="Times New Roman" w:hAnsi="Times New Roman" w:eastAsia="宋体" w:cs="Times New Roman"/>
                <w:color w:val="auto"/>
                <w:sz w:val="21"/>
                <w:szCs w:val="21"/>
                <w:highlight w:val="none"/>
                <w:lang w:val="zh-CN"/>
              </w:rPr>
              <w:t>组织，时间、地点另行书面通知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bidi="ar-SA"/>
              </w:rPr>
            </w:pPr>
          </w:p>
        </w:tc>
        <w:tc>
          <w:tcPr>
            <w:tcW w:w="1912" w:type="dxa"/>
            <w:noWrap w:val="0"/>
            <w:vAlign w:val="center"/>
          </w:tcPr>
          <w:p>
            <w:pPr>
              <w:pStyle w:val="22"/>
              <w:spacing w:line="240" w:lineRule="auto"/>
              <w:jc w:val="center"/>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转包与分包履约</w:t>
            </w:r>
          </w:p>
        </w:tc>
        <w:tc>
          <w:tcPr>
            <w:tcW w:w="6875" w:type="dxa"/>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line="240" w:lineRule="auto"/>
              <w:ind w:firstLine="210" w:firstLineChars="100"/>
              <w:textAlignment w:val="auto"/>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本项目不得转包与分包</w:t>
            </w:r>
            <w:r>
              <w:rPr>
                <w:rFonts w:hint="default" w:ascii="Times New Roman" w:hAnsi="Times New Roman" w:eastAsia="宋体" w:cs="Times New Roman"/>
                <w:color w:val="auto"/>
                <w:sz w:val="21"/>
                <w:szCs w:val="21"/>
                <w:highlight w:val="none"/>
              </w:rPr>
              <w:t>（详见供应商须知第3.5条款）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bidi="ar-SA"/>
              </w:rPr>
            </w:pPr>
          </w:p>
        </w:tc>
        <w:tc>
          <w:tcPr>
            <w:tcW w:w="1912" w:type="dxa"/>
            <w:noWrap w:val="0"/>
            <w:vAlign w:val="center"/>
          </w:tcPr>
          <w:p>
            <w:pPr>
              <w:pStyle w:val="4"/>
              <w:spacing w:line="240" w:lineRule="auto"/>
              <w:ind w:firstLine="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磋商文件澄清</w:t>
            </w:r>
          </w:p>
          <w:p>
            <w:pPr>
              <w:pStyle w:val="4"/>
              <w:spacing w:line="240" w:lineRule="auto"/>
              <w:ind w:firstLine="0" w:firstLineChars="0"/>
              <w:jc w:val="center"/>
              <w:rPr>
                <w:rFonts w:hint="default" w:ascii="Times New Roman" w:hAnsi="Times New Roman" w:eastAsia="宋体" w:cs="Times New Roman"/>
                <w:color w:val="auto"/>
                <w:kern w:val="2"/>
                <w:sz w:val="21"/>
                <w:szCs w:val="21"/>
                <w:highlight w:val="none"/>
                <w:lang w:val="zh-CN" w:eastAsia="zh-CN" w:bidi="ar-SA"/>
              </w:rPr>
            </w:pPr>
            <w:r>
              <w:rPr>
                <w:rFonts w:hint="default" w:ascii="Times New Roman" w:hAnsi="Times New Roman" w:eastAsia="宋体" w:cs="Times New Roman"/>
                <w:color w:val="auto"/>
                <w:szCs w:val="21"/>
                <w:highlight w:val="none"/>
              </w:rPr>
              <w:t>或修改时间、形式</w:t>
            </w:r>
          </w:p>
        </w:tc>
        <w:tc>
          <w:tcPr>
            <w:tcW w:w="6875" w:type="dxa"/>
            <w:noWrap w:val="0"/>
            <w:vAlign w:val="center"/>
          </w:tcPr>
          <w:p>
            <w:pPr>
              <w:pStyle w:val="4"/>
              <w:spacing w:line="240" w:lineRule="auto"/>
              <w:ind w:firstLine="210" w:firstLineChars="1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时间：</w:t>
            </w:r>
            <w:r>
              <w:rPr>
                <w:rFonts w:hint="default" w:ascii="Times New Roman" w:hAnsi="Times New Roman" w:eastAsia="宋体" w:cs="Times New Roman"/>
                <w:color w:val="auto"/>
                <w:szCs w:val="21"/>
                <w:highlight w:val="none"/>
              </w:rPr>
              <w:t>提交响应文件截至时间5日前</w:t>
            </w:r>
          </w:p>
          <w:p>
            <w:pPr>
              <w:pStyle w:val="4"/>
              <w:spacing w:line="240" w:lineRule="auto"/>
              <w:ind w:firstLine="210" w:firstLineChars="100"/>
              <w:rPr>
                <w:rFonts w:hint="default" w:ascii="Times New Roman" w:hAnsi="Times New Roman" w:eastAsia="宋体" w:cs="Times New Roman"/>
                <w:color w:val="auto"/>
                <w:kern w:val="2"/>
                <w:sz w:val="21"/>
                <w:szCs w:val="21"/>
                <w:highlight w:val="none"/>
                <w:lang w:val="zh-CN" w:eastAsia="zh-CN" w:bidi="ar-SA"/>
              </w:rPr>
            </w:pPr>
            <w:r>
              <w:rPr>
                <w:rFonts w:hint="default" w:ascii="Times New Roman" w:hAnsi="Times New Roman" w:eastAsia="宋体" w:cs="Times New Roman"/>
                <w:color w:val="auto"/>
                <w:szCs w:val="21"/>
                <w:highlight w:val="none"/>
              </w:rPr>
              <w:t>形式：书面和公告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bidi="ar-SA"/>
              </w:rPr>
            </w:pPr>
          </w:p>
        </w:tc>
        <w:tc>
          <w:tcPr>
            <w:tcW w:w="1912" w:type="dxa"/>
            <w:noWrap w:val="0"/>
            <w:vAlign w:val="center"/>
          </w:tcPr>
          <w:p>
            <w:pPr>
              <w:pStyle w:val="22"/>
              <w:spacing w:line="240" w:lineRule="auto"/>
              <w:ind w:left="52"/>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构成磋商文件的</w:t>
            </w:r>
          </w:p>
          <w:p>
            <w:pPr>
              <w:pStyle w:val="22"/>
              <w:spacing w:line="240" w:lineRule="auto"/>
              <w:jc w:val="center"/>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其他文件</w:t>
            </w:r>
          </w:p>
        </w:tc>
        <w:tc>
          <w:tcPr>
            <w:tcW w:w="6875" w:type="dxa"/>
            <w:noWrap w:val="0"/>
            <w:vAlign w:val="center"/>
          </w:tcPr>
          <w:p>
            <w:pPr>
              <w:pStyle w:val="22"/>
              <w:spacing w:line="400" w:lineRule="exact"/>
              <w:ind w:left="220" w:leftChars="100" w:hanging="10" w:firstLineChars="0"/>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磋商文件的澄清</w:t>
            </w:r>
            <w:r>
              <w:rPr>
                <w:rFonts w:hint="default" w:ascii="Times New Roman" w:hAnsi="Times New Roman" w:eastAsia="宋体" w:cs="Times New Roman"/>
                <w:color w:val="auto"/>
                <w:sz w:val="21"/>
                <w:szCs w:val="21"/>
                <w:highlight w:val="none"/>
              </w:rPr>
              <w:t>、修改书及有关补充通知为磋商文件的有效组成部分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bidi="ar-SA"/>
              </w:rPr>
            </w:pPr>
          </w:p>
        </w:tc>
        <w:tc>
          <w:tcPr>
            <w:tcW w:w="1912" w:type="dxa"/>
            <w:noWrap w:val="0"/>
            <w:vAlign w:val="center"/>
          </w:tcPr>
          <w:p>
            <w:pPr>
              <w:pStyle w:val="22"/>
              <w:spacing w:line="240" w:lineRule="auto"/>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供应商对磋商文件</w:t>
            </w:r>
          </w:p>
          <w:p>
            <w:pPr>
              <w:pStyle w:val="22"/>
              <w:spacing w:line="240" w:lineRule="auto"/>
              <w:jc w:val="center"/>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提出质疑的时间、形式</w:t>
            </w:r>
          </w:p>
        </w:tc>
        <w:tc>
          <w:tcPr>
            <w:tcW w:w="6875" w:type="dxa"/>
            <w:noWrap w:val="0"/>
            <w:vAlign w:val="center"/>
          </w:tcPr>
          <w:p>
            <w:pPr>
              <w:pStyle w:val="22"/>
              <w:spacing w:line="240" w:lineRule="auto"/>
              <w:ind w:left="840" w:leftChars="100" w:hanging="630" w:hangingChars="3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时间：自供应商收到磋商文件之日起7个工作日内，超过期限的采购人或采购代理机构不再受理</w:t>
            </w:r>
          </w:p>
          <w:p>
            <w:pPr>
              <w:pStyle w:val="22"/>
              <w:spacing w:line="240" w:lineRule="auto"/>
              <w:ind w:firstLine="210" w:firstLineChars="100"/>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形式：书面形式（详见</w:t>
            </w:r>
            <w:r>
              <w:rPr>
                <w:rFonts w:hint="default" w:ascii="Times New Roman" w:hAnsi="Times New Roman" w:eastAsia="宋体" w:cs="Times New Roman"/>
                <w:color w:val="auto"/>
                <w:sz w:val="21"/>
                <w:szCs w:val="21"/>
                <w:highlight w:val="none"/>
              </w:rPr>
              <w:t>供应商须知第1</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.1.3条款</w:t>
            </w:r>
            <w:r>
              <w:rPr>
                <w:rFonts w:hint="default" w:ascii="Times New Roman" w:hAnsi="Times New Roman" w:eastAsia="宋体" w:cs="Times New Roman"/>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bidi="ar-SA"/>
              </w:rPr>
            </w:pPr>
          </w:p>
        </w:tc>
        <w:tc>
          <w:tcPr>
            <w:tcW w:w="1912" w:type="dxa"/>
            <w:noWrap w:val="0"/>
            <w:vAlign w:val="center"/>
          </w:tcPr>
          <w:p>
            <w:pPr>
              <w:pStyle w:val="22"/>
              <w:spacing w:line="240" w:lineRule="auto"/>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对供应商提出质疑</w:t>
            </w:r>
          </w:p>
          <w:p>
            <w:pPr>
              <w:pStyle w:val="22"/>
              <w:spacing w:line="240" w:lineRule="auto"/>
              <w:jc w:val="center"/>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答复时间、形式</w:t>
            </w:r>
          </w:p>
        </w:tc>
        <w:tc>
          <w:tcPr>
            <w:tcW w:w="6875" w:type="dxa"/>
            <w:noWrap w:val="0"/>
            <w:vAlign w:val="center"/>
          </w:tcPr>
          <w:p>
            <w:pPr>
              <w:pStyle w:val="22"/>
              <w:spacing w:line="240" w:lineRule="auto"/>
              <w:ind w:firstLine="210" w:firstLineChars="1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时间：自收到供应商质疑函之日起7个工作日内</w:t>
            </w:r>
          </w:p>
          <w:p>
            <w:pPr>
              <w:pStyle w:val="22"/>
              <w:spacing w:line="240" w:lineRule="auto"/>
              <w:ind w:firstLine="210" w:firstLineChars="100"/>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zh-CN"/>
              </w:rPr>
              <w:t>形式：书面形式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bidi="ar-SA"/>
              </w:rPr>
            </w:pPr>
          </w:p>
        </w:tc>
        <w:tc>
          <w:tcPr>
            <w:tcW w:w="1912" w:type="dxa"/>
            <w:noWrap w:val="0"/>
            <w:vAlign w:val="center"/>
          </w:tcPr>
          <w:p>
            <w:pPr>
              <w:pStyle w:val="22"/>
              <w:spacing w:line="240" w:lineRule="auto"/>
              <w:ind w:left="33" w:leftChars="0"/>
              <w:jc w:val="center"/>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响应文件有效期</w:t>
            </w:r>
          </w:p>
        </w:tc>
        <w:tc>
          <w:tcPr>
            <w:tcW w:w="6875" w:type="dxa"/>
            <w:noWrap w:val="0"/>
            <w:vAlign w:val="center"/>
          </w:tcPr>
          <w:p>
            <w:pPr>
              <w:pStyle w:val="22"/>
              <w:spacing w:line="240" w:lineRule="auto"/>
              <w:ind w:firstLine="210" w:firstLineChars="100"/>
              <w:jc w:val="both"/>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从响应文件首次提交截止之日起90日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bidi="ar-SA"/>
              </w:rPr>
            </w:pPr>
          </w:p>
        </w:tc>
        <w:tc>
          <w:tcPr>
            <w:tcW w:w="1912" w:type="dxa"/>
            <w:noWrap w:val="0"/>
            <w:vAlign w:val="center"/>
          </w:tcPr>
          <w:p>
            <w:pPr>
              <w:pStyle w:val="22"/>
              <w:spacing w:line="240" w:lineRule="auto"/>
              <w:ind w:left="33"/>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是否允许递交多个</w:t>
            </w:r>
          </w:p>
          <w:p>
            <w:pPr>
              <w:pStyle w:val="22"/>
              <w:spacing w:line="240" w:lineRule="auto"/>
              <w:ind w:left="33" w:leftChars="0"/>
              <w:jc w:val="center"/>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备选磋商方案</w:t>
            </w:r>
          </w:p>
        </w:tc>
        <w:tc>
          <w:tcPr>
            <w:tcW w:w="6875" w:type="dxa"/>
            <w:noWrap w:val="0"/>
            <w:vAlign w:val="center"/>
          </w:tcPr>
          <w:p>
            <w:pPr>
              <w:pStyle w:val="22"/>
              <w:spacing w:line="240" w:lineRule="auto"/>
              <w:ind w:firstLine="210" w:firstLineChars="100"/>
              <w:jc w:val="both"/>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zh-CN"/>
              </w:rPr>
              <w:t>不允许</w:t>
            </w:r>
          </w:p>
          <w:p>
            <w:pPr>
              <w:pStyle w:val="22"/>
              <w:numPr>
                <w:ilvl w:val="0"/>
                <w:numId w:val="0"/>
              </w:numPr>
              <w:spacing w:line="240" w:lineRule="auto"/>
              <w:ind w:left="210" w:leftChars="0"/>
              <w:jc w:val="both"/>
              <w:rPr>
                <w:rFonts w:hint="default" w:ascii="Times New Roman" w:hAnsi="Times New Roman" w:eastAsia="宋体" w:cs="Times New Roman"/>
                <w:color w:val="auto"/>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sym w:font="Wingdings 2" w:char="00A3"/>
            </w:r>
            <w:r>
              <w:rPr>
                <w:rFonts w:hint="default" w:ascii="Times New Roman" w:hAnsi="Times New Roman" w:eastAsia="宋体" w:cs="Times New Roman"/>
                <w:color w:val="auto"/>
                <w:sz w:val="21"/>
                <w:szCs w:val="21"/>
                <w:highlight w:val="none"/>
                <w:lang w:val="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b w:val="0"/>
                <w:bCs w:val="0"/>
                <w:color w:val="auto"/>
                <w:sz w:val="21"/>
                <w:szCs w:val="21"/>
                <w:highlight w:val="none"/>
                <w:lang w:val="zh-CN"/>
              </w:rPr>
            </w:pPr>
          </w:p>
        </w:tc>
        <w:tc>
          <w:tcPr>
            <w:tcW w:w="1912" w:type="dxa"/>
            <w:noWrap w:val="0"/>
            <w:vAlign w:val="center"/>
          </w:tcPr>
          <w:p>
            <w:pPr>
              <w:pStyle w:val="22"/>
              <w:spacing w:line="240" w:lineRule="auto"/>
              <w:ind w:left="33"/>
              <w:jc w:val="center"/>
              <w:rPr>
                <w:rFonts w:hint="default" w:ascii="Times New Roman" w:hAnsi="Times New Roman" w:eastAsia="宋体" w:cs="Times New Roman"/>
                <w:b w:val="0"/>
                <w:bCs w:val="0"/>
                <w:color w:val="auto"/>
                <w:sz w:val="21"/>
                <w:szCs w:val="21"/>
                <w:highlight w:val="none"/>
                <w:lang w:val="zh-CN"/>
              </w:rPr>
            </w:pPr>
            <w:r>
              <w:rPr>
                <w:rFonts w:hint="default" w:ascii="Times New Roman" w:hAnsi="Times New Roman" w:eastAsia="宋体" w:cs="Times New Roman"/>
                <w:b w:val="0"/>
                <w:bCs w:val="0"/>
                <w:color w:val="auto"/>
                <w:sz w:val="21"/>
                <w:szCs w:val="21"/>
                <w:highlight w:val="none"/>
                <w:lang w:val="zh-CN"/>
              </w:rPr>
              <w:t>磋商保证金</w:t>
            </w:r>
          </w:p>
        </w:tc>
        <w:tc>
          <w:tcPr>
            <w:tcW w:w="6875" w:type="dxa"/>
            <w:noWrap w:val="0"/>
            <w:vAlign w:val="center"/>
          </w:tcPr>
          <w:p>
            <w:pPr>
              <w:spacing w:line="240" w:lineRule="auto"/>
              <w:ind w:firstLine="210" w:firstLineChars="100"/>
              <w:rPr>
                <w:rFonts w:hint="default" w:ascii="Times New Roman" w:hAnsi="Times New Roman" w:eastAsia="宋体" w:cs="Times New Roman"/>
                <w:b w:val="0"/>
                <w:bCs w:val="0"/>
                <w:color w:val="auto"/>
                <w:szCs w:val="21"/>
                <w:highlight w:val="none"/>
              </w:rPr>
            </w:pPr>
            <w:r>
              <w:rPr>
                <w:rFonts w:hint="default" w:ascii="Times New Roman" w:hAnsi="Times New Roman" w:eastAsia="宋体" w:cs="Times New Roman"/>
                <w:color w:val="auto"/>
                <w:sz w:val="21"/>
                <w:szCs w:val="21"/>
                <w:highlight w:val="none"/>
                <w:lang w:eastAsia="zh-CN"/>
              </w:rPr>
              <w:t>不要求供应商提交磋商保证金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b w:val="0"/>
                <w:bCs w:val="0"/>
                <w:color w:val="auto"/>
                <w:sz w:val="21"/>
                <w:szCs w:val="21"/>
                <w:highlight w:val="none"/>
                <w:lang w:val="zh-CN"/>
              </w:rPr>
            </w:pPr>
          </w:p>
        </w:tc>
        <w:tc>
          <w:tcPr>
            <w:tcW w:w="1912" w:type="dxa"/>
            <w:noWrap w:val="0"/>
            <w:vAlign w:val="center"/>
          </w:tcPr>
          <w:p>
            <w:pPr>
              <w:pStyle w:val="22"/>
              <w:spacing w:line="240" w:lineRule="auto"/>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不予退还磋商</w:t>
            </w:r>
          </w:p>
          <w:p>
            <w:pPr>
              <w:pStyle w:val="22"/>
              <w:spacing w:line="240" w:lineRule="auto"/>
              <w:jc w:val="center"/>
              <w:rPr>
                <w:rFonts w:hint="default" w:ascii="Times New Roman" w:hAnsi="Times New Roman" w:eastAsia="宋体" w:cs="Times New Roman"/>
                <w:b w:val="0"/>
                <w:bCs w:val="0"/>
                <w:color w:val="auto"/>
                <w:sz w:val="21"/>
                <w:szCs w:val="21"/>
                <w:highlight w:val="none"/>
                <w:lang w:val="zh-CN"/>
              </w:rPr>
            </w:pPr>
            <w:r>
              <w:rPr>
                <w:rFonts w:hint="default" w:ascii="Times New Roman" w:hAnsi="Times New Roman" w:eastAsia="宋体" w:cs="Times New Roman"/>
                <w:color w:val="auto"/>
                <w:sz w:val="21"/>
                <w:szCs w:val="21"/>
                <w:highlight w:val="none"/>
                <w:lang w:val="zh-CN"/>
              </w:rPr>
              <w:t>保证金的情形</w:t>
            </w:r>
          </w:p>
        </w:tc>
        <w:tc>
          <w:tcPr>
            <w:tcW w:w="6875" w:type="dxa"/>
            <w:noWrap w:val="0"/>
            <w:vAlign w:val="center"/>
          </w:tcPr>
          <w:p>
            <w:pPr>
              <w:pStyle w:val="22"/>
              <w:spacing w:line="400" w:lineRule="exact"/>
              <w:ind w:firstLine="210" w:firstLineChars="10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zh-CN"/>
              </w:rPr>
              <w:t>详见</w:t>
            </w:r>
            <w:r>
              <w:rPr>
                <w:rFonts w:hint="default" w:ascii="Times New Roman" w:hAnsi="Times New Roman" w:eastAsia="宋体" w:cs="Times New Roman"/>
                <w:color w:val="auto"/>
                <w:sz w:val="21"/>
                <w:szCs w:val="21"/>
                <w:highlight w:val="none"/>
              </w:rPr>
              <w:t>供应商须知第4.5.3.2条款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exac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b w:val="0"/>
                <w:bCs w:val="0"/>
                <w:color w:val="auto"/>
                <w:sz w:val="21"/>
                <w:szCs w:val="21"/>
                <w:highlight w:val="none"/>
                <w:lang w:val="zh-CN" w:eastAsia="zh-CN"/>
              </w:rPr>
            </w:pPr>
          </w:p>
        </w:tc>
        <w:tc>
          <w:tcPr>
            <w:tcW w:w="1912" w:type="dxa"/>
            <w:noWrap w:val="0"/>
            <w:vAlign w:val="center"/>
          </w:tcPr>
          <w:p>
            <w:pPr>
              <w:pStyle w:val="22"/>
              <w:spacing w:line="240" w:lineRule="auto"/>
              <w:jc w:val="center"/>
              <w:rPr>
                <w:rFonts w:hint="default" w:ascii="Times New Roman" w:hAnsi="Times New Roman" w:eastAsia="宋体" w:cs="Times New Roman"/>
                <w:b w:val="0"/>
                <w:bCs w:val="0"/>
                <w:color w:val="auto"/>
                <w:sz w:val="21"/>
                <w:szCs w:val="21"/>
                <w:highlight w:val="none"/>
                <w:lang w:val="zh-CN"/>
              </w:rPr>
            </w:pPr>
            <w:r>
              <w:rPr>
                <w:rFonts w:hint="default" w:ascii="Times New Roman" w:hAnsi="Times New Roman" w:eastAsia="宋体" w:cs="Times New Roman"/>
                <w:b w:val="0"/>
                <w:bCs w:val="0"/>
                <w:color w:val="auto"/>
                <w:sz w:val="21"/>
                <w:szCs w:val="21"/>
                <w:highlight w:val="none"/>
                <w:lang w:val="zh-CN"/>
              </w:rPr>
              <w:t>响应文件份数</w:t>
            </w:r>
          </w:p>
        </w:tc>
        <w:tc>
          <w:tcPr>
            <w:tcW w:w="6875" w:type="dxa"/>
            <w:noWrap w:val="0"/>
            <w:vAlign w:val="center"/>
          </w:tcPr>
          <w:p>
            <w:pPr>
              <w:pStyle w:val="22"/>
              <w:spacing w:line="240" w:lineRule="auto"/>
              <w:ind w:firstLine="210" w:firstLineChars="100"/>
              <w:rPr>
                <w:rFonts w:hint="default" w:ascii="Times New Roman" w:hAnsi="Times New Roman" w:eastAsia="宋体" w:cs="Times New Roman"/>
                <w:b w:val="0"/>
                <w:bCs w:val="0"/>
                <w:color w:val="auto"/>
                <w:sz w:val="21"/>
                <w:szCs w:val="21"/>
                <w:highlight w:val="none"/>
                <w:lang w:val="zh-CN"/>
              </w:rPr>
            </w:pPr>
            <w:r>
              <w:rPr>
                <w:rFonts w:hint="default" w:ascii="Times New Roman" w:hAnsi="Times New Roman" w:eastAsia="宋体" w:cs="Times New Roman"/>
                <w:b w:val="0"/>
                <w:bCs w:val="0"/>
                <w:color w:val="auto"/>
                <w:sz w:val="21"/>
                <w:szCs w:val="21"/>
                <w:highlight w:val="none"/>
              </w:rPr>
              <w:t>正本1份、副本2份和电子文件（光盘）</w:t>
            </w:r>
            <w:r>
              <w:rPr>
                <w:rFonts w:hint="default" w:ascii="Times New Roman" w:hAnsi="Times New Roman" w:eastAsia="宋体" w:cs="Times New Roman"/>
                <w:b w:val="0"/>
                <w:bCs w:val="0"/>
                <w:color w:val="auto"/>
                <w:sz w:val="21"/>
                <w:szCs w:val="21"/>
                <w:highlight w:val="none"/>
                <w:lang w:val="en-US" w:eastAsia="zh-CN"/>
              </w:rPr>
              <w:t>2</w:t>
            </w:r>
            <w:r>
              <w:rPr>
                <w:rFonts w:hint="default" w:ascii="Times New Roman" w:hAnsi="Times New Roman" w:eastAsia="宋体" w:cs="Times New Roman"/>
                <w:b w:val="0"/>
                <w:bCs w:val="0"/>
                <w:color w:val="auto"/>
                <w:sz w:val="21"/>
                <w:szCs w:val="21"/>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exac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rPr>
            </w:pPr>
          </w:p>
        </w:tc>
        <w:tc>
          <w:tcPr>
            <w:tcW w:w="1912" w:type="dxa"/>
            <w:noWrap w:val="0"/>
            <w:vAlign w:val="center"/>
          </w:tcPr>
          <w:p>
            <w:pPr>
              <w:pStyle w:val="22"/>
              <w:spacing w:line="240" w:lineRule="auto"/>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响应文件签字</w:t>
            </w:r>
          </w:p>
          <w:p>
            <w:pPr>
              <w:pStyle w:val="22"/>
              <w:spacing w:line="240" w:lineRule="auto"/>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或盖章要求</w:t>
            </w:r>
          </w:p>
        </w:tc>
        <w:tc>
          <w:tcPr>
            <w:tcW w:w="6875" w:type="dxa"/>
            <w:noWrap w:val="0"/>
            <w:vAlign w:val="center"/>
          </w:tcPr>
          <w:p>
            <w:pPr>
              <w:pStyle w:val="22"/>
              <w:spacing w:line="240" w:lineRule="auto"/>
              <w:ind w:firstLine="210" w:firstLineChars="1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供应商必须按照磋商文件的规定和要求签字、盖章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6" w:hRule="exac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rPr>
            </w:pPr>
          </w:p>
        </w:tc>
        <w:tc>
          <w:tcPr>
            <w:tcW w:w="1912" w:type="dxa"/>
            <w:noWrap w:val="0"/>
            <w:vAlign w:val="center"/>
          </w:tcPr>
          <w:p>
            <w:pPr>
              <w:pStyle w:val="22"/>
              <w:spacing w:line="240" w:lineRule="auto"/>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响应文件是否分册装订</w:t>
            </w:r>
          </w:p>
        </w:tc>
        <w:tc>
          <w:tcPr>
            <w:tcW w:w="6875" w:type="dxa"/>
            <w:noWrap w:val="0"/>
            <w:vAlign w:val="center"/>
          </w:tcPr>
          <w:p>
            <w:pPr>
              <w:pStyle w:val="22"/>
              <w:spacing w:line="240" w:lineRule="auto"/>
              <w:ind w:firstLine="210" w:firstLineChars="1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■不需要</w:t>
            </w:r>
          </w:p>
          <w:p>
            <w:pPr>
              <w:pStyle w:val="22"/>
              <w:spacing w:line="240" w:lineRule="auto"/>
              <w:ind w:left="218" w:leftChars="104" w:firstLine="20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资格审查文件和商务技术文件不需要分册装订</w:t>
            </w:r>
          </w:p>
          <w:p>
            <w:pPr>
              <w:pStyle w:val="22"/>
              <w:spacing w:line="240" w:lineRule="auto"/>
              <w:ind w:left="218" w:leftChars="104" w:firstLine="20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密封要求：一律采用A4纸装订成册（禁止使用活页），正本和副本分别装订，电子版放置正本密封袋中或单独密封。正本、副本可一起密封或单独密封</w:t>
            </w:r>
          </w:p>
          <w:p>
            <w:pPr>
              <w:pStyle w:val="22"/>
              <w:spacing w:line="240" w:lineRule="auto"/>
              <w:ind w:firstLine="21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sz w:val="21"/>
                <w:szCs w:val="21"/>
                <w:highlight w:val="none"/>
              </w:rPr>
              <w:t>需要，分册装订要求：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eastAsia="zh-CN"/>
              </w:rPr>
            </w:pPr>
          </w:p>
        </w:tc>
        <w:tc>
          <w:tcPr>
            <w:tcW w:w="1912" w:type="dxa"/>
            <w:noWrap w:val="0"/>
            <w:vAlign w:val="center"/>
          </w:tcPr>
          <w:p>
            <w:pPr>
              <w:pStyle w:val="22"/>
              <w:spacing w:line="240" w:lineRule="auto"/>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响应文件封面标注</w:t>
            </w:r>
          </w:p>
        </w:tc>
        <w:tc>
          <w:tcPr>
            <w:tcW w:w="6875" w:type="dxa"/>
            <w:noWrap w:val="0"/>
            <w:vAlign w:val="center"/>
          </w:tcPr>
          <w:p>
            <w:pPr>
              <w:pStyle w:val="22"/>
              <w:spacing w:line="240" w:lineRule="auto"/>
              <w:ind w:firstLine="210" w:firstLineChars="1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响应文件正本和副本的封面上均应标明：采购项目名称、采购项目编号、包号（如有）、供应商名称、年月日；并分别在右上角标明“正本”和“副本”字样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4"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b w:val="0"/>
                <w:bCs w:val="0"/>
                <w:color w:val="auto"/>
                <w:sz w:val="21"/>
                <w:szCs w:val="21"/>
                <w:highlight w:val="none"/>
                <w:lang w:val="zh-CN" w:eastAsia="zh-CN"/>
              </w:rPr>
            </w:pPr>
          </w:p>
        </w:tc>
        <w:tc>
          <w:tcPr>
            <w:tcW w:w="1912" w:type="dxa"/>
            <w:noWrap w:val="0"/>
            <w:vAlign w:val="center"/>
          </w:tcPr>
          <w:p>
            <w:pPr>
              <w:pStyle w:val="22"/>
              <w:spacing w:line="240" w:lineRule="auto"/>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封套上应载明的信息</w:t>
            </w:r>
          </w:p>
        </w:tc>
        <w:tc>
          <w:tcPr>
            <w:tcW w:w="6875" w:type="dxa"/>
            <w:noWrap w:val="0"/>
            <w:vAlign w:val="center"/>
          </w:tcPr>
          <w:p>
            <w:pPr>
              <w:pStyle w:val="22"/>
              <w:spacing w:line="240" w:lineRule="auto"/>
              <w:ind w:firstLine="210" w:firstLineChars="100"/>
              <w:jc w:val="both"/>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采购人名称：</w:t>
            </w:r>
          </w:p>
          <w:p>
            <w:pPr>
              <w:pStyle w:val="22"/>
              <w:spacing w:line="240" w:lineRule="auto"/>
              <w:ind w:firstLine="210" w:firstLineChars="100"/>
              <w:jc w:val="both"/>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采购项目名称：</w:t>
            </w:r>
          </w:p>
          <w:p>
            <w:pPr>
              <w:pStyle w:val="22"/>
              <w:spacing w:line="240" w:lineRule="auto"/>
              <w:ind w:firstLine="210" w:firstLineChars="100"/>
              <w:jc w:val="both"/>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响应文件</w:t>
            </w:r>
          </w:p>
          <w:p>
            <w:pPr>
              <w:pStyle w:val="22"/>
              <w:spacing w:line="240" w:lineRule="auto"/>
              <w:ind w:firstLine="210" w:firstLineChars="100"/>
              <w:jc w:val="both"/>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采购项目编号、包号（如有）：</w:t>
            </w:r>
          </w:p>
          <w:p>
            <w:pPr>
              <w:pStyle w:val="22"/>
              <w:spacing w:line="240" w:lineRule="auto"/>
              <w:ind w:firstLine="210" w:firstLineChars="100"/>
              <w:jc w:val="both"/>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供应商名称：</w:t>
            </w:r>
          </w:p>
          <w:p>
            <w:pPr>
              <w:pStyle w:val="22"/>
              <w:spacing w:line="240" w:lineRule="auto"/>
              <w:ind w:firstLine="210" w:firstLineChars="100"/>
              <w:jc w:val="both"/>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在</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zh-CN"/>
              </w:rPr>
              <w:t>年</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zh-CN"/>
              </w:rPr>
              <w:t>月</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zh-CN"/>
              </w:rPr>
              <w:t>日</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zh-CN"/>
              </w:rPr>
              <w:t>时</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zh-CN"/>
              </w:rPr>
              <w:t>分前不得开启</w:t>
            </w:r>
          </w:p>
          <w:p>
            <w:pPr>
              <w:pStyle w:val="22"/>
              <w:spacing w:line="240" w:lineRule="auto"/>
              <w:ind w:firstLine="210" w:firstLineChars="100"/>
              <w:jc w:val="both"/>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“正本”或“副本”字样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b w:val="0"/>
                <w:bCs w:val="0"/>
                <w:color w:val="auto"/>
                <w:sz w:val="21"/>
                <w:szCs w:val="21"/>
                <w:highlight w:val="none"/>
                <w:lang w:val="zh-CN" w:eastAsia="zh-CN"/>
              </w:rPr>
            </w:pPr>
          </w:p>
        </w:tc>
        <w:tc>
          <w:tcPr>
            <w:tcW w:w="1912" w:type="dxa"/>
            <w:noWrap w:val="0"/>
            <w:vAlign w:val="center"/>
          </w:tcPr>
          <w:p>
            <w:pPr>
              <w:pStyle w:val="22"/>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提交首次响应文件</w:t>
            </w:r>
          </w:p>
          <w:p>
            <w:pPr>
              <w:pStyle w:val="22"/>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截至时间</w:t>
            </w:r>
          </w:p>
        </w:tc>
        <w:tc>
          <w:tcPr>
            <w:tcW w:w="6875" w:type="dxa"/>
            <w:noWrap w:val="0"/>
            <w:vAlign w:val="center"/>
          </w:tcPr>
          <w:p>
            <w:pPr>
              <w:pStyle w:val="22"/>
              <w:spacing w:line="400" w:lineRule="exact"/>
              <w:ind w:firstLine="211" w:firstLineChars="100"/>
              <w:jc w:val="both"/>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b/>
                <w:bCs/>
                <w:color w:val="0000FF"/>
                <w:sz w:val="21"/>
                <w:szCs w:val="21"/>
                <w:highlight w:val="none"/>
                <w:lang w:val="zh-CN"/>
              </w:rPr>
              <w:t>20</w:t>
            </w:r>
            <w:r>
              <w:rPr>
                <w:rFonts w:hint="default" w:ascii="Times New Roman" w:hAnsi="Times New Roman" w:eastAsia="宋体" w:cs="Times New Roman"/>
                <w:b/>
                <w:bCs/>
                <w:color w:val="0000FF"/>
                <w:sz w:val="21"/>
                <w:szCs w:val="21"/>
                <w:highlight w:val="none"/>
              </w:rPr>
              <w:t>2</w:t>
            </w:r>
            <w:r>
              <w:rPr>
                <w:rFonts w:hint="default" w:ascii="Times New Roman" w:hAnsi="Times New Roman" w:eastAsia="宋体" w:cs="Times New Roman"/>
                <w:b/>
                <w:bCs/>
                <w:color w:val="0000FF"/>
                <w:sz w:val="21"/>
                <w:szCs w:val="21"/>
                <w:highlight w:val="none"/>
                <w:lang w:val="en-US" w:eastAsia="zh-CN"/>
              </w:rPr>
              <w:t>2</w:t>
            </w:r>
            <w:r>
              <w:rPr>
                <w:rFonts w:hint="default" w:ascii="Times New Roman" w:hAnsi="Times New Roman" w:eastAsia="宋体" w:cs="Times New Roman"/>
                <w:b/>
                <w:bCs/>
                <w:color w:val="0000FF"/>
                <w:sz w:val="21"/>
                <w:szCs w:val="21"/>
                <w:highlight w:val="none"/>
                <w:lang w:val="zh-CN"/>
              </w:rPr>
              <w:t>年</w:t>
            </w:r>
            <w:r>
              <w:rPr>
                <w:rFonts w:hint="default" w:ascii="Times New Roman" w:hAnsi="Times New Roman" w:cs="Times New Roman"/>
                <w:b/>
                <w:bCs/>
                <w:color w:val="0000FF"/>
                <w:sz w:val="21"/>
                <w:szCs w:val="21"/>
                <w:highlight w:val="none"/>
                <w:lang w:val="en-US" w:eastAsia="zh-CN"/>
              </w:rPr>
              <w:t>7</w:t>
            </w:r>
            <w:r>
              <w:rPr>
                <w:rFonts w:hint="default" w:ascii="Times New Roman" w:hAnsi="Times New Roman" w:eastAsia="宋体" w:cs="Times New Roman"/>
                <w:b/>
                <w:bCs/>
                <w:color w:val="0000FF"/>
                <w:sz w:val="21"/>
                <w:szCs w:val="21"/>
                <w:highlight w:val="none"/>
                <w:lang w:val="zh-CN"/>
              </w:rPr>
              <w:t>月</w:t>
            </w:r>
            <w:r>
              <w:rPr>
                <w:rFonts w:hint="default" w:ascii="Times New Roman" w:hAnsi="Times New Roman" w:cs="Times New Roman"/>
                <w:b/>
                <w:bCs/>
                <w:color w:val="0000FF"/>
                <w:sz w:val="21"/>
                <w:szCs w:val="21"/>
                <w:highlight w:val="none"/>
                <w:lang w:val="en-US" w:eastAsia="zh-CN"/>
              </w:rPr>
              <w:t>11</w:t>
            </w:r>
            <w:r>
              <w:rPr>
                <w:rFonts w:hint="default" w:ascii="Times New Roman" w:hAnsi="Times New Roman" w:eastAsia="宋体" w:cs="Times New Roman"/>
                <w:b/>
                <w:bCs/>
                <w:color w:val="0000FF"/>
                <w:sz w:val="21"/>
                <w:szCs w:val="21"/>
                <w:highlight w:val="none"/>
                <w:lang w:val="zh-CN"/>
              </w:rPr>
              <w:t>日</w:t>
            </w:r>
            <w:r>
              <w:rPr>
                <w:rFonts w:hint="default" w:ascii="Times New Roman" w:hAnsi="Times New Roman" w:eastAsia="宋体" w:cs="Times New Roman"/>
                <w:b/>
                <w:bCs/>
                <w:color w:val="0000FF"/>
                <w:sz w:val="21"/>
                <w:szCs w:val="21"/>
                <w:highlight w:val="none"/>
                <w:lang w:val="en-US" w:eastAsia="zh-CN"/>
              </w:rPr>
              <w:t>09</w:t>
            </w:r>
            <w:r>
              <w:rPr>
                <w:rFonts w:hint="default" w:ascii="Times New Roman" w:hAnsi="Times New Roman" w:eastAsia="宋体" w:cs="Times New Roman"/>
                <w:b/>
                <w:bCs/>
                <w:color w:val="0000FF"/>
                <w:sz w:val="21"/>
                <w:szCs w:val="21"/>
                <w:highlight w:val="none"/>
                <w:lang w:val="zh-CN"/>
              </w:rPr>
              <w:t>时</w:t>
            </w:r>
            <w:r>
              <w:rPr>
                <w:rFonts w:hint="default" w:ascii="Times New Roman" w:hAnsi="Times New Roman" w:eastAsia="宋体" w:cs="Times New Roman"/>
                <w:b/>
                <w:bCs/>
                <w:color w:val="0000FF"/>
                <w:sz w:val="21"/>
                <w:szCs w:val="21"/>
                <w:highlight w:val="none"/>
              </w:rPr>
              <w:t>30</w:t>
            </w:r>
            <w:r>
              <w:rPr>
                <w:rFonts w:hint="default" w:ascii="Times New Roman" w:hAnsi="Times New Roman" w:eastAsia="宋体" w:cs="Times New Roman"/>
                <w:b/>
                <w:bCs/>
                <w:color w:val="0000FF"/>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b w:val="0"/>
                <w:bCs w:val="0"/>
                <w:color w:val="auto"/>
                <w:sz w:val="21"/>
                <w:szCs w:val="21"/>
                <w:highlight w:val="none"/>
                <w:lang w:val="zh-CN" w:eastAsia="zh-CN"/>
              </w:rPr>
            </w:pPr>
          </w:p>
        </w:tc>
        <w:tc>
          <w:tcPr>
            <w:tcW w:w="1912" w:type="dxa"/>
            <w:noWrap w:val="0"/>
            <w:vAlign w:val="center"/>
          </w:tcPr>
          <w:p>
            <w:pPr>
              <w:pStyle w:val="22"/>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提交首次响应文件地点</w:t>
            </w:r>
          </w:p>
        </w:tc>
        <w:tc>
          <w:tcPr>
            <w:tcW w:w="6875" w:type="dxa"/>
            <w:noWrap w:val="0"/>
            <w:vAlign w:val="center"/>
          </w:tcPr>
          <w:p>
            <w:pPr>
              <w:pStyle w:val="22"/>
              <w:spacing w:line="240" w:lineRule="auto"/>
              <w:ind w:firstLine="210" w:firstLineChars="100"/>
              <w:jc w:val="both"/>
              <w:rPr>
                <w:rFonts w:hint="default" w:ascii="Times New Roman" w:hAnsi="Times New Roman" w:eastAsia="宋体" w:cs="Times New Roman"/>
                <w:color w:val="auto"/>
                <w:sz w:val="21"/>
                <w:szCs w:val="21"/>
                <w:highlight w:val="none"/>
                <w:lang w:val="zh-CN"/>
              </w:rPr>
            </w:pPr>
            <w:r>
              <w:rPr>
                <w:rFonts w:hint="default" w:ascii="Times New Roman" w:hAnsi="Times New Roman" w:cs="Times New Roman"/>
                <w:color w:val="auto"/>
                <w:kern w:val="0"/>
                <w:sz w:val="21"/>
                <w:szCs w:val="21"/>
                <w:highlight w:val="none"/>
                <w:lang w:eastAsia="zh-CN"/>
              </w:rPr>
              <w:t>西安市新城区长乐中路38号金花新都汇A座12层会议室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exac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rPr>
            </w:pPr>
          </w:p>
        </w:tc>
        <w:tc>
          <w:tcPr>
            <w:tcW w:w="1912" w:type="dxa"/>
            <w:noWrap w:val="0"/>
            <w:vAlign w:val="center"/>
          </w:tcPr>
          <w:p>
            <w:pPr>
              <w:pStyle w:val="22"/>
              <w:spacing w:line="240" w:lineRule="auto"/>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响应文件是否退还</w:t>
            </w:r>
          </w:p>
        </w:tc>
        <w:tc>
          <w:tcPr>
            <w:tcW w:w="6875" w:type="dxa"/>
            <w:noWrap w:val="0"/>
            <w:vAlign w:val="center"/>
          </w:tcPr>
          <w:p>
            <w:pPr>
              <w:autoSpaceDE w:val="0"/>
              <w:autoSpaceDN w:val="0"/>
              <w:adjustRightInd w:val="0"/>
              <w:spacing w:line="240" w:lineRule="auto"/>
              <w:ind w:firstLine="210" w:firstLineChars="10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highlight w:val="none"/>
              </w:rPr>
              <w:t>否</w:t>
            </w:r>
          </w:p>
          <w:p>
            <w:pPr>
              <w:autoSpaceDE w:val="0"/>
              <w:autoSpaceDN w:val="0"/>
              <w:adjustRightInd w:val="0"/>
              <w:spacing w:line="240" w:lineRule="auto"/>
              <w:ind w:firstLine="210" w:firstLineChars="10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□退还，退还时间：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rPr>
            </w:pPr>
          </w:p>
        </w:tc>
        <w:tc>
          <w:tcPr>
            <w:tcW w:w="1912" w:type="dxa"/>
            <w:noWrap w:val="0"/>
            <w:vAlign w:val="center"/>
          </w:tcPr>
          <w:p>
            <w:pPr>
              <w:pStyle w:val="22"/>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开启响应文件时间</w:t>
            </w:r>
          </w:p>
          <w:p>
            <w:pPr>
              <w:pStyle w:val="22"/>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和地点</w:t>
            </w:r>
          </w:p>
        </w:tc>
        <w:tc>
          <w:tcPr>
            <w:tcW w:w="6875" w:type="dxa"/>
            <w:noWrap w:val="0"/>
            <w:vAlign w:val="center"/>
          </w:tcPr>
          <w:p>
            <w:pPr>
              <w:pStyle w:val="22"/>
              <w:ind w:firstLine="210" w:firstLineChars="1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开启响应文件时间：同提交响应文件截至时间</w:t>
            </w:r>
          </w:p>
          <w:p>
            <w:pPr>
              <w:pStyle w:val="22"/>
              <w:ind w:firstLine="210" w:firstLineChars="1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开启响应文件地点：同提交响应文件地点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rPr>
            </w:pPr>
          </w:p>
        </w:tc>
        <w:tc>
          <w:tcPr>
            <w:tcW w:w="1912" w:type="dxa"/>
            <w:noWrap w:val="0"/>
            <w:vAlign w:val="center"/>
          </w:tcPr>
          <w:p>
            <w:pPr>
              <w:pStyle w:val="22"/>
              <w:spacing w:line="240" w:lineRule="auto"/>
              <w:ind w:left="96"/>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磋商小组的组建</w:t>
            </w:r>
          </w:p>
        </w:tc>
        <w:tc>
          <w:tcPr>
            <w:tcW w:w="6875" w:type="dxa"/>
            <w:noWrap w:val="0"/>
            <w:vAlign w:val="center"/>
          </w:tcPr>
          <w:p>
            <w:pPr>
              <w:pStyle w:val="22"/>
              <w:spacing w:line="240" w:lineRule="auto"/>
              <w:ind w:left="634" w:leftChars="102" w:hanging="420" w:hanging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磋商小组构成形式、人数，评审专家确定方式：</w:t>
            </w:r>
          </w:p>
          <w:p>
            <w:pPr>
              <w:pStyle w:val="22"/>
              <w:spacing w:line="240" w:lineRule="auto"/>
              <w:ind w:left="634" w:leftChars="102" w:hanging="420" w:hanging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详见供应商须知第7.1.1条款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rPr>
            </w:pPr>
          </w:p>
        </w:tc>
        <w:tc>
          <w:tcPr>
            <w:tcW w:w="1912" w:type="dxa"/>
            <w:noWrap w:val="0"/>
            <w:vAlign w:val="center"/>
          </w:tcPr>
          <w:p>
            <w:pPr>
              <w:pStyle w:val="22"/>
              <w:spacing w:line="240" w:lineRule="auto"/>
              <w:ind w:left="96"/>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磋商办法</w:t>
            </w:r>
          </w:p>
        </w:tc>
        <w:tc>
          <w:tcPr>
            <w:tcW w:w="6875" w:type="dxa"/>
            <w:noWrap w:val="0"/>
            <w:vAlign w:val="center"/>
          </w:tcPr>
          <w:p>
            <w:pPr>
              <w:pStyle w:val="22"/>
              <w:spacing w:line="240" w:lineRule="auto"/>
              <w:ind w:left="634" w:leftChars="102" w:hanging="420" w:hanging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详见第三章磋商办法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rPr>
            </w:pPr>
          </w:p>
        </w:tc>
        <w:tc>
          <w:tcPr>
            <w:tcW w:w="1912" w:type="dxa"/>
            <w:noWrap w:val="0"/>
            <w:vAlign w:val="center"/>
          </w:tcPr>
          <w:p>
            <w:pPr>
              <w:pStyle w:val="22"/>
              <w:ind w:left="96"/>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磋商小组推荐成交</w:t>
            </w:r>
          </w:p>
          <w:p>
            <w:pPr>
              <w:pStyle w:val="22"/>
              <w:ind w:left="96" w:lef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候选供应商的家数</w:t>
            </w:r>
          </w:p>
        </w:tc>
        <w:tc>
          <w:tcPr>
            <w:tcW w:w="6875" w:type="dxa"/>
            <w:noWrap w:val="0"/>
            <w:vAlign w:val="center"/>
          </w:tcPr>
          <w:p>
            <w:pPr>
              <w:pStyle w:val="22"/>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 xml:space="preserv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rPr>
            </w:pPr>
          </w:p>
        </w:tc>
        <w:tc>
          <w:tcPr>
            <w:tcW w:w="1912" w:type="dxa"/>
            <w:noWrap w:val="0"/>
            <w:vAlign w:val="center"/>
          </w:tcPr>
          <w:p>
            <w:pPr>
              <w:pStyle w:val="22"/>
              <w:spacing w:line="240" w:lineRule="auto"/>
              <w:ind w:left="96"/>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是否授权磋商小组</w:t>
            </w:r>
          </w:p>
          <w:p>
            <w:pPr>
              <w:pStyle w:val="22"/>
              <w:spacing w:line="240" w:lineRule="auto"/>
              <w:ind w:left="96"/>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确定成交供应商</w:t>
            </w:r>
          </w:p>
        </w:tc>
        <w:tc>
          <w:tcPr>
            <w:tcW w:w="6875" w:type="dxa"/>
            <w:noWrap w:val="0"/>
            <w:vAlign w:val="center"/>
          </w:tcPr>
          <w:p>
            <w:pPr>
              <w:pStyle w:val="22"/>
              <w:spacing w:line="240" w:lineRule="auto"/>
              <w:ind w:left="21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□是</w:t>
            </w:r>
          </w:p>
          <w:p>
            <w:pPr>
              <w:pStyle w:val="22"/>
              <w:tabs>
                <w:tab w:val="left" w:pos="561"/>
              </w:tabs>
              <w:spacing w:line="240" w:lineRule="auto"/>
              <w:ind w:left="210" w:leftChars="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eastAsia="zh-CN"/>
              </w:rPr>
            </w:pPr>
          </w:p>
        </w:tc>
        <w:tc>
          <w:tcPr>
            <w:tcW w:w="1912" w:type="dxa"/>
            <w:noWrap w:val="0"/>
            <w:vAlign w:val="center"/>
          </w:tcPr>
          <w:p>
            <w:pPr>
              <w:pStyle w:val="22"/>
              <w:spacing w:line="240" w:lineRule="auto"/>
              <w:ind w:left="96"/>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发布成交公告的</w:t>
            </w:r>
          </w:p>
          <w:p>
            <w:pPr>
              <w:pStyle w:val="22"/>
              <w:spacing w:line="240" w:lineRule="auto"/>
              <w:ind w:left="96"/>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时间、媒介和期限</w:t>
            </w:r>
          </w:p>
        </w:tc>
        <w:tc>
          <w:tcPr>
            <w:tcW w:w="6875" w:type="dxa"/>
            <w:noWrap w:val="0"/>
            <w:vAlign w:val="center"/>
          </w:tcPr>
          <w:p>
            <w:pPr>
              <w:pStyle w:val="22"/>
              <w:spacing w:line="240" w:lineRule="auto"/>
              <w:ind w:left="21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公告时间：在确定成交供应商之日起2个工作日内</w:t>
            </w:r>
          </w:p>
          <w:p>
            <w:pPr>
              <w:pStyle w:val="22"/>
              <w:spacing w:line="240" w:lineRule="auto"/>
              <w:ind w:left="21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公告媒介：陕西省政府采购网</w:t>
            </w:r>
          </w:p>
          <w:p>
            <w:pPr>
              <w:pStyle w:val="22"/>
              <w:spacing w:line="240" w:lineRule="auto"/>
              <w:ind w:left="210" w:leftChars="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4"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en-US" w:eastAsia="zh-CN"/>
              </w:rPr>
            </w:pPr>
          </w:p>
        </w:tc>
        <w:tc>
          <w:tcPr>
            <w:tcW w:w="1912" w:type="dxa"/>
            <w:noWrap w:val="0"/>
            <w:vAlign w:val="center"/>
          </w:tcPr>
          <w:p>
            <w:pPr>
              <w:pStyle w:val="22"/>
              <w:spacing w:line="400" w:lineRule="exact"/>
              <w:ind w:left="96" w:lef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履约保证金</w:t>
            </w:r>
          </w:p>
        </w:tc>
        <w:tc>
          <w:tcPr>
            <w:tcW w:w="6875" w:type="dxa"/>
            <w:noWrap w:val="0"/>
            <w:vAlign w:val="center"/>
          </w:tcPr>
          <w:p>
            <w:pPr>
              <w:pStyle w:val="22"/>
              <w:spacing w:line="240" w:lineRule="auto"/>
              <w:ind w:left="634" w:leftChars="102" w:hanging="420" w:hanging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是否要求成交供应商提交履约保证金：</w:t>
            </w:r>
          </w:p>
          <w:p>
            <w:pPr>
              <w:pStyle w:val="22"/>
              <w:spacing w:line="240" w:lineRule="auto"/>
              <w:ind w:left="21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sz w:val="21"/>
                <w:szCs w:val="21"/>
                <w:highlight w:val="none"/>
                <w:lang w:val="zh-CN"/>
              </w:rPr>
              <w:t>要求：</w:t>
            </w:r>
          </w:p>
          <w:p>
            <w:pPr>
              <w:pStyle w:val="22"/>
              <w:spacing w:line="240" w:lineRule="auto"/>
              <w:ind w:left="634" w:leftChars="102" w:hanging="420" w:hanging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 xml:space="preserve">  履约保证金的金额：￥</w:t>
            </w:r>
            <w:r>
              <w:rPr>
                <w:rFonts w:hint="default" w:ascii="Times New Roman" w:hAnsi="Times New Roman" w:eastAsia="宋体" w:cs="Times New Roman"/>
                <w:color w:val="auto"/>
                <w:sz w:val="21"/>
                <w:szCs w:val="21"/>
                <w:highlight w:val="none"/>
                <w:u w:val="single"/>
                <w:lang w:val="zh-CN"/>
              </w:rPr>
              <w:t xml:space="preserve">           </w:t>
            </w:r>
          </w:p>
          <w:p>
            <w:pPr>
              <w:pStyle w:val="22"/>
              <w:spacing w:line="240" w:lineRule="auto"/>
              <w:ind w:firstLine="420" w:firstLine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履约保证金的形式：可采取银行转账或履约担保方式提交</w:t>
            </w:r>
          </w:p>
          <w:p>
            <w:pPr>
              <w:pStyle w:val="22"/>
              <w:spacing w:line="240" w:lineRule="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 xml:space="preserve">  </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zh-CN"/>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rPr>
            </w:pPr>
          </w:p>
        </w:tc>
        <w:tc>
          <w:tcPr>
            <w:tcW w:w="1912" w:type="dxa"/>
            <w:noWrap w:val="0"/>
            <w:vAlign w:val="center"/>
          </w:tcPr>
          <w:p>
            <w:pPr>
              <w:pStyle w:val="22"/>
              <w:spacing w:line="240" w:lineRule="auto"/>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供应商信用信息</w:t>
            </w:r>
          </w:p>
          <w:p>
            <w:pPr>
              <w:pStyle w:val="22"/>
              <w:spacing w:line="240" w:lineRule="auto"/>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查询截至时点</w:t>
            </w:r>
          </w:p>
        </w:tc>
        <w:tc>
          <w:tcPr>
            <w:tcW w:w="6875" w:type="dxa"/>
            <w:noWrap w:val="0"/>
            <w:vAlign w:val="center"/>
          </w:tcPr>
          <w:p>
            <w:pPr>
              <w:spacing w:line="240" w:lineRule="auto"/>
              <w:ind w:left="210" w:right="105" w:rightChars="5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磋商公告期限截至日至今，由采购人和采购代理机构共同查询。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rPr>
            </w:pPr>
          </w:p>
        </w:tc>
        <w:tc>
          <w:tcPr>
            <w:tcW w:w="1912" w:type="dxa"/>
            <w:noWrap w:val="0"/>
            <w:vAlign w:val="center"/>
          </w:tcPr>
          <w:p>
            <w:pPr>
              <w:pStyle w:val="22"/>
              <w:spacing w:line="240" w:lineRule="auto"/>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资格审查时是否</w:t>
            </w:r>
          </w:p>
          <w:p>
            <w:pPr>
              <w:pStyle w:val="22"/>
              <w:spacing w:line="240" w:lineRule="auto"/>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核验证件</w:t>
            </w:r>
          </w:p>
        </w:tc>
        <w:tc>
          <w:tcPr>
            <w:tcW w:w="6875" w:type="dxa"/>
            <w:noWrap w:val="0"/>
            <w:vAlign w:val="center"/>
          </w:tcPr>
          <w:p>
            <w:pPr>
              <w:pStyle w:val="22"/>
              <w:spacing w:line="240" w:lineRule="auto"/>
              <w:ind w:right="105" w:rightChars="50" w:firstLine="210" w:firstLineChars="10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sz w:val="21"/>
                <w:szCs w:val="21"/>
                <w:highlight w:val="none"/>
              </w:rPr>
              <w:t>□需要，核验要求：</w:t>
            </w:r>
          </w:p>
          <w:p>
            <w:pPr>
              <w:pStyle w:val="22"/>
              <w:spacing w:line="240" w:lineRule="auto"/>
              <w:ind w:right="105" w:rightChars="50" w:firstLine="210" w:firstLineChars="10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kern w:val="2"/>
                <w:sz w:val="21"/>
                <w:szCs w:val="21"/>
                <w:highlight w:val="none"/>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rPr>
            </w:pPr>
          </w:p>
        </w:tc>
        <w:tc>
          <w:tcPr>
            <w:tcW w:w="1912" w:type="dxa"/>
            <w:noWrap w:val="0"/>
            <w:vAlign w:val="center"/>
          </w:tcPr>
          <w:p>
            <w:pPr>
              <w:pStyle w:val="22"/>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开启响应文件现场是否演示与陈述响应文件</w:t>
            </w:r>
          </w:p>
        </w:tc>
        <w:tc>
          <w:tcPr>
            <w:tcW w:w="6875" w:type="dxa"/>
            <w:noWrap w:val="0"/>
            <w:vAlign w:val="center"/>
          </w:tcPr>
          <w:p>
            <w:pPr>
              <w:pStyle w:val="22"/>
              <w:spacing w:line="240" w:lineRule="auto"/>
              <w:ind w:right="105" w:rightChars="50" w:firstLine="210" w:firstLineChars="100"/>
              <w:rPr>
                <w:rFonts w:hint="default" w:ascii="Times New Roman" w:hAnsi="Times New Roman" w:eastAsia="宋体" w:cs="Times New Roman"/>
                <w:color w:val="auto"/>
                <w:kern w:val="2"/>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需要</w:t>
            </w:r>
            <w:r>
              <w:rPr>
                <w:rFonts w:hint="default" w:ascii="Times New Roman" w:hAnsi="Times New Roman" w:eastAsia="宋体" w:cs="Times New Roman"/>
                <w:color w:val="auto"/>
                <w:sz w:val="21"/>
                <w:szCs w:val="21"/>
                <w:highlight w:val="none"/>
                <w:lang w:eastAsia="zh-CN"/>
              </w:rPr>
              <w:t>，演示与述标要求：</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w:t>
            </w:r>
          </w:p>
          <w:p>
            <w:pPr>
              <w:spacing w:line="320" w:lineRule="exact"/>
              <w:ind w:right="105" w:rightChars="50" w:firstLine="210" w:firstLineChars="1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kern w:val="2"/>
                <w:sz w:val="21"/>
                <w:szCs w:val="21"/>
                <w:highlight w:val="none"/>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zh-CN" w:eastAsia="zh-CN"/>
              </w:rPr>
            </w:pPr>
          </w:p>
        </w:tc>
        <w:tc>
          <w:tcPr>
            <w:tcW w:w="1912" w:type="dxa"/>
            <w:noWrap w:val="0"/>
            <w:vAlign w:val="center"/>
          </w:tcPr>
          <w:p>
            <w:pPr>
              <w:pStyle w:val="22"/>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开启响应文件现场</w:t>
            </w:r>
          </w:p>
          <w:p>
            <w:pPr>
              <w:pStyle w:val="22"/>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是否提供样品</w:t>
            </w:r>
          </w:p>
        </w:tc>
        <w:tc>
          <w:tcPr>
            <w:tcW w:w="6875" w:type="dxa"/>
            <w:noWrap w:val="0"/>
            <w:vAlign w:val="center"/>
          </w:tcPr>
          <w:p>
            <w:pPr>
              <w:pStyle w:val="22"/>
              <w:spacing w:line="240" w:lineRule="auto"/>
              <w:ind w:right="105" w:rightChars="50" w:firstLine="210" w:firstLineChars="10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sz w:val="21"/>
                <w:szCs w:val="21"/>
                <w:highlight w:val="none"/>
              </w:rPr>
              <w:sym w:font="Wingdings 2" w:char="00A3"/>
            </w:r>
            <w:r>
              <w:rPr>
                <w:rFonts w:hint="default" w:ascii="Times New Roman" w:hAnsi="Times New Roman" w:eastAsia="宋体" w:cs="Times New Roman"/>
                <w:color w:val="auto"/>
                <w:sz w:val="21"/>
                <w:szCs w:val="21"/>
                <w:highlight w:val="none"/>
              </w:rPr>
              <w:t>需要</w:t>
            </w:r>
          </w:p>
          <w:p>
            <w:pPr>
              <w:spacing w:line="320" w:lineRule="exact"/>
              <w:ind w:right="105" w:rightChars="50" w:firstLine="210" w:firstLineChars="1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kern w:val="2"/>
                <w:sz w:val="21"/>
                <w:szCs w:val="21"/>
                <w:highlight w:val="none"/>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714" w:type="dxa"/>
            <w:noWrap w:val="0"/>
            <w:vAlign w:val="center"/>
          </w:tcPr>
          <w:p>
            <w:pPr>
              <w:pStyle w:val="22"/>
              <w:numPr>
                <w:ilvl w:val="0"/>
                <w:numId w:val="1"/>
              </w:numPr>
              <w:spacing w:line="240" w:lineRule="auto"/>
              <w:ind w:left="425" w:leftChars="0" w:hanging="425" w:firstLineChars="0"/>
              <w:jc w:val="center"/>
              <w:rPr>
                <w:rFonts w:hint="default" w:ascii="Times New Roman" w:hAnsi="Times New Roman" w:eastAsia="宋体" w:cs="Times New Roman"/>
                <w:color w:val="auto"/>
                <w:sz w:val="21"/>
                <w:szCs w:val="21"/>
                <w:highlight w:val="none"/>
                <w:lang w:val="en-US" w:eastAsia="zh-CN"/>
              </w:rPr>
            </w:pPr>
          </w:p>
        </w:tc>
        <w:tc>
          <w:tcPr>
            <w:tcW w:w="1912" w:type="dxa"/>
            <w:noWrap w:val="0"/>
            <w:vAlign w:val="center"/>
          </w:tcPr>
          <w:p>
            <w:pPr>
              <w:pStyle w:val="22"/>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sz w:val="21"/>
                <w:szCs w:val="21"/>
                <w:highlight w:val="none"/>
                <w:lang w:val="zh-CN"/>
              </w:rPr>
              <w:t>其他</w:t>
            </w:r>
          </w:p>
        </w:tc>
        <w:tc>
          <w:tcPr>
            <w:tcW w:w="6875" w:type="dxa"/>
            <w:noWrap w:val="0"/>
            <w:vAlign w:val="center"/>
          </w:tcPr>
          <w:p>
            <w:pPr>
              <w:spacing w:line="340" w:lineRule="exact"/>
              <w:ind w:left="277" w:leftChars="132" w:right="105" w:rightChars="50" w:firstLine="2" w:firstLineChars="1"/>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000000"/>
                <w:szCs w:val="21"/>
                <w:highlight w:val="none"/>
              </w:rPr>
              <w:t>请各潜在</w:t>
            </w:r>
            <w:r>
              <w:rPr>
                <w:rFonts w:hint="default" w:ascii="Times New Roman" w:hAnsi="Times New Roman" w:eastAsia="宋体" w:cs="Times New Roman"/>
                <w:color w:val="000000"/>
                <w:szCs w:val="21"/>
                <w:highlight w:val="none"/>
                <w:lang w:eastAsia="zh-CN"/>
              </w:rPr>
              <w:t>供应商</w:t>
            </w:r>
            <w:r>
              <w:rPr>
                <w:rFonts w:hint="default" w:ascii="Times New Roman" w:hAnsi="Times New Roman" w:eastAsia="宋体" w:cs="Times New Roman"/>
                <w:color w:val="000000"/>
                <w:szCs w:val="21"/>
                <w:highlight w:val="none"/>
              </w:rPr>
              <w:t>悉知《西安市财政局关于促进政府采购公平竞争优化营商环境的通知》第16条 供应商登记免费领取采购文件的，如不参与项目投标，应在递交投标（或相应）文件截止时间前一日以书面形式告知采购代理机构。否则，采购代理机构可以向财政部门反映情况并提供相应的佐证。供应商一年内累计出现三次该情形，将被监管部门记录为失信行为。</w:t>
            </w:r>
          </w:p>
        </w:tc>
      </w:tr>
    </w:tbl>
    <w:p>
      <w:pPr>
        <w:pStyle w:val="3"/>
        <w:spacing w:before="0" w:after="120" w:afterLines="50" w:line="360" w:lineRule="auto"/>
        <w:rPr>
          <w:rFonts w:hint="default" w:ascii="Times New Roman" w:hAnsi="Times New Roman" w:cs="Times New Roman"/>
          <w:bCs/>
          <w:color w:val="auto"/>
          <w:sz w:val="32"/>
          <w:szCs w:val="32"/>
          <w:highlight w:val="none"/>
        </w:rPr>
      </w:pPr>
      <w:r>
        <w:rPr>
          <w:rFonts w:hint="default" w:ascii="Times New Roman" w:hAnsi="Times New Roman" w:cs="Times New Roman"/>
          <w:b/>
          <w:bCs w:val="0"/>
          <w:color w:val="auto"/>
          <w:highlight w:val="none"/>
        </w:rPr>
        <w:br w:type="page"/>
      </w:r>
      <w:bookmarkEnd w:id="7"/>
      <w:bookmarkEnd w:id="8"/>
      <w:bookmarkEnd w:id="9"/>
      <w:bookmarkEnd w:id="10"/>
      <w:bookmarkEnd w:id="12"/>
      <w:bookmarkEnd w:id="13"/>
      <w:bookmarkEnd w:id="15"/>
      <w:bookmarkEnd w:id="16"/>
      <w:bookmarkEnd w:id="17"/>
      <w:bookmarkEnd w:id="18"/>
      <w:bookmarkEnd w:id="19"/>
      <w:bookmarkEnd w:id="20"/>
      <w:bookmarkStart w:id="21" w:name="_Toc217446033"/>
      <w:bookmarkStart w:id="22" w:name="_Toc77400778"/>
      <w:bookmarkStart w:id="23" w:name="_Toc183582204"/>
      <w:bookmarkStart w:id="24" w:name="_Toc16440"/>
      <w:bookmarkStart w:id="25" w:name="_Toc183682341"/>
      <w:bookmarkStart w:id="26" w:name="_Toc89075873"/>
      <w:bookmarkStart w:id="27" w:name="_Toc217446034"/>
      <w:bookmarkStart w:id="28" w:name="_Toc183582205"/>
      <w:bookmarkStart w:id="29" w:name="_Toc183682342"/>
      <w:r>
        <w:rPr>
          <w:rFonts w:hint="default" w:ascii="Times New Roman" w:hAnsi="Times New Roman" w:cs="Times New Roman"/>
          <w:bCs/>
          <w:color w:val="auto"/>
          <w:sz w:val="32"/>
          <w:szCs w:val="32"/>
          <w:highlight w:val="none"/>
        </w:rPr>
        <w:t>1.总则</w:t>
      </w:r>
      <w:bookmarkEnd w:id="21"/>
      <w:bookmarkEnd w:id="22"/>
      <w:bookmarkEnd w:id="23"/>
      <w:bookmarkEnd w:id="24"/>
      <w:bookmarkEnd w:id="25"/>
      <w:bookmarkEnd w:id="26"/>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bCs/>
          <w:color w:val="auto"/>
          <w:sz w:val="30"/>
          <w:szCs w:val="30"/>
          <w:highlight w:val="none"/>
        </w:rPr>
      </w:pPr>
      <w:bookmarkStart w:id="30" w:name="_Toc22182"/>
      <w:r>
        <w:rPr>
          <w:rFonts w:hint="default" w:ascii="Times New Roman" w:hAnsi="Times New Roman" w:eastAsia="宋体" w:cs="Times New Roman"/>
          <w:color w:val="auto"/>
          <w:sz w:val="30"/>
          <w:szCs w:val="30"/>
          <w:highlight w:val="none"/>
        </w:rPr>
        <w:t>1.1适用范围</w:t>
      </w:r>
      <w:bookmarkEnd w:id="30"/>
    </w:p>
    <w:p>
      <w:pPr>
        <w:tabs>
          <w:tab w:val="left" w:pos="766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1.1.1本竞争性磋商文件仅适用于本次竞争性磋商（以下简称磋商）所叙述的</w:t>
      </w:r>
      <w:r>
        <w:rPr>
          <w:rFonts w:hint="eastAsia" w:cs="Times New Roman"/>
          <w:color w:val="auto"/>
          <w:szCs w:val="21"/>
          <w:highlight w:val="none"/>
          <w:lang w:eastAsia="zh-CN"/>
        </w:rPr>
        <w:t>货物</w:t>
      </w:r>
      <w:bookmarkStart w:id="137" w:name="_GoBack"/>
      <w:bookmarkEnd w:id="137"/>
      <w:r>
        <w:rPr>
          <w:rFonts w:hint="default" w:ascii="Times New Roman" w:hAnsi="Times New Roman" w:cs="Times New Roman"/>
          <w:color w:val="auto"/>
          <w:szCs w:val="21"/>
          <w:highlight w:val="none"/>
        </w:rPr>
        <w:t>项目采购活动。</w:t>
      </w:r>
    </w:p>
    <w:p>
      <w:pPr>
        <w:tabs>
          <w:tab w:val="left" w:pos="766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1.1.2本采购项目</w:t>
      </w:r>
      <w:r>
        <w:rPr>
          <w:rFonts w:hint="default" w:ascii="Times New Roman" w:hAnsi="Times New Roman" w:cs="Times New Roman"/>
          <w:color w:val="auto"/>
          <w:szCs w:val="21"/>
          <w:highlight w:val="none"/>
          <w:lang w:val="en-US" w:eastAsia="zh-CN"/>
        </w:rPr>
        <w:t>非</w:t>
      </w:r>
      <w:r>
        <w:rPr>
          <w:rFonts w:hint="default" w:ascii="Times New Roman" w:hAnsi="Times New Roman" w:cs="Times New Roman"/>
          <w:color w:val="auto"/>
          <w:szCs w:val="21"/>
          <w:highlight w:val="none"/>
        </w:rPr>
        <w:t>专门面向</w:t>
      </w:r>
      <w:r>
        <w:rPr>
          <w:rFonts w:hint="default" w:ascii="Times New Roman" w:hAnsi="Times New Roman" w:cs="Times New Roman"/>
          <w:color w:val="auto"/>
          <w:szCs w:val="21"/>
          <w:highlight w:val="none"/>
          <w:lang w:eastAsia="zh-CN"/>
        </w:rPr>
        <w:t>小微</w:t>
      </w:r>
      <w:r>
        <w:rPr>
          <w:rFonts w:hint="default" w:ascii="Times New Roman" w:hAnsi="Times New Roman" w:cs="Times New Roman"/>
          <w:color w:val="auto"/>
          <w:szCs w:val="21"/>
          <w:highlight w:val="none"/>
        </w:rPr>
        <w:t>企业采购。</w:t>
      </w:r>
    </w:p>
    <w:p>
      <w:pPr>
        <w:tabs>
          <w:tab w:val="left" w:pos="7665"/>
        </w:tabs>
        <w:spacing w:before="120" w:beforeLines="50" w:after="120" w:afterLines="50" w:line="360" w:lineRule="auto"/>
        <w:ind w:firstLine="1"/>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1.2名词解释</w:t>
      </w:r>
    </w:p>
    <w:p>
      <w:pPr>
        <w:adjustRightInd w:val="0"/>
        <w:snapToGrid w:val="0"/>
        <w:spacing w:before="120" w:beforeLines="50" w:line="360" w:lineRule="auto"/>
        <w:ind w:firstLine="420" w:firstLineChars="200"/>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1.2.1</w:t>
      </w:r>
      <w:r>
        <w:rPr>
          <w:rFonts w:hint="default" w:ascii="Times New Roman" w:hAnsi="Times New Roman" w:cs="Times New Roman"/>
          <w:b/>
          <w:color w:val="auto"/>
          <w:szCs w:val="21"/>
          <w:highlight w:val="none"/>
        </w:rPr>
        <w:t>采购人</w:t>
      </w:r>
      <w:r>
        <w:rPr>
          <w:rFonts w:hint="default" w:ascii="Times New Roman" w:hAnsi="Times New Roman" w:cs="Times New Roman"/>
          <w:b/>
          <w:color w:val="auto"/>
          <w:szCs w:val="21"/>
          <w:highlight w:val="none"/>
          <w:lang w:eastAsia="zh-CN"/>
        </w:rPr>
        <w:t>：</w:t>
      </w:r>
      <w:r>
        <w:rPr>
          <w:rFonts w:hint="default" w:ascii="Times New Roman" w:hAnsi="Times New Roman" w:cs="Times New Roman"/>
          <w:color w:val="auto"/>
          <w:kern w:val="0"/>
          <w:sz w:val="21"/>
          <w:szCs w:val="21"/>
          <w:highlight w:val="none"/>
          <w:lang w:val="en-US" w:eastAsia="zh-CN"/>
        </w:rPr>
        <w:t>西安高新技术产业开发区教育局（西安高新区第五十</w:t>
      </w:r>
      <w:r>
        <w:rPr>
          <w:rFonts w:hint="eastAsia" w:ascii="Times New Roman" w:hAnsi="Times New Roman" w:cs="Times New Roman"/>
          <w:color w:val="auto"/>
          <w:kern w:val="0"/>
          <w:sz w:val="21"/>
          <w:szCs w:val="21"/>
          <w:highlight w:val="none"/>
          <w:lang w:val="en-US" w:eastAsia="zh-CN"/>
        </w:rPr>
        <w:t>七</w:t>
      </w:r>
      <w:r>
        <w:rPr>
          <w:rFonts w:hint="default" w:ascii="Times New Roman" w:hAnsi="Times New Roman" w:cs="Times New Roman"/>
          <w:color w:val="auto"/>
          <w:kern w:val="0"/>
          <w:sz w:val="21"/>
          <w:szCs w:val="21"/>
          <w:highlight w:val="none"/>
          <w:lang w:val="en-US" w:eastAsia="zh-CN"/>
        </w:rPr>
        <w:t>幼儿园）</w:t>
      </w:r>
      <w:r>
        <w:rPr>
          <w:rFonts w:hint="default" w:ascii="Times New Roman" w:hAnsi="Times New Roman" w:eastAsia="宋体" w:cs="Times New Roman"/>
          <w:color w:val="auto"/>
          <w:szCs w:val="21"/>
          <w:highlight w:val="none"/>
        </w:rPr>
        <w:t xml:space="preserve"> </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lang w:val="zh-CN"/>
        </w:rPr>
      </w:pPr>
      <w:r>
        <w:rPr>
          <w:rFonts w:hint="default" w:ascii="Times New Roman" w:hAnsi="Times New Roman" w:cs="Times New Roman"/>
          <w:color w:val="auto"/>
          <w:szCs w:val="21"/>
          <w:highlight w:val="none"/>
        </w:rPr>
        <w:t>1.2.2</w:t>
      </w:r>
      <w:r>
        <w:rPr>
          <w:rFonts w:hint="default" w:ascii="Times New Roman" w:hAnsi="Times New Roman" w:cs="Times New Roman"/>
          <w:b/>
          <w:color w:val="auto"/>
          <w:szCs w:val="21"/>
          <w:highlight w:val="none"/>
        </w:rPr>
        <w:t>监督机构</w:t>
      </w:r>
      <w:r>
        <w:rPr>
          <w:rFonts w:hint="default" w:ascii="Times New Roman" w:hAnsi="Times New Roman" w:cs="Times New Roman"/>
          <w:b/>
          <w:color w:val="auto"/>
          <w:szCs w:val="21"/>
          <w:highlight w:val="none"/>
          <w:lang w:eastAsia="zh-CN"/>
        </w:rPr>
        <w:t>：</w:t>
      </w:r>
      <w:r>
        <w:rPr>
          <w:rFonts w:hint="default" w:ascii="Times New Roman" w:hAnsi="Times New Roman" w:cs="Times New Roman"/>
          <w:b w:val="0"/>
          <w:bCs/>
          <w:color w:val="auto"/>
          <w:szCs w:val="21"/>
          <w:highlight w:val="none"/>
          <w:lang w:val="zh-CN" w:eastAsia="zh-CN"/>
        </w:rPr>
        <w:t>西安高新技术产业开发区</w:t>
      </w:r>
      <w:r>
        <w:rPr>
          <w:rFonts w:hint="default" w:ascii="Times New Roman" w:hAnsi="Times New Roman" w:eastAsia="宋体" w:cs="Times New Roman"/>
          <w:color w:val="auto"/>
          <w:sz w:val="21"/>
          <w:szCs w:val="21"/>
          <w:highlight w:val="none"/>
          <w:lang w:val="zh-CN"/>
        </w:rPr>
        <w:t>财政</w:t>
      </w:r>
      <w:r>
        <w:rPr>
          <w:rFonts w:hint="default" w:ascii="Times New Roman" w:hAnsi="Times New Roman" w:cs="Times New Roman"/>
          <w:color w:val="auto"/>
          <w:sz w:val="21"/>
          <w:szCs w:val="21"/>
          <w:highlight w:val="none"/>
          <w:lang w:val="zh-CN"/>
        </w:rPr>
        <w:t>金融</w:t>
      </w:r>
      <w:r>
        <w:rPr>
          <w:rFonts w:hint="default" w:ascii="Times New Roman" w:hAnsi="Times New Roman" w:eastAsia="宋体" w:cs="Times New Roman"/>
          <w:color w:val="auto"/>
          <w:sz w:val="21"/>
          <w:szCs w:val="21"/>
          <w:highlight w:val="none"/>
          <w:lang w:val="zh-CN"/>
        </w:rPr>
        <w:t>局</w:t>
      </w:r>
    </w:p>
    <w:p>
      <w:pPr>
        <w:adjustRightInd w:val="0"/>
        <w:snapToGrid w:val="0"/>
        <w:spacing w:line="360" w:lineRule="auto"/>
        <w:ind w:firstLine="420" w:firstLineChars="200"/>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1.2.3</w:t>
      </w:r>
      <w:r>
        <w:rPr>
          <w:rFonts w:hint="default" w:ascii="Times New Roman" w:hAnsi="Times New Roman" w:cs="Times New Roman"/>
          <w:b/>
          <w:color w:val="auto"/>
          <w:szCs w:val="21"/>
          <w:highlight w:val="none"/>
        </w:rPr>
        <w:t>采购代理机构</w:t>
      </w:r>
      <w:r>
        <w:rPr>
          <w:rFonts w:hint="default" w:ascii="Times New Roman" w:hAnsi="Times New Roman" w:cs="Times New Roman"/>
          <w:b/>
          <w:color w:val="auto"/>
          <w:szCs w:val="21"/>
          <w:highlight w:val="none"/>
          <w:lang w:eastAsia="zh-CN"/>
        </w:rPr>
        <w:t>：</w:t>
      </w:r>
      <w:r>
        <w:rPr>
          <w:rFonts w:hint="default" w:ascii="Times New Roman" w:hAnsi="Times New Roman" w:cs="Times New Roman"/>
          <w:b w:val="0"/>
          <w:bCs/>
          <w:color w:val="auto"/>
          <w:szCs w:val="21"/>
          <w:highlight w:val="none"/>
          <w:lang w:eastAsia="zh-CN"/>
        </w:rPr>
        <w:t>正大鹏安建设项目管理有限公司</w:t>
      </w:r>
    </w:p>
    <w:p>
      <w:pPr>
        <w:tabs>
          <w:tab w:val="left" w:pos="766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1.2.4 </w:t>
      </w:r>
      <w:r>
        <w:rPr>
          <w:rFonts w:hint="default" w:ascii="Times New Roman" w:hAnsi="Times New Roman" w:cs="Times New Roman"/>
          <w:b/>
          <w:color w:val="auto"/>
          <w:szCs w:val="21"/>
          <w:highlight w:val="none"/>
        </w:rPr>
        <w:t>供应商</w:t>
      </w:r>
      <w:r>
        <w:rPr>
          <w:rFonts w:hint="default" w:ascii="Times New Roman" w:hAnsi="Times New Roman" w:cs="Times New Roman"/>
          <w:color w:val="auto"/>
          <w:szCs w:val="21"/>
          <w:highlight w:val="none"/>
        </w:rPr>
        <w:t>是指响应和符合竞争性磋商文件（以下简称磋商文件）规定资格条件且参与磋商竞争的法人或其他组织或个人。</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1.2.5 </w:t>
      </w:r>
      <w:r>
        <w:rPr>
          <w:rFonts w:hint="default" w:ascii="Times New Roman" w:hAnsi="Times New Roman" w:cs="Times New Roman"/>
          <w:b/>
          <w:color w:val="auto"/>
          <w:szCs w:val="21"/>
          <w:highlight w:val="none"/>
        </w:rPr>
        <w:t>货物</w:t>
      </w:r>
      <w:r>
        <w:rPr>
          <w:rFonts w:hint="default" w:ascii="Times New Roman" w:hAnsi="Times New Roman" w:cs="Times New Roman"/>
          <w:color w:val="auto"/>
          <w:szCs w:val="21"/>
          <w:highlight w:val="none"/>
        </w:rPr>
        <w:t>是指本磋商文件中第四章所述所有货物。</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1.2.6 </w:t>
      </w:r>
      <w:r>
        <w:rPr>
          <w:rFonts w:hint="default" w:ascii="Times New Roman" w:hAnsi="Times New Roman" w:cs="Times New Roman"/>
          <w:b/>
          <w:color w:val="auto"/>
          <w:szCs w:val="21"/>
          <w:highlight w:val="none"/>
        </w:rPr>
        <w:t>服务</w:t>
      </w:r>
      <w:r>
        <w:rPr>
          <w:rFonts w:hint="default" w:ascii="Times New Roman" w:hAnsi="Times New Roman" w:cs="Times New Roman"/>
          <w:color w:val="auto"/>
          <w:szCs w:val="21"/>
          <w:highlight w:val="none"/>
        </w:rPr>
        <w:t>是指人为满足磋商文件要求而提供的服务。</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1.2.7 </w:t>
      </w:r>
      <w:r>
        <w:rPr>
          <w:rFonts w:hint="default" w:ascii="Times New Roman" w:hAnsi="Times New Roman" w:cs="Times New Roman"/>
          <w:b/>
          <w:color w:val="auto"/>
          <w:szCs w:val="21"/>
          <w:highlight w:val="none"/>
        </w:rPr>
        <w:t>节能产品</w:t>
      </w:r>
      <w:r>
        <w:rPr>
          <w:rFonts w:hint="default" w:ascii="Times New Roman" w:hAnsi="Times New Roman" w:cs="Times New Roman"/>
          <w:color w:val="auto"/>
          <w:szCs w:val="21"/>
          <w:highlight w:val="none"/>
        </w:rPr>
        <w:t>指财政部、发展改革委、生态环境部等部门发布的《节能产品品目清单》中的产品。</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1.2.8 </w:t>
      </w:r>
      <w:r>
        <w:rPr>
          <w:rFonts w:hint="default" w:ascii="Times New Roman" w:hAnsi="Times New Roman" w:cs="Times New Roman"/>
          <w:b/>
          <w:color w:val="auto"/>
          <w:szCs w:val="21"/>
          <w:highlight w:val="none"/>
        </w:rPr>
        <w:t>环境标志产品</w:t>
      </w:r>
      <w:r>
        <w:rPr>
          <w:rFonts w:hint="default" w:ascii="Times New Roman" w:hAnsi="Times New Roman" w:cs="Times New Roman"/>
          <w:color w:val="auto"/>
          <w:szCs w:val="21"/>
          <w:highlight w:val="none"/>
        </w:rPr>
        <w:t>是指财政部、发展改革委、生态环境部等部门发布的《环境标志产品品目清单》中的产品。</w:t>
      </w:r>
    </w:p>
    <w:p>
      <w:pPr>
        <w:adjustRightInd w:val="0"/>
        <w:snapToGrid w:val="0"/>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1.2.9 </w:t>
      </w:r>
      <w:r>
        <w:rPr>
          <w:rFonts w:hint="default" w:ascii="Times New Roman" w:hAnsi="Times New Roman" w:cs="Times New Roman"/>
          <w:b/>
          <w:color w:val="auto"/>
          <w:kern w:val="0"/>
          <w:szCs w:val="21"/>
          <w:highlight w:val="none"/>
        </w:rPr>
        <w:t>进口产品</w:t>
      </w:r>
      <w:r>
        <w:rPr>
          <w:rFonts w:hint="default" w:ascii="Times New Roman" w:hAnsi="Times New Roman" w:cs="Times New Roman"/>
          <w:color w:val="auto"/>
          <w:kern w:val="0"/>
          <w:szCs w:val="21"/>
          <w:highlight w:val="none"/>
        </w:rPr>
        <w:t>是指通过中国海关报关验放进入中国境内且产自关境外的产品，详见《关于政府采购进口产品管理有关问题的通知》(财库</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2007</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119号)。</w:t>
      </w:r>
    </w:p>
    <w:p>
      <w:pPr>
        <w:adjustRightInd w:val="0"/>
        <w:snapToGrid w:val="0"/>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1.2.10</w:t>
      </w:r>
      <w:r>
        <w:rPr>
          <w:rFonts w:hint="default" w:ascii="Times New Roman" w:hAnsi="Times New Roman" w:cs="Times New Roman"/>
          <w:b/>
          <w:color w:val="auto"/>
          <w:szCs w:val="21"/>
          <w:highlight w:val="none"/>
        </w:rPr>
        <w:t>中小企业</w:t>
      </w:r>
      <w:r>
        <w:rPr>
          <w:rFonts w:hint="default" w:ascii="Times New Roman" w:hAnsi="Times New Roman" w:cs="Times New Roman"/>
          <w:color w:val="auto"/>
          <w:kern w:val="0"/>
          <w:szCs w:val="21"/>
          <w:highlight w:val="none"/>
        </w:rPr>
        <w:t>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1.2.11 </w:t>
      </w:r>
      <w:r>
        <w:rPr>
          <w:rFonts w:hint="default" w:ascii="Times New Roman" w:hAnsi="Times New Roman" w:cs="Times New Roman"/>
          <w:b/>
          <w:color w:val="auto"/>
          <w:szCs w:val="21"/>
          <w:highlight w:val="none"/>
        </w:rPr>
        <w:t>监狱企业</w:t>
      </w:r>
      <w:r>
        <w:rPr>
          <w:rFonts w:hint="default" w:ascii="Times New Roman" w:hAnsi="Times New Roman" w:cs="Times New Roman"/>
          <w:color w:val="auto"/>
          <w:szCs w:val="21"/>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1.2.12 </w:t>
      </w:r>
      <w:r>
        <w:rPr>
          <w:rFonts w:hint="default" w:ascii="Times New Roman" w:hAnsi="Times New Roman" w:cs="Times New Roman"/>
          <w:b/>
          <w:color w:val="auto"/>
          <w:kern w:val="0"/>
          <w:szCs w:val="21"/>
          <w:highlight w:val="none"/>
        </w:rPr>
        <w:t>残疾人福利性单位</w:t>
      </w:r>
      <w:r>
        <w:rPr>
          <w:rFonts w:hint="default" w:ascii="Times New Roman" w:hAnsi="Times New Roman" w:cs="Times New Roman"/>
          <w:color w:val="auto"/>
          <w:kern w:val="0"/>
          <w:szCs w:val="21"/>
          <w:highlight w:val="none"/>
        </w:rPr>
        <w:t>是指符合</w:t>
      </w:r>
      <w:r>
        <w:rPr>
          <w:rFonts w:hint="default" w:ascii="Times New Roman" w:hAnsi="Times New Roman" w:cs="Times New Roman"/>
          <w:color w:val="auto"/>
          <w:spacing w:val="6"/>
          <w:szCs w:val="21"/>
          <w:highlight w:val="none"/>
        </w:rPr>
        <w:t>《财政部、民政部、中国残疾人联合会关于促进残疾人就业政府采购政策的通知》（财库</w:t>
      </w:r>
      <w:r>
        <w:rPr>
          <w:rFonts w:hint="default" w:ascii="Times New Roman" w:hAnsi="Times New Roman" w:cs="Times New Roman"/>
          <w:color w:val="auto"/>
          <w:szCs w:val="21"/>
          <w:highlight w:val="none"/>
        </w:rPr>
        <w:t>〔2017〕141</w:t>
      </w:r>
      <w:r>
        <w:rPr>
          <w:rFonts w:hint="default" w:ascii="Times New Roman" w:hAnsi="Times New Roman" w:cs="Times New Roman"/>
          <w:color w:val="auto"/>
          <w:spacing w:val="6"/>
          <w:szCs w:val="21"/>
          <w:highlight w:val="none"/>
        </w:rPr>
        <w:t>号）规定条件的单位。</w:t>
      </w:r>
    </w:p>
    <w:p>
      <w:pPr>
        <w:adjustRightInd w:val="0"/>
        <w:snapToGrid w:val="0"/>
        <w:spacing w:before="120" w:beforeLines="50" w:after="120" w:afterLines="50" w:line="360" w:lineRule="auto"/>
        <w:rPr>
          <w:rFonts w:hint="default" w:ascii="Times New Roman" w:hAnsi="Times New Roman" w:cs="Times New Roman"/>
          <w:b/>
          <w:color w:val="auto"/>
          <w:kern w:val="0"/>
          <w:sz w:val="30"/>
          <w:szCs w:val="30"/>
          <w:highlight w:val="none"/>
        </w:rPr>
      </w:pPr>
      <w:r>
        <w:rPr>
          <w:rFonts w:hint="default" w:ascii="Times New Roman" w:hAnsi="Times New Roman" w:cs="Times New Roman"/>
          <w:b/>
          <w:color w:val="auto"/>
          <w:sz w:val="30"/>
          <w:szCs w:val="30"/>
          <w:highlight w:val="none"/>
        </w:rPr>
        <w:t>1.3 合格的供应商</w:t>
      </w:r>
    </w:p>
    <w:p>
      <w:pPr>
        <w:tabs>
          <w:tab w:val="left" w:pos="7665"/>
        </w:tabs>
        <w:spacing w:line="360" w:lineRule="auto"/>
        <w:ind w:firstLine="411" w:firstLineChars="19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1.3.1 合格的供应商应具备以下条件：</w:t>
      </w:r>
    </w:p>
    <w:p>
      <w:pPr>
        <w:tabs>
          <w:tab w:val="left" w:pos="7665"/>
        </w:tabs>
        <w:spacing w:line="360" w:lineRule="auto"/>
        <w:ind w:firstLine="420" w:firstLineChars="200"/>
        <w:rPr>
          <w:rFonts w:hint="default" w:ascii="Times New Roman" w:hAnsi="Times New Roman" w:cs="Times New Roman"/>
          <w:color w:val="auto"/>
          <w:spacing w:val="-4"/>
          <w:szCs w:val="21"/>
          <w:highlight w:val="none"/>
        </w:rPr>
      </w:pPr>
      <w:r>
        <w:rPr>
          <w:rFonts w:hint="default" w:ascii="Times New Roman" w:hAnsi="Times New Roman" w:cs="Times New Roman"/>
          <w:color w:val="auto"/>
          <w:szCs w:val="21"/>
          <w:highlight w:val="none"/>
        </w:rPr>
        <w:t>（1）具备且满足磋商文件规定的供应商资格条件</w:t>
      </w:r>
      <w:r>
        <w:rPr>
          <w:rFonts w:hint="default" w:ascii="Times New Roman" w:hAnsi="Times New Roman" w:cs="Times New Roman"/>
          <w:color w:val="auto"/>
          <w:spacing w:val="-4"/>
          <w:szCs w:val="21"/>
          <w:highlight w:val="none"/>
        </w:rPr>
        <w:t>；</w:t>
      </w:r>
    </w:p>
    <w:p>
      <w:pPr>
        <w:tabs>
          <w:tab w:val="left" w:pos="766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（2）从采购代理机构获取了磋商文件；</w:t>
      </w:r>
    </w:p>
    <w:p>
      <w:pPr>
        <w:tabs>
          <w:tab w:val="left" w:pos="766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（3）向采购代理机构交纳了磋商保证金（仅限供应商须知前附表要求供应商提交保证金的）；</w:t>
      </w:r>
    </w:p>
    <w:p>
      <w:pPr>
        <w:tabs>
          <w:tab w:val="left" w:pos="766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（4）遵守国家和地方有关的法律法规、规章和规范性文件要求。</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1.3.2 供应商不得存在下列情形之一：</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（l）与采购人、采购代理机构存在</w:t>
      </w:r>
      <w:r>
        <w:rPr>
          <w:rFonts w:hint="default" w:ascii="Times New Roman" w:hAnsi="Times New Roman" w:cs="Times New Roman"/>
          <w:bCs/>
          <w:color w:val="auto"/>
          <w:szCs w:val="21"/>
          <w:highlight w:val="none"/>
        </w:rPr>
        <w:t>隶属关系或者其他利害关系，且可能影响磋商公正性；</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（2）与本采购项目其他供应商的法定代表人（或者负责人）为同一人；</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（3）与本采购项目其他供应商存在控股、管理关系；</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（4）为本项目采购代理机构；</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（5）为本项目代理磋商的为其采购代理机构；</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（6）为本项目提供整体设计、规范编制或者项目管理、监理、检测、咨询服务；</w:t>
      </w:r>
    </w:p>
    <w:p>
      <w:pPr>
        <w:adjustRightInd w:val="0"/>
        <w:snapToGrid w:val="0"/>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（7）</w:t>
      </w:r>
      <w:r>
        <w:rPr>
          <w:rFonts w:hint="default" w:ascii="Times New Roman" w:hAnsi="Times New Roman" w:cs="Times New Roman"/>
          <w:bCs/>
          <w:color w:val="auto"/>
          <w:szCs w:val="21"/>
          <w:highlight w:val="none"/>
        </w:rPr>
        <w:t>受到刑事处罚；</w:t>
      </w:r>
    </w:p>
    <w:p>
      <w:pPr>
        <w:adjustRightInd w:val="0"/>
        <w:snapToGrid w:val="0"/>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（8）受到财政部门5万元以上数额罚款的行政处罚或其他行政部门较大数额罚款的行政处罚（举行听证会的）；</w:t>
      </w:r>
    </w:p>
    <w:p>
      <w:pPr>
        <w:adjustRightInd w:val="0"/>
        <w:snapToGrid w:val="0"/>
        <w:spacing w:line="360" w:lineRule="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 xml:space="preserve">    （9）被责令停产停业、暂扣或者吊销许可证、暂扣或者吊销执照的行政处罚；</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（10）</w:t>
      </w:r>
      <w:r>
        <w:rPr>
          <w:rFonts w:hint="default" w:ascii="Times New Roman" w:hAnsi="Times New Roman" w:cs="Times New Roman"/>
          <w:color w:val="auto"/>
          <w:szCs w:val="21"/>
          <w:highlight w:val="none"/>
        </w:rPr>
        <w:t>被列入失信被执行人名单；</w:t>
      </w:r>
    </w:p>
    <w:p>
      <w:pPr>
        <w:adjustRightInd w:val="0"/>
        <w:snapToGrid w:val="0"/>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（11）被列入重大税收违法案件当事人名单；</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（12）被禁止在一至三年内参加政府采购活动或存在</w:t>
      </w:r>
      <w:r>
        <w:rPr>
          <w:rFonts w:hint="default" w:ascii="Times New Roman" w:hAnsi="Times New Roman" w:cs="Times New Roman"/>
          <w:color w:val="auto"/>
          <w:szCs w:val="21"/>
          <w:highlight w:val="none"/>
        </w:rPr>
        <w:t>财政部门认定的其他重大违法记录；</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（13）法律法规规定的其他情形。</w:t>
      </w:r>
    </w:p>
    <w:p>
      <w:pPr>
        <w:adjustRightInd w:val="0"/>
        <w:snapToGrid w:val="0"/>
        <w:spacing w:before="120" w:beforeLines="50" w:after="120" w:afterLines="50" w:line="360" w:lineRule="auto"/>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1.4 合格的</w:t>
      </w:r>
      <w:r>
        <w:rPr>
          <w:rFonts w:hint="eastAsia" w:ascii="Times New Roman" w:hAnsi="Times New Roman" w:cs="Times New Roman"/>
          <w:b/>
          <w:bCs/>
          <w:color w:val="auto"/>
          <w:sz w:val="30"/>
          <w:szCs w:val="30"/>
          <w:highlight w:val="none"/>
          <w:lang w:val="en-US" w:eastAsia="zh-CN"/>
        </w:rPr>
        <w:t>货物或</w:t>
      </w:r>
      <w:r>
        <w:rPr>
          <w:rFonts w:hint="default" w:ascii="Times New Roman" w:hAnsi="Times New Roman" w:cs="Times New Roman"/>
          <w:b/>
          <w:bCs/>
          <w:color w:val="auto"/>
          <w:sz w:val="30"/>
          <w:szCs w:val="30"/>
          <w:highlight w:val="none"/>
        </w:rPr>
        <w:t>服务</w:t>
      </w:r>
    </w:p>
    <w:p>
      <w:pPr>
        <w:tabs>
          <w:tab w:val="left" w:pos="747"/>
        </w:tabs>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1.4.1 供应商提供的所有服务，必须是合法来源，符合国家有关标准和规范，并满足磋商文件规定的服务要求。</w:t>
      </w:r>
      <w:r>
        <w:rPr>
          <w:rFonts w:hint="eastAsia" w:ascii="Times New Roman" w:hAnsi="Times New Roman" w:cs="Times New Roman"/>
          <w:color w:val="auto"/>
          <w:szCs w:val="21"/>
          <w:highlight w:val="none"/>
          <w:lang w:val="en-US" w:eastAsia="zh-CN"/>
        </w:rPr>
        <w:t>供应商所提供的所有</w:t>
      </w:r>
      <w:r>
        <w:rPr>
          <w:rFonts w:hint="default" w:ascii="Times New Roman" w:hAnsi="Times New Roman" w:cs="Times New Roman"/>
          <w:color w:val="auto"/>
          <w:szCs w:val="21"/>
          <w:highlight w:val="none"/>
        </w:rPr>
        <w:t>货物，亦必须是合法生产、合法来源，符合国家有关标准要求，并满足磋商文件规定的规格、参数、质量、有效期、售后服务及供应商须承担的运输、安装、技术支持、培训和磋商文件规定的其它伴随服务等要求。</w:t>
      </w:r>
    </w:p>
    <w:p>
      <w:pPr>
        <w:tabs>
          <w:tab w:val="left" w:pos="747"/>
        </w:tabs>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1.4.2 采购人有权拒绝接受任何不合格的服务，由此产生的费用及相关后果均由供应商自行承担。</w:t>
      </w:r>
    </w:p>
    <w:bookmarkEnd w:id="27"/>
    <w:bookmarkEnd w:id="28"/>
    <w:bookmarkEnd w:id="29"/>
    <w:p>
      <w:pPr>
        <w:pStyle w:val="7"/>
        <w:spacing w:before="120" w:beforeLines="50" w:after="120" w:afterLines="50" w:line="360" w:lineRule="auto"/>
        <w:ind w:firstLine="0"/>
        <w:rPr>
          <w:rFonts w:hint="default" w:ascii="Times New Roman" w:hAnsi="Times New Roman" w:cs="Times New Roman"/>
          <w:b/>
          <w:bCs/>
          <w:color w:val="auto"/>
          <w:sz w:val="30"/>
          <w:szCs w:val="30"/>
          <w:highlight w:val="none"/>
        </w:rPr>
      </w:pPr>
      <w:bookmarkStart w:id="31" w:name="_Toc217446047"/>
      <w:bookmarkStart w:id="32" w:name="_Toc183582208"/>
      <w:bookmarkStart w:id="33" w:name="_Toc217446037"/>
      <w:bookmarkStart w:id="34" w:name="_Toc183682345"/>
      <w:r>
        <w:rPr>
          <w:rFonts w:hint="default" w:ascii="Times New Roman" w:hAnsi="Times New Roman" w:cs="Times New Roman"/>
          <w:b/>
          <w:bCs/>
          <w:color w:val="auto"/>
          <w:sz w:val="30"/>
          <w:szCs w:val="30"/>
          <w:highlight w:val="none"/>
        </w:rPr>
        <w:t>1.5 知识产权</w:t>
      </w:r>
      <w:bookmarkEnd w:id="31"/>
    </w:p>
    <w:p>
      <w:pPr>
        <w:pStyle w:val="7"/>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1.5.1 供应商应保证在本项目提供的任何服务和货物（包括部分使用）时，不会产生因第三方提出侵犯其专利权、商标权或其它知识产权而引起的法律和经济纠纷，如因专利权、商标权或其它知识产权而引起法律和经济纠纷，由供应商承担所有相关责任。</w:t>
      </w:r>
    </w:p>
    <w:p>
      <w:pPr>
        <w:pStyle w:val="7"/>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1.5.2 采购人享有本项目实施过程中产生的知识成果及知识产权。</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1.5.3 供应商如欲在项目实施过程中采用自有知识成果，需在响应文件中声明，并提供相关知识产权证明文件。使用该知识成果后，供应商需提供开发接口（如有）和开发手册等技术文档，并承诺提供无限期技术支持，采购人享有永久使用权。</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1.5.4 如采用供应商所不拥有的知识产权，则在报价中必须包括合法获取该知识产权的相关费用。</w:t>
      </w:r>
    </w:p>
    <w:p>
      <w:pPr>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1.6 磋商费用</w:t>
      </w:r>
      <w:bookmarkEnd w:id="32"/>
      <w:bookmarkEnd w:id="33"/>
      <w:bookmarkEnd w:id="34"/>
    </w:p>
    <w:p>
      <w:pPr>
        <w:tabs>
          <w:tab w:val="left" w:pos="7665"/>
        </w:tabs>
        <w:spacing w:line="360" w:lineRule="auto"/>
        <w:ind w:firstLine="430" w:firstLineChars="20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不论磋商结果如何，供应商应自行承担所有与准备和参加磋商相关的全部费用。</w:t>
      </w:r>
      <w:bookmarkStart w:id="35" w:name="_Toc183682346"/>
      <w:bookmarkStart w:id="36" w:name="_Toc77400779"/>
      <w:bookmarkStart w:id="37" w:name="_Toc183582209"/>
      <w:bookmarkStart w:id="38" w:name="_Toc217446038"/>
      <w:bookmarkStart w:id="39" w:name="_Toc89075875"/>
    </w:p>
    <w:p>
      <w:pPr>
        <w:autoSpaceDE w:val="0"/>
        <w:autoSpaceDN w:val="0"/>
        <w:spacing w:before="120" w:beforeLines="50" w:after="120" w:afterLines="50" w:line="360" w:lineRule="auto"/>
        <w:rPr>
          <w:rFonts w:hint="default" w:ascii="Times New Roman" w:hAnsi="Times New Roman" w:cs="Times New Roman"/>
          <w:b/>
          <w:color w:val="auto"/>
          <w:sz w:val="30"/>
          <w:szCs w:val="30"/>
          <w:highlight w:val="none"/>
          <w:lang w:val="zh-CN"/>
        </w:rPr>
      </w:pPr>
      <w:r>
        <w:rPr>
          <w:rFonts w:hint="default" w:ascii="Times New Roman" w:hAnsi="Times New Roman" w:cs="Times New Roman"/>
          <w:b/>
          <w:color w:val="auto"/>
          <w:sz w:val="30"/>
          <w:szCs w:val="30"/>
          <w:highlight w:val="none"/>
          <w:lang w:val="zh-CN"/>
        </w:rPr>
        <w:t>1.7 保密</w:t>
      </w:r>
    </w:p>
    <w:p>
      <w:pPr>
        <w:autoSpaceDE w:val="0"/>
        <w:autoSpaceDN w:val="0"/>
        <w:spacing w:line="360" w:lineRule="auto"/>
        <w:ind w:firstLine="420" w:firstLineChars="200"/>
        <w:rPr>
          <w:rFonts w:hint="default" w:ascii="Times New Roman" w:hAnsi="Times New Roman" w:cs="Times New Roman"/>
          <w:b/>
          <w:color w:val="auto"/>
          <w:sz w:val="30"/>
          <w:szCs w:val="30"/>
          <w:highlight w:val="none"/>
        </w:rPr>
      </w:pPr>
      <w:r>
        <w:rPr>
          <w:rFonts w:hint="default" w:ascii="Times New Roman" w:hAnsi="Times New Roman" w:cs="Times New Roman"/>
          <w:color w:val="auto"/>
          <w:szCs w:val="21"/>
          <w:highlight w:val="none"/>
          <w:lang w:val="zh-CN"/>
        </w:rPr>
        <w:t xml:space="preserve">参与采购活动的当事人应对磋商文件和响应文件中的商业秘密、技术秘密和个人隐私等保密，违者应对由此造成的后果承担法律责任。 </w:t>
      </w:r>
    </w:p>
    <w:p>
      <w:pPr>
        <w:tabs>
          <w:tab w:val="left" w:pos="7665"/>
        </w:tabs>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1.8语言文字</w:t>
      </w:r>
    </w:p>
    <w:p>
      <w:pPr>
        <w:tabs>
          <w:tab w:val="left" w:pos="7665"/>
        </w:tabs>
        <w:spacing w:line="360" w:lineRule="auto"/>
        <w:ind w:firstLine="40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1.8.1 磋商文件与响应文件使用的语言为中文。专用术语使用外文的，应附有中文注释。</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1.8.2 响应文件中如附有外文资料，必须逐一对应翻译成中文并加盖供应商单位章后附在相关外文资料后面，否则，供应商的响应文件将作为无效响应文件处理。</w:t>
      </w:r>
    </w:p>
    <w:p>
      <w:pPr>
        <w:pStyle w:val="8"/>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1.8.3 响应文件中翻译的中文资料与外文资料如果出现差异和矛盾时，以中文为准。但不能故意错误翻译，否则，供应商的响应文件将作为无效响应文件处理。</w:t>
      </w:r>
      <w:r>
        <w:rPr>
          <w:rFonts w:hint="default" w:ascii="Times New Roman" w:hAnsi="Times New Roman" w:cs="Times New Roman"/>
          <w:color w:val="auto"/>
          <w:kern w:val="0"/>
          <w:highlight w:val="none"/>
        </w:rPr>
        <w:t>必要时采购人可以要求供应商提供附有公证书的中文翻译文件或者与原版文件签章相一致的中文翻译文件。</w:t>
      </w:r>
    </w:p>
    <w:p>
      <w:pPr>
        <w:tabs>
          <w:tab w:val="left" w:pos="7665"/>
        </w:tabs>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1.9计量单位</w:t>
      </w:r>
    </w:p>
    <w:p>
      <w:pPr>
        <w:tabs>
          <w:tab w:val="left" w:pos="7665"/>
        </w:tabs>
        <w:spacing w:line="360" w:lineRule="auto"/>
        <w:ind w:firstLine="40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所有计量单位均采用中华人民共和国法定计量单位。</w:t>
      </w:r>
    </w:p>
    <w:p>
      <w:pPr>
        <w:spacing w:before="120" w:beforeLines="50" w:after="120" w:afterLines="50" w:line="360" w:lineRule="auto"/>
        <w:rPr>
          <w:rFonts w:hint="default" w:ascii="Times New Roman" w:hAnsi="Times New Roman" w:eastAsia="宋体" w:cs="Times New Roman"/>
          <w:b/>
          <w:color w:val="auto"/>
          <w:sz w:val="30"/>
          <w:szCs w:val="30"/>
          <w:highlight w:val="none"/>
          <w:lang w:eastAsia="zh-CN"/>
        </w:rPr>
      </w:pPr>
      <w:r>
        <w:rPr>
          <w:rFonts w:hint="default" w:ascii="Times New Roman" w:hAnsi="Times New Roman" w:cs="Times New Roman"/>
          <w:b/>
          <w:color w:val="auto"/>
          <w:sz w:val="30"/>
          <w:szCs w:val="30"/>
          <w:highlight w:val="none"/>
        </w:rPr>
        <w:t>1.10 答疑会或现场考察</w:t>
      </w:r>
      <w:r>
        <w:rPr>
          <w:rFonts w:hint="default" w:ascii="Times New Roman" w:hAnsi="Times New Roman" w:cs="Times New Roman"/>
          <w:b/>
          <w:color w:val="auto"/>
          <w:sz w:val="30"/>
          <w:szCs w:val="30"/>
          <w:highlight w:val="none"/>
          <w:lang w:eastAsia="zh-CN"/>
        </w:rPr>
        <w:t>（不组织）</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1.10.1 根据本采购项目的具体情况，采购代理机构认为有必要，可以组织召磋商前答疑会或组织供应商对项目现场进行考察，澄清供应商提出的问题。答疑会或进行现场考察的时间与地点，采购代理机构将以书面形式通知所有获取了磋商文件的供应商。</w:t>
      </w:r>
    </w:p>
    <w:p>
      <w:pPr>
        <w:adjustRightInd w:val="0"/>
        <w:snapToGrid w:val="0"/>
        <w:spacing w:line="360" w:lineRule="auto"/>
        <w:ind w:firstLine="367" w:firstLineChars="17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1.10.2 答疑会或现场考察后，采购人或采购代理机构对供应商所提问题的澄清，以书面形式通知所有获取了磋商文件的供应商。该澄清内容为磋商文件的组成部分。</w:t>
      </w:r>
    </w:p>
    <w:p>
      <w:pPr>
        <w:adjustRightInd w:val="0"/>
        <w:snapToGrid w:val="0"/>
        <w:spacing w:line="360" w:lineRule="auto"/>
        <w:ind w:firstLine="367" w:firstLineChars="17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1.10.3 采购人或采购代理机构不对供应商现场考察而做出的推论、理解和结论负责。一旦成交，成交供应商不得以任何借口，提出额外补偿，或延长合同期限的要求。</w:t>
      </w:r>
    </w:p>
    <w:p>
      <w:pPr>
        <w:adjustRightInd w:val="0"/>
        <w:snapToGrid w:val="0"/>
        <w:spacing w:before="120" w:beforeLines="50" w:after="120" w:afterLines="50" w:line="360" w:lineRule="auto"/>
        <w:jc w:val="left"/>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1.11响应与偏离</w:t>
      </w:r>
    </w:p>
    <w:p>
      <w:pPr>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1.11.1响应文件应当对磋商文件实质性要求和条件作出满足性或有利于采购人的响应，否则，供应商的响应文件无效。</w:t>
      </w:r>
    </w:p>
    <w:p>
      <w:pPr>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1.11.2</w:t>
      </w:r>
      <w:r>
        <w:rPr>
          <w:rFonts w:hint="default" w:ascii="Times New Roman" w:hAnsi="Times New Roman" w:cs="Times New Roman"/>
          <w:b/>
          <w:color w:val="auto"/>
          <w:highlight w:val="none"/>
        </w:rPr>
        <w:t>偏离</w:t>
      </w:r>
      <w:r>
        <w:rPr>
          <w:rFonts w:hint="default" w:ascii="Times New Roman" w:hAnsi="Times New Roman" w:cs="Times New Roman"/>
          <w:color w:val="auto"/>
          <w:highlight w:val="none"/>
        </w:rPr>
        <w:t>是指响应文件不响应或者不满足磋商文件提出的要求和条件，分为实质性偏离和非实质性偏离。</w:t>
      </w:r>
    </w:p>
    <w:p>
      <w:pPr>
        <w:adjustRightInd w:val="0"/>
        <w:snapToGrid w:val="0"/>
        <w:spacing w:line="360" w:lineRule="auto"/>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1.11.3除法律、法规和磋商文件规定的其他响应无效情形外，</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w:t>
      </w:r>
      <w:r>
        <w:rPr>
          <w:rFonts w:hint="default" w:ascii="Times New Roman" w:hAnsi="Times New Roman" w:cs="Times New Roman"/>
          <w:color w:val="auto"/>
          <w:highlight w:val="none"/>
          <w:lang w:val="en-US" w:eastAsia="zh-CN"/>
        </w:rPr>
        <w:t>偏离磋商文件的实质性要求和条件，为实质性偏离，</w:t>
      </w:r>
      <w:r>
        <w:rPr>
          <w:rFonts w:hint="default" w:ascii="Times New Roman" w:hAnsi="Times New Roman" w:cs="Times New Roman"/>
          <w:color w:val="auto"/>
          <w:highlight w:val="none"/>
        </w:rPr>
        <w:t>其响应文件无效。</w:t>
      </w:r>
    </w:p>
    <w:p>
      <w:pPr>
        <w:adjustRightInd w:val="0"/>
        <w:snapToGrid w:val="0"/>
        <w:spacing w:line="360" w:lineRule="auto"/>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1.11.4 响应文件偏离磋商文件的非实质性要求和条件，为非实质性偏离。</w:t>
      </w:r>
    </w:p>
    <w:p>
      <w:pPr>
        <w:adjustRightInd w:val="0"/>
        <w:snapToGrid w:val="0"/>
        <w:spacing w:line="360" w:lineRule="auto"/>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1.11.5 响应文件对磋商文件的全部偏离，均应在响应文件商务条款偏离表和技术参数偏离表中列明，除列明的内容外，视为供应商响应响应招标文件的全部要求。</w:t>
      </w:r>
    </w:p>
    <w:p>
      <w:pPr>
        <w:adjustRightInd w:val="0"/>
        <w:snapToGrid w:val="0"/>
        <w:spacing w:line="360" w:lineRule="auto"/>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1.11.6 在磋商过程中，磋商小组若根据磋商文件和磋商情况实质性变动采购需求中的技术、服务要求以及合同草案条款的，供应商据此重新提交的响应文件，也适用本条款。</w:t>
      </w:r>
    </w:p>
    <w:p>
      <w:pPr>
        <w:tabs>
          <w:tab w:val="left" w:pos="7665"/>
        </w:tabs>
        <w:spacing w:before="120" w:beforeLines="50" w:after="120" w:afterLines="50" w:line="360" w:lineRule="auto"/>
        <w:outlineLvl w:val="1"/>
        <w:rPr>
          <w:rFonts w:hint="default" w:ascii="Times New Roman" w:hAnsi="Times New Roman" w:eastAsia="黑体" w:cs="Times New Roman"/>
          <w:bCs/>
          <w:color w:val="auto"/>
          <w:sz w:val="32"/>
          <w:szCs w:val="32"/>
          <w:highlight w:val="none"/>
        </w:rPr>
      </w:pPr>
      <w:bookmarkStart w:id="40" w:name="_Toc27354"/>
      <w:r>
        <w:rPr>
          <w:rFonts w:hint="default" w:ascii="Times New Roman" w:hAnsi="Times New Roman" w:eastAsia="黑体" w:cs="Times New Roman"/>
          <w:bCs/>
          <w:color w:val="auto"/>
          <w:sz w:val="32"/>
          <w:szCs w:val="32"/>
          <w:highlight w:val="none"/>
        </w:rPr>
        <w:t>2.磋商文件</w:t>
      </w:r>
      <w:bookmarkEnd w:id="35"/>
      <w:bookmarkEnd w:id="36"/>
      <w:bookmarkEnd w:id="37"/>
      <w:bookmarkEnd w:id="38"/>
      <w:bookmarkEnd w:id="39"/>
      <w:bookmarkEnd w:id="40"/>
      <w:bookmarkStart w:id="41" w:name="_Toc183682347"/>
      <w:bookmarkStart w:id="42" w:name="_Toc183582210"/>
      <w:bookmarkStart w:id="43" w:name="_Toc217446039"/>
    </w:p>
    <w:p>
      <w:pPr>
        <w:tabs>
          <w:tab w:val="left" w:pos="7665"/>
        </w:tabs>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2.1 磋商文件的</w:t>
      </w:r>
      <w:bookmarkEnd w:id="41"/>
      <w:bookmarkEnd w:id="42"/>
      <w:bookmarkEnd w:id="43"/>
      <w:r>
        <w:rPr>
          <w:rFonts w:hint="default" w:ascii="Times New Roman" w:hAnsi="Times New Roman" w:cs="Times New Roman"/>
          <w:b/>
          <w:color w:val="auto"/>
          <w:sz w:val="30"/>
          <w:szCs w:val="30"/>
          <w:highlight w:val="none"/>
        </w:rPr>
        <w:t>组成</w:t>
      </w:r>
    </w:p>
    <w:p>
      <w:pPr>
        <w:tabs>
          <w:tab w:val="left" w:pos="7665"/>
        </w:tabs>
        <w:spacing w:before="120" w:beforeLines="5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本磋商文件包括以下内容：</w:t>
      </w:r>
    </w:p>
    <w:p>
      <w:pPr>
        <w:tabs>
          <w:tab w:val="left" w:pos="766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（1）竞争性磋商公告；</w:t>
      </w:r>
    </w:p>
    <w:p>
      <w:pPr>
        <w:tabs>
          <w:tab w:val="left" w:pos="766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（2）供应商须知；</w:t>
      </w:r>
    </w:p>
    <w:p>
      <w:pPr>
        <w:tabs>
          <w:tab w:val="left" w:pos="766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（3）磋商办法；</w:t>
      </w:r>
    </w:p>
    <w:p>
      <w:pPr>
        <w:tabs>
          <w:tab w:val="left" w:pos="766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（4）服务内容及要求；</w:t>
      </w:r>
    </w:p>
    <w:p>
      <w:pPr>
        <w:tabs>
          <w:tab w:val="left" w:pos="766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（5）政府采购合同条款；</w:t>
      </w:r>
    </w:p>
    <w:p>
      <w:pPr>
        <w:tabs>
          <w:tab w:val="left" w:pos="766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（6）响应文件格式要求；</w:t>
      </w:r>
    </w:p>
    <w:p>
      <w:pPr>
        <w:tabs>
          <w:tab w:val="left" w:pos="766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（7）供应商须知前附表规定的其他材料。</w:t>
      </w:r>
      <w:bookmarkStart w:id="44" w:name="_Toc183682348"/>
      <w:bookmarkStart w:id="45" w:name="_Toc183582211"/>
      <w:bookmarkStart w:id="46" w:name="_Toc217446040"/>
    </w:p>
    <w:p>
      <w:pPr>
        <w:tabs>
          <w:tab w:val="left" w:pos="766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根据本章第1.10条款、第2.2条款对磋商文件所作的澄清、修改，构成磋商文件的组成部分。</w:t>
      </w:r>
    </w:p>
    <w:p>
      <w:pPr>
        <w:tabs>
          <w:tab w:val="left" w:pos="7665"/>
        </w:tabs>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2.2 磋商文件的澄清</w:t>
      </w:r>
      <w:bookmarkEnd w:id="44"/>
      <w:bookmarkEnd w:id="45"/>
      <w:r>
        <w:rPr>
          <w:rFonts w:hint="default" w:ascii="Times New Roman" w:hAnsi="Times New Roman" w:cs="Times New Roman"/>
          <w:b/>
          <w:color w:val="auto"/>
          <w:sz w:val="30"/>
          <w:szCs w:val="30"/>
          <w:highlight w:val="none"/>
        </w:rPr>
        <w:t>和修改</w:t>
      </w:r>
      <w:bookmarkEnd w:id="46"/>
    </w:p>
    <w:p>
      <w:pPr>
        <w:tabs>
          <w:tab w:val="left" w:pos="720"/>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2.2.1 在提交首次响应文件截止时间前，采购代理机构无论出于何种原因，可以对磋商文件进行澄清或者修改。</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2.2.2 采购人或采购代理机构可以对已发出的磋商文件进行必要的澄清或者修改，澄清或修改的内容可能影响响应文件编制的，应当在提交首次响应文件截止时间</w:t>
      </w:r>
      <w:r>
        <w:rPr>
          <w:rFonts w:hint="default" w:ascii="Times New Roman" w:hAnsi="Times New Roman" w:cs="Times New Roman"/>
          <w:b/>
          <w:color w:val="auto"/>
          <w:szCs w:val="21"/>
          <w:highlight w:val="none"/>
        </w:rPr>
        <w:t>5</w:t>
      </w:r>
      <w:r>
        <w:rPr>
          <w:rFonts w:hint="default" w:ascii="Times New Roman" w:hAnsi="Times New Roman" w:cs="Times New Roman"/>
          <w:color w:val="auto"/>
          <w:szCs w:val="21"/>
          <w:highlight w:val="none"/>
        </w:rPr>
        <w:t>日前，以书面形式将澄清或者修改的内容通知所有获取磋商文件的供应商，同时在原信息发布媒体上发布更正公告；供应商在收到上述通知后，应立即以书面形式向采购代理机构确认；不足</w:t>
      </w:r>
      <w:r>
        <w:rPr>
          <w:rFonts w:hint="default" w:ascii="Times New Roman" w:hAnsi="Times New Roman" w:cs="Times New Roman"/>
          <w:b/>
          <w:color w:val="auto"/>
          <w:szCs w:val="21"/>
          <w:highlight w:val="none"/>
        </w:rPr>
        <w:t>5</w:t>
      </w:r>
      <w:r>
        <w:rPr>
          <w:rFonts w:hint="default" w:ascii="Times New Roman" w:hAnsi="Times New Roman" w:cs="Times New Roman"/>
          <w:color w:val="auto"/>
          <w:szCs w:val="21"/>
          <w:highlight w:val="none"/>
        </w:rPr>
        <w:t>日的，将相应顺延提交首次响应文件截止时间。</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w:t>
      </w:r>
      <w:r>
        <w:rPr>
          <w:rFonts w:hint="default" w:ascii="Times New Roman" w:hAnsi="Times New Roman" w:cs="Times New Roman"/>
          <w:bCs/>
          <w:color w:val="auto"/>
          <w:szCs w:val="21"/>
          <w:highlight w:val="none"/>
        </w:rPr>
        <w:t xml:space="preserve">.3 </w:t>
      </w:r>
      <w:r>
        <w:rPr>
          <w:rFonts w:hint="default" w:ascii="Times New Roman" w:hAnsi="Times New Roman" w:cs="Times New Roman"/>
          <w:color w:val="auto"/>
          <w:szCs w:val="21"/>
          <w:highlight w:val="none"/>
        </w:rPr>
        <w:t>供应商应仔细阅读和检查磋商文件的全部内容。如发现缺页或附件不全，应及时向采购代理机构提出，以便补齐。如需对磋商文件（除质疑外）需要询问或澄清的，或认为有必要与采购代理机构进行技术交流的，均应在提交首次响应文件截止时间</w:t>
      </w:r>
      <w:r>
        <w:rPr>
          <w:rFonts w:hint="default" w:ascii="Times New Roman" w:hAnsi="Times New Roman" w:cs="Times New Roman"/>
          <w:b/>
          <w:color w:val="auto"/>
          <w:szCs w:val="21"/>
          <w:highlight w:val="none"/>
        </w:rPr>
        <w:t>3</w:t>
      </w:r>
      <w:r>
        <w:rPr>
          <w:rFonts w:hint="default" w:ascii="Times New Roman" w:hAnsi="Times New Roman" w:cs="Times New Roman"/>
          <w:color w:val="auto"/>
          <w:szCs w:val="21"/>
          <w:highlight w:val="none"/>
        </w:rPr>
        <w:t>日前按磋商文件中的联系方式，以书面形式向采购代理机构提出，采购代理机构应当在</w:t>
      </w:r>
      <w:r>
        <w:rPr>
          <w:rFonts w:hint="default" w:ascii="Times New Roman" w:hAnsi="Times New Roman" w:cs="Times New Roman"/>
          <w:b/>
          <w:color w:val="auto"/>
          <w:szCs w:val="21"/>
          <w:highlight w:val="none"/>
        </w:rPr>
        <w:t>2</w:t>
      </w:r>
      <w:r>
        <w:rPr>
          <w:rFonts w:hint="default" w:ascii="Times New Roman" w:hAnsi="Times New Roman" w:cs="Times New Roman"/>
          <w:color w:val="auto"/>
          <w:szCs w:val="21"/>
          <w:highlight w:val="none"/>
        </w:rPr>
        <w:t>日内，以书面形式予以答复（答复中不包括问题的来源），或认为有必要召开答疑会。超过该时间收到的询问或需要澄清的内容，采购代理机构有权不予答复。</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2.2.4 在提交首次响应文件截止时间前，采购代理机构可以视采购具体情况，延长提交首次响应文件截止时间，并将变更时间以书面形式通知所有获取了磋商文件的供应商，同时在原信息发布媒体上发布更正公告。</w:t>
      </w:r>
      <w:bookmarkStart w:id="47" w:name="_Toc183682350"/>
      <w:bookmarkStart w:id="48" w:name="_Toc217446041"/>
      <w:bookmarkStart w:id="49" w:name="_Toc208848971"/>
      <w:bookmarkStart w:id="50" w:name="_Toc183582213"/>
    </w:p>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2.2.5 当磋商文件的澄清、答复、修改或补充通知与磋商文件就同一内容表述不一致时，以最后发出的书面文件内容为准。</w:t>
      </w:r>
    </w:p>
    <w:bookmarkEnd w:id="47"/>
    <w:bookmarkEnd w:id="48"/>
    <w:bookmarkEnd w:id="49"/>
    <w:bookmarkEnd w:id="50"/>
    <w:p>
      <w:pPr>
        <w:adjustRightInd w:val="0"/>
        <w:snapToGrid w:val="0"/>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bCs/>
          <w:color w:val="auto"/>
          <w:sz w:val="30"/>
          <w:szCs w:val="30"/>
          <w:highlight w:val="none"/>
        </w:rPr>
        <w:t>2.3磋商文件的解释权</w:t>
      </w:r>
    </w:p>
    <w:p>
      <w:pPr>
        <w:pStyle w:val="4"/>
        <w:spacing w:line="360" w:lineRule="auto"/>
        <w:ind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磋商文件的解释权归采购</w:t>
      </w:r>
      <w:r>
        <w:rPr>
          <w:rFonts w:hint="default" w:ascii="Times New Roman" w:hAnsi="Times New Roman" w:cs="Times New Roman"/>
          <w:color w:val="auto"/>
          <w:szCs w:val="21"/>
          <w:highlight w:val="none"/>
          <w:lang w:eastAsia="zh-CN"/>
        </w:rPr>
        <w:t>人</w:t>
      </w:r>
      <w:r>
        <w:rPr>
          <w:rFonts w:hint="default" w:ascii="Times New Roman" w:hAnsi="Times New Roman" w:cs="Times New Roman"/>
          <w:color w:val="auto"/>
          <w:szCs w:val="21"/>
          <w:highlight w:val="none"/>
        </w:rPr>
        <w:t>，如发现磋商文件内容与现行法律法规不相符的情况，以现行法律法规为准。</w:t>
      </w:r>
    </w:p>
    <w:p>
      <w:pPr>
        <w:pStyle w:val="4"/>
        <w:spacing w:before="120" w:beforeLines="50" w:after="120" w:afterLines="50" w:line="360" w:lineRule="auto"/>
        <w:ind w:firstLine="0"/>
        <w:outlineLvl w:val="1"/>
        <w:rPr>
          <w:rFonts w:hint="default" w:ascii="Times New Roman" w:hAnsi="Times New Roman" w:eastAsia="黑体" w:cs="Times New Roman"/>
          <w:color w:val="auto"/>
          <w:sz w:val="32"/>
          <w:szCs w:val="32"/>
          <w:highlight w:val="none"/>
        </w:rPr>
      </w:pPr>
      <w:bookmarkStart w:id="51" w:name="_Toc31541"/>
      <w:bookmarkStart w:id="52" w:name="_Toc77400780"/>
      <w:bookmarkStart w:id="53" w:name="_Toc183682351"/>
      <w:bookmarkStart w:id="54" w:name="_Toc89075876"/>
      <w:bookmarkStart w:id="55" w:name="_Toc217446042"/>
      <w:bookmarkStart w:id="56" w:name="_Toc183582214"/>
      <w:r>
        <w:rPr>
          <w:rFonts w:hint="default" w:ascii="Times New Roman" w:hAnsi="Times New Roman" w:eastAsia="黑体" w:cs="Times New Roman"/>
          <w:bCs/>
          <w:color w:val="auto"/>
          <w:sz w:val="32"/>
          <w:szCs w:val="32"/>
          <w:highlight w:val="none"/>
        </w:rPr>
        <w:t>3.供应商</w:t>
      </w:r>
      <w:bookmarkEnd w:id="51"/>
    </w:p>
    <w:bookmarkEnd w:id="52"/>
    <w:bookmarkEnd w:id="53"/>
    <w:bookmarkEnd w:id="54"/>
    <w:bookmarkEnd w:id="55"/>
    <w:bookmarkEnd w:id="56"/>
    <w:p>
      <w:pPr>
        <w:pStyle w:val="4"/>
        <w:spacing w:after="120" w:afterLines="50" w:line="360" w:lineRule="auto"/>
        <w:ind w:firstLine="0"/>
        <w:rPr>
          <w:rFonts w:hint="default" w:ascii="Times New Roman" w:hAnsi="Times New Roman" w:cs="Times New Roman"/>
          <w:b/>
          <w:color w:val="auto"/>
          <w:sz w:val="30"/>
          <w:szCs w:val="30"/>
          <w:highlight w:val="none"/>
        </w:rPr>
      </w:pPr>
      <w:bookmarkStart w:id="57" w:name="_Toc217446043"/>
      <w:bookmarkStart w:id="58" w:name="_Toc183682352"/>
      <w:bookmarkStart w:id="59" w:name="_Toc183582215"/>
      <w:r>
        <w:rPr>
          <w:rFonts w:hint="default" w:ascii="Times New Roman" w:hAnsi="Times New Roman" w:cs="Times New Roman"/>
          <w:b/>
          <w:color w:val="auto"/>
          <w:sz w:val="30"/>
          <w:szCs w:val="30"/>
          <w:highlight w:val="none"/>
        </w:rPr>
        <w:t>3.1供应商资格要求</w:t>
      </w:r>
    </w:p>
    <w:p>
      <w:pPr>
        <w:widowControl/>
        <w:adjustRightInd w:val="0"/>
        <w:snapToGrid w:val="0"/>
        <w:spacing w:line="360" w:lineRule="auto"/>
        <w:ind w:firstLine="420" w:firstLineChars="20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szCs w:val="21"/>
          <w:highlight w:val="none"/>
        </w:rPr>
        <w:t xml:space="preserve">3.1.1 </w:t>
      </w:r>
      <w:r>
        <w:rPr>
          <w:rFonts w:hint="default" w:ascii="Times New Roman" w:hAnsi="Times New Roman" w:cs="Times New Roman"/>
          <w:b/>
          <w:bCs/>
          <w:color w:val="auto"/>
          <w:szCs w:val="21"/>
          <w:highlight w:val="none"/>
          <w:lang w:eastAsia="zh-CN"/>
        </w:rPr>
        <w:t>基本资格条件</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kern w:val="0"/>
          <w:szCs w:val="21"/>
          <w:highlight w:val="none"/>
        </w:rPr>
        <w:t>供应商应符合《中华人民共和国政府采购法》第二十二条规定的资格条件，</w:t>
      </w:r>
      <w:r>
        <w:rPr>
          <w:rFonts w:hint="default" w:ascii="Times New Roman" w:hAnsi="Times New Roman" w:cs="Times New Roman"/>
          <w:color w:val="auto"/>
          <w:kern w:val="0"/>
          <w:szCs w:val="21"/>
          <w:highlight w:val="none"/>
          <w:lang w:val="zh-CN"/>
        </w:rPr>
        <w:t>并按照《政府采购法实施条例》第十七条规定提供下列材料：</w:t>
      </w:r>
    </w:p>
    <w:p>
      <w:pPr>
        <w:autoSpaceDE w:val="0"/>
        <w:autoSpaceDN w:val="0"/>
        <w:spacing w:line="360" w:lineRule="auto"/>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（1）供应商提供有效合格的社会统一信用代码的营业执照，其他组织经营的须提供合法凭证，自然人的提供身份证明文件；</w:t>
      </w:r>
    </w:p>
    <w:p>
      <w:pPr>
        <w:autoSpaceDE w:val="0"/>
        <w:autoSpaceDN w:val="0"/>
        <w:spacing w:line="360" w:lineRule="auto"/>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w:t>
      </w:r>
      <w:r>
        <w:rPr>
          <w:rFonts w:hint="default" w:ascii="Times New Roman" w:hAnsi="Times New Roman" w:eastAsia="宋体" w:cs="Times New Roman"/>
          <w:b w:val="0"/>
          <w:bCs/>
          <w:color w:val="auto"/>
          <w:kern w:val="0"/>
          <w:sz w:val="21"/>
          <w:szCs w:val="21"/>
          <w:highlight w:val="none"/>
          <w:lang w:val="en-US" w:eastAsia="zh-CN" w:bidi="ar-SA"/>
        </w:rPr>
        <w:t>法定代表人（单位负责人）参加磋商的，提供本人身份证复印件</w:t>
      </w:r>
      <w:r>
        <w:rPr>
          <w:rFonts w:hint="default" w:ascii="Times New Roman" w:hAnsi="Times New Roman" w:cs="Times New Roman"/>
          <w:b w:val="0"/>
          <w:bCs/>
          <w:color w:val="auto"/>
          <w:kern w:val="0"/>
          <w:sz w:val="21"/>
          <w:szCs w:val="21"/>
          <w:highlight w:val="none"/>
          <w:lang w:val="en-US" w:eastAsia="zh-CN" w:bidi="ar-SA"/>
        </w:rPr>
        <w:t>及法定代表人身份证明</w:t>
      </w:r>
      <w:r>
        <w:rPr>
          <w:rFonts w:hint="default" w:ascii="Times New Roman" w:hAnsi="Times New Roman" w:eastAsia="宋体" w:cs="Times New Roman"/>
          <w:b w:val="0"/>
          <w:bCs/>
          <w:color w:val="auto"/>
          <w:kern w:val="0"/>
          <w:sz w:val="21"/>
          <w:szCs w:val="21"/>
          <w:highlight w:val="none"/>
          <w:lang w:val="en-US" w:eastAsia="zh-CN" w:bidi="ar-SA"/>
        </w:rPr>
        <w:t>；法定代表人（单位负责人）授权他人参加磋商的，提供法定代表人（单位负责人）委托授权书并出示被授权代表的身份证复印件</w:t>
      </w:r>
      <w:r>
        <w:rPr>
          <w:rFonts w:hint="default" w:ascii="Times New Roman" w:hAnsi="Times New Roman" w:cs="Times New Roman"/>
          <w:color w:val="auto"/>
          <w:szCs w:val="21"/>
          <w:highlight w:val="none"/>
          <w:lang w:val="en-US" w:eastAsia="zh-CN"/>
        </w:rPr>
        <w:t>；</w:t>
      </w:r>
    </w:p>
    <w:p>
      <w:pPr>
        <w:autoSpaceDE w:val="0"/>
        <w:autoSpaceDN w:val="0"/>
        <w:spacing w:line="360" w:lineRule="auto"/>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财务状况报告：提供2020年度或2021年度经审计的财务报告（成立时间至提交投标文件截止时间不足一年的可提供成立后任意时段的资产负债表）或其基本存款账户开户银行出具的资信证明及基本存款账户开户许可证（基本账户信息表）；</w:t>
      </w:r>
    </w:p>
    <w:p>
      <w:pPr>
        <w:autoSpaceDE w:val="0"/>
        <w:autoSpaceDN w:val="0"/>
        <w:spacing w:line="360" w:lineRule="auto"/>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（4）税收缴纳证明：提供上一年度至今已缴纳的至少一个月的纳税证明或完税证明（任意税种），依法免税的单位应提供相关证明材料；</w:t>
      </w:r>
    </w:p>
    <w:p>
      <w:pPr>
        <w:autoSpaceDE w:val="0"/>
        <w:autoSpaceDN w:val="0"/>
        <w:spacing w:line="360" w:lineRule="auto"/>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（5）社会保障资金缴纳证明：提供上一年度至今已缴存的至少一个月的社会保障资金缴存单据或社保机构开具的社会保险参保缴费情况证明，依法不需要缴纳社会保障资金的单位应提供相关证明材料；</w:t>
      </w:r>
    </w:p>
    <w:p>
      <w:pPr>
        <w:autoSpaceDE w:val="0"/>
        <w:autoSpaceDN w:val="0"/>
        <w:spacing w:line="360" w:lineRule="auto"/>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（6）提供供应商具备履行合同所必需的设备和专业技术能力的证明材料；</w:t>
      </w:r>
    </w:p>
    <w:p>
      <w:pPr>
        <w:autoSpaceDE w:val="0"/>
        <w:autoSpaceDN w:val="0"/>
        <w:spacing w:line="360" w:lineRule="auto"/>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（7）参加本次磋商前3年内，在经营活动中没有重大违法记录的书面声明；</w:t>
      </w:r>
    </w:p>
    <w:p>
      <w:pPr>
        <w:autoSpaceDE w:val="0"/>
        <w:autoSpaceDN w:val="0"/>
        <w:spacing w:line="360" w:lineRule="auto"/>
        <w:ind w:firstLine="422" w:firstLineChars="2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b/>
          <w:color w:val="auto"/>
          <w:szCs w:val="21"/>
          <w:highlight w:val="none"/>
        </w:rPr>
        <w:t>3.1.2 落实政府采购政策资格条件</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无</w:t>
      </w:r>
    </w:p>
    <w:p>
      <w:pPr>
        <w:widowControl/>
        <w:adjustRightInd w:val="0"/>
        <w:snapToGrid w:val="0"/>
        <w:spacing w:line="360" w:lineRule="auto"/>
        <w:ind w:firstLine="422" w:firstLineChars="20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b/>
          <w:color w:val="auto"/>
          <w:kern w:val="0"/>
          <w:szCs w:val="21"/>
          <w:highlight w:val="none"/>
        </w:rPr>
        <w:t>3.1.3 特定资格条件。</w:t>
      </w:r>
      <w:r>
        <w:rPr>
          <w:rFonts w:hint="default" w:ascii="Times New Roman" w:hAnsi="Times New Roman" w:cs="Times New Roman"/>
          <w:color w:val="auto"/>
          <w:kern w:val="0"/>
          <w:szCs w:val="21"/>
          <w:highlight w:val="none"/>
        </w:rPr>
        <w:t>供应商应满足《中华人民共和国政府采购法》第二十二条第二款规定，</w:t>
      </w:r>
      <w:r>
        <w:rPr>
          <w:rFonts w:hint="default" w:ascii="Times New Roman" w:hAnsi="Times New Roman" w:cs="Times New Roman"/>
          <w:color w:val="auto"/>
          <w:kern w:val="0"/>
          <w:szCs w:val="21"/>
          <w:highlight w:val="none"/>
          <w:lang w:val="zh-CN"/>
        </w:rPr>
        <w:t>并根据《政府采购法实施条例》第十七条规定提供证明材料。</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3.1.3.1 供应商提供服务或所供产品属于特定行业有法定准入要求的，提供下列材料：</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kern w:val="0"/>
          <w:szCs w:val="21"/>
          <w:highlight w:val="none"/>
          <w:lang w:val="zh-CN"/>
        </w:rPr>
        <w:t>（</w:t>
      </w:r>
      <w:r>
        <w:rPr>
          <w:rFonts w:hint="default" w:ascii="Times New Roman" w:hAnsi="Times New Roman" w:cs="Times New Roman"/>
          <w:color w:val="auto"/>
          <w:kern w:val="0"/>
          <w:szCs w:val="21"/>
          <w:highlight w:val="none"/>
          <w:lang w:val="en-US" w:eastAsia="zh-CN"/>
        </w:rPr>
        <w:t>8</w:t>
      </w:r>
      <w:r>
        <w:rPr>
          <w:rFonts w:hint="default" w:ascii="Times New Roman" w:hAnsi="Times New Roman" w:cs="Times New Roman"/>
          <w:color w:val="auto"/>
          <w:kern w:val="0"/>
          <w:szCs w:val="21"/>
          <w:highlight w:val="none"/>
          <w:lang w:val="zh-CN"/>
        </w:rPr>
        <w:t>）</w:t>
      </w:r>
      <w:r>
        <w:rPr>
          <w:rFonts w:hint="default" w:ascii="Times New Roman" w:hAnsi="Times New Roman" w:cs="Times New Roman"/>
          <w:color w:val="auto"/>
          <w:szCs w:val="21"/>
          <w:highlight w:val="none"/>
          <w:lang w:val="en-US" w:eastAsia="zh-CN"/>
        </w:rPr>
        <w:t>行政许可证明：无；</w:t>
      </w:r>
    </w:p>
    <w:p>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SA"/>
        </w:rPr>
        <w:t>（</w:t>
      </w:r>
      <w:r>
        <w:rPr>
          <w:rFonts w:hint="default" w:ascii="Times New Roman" w:hAnsi="Times New Roman" w:cs="Times New Roman"/>
          <w:b w:val="0"/>
          <w:bCs/>
          <w:color w:val="auto"/>
          <w:kern w:val="0"/>
          <w:sz w:val="21"/>
          <w:szCs w:val="21"/>
          <w:highlight w:val="none"/>
          <w:lang w:val="en-US" w:eastAsia="zh-CN" w:bidi="ar-SA"/>
        </w:rPr>
        <w:t>9</w:t>
      </w:r>
      <w:r>
        <w:rPr>
          <w:rFonts w:hint="default" w:ascii="Times New Roman" w:hAnsi="Times New Roman" w:eastAsia="宋体" w:cs="Times New Roman"/>
          <w:b w:val="0"/>
          <w:bCs/>
          <w:color w:val="auto"/>
          <w:kern w:val="0"/>
          <w:sz w:val="21"/>
          <w:szCs w:val="21"/>
          <w:highlight w:val="none"/>
          <w:lang w:val="en-US" w:eastAsia="zh-CN" w:bidi="ar-SA"/>
        </w:rPr>
        <w:t>）法定代表人（单位负责人）参加磋商的，提供本人身份证复印件</w:t>
      </w:r>
      <w:r>
        <w:rPr>
          <w:rFonts w:hint="default" w:ascii="Times New Roman" w:hAnsi="Times New Roman" w:cs="Times New Roman"/>
          <w:b w:val="0"/>
          <w:bCs/>
          <w:color w:val="auto"/>
          <w:kern w:val="0"/>
          <w:sz w:val="21"/>
          <w:szCs w:val="21"/>
          <w:highlight w:val="none"/>
          <w:lang w:val="en-US" w:eastAsia="zh-CN" w:bidi="ar-SA"/>
        </w:rPr>
        <w:t>及法定代表人身份证明</w:t>
      </w:r>
      <w:r>
        <w:rPr>
          <w:rFonts w:hint="default" w:ascii="Times New Roman" w:hAnsi="Times New Roman" w:eastAsia="宋体" w:cs="Times New Roman"/>
          <w:b w:val="0"/>
          <w:bCs/>
          <w:color w:val="auto"/>
          <w:kern w:val="0"/>
          <w:sz w:val="21"/>
          <w:szCs w:val="21"/>
          <w:highlight w:val="none"/>
          <w:lang w:val="en-US" w:eastAsia="zh-CN" w:bidi="ar-SA"/>
        </w:rPr>
        <w:t>；法定代表人（单位负责人）授权他人参加磋商的，提供法定代表人（单位负责人）委托授权书并出示被授权代表的身份证复印件；</w:t>
      </w:r>
    </w:p>
    <w:p>
      <w:pPr>
        <w:autoSpaceDE w:val="0"/>
        <w:autoSpaceDN w:val="0"/>
        <w:spacing w:line="360" w:lineRule="auto"/>
        <w:ind w:firstLine="422" w:firstLineChars="200"/>
        <w:rPr>
          <w:rFonts w:hint="default" w:ascii="Times New Roman" w:hAnsi="Times New Roman" w:cs="Times New Roman"/>
          <w:color w:val="auto"/>
          <w:kern w:val="0"/>
          <w:szCs w:val="21"/>
          <w:highlight w:val="none"/>
        </w:rPr>
      </w:pPr>
      <w:r>
        <w:rPr>
          <w:rFonts w:hint="default" w:ascii="Times New Roman" w:hAnsi="Times New Roman" w:cs="Times New Roman"/>
          <w:b/>
          <w:color w:val="auto"/>
          <w:kern w:val="0"/>
          <w:szCs w:val="21"/>
          <w:highlight w:val="none"/>
        </w:rPr>
        <w:t>3.1.4 限定资格条件。</w:t>
      </w:r>
      <w:r>
        <w:rPr>
          <w:rFonts w:hint="default" w:ascii="Times New Roman" w:hAnsi="Times New Roman" w:cs="Times New Roman"/>
          <w:color w:val="auto"/>
          <w:kern w:val="0"/>
          <w:szCs w:val="21"/>
          <w:highlight w:val="none"/>
        </w:rPr>
        <w:t>根据政府采购的法律法规、规章和规范性文件的规定，供应商不得存在本章第1.3.2规定的情形。</w:t>
      </w:r>
    </w:p>
    <w:p>
      <w:pPr>
        <w:autoSpaceDE w:val="0"/>
        <w:autoSpaceDN w:val="0"/>
        <w:spacing w:line="360" w:lineRule="auto"/>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szCs w:val="21"/>
          <w:highlight w:val="none"/>
        </w:rPr>
        <w:t>采购代理机构将通过“信用中国”网站（www.creditchina.gov.cn）和中国政府采购网站（www.ccgp.gov.cn）查询</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信用记录，被列入失信被执行人、</w:t>
      </w:r>
      <w:r>
        <w:rPr>
          <w:rFonts w:hint="eastAsia" w:ascii="Times New Roman" w:hAnsi="Times New Roman" w:cs="Times New Roman"/>
          <w:color w:val="auto"/>
          <w:szCs w:val="21"/>
          <w:highlight w:val="none"/>
          <w:lang w:val="en-US" w:eastAsia="zh-CN"/>
        </w:rPr>
        <w:t>税收违法黑名单</w:t>
      </w:r>
      <w:r>
        <w:rPr>
          <w:rFonts w:hint="default" w:ascii="Times New Roman" w:hAnsi="Times New Roman" w:cs="Times New Roman"/>
          <w:color w:val="auto"/>
          <w:szCs w:val="21"/>
          <w:highlight w:val="none"/>
        </w:rPr>
        <w:t>、政府采购严重违法失信行为记录名单的供应商将被拒绝参与本项目磋商。</w:t>
      </w:r>
    </w:p>
    <w:p>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3.1.5 供应商根据采购项目的具体情况，在响应文件正本中应附一套完整的资格证明材料，缺少一项或某项达不到磋商文件要求的按无效响应文件处理，复印件加盖供应商单位公章；响应文件副本可采用正本的复印件并加盖供应商单位公章。</w:t>
      </w:r>
    </w:p>
    <w:p>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3.1.6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w:t>
      </w:r>
    </w:p>
    <w:p>
      <w:pPr>
        <w:tabs>
          <w:tab w:val="left" w:pos="720"/>
        </w:tabs>
        <w:snapToGrid w:val="0"/>
        <w:spacing w:before="120" w:beforeLines="50" w:after="120" w:afterLines="50" w:line="360" w:lineRule="auto"/>
        <w:rPr>
          <w:rFonts w:hint="default" w:ascii="Times New Roman" w:hAnsi="Times New Roman" w:cs="Times New Roman"/>
          <w:color w:val="auto"/>
          <w:szCs w:val="21"/>
          <w:highlight w:val="none"/>
        </w:rPr>
      </w:pPr>
      <w:r>
        <w:rPr>
          <w:rFonts w:hint="default" w:ascii="Times New Roman" w:hAnsi="Times New Roman" w:cs="Times New Roman"/>
          <w:b/>
          <w:color w:val="auto"/>
          <w:sz w:val="30"/>
          <w:szCs w:val="30"/>
          <w:highlight w:val="none"/>
        </w:rPr>
        <w:t>3.2</w:t>
      </w:r>
      <w:r>
        <w:rPr>
          <w:rFonts w:hint="default" w:ascii="Times New Roman" w:hAnsi="Times New Roman" w:cs="Times New Roman"/>
          <w:b/>
          <w:bCs/>
          <w:color w:val="auto"/>
          <w:sz w:val="30"/>
          <w:szCs w:val="30"/>
          <w:highlight w:val="none"/>
        </w:rPr>
        <w:t>授权委托</w:t>
      </w:r>
    </w:p>
    <w:p>
      <w:pPr>
        <w:pStyle w:val="8"/>
        <w:adjustRightInd w:val="0"/>
        <w:snapToGrid w:val="0"/>
        <w:spacing w:line="360" w:lineRule="auto"/>
        <w:ind w:firstLine="525" w:firstLineChars="250"/>
        <w:rPr>
          <w:rFonts w:hint="default" w:ascii="Times New Roman" w:hAnsi="Times New Roman" w:cs="Times New Roman"/>
          <w:color w:val="auto"/>
          <w:highlight w:val="none"/>
        </w:rPr>
      </w:pPr>
      <w:r>
        <w:rPr>
          <w:rFonts w:hint="default" w:ascii="Times New Roman" w:hAnsi="Times New Roman" w:cs="Times New Roman"/>
          <w:color w:val="auto"/>
          <w:highlight w:val="none"/>
        </w:rPr>
        <w:t>3.2.1供应商代表为法定代表人（单位负责人）的，应持有法定代表人（单位负责人）身份证明。供应商代表不是法定代表人（单位负责人）的，响应文件中应附有法定代表人（单位负责人）授权委托书。</w:t>
      </w:r>
    </w:p>
    <w:p>
      <w:pPr>
        <w:pStyle w:val="8"/>
        <w:adjustRightInd w:val="0"/>
        <w:snapToGrid w:val="0"/>
        <w:spacing w:line="360" w:lineRule="auto"/>
        <w:ind w:firstLine="525" w:firstLineChars="250"/>
        <w:rPr>
          <w:rFonts w:hint="default" w:ascii="Times New Roman" w:hAnsi="Times New Roman" w:cs="Times New Roman"/>
          <w:color w:val="auto"/>
          <w:kern w:val="0"/>
          <w:highlight w:val="none"/>
        </w:rPr>
      </w:pPr>
      <w:r>
        <w:rPr>
          <w:rFonts w:hint="default" w:ascii="Times New Roman" w:hAnsi="Times New Roman" w:cs="Times New Roman"/>
          <w:color w:val="auto"/>
          <w:highlight w:val="none"/>
        </w:rPr>
        <w:t>3.2</w:t>
      </w:r>
      <w:r>
        <w:rPr>
          <w:rFonts w:hint="default" w:ascii="Times New Roman" w:hAnsi="Times New Roman" w:cs="Times New Roman"/>
          <w:color w:val="auto"/>
          <w:kern w:val="0"/>
          <w:highlight w:val="none"/>
        </w:rPr>
        <w:t>.2供应商应当委托本单位正式员工作为磋商代表，且磋商代表只能接受一个供应商的委托参加磋商。</w:t>
      </w:r>
    </w:p>
    <w:p>
      <w:pPr>
        <w:pStyle w:val="8"/>
        <w:adjustRightInd w:val="0"/>
        <w:snapToGrid w:val="0"/>
        <w:spacing w:before="120" w:beforeLines="50" w:after="120" w:afterLines="50" w:line="360" w:lineRule="auto"/>
        <w:ind w:left="-178" w:leftChars="-85" w:firstLine="220" w:firstLineChars="73"/>
        <w:rPr>
          <w:rFonts w:hint="default" w:ascii="Times New Roman" w:hAnsi="Times New Roman" w:cs="Times New Roman"/>
          <w:color w:val="auto"/>
          <w:kern w:val="0"/>
          <w:sz w:val="30"/>
          <w:szCs w:val="30"/>
          <w:highlight w:val="none"/>
        </w:rPr>
      </w:pPr>
      <w:r>
        <w:rPr>
          <w:rFonts w:hint="default" w:ascii="Times New Roman" w:hAnsi="Times New Roman" w:cs="Times New Roman"/>
          <w:b/>
          <w:color w:val="auto"/>
          <w:sz w:val="30"/>
          <w:szCs w:val="30"/>
          <w:highlight w:val="none"/>
        </w:rPr>
        <w:t>3.3联合体磋商</w:t>
      </w:r>
    </w:p>
    <w:p>
      <w:pPr>
        <w:spacing w:line="360" w:lineRule="auto"/>
        <w:ind w:firstLine="409" w:firstLineChars="195"/>
        <w:rPr>
          <w:rFonts w:hint="default" w:ascii="Times New Roman" w:hAnsi="Times New Roman" w:eastAsia="宋体" w:cs="Times New Roman"/>
          <w:strike w:val="0"/>
          <w:dstrike w:val="0"/>
          <w:color w:val="auto"/>
          <w:szCs w:val="21"/>
          <w:highlight w:val="none"/>
          <w:lang w:eastAsia="zh-CN"/>
        </w:rPr>
      </w:pPr>
      <w:r>
        <w:rPr>
          <w:rFonts w:hint="default" w:ascii="Times New Roman" w:hAnsi="Times New Roman" w:cs="Times New Roman"/>
          <w:strike w:val="0"/>
          <w:dstrike w:val="0"/>
          <w:color w:val="auto"/>
          <w:szCs w:val="21"/>
          <w:highlight w:val="none"/>
          <w:lang w:eastAsia="zh-CN"/>
        </w:rPr>
        <w:t>本项目不接受联合体磋商。</w:t>
      </w:r>
    </w:p>
    <w:p>
      <w:pPr>
        <w:adjustRightInd w:val="0"/>
        <w:snapToGrid w:val="0"/>
        <w:spacing w:before="120" w:beforeLines="50" w:after="120" w:afterLines="50" w:line="360" w:lineRule="auto"/>
        <w:jc w:val="left"/>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3.4享受的政府采购政策</w:t>
      </w:r>
    </w:p>
    <w:p>
      <w:pPr>
        <w:pStyle w:val="8"/>
        <w:adjustRightInd w:val="0"/>
        <w:snapToGrid w:val="0"/>
        <w:spacing w:line="360" w:lineRule="auto"/>
        <w:ind w:firstLine="42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3.4.1 节能产品、环境标志产品</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3.4.1.1 若本项目包括提供货物（产品）的，则适用本条款。</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3.4.1.2 供应商所供产品，将依据《节能产品、环境标志产品品目清单》和认证证书实施政府优先采购和强制采购。</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3.4.1.3 供应商可以提供所供产品经国家确定的认证机构出具的、处于有效期之内的节能产品</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环境标志产品认证证书复印件。采购代理机构通过中国政府采购网（</w:t>
      </w:r>
      <w:r>
        <w:rPr>
          <w:rFonts w:hint="default" w:ascii="Times New Roman" w:hAnsi="Times New Roman" w:cs="Times New Roman"/>
          <w:color w:val="auto"/>
          <w:highlight w:val="none"/>
          <w:u w:val="none"/>
        </w:rPr>
        <w:t>http</w:t>
      </w:r>
      <w:r>
        <w:rPr>
          <w:rFonts w:hint="eastAsia"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rPr>
        <w:t>//www.ccgp.gov.cn/</w:t>
      </w:r>
      <w:r>
        <w:rPr>
          <w:rFonts w:hint="default" w:ascii="Times New Roman" w:hAnsi="Times New Roman" w:cs="Times New Roman"/>
          <w:color w:val="auto"/>
          <w:highlight w:val="none"/>
        </w:rPr>
        <w:t>）对获证产品信息进行核对。</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3.4.1.3供应商所供产品属于下列情形之一的，属于优先采购的不再享受优先采购政策，或者属于强制采购的按无效响应文件处理：</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（1）不属于《节能产品、环境标志产品品目清单》中的产品；</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（2）未提供认证证书复印件或经核对认证证书存在信息有误的</w:t>
      </w:r>
      <w:r>
        <w:rPr>
          <w:rFonts w:hint="default" w:ascii="Times New Roman" w:hAnsi="Times New Roman" w:cs="Times New Roman"/>
          <w:color w:val="auto"/>
          <w:highlight w:val="none"/>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认证证书</w:t>
      </w:r>
      <w:r>
        <w:rPr>
          <w:rFonts w:hint="default" w:ascii="Times New Roman" w:hAnsi="Times New Roman" w:cs="Times New Roman"/>
          <w:color w:val="auto"/>
          <w:highlight w:val="none"/>
          <w:lang w:eastAsia="zh-CN"/>
        </w:rPr>
        <w:t>过期的。</w:t>
      </w:r>
    </w:p>
    <w:p>
      <w:pPr>
        <w:adjustRightInd w:val="0"/>
        <w:snapToGrid w:val="0"/>
        <w:spacing w:line="360" w:lineRule="auto"/>
        <w:ind w:firstLine="422" w:firstLineChars="200"/>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3.4.2 中小企业</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3.4</w:t>
      </w:r>
      <w:r>
        <w:rPr>
          <w:rFonts w:hint="default" w:ascii="Times New Roman" w:hAnsi="Times New Roman" w:cs="Times New Roman"/>
          <w:b/>
          <w:color w:val="auto"/>
          <w:szCs w:val="21"/>
          <w:highlight w:val="none"/>
        </w:rPr>
        <w:t>.</w:t>
      </w:r>
      <w:r>
        <w:rPr>
          <w:rFonts w:hint="default" w:ascii="Times New Roman" w:hAnsi="Times New Roman" w:cs="Times New Roman"/>
          <w:color w:val="auto"/>
          <w:szCs w:val="21"/>
          <w:highlight w:val="none"/>
        </w:rPr>
        <w:t>2.1 供应商依据《中小企业划型标准规定》（工信部联企业</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2011</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300号）、</w:t>
      </w:r>
      <w:r>
        <w:rPr>
          <w:rFonts w:hint="default" w:ascii="Times New Roman" w:hAnsi="Times New Roman" w:cs="Times New Roman"/>
          <w:color w:val="auto"/>
          <w:kern w:val="0"/>
          <w:szCs w:val="21"/>
          <w:highlight w:val="none"/>
        </w:rPr>
        <w:t>《金融业企业划型标准规定》（</w:t>
      </w:r>
      <w:r>
        <w:rPr>
          <w:rFonts w:hint="default" w:ascii="Times New Roman" w:hAnsi="Times New Roman" w:cs="Times New Roman"/>
          <w:bCs/>
          <w:color w:val="auto"/>
          <w:kern w:val="0"/>
          <w:szCs w:val="21"/>
          <w:highlight w:val="none"/>
        </w:rPr>
        <w:t>银发〔2015〕309号</w:t>
      </w:r>
      <w:r>
        <w:rPr>
          <w:rFonts w:hint="default" w:ascii="Times New Roman" w:hAnsi="Times New Roman" w:cs="Times New Roman"/>
          <w:b w:val="0"/>
          <w:bCs w:val="0"/>
          <w:color w:val="auto"/>
          <w:kern w:val="0"/>
          <w:szCs w:val="21"/>
          <w:highlight w:val="none"/>
        </w:rPr>
        <w:t>）</w:t>
      </w:r>
      <w:r>
        <w:rPr>
          <w:rFonts w:hint="default" w:ascii="Times New Roman" w:hAnsi="Times New Roman" w:cs="Times New Roman"/>
          <w:bCs/>
          <w:color w:val="auto"/>
          <w:kern w:val="0"/>
          <w:szCs w:val="21"/>
          <w:highlight w:val="none"/>
        </w:rPr>
        <w:t>的</w:t>
      </w:r>
      <w:r>
        <w:rPr>
          <w:rFonts w:hint="default" w:ascii="Times New Roman" w:hAnsi="Times New Roman" w:cs="Times New Roman"/>
          <w:color w:val="auto"/>
          <w:szCs w:val="21"/>
          <w:highlight w:val="none"/>
        </w:rPr>
        <w:t>划分标准，属于中小企业的，可享受扶持中小型企业发展优惠政策。</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若本项目包括采购货物的，无论货物制造商是否属于中小企业，均不影响供应商享受中小型企业发展扶持政策。</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3.4.2.2供应商作为中小企业参加政府采购活动，应当提供《中小企业声明函》（见第六章</w:t>
      </w:r>
      <w:r>
        <w:rPr>
          <w:rFonts w:hint="default" w:ascii="Times New Roman" w:hAnsi="Times New Roman" w:cs="Times New Roman"/>
          <w:color w:val="auto"/>
          <w:highlight w:val="none"/>
          <w:lang w:eastAsia="zh-CN"/>
        </w:rPr>
        <w:t>响应</w:t>
      </w:r>
      <w:r>
        <w:rPr>
          <w:rFonts w:hint="default" w:ascii="Times New Roman" w:hAnsi="Times New Roman" w:cs="Times New Roman"/>
          <w:color w:val="auto"/>
          <w:highlight w:val="none"/>
        </w:rPr>
        <w:t>文件格式），</w:t>
      </w:r>
      <w:r>
        <w:rPr>
          <w:rFonts w:hint="default" w:ascii="Times New Roman" w:hAnsi="Times New Roman" w:cs="Times New Roman"/>
          <w:color w:val="auto"/>
          <w:highlight w:val="none"/>
          <w:lang w:eastAsia="zh-CN"/>
        </w:rPr>
        <w:t>未按要求</w:t>
      </w:r>
      <w:r>
        <w:rPr>
          <w:rFonts w:hint="default" w:ascii="Times New Roman" w:hAnsi="Times New Roman" w:cs="Times New Roman"/>
          <w:color w:val="auto"/>
          <w:highlight w:val="none"/>
        </w:rPr>
        <w:t>提供《中小企业声明函》的</w:t>
      </w:r>
      <w:r>
        <w:rPr>
          <w:rFonts w:hint="default" w:ascii="Times New Roman" w:hAnsi="Times New Roman" w:cs="Times New Roman"/>
          <w:color w:val="auto"/>
          <w:highlight w:val="none"/>
          <w:lang w:eastAsia="zh-CN"/>
        </w:rPr>
        <w:t>，则不</w:t>
      </w:r>
      <w:r>
        <w:rPr>
          <w:rFonts w:hint="default" w:ascii="Times New Roman" w:hAnsi="Times New Roman" w:cs="Times New Roman"/>
          <w:color w:val="auto"/>
          <w:szCs w:val="21"/>
          <w:highlight w:val="none"/>
        </w:rPr>
        <w:t>享受中小型企业发展扶持政策</w:t>
      </w:r>
      <w:r>
        <w:rPr>
          <w:rFonts w:hint="default" w:ascii="Times New Roman" w:hAnsi="Times New Roman" w:cs="Times New Roman"/>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3.4.2.3 依据《财政部、司法部关于政府采购支持监狱企业发展有关问题的通知》（财库〔2014〕68号）之规定，监狱企业参加政府采购活动，视同小微企业。</w:t>
      </w:r>
    </w:p>
    <w:p>
      <w:pPr>
        <w:pStyle w:val="8"/>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方正仿宋_GBK" w:cs="Times New Roman"/>
          <w:color w:val="auto"/>
          <w:highlight w:val="none"/>
        </w:rPr>
      </w:pPr>
      <w:r>
        <w:rPr>
          <w:rFonts w:hint="default" w:ascii="Times New Roman" w:hAnsi="Times New Roman" w:cs="Times New Roman"/>
          <w:color w:val="auto"/>
          <w:highlight w:val="none"/>
        </w:rPr>
        <w:t>供应商为监狱企业的，应当提供由省级以上监狱管理局、戒毒管理局出具的属于监狱企业的证明文件，未提供或</w:t>
      </w:r>
      <w:r>
        <w:rPr>
          <w:rFonts w:hint="default" w:ascii="Times New Roman" w:hAnsi="Times New Roman" w:cs="Times New Roman"/>
          <w:color w:val="auto"/>
          <w:kern w:val="0"/>
          <w:highlight w:val="none"/>
        </w:rPr>
        <w:t>出具证明文件的单位不符合要求</w:t>
      </w:r>
      <w:r>
        <w:rPr>
          <w:rFonts w:hint="default" w:ascii="Times New Roman" w:hAnsi="Times New Roman" w:cs="Times New Roman"/>
          <w:color w:val="auto"/>
          <w:highlight w:val="none"/>
        </w:rPr>
        <w:t>的，不视为小微企业，</w:t>
      </w:r>
      <w:r>
        <w:rPr>
          <w:rFonts w:hint="default" w:ascii="Times New Roman" w:hAnsi="Times New Roman" w:cs="Times New Roman"/>
          <w:color w:val="auto"/>
          <w:highlight w:val="none"/>
          <w:lang w:eastAsia="zh-CN"/>
        </w:rPr>
        <w:t>则不</w:t>
      </w:r>
      <w:r>
        <w:rPr>
          <w:rFonts w:hint="default" w:ascii="Times New Roman" w:hAnsi="Times New Roman" w:cs="Times New Roman"/>
          <w:color w:val="auto"/>
          <w:szCs w:val="21"/>
          <w:highlight w:val="none"/>
        </w:rPr>
        <w:t>享受中小型企业发展扶持政策</w:t>
      </w:r>
      <w:r>
        <w:rPr>
          <w:rFonts w:hint="default" w:ascii="Times New Roman" w:hAnsi="Times New Roman" w:cs="Times New Roman"/>
          <w:color w:val="auto"/>
          <w:highlight w:val="none"/>
        </w:rPr>
        <w:t>。</w:t>
      </w:r>
    </w:p>
    <w:p>
      <w:pPr>
        <w:pStyle w:val="8"/>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3.4.2.4依据</w:t>
      </w:r>
      <w:r>
        <w:rPr>
          <w:rFonts w:hint="default" w:ascii="Times New Roman" w:hAnsi="Times New Roman" w:cs="Times New Roman"/>
          <w:color w:val="auto"/>
          <w:spacing w:val="6"/>
          <w:highlight w:val="none"/>
        </w:rPr>
        <w:t>《财政部、民政部、中国残疾人联合会关于促进残疾人就业政府采购政策的通知》（财库</w:t>
      </w:r>
      <w:r>
        <w:rPr>
          <w:rFonts w:hint="default" w:ascii="Times New Roman" w:hAnsi="Times New Roman" w:cs="Times New Roman"/>
          <w:color w:val="auto"/>
          <w:highlight w:val="none"/>
        </w:rPr>
        <w:t>〔2017〕141</w:t>
      </w:r>
      <w:r>
        <w:rPr>
          <w:rFonts w:hint="default" w:ascii="Times New Roman" w:hAnsi="Times New Roman" w:cs="Times New Roman"/>
          <w:color w:val="auto"/>
          <w:spacing w:val="6"/>
          <w:highlight w:val="none"/>
        </w:rPr>
        <w:t>号）之规定，</w:t>
      </w:r>
      <w:r>
        <w:rPr>
          <w:rFonts w:hint="default" w:ascii="Times New Roman" w:hAnsi="Times New Roman" w:cs="Times New Roman"/>
          <w:color w:val="auto"/>
          <w:kern w:val="0"/>
          <w:highlight w:val="none"/>
        </w:rPr>
        <w:t>残疾人福利性单位</w:t>
      </w:r>
      <w:r>
        <w:rPr>
          <w:rFonts w:hint="default" w:ascii="Times New Roman" w:hAnsi="Times New Roman" w:cs="Times New Roman"/>
          <w:color w:val="auto"/>
          <w:highlight w:val="none"/>
        </w:rPr>
        <w:t>参加政府采购活动，视同小微企业。</w:t>
      </w:r>
    </w:p>
    <w:p>
      <w:pPr>
        <w:pStyle w:val="8"/>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kern w:val="0"/>
          <w:highlight w:val="none"/>
        </w:rPr>
      </w:pPr>
      <w:r>
        <w:rPr>
          <w:rFonts w:hint="default" w:ascii="Times New Roman" w:hAnsi="Times New Roman" w:cs="Times New Roman"/>
          <w:color w:val="auto"/>
          <w:highlight w:val="none"/>
        </w:rPr>
        <w:t>供应商为残疾人福利性单位的，应当提供《残疾人福利性单位声明函》，未提供的不视为小微企业，</w:t>
      </w:r>
      <w:r>
        <w:rPr>
          <w:rFonts w:hint="default" w:ascii="Times New Roman" w:hAnsi="Times New Roman" w:cs="Times New Roman"/>
          <w:color w:val="auto"/>
          <w:highlight w:val="none"/>
          <w:lang w:eastAsia="zh-CN"/>
        </w:rPr>
        <w:t>则不</w:t>
      </w:r>
      <w:r>
        <w:rPr>
          <w:rFonts w:hint="default" w:ascii="Times New Roman" w:hAnsi="Times New Roman" w:cs="Times New Roman"/>
          <w:color w:val="auto"/>
          <w:szCs w:val="21"/>
          <w:highlight w:val="none"/>
        </w:rPr>
        <w:t>享受中小型企业发展扶持政策</w:t>
      </w:r>
      <w:r>
        <w:rPr>
          <w:rFonts w:hint="default" w:ascii="Times New Roman" w:hAnsi="Times New Roman" w:cs="Times New Roman"/>
          <w:color w:val="auto"/>
          <w:highlight w:val="none"/>
        </w:rPr>
        <w:t>。</w:t>
      </w:r>
      <w:r>
        <w:rPr>
          <w:rFonts w:hint="default" w:ascii="Times New Roman" w:hAnsi="Times New Roman" w:cs="Times New Roman"/>
          <w:color w:val="auto"/>
          <w:kern w:val="0"/>
          <w:highlight w:val="none"/>
        </w:rPr>
        <w:t xml:space="preserve"> </w:t>
      </w:r>
    </w:p>
    <w:p>
      <w:pPr>
        <w:pStyle w:val="8"/>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3.4.2.5 以联合体形式参加政府采购活动，联合体各方应均提供《中小企业声明函》</w:t>
      </w:r>
      <w:r>
        <w:rPr>
          <w:rFonts w:hint="default" w:ascii="Times New Roman" w:hAnsi="Times New Roman" w:cs="Times New Roman"/>
          <w:color w:val="auto"/>
          <w:highlight w:val="none"/>
          <w:lang w:eastAsia="zh-CN"/>
        </w:rPr>
        <w:t>，如</w:t>
      </w:r>
      <w:r>
        <w:rPr>
          <w:rFonts w:hint="default" w:ascii="Times New Roman" w:hAnsi="Times New Roman" w:cs="Times New Roman"/>
          <w:color w:val="auto"/>
          <w:highlight w:val="none"/>
        </w:rPr>
        <w:t>联合体各方</w:t>
      </w:r>
      <w:r>
        <w:rPr>
          <w:rFonts w:hint="default" w:ascii="Times New Roman" w:hAnsi="Times New Roman" w:cs="Times New Roman"/>
          <w:color w:val="auto"/>
          <w:highlight w:val="none"/>
          <w:lang w:eastAsia="zh-CN"/>
        </w:rPr>
        <w:t>未</w:t>
      </w:r>
      <w:r>
        <w:rPr>
          <w:rFonts w:hint="default" w:ascii="Times New Roman" w:hAnsi="Times New Roman" w:cs="Times New Roman"/>
          <w:color w:val="auto"/>
          <w:highlight w:val="none"/>
        </w:rPr>
        <w:t>提供《中小企业声明函》，</w:t>
      </w:r>
      <w:r>
        <w:rPr>
          <w:rFonts w:hint="default" w:ascii="Times New Roman" w:hAnsi="Times New Roman" w:cs="Times New Roman"/>
          <w:color w:val="auto"/>
          <w:highlight w:val="none"/>
          <w:lang w:eastAsia="zh-CN"/>
        </w:rPr>
        <w:t>则不</w:t>
      </w:r>
      <w:r>
        <w:rPr>
          <w:rFonts w:hint="default" w:ascii="Times New Roman" w:hAnsi="Times New Roman" w:cs="Times New Roman"/>
          <w:color w:val="auto"/>
          <w:szCs w:val="21"/>
          <w:highlight w:val="none"/>
        </w:rPr>
        <w:t>享受中小型企业发展扶持政策</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（本项目不接受联合体磋商）</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3.4.2.6 政府采购监督检查、投诉处理及政府采购行政处罚中对中小企业的认定，由服务商注册登记所在地的县级以上人民政府中小企业主管部门负责。</w:t>
      </w:r>
    </w:p>
    <w:p>
      <w:pPr>
        <w:adjustRightInd w:val="0"/>
        <w:snapToGrid w:val="0"/>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3.4.5 进口产品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本项目包括提供货物（产品）的，拒绝进口产品参加磋商响应。</w:t>
      </w:r>
    </w:p>
    <w:p>
      <w:pPr>
        <w:widowControl/>
        <w:shd w:val="clear" w:color="auto" w:fill="FFFFFF"/>
        <w:spacing w:before="120" w:beforeLines="50" w:after="120" w:afterLines="50" w:line="360" w:lineRule="auto"/>
        <w:jc w:val="left"/>
        <w:rPr>
          <w:rFonts w:hint="default" w:ascii="Times New Roman" w:hAnsi="Times New Roman" w:cs="Times New Roman"/>
          <w:b/>
          <w:bCs/>
          <w:color w:val="auto"/>
          <w:kern w:val="0"/>
          <w:sz w:val="30"/>
          <w:szCs w:val="30"/>
          <w:highlight w:val="none"/>
        </w:rPr>
      </w:pPr>
      <w:r>
        <w:rPr>
          <w:rFonts w:hint="default" w:ascii="Times New Roman" w:hAnsi="Times New Roman" w:cs="Times New Roman"/>
          <w:b/>
          <w:bCs/>
          <w:color w:val="auto"/>
          <w:sz w:val="30"/>
          <w:szCs w:val="30"/>
          <w:highlight w:val="none"/>
        </w:rPr>
        <w:t>3.5</w:t>
      </w:r>
      <w:r>
        <w:rPr>
          <w:rFonts w:hint="default" w:ascii="Times New Roman" w:hAnsi="Times New Roman" w:cs="Times New Roman"/>
          <w:b/>
          <w:bCs/>
          <w:color w:val="auto"/>
          <w:kern w:val="0"/>
          <w:sz w:val="30"/>
          <w:szCs w:val="30"/>
          <w:highlight w:val="none"/>
        </w:rPr>
        <w:t>转包与分包</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3.5.1本项目严禁采取转包方式履行合同。本项目所称转包，是指成交供应商将政府采购合同业务转让给第三人，并退出现有政府采购合同当事人双方权利业务关系，受让人（即第三人）成为政府采购合同的另一方当事人的行为。</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成交供应商转包的，视同拒绝履行政府采购合同业务，将依法追究法律责任。</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3.5.2本项目严禁采取分包方式履行合同。成交供应商进行分包的，视同拒绝履行政府采购合同，将依法追究法律责任。</w:t>
      </w:r>
    </w:p>
    <w:p>
      <w:pPr>
        <w:widowControl/>
        <w:shd w:val="clear" w:color="auto" w:fill="FFFFFF"/>
        <w:spacing w:before="120" w:beforeLines="50" w:after="120" w:afterLines="50" w:line="360" w:lineRule="auto"/>
        <w:jc w:val="left"/>
        <w:rPr>
          <w:rFonts w:hint="default" w:ascii="Times New Roman" w:hAnsi="Times New Roman" w:cs="Times New Roman"/>
          <w:color w:val="auto"/>
          <w:kern w:val="0"/>
          <w:sz w:val="30"/>
          <w:szCs w:val="30"/>
          <w:highlight w:val="none"/>
        </w:rPr>
      </w:pPr>
      <w:r>
        <w:rPr>
          <w:rFonts w:hint="default" w:ascii="Times New Roman" w:hAnsi="Times New Roman" w:cs="Times New Roman"/>
          <w:b/>
          <w:bCs/>
          <w:color w:val="auto"/>
          <w:kern w:val="0"/>
          <w:sz w:val="30"/>
          <w:szCs w:val="30"/>
          <w:highlight w:val="none"/>
        </w:rPr>
        <w:t>3.6 供应商的风险</w:t>
      </w:r>
    </w:p>
    <w:p>
      <w:pPr>
        <w:tabs>
          <w:tab w:val="left" w:pos="7665"/>
        </w:tabs>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供应商应认真阅读和充分理解磋商文件中所有的事项、格式条款和规范要求，任何对</w:t>
      </w:r>
      <w:r>
        <w:rPr>
          <w:rFonts w:hint="default" w:ascii="Times New Roman" w:hAnsi="Times New Roman" w:cs="Times New Roman"/>
          <w:bCs/>
          <w:color w:val="auto"/>
          <w:szCs w:val="21"/>
          <w:highlight w:val="none"/>
        </w:rPr>
        <w:t>磋商</w:t>
      </w:r>
      <w:r>
        <w:rPr>
          <w:rFonts w:hint="default" w:ascii="Times New Roman" w:hAnsi="Times New Roman" w:cs="Times New Roman"/>
          <w:color w:val="auto"/>
          <w:szCs w:val="21"/>
          <w:highlight w:val="none"/>
        </w:rPr>
        <w:t>文件的忽略或误解不能作为响应文件存在缺陷或瑕疵的理由；供应商</w:t>
      </w:r>
      <w:r>
        <w:rPr>
          <w:rFonts w:hint="default" w:ascii="Times New Roman" w:hAnsi="Times New Roman" w:cs="Times New Roman"/>
          <w:color w:val="auto"/>
          <w:kern w:val="0"/>
          <w:szCs w:val="21"/>
          <w:highlight w:val="none"/>
        </w:rPr>
        <w:t>没有按照磋商文件要求提供全部资料，</w:t>
      </w:r>
      <w:r>
        <w:rPr>
          <w:rFonts w:hint="default" w:ascii="Times New Roman" w:hAnsi="Times New Roman" w:cs="Times New Roman"/>
          <w:color w:val="auto"/>
          <w:szCs w:val="21"/>
          <w:highlight w:val="none"/>
        </w:rPr>
        <w:t>或对磋商文件未全面做出实质性响应是供应商的风险，</w:t>
      </w:r>
      <w:r>
        <w:rPr>
          <w:rFonts w:hint="default" w:ascii="Times New Roman" w:hAnsi="Times New Roman" w:cs="Times New Roman"/>
          <w:color w:val="auto"/>
          <w:kern w:val="0"/>
          <w:szCs w:val="21"/>
          <w:highlight w:val="none"/>
        </w:rPr>
        <w:t>并可能导致其响应文件被拒绝。</w:t>
      </w:r>
    </w:p>
    <w:p>
      <w:pPr>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3.7供应商的纪律要求</w:t>
      </w:r>
    </w:p>
    <w:p>
      <w:pPr>
        <w:pStyle w:val="4"/>
        <w:spacing w:line="360" w:lineRule="auto"/>
        <w:ind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3.7.1 有下列情形之一的，属于不合格供应商，其磋商或成交资格将被取消：</w:t>
      </w:r>
    </w:p>
    <w:p>
      <w:pPr>
        <w:spacing w:line="360" w:lineRule="auto"/>
        <w:ind w:firstLine="403" w:firstLineChars="19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（1）提供虚假材料谋取成交资格；</w:t>
      </w:r>
    </w:p>
    <w:p>
      <w:pPr>
        <w:spacing w:line="360" w:lineRule="auto"/>
        <w:ind w:firstLine="403" w:firstLineChars="19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（2）提供假冒伪劣产品；</w:t>
      </w:r>
    </w:p>
    <w:p>
      <w:pPr>
        <w:spacing w:line="360" w:lineRule="auto"/>
        <w:ind w:firstLine="403" w:firstLineChars="19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（3）采取不正当手段诋毁、排挤其他供应商；</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（4）与采购人、采购代理机构、其他供应商恶意串通；</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（5）向采购人、采购代理机构、磋商小组成员行贿或者提供其他不正当利益；</w:t>
      </w:r>
    </w:p>
    <w:p>
      <w:pPr>
        <w:pStyle w:val="9"/>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（6）拒绝有关部门的监督检查或者向监督检查部门提供虚假情况；</w:t>
      </w:r>
    </w:p>
    <w:p>
      <w:pPr>
        <w:pStyle w:val="9"/>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（7）法律法规规定的其他情形。</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3.7.2有下列情形之一的，视为供应商相互恶意串通磋商响应，其响应文件无效：</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（1）不同供应商的响应文件由同一单位或者个人编制；</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（2）不同供应商委托同一单位或者个人办理磋商事宜；</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（3）不同供应商的响应文件载明的项目管理成员为同一人；</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（4）不同供应商的响应文件异常一致或者磋商报价呈规律性差异；</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（5）不同供应商的响应文件相互混装；</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（6）不同供应商的磋商保证金从同一单位或者个人的账户转出（仅限供应商须知前附表要求供应商提交磋商保证金的）；</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（7）不同供应商的响应文件由同一单位送达。</w:t>
      </w:r>
    </w:p>
    <w:p>
      <w:pPr>
        <w:tabs>
          <w:tab w:val="left" w:pos="7665"/>
        </w:tabs>
        <w:spacing w:before="120" w:beforeLines="50" w:after="120" w:afterLines="50" w:line="360" w:lineRule="auto"/>
        <w:outlineLvl w:val="1"/>
        <w:rPr>
          <w:rFonts w:hint="default" w:ascii="Times New Roman" w:hAnsi="Times New Roman" w:eastAsia="黑体" w:cs="Times New Roman"/>
          <w:color w:val="auto"/>
          <w:kern w:val="0"/>
          <w:sz w:val="32"/>
          <w:szCs w:val="32"/>
          <w:highlight w:val="none"/>
        </w:rPr>
      </w:pPr>
      <w:bookmarkStart w:id="60" w:name="_Toc10483"/>
      <w:r>
        <w:rPr>
          <w:rFonts w:hint="default" w:ascii="Times New Roman" w:hAnsi="Times New Roman" w:eastAsia="黑体" w:cs="Times New Roman"/>
          <w:bCs/>
          <w:color w:val="auto"/>
          <w:sz w:val="32"/>
          <w:szCs w:val="32"/>
          <w:highlight w:val="none"/>
        </w:rPr>
        <w:t>4.响应文件</w:t>
      </w:r>
      <w:bookmarkEnd w:id="60"/>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4.1 响应文件的编写原则和要求</w:t>
      </w:r>
    </w:p>
    <w:bookmarkEnd w:id="57"/>
    <w:bookmarkEnd w:id="58"/>
    <w:bookmarkEnd w:id="59"/>
    <w:p>
      <w:pPr>
        <w:tabs>
          <w:tab w:val="left" w:pos="720"/>
        </w:tabs>
        <w:snapToGrid w:val="0"/>
        <w:spacing w:line="360" w:lineRule="auto"/>
        <w:ind w:firstLine="420" w:firstLineChars="200"/>
        <w:rPr>
          <w:rFonts w:hint="default" w:ascii="Times New Roman" w:hAnsi="Times New Roman" w:cs="Times New Roman"/>
          <w:color w:val="auto"/>
          <w:szCs w:val="21"/>
          <w:highlight w:val="none"/>
        </w:rPr>
      </w:pPr>
      <w:bookmarkStart w:id="61" w:name="_Toc183682354"/>
      <w:bookmarkStart w:id="62" w:name="_Toc183582217"/>
      <w:bookmarkStart w:id="63" w:name="_Toc217446048"/>
      <w:r>
        <w:rPr>
          <w:rFonts w:hint="default" w:ascii="Times New Roman" w:hAnsi="Times New Roman" w:cs="Times New Roman"/>
          <w:color w:val="auto"/>
          <w:szCs w:val="21"/>
          <w:highlight w:val="none"/>
        </w:rPr>
        <w:t>4.1.1供应商应仔细阅读磋商文件的所有内容，按照磋商文件规定及要求编写，应当对磋商文件提出的实质性要求做出响应，并提交完整的响应文件。供应商应对采购的货物和服务提供完整详细的技术说明，若供应商对指定的技术要求不能完全响应，应在响应文件中清楚地注明。供应商对本磋商文件的每一项要求所给予的响应必须是唯一的，否则将视为无效响应文件。</w:t>
      </w:r>
    </w:p>
    <w:p>
      <w:pPr>
        <w:keepNext w:val="0"/>
        <w:keepLines w:val="0"/>
        <w:pageBreakBefore w:val="0"/>
        <w:widowControl w:val="0"/>
        <w:tabs>
          <w:tab w:val="left" w:pos="720"/>
        </w:tabs>
        <w:kinsoku/>
        <w:wordWrap/>
        <w:overflowPunct/>
        <w:topLinePunct w:val="0"/>
        <w:autoSpaceDE/>
        <w:autoSpaceDN/>
        <w:bidi w:val="0"/>
        <w:snapToGrid w:val="0"/>
        <w:spacing w:line="360" w:lineRule="auto"/>
        <w:ind w:firstLine="422" w:firstLineChars="200"/>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4.1.2 真实性原则</w:t>
      </w:r>
    </w:p>
    <w:p>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4.1.2.1 供应商应保证所提供的响应文件和所有资料的真实性、准确性和完整性。</w:t>
      </w:r>
    </w:p>
    <w:p>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4.1.2.2 供应商被认定为在政府采购活动中提供不真实材料的，无论其材料是否重要，采购人均有权拒绝，并取消其磋商或成交资格，供应商需承担相应的法律后果。</w:t>
      </w:r>
    </w:p>
    <w:p>
      <w:pPr>
        <w:keepNext w:val="0"/>
        <w:keepLines w:val="0"/>
        <w:pageBreakBefore w:val="0"/>
        <w:widowControl w:val="0"/>
        <w:tabs>
          <w:tab w:val="left" w:pos="720"/>
        </w:tabs>
        <w:kinsoku/>
        <w:wordWrap/>
        <w:overflowPunct/>
        <w:topLinePunct w:val="0"/>
        <w:autoSpaceDE/>
        <w:autoSpaceDN/>
        <w:bidi w:val="0"/>
        <w:snapToGrid w:val="0"/>
        <w:spacing w:line="360" w:lineRule="auto"/>
        <w:ind w:firstLine="422" w:firstLineChars="200"/>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4.1.3 报价使用货币</w:t>
      </w:r>
    </w:p>
    <w:p>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本项目报价</w:t>
      </w:r>
      <w:r>
        <w:rPr>
          <w:rFonts w:hint="default" w:ascii="Times New Roman" w:hAnsi="Times New Roman" w:cs="Times New Roman"/>
          <w:color w:val="auto"/>
          <w:szCs w:val="21"/>
          <w:highlight w:val="none"/>
          <w:lang w:eastAsia="zh-CN"/>
        </w:rPr>
        <w:t>币种：</w:t>
      </w:r>
      <w:r>
        <w:rPr>
          <w:rFonts w:hint="default" w:ascii="Times New Roman" w:hAnsi="Times New Roman" w:cs="Times New Roman"/>
          <w:color w:val="auto"/>
          <w:szCs w:val="21"/>
          <w:highlight w:val="none"/>
        </w:rPr>
        <w:t>人民币。</w:t>
      </w:r>
    </w:p>
    <w:p>
      <w:pPr>
        <w:keepNext w:val="0"/>
        <w:keepLines w:val="0"/>
        <w:pageBreakBefore w:val="0"/>
        <w:widowControl w:val="0"/>
        <w:tabs>
          <w:tab w:val="left" w:pos="720"/>
        </w:tabs>
        <w:kinsoku/>
        <w:wordWrap/>
        <w:overflowPunct/>
        <w:topLinePunct w:val="0"/>
        <w:autoSpaceDE/>
        <w:autoSpaceDN/>
        <w:bidi w:val="0"/>
        <w:snapToGrid w:val="0"/>
        <w:spacing w:line="360" w:lineRule="auto"/>
        <w:ind w:firstLine="422" w:firstLineChars="200"/>
        <w:textAlignment w:val="auto"/>
        <w:rPr>
          <w:rFonts w:hint="default" w:ascii="Times New Roman" w:hAnsi="Times New Roman" w:cs="Times New Roman"/>
          <w:b/>
          <w:color w:val="auto"/>
          <w:highlight w:val="none"/>
        </w:rPr>
      </w:pPr>
      <w:r>
        <w:rPr>
          <w:rFonts w:hint="default" w:ascii="Times New Roman" w:hAnsi="Times New Roman" w:cs="Times New Roman"/>
          <w:b/>
          <w:color w:val="auto"/>
          <w:highlight w:val="none"/>
        </w:rPr>
        <w:t>4.1.4 响应文件形式</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本项目响应文件应采用书面文件形式，电报、传真、电子邮件形式的响应文件不予接受。</w:t>
      </w:r>
    </w:p>
    <w:p>
      <w:pPr>
        <w:keepNext w:val="0"/>
        <w:keepLines w:val="0"/>
        <w:pageBreakBefore w:val="0"/>
        <w:widowControl w:val="0"/>
        <w:tabs>
          <w:tab w:val="left" w:pos="720"/>
        </w:tabs>
        <w:kinsoku/>
        <w:wordWrap/>
        <w:overflowPunct/>
        <w:topLinePunct w:val="0"/>
        <w:autoSpaceDE/>
        <w:autoSpaceDN/>
        <w:bidi w:val="0"/>
        <w:snapToGrid w:val="0"/>
        <w:spacing w:line="360" w:lineRule="auto"/>
        <w:ind w:firstLine="422" w:firstLineChars="200"/>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4.1.5 备选方案</w:t>
      </w:r>
    </w:p>
    <w:p>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4.1.5.1 除供应商须知前附表规定允许外，供应商不得递交备选响应方案，响应文件的报价只允许有一个报价，不接受具有附加条件的报价，否则，视为无效响应文件。</w:t>
      </w:r>
    </w:p>
    <w:p>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4.1.5.2 允许供应商递交备选响应方案的，只有成交供应商所递交的备选响应方案方可予以考虑。磋商小组认为成交供应商的备选响应方案优于其按照磋商文件要求编制的响应方案的，采购人可以接受该备选方案。</w:t>
      </w:r>
    </w:p>
    <w:p>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4.1.5.3 供应商提供两个或两个以上磋商报价，或者在响应文件中提供一个磋商报价，但同时提供两个或两个以上供货方案的，视为提供备选方案。</w:t>
      </w:r>
    </w:p>
    <w:p>
      <w:pPr>
        <w:tabs>
          <w:tab w:val="left" w:pos="720"/>
        </w:tabs>
        <w:snapToGrid w:val="0"/>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4.2 响应文件的组成</w:t>
      </w:r>
    </w:p>
    <w:p>
      <w:pPr>
        <w:spacing w:line="360" w:lineRule="auto"/>
        <w:ind w:firstLine="411" w:firstLineChars="19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4.2.1响应文件由下列文件组成：</w:t>
      </w:r>
    </w:p>
    <w:p>
      <w:pPr>
        <w:tabs>
          <w:tab w:val="left" w:pos="2730"/>
        </w:tabs>
        <w:spacing w:line="360" w:lineRule="auto"/>
        <w:ind w:firstLine="411" w:firstLineChars="19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（1）资格审查文件；</w:t>
      </w:r>
      <w:r>
        <w:rPr>
          <w:rFonts w:hint="default" w:ascii="Times New Roman" w:hAnsi="Times New Roman" w:cs="Times New Roman"/>
          <w:color w:val="auto"/>
          <w:szCs w:val="21"/>
          <w:highlight w:val="none"/>
        </w:rPr>
        <w:tab/>
      </w:r>
    </w:p>
    <w:p>
      <w:pPr>
        <w:spacing w:line="360" w:lineRule="auto"/>
        <w:ind w:firstLine="411" w:firstLineChars="19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（2）商务文件；</w:t>
      </w:r>
    </w:p>
    <w:p>
      <w:pPr>
        <w:spacing w:line="360" w:lineRule="auto"/>
        <w:ind w:firstLine="411" w:firstLineChars="19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（3）技术文件。</w:t>
      </w:r>
    </w:p>
    <w:p>
      <w:pPr>
        <w:spacing w:line="360" w:lineRule="auto"/>
        <w:ind w:firstLine="411" w:firstLineChars="19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4.2.2 </w:t>
      </w:r>
      <w:r>
        <w:rPr>
          <w:rFonts w:hint="default" w:ascii="Times New Roman" w:hAnsi="Times New Roman" w:cs="Times New Roman"/>
          <w:b/>
          <w:color w:val="auto"/>
          <w:szCs w:val="21"/>
          <w:highlight w:val="none"/>
        </w:rPr>
        <w:t>资格审查文件</w:t>
      </w:r>
      <w:r>
        <w:rPr>
          <w:rFonts w:hint="default" w:ascii="Times New Roman" w:hAnsi="Times New Roman" w:cs="Times New Roman"/>
          <w:color w:val="auto"/>
          <w:szCs w:val="21"/>
          <w:highlight w:val="none"/>
        </w:rPr>
        <w:t>包括本章第3.1.1</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3.1.2、3.1.3</w:t>
      </w:r>
      <w:r>
        <w:rPr>
          <w:rFonts w:hint="default" w:ascii="Times New Roman" w:hAnsi="Times New Roman" w:cs="Times New Roman"/>
          <w:color w:val="auto"/>
          <w:szCs w:val="21"/>
          <w:highlight w:val="none"/>
        </w:rPr>
        <w:t>条款内容。</w:t>
      </w:r>
    </w:p>
    <w:p>
      <w:pPr>
        <w:spacing w:line="360" w:lineRule="auto"/>
        <w:ind w:firstLine="411" w:firstLineChars="19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4.2.3 </w:t>
      </w:r>
      <w:r>
        <w:rPr>
          <w:rFonts w:hint="default" w:ascii="Times New Roman" w:hAnsi="Times New Roman" w:cs="Times New Roman"/>
          <w:b/>
          <w:color w:val="auto"/>
          <w:szCs w:val="21"/>
          <w:highlight w:val="none"/>
        </w:rPr>
        <w:t>商务文件</w:t>
      </w:r>
      <w:r>
        <w:rPr>
          <w:rFonts w:hint="default" w:ascii="Times New Roman" w:hAnsi="Times New Roman" w:cs="Times New Roman"/>
          <w:color w:val="auto"/>
          <w:szCs w:val="21"/>
          <w:highlight w:val="none"/>
        </w:rPr>
        <w:t>主要包括下列内容：</w:t>
      </w:r>
    </w:p>
    <w:p>
      <w:pPr>
        <w:spacing w:line="360" w:lineRule="auto"/>
        <w:ind w:left="504" w:leftChars="226" w:hanging="29" w:hangingChars="1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（1）磋商响应函；</w:t>
      </w:r>
    </w:p>
    <w:p>
      <w:pPr>
        <w:spacing w:line="360" w:lineRule="auto"/>
        <w:ind w:left="504" w:leftChars="226" w:hanging="29" w:hangingChars="1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（2）磋商报价；</w:t>
      </w:r>
    </w:p>
    <w:p>
      <w:pPr>
        <w:spacing w:line="360" w:lineRule="auto"/>
        <w:ind w:left="523" w:leftChars="236" w:hanging="27" w:hangingChars="13"/>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（3）证明所提供货物（产品）的合格性；</w:t>
      </w:r>
    </w:p>
    <w:p>
      <w:pPr>
        <w:spacing w:line="360" w:lineRule="auto"/>
        <w:ind w:left="523" w:leftChars="236" w:hanging="27" w:hangingChars="13"/>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（4）商务条款偏离表；</w:t>
      </w:r>
    </w:p>
    <w:p>
      <w:pPr>
        <w:spacing w:line="360" w:lineRule="auto"/>
        <w:ind w:left="504" w:leftChars="226" w:hanging="29" w:hangingChars="1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（5）承诺及售后服务；</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（6）其他证明材料。</w:t>
      </w:r>
    </w:p>
    <w:p>
      <w:pPr>
        <w:spacing w:line="360" w:lineRule="auto"/>
        <w:ind w:left="504" w:leftChars="226" w:hanging="29" w:hangingChars="1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4.2.4 </w:t>
      </w:r>
      <w:r>
        <w:rPr>
          <w:rFonts w:hint="default" w:ascii="Times New Roman" w:hAnsi="Times New Roman" w:cs="Times New Roman"/>
          <w:b/>
          <w:color w:val="auto"/>
          <w:szCs w:val="21"/>
          <w:highlight w:val="none"/>
        </w:rPr>
        <w:t>技术文件</w:t>
      </w:r>
      <w:r>
        <w:rPr>
          <w:rFonts w:hint="default" w:ascii="Times New Roman" w:hAnsi="Times New Roman" w:cs="Times New Roman"/>
          <w:color w:val="auto"/>
          <w:szCs w:val="21"/>
          <w:highlight w:val="none"/>
        </w:rPr>
        <w:t>主要包括下列内容：</w:t>
      </w:r>
    </w:p>
    <w:bookmarkEnd w:id="61"/>
    <w:bookmarkEnd w:id="62"/>
    <w:bookmarkEnd w:id="63"/>
    <w:p>
      <w:pPr>
        <w:spacing w:line="360" w:lineRule="auto"/>
        <w:ind w:left="504" w:leftChars="226" w:hanging="29" w:hangingChars="14"/>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（1）提供货物（产品）的品牌、型号、配置；</w:t>
      </w:r>
    </w:p>
    <w:p>
      <w:pPr>
        <w:spacing w:line="360" w:lineRule="auto"/>
        <w:ind w:left="504" w:leftChars="226" w:hanging="29" w:hangingChars="14"/>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（2）详细的技术性能指标（参数）详细描述；</w:t>
      </w:r>
    </w:p>
    <w:p>
      <w:pPr>
        <w:spacing w:line="360" w:lineRule="auto"/>
        <w:ind w:left="523" w:leftChars="236" w:hanging="27" w:hangingChars="13"/>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（3）技术支持资料；</w:t>
      </w:r>
    </w:p>
    <w:p>
      <w:pPr>
        <w:spacing w:line="360" w:lineRule="auto"/>
        <w:ind w:firstLine="525" w:firstLineChars="25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（4）技术服务、项目实施方案；</w:t>
      </w:r>
    </w:p>
    <w:p>
      <w:pPr>
        <w:spacing w:line="360" w:lineRule="auto"/>
        <w:ind w:firstLine="525" w:firstLineChars="25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（5）技术要求偏离表；</w:t>
      </w:r>
    </w:p>
    <w:p>
      <w:pPr>
        <w:spacing w:line="360" w:lineRule="auto"/>
        <w:ind w:firstLine="525" w:firstLineChars="25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（6）产品彩页资料；</w:t>
      </w:r>
    </w:p>
    <w:p>
      <w:pPr>
        <w:spacing w:line="360" w:lineRule="auto"/>
        <w:ind w:firstLine="525" w:firstLineChars="25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（7）产品工作环境条件；</w:t>
      </w:r>
    </w:p>
    <w:p>
      <w:pPr>
        <w:spacing w:line="360" w:lineRule="auto"/>
        <w:ind w:firstLine="525" w:firstLineChars="25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（8）产品验收标准和验收方法；</w:t>
      </w:r>
    </w:p>
    <w:p>
      <w:pPr>
        <w:spacing w:line="360" w:lineRule="auto"/>
        <w:ind w:left="105" w:leftChars="50" w:firstLine="420" w:firstLineChars="20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（9）产品验收清单（注明各部件的品名、数量、价格、规格型号和原产地或制造商）；</w:t>
      </w:r>
    </w:p>
    <w:p>
      <w:pPr>
        <w:spacing w:line="360" w:lineRule="auto"/>
        <w:ind w:left="1" w:firstLine="518" w:firstLineChars="247"/>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（10）产品属于强制认证的应提供强制认证复印件（如：3C认证等）；</w:t>
      </w:r>
    </w:p>
    <w:p>
      <w:pPr>
        <w:spacing w:line="360" w:lineRule="auto"/>
        <w:ind w:left="1" w:firstLine="518" w:firstLineChars="247"/>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（11）供应商认为需要提供的文件和资料。</w:t>
      </w:r>
    </w:p>
    <w:p>
      <w:pPr>
        <w:spacing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4.3磋商报价</w:t>
      </w:r>
    </w:p>
    <w:p>
      <w:pPr>
        <w:adjustRightInd w:val="0"/>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4.3.1 供应商应当按照磋商文件要求进行磋商报价，并充分了解本采购项目的总体情况以及影响磋商报价的其他要素。</w:t>
      </w:r>
    </w:p>
    <w:p>
      <w:pPr>
        <w:adjustRightInd w:val="0"/>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4.3.2</w:t>
      </w: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供应商的磋商报价是供应商响应磋商项目要求的全部工作内容的价格体现，包括供应商完成本项目所需的人工费、设备费、管理费、</w:t>
      </w:r>
      <w:r>
        <w:rPr>
          <w:rFonts w:hint="default" w:ascii="Times New Roman" w:hAnsi="Times New Roman" w:eastAsia="宋体" w:cs="Times New Roman"/>
          <w:color w:val="auto"/>
          <w:szCs w:val="21"/>
          <w:highlight w:val="none"/>
          <w:lang w:val="en-US" w:eastAsia="zh-CN"/>
        </w:rPr>
        <w:t>运杂费</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安装调试费</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检测</w:t>
      </w:r>
      <w:r>
        <w:rPr>
          <w:rFonts w:hint="default" w:ascii="Times New Roman" w:hAnsi="Times New Roman" w:eastAsia="宋体" w:cs="Times New Roman"/>
          <w:color w:val="auto"/>
          <w:szCs w:val="21"/>
          <w:highlight w:val="none"/>
        </w:rPr>
        <w:t>验收费、采购代理服务费、利润和税金等全部费用。在提供服务的过程中的任何遗漏，均由成交供应商免费提供，采购人将不再支付任何费用。</w:t>
      </w:r>
    </w:p>
    <w:p>
      <w:pPr>
        <w:adjustRightInd w:val="0"/>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4.3.3 </w:t>
      </w:r>
      <w:r>
        <w:rPr>
          <w:rFonts w:hint="default" w:ascii="Times New Roman" w:hAnsi="Times New Roman" w:eastAsia="宋体" w:cs="Times New Roman"/>
          <w:b/>
          <w:color w:val="auto"/>
          <w:szCs w:val="21"/>
          <w:highlight w:val="none"/>
        </w:rPr>
        <w:t>本项目将根据磋商的具体情况来确定磋商轮次，最终一轮磋商报价为最后报价</w:t>
      </w:r>
      <w:r>
        <w:rPr>
          <w:rFonts w:hint="default" w:ascii="Times New Roman" w:hAnsi="Times New Roman" w:eastAsia="宋体" w:cs="Times New Roman"/>
          <w:color w:val="auto"/>
          <w:szCs w:val="21"/>
          <w:highlight w:val="none"/>
        </w:rPr>
        <w:t>。</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4.3.4供应商的各轮次磋商报价不得超过供应商</w:t>
      </w:r>
      <w:r>
        <w:rPr>
          <w:rFonts w:hint="default" w:ascii="Times New Roman" w:hAnsi="Times New Roman" w:cs="Times New Roman"/>
          <w:b/>
          <w:color w:val="auto"/>
          <w:szCs w:val="21"/>
          <w:highlight w:val="none"/>
        </w:rPr>
        <w:t>须知前附表规定的</w:t>
      </w:r>
      <w:r>
        <w:rPr>
          <w:rFonts w:hint="default" w:ascii="Times New Roman" w:hAnsi="Times New Roman" w:cs="Times New Roman"/>
          <w:color w:val="auto"/>
          <w:szCs w:val="21"/>
          <w:highlight w:val="none"/>
        </w:rPr>
        <w:t>预算金额，否则，作为不实质性响应磋商文件，按无效响应文件处理；</w:t>
      </w:r>
      <w:r>
        <w:rPr>
          <w:rFonts w:hint="default" w:ascii="Times New Roman" w:hAnsi="Times New Roman" w:cs="Times New Roman"/>
          <w:b/>
          <w:color w:val="auto"/>
          <w:szCs w:val="21"/>
          <w:highlight w:val="none"/>
        </w:rPr>
        <w:t>供应商须知前附表设定</w:t>
      </w:r>
      <w:r>
        <w:rPr>
          <w:rFonts w:hint="default" w:ascii="Times New Roman" w:hAnsi="Times New Roman" w:cs="Times New Roman"/>
          <w:color w:val="auto"/>
          <w:szCs w:val="21"/>
          <w:highlight w:val="none"/>
        </w:rPr>
        <w:t>了最高限价的，供应商的各轮次磋商报价也不得超过最高限价，否则，作为不实质性响应磋商文件，按无效响应文件处理。</w:t>
      </w:r>
    </w:p>
    <w:p>
      <w:pPr>
        <w:adjustRightInd w:val="0"/>
        <w:snapToGrid w:val="0"/>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4.3.5 供应商</w:t>
      </w:r>
      <w:r>
        <w:rPr>
          <w:rFonts w:hint="default" w:ascii="Times New Roman" w:hAnsi="Times New Roman" w:cs="Times New Roman"/>
          <w:color w:val="auto"/>
          <w:kern w:val="0"/>
          <w:szCs w:val="21"/>
          <w:highlight w:val="none"/>
        </w:rPr>
        <w:t>应按</w:t>
      </w:r>
      <w:r>
        <w:rPr>
          <w:rFonts w:hint="default" w:ascii="Times New Roman" w:hAnsi="Times New Roman" w:cs="Times New Roman"/>
          <w:color w:val="auto"/>
          <w:szCs w:val="21"/>
          <w:highlight w:val="none"/>
        </w:rPr>
        <w:t>“磋商报价一览表”及“分项报价明细表”</w:t>
      </w:r>
      <w:r>
        <w:rPr>
          <w:rFonts w:hint="default" w:ascii="Times New Roman" w:hAnsi="Times New Roman" w:cs="Times New Roman"/>
          <w:color w:val="auto"/>
          <w:kern w:val="0"/>
          <w:szCs w:val="21"/>
          <w:highlight w:val="none"/>
        </w:rPr>
        <w:t>的内容</w:t>
      </w:r>
      <w:r>
        <w:rPr>
          <w:rFonts w:hint="default" w:ascii="Times New Roman" w:hAnsi="Times New Roman" w:cs="Times New Roman"/>
          <w:color w:val="auto"/>
          <w:szCs w:val="21"/>
          <w:highlight w:val="none"/>
        </w:rPr>
        <w:t>和格式要求填写各项服务的分项价格和总价。磋商报价为各分项报价金额之和。磋商报价与分项报价的合价不一致的，应以各分项合价累计数为准，修正磋商报价；如分项报价中存在遗漏项，视为缺项价格已包含在其他分项报价之中。</w:t>
      </w:r>
    </w:p>
    <w:p>
      <w:pPr>
        <w:adjustRightInd w:val="0"/>
        <w:snapToGrid w:val="0"/>
        <w:spacing w:line="360" w:lineRule="auto"/>
        <w:ind w:firstLine="420"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rPr>
        <w:t xml:space="preserve">4.3.6 </w:t>
      </w:r>
      <w:r>
        <w:rPr>
          <w:rFonts w:hint="default" w:ascii="Times New Roman" w:hAnsi="Times New Roman" w:eastAsia="宋体" w:cs="Times New Roman"/>
          <w:b/>
          <w:color w:val="auto"/>
          <w:kern w:val="0"/>
          <w:szCs w:val="21"/>
          <w:highlight w:val="none"/>
        </w:rPr>
        <w:t>供应商除首次磋商报价外，其余轮次报价只报总价，不报分项价格，由供应商法定代表人签字或者委托代理人签字或者加盖单位章确认。由委托代理人签字的，应附法人代表授权委托书；供应商为自然人的，应当由本人签字。</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4.3.7 成交后供应商不得擅自改变服务内容、服务标准、服务期限和追加项目预算。磋商报价在合同履行过程中是固定不变的，任何有选择或可调整的报价将不予接受，并按无效响应文件处理。</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4.3.8采购人不接受供应商给予的赠品、回扣或者与采购无关的其他商品、服务。如有赠与行为，其响应文件无效。</w:t>
      </w:r>
    </w:p>
    <w:p>
      <w:pPr>
        <w:spacing w:before="120" w:beforeLines="50" w:after="120" w:afterLines="50" w:line="360" w:lineRule="auto"/>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4.4磋商有效期</w:t>
      </w:r>
    </w:p>
    <w:p>
      <w:pPr>
        <w:tabs>
          <w:tab w:val="left" w:pos="7665"/>
        </w:tabs>
        <w:spacing w:line="360" w:lineRule="auto"/>
        <w:ind w:left="13" w:leftChars="6"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4.4.1磋商有效期见供应商须知前附表。</w:t>
      </w:r>
      <w:r>
        <w:rPr>
          <w:rFonts w:hint="default" w:ascii="Times New Roman" w:hAnsi="Times New Roman" w:cs="Times New Roman"/>
          <w:color w:val="auto"/>
          <w:highlight w:val="none"/>
        </w:rPr>
        <w:t>在此期间响应文件对供应商具有法律约束力，从</w:t>
      </w:r>
      <w:r>
        <w:rPr>
          <w:rFonts w:hint="default" w:ascii="Times New Roman" w:hAnsi="Times New Roman" w:cs="Times New Roman"/>
          <w:b/>
          <w:color w:val="auto"/>
          <w:highlight w:val="none"/>
        </w:rPr>
        <w:t>供应商须知前附表规定</w:t>
      </w:r>
      <w:r>
        <w:rPr>
          <w:rFonts w:hint="default" w:ascii="Times New Roman" w:hAnsi="Times New Roman" w:cs="Times New Roman"/>
          <w:color w:val="auto"/>
          <w:highlight w:val="none"/>
        </w:rPr>
        <w:t>的</w:t>
      </w:r>
      <w:r>
        <w:rPr>
          <w:rFonts w:hint="default" w:ascii="Times New Roman" w:hAnsi="Times New Roman" w:cs="Times New Roman"/>
          <w:color w:val="auto"/>
          <w:kern w:val="0"/>
          <w:highlight w:val="none"/>
        </w:rPr>
        <w:t>递交首次响应文件截止时间</w:t>
      </w:r>
      <w:r>
        <w:rPr>
          <w:rFonts w:hint="default" w:ascii="Times New Roman" w:hAnsi="Times New Roman" w:cs="Times New Roman"/>
          <w:color w:val="auto"/>
          <w:highlight w:val="none"/>
        </w:rPr>
        <w:t>之日起计算。</w:t>
      </w:r>
      <w:r>
        <w:rPr>
          <w:rFonts w:hint="default" w:ascii="Times New Roman" w:hAnsi="Times New Roman" w:cs="Times New Roman"/>
          <w:color w:val="auto"/>
          <w:szCs w:val="21"/>
          <w:highlight w:val="none"/>
        </w:rPr>
        <w:t>响应文件中必须载明磋商有效期，载明的磋商有效期可以长于磋商文件规定的期限，但不得短于磋商文件规定的期限，否则，属于</w:t>
      </w:r>
      <w:r>
        <w:rPr>
          <w:rFonts w:hint="default" w:ascii="Times New Roman" w:hAnsi="Times New Roman" w:cs="Times New Roman"/>
          <w:color w:val="auto"/>
          <w:szCs w:val="21"/>
          <w:highlight w:val="none"/>
          <w:lang w:eastAsia="zh-CN"/>
        </w:rPr>
        <w:t>未</w:t>
      </w:r>
      <w:r>
        <w:rPr>
          <w:rFonts w:hint="default" w:ascii="Times New Roman" w:hAnsi="Times New Roman" w:cs="Times New Roman"/>
          <w:color w:val="auto"/>
          <w:szCs w:val="21"/>
          <w:highlight w:val="none"/>
        </w:rPr>
        <w:t>实质性响应，将按无效响应文件处理。</w:t>
      </w:r>
    </w:p>
    <w:p>
      <w:pPr>
        <w:tabs>
          <w:tab w:val="left" w:pos="7665"/>
        </w:tabs>
        <w:spacing w:line="360" w:lineRule="auto"/>
        <w:ind w:left="13" w:leftChars="6"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4.4.2 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但供应商有权收回其磋商保证金。</w:t>
      </w:r>
    </w:p>
    <w:p>
      <w:pPr>
        <w:tabs>
          <w:tab w:val="left" w:pos="766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4.4.3 在磋商有效期内，供应商撤销响应文件的，应承担磋商文件和法律规定的责任。</w:t>
      </w:r>
    </w:p>
    <w:p>
      <w:pPr>
        <w:tabs>
          <w:tab w:val="left" w:pos="7665"/>
        </w:tabs>
        <w:spacing w:line="360" w:lineRule="auto"/>
        <w:ind w:left="13" w:leftChars="6"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4.4.4 成交供应商的磋商有效期自动延长至合同终止为止。</w:t>
      </w:r>
    </w:p>
    <w:p>
      <w:pPr>
        <w:pStyle w:val="4"/>
        <w:spacing w:before="120" w:beforeLines="50" w:after="120" w:afterLines="50" w:line="360" w:lineRule="auto"/>
        <w:ind w:firstLine="0"/>
        <w:rPr>
          <w:rFonts w:hint="default" w:ascii="Times New Roman" w:hAnsi="Times New Roman" w:eastAsia="宋体" w:cs="Times New Roman"/>
          <w:b/>
          <w:color w:val="auto"/>
          <w:sz w:val="30"/>
          <w:szCs w:val="30"/>
          <w:highlight w:val="none"/>
          <w:lang w:eastAsia="zh-CN"/>
        </w:rPr>
      </w:pPr>
      <w:r>
        <w:rPr>
          <w:rFonts w:hint="default" w:ascii="Times New Roman" w:hAnsi="Times New Roman" w:cs="Times New Roman"/>
          <w:b/>
          <w:bCs/>
          <w:color w:val="auto"/>
          <w:sz w:val="30"/>
          <w:szCs w:val="30"/>
          <w:highlight w:val="none"/>
        </w:rPr>
        <w:t>4.5磋商保证金</w:t>
      </w:r>
    </w:p>
    <w:p>
      <w:pPr>
        <w:spacing w:line="360" w:lineRule="auto"/>
        <w:ind w:firstLine="630" w:firstLineChars="3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本项目不提交磋商保证金。</w:t>
      </w:r>
    </w:p>
    <w:p>
      <w:pPr>
        <w:spacing w:before="120" w:beforeLines="50" w:after="120" w:afterLines="50" w:line="360" w:lineRule="auto"/>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4.6 商务文件</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b/>
          <w:bCs/>
          <w:color w:val="auto"/>
          <w:sz w:val="24"/>
          <w:highlight w:val="none"/>
        </w:rPr>
        <w:t xml:space="preserve">   </w:t>
      </w:r>
      <w:r>
        <w:rPr>
          <w:rFonts w:hint="default" w:ascii="Times New Roman" w:hAnsi="Times New Roman" w:cs="Times New Roman"/>
          <w:b/>
          <w:bCs/>
          <w:color w:val="auto"/>
          <w:szCs w:val="21"/>
          <w:highlight w:val="none"/>
        </w:rPr>
        <w:t xml:space="preserve"> </w:t>
      </w:r>
      <w:r>
        <w:rPr>
          <w:rFonts w:hint="default" w:ascii="Times New Roman" w:hAnsi="Times New Roman" w:cs="Times New Roman"/>
          <w:bCs/>
          <w:color w:val="auto"/>
          <w:szCs w:val="21"/>
          <w:highlight w:val="none"/>
        </w:rPr>
        <w:t>4.6.1供应商应</w:t>
      </w:r>
      <w:r>
        <w:rPr>
          <w:rFonts w:hint="default" w:ascii="Times New Roman" w:hAnsi="Times New Roman" w:cs="Times New Roman"/>
          <w:color w:val="auto"/>
          <w:szCs w:val="21"/>
          <w:highlight w:val="none"/>
        </w:rPr>
        <w:t>按照磋商文件商务要求做出完全响应。未作出商务响应的，作为不实质性响应磋商文件，按无效响应文件处理。</w:t>
      </w:r>
    </w:p>
    <w:p>
      <w:pPr>
        <w:spacing w:line="360" w:lineRule="auto"/>
        <w:ind w:left="2" w:leftChars="1"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4.6.2</w:t>
      </w:r>
      <w:r>
        <w:rPr>
          <w:rFonts w:hint="default" w:ascii="Times New Roman" w:hAnsi="Times New Roman" w:cs="Times New Roman"/>
          <w:bCs/>
          <w:color w:val="auto"/>
          <w:szCs w:val="21"/>
          <w:highlight w:val="none"/>
        </w:rPr>
        <w:t>供应商应按照磋商文件中售后服务要求作出积极响应。包括以下内容：</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（1）供应商设立的售后服务机构网点清单、服务电话和维修人员名单（加盖单位章）；</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（2）说明售后服务的响应机制、响应时间；如涉及提供货物（产品）的，还需说明产品的保修时间、保修期内的保修内容与范围、维修响应时间等并分别提供产品制造商和供应商的服务承诺和保障措施；</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（3）培训措施：说明培训内容及培训的时间、地点、目标、培训人数、收费标准和办法。</w:t>
      </w:r>
    </w:p>
    <w:p>
      <w:pPr>
        <w:spacing w:line="360" w:lineRule="auto"/>
        <w:ind w:left="2" w:leftChars="1"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4.6.3供应商应对以下（不限于）要求作出承诺：</w:t>
      </w:r>
    </w:p>
    <w:p>
      <w:pPr>
        <w:spacing w:line="360" w:lineRule="auto"/>
        <w:ind w:left="2" w:leftChars="1"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（1）</w:t>
      </w:r>
      <w:r>
        <w:rPr>
          <w:rFonts w:hint="default" w:ascii="Times New Roman" w:hAnsi="Times New Roman" w:cs="Times New Roman"/>
          <w:color w:val="auto"/>
          <w:szCs w:val="21"/>
          <w:highlight w:val="none"/>
        </w:rPr>
        <w:t>承诺给予采购人的各种优惠条件（优惠条件事项不能包括采购项目本身所包括涉及的采购事项。供应商不能以“赠送、赠予”等任何名义提供货物和服务以规避磋商文件的约束。否则，将作为无效响应文件处理，供应商的磋商行为将作为以不正当手段排挤其他供应商认定）</w:t>
      </w:r>
      <w:r>
        <w:rPr>
          <w:rFonts w:hint="default" w:ascii="Times New Roman" w:hAnsi="Times New Roman" w:cs="Times New Roman"/>
          <w:bCs/>
          <w:color w:val="auto"/>
          <w:szCs w:val="21"/>
          <w:highlight w:val="none"/>
        </w:rPr>
        <w:t>；</w:t>
      </w:r>
    </w:p>
    <w:p>
      <w:pPr>
        <w:spacing w:line="360" w:lineRule="auto"/>
        <w:ind w:left="2" w:leftChars="1"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（2）服务质量和</w:t>
      </w:r>
      <w:r>
        <w:rPr>
          <w:rFonts w:hint="default" w:ascii="Times New Roman" w:hAnsi="Times New Roman" w:cs="Times New Roman"/>
          <w:color w:val="auto"/>
          <w:szCs w:val="21"/>
          <w:highlight w:val="none"/>
        </w:rPr>
        <w:t>利于用户的售后服务承诺；</w:t>
      </w:r>
    </w:p>
    <w:p>
      <w:pPr>
        <w:spacing w:line="360" w:lineRule="auto"/>
        <w:ind w:left="2" w:leftChars="1"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（3）严格按照磋商文件对本项目的要求，精心组织、合理安排提供各项服务和产品（如有）；</w:t>
      </w:r>
    </w:p>
    <w:p>
      <w:pPr>
        <w:spacing w:line="360" w:lineRule="auto"/>
        <w:ind w:left="2" w:leftChars="1"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（4）未经采购人许可，不得将本采购项目采取转包实施的办法，一经发现，立即取消其成交资格，并承担由此产生的一切经济损失和法律后果；</w:t>
      </w:r>
    </w:p>
    <w:p>
      <w:pPr>
        <w:pStyle w:val="4"/>
        <w:spacing w:line="360" w:lineRule="auto"/>
        <w:ind w:firstLine="472" w:firstLineChars="22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（5）接受采购人或采购人委托相关单位对项目实施方案、服务进度、服务质量、售后服务、费用支付与结算审核等方面监督和管理；</w:t>
      </w:r>
    </w:p>
    <w:p>
      <w:pPr>
        <w:pStyle w:val="4"/>
        <w:spacing w:line="360" w:lineRule="auto"/>
        <w:ind w:firstLine="472" w:firstLineChars="22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（6）其它承诺。</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4.6.4 其他证明材料不是必备证明材料，仅作为评审因素；供应商未提供的，评审时不予考虑；包括供应商享受政府采购优惠政策的证明材料、近年类似业绩证明材料等。</w:t>
      </w:r>
    </w:p>
    <w:p>
      <w:pPr>
        <w:pStyle w:val="4"/>
        <w:spacing w:before="120" w:beforeLines="50" w:after="120" w:afterLines="50" w:line="360" w:lineRule="auto"/>
        <w:ind w:firstLine="0"/>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4.7 技术文件</w:t>
      </w:r>
    </w:p>
    <w:p>
      <w:pPr>
        <w:pStyle w:val="4"/>
        <w:spacing w:line="360" w:lineRule="auto"/>
        <w:ind w:firstLine="46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4.7.1 </w:t>
      </w:r>
      <w:r>
        <w:rPr>
          <w:rFonts w:hint="default" w:ascii="Times New Roman" w:hAnsi="Times New Roman" w:cs="Times New Roman"/>
          <w:bCs/>
          <w:color w:val="auto"/>
          <w:szCs w:val="21"/>
          <w:highlight w:val="none"/>
        </w:rPr>
        <w:t>供应商应</w:t>
      </w:r>
      <w:r>
        <w:rPr>
          <w:rFonts w:hint="default" w:ascii="Times New Roman" w:hAnsi="Times New Roman" w:cs="Times New Roman"/>
          <w:color w:val="auto"/>
          <w:szCs w:val="21"/>
          <w:highlight w:val="none"/>
        </w:rPr>
        <w:t xml:space="preserve">按照磋商文件要求做出的技术应答，主要是针对采购项目的技术指标、参数和技术服务要求做出的实质性响应和满足。 </w:t>
      </w:r>
    </w:p>
    <w:p>
      <w:pPr>
        <w:pStyle w:val="4"/>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4.7.2 证明服务和货物（产品）符合磋商文件要求的相关文件，可以是文字资料、图纸、数据、宣传彩页等，所有证明文件，表达意思必须统一。</w:t>
      </w:r>
    </w:p>
    <w:p>
      <w:pPr>
        <w:tabs>
          <w:tab w:val="left" w:pos="7665"/>
        </w:tabs>
        <w:spacing w:before="120" w:beforeLines="50" w:after="120" w:afterLines="50" w:line="360" w:lineRule="auto"/>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4.8 响应文件的制作和签署</w:t>
      </w:r>
    </w:p>
    <w:p>
      <w:pPr>
        <w:tabs>
          <w:tab w:val="left" w:pos="7665"/>
        </w:tabs>
        <w:spacing w:line="360" w:lineRule="auto"/>
        <w:ind w:left="13" w:leftChars="6"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4.8.1 响应文件应根据磋商文件的要求制作。供应商应填写全称，同时加盖单位章，签署、盖章和内容应完整，如有遗漏，将被视为无效响应文件。</w:t>
      </w:r>
    </w:p>
    <w:p>
      <w:pPr>
        <w:tabs>
          <w:tab w:val="left" w:pos="7665"/>
        </w:tabs>
        <w:spacing w:line="360" w:lineRule="auto"/>
        <w:ind w:left="13" w:leftChars="6"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4.8.2 响应文件格式。供应商应严格按照第六章提供的“响应文件格式”编写相关内容。除明确允许供应商可以自行编写外，供应商不得以“响应文件格式”规定之外的方式填写相关内容。否则，供应商提供的响应文件将作为无效响应文件处理。</w:t>
      </w:r>
    </w:p>
    <w:p>
      <w:pPr>
        <w:tabs>
          <w:tab w:val="left" w:pos="766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4.8.3 对于没有格式要求的响应文件由供应商自行编写。</w:t>
      </w:r>
    </w:p>
    <w:p>
      <w:pPr>
        <w:tabs>
          <w:tab w:val="left" w:pos="1080"/>
        </w:tabs>
        <w:spacing w:line="360" w:lineRule="auto"/>
        <w:ind w:firstLine="403" w:firstLineChars="19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4.8.4 供应商应按“供应商须知前附表”规定的份数准备响应文件正本、副本和相应的电子文件。正本和副本封面右上角应清楚地标明“正本”或“副本”字样。当副本和正本有不一致的内容，以正本书面响应文件为准。</w:t>
      </w:r>
    </w:p>
    <w:p>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4.8.5 响应文件的正本和副本均需打印或用不褪色、不变质的墨水书写，并由供应商的法定代表人或其委托代理人在规定签章处签字和盖章。响应文件副本可采用正本的复印件。</w:t>
      </w:r>
    </w:p>
    <w:p>
      <w:pPr>
        <w:tabs>
          <w:tab w:val="left" w:pos="1095"/>
        </w:tabs>
        <w:spacing w:line="360" w:lineRule="auto"/>
        <w:ind w:firstLine="403" w:firstLineChars="19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4.8.6 响应文件的打印或书写应清楚工整，尽量避免行间插字、涂改或增删。如出现上述情况，改动之处应由供应商的法定代表人或其委托代理人签字或盖单位章。字迹潦草、表达不清或可能导致非唯一理解的响应文件可能视为无效响应文件。</w:t>
      </w:r>
    </w:p>
    <w:p>
      <w:pPr>
        <w:tabs>
          <w:tab w:val="left" w:pos="1080"/>
        </w:tabs>
        <w:spacing w:line="360" w:lineRule="auto"/>
        <w:ind w:firstLine="403" w:firstLineChars="19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4.8.7 响应文件的正本和副本</w:t>
      </w:r>
      <w:r>
        <w:rPr>
          <w:rFonts w:hint="default" w:ascii="Times New Roman" w:hAnsi="Times New Roman" w:cs="Times New Roman"/>
          <w:color w:val="auto"/>
          <w:szCs w:val="21"/>
          <w:highlight w:val="none"/>
          <w:lang w:val="zh-CN"/>
        </w:rPr>
        <w:t>一律采用A4纸幅面（若有部分文件图表等大于</w:t>
      </w:r>
      <w:r>
        <w:rPr>
          <w:rFonts w:hint="default" w:ascii="Times New Roman" w:hAnsi="Times New Roman" w:cs="Times New Roman"/>
          <w:color w:val="auto"/>
          <w:szCs w:val="21"/>
          <w:highlight w:val="none"/>
          <w:lang w:val="en-US" w:eastAsia="zh-CN"/>
        </w:rPr>
        <w:t>A4页面的折叠成A4页面大小</w:t>
      </w:r>
      <w:r>
        <w:rPr>
          <w:rFonts w:hint="default" w:ascii="Times New Roman" w:hAnsi="Times New Roman" w:cs="Times New Roman"/>
          <w:color w:val="auto"/>
          <w:szCs w:val="21"/>
          <w:highlight w:val="none"/>
          <w:lang w:val="zh-CN"/>
        </w:rPr>
        <w:t>），并</w:t>
      </w:r>
      <w:r>
        <w:rPr>
          <w:rFonts w:hint="default" w:ascii="Times New Roman" w:hAnsi="Times New Roman" w:cs="Times New Roman"/>
          <w:color w:val="auto"/>
          <w:szCs w:val="21"/>
          <w:highlight w:val="none"/>
        </w:rPr>
        <w:t>分别装订和编制目录。响应文件需分册装订的，具体分册装订要求见</w:t>
      </w:r>
      <w:r>
        <w:rPr>
          <w:rFonts w:hint="default" w:ascii="Times New Roman" w:hAnsi="Times New Roman" w:cs="Times New Roman"/>
          <w:color w:val="auto"/>
          <w:szCs w:val="21"/>
          <w:highlight w:val="none"/>
          <w:lang w:val="zh-CN"/>
        </w:rPr>
        <w:t>供应商须知前附表的规定。响应文件</w:t>
      </w:r>
      <w:r>
        <w:rPr>
          <w:rFonts w:hint="default" w:ascii="Times New Roman" w:hAnsi="Times New Roman" w:cs="Times New Roman"/>
          <w:color w:val="auto"/>
          <w:szCs w:val="21"/>
          <w:highlight w:val="none"/>
        </w:rPr>
        <w:t>胶装后，页面不可抽取，不得有活动页，无破损、不可拆分。</w:t>
      </w:r>
    </w:p>
    <w:p>
      <w:pPr>
        <w:spacing w:line="360" w:lineRule="auto"/>
        <w:ind w:firstLine="422" w:firstLineChars="200"/>
        <w:jc w:val="left"/>
        <w:rPr>
          <w:rFonts w:hint="default" w:ascii="Times New Roman" w:hAnsi="Times New Roman" w:cs="Times New Roman"/>
          <w:b/>
          <w:color w:val="auto"/>
          <w:szCs w:val="21"/>
          <w:highlight w:val="none"/>
        </w:rPr>
      </w:pPr>
      <w:r>
        <w:rPr>
          <w:rFonts w:hint="default" w:ascii="Times New Roman" w:hAnsi="Times New Roman" w:cs="Times New Roman"/>
          <w:b/>
          <w:bCs/>
          <w:color w:val="auto"/>
          <w:szCs w:val="21"/>
          <w:highlight w:val="none"/>
        </w:rPr>
        <w:t>4.8.8 电子文件制作要求。</w:t>
      </w:r>
      <w:r>
        <w:rPr>
          <w:rFonts w:hint="default" w:ascii="Times New Roman" w:hAnsi="Times New Roman" w:cs="Times New Roman"/>
          <w:color w:val="auto"/>
          <w:szCs w:val="21"/>
          <w:highlight w:val="none"/>
        </w:rPr>
        <w:t>电子文件与纸质正本响应文件的内容应保持一致，具有同等法律效力。电子文件采用PDF格式，需要签字和盖章的，可采用电子印章，或者将有盖章和签字的纸质页面、证件等扫描文件一起编辑到PDF格式文件中，尤其是有盖章和签字的页不能遗漏。电子文件</w:t>
      </w:r>
      <w:r>
        <w:rPr>
          <w:rFonts w:hint="default" w:ascii="Times New Roman" w:hAnsi="Times New Roman" w:cs="Times New Roman"/>
          <w:b/>
          <w:color w:val="auto"/>
          <w:szCs w:val="21"/>
          <w:highlight w:val="none"/>
        </w:rPr>
        <w:t>应采用带有序列号的只读光盘（CD-R/DVD-R）刻录，光盘应具有项目名称和供应商名称标识。未按规定制作电子文件或开启响应文件现场电子光盘因自身原因导致无法读取的</w:t>
      </w:r>
      <w:r>
        <w:rPr>
          <w:rFonts w:hint="default" w:ascii="Times New Roman" w:hAnsi="Times New Roman" w:cs="Times New Roman"/>
          <w:color w:val="auto"/>
          <w:szCs w:val="21"/>
          <w:highlight w:val="none"/>
        </w:rPr>
        <w:t>，</w:t>
      </w:r>
      <w:r>
        <w:rPr>
          <w:rFonts w:hint="default" w:ascii="Times New Roman" w:hAnsi="Times New Roman" w:cs="Times New Roman"/>
          <w:b/>
          <w:color w:val="auto"/>
          <w:szCs w:val="21"/>
          <w:highlight w:val="none"/>
        </w:rPr>
        <w:t>按无效响应文件处理。</w:t>
      </w:r>
    </w:p>
    <w:p>
      <w:pPr>
        <w:tabs>
          <w:tab w:val="left" w:pos="1080"/>
        </w:tabs>
        <w:spacing w:before="120" w:beforeLines="50" w:after="120" w:afterLines="50" w:line="360" w:lineRule="auto"/>
        <w:outlineLvl w:val="1"/>
        <w:rPr>
          <w:rFonts w:hint="default" w:ascii="Times New Roman" w:hAnsi="Times New Roman" w:eastAsia="黑体" w:cs="Times New Roman"/>
          <w:b/>
          <w:bCs/>
          <w:color w:val="auto"/>
          <w:sz w:val="32"/>
          <w:szCs w:val="32"/>
          <w:highlight w:val="none"/>
        </w:rPr>
      </w:pPr>
      <w:bookmarkStart w:id="64" w:name="_Toc29244"/>
      <w:r>
        <w:rPr>
          <w:rFonts w:hint="default" w:ascii="Times New Roman" w:hAnsi="Times New Roman" w:eastAsia="黑体" w:cs="Times New Roman"/>
          <w:b/>
          <w:bCs/>
          <w:color w:val="auto"/>
          <w:sz w:val="32"/>
          <w:szCs w:val="32"/>
          <w:highlight w:val="none"/>
        </w:rPr>
        <w:t>5.响应文件的提交</w:t>
      </w:r>
      <w:bookmarkEnd w:id="64"/>
    </w:p>
    <w:p>
      <w:pPr>
        <w:tabs>
          <w:tab w:val="left" w:pos="1080"/>
        </w:tabs>
        <w:spacing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5.1 响应文件内容要求</w:t>
      </w:r>
    </w:p>
    <w:p>
      <w:pPr>
        <w:tabs>
          <w:tab w:val="left" w:pos="1080"/>
        </w:tabs>
        <w:spacing w:line="360" w:lineRule="auto"/>
        <w:ind w:firstLine="403" w:firstLineChars="19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应仔细阅读磋商文件中的所有事项、格式、条款和要求，对磋商文件的全部内容及要求作出实质性响应，提交相应资料。若分包，应以包为单位提交，不得在其中选项提交或将其中内容再行分解；否则，响应文件将视为无效响应文件。</w:t>
      </w:r>
    </w:p>
    <w:p>
      <w:pPr>
        <w:tabs>
          <w:tab w:val="left" w:pos="1080"/>
        </w:tabs>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5.2 响应文件的密封和标记</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5.2.1 </w:t>
      </w:r>
      <w:r>
        <w:rPr>
          <w:rFonts w:hint="default" w:ascii="Times New Roman" w:hAnsi="Times New Roman" w:cs="Times New Roman"/>
          <w:color w:val="auto"/>
          <w:kern w:val="0"/>
          <w:szCs w:val="21"/>
          <w:highlight w:val="none"/>
        </w:rPr>
        <w:t>开启响应文件前，供应商应将响应文件所有正本、副本、电子文件全部密封。</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5.2.2 </w:t>
      </w:r>
      <w:r>
        <w:rPr>
          <w:rFonts w:hint="default" w:ascii="Times New Roman" w:hAnsi="Times New Roman" w:cs="Times New Roman"/>
          <w:color w:val="auto"/>
          <w:szCs w:val="21"/>
          <w:highlight w:val="none"/>
        </w:rPr>
        <w:t>响应文件装订、密封、装袋要求见供应商须知前附表，密封以不泄露供应商商业机密、资格内容、技术及商务内容为标准。</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5.2.3 响应文件封套上应写明的内容见供应商须知前附表。</w:t>
      </w:r>
    </w:p>
    <w:p>
      <w:pPr>
        <w:adjustRightInd w:val="0"/>
        <w:snapToGrid w:val="0"/>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5.2.4 未按要求密封的响应文件，采购代理机构将予以拒收。</w:t>
      </w:r>
    </w:p>
    <w:p>
      <w:pPr>
        <w:tabs>
          <w:tab w:val="left" w:pos="1080"/>
        </w:tabs>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bCs/>
          <w:color w:val="auto"/>
          <w:sz w:val="30"/>
          <w:szCs w:val="30"/>
          <w:highlight w:val="none"/>
        </w:rPr>
        <w:t>5.3 响应文件的提交</w:t>
      </w:r>
    </w:p>
    <w:p>
      <w:pPr>
        <w:tabs>
          <w:tab w:val="left" w:pos="1095"/>
        </w:tabs>
        <w:spacing w:line="360" w:lineRule="auto"/>
        <w:ind w:firstLine="403" w:firstLineChars="19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5.3.1 供应商应在供应商须知前附表规定的提交响应文件截止时间前提交响应文件。</w:t>
      </w:r>
    </w:p>
    <w:p>
      <w:pPr>
        <w:tabs>
          <w:tab w:val="left" w:pos="1095"/>
        </w:tabs>
        <w:spacing w:line="360" w:lineRule="auto"/>
        <w:ind w:firstLine="403" w:firstLineChars="19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5.3.2 供应商提交响应文件地点：见供应商须知前附表。</w:t>
      </w:r>
    </w:p>
    <w:p>
      <w:pPr>
        <w:tabs>
          <w:tab w:val="left" w:pos="1095"/>
        </w:tabs>
        <w:spacing w:line="360" w:lineRule="auto"/>
        <w:ind w:firstLine="403" w:firstLineChars="19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5.3.3 除供应商须知前附表另有规定外，供应商提交的响应文件不予退还。</w:t>
      </w:r>
    </w:p>
    <w:p>
      <w:pPr>
        <w:pStyle w:val="4"/>
        <w:spacing w:line="360" w:lineRule="auto"/>
        <w:ind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5.3.4采购代理机构收到响应文件后，应当如实记载响应文件的送达时间、份数、密封情况和提交人等信息。</w:t>
      </w:r>
    </w:p>
    <w:p>
      <w:pPr>
        <w:tabs>
          <w:tab w:val="left" w:pos="851"/>
          <w:tab w:val="left" w:pos="1095"/>
        </w:tabs>
        <w:spacing w:line="360" w:lineRule="auto"/>
        <w:ind w:firstLine="403" w:firstLineChars="19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5.3.5 逾期送达的响应文件，采购代理机构将予以拒收。</w:t>
      </w:r>
    </w:p>
    <w:p>
      <w:pPr>
        <w:pStyle w:val="4"/>
        <w:spacing w:line="360" w:lineRule="auto"/>
        <w:ind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5.3.6 本次磋商不接受邮寄的响应文件。</w:t>
      </w:r>
    </w:p>
    <w:p>
      <w:pPr>
        <w:pStyle w:val="4"/>
        <w:spacing w:line="360" w:lineRule="auto"/>
        <w:ind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5.3.7 需要供应商提供样品的，同响应文件一起提交。</w:t>
      </w:r>
    </w:p>
    <w:p>
      <w:pPr>
        <w:tabs>
          <w:tab w:val="left" w:pos="1080"/>
        </w:tabs>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bCs/>
          <w:color w:val="auto"/>
          <w:sz w:val="30"/>
          <w:szCs w:val="30"/>
          <w:highlight w:val="none"/>
        </w:rPr>
        <w:t>5.4 响应文件的修改和撤回</w:t>
      </w:r>
    </w:p>
    <w:p>
      <w:pPr>
        <w:spacing w:line="360" w:lineRule="auto"/>
        <w:ind w:firstLine="411" w:firstLineChars="19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5.4.1 在本章第5.3.1项规定的提交响应文件截止时间前，供应商可以补充、修改或者撤回已提交的响应文件，但应以书面形式通知采购代理机构。</w:t>
      </w:r>
    </w:p>
    <w:p>
      <w:pPr>
        <w:spacing w:line="360" w:lineRule="auto"/>
        <w:ind w:firstLine="411" w:firstLineChars="19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5.4.2 供应商的补充、修改或者撤回通知书，应由其法定代表人或委托代理人签署并盖单位章。补充、修改或者撤回通知书应按本章第5.2.2项规定进行密封，并在密封袋上标注“响应文件补充、修改”或“响应文件撤回通知”字样，“补充、修改文件”作为响应文件的组成部分。补充、修改内容与响应文件不一致的，以补充、修改的内容为准。</w:t>
      </w:r>
    </w:p>
    <w:p>
      <w:pPr>
        <w:spacing w:line="360" w:lineRule="auto"/>
        <w:ind w:firstLine="411" w:firstLineChars="19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5.4.3 供应商撤回响应文件的，采购代理机构自收到供应商书面撤回通知之日起5个工作日内退还已收取的磋商保证金。</w:t>
      </w:r>
    </w:p>
    <w:p>
      <w:pPr>
        <w:spacing w:line="360" w:lineRule="auto"/>
        <w:ind w:firstLine="411" w:firstLineChars="19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5.4.5 在提交响应文件截止时间之后，供应商不得对其提交的响应文件做任何补充、修改或者撤销响应文件。</w:t>
      </w:r>
    </w:p>
    <w:p>
      <w:pPr>
        <w:pStyle w:val="4"/>
        <w:spacing w:before="120" w:beforeLines="50" w:after="120" w:afterLines="50" w:line="360" w:lineRule="auto"/>
        <w:ind w:firstLine="0"/>
        <w:outlineLvl w:val="1"/>
        <w:rPr>
          <w:rFonts w:hint="default" w:ascii="Times New Roman" w:hAnsi="Times New Roman" w:eastAsia="黑体" w:cs="Times New Roman"/>
          <w:b/>
          <w:color w:val="auto"/>
          <w:sz w:val="32"/>
          <w:szCs w:val="32"/>
          <w:highlight w:val="none"/>
        </w:rPr>
      </w:pPr>
      <w:bookmarkStart w:id="65" w:name="_Toc4614"/>
      <w:r>
        <w:rPr>
          <w:rFonts w:hint="default" w:ascii="Times New Roman" w:hAnsi="Times New Roman" w:eastAsia="黑体" w:cs="Times New Roman"/>
          <w:b/>
          <w:color w:val="auto"/>
          <w:sz w:val="32"/>
          <w:szCs w:val="32"/>
          <w:highlight w:val="none"/>
        </w:rPr>
        <w:t>6.开启响应文件</w:t>
      </w:r>
      <w:bookmarkEnd w:id="65"/>
    </w:p>
    <w:p>
      <w:pPr>
        <w:spacing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6.1开启响应文件的时间和地点</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6.1.1 采购代理机构在供应商须知前附表中规定的开启响应文件时间和地点开启响应文件，并邀请采购人、所有获取磋商文件的供应商派代表准时参加并签到以证明其出席。</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6.1.2 采购代理机构将邀请有关监督管理机构对开启响应文件现场进行监督。</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6.1.3供应商不足3家的，不得开启响应文件。</w:t>
      </w:r>
    </w:p>
    <w:p>
      <w:pPr>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6.2 开启响应文件程序</w:t>
      </w:r>
    </w:p>
    <w:p>
      <w:pPr>
        <w:pStyle w:val="13"/>
        <w:ind w:firstLine="42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6.2.1 根据财政部《政府采购竞争性磋商采购方式管理暂行办法》（财库</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2014</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214号）第五条和《陕西省财政厅关于政府采购有关问题的通知》（陕财办采资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2016</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53号）文件第六条规定，开启响应文件和每轮磋商结束时均不公开报价。</w:t>
      </w:r>
    </w:p>
    <w:p>
      <w:pPr>
        <w:pStyle w:val="13"/>
        <w:ind w:firstLine="42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6.2.2开启响应文件由采购代理机构主持。主持人按照磋商文件规定的开启响应文件时间宣布开启响应文件开始，并按下列程序进行（但不限于）：</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（1）宣布开启响应文件开始和开启录音录像设备并致辞；</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（2）宣布开启响应文件纪律和有关注意事项；</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（3）公布在提交响应文件截止时间前提交响应文件的供应商名称（根据供应商签到表）；</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（4）宣布参加开启响应文件的现场</w:t>
      </w:r>
      <w:r>
        <w:rPr>
          <w:rFonts w:hint="default" w:ascii="Times New Roman" w:hAnsi="Times New Roman" w:cs="Times New Roman"/>
          <w:color w:val="auto"/>
          <w:szCs w:val="21"/>
          <w:highlight w:val="none"/>
          <w:lang w:eastAsia="zh-CN"/>
        </w:rPr>
        <w:t>监标人</w:t>
      </w:r>
      <w:r>
        <w:rPr>
          <w:rFonts w:hint="default" w:ascii="Times New Roman" w:hAnsi="Times New Roman" w:cs="Times New Roman"/>
          <w:color w:val="auto"/>
          <w:szCs w:val="21"/>
          <w:highlight w:val="none"/>
        </w:rPr>
        <w:t>和主持人、会议记录等有关工作人员姓名；</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（5）检查并宣布响应文件的密封情况； </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（6）启封响应文件；</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（7）启封响应文件结束，供应商退场；</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（8）向采购人及</w:t>
      </w:r>
      <w:r>
        <w:rPr>
          <w:rFonts w:hint="default" w:ascii="Times New Roman" w:hAnsi="Times New Roman" w:cs="Times New Roman"/>
          <w:color w:val="auto"/>
          <w:szCs w:val="21"/>
          <w:highlight w:val="none"/>
          <w:lang w:eastAsia="zh-CN"/>
        </w:rPr>
        <w:t>监标人</w:t>
      </w:r>
      <w:r>
        <w:rPr>
          <w:rFonts w:hint="default" w:ascii="Times New Roman" w:hAnsi="Times New Roman" w:cs="Times New Roman"/>
          <w:color w:val="auto"/>
          <w:szCs w:val="21"/>
          <w:highlight w:val="none"/>
        </w:rPr>
        <w:t>宣布供应商首次磋商报价，并由</w:t>
      </w:r>
      <w:r>
        <w:rPr>
          <w:rFonts w:hint="default" w:ascii="Times New Roman" w:hAnsi="Times New Roman" w:cs="Times New Roman"/>
          <w:color w:val="auto"/>
          <w:szCs w:val="21"/>
          <w:highlight w:val="none"/>
          <w:lang w:eastAsia="zh-CN"/>
        </w:rPr>
        <w:t>监标人</w:t>
      </w:r>
      <w:r>
        <w:rPr>
          <w:rFonts w:hint="default" w:ascii="Times New Roman" w:hAnsi="Times New Roman" w:cs="Times New Roman"/>
          <w:color w:val="auto"/>
          <w:szCs w:val="21"/>
          <w:highlight w:val="none"/>
        </w:rPr>
        <w:t>确认；</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（9）开启响应文件结束。</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6.2.3 所有提交了响应文件的供应商在退场后，不要远离会场并保持通讯设备的畅通，以方便后续磋商和在评审过程中磋商小组要求供应商对响应文件的必要澄清。</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6.2.4 检查响应文件密封情况是指，由供应商或者其推选的代表检查其自己提交的响应文件的密封情况，经检查无误后，签字确认。</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6.2.5 供应商或者其推选的代表确认响应文件情况，仅限于确认其自己提交的响应文件的密封情况，不代表对其他供应商的响应文件的密封情况确认。供应商或者其推选的代表检对其他供应商的响应文件密封情况有异议的，可以当场反映开启响应文件主持人或者现场</w:t>
      </w:r>
      <w:r>
        <w:rPr>
          <w:rFonts w:hint="default" w:ascii="Times New Roman" w:hAnsi="Times New Roman" w:cs="Times New Roman"/>
          <w:color w:val="auto"/>
          <w:szCs w:val="21"/>
          <w:highlight w:val="none"/>
          <w:lang w:eastAsia="zh-CN"/>
        </w:rPr>
        <w:t>监标人</w:t>
      </w:r>
      <w:r>
        <w:rPr>
          <w:rFonts w:hint="default" w:ascii="Times New Roman" w:hAnsi="Times New Roman" w:cs="Times New Roman"/>
          <w:color w:val="auto"/>
          <w:szCs w:val="21"/>
          <w:highlight w:val="none"/>
        </w:rPr>
        <w:t>，要求开启响应文件现场记录人员予以记录，但不得干扰、阻挠开启响应文件工作的正常进行。</w:t>
      </w:r>
    </w:p>
    <w:p>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6.2.6 供应商认为采购人、采购代理机构相关工作人员有需要回避情形的，应当场提出询问或者回避申请。采购人、采购代理机构对供应商提出的询问或者回避申请应当及时处理，并制作记录。</w:t>
      </w:r>
    </w:p>
    <w:p>
      <w:pPr>
        <w:pStyle w:val="4"/>
        <w:spacing w:before="120" w:beforeLines="50" w:after="120" w:afterLines="50" w:line="360" w:lineRule="auto"/>
        <w:ind w:firstLine="0"/>
        <w:outlineLvl w:val="1"/>
        <w:rPr>
          <w:rFonts w:hint="default" w:ascii="Times New Roman" w:hAnsi="Times New Roman" w:eastAsia="黑体" w:cs="Times New Roman"/>
          <w:color w:val="auto"/>
          <w:sz w:val="32"/>
          <w:szCs w:val="32"/>
          <w:highlight w:val="none"/>
        </w:rPr>
      </w:pPr>
      <w:bookmarkStart w:id="66" w:name="_Toc9764"/>
      <w:r>
        <w:rPr>
          <w:rFonts w:hint="default" w:ascii="Times New Roman" w:hAnsi="Times New Roman" w:eastAsia="黑体" w:cs="Times New Roman"/>
          <w:color w:val="auto"/>
          <w:sz w:val="32"/>
          <w:szCs w:val="32"/>
          <w:highlight w:val="none"/>
        </w:rPr>
        <w:t>7.磋商</w:t>
      </w:r>
      <w:bookmarkEnd w:id="66"/>
    </w:p>
    <w:p>
      <w:pPr>
        <w:spacing w:before="120" w:beforeLines="50" w:after="120" w:afterLines="50" w:line="360" w:lineRule="auto"/>
        <w:ind w:left="120" w:leftChars="50" w:hanging="15" w:hangingChars="5"/>
        <w:rPr>
          <w:rFonts w:hint="default" w:ascii="Times New Roman" w:hAnsi="Times New Roman" w:cs="Times New Roman"/>
          <w:color w:val="auto"/>
          <w:sz w:val="30"/>
          <w:szCs w:val="30"/>
          <w:highlight w:val="none"/>
        </w:rPr>
      </w:pPr>
      <w:bookmarkStart w:id="67" w:name="_Toc217446058"/>
      <w:r>
        <w:rPr>
          <w:rFonts w:hint="default" w:ascii="Times New Roman" w:hAnsi="Times New Roman" w:cs="Times New Roman"/>
          <w:b/>
          <w:color w:val="auto"/>
          <w:sz w:val="30"/>
          <w:szCs w:val="30"/>
          <w:highlight w:val="none"/>
        </w:rPr>
        <w:t>7.1 磋商小组</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7.1.1 磋商由采购代理机构依法组建的磋商小组负责。磋商小组由采购人代表和评审专家组成，成员由3人以上单数组成，或者达到公开招标限额标准的项目由5人以上单数组成，或者采购预算金额在1000万元以上、技术复杂的项目或者社会影响较大的项目由7人以上单数组成，其中评审专家不得少于成员总数的三分之二。采购人代表不得以评审专家身份参加本单位或者本部门采购项目的评审。</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7.1.2 评审专家应当从省级财政部门设立的政府采购评审专家库内相关专业的专家名单中随机抽取。</w:t>
      </w:r>
    </w:p>
    <w:p>
      <w:pPr>
        <w:spacing w:line="360" w:lineRule="auto"/>
        <w:ind w:left="120" w:leftChars="57"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7.1.3 磋商小组成员到位后，推荐一名评审专家担任磋商小组组长，并由磋商小组组长牵头组织该项目磋商工作，采购人代表，不得担任磋商小组组长。</w:t>
      </w:r>
    </w:p>
    <w:p>
      <w:pPr>
        <w:spacing w:line="360" w:lineRule="auto"/>
        <w:ind w:left="120" w:leftChars="57"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7.1.4 磋商小组成员有下列情形之一的，应当回避：</w:t>
      </w:r>
    </w:p>
    <w:p>
      <w:pPr>
        <w:spacing w:line="360" w:lineRule="auto"/>
        <w:ind w:left="120" w:leftChars="57"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（1）采购人或供应商的主要负责人的近亲属；</w:t>
      </w:r>
    </w:p>
    <w:p>
      <w:pPr>
        <w:spacing w:line="360" w:lineRule="auto"/>
        <w:ind w:left="120" w:leftChars="57"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（2）与供应商有经济利益关系，可能影响对响应文件公正评审的；</w:t>
      </w:r>
    </w:p>
    <w:p>
      <w:pPr>
        <w:spacing w:line="360" w:lineRule="auto"/>
        <w:ind w:left="120" w:leftChars="57"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（3）曾因在招标、评审以及其他与招标投标有关活动中从事违法行为而受过行政处罚或刑事处罚的。</w:t>
      </w:r>
    </w:p>
    <w:p>
      <w:pPr>
        <w:autoSpaceDE w:val="0"/>
        <w:autoSpaceDN w:val="0"/>
        <w:spacing w:line="360" w:lineRule="auto"/>
        <w:ind w:firstLine="420" w:firstLineChars="200"/>
        <w:rPr>
          <w:rFonts w:hint="default" w:ascii="Times New Roman" w:hAnsi="Times New Roman" w:cs="Times New Roman"/>
          <w:color w:val="auto"/>
          <w:kern w:val="0"/>
          <w:highlight w:val="none"/>
          <w:lang w:val="zh-CN"/>
        </w:rPr>
      </w:pPr>
      <w:r>
        <w:rPr>
          <w:rFonts w:hint="default" w:ascii="Times New Roman" w:hAnsi="Times New Roman" w:cs="Times New Roman"/>
          <w:color w:val="auto"/>
          <w:szCs w:val="21"/>
          <w:highlight w:val="none"/>
        </w:rPr>
        <w:t xml:space="preserve">7.1.5 </w:t>
      </w:r>
      <w:r>
        <w:rPr>
          <w:rFonts w:hint="default" w:ascii="Times New Roman" w:hAnsi="Times New Roman" w:cs="Times New Roman"/>
          <w:color w:val="auto"/>
          <w:kern w:val="0"/>
          <w:highlight w:val="none"/>
        </w:rPr>
        <w:t>磋商过程中，因磋商小组成员缺席、回避或者健康等特殊原因导致磋商小组组成不符合规定的，采购代理机构应当依法补足后继续磋商。被更换的磋商小组成员所作出的评审意见无效。无法及时补足磋商小组成员的，采购代理机构应当停止磋商活动，封存所有响应文件和开起响应文件、磋商和评审资料，依法重新组建磋商小组进行磋商。原磋商小组所作出的评审意见无效。</w:t>
      </w:r>
      <w:r>
        <w:rPr>
          <w:rFonts w:hint="default" w:ascii="Times New Roman" w:hAnsi="Times New Roman" w:cs="Times New Roman"/>
          <w:color w:val="auto"/>
          <w:kern w:val="0"/>
          <w:highlight w:val="none"/>
          <w:lang w:val="zh-CN"/>
        </w:rPr>
        <w:t>采购代理机构</w:t>
      </w:r>
      <w:r>
        <w:rPr>
          <w:rFonts w:hint="default" w:ascii="Times New Roman" w:hAnsi="Times New Roman" w:cs="Times New Roman"/>
          <w:color w:val="auto"/>
          <w:kern w:val="0"/>
          <w:highlight w:val="none"/>
        </w:rPr>
        <w:t>应当将变更、重新组建磋商小组的情况予以记录，并随采购文件一并存档。</w:t>
      </w:r>
    </w:p>
    <w:p>
      <w:pPr>
        <w:autoSpaceDE w:val="0"/>
        <w:autoSpaceDN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7.1.6 磋商小组成员名单在成交结果公告前，应当保密。</w:t>
      </w:r>
    </w:p>
    <w:p>
      <w:pPr>
        <w:widowControl/>
        <w:autoSpaceDE w:val="0"/>
        <w:autoSpaceDN w:val="0"/>
        <w:spacing w:line="360" w:lineRule="auto"/>
        <w:ind w:right="51" w:firstLine="420" w:firstLineChars="200"/>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7.1.7 磋商小组及其成员，在磋商中不得有下列行为：</w:t>
      </w:r>
    </w:p>
    <w:p>
      <w:pPr>
        <w:pStyle w:val="8"/>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（1）确定参与磋商至磋商结束前私自接触供应商；</w:t>
      </w:r>
    </w:p>
    <w:p>
      <w:pPr>
        <w:pStyle w:val="8"/>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（2）接受供应商提出的与响应文件不一致的澄清和说明；</w:t>
      </w:r>
    </w:p>
    <w:p>
      <w:pPr>
        <w:pStyle w:val="8"/>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（3）征询采购人的倾向性意见；</w:t>
      </w:r>
    </w:p>
    <w:p>
      <w:pPr>
        <w:pStyle w:val="8"/>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（4）对主观评审因素协商评分；</w:t>
      </w:r>
    </w:p>
    <w:p>
      <w:pPr>
        <w:pStyle w:val="8"/>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（5）对客观评审因素评分不一致；</w:t>
      </w:r>
    </w:p>
    <w:p>
      <w:pPr>
        <w:pStyle w:val="8"/>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（6）在磋商过程中擅离职守，影响磋商程序正常进行的；</w:t>
      </w:r>
    </w:p>
    <w:p>
      <w:pPr>
        <w:pStyle w:val="8"/>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（7）记录、复制或带走任何评审资料；</w:t>
      </w:r>
    </w:p>
    <w:p>
      <w:pPr>
        <w:widowControl/>
        <w:spacing w:line="360" w:lineRule="auto"/>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highlight w:val="none"/>
        </w:rPr>
        <w:t>（8）</w:t>
      </w:r>
      <w:r>
        <w:rPr>
          <w:rFonts w:hint="default" w:ascii="Times New Roman" w:hAnsi="Times New Roman" w:eastAsia="宋体" w:cs="Times New Roman"/>
          <w:color w:val="auto"/>
          <w:kern w:val="0"/>
          <w:szCs w:val="21"/>
          <w:highlight w:val="none"/>
        </w:rPr>
        <w:t>其他不遵守评审纪律的行为。</w:t>
      </w:r>
    </w:p>
    <w:p>
      <w:pPr>
        <w:widowControl/>
        <w:spacing w:line="360" w:lineRule="auto"/>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磋商小组成员有前款第一至四项行为之一的，其评审意见无效，</w:t>
      </w:r>
      <w:r>
        <w:rPr>
          <w:rFonts w:hint="default" w:ascii="Times New Roman" w:hAnsi="Times New Roman" w:cs="Times New Roman"/>
          <w:color w:val="auto"/>
          <w:kern w:val="0"/>
          <w:szCs w:val="21"/>
          <w:highlight w:val="none"/>
        </w:rPr>
        <w:t>并不得获取评审劳务报酬和报销异地评审差旅费。</w:t>
      </w:r>
    </w:p>
    <w:p>
      <w:pPr>
        <w:spacing w:before="120" w:beforeLines="50" w:after="120" w:afterLines="50" w:line="360" w:lineRule="auto"/>
        <w:rPr>
          <w:rFonts w:hint="default" w:ascii="Times New Roman" w:hAnsi="Times New Roman" w:cs="Times New Roman"/>
          <w:color w:val="auto"/>
          <w:sz w:val="30"/>
          <w:szCs w:val="30"/>
          <w:highlight w:val="none"/>
        </w:rPr>
      </w:pPr>
      <w:r>
        <w:rPr>
          <w:rFonts w:hint="default" w:ascii="Times New Roman" w:hAnsi="Times New Roman" w:cs="Times New Roman"/>
          <w:b/>
          <w:color w:val="auto"/>
          <w:sz w:val="30"/>
          <w:szCs w:val="30"/>
          <w:highlight w:val="none"/>
        </w:rPr>
        <w:t>7.2 磋商原则</w:t>
      </w:r>
    </w:p>
    <w:p>
      <w:pPr>
        <w:tabs>
          <w:tab w:val="left" w:pos="0"/>
        </w:tabs>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7.2.1“客观、公正、审慎”为本次磋商的基本原则，磋商小组按照这一原则的要求，公正、平等地对待各供应商。同时，在磋商中恪守以下原则：</w:t>
      </w:r>
    </w:p>
    <w:p>
      <w:pPr>
        <w:tabs>
          <w:tab w:val="left" w:pos="0"/>
        </w:tabs>
        <w:adjustRightInd w:val="0"/>
        <w:snapToGrid w:val="0"/>
        <w:spacing w:line="360" w:lineRule="auto"/>
        <w:ind w:firstLine="411" w:firstLineChars="19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（1）统一性原则：磋商小组将按照统一的磋商原则和方法，用统一标准进行评审。</w:t>
      </w:r>
    </w:p>
    <w:p>
      <w:pPr>
        <w:tabs>
          <w:tab w:val="left" w:pos="0"/>
        </w:tabs>
        <w:adjustRightInd w:val="0"/>
        <w:snapToGrid w:val="0"/>
        <w:spacing w:line="360" w:lineRule="auto"/>
        <w:ind w:firstLine="411" w:firstLineChars="19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（2）独立性原则</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磋商工作在磋商小组内部独立进行，不受外界任何因素的干扰和影响。磋商小组成员对其出具的意见承担个人责任。</w:t>
      </w:r>
      <w:r>
        <w:rPr>
          <w:rFonts w:hint="default" w:ascii="Times New Roman" w:hAnsi="Times New Roman" w:cs="Times New Roman"/>
          <w:color w:val="auto"/>
          <w:kern w:val="0"/>
          <w:szCs w:val="21"/>
          <w:highlight w:val="none"/>
        </w:rPr>
        <w:t>供应商试图影响或干预评审的任何行为，将导致其丧失磋商的资格，并承担相应的法律责任。</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（3）物有所值原则：通过首轮的磋商报价，激发供应商展开竞争，进一步优化方案，并使报价符合预期目标。</w:t>
      </w:r>
    </w:p>
    <w:p>
      <w:pPr>
        <w:tabs>
          <w:tab w:val="left" w:pos="0"/>
        </w:tabs>
        <w:adjustRightInd w:val="0"/>
        <w:snapToGrid w:val="0"/>
        <w:spacing w:line="360" w:lineRule="auto"/>
        <w:ind w:firstLine="411" w:firstLineChars="19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（4）客观性原则：磋商小组将严格按照磋商文件要求，对供应商的响应文件进行认真评审；磋商小组对响应文件的评审仅依据响应文件本身，而不依据响应文件以外的任何因素。</w:t>
      </w:r>
    </w:p>
    <w:p>
      <w:pPr>
        <w:tabs>
          <w:tab w:val="left" w:pos="0"/>
        </w:tabs>
        <w:adjustRightInd w:val="0"/>
        <w:snapToGrid w:val="0"/>
        <w:spacing w:line="360" w:lineRule="auto"/>
        <w:ind w:firstLine="411" w:firstLineChars="19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（5）保密性原则：采购代理机构应当采取必要的措施，保证评审在严格保密情况下进行。</w:t>
      </w:r>
    </w:p>
    <w:p>
      <w:pPr>
        <w:tabs>
          <w:tab w:val="left" w:pos="0"/>
        </w:tabs>
        <w:adjustRightInd w:val="0"/>
        <w:snapToGrid w:val="0"/>
        <w:spacing w:line="360" w:lineRule="auto"/>
        <w:ind w:firstLine="411" w:firstLineChars="19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（6）综合性原则</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磋商小组将综合分析、评审供应商的各项指标，而不以单项指标的优劣评定出成交供应商。</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7.2.2 磋商小组有权对整个磋商和评审过程中出现的所有问题，可根据《中华人民共和国政府采购法》及实施条例和《政府采购竞争性磋商采购方式管理暂行办法》等相关规定进行处理。</w:t>
      </w:r>
    </w:p>
    <w:p>
      <w:pPr>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7.3磋商</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7.3.1 磋商小组根据磋商文件第三章“磋商办法”规定的方法、评审因素、标准和程序，在与单一供应商进行反复磋商的基础上，对其响应文件进行评审。第三章“磋商办法”没有规定的方法、评审因素和标准，不作为评审依据。</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7.3.2 磋商小组负责具体磋商事务，并独立履行下列职责：</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（1）审查、评价响应文件是否符合磋商文件的商务、技术、服务等实质性要求；</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（2）要求供应商对响应文件有关事项作出澄清或者说明；</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（3）与合格的供应商分别就技术和商务事务进行磋商；</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（4）对响应文件进行比较和评价；</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（5）推荐成交候选人名单，或者根据采购人委托直接确定成交供应商；</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（6）向采购人、采购代理机构或者有关部门报告非法干预磋商工作的行为。</w:t>
      </w:r>
    </w:p>
    <w:p>
      <w:pPr>
        <w:pStyle w:val="14"/>
        <w:snapToGrid w:val="0"/>
        <w:spacing w:before="0" w:beforeAutospacing="0" w:after="0" w:afterAutospacing="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7.3.3磋商小组成员应当履行下列义务：</w:t>
      </w:r>
    </w:p>
    <w:p>
      <w:pPr>
        <w:pStyle w:val="14"/>
        <w:snapToGrid w:val="0"/>
        <w:spacing w:before="0" w:beforeAutospacing="0" w:after="0" w:afterAutospacing="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（1）遵纪守法，客观、公正、廉洁地履行职责；</w:t>
      </w:r>
    </w:p>
    <w:p>
      <w:pPr>
        <w:pStyle w:val="14"/>
        <w:snapToGrid w:val="0"/>
        <w:spacing w:before="0" w:beforeAutospacing="0" w:after="0" w:afterAutospacing="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（2）根据采购文件的规定独立进行评审，对个人的评审意见承担法律责任；</w:t>
      </w:r>
    </w:p>
    <w:p>
      <w:pPr>
        <w:pStyle w:val="14"/>
        <w:snapToGrid w:val="0"/>
        <w:spacing w:before="0" w:beforeAutospacing="0" w:after="0" w:afterAutospacing="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（3）参与评审报告的起草；</w:t>
      </w:r>
    </w:p>
    <w:p>
      <w:pPr>
        <w:pStyle w:val="14"/>
        <w:snapToGrid w:val="0"/>
        <w:spacing w:before="0" w:beforeAutospacing="0" w:after="0" w:afterAutospacing="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（4）配合采购人、采购代理机构答复供应商提出的质疑；</w:t>
      </w:r>
    </w:p>
    <w:p>
      <w:pPr>
        <w:pStyle w:val="14"/>
        <w:snapToGrid w:val="0"/>
        <w:spacing w:before="0" w:beforeAutospacing="0" w:after="0" w:afterAutospacing="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（5）配合财政部门的投诉处理和监督检查工作。</w:t>
      </w:r>
    </w:p>
    <w:p>
      <w:pPr>
        <w:pStyle w:val="14"/>
        <w:snapToGrid w:val="0"/>
        <w:spacing w:before="0" w:beforeAutospacing="0" w:after="0" w:afterAutospacing="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7.3.4 采购代理机构负责组织磋商工作并履行下列职责：</w:t>
      </w:r>
    </w:p>
    <w:p>
      <w:pPr>
        <w:pStyle w:val="14"/>
        <w:snapToGrid w:val="0"/>
        <w:spacing w:before="0" w:beforeAutospacing="0" w:after="0" w:afterAutospacing="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（1）核对评审专家身份和采购人代表授权函，对评审专家在政府采购活动中的职责履行情况予以记录，并及时将有关违法违规行为向财政部门报告；</w:t>
      </w:r>
    </w:p>
    <w:p>
      <w:pPr>
        <w:pStyle w:val="14"/>
        <w:snapToGrid w:val="0"/>
        <w:spacing w:before="0" w:beforeAutospacing="0" w:after="0" w:afterAutospacing="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（2）宣布磋商纪律和开启录音录像设备；</w:t>
      </w:r>
    </w:p>
    <w:p>
      <w:pPr>
        <w:pStyle w:val="14"/>
        <w:snapToGrid w:val="0"/>
        <w:spacing w:before="0" w:beforeAutospacing="0" w:after="0" w:afterAutospacing="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（3）公布提交了响应文件的供应商名单，告知评审专家应当回避的情形；</w:t>
      </w:r>
    </w:p>
    <w:p>
      <w:pPr>
        <w:pStyle w:val="14"/>
        <w:snapToGrid w:val="0"/>
        <w:spacing w:before="0" w:beforeAutospacing="0" w:after="0" w:afterAutospacing="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（4）组织磋商小组成员推选磋商小组组长，采购人代表不得担任组长；</w:t>
      </w:r>
    </w:p>
    <w:p>
      <w:pPr>
        <w:pStyle w:val="14"/>
        <w:snapToGrid w:val="0"/>
        <w:spacing w:before="0" w:beforeAutospacing="0" w:after="0" w:afterAutospacing="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（5）在磋商期间采取必要的通讯管理措施，保证磋商活动不受外界干扰；</w:t>
      </w:r>
    </w:p>
    <w:p>
      <w:pPr>
        <w:pStyle w:val="14"/>
        <w:snapToGrid w:val="0"/>
        <w:spacing w:before="0" w:beforeAutospacing="0" w:after="0" w:afterAutospacing="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（6）根据磋商小组的要求介绍政府采购相关政策法规、磋商文件；</w:t>
      </w:r>
    </w:p>
    <w:p>
      <w:pPr>
        <w:pStyle w:val="14"/>
        <w:snapToGrid w:val="0"/>
        <w:spacing w:before="0" w:beforeAutospacing="0" w:after="0" w:afterAutospacing="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（7）维护磋商秩序，监督磋商小组依照磋商文件规定的磋商程序、评审方法和标准进行独立评审，对采购人代表、磋商小组成员的倾向性言论或违法违规行为及时制止和纠正；</w:t>
      </w:r>
    </w:p>
    <w:p>
      <w:pPr>
        <w:pStyle w:val="14"/>
        <w:snapToGrid w:val="0"/>
        <w:spacing w:before="0" w:beforeAutospacing="0" w:after="0" w:afterAutospacing="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（8）核对评审结果，有《政府采购竞争性磋商采购方式暂行管理办法》第三十二条第一款规定情形的，要求磋商小组复核或书面说明理由，磋商小组拒绝的，应予记录并向采购人本级财政部门报告；</w:t>
      </w:r>
    </w:p>
    <w:p>
      <w:pPr>
        <w:pStyle w:val="14"/>
        <w:snapToGrid w:val="0"/>
        <w:spacing w:before="0" w:beforeAutospacing="0" w:after="0" w:afterAutospacing="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（9）磋商工作完成后，按照规定向评审专家支付劳务报酬和异地评审差旅费，不得向评审专家以外的其他人员支付评审劳务报酬；</w:t>
      </w:r>
    </w:p>
    <w:p>
      <w:pPr>
        <w:pStyle w:val="14"/>
        <w:snapToGrid w:val="0"/>
        <w:spacing w:before="0" w:beforeAutospacing="0" w:after="0" w:afterAutospacing="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（10）处理与磋商有关的其他事项。</w:t>
      </w:r>
    </w:p>
    <w:p>
      <w:pPr>
        <w:spacing w:line="360" w:lineRule="auto"/>
        <w:ind w:firstLine="441" w:firstLineChars="21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7.3.5 采购人可以在磋商前介绍项目背景和采购需求，介绍内容不得含有歧视性、倾向性意见，不得超出磋商文件所述范围。介绍应当提交书面介绍材料，并随采购文件一并存档。</w:t>
      </w:r>
    </w:p>
    <w:p>
      <w:pPr>
        <w:spacing w:line="360" w:lineRule="auto"/>
        <w:ind w:left="120" w:leftChars="57"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7.3.6 磋商过程严格保密</w:t>
      </w:r>
    </w:p>
    <w:p>
      <w:pPr>
        <w:autoSpaceDE w:val="0"/>
        <w:autoSpaceDN w:val="0"/>
        <w:spacing w:line="360" w:lineRule="auto"/>
        <w:ind w:firstLine="630" w:firstLineChars="300"/>
        <w:rPr>
          <w:rFonts w:hint="default" w:ascii="Times New Roman" w:hAnsi="Times New Roman" w:cs="Times New Roman"/>
          <w:color w:val="auto"/>
          <w:kern w:val="0"/>
          <w:highlight w:val="none"/>
        </w:rPr>
      </w:pPr>
      <w:r>
        <w:rPr>
          <w:rFonts w:hint="default" w:ascii="Times New Roman" w:hAnsi="Times New Roman" w:cs="Times New Roman"/>
          <w:color w:val="auto"/>
          <w:szCs w:val="21"/>
          <w:highlight w:val="none"/>
        </w:rPr>
        <w:t xml:space="preserve">7.3.6.1 </w:t>
      </w:r>
      <w:r>
        <w:rPr>
          <w:rFonts w:hint="default" w:ascii="Times New Roman" w:hAnsi="Times New Roman" w:cs="Times New Roman"/>
          <w:color w:val="auto"/>
          <w:kern w:val="0"/>
          <w:highlight w:val="none"/>
        </w:rPr>
        <w:t>采购人、采购代理机构应当采取必要措施，保证磋商在严格保密的情况下进行。除采购人代表、磋商现场组织人员外，采购人的其他工作人员以及与磋商工作无关的人员不得进入磋商现场。</w:t>
      </w:r>
    </w:p>
    <w:p>
      <w:pPr>
        <w:autoSpaceDE w:val="0"/>
        <w:autoSpaceDN w:val="0"/>
        <w:spacing w:line="360" w:lineRule="auto"/>
        <w:ind w:firstLine="630" w:firstLineChars="300"/>
        <w:rPr>
          <w:rFonts w:hint="default" w:ascii="Times New Roman" w:hAnsi="Times New Roman" w:cs="Times New Roman"/>
          <w:color w:val="auto"/>
          <w:szCs w:val="21"/>
          <w:highlight w:val="none"/>
        </w:rPr>
      </w:pPr>
      <w:r>
        <w:rPr>
          <w:rFonts w:hint="default" w:ascii="Times New Roman" w:hAnsi="Times New Roman" w:cs="Times New Roman"/>
          <w:color w:val="auto"/>
          <w:kern w:val="0"/>
          <w:highlight w:val="none"/>
        </w:rPr>
        <w:t>7.3.6.2 有关人员对磋商情况以及在磋商过程中获悉的国家秘密、商业秘密负有保密责任。</w:t>
      </w:r>
      <w:r>
        <w:rPr>
          <w:rFonts w:hint="default" w:ascii="Times New Roman" w:hAnsi="Times New Roman" w:cs="Times New Roman"/>
          <w:color w:val="auto"/>
          <w:szCs w:val="21"/>
          <w:highlight w:val="none"/>
        </w:rPr>
        <w:t>开启响应文件后，直至授予成交供应商合同为止，凡属于对响应文件的审查、澄清、评价和比较的有关资料以及成交候选人的推荐情况，与磋商有关的其他任何情况均严格保密。</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7.3.7 供应商对磋商小组的磋商过程或合同授予决定施加影响的任何行为都可能导致其响应文件无效。</w:t>
      </w:r>
    </w:p>
    <w:p>
      <w:pPr>
        <w:tabs>
          <w:tab w:val="left" w:pos="426"/>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7.3.8 磋商完成后，磋商小组应当向采购人提交书面评审报告，并由采购代理机构转送。</w:t>
      </w:r>
    </w:p>
    <w:p>
      <w:pPr>
        <w:spacing w:before="120" w:beforeLines="50" w:after="120" w:afterLines="50" w:line="360" w:lineRule="auto"/>
        <w:outlineLvl w:val="1"/>
        <w:rPr>
          <w:rFonts w:hint="default" w:ascii="Times New Roman" w:hAnsi="Times New Roman" w:eastAsia="黑体" w:cs="Times New Roman"/>
          <w:color w:val="auto"/>
          <w:sz w:val="32"/>
          <w:szCs w:val="32"/>
          <w:highlight w:val="none"/>
        </w:rPr>
      </w:pPr>
      <w:bookmarkStart w:id="68" w:name="_Toc7177"/>
      <w:r>
        <w:rPr>
          <w:rFonts w:hint="default" w:ascii="Times New Roman" w:hAnsi="Times New Roman" w:eastAsia="黑体" w:cs="Times New Roman"/>
          <w:color w:val="auto"/>
          <w:sz w:val="32"/>
          <w:szCs w:val="32"/>
          <w:highlight w:val="none"/>
        </w:rPr>
        <w:t>8</w:t>
      </w:r>
      <w:bookmarkStart w:id="69" w:name="_Toc217446061"/>
      <w:r>
        <w:rPr>
          <w:rFonts w:hint="default" w:ascii="Times New Roman" w:hAnsi="Times New Roman" w:eastAsia="黑体" w:cs="Times New Roman"/>
          <w:color w:val="auto"/>
          <w:sz w:val="32"/>
          <w:szCs w:val="32"/>
          <w:highlight w:val="none"/>
        </w:rPr>
        <w:t>.确定成交供应商</w:t>
      </w:r>
      <w:bookmarkEnd w:id="68"/>
    </w:p>
    <w:p>
      <w:pPr>
        <w:spacing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8.1确定成交供应商原则</w:t>
      </w:r>
      <w:bookmarkEnd w:id="69"/>
    </w:p>
    <w:p>
      <w:pPr>
        <w:spacing w:line="360" w:lineRule="auto"/>
        <w:ind w:firstLine="411" w:firstLineChars="19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采购人或其授权的磋商小组按照评审报告中提出的成交候选人中，按照顺序由高到低的原则确定成交供应商。</w:t>
      </w:r>
      <w:bookmarkStart w:id="70" w:name="_Toc217446062"/>
    </w:p>
    <w:p>
      <w:pPr>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8.2 确定成交供应商程序</w:t>
      </w:r>
      <w:bookmarkEnd w:id="70"/>
    </w:p>
    <w:p>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8.2.1磋商小组将评审情况写出书面报告，推荐3个成交候选人，并按照综合得分高低标明排列顺序。得分相同的，按照最后报价由低到高顺序排列；得分且最后报价相同的按照技术指标优劣顺序排列。</w:t>
      </w:r>
    </w:p>
    <w:p>
      <w:pPr>
        <w:spacing w:line="360" w:lineRule="auto"/>
        <w:ind w:firstLine="367" w:firstLineChars="17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8.2.</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采购代理机构在评审结束后2个工作日内将评审报告送采购人确认。</w:t>
      </w:r>
    </w:p>
    <w:p>
      <w:pPr>
        <w:spacing w:line="360" w:lineRule="auto"/>
        <w:ind w:firstLine="367" w:firstLineChars="17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8.2.</w:t>
      </w: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 xml:space="preserve"> 采购人应当在收到评审报告后5个工作日内，按照评审报告中推荐的成交候选人中，按照顺序由高到低确定成交供应商。同时，将确定成交供应商的结果复函至采购代理机构。</w:t>
      </w:r>
    </w:p>
    <w:p>
      <w:pPr>
        <w:spacing w:line="360" w:lineRule="auto"/>
        <w:ind w:firstLine="367" w:firstLineChars="17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采购人在收到评审报告5个工作日内未按评审报告推荐的成交候人中顺序确定成交供应商，又不能说明合法理由的，视同按照评审报告推荐的顺序确定排名第一的成交候选人为成交供应商。</w:t>
      </w:r>
    </w:p>
    <w:p>
      <w:pPr>
        <w:spacing w:line="360" w:lineRule="auto"/>
        <w:ind w:firstLine="367" w:firstLineChars="17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8.2.</w:t>
      </w: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 xml:space="preserve"> 采购代理机构应当在收到采购人“确定成交供应商结果”复函之日起2个工作日内，根据采购人确定的成交供应商，在省级以上财政部门指定的媒体上发布成交公告，同时向成交供应商发出《成交通知书》。</w:t>
      </w:r>
    </w:p>
    <w:p>
      <w:pPr>
        <w:spacing w:line="360" w:lineRule="auto"/>
        <w:ind w:firstLine="367" w:firstLineChars="17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成交供应商的《中小企业声明函》或者《残疾人福利性单位声明函》将随成交公告一并公布。</w:t>
      </w:r>
    </w:p>
    <w:p>
      <w:pPr>
        <w:widowControl/>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8.2.</w:t>
      </w: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 xml:space="preserve"> 在公告成交结果的同时，采购人或采购代理机构应当向成交供应商发出《成交通知书》，向未成交供应商发出评审结果通知书。对未通过资格审查或未通</w:t>
      </w:r>
      <w:r>
        <w:rPr>
          <w:rFonts w:hint="default" w:ascii="Times New Roman" w:hAnsi="Times New Roman" w:cs="Times New Roman"/>
          <w:color w:val="auto"/>
          <w:szCs w:val="21"/>
          <w:highlight w:val="none"/>
          <w:lang w:eastAsia="zh-CN"/>
        </w:rPr>
        <w:t>过</w:t>
      </w:r>
      <w:r>
        <w:rPr>
          <w:rFonts w:hint="default" w:ascii="Times New Roman" w:hAnsi="Times New Roman" w:cs="Times New Roman"/>
          <w:color w:val="auto"/>
          <w:szCs w:val="21"/>
          <w:highlight w:val="none"/>
        </w:rPr>
        <w:t>符合性审查的供应商，应告知其未通过的原因；对于其他参与评分的未成交供应商，应当告知其本人的评审得分与排序。</w:t>
      </w:r>
    </w:p>
    <w:p>
      <w:pPr>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bCs/>
          <w:color w:val="auto"/>
          <w:sz w:val="30"/>
          <w:szCs w:val="30"/>
          <w:highlight w:val="none"/>
        </w:rPr>
        <w:t>8.3 成交通知书</w:t>
      </w:r>
    </w:p>
    <w:bookmarkEnd w:id="67"/>
    <w:p>
      <w:pPr>
        <w:tabs>
          <w:tab w:val="left" w:pos="7665"/>
        </w:tabs>
        <w:spacing w:line="360" w:lineRule="auto"/>
        <w:ind w:firstLine="420" w:firstLineChars="200"/>
        <w:rPr>
          <w:rFonts w:hint="default" w:ascii="Times New Roman" w:hAnsi="Times New Roman" w:cs="Times New Roman"/>
          <w:color w:val="auto"/>
          <w:szCs w:val="21"/>
          <w:highlight w:val="none"/>
        </w:rPr>
      </w:pPr>
      <w:bookmarkStart w:id="71" w:name="_Toc217446064"/>
      <w:bookmarkStart w:id="72" w:name="_Toc183682377"/>
      <w:bookmarkStart w:id="73" w:name="_Toc183582240"/>
      <w:bookmarkStart w:id="74" w:name="_Toc217446065"/>
      <w:r>
        <w:rPr>
          <w:rFonts w:hint="default" w:ascii="Times New Roman" w:hAnsi="Times New Roman" w:cs="Times New Roman"/>
          <w:color w:val="auto"/>
          <w:szCs w:val="21"/>
          <w:highlight w:val="none"/>
        </w:rPr>
        <w:t>8.3</w:t>
      </w:r>
      <w:r>
        <w:rPr>
          <w:rFonts w:hint="default" w:ascii="Times New Roman" w:hAnsi="Times New Roman" w:cs="Times New Roman"/>
          <w:b/>
          <w:bCs/>
          <w:color w:val="auto"/>
          <w:szCs w:val="21"/>
          <w:highlight w:val="none"/>
        </w:rPr>
        <w:t>.</w:t>
      </w:r>
      <w:r>
        <w:rPr>
          <w:rFonts w:hint="default" w:ascii="Times New Roman" w:hAnsi="Times New Roman" w:cs="Times New Roman"/>
          <w:color w:val="auto"/>
          <w:szCs w:val="21"/>
          <w:highlight w:val="none"/>
        </w:rPr>
        <w:t>1 成交通知书为签订政府采购合同的依据之一，是合同的有效组成部分。</w:t>
      </w:r>
    </w:p>
    <w:p>
      <w:pPr>
        <w:tabs>
          <w:tab w:val="left" w:pos="766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8.3.2 成交通知书对采购人和成交供应商均具有法律效力。成交通知书发出后，采购人不得违法改变成交结果，成交供应商无正当理由不得放弃成交资格。否则，应当承担相应的法律责任。</w:t>
      </w:r>
    </w:p>
    <w:p>
      <w:pPr>
        <w:tabs>
          <w:tab w:val="left" w:pos="766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8.3.3 成交供应商应当在接到采购代理机构通知之日起2个工作日内领取《成交通知书》。</w:t>
      </w:r>
    </w:p>
    <w:p>
      <w:pPr>
        <w:tabs>
          <w:tab w:val="left" w:pos="766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8.3.4 在《成交通知书》发出后，发现成交供应商有政府采购法律法规规章制度规定的成交无效情形的，采购代理机构应当宣布发出的成交通知书无效，并收回发出的成交通知书（成交供应商也应当交回），依法重新确定成交供应商或者重新开展采购活动，同时向同级财政部门报告。</w:t>
      </w:r>
    </w:p>
    <w:p>
      <w:pPr>
        <w:tabs>
          <w:tab w:val="left" w:pos="7665"/>
        </w:tabs>
        <w:spacing w:before="240" w:beforeLines="100" w:after="240" w:afterLines="100"/>
        <w:outlineLvl w:val="1"/>
        <w:rPr>
          <w:rFonts w:hint="default" w:ascii="Times New Roman" w:hAnsi="Times New Roman" w:eastAsia="黑体" w:cs="Times New Roman"/>
          <w:color w:val="auto"/>
          <w:sz w:val="32"/>
          <w:szCs w:val="32"/>
          <w:highlight w:val="none"/>
        </w:rPr>
      </w:pPr>
      <w:bookmarkStart w:id="75" w:name="_Toc15761"/>
      <w:r>
        <w:rPr>
          <w:rFonts w:hint="default" w:ascii="Times New Roman" w:hAnsi="Times New Roman" w:eastAsia="黑体" w:cs="Times New Roman"/>
          <w:color w:val="auto"/>
          <w:sz w:val="32"/>
          <w:szCs w:val="32"/>
          <w:highlight w:val="none"/>
        </w:rPr>
        <w:t>9.合同</w:t>
      </w:r>
      <w:bookmarkEnd w:id="71"/>
      <w:r>
        <w:rPr>
          <w:rFonts w:hint="default" w:ascii="Times New Roman" w:hAnsi="Times New Roman" w:eastAsia="黑体" w:cs="Times New Roman"/>
          <w:color w:val="auto"/>
          <w:sz w:val="32"/>
          <w:szCs w:val="32"/>
          <w:highlight w:val="none"/>
        </w:rPr>
        <w:t>授予</w:t>
      </w:r>
      <w:bookmarkEnd w:id="75"/>
    </w:p>
    <w:p>
      <w:pPr>
        <w:tabs>
          <w:tab w:val="left" w:pos="7665"/>
        </w:tabs>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9.1 履约保证金</w:t>
      </w:r>
    </w:p>
    <w:p>
      <w:pPr>
        <w:tabs>
          <w:tab w:val="left" w:pos="7665"/>
        </w:tabs>
        <w:spacing w:line="360" w:lineRule="auto"/>
        <w:ind w:firstLine="48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9.1.1本项目按照供应商须知前附表规定需要提交履约保证金的，成交供应商在收到采购代理机构的成交通知书后10日内，应当按照</w:t>
      </w:r>
      <w:r>
        <w:rPr>
          <w:rFonts w:hint="default" w:ascii="Times New Roman" w:hAnsi="Times New Roman" w:cs="Times New Roman"/>
          <w:b/>
          <w:color w:val="auto"/>
          <w:szCs w:val="21"/>
          <w:highlight w:val="none"/>
        </w:rPr>
        <w:t>供应商须知前附表</w:t>
      </w:r>
      <w:r>
        <w:rPr>
          <w:rFonts w:hint="default" w:ascii="Times New Roman" w:hAnsi="Times New Roman" w:cs="Times New Roman"/>
          <w:color w:val="auto"/>
          <w:szCs w:val="21"/>
          <w:highlight w:val="none"/>
        </w:rPr>
        <w:t>规定的形式、金额，向采购人提交履约保证金或履约担保。联合体成交的，履约保证金或履约担保由联合体各方或者联合体中牵头人的名义提交。</w:t>
      </w:r>
    </w:p>
    <w:p>
      <w:pPr>
        <w:tabs>
          <w:tab w:val="left" w:pos="7665"/>
        </w:tabs>
        <w:spacing w:line="360" w:lineRule="auto"/>
        <w:ind w:firstLine="482"/>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9.1.2 成交供应商</w:t>
      </w:r>
      <w:r>
        <w:rPr>
          <w:rFonts w:hint="default" w:ascii="Times New Roman" w:hAnsi="Times New Roman" w:cs="Times New Roman"/>
          <w:color w:val="auto"/>
          <w:spacing w:val="4"/>
          <w:szCs w:val="21"/>
          <w:highlight w:val="none"/>
        </w:rPr>
        <w:t>不能按照本章第9.1.1项规定</w:t>
      </w:r>
      <w:r>
        <w:rPr>
          <w:rFonts w:hint="default" w:ascii="Times New Roman" w:hAnsi="Times New Roman" w:cs="Times New Roman"/>
          <w:color w:val="auto"/>
          <w:szCs w:val="21"/>
          <w:highlight w:val="none"/>
        </w:rPr>
        <w:t>提交履约保证金或履约担保的</w:t>
      </w:r>
      <w:r>
        <w:rPr>
          <w:rFonts w:hint="default" w:ascii="Times New Roman" w:hAnsi="Times New Roman" w:cs="Times New Roman"/>
          <w:color w:val="auto"/>
          <w:spacing w:val="4"/>
          <w:szCs w:val="21"/>
          <w:highlight w:val="none"/>
        </w:rPr>
        <w:t>，视为放弃</w:t>
      </w:r>
      <w:r>
        <w:rPr>
          <w:rFonts w:hint="default" w:ascii="Times New Roman" w:hAnsi="Times New Roman" w:cs="Times New Roman"/>
          <w:color w:val="auto"/>
          <w:szCs w:val="21"/>
          <w:highlight w:val="none"/>
        </w:rPr>
        <w:t>成交资格</w:t>
      </w:r>
      <w:r>
        <w:rPr>
          <w:rFonts w:hint="default" w:ascii="Times New Roman" w:hAnsi="Times New Roman" w:cs="Times New Roman"/>
          <w:color w:val="auto"/>
          <w:spacing w:val="4"/>
          <w:szCs w:val="21"/>
          <w:highlight w:val="none"/>
        </w:rPr>
        <w:t>，</w:t>
      </w:r>
      <w:r>
        <w:rPr>
          <w:rFonts w:hint="default" w:ascii="Times New Roman" w:hAnsi="Times New Roman" w:cs="Times New Roman"/>
          <w:color w:val="auto"/>
          <w:spacing w:val="2"/>
          <w:szCs w:val="21"/>
          <w:highlight w:val="none"/>
        </w:rPr>
        <w:t>有磋商保证金的不予退还，给采购人造成损失的，成交供应商应当予以赔偿。</w:t>
      </w:r>
    </w:p>
    <w:p>
      <w:pPr>
        <w:tabs>
          <w:tab w:val="left" w:pos="7665"/>
        </w:tabs>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9.2 签订合同</w:t>
      </w:r>
    </w:p>
    <w:bookmarkEnd w:id="72"/>
    <w:bookmarkEnd w:id="73"/>
    <w:bookmarkEnd w:id="74"/>
    <w:p>
      <w:pPr>
        <w:spacing w:line="360" w:lineRule="auto"/>
        <w:ind w:firstLine="420" w:firstLineChars="200"/>
        <w:rPr>
          <w:rFonts w:hint="default" w:ascii="Times New Roman" w:hAnsi="Times New Roman" w:cs="Times New Roman"/>
          <w:color w:val="auto"/>
          <w:szCs w:val="21"/>
          <w:highlight w:val="none"/>
        </w:rPr>
      </w:pPr>
      <w:bookmarkStart w:id="76" w:name="_Toc217446081"/>
      <w:r>
        <w:rPr>
          <w:rFonts w:hint="default" w:ascii="Times New Roman" w:hAnsi="Times New Roman" w:cs="Times New Roman"/>
          <w:color w:val="auto"/>
          <w:szCs w:val="21"/>
          <w:highlight w:val="none"/>
        </w:rPr>
        <w:t>9.2.1采购人应当自《成交通知书》发出之日起30日内，按照磋商文件和成交供应商响应文件的规定，与成交供应商签订书面合同。成交供应商无正当理由拒签合同，或者在签订合同时向采购人提出附件条件，采购人有权取消其成交资格，有磋商保证金的不予退还，给采购人造成损失的，</w:t>
      </w:r>
      <w:r>
        <w:rPr>
          <w:rFonts w:hint="default" w:ascii="Times New Roman" w:hAnsi="Times New Roman" w:cs="Times New Roman"/>
          <w:color w:val="auto"/>
          <w:spacing w:val="2"/>
          <w:szCs w:val="21"/>
          <w:highlight w:val="none"/>
        </w:rPr>
        <w:t>成交供应商应当予以赔偿。采购人可以</w:t>
      </w:r>
      <w:r>
        <w:rPr>
          <w:rFonts w:hint="default" w:ascii="Times New Roman" w:hAnsi="Times New Roman" w:cs="Times New Roman"/>
          <w:color w:val="auto"/>
          <w:szCs w:val="21"/>
          <w:highlight w:val="none"/>
        </w:rPr>
        <w:t>按照评审报告推荐的成交候选人名单排序确定下一候选人为成交供应商，并签订合同或者重新开展采购活动。拒绝签订政府采购合同的成交供应商不得参加对该项目重新开展的采购活动。</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9.2.2 发出成交通知书后，采购人不得向成交供应商提出任何不合理要求，作为签订合</w:t>
      </w:r>
      <w:r>
        <w:rPr>
          <w:rFonts w:hint="default" w:ascii="Times New Roman" w:hAnsi="Times New Roman" w:cs="Times New Roman"/>
          <w:color w:val="auto"/>
          <w:szCs w:val="21"/>
          <w:highlight w:val="none"/>
          <w:lang w:eastAsia="zh-CN"/>
        </w:rPr>
        <w:t>同</w:t>
      </w:r>
      <w:r>
        <w:rPr>
          <w:rFonts w:hint="default" w:ascii="Times New Roman" w:hAnsi="Times New Roman" w:cs="Times New Roman"/>
          <w:color w:val="auto"/>
          <w:szCs w:val="21"/>
          <w:highlight w:val="none"/>
        </w:rPr>
        <w:t>的条件，不得与成交供应商私下订立背离合同实质性内容的任何协议，所签订的合同不得对磋商文件确定的事项和成交供应商响应文件做实质性修改。</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9.2.3 联合体成交的，联合体各方应当与采购人签订采购合同，就成交项目向采购人承担连带责任。</w:t>
      </w:r>
    </w:p>
    <w:p>
      <w:pPr>
        <w:spacing w:line="360" w:lineRule="auto"/>
        <w:ind w:firstLine="602" w:firstLineChars="200"/>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9.3 合同履行</w:t>
      </w:r>
    </w:p>
    <w:p>
      <w:pPr>
        <w:tabs>
          <w:tab w:val="left" w:pos="426"/>
        </w:tabs>
        <w:autoSpaceDE w:val="0"/>
        <w:autoSpaceDN w:val="0"/>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9.3.1 政府采购合同的履行、违约责任和解决争议的方法等适用《中华人民共和国</w:t>
      </w:r>
      <w:r>
        <w:rPr>
          <w:rFonts w:hint="default" w:ascii="Times New Roman" w:hAnsi="Times New Roman" w:cs="Times New Roman"/>
          <w:color w:val="auto"/>
          <w:szCs w:val="21"/>
          <w:highlight w:val="none"/>
          <w:lang w:eastAsia="zh-CN"/>
        </w:rPr>
        <w:t>民法典</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第三篇</w:t>
      </w:r>
      <w:r>
        <w:rPr>
          <w:rFonts w:hint="default" w:ascii="Times New Roman" w:hAnsi="Times New Roman" w:cs="Times New Roman"/>
          <w:color w:val="auto"/>
          <w:szCs w:val="21"/>
          <w:highlight w:val="none"/>
        </w:rPr>
        <w:t>。</w:t>
      </w:r>
    </w:p>
    <w:p>
      <w:pPr>
        <w:tabs>
          <w:tab w:val="left" w:pos="426"/>
        </w:tabs>
        <w:autoSpaceDE w:val="0"/>
        <w:autoSpaceDN w:val="0"/>
        <w:adjustRightInd w:val="0"/>
        <w:snapToGrid w:val="0"/>
        <w:spacing w:line="360" w:lineRule="auto"/>
        <w:ind w:firstLine="420" w:firstLineChars="200"/>
        <w:rPr>
          <w:rFonts w:hint="default" w:ascii="Times New Roman" w:hAnsi="Times New Roman" w:cs="Times New Roman"/>
          <w:b/>
          <w:bCs/>
          <w:color w:val="auto"/>
          <w:szCs w:val="21"/>
          <w:highlight w:val="none"/>
        </w:rPr>
      </w:pPr>
      <w:r>
        <w:rPr>
          <w:rFonts w:hint="default" w:ascii="Times New Roman" w:hAnsi="Times New Roman" w:cs="Times New Roman"/>
          <w:color w:val="auto"/>
          <w:szCs w:val="21"/>
          <w:highlight w:val="none"/>
        </w:rPr>
        <w:t xml:space="preserve">9.3.2 </w:t>
      </w:r>
      <w:r>
        <w:rPr>
          <w:rFonts w:hint="default" w:ascii="Times New Roman" w:hAnsi="Times New Roman" w:cs="Times New Roman"/>
          <w:color w:val="auto"/>
          <w:szCs w:val="21"/>
          <w:highlight w:val="none"/>
          <w:lang w:eastAsia="zh-TW"/>
        </w:rPr>
        <w:t>政府采购合同订立后，合同各方不得擅自变更</w:t>
      </w:r>
      <w:r>
        <w:rPr>
          <w:rFonts w:hint="default" w:ascii="Times New Roman" w:hAnsi="Times New Roman" w:cs="Times New Roman"/>
          <w:color w:val="auto"/>
          <w:szCs w:val="21"/>
          <w:highlight w:val="none"/>
        </w:rPr>
        <w:t>或者</w:t>
      </w:r>
      <w:r>
        <w:rPr>
          <w:rFonts w:hint="default" w:ascii="Times New Roman" w:hAnsi="Times New Roman" w:cs="Times New Roman"/>
          <w:color w:val="auto"/>
          <w:szCs w:val="21"/>
          <w:highlight w:val="none"/>
          <w:lang w:eastAsia="zh-TW"/>
        </w:rPr>
        <w:t>中止或者终止合同。政府采购合同需要变更的，采购人应将有关合同变更内容，以书面形式报政府采购监督管理</w:t>
      </w:r>
      <w:r>
        <w:rPr>
          <w:rFonts w:hint="default" w:ascii="Times New Roman" w:hAnsi="Times New Roman" w:cs="Times New Roman"/>
          <w:color w:val="auto"/>
          <w:szCs w:val="21"/>
          <w:highlight w:val="none"/>
        </w:rPr>
        <w:t>部门</w:t>
      </w:r>
      <w:r>
        <w:rPr>
          <w:rFonts w:hint="default" w:ascii="Times New Roman" w:hAnsi="Times New Roman" w:cs="Times New Roman"/>
          <w:color w:val="auto"/>
          <w:szCs w:val="21"/>
          <w:highlight w:val="none"/>
          <w:lang w:eastAsia="zh-TW"/>
        </w:rPr>
        <w:t>备案；因特殊情况需要中止或终止合同的，采购人应将中止或终止合同的理由以及相应措施，以书面形式报政府采购监督管理</w:t>
      </w:r>
      <w:r>
        <w:rPr>
          <w:rFonts w:hint="default" w:ascii="Times New Roman" w:hAnsi="Times New Roman" w:cs="Times New Roman"/>
          <w:color w:val="auto"/>
          <w:szCs w:val="21"/>
          <w:highlight w:val="none"/>
        </w:rPr>
        <w:t>部门</w:t>
      </w:r>
      <w:r>
        <w:rPr>
          <w:rFonts w:hint="default" w:ascii="Times New Roman" w:hAnsi="Times New Roman" w:cs="Times New Roman"/>
          <w:color w:val="auto"/>
          <w:szCs w:val="21"/>
          <w:highlight w:val="none"/>
          <w:lang w:eastAsia="zh-TW"/>
        </w:rPr>
        <w:t>备案。</w:t>
      </w:r>
    </w:p>
    <w:p>
      <w:pPr>
        <w:tabs>
          <w:tab w:val="left" w:pos="426"/>
        </w:tabs>
        <w:autoSpaceDE w:val="0"/>
        <w:autoSpaceDN w:val="0"/>
        <w:adjustRightInd w:val="0"/>
        <w:snapToGrid w:val="0"/>
        <w:spacing w:line="360" w:lineRule="auto"/>
        <w:ind w:firstLine="420" w:firstLineChars="200"/>
        <w:rPr>
          <w:rFonts w:hint="default" w:ascii="Times New Roman" w:hAnsi="Times New Roman" w:cs="Times New Roman"/>
          <w:b/>
          <w:bCs/>
          <w:color w:val="auto"/>
          <w:szCs w:val="21"/>
          <w:highlight w:val="none"/>
        </w:rPr>
      </w:pPr>
      <w:r>
        <w:rPr>
          <w:rFonts w:hint="default" w:ascii="Times New Roman" w:hAnsi="Times New Roman" w:cs="Times New Roman"/>
          <w:color w:val="auto"/>
          <w:szCs w:val="21"/>
          <w:highlight w:val="none"/>
        </w:rPr>
        <w:t xml:space="preserve">9.3.3 </w:t>
      </w:r>
      <w:r>
        <w:rPr>
          <w:rFonts w:hint="default" w:ascii="Times New Roman" w:hAnsi="Times New Roman" w:cs="Times New Roman"/>
          <w:color w:val="auto"/>
          <w:szCs w:val="21"/>
          <w:highlight w:val="none"/>
          <w:lang w:eastAsia="zh-TW"/>
        </w:rPr>
        <w:t>政府采购合同履行中，采购人需追加与合同标的相同的货物的，在不改变合同其他条款的前提下，可以与</w:t>
      </w:r>
      <w:r>
        <w:rPr>
          <w:rFonts w:hint="default" w:ascii="Times New Roman" w:hAnsi="Times New Roman" w:cs="Times New Roman"/>
          <w:color w:val="auto"/>
          <w:szCs w:val="21"/>
          <w:highlight w:val="none"/>
        </w:rPr>
        <w:t>成交供应商</w:t>
      </w:r>
      <w:r>
        <w:rPr>
          <w:rFonts w:hint="default" w:ascii="Times New Roman" w:hAnsi="Times New Roman" w:cs="Times New Roman"/>
          <w:color w:val="auto"/>
          <w:szCs w:val="21"/>
          <w:highlight w:val="none"/>
          <w:lang w:eastAsia="zh-TW"/>
        </w:rPr>
        <w:t>签订补充合同，但所补充合同的采购金额不得超过原</w:t>
      </w:r>
      <w:r>
        <w:rPr>
          <w:rFonts w:hint="default" w:ascii="Times New Roman" w:hAnsi="Times New Roman" w:cs="Times New Roman"/>
          <w:color w:val="auto"/>
          <w:szCs w:val="21"/>
          <w:highlight w:val="none"/>
        </w:rPr>
        <w:t>合同</w:t>
      </w:r>
      <w:r>
        <w:rPr>
          <w:rFonts w:hint="default" w:ascii="Times New Roman" w:hAnsi="Times New Roman" w:cs="Times New Roman"/>
          <w:color w:val="auto"/>
          <w:szCs w:val="21"/>
          <w:highlight w:val="none"/>
          <w:lang w:eastAsia="zh-TW"/>
        </w:rPr>
        <w:t>采购金额的百分之十。签订补充合同的</w:t>
      </w:r>
      <w:r>
        <w:rPr>
          <w:rFonts w:hint="default" w:ascii="Times New Roman" w:hAnsi="Times New Roman" w:cs="Times New Roman"/>
          <w:color w:val="auto"/>
          <w:szCs w:val="21"/>
          <w:highlight w:val="none"/>
        </w:rPr>
        <w:t>应</w:t>
      </w:r>
      <w:r>
        <w:rPr>
          <w:rFonts w:hint="default" w:ascii="Times New Roman" w:hAnsi="Times New Roman" w:cs="Times New Roman"/>
          <w:color w:val="auto"/>
          <w:szCs w:val="21"/>
          <w:highlight w:val="none"/>
          <w:lang w:eastAsia="zh-TW"/>
        </w:rPr>
        <w:t>按规定备案。</w:t>
      </w:r>
    </w:p>
    <w:p>
      <w:pPr>
        <w:spacing w:before="120" w:beforeLines="50" w:after="120" w:afterLines="50" w:line="360" w:lineRule="auto"/>
        <w:outlineLvl w:val="1"/>
        <w:rPr>
          <w:rFonts w:hint="default" w:ascii="Times New Roman" w:hAnsi="Times New Roman" w:eastAsia="黑体" w:cs="Times New Roman"/>
          <w:color w:val="auto"/>
          <w:sz w:val="32"/>
          <w:szCs w:val="32"/>
          <w:highlight w:val="none"/>
        </w:rPr>
      </w:pPr>
      <w:bookmarkStart w:id="77" w:name="_Toc16772"/>
      <w:r>
        <w:rPr>
          <w:rFonts w:hint="default" w:ascii="Times New Roman" w:hAnsi="Times New Roman" w:eastAsia="黑体" w:cs="Times New Roman"/>
          <w:color w:val="auto"/>
          <w:sz w:val="32"/>
          <w:szCs w:val="32"/>
          <w:highlight w:val="none"/>
        </w:rPr>
        <w:t>10.终止磋商</w:t>
      </w:r>
      <w:bookmarkEnd w:id="77"/>
    </w:p>
    <w:p>
      <w:pPr>
        <w:widowControl/>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10.1 出现下列情形之一的，采购人或者采购代理机构应当终止</w:t>
      </w:r>
      <w:r>
        <w:rPr>
          <w:rFonts w:hint="default" w:ascii="Times New Roman" w:hAnsi="Times New Roman" w:cs="Times New Roman"/>
          <w:b/>
          <w:snapToGrid w:val="0"/>
          <w:color w:val="auto"/>
          <w:kern w:val="0"/>
          <w:szCs w:val="21"/>
          <w:highlight w:val="none"/>
        </w:rPr>
        <w:t>本次</w:t>
      </w:r>
      <w:r>
        <w:rPr>
          <w:rFonts w:hint="default" w:ascii="Times New Roman" w:hAnsi="Times New Roman" w:cs="Times New Roman"/>
          <w:snapToGrid w:val="0"/>
          <w:color w:val="auto"/>
          <w:kern w:val="0"/>
          <w:szCs w:val="21"/>
          <w:highlight w:val="none"/>
        </w:rPr>
        <w:t>竞争性磋商采购活动，发布终止公告并说明原因，重新开展采购活动：</w:t>
      </w:r>
    </w:p>
    <w:p>
      <w:pPr>
        <w:widowControl/>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（1）因情况变化，不再符合规定的竞争性磋商采购方式适用情形的；</w:t>
      </w:r>
    </w:p>
    <w:p>
      <w:pPr>
        <w:widowControl/>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（2）出现影响采购公正的违法、违规行为的；</w:t>
      </w:r>
    </w:p>
    <w:p>
      <w:pPr>
        <w:widowControl/>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（3）除《政府采购竞争性磋商采购方式管理暂行办法》办法第21条第3款规定的情形外，在采购过程中符合要求的供应商或者磋商报价未超过采购预算的供应商不足3家的。</w:t>
      </w:r>
    </w:p>
    <w:p>
      <w:pPr>
        <w:pStyle w:val="4"/>
        <w:spacing w:line="360" w:lineRule="auto"/>
        <w:ind w:firstLine="525"/>
        <w:rPr>
          <w:rFonts w:hint="default" w:ascii="Times New Roman" w:hAnsi="Times New Roman" w:cs="Times New Roman"/>
          <w:color w:val="auto"/>
          <w:szCs w:val="21"/>
          <w:highlight w:val="none"/>
        </w:rPr>
      </w:pPr>
      <w:r>
        <w:rPr>
          <w:rFonts w:hint="default" w:ascii="Times New Roman" w:hAnsi="Times New Roman" w:cs="Times New Roman"/>
          <w:snapToGrid w:val="0"/>
          <w:color w:val="auto"/>
          <w:kern w:val="0"/>
          <w:szCs w:val="21"/>
          <w:highlight w:val="none"/>
        </w:rPr>
        <w:t xml:space="preserve">10.2 </w:t>
      </w:r>
      <w:r>
        <w:rPr>
          <w:rFonts w:hint="default" w:ascii="Times New Roman" w:hAnsi="Times New Roman" w:cs="Times New Roman"/>
          <w:color w:val="auto"/>
          <w:szCs w:val="21"/>
          <w:highlight w:val="none"/>
        </w:rPr>
        <w:t>符合资格条件或</w:t>
      </w:r>
      <w:r>
        <w:rPr>
          <w:rFonts w:hint="default" w:ascii="Times New Roman" w:hAnsi="Times New Roman" w:cs="Times New Roman"/>
          <w:b/>
          <w:color w:val="auto"/>
          <w:szCs w:val="21"/>
          <w:highlight w:val="none"/>
        </w:rPr>
        <w:t>技术要求（参数）实质性响应</w:t>
      </w:r>
      <w:r>
        <w:rPr>
          <w:rFonts w:hint="default" w:ascii="Times New Roman" w:hAnsi="Times New Roman" w:cs="Times New Roman"/>
          <w:color w:val="auto"/>
          <w:szCs w:val="21"/>
          <w:highlight w:val="none"/>
        </w:rPr>
        <w:t>的供应商少于3家情形的，应当按照《政府采购促进中小企业发展管理办法》（财库</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2020</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46号）第十条的规定，视同未预留份额的采购项目或者采购包，重新组织采购活动。</w:t>
      </w:r>
    </w:p>
    <w:p>
      <w:pPr>
        <w:widowControl/>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10.3在采购活动中因重大变故，采购任务取消的，采购人或者采购代理机构应当终止</w:t>
      </w:r>
      <w:r>
        <w:rPr>
          <w:rFonts w:hint="default" w:ascii="Times New Roman" w:hAnsi="Times New Roman" w:cs="Times New Roman"/>
          <w:b/>
          <w:snapToGrid w:val="0"/>
          <w:color w:val="auto"/>
          <w:kern w:val="0"/>
          <w:szCs w:val="21"/>
          <w:highlight w:val="none"/>
        </w:rPr>
        <w:t>项目</w:t>
      </w:r>
      <w:r>
        <w:rPr>
          <w:rFonts w:hint="default" w:ascii="Times New Roman" w:hAnsi="Times New Roman" w:cs="Times New Roman"/>
          <w:snapToGrid w:val="0"/>
          <w:color w:val="auto"/>
          <w:kern w:val="0"/>
          <w:szCs w:val="21"/>
          <w:highlight w:val="none"/>
        </w:rPr>
        <w:t>采购活动，通知所有参加采购活动的供应商，并将项目实施情况和采购任务取消原因报送本级财政部门。</w:t>
      </w:r>
    </w:p>
    <w:p>
      <w:pPr>
        <w:spacing w:before="240" w:beforeLines="100" w:after="120" w:afterLines="50" w:line="360" w:lineRule="auto"/>
        <w:outlineLvl w:val="1"/>
        <w:rPr>
          <w:rFonts w:hint="default" w:ascii="Times New Roman" w:hAnsi="Times New Roman" w:eastAsia="黑体" w:cs="Times New Roman"/>
          <w:color w:val="auto"/>
          <w:sz w:val="36"/>
          <w:szCs w:val="36"/>
          <w:highlight w:val="none"/>
        </w:rPr>
      </w:pPr>
      <w:bookmarkStart w:id="78" w:name="_Toc25975"/>
      <w:r>
        <w:rPr>
          <w:rFonts w:hint="default" w:ascii="Times New Roman" w:hAnsi="Times New Roman" w:eastAsia="黑体" w:cs="Times New Roman"/>
          <w:color w:val="auto"/>
          <w:sz w:val="36"/>
          <w:szCs w:val="36"/>
          <w:highlight w:val="none"/>
        </w:rPr>
        <w:t>11.质疑与投诉</w:t>
      </w:r>
      <w:bookmarkEnd w:id="78"/>
    </w:p>
    <w:p>
      <w:pPr>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11.1质疑</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11.1.1 如供应商对本次采购活动有疑问，认为需要提出质疑和投诉的，应当按照《政府采购质疑投诉办法》（财政部94号令）的有关规定办理。</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11.1.2 供应商对采购文件、采购过程或成交结果使自身的合法权益受到损害，应当在法定期限内，按照质疑函范本格式要求以书面形式向采购代理机构或采购人提出质疑，并附必要的证明材料。</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11.1.3 质疑函应当包括下列内容：</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（1）供应商的姓名或者名称、地址、邮编、联系人及联系电话；</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（2）质疑项目的名称、编号；</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（3）具体、明确的质疑事项和与质疑事项相关的请求；</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（4）事实依据；</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（5）必要的法律依据；</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（6）提出质疑的日期。</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供应商为自然人的，应当由本人签字；供应商为法人或者其他组织的，应当由法定代表人、主要负责人，或者其委托代理人签字或者盖章，并加盖单位章。</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11.1.4质疑人可以委托代理人办理质疑事项，代理人办理质疑事项时，除提交质疑函外，还应当提交质疑人的授权委托书及代理人的有效身份证明，授权委托书应当载明委托代理的具体权限期限和相关事项。</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11.1.5 质疑函范本格式在中国政府采购网站（http</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//www.ccgp.gov.cn/）自行下载。</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11.1.6 接收质疑函的联系部门、联系电话和通讯地址同磋商公告。</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11.1.7 有下列情形之一的，属于无效质疑，采购代理机构和采购人不予受理：</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（1）质疑人不是参与本次政府采购项目的供应商；</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（2）质疑人与质疑事项不存在利害关系的；</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（3）未在法定期限内提出质疑的；</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（4）质疑未以书面形式提出，以传真、电子邮件、移动通信等形式即时收悉提交的质疑材料；</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（5）质疑未按质疑函范本格式提出的；</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（6）未提交营业执照或法人证书复印件，由授权代表签字的，未提交授权委托书；</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（7）质疑书没有合法有效的签字、盖章的；</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（8）以非法手段取得证据、材料的；</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（9）质疑答复后，同一质疑人就同一事项再次提出质疑的；</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（10）不符合法律、法规、规章和政府采购监管机构规定的其他条件的。</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11.1.8 采购代理机构或采购人将在收到书面质疑后7个工作日内做出答复，并以书面形式通知质疑人和其他有关供应商。</w:t>
      </w:r>
    </w:p>
    <w:p>
      <w:pPr>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11.2 投诉</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11.2.1 质疑人对采购代理机构或采购人的答复不满意，或者采购人、采购代理机构未在规定时间内作出答复的，可以在答复期满后15个工作日内向</w:t>
      </w:r>
      <w:r>
        <w:rPr>
          <w:rFonts w:hint="default" w:ascii="Times New Roman" w:hAnsi="Times New Roman" w:cs="Times New Roman"/>
          <w:color w:val="auto"/>
          <w:szCs w:val="21"/>
          <w:highlight w:val="none"/>
          <w:u w:val="single"/>
          <w:lang w:eastAsia="zh-CN"/>
        </w:rPr>
        <w:t>西安</w:t>
      </w:r>
      <w:r>
        <w:rPr>
          <w:rFonts w:hint="default" w:ascii="Times New Roman" w:hAnsi="Times New Roman" w:cs="Times New Roman"/>
          <w:color w:val="auto"/>
          <w:szCs w:val="21"/>
          <w:highlight w:val="none"/>
          <w:u w:val="single"/>
          <w:lang w:val="zh-CN" w:eastAsia="zh-CN"/>
        </w:rPr>
        <w:t>高新技术产业开发区</w:t>
      </w:r>
      <w:r>
        <w:rPr>
          <w:rFonts w:hint="default" w:ascii="Times New Roman" w:hAnsi="Times New Roman" w:cs="Times New Roman"/>
          <w:color w:val="auto"/>
          <w:szCs w:val="21"/>
          <w:highlight w:val="none"/>
          <w:u w:val="single"/>
          <w:lang w:eastAsia="zh-CN"/>
        </w:rPr>
        <w:t>财政金融局</w:t>
      </w:r>
      <w:r>
        <w:rPr>
          <w:rFonts w:hint="default" w:ascii="Times New Roman" w:hAnsi="Times New Roman" w:cs="Times New Roman"/>
          <w:color w:val="auto"/>
          <w:szCs w:val="21"/>
          <w:highlight w:val="none"/>
        </w:rPr>
        <w:t>提起投诉</w:t>
      </w:r>
      <w:r>
        <w:rPr>
          <w:rFonts w:hint="default" w:ascii="Times New Roman" w:hAnsi="Times New Roman" w:cs="Times New Roman"/>
          <w:color w:val="auto"/>
          <w:szCs w:val="21"/>
          <w:highlight w:val="none"/>
          <w:lang w:eastAsia="zh-CN"/>
        </w:rPr>
        <w:t>。</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11.2.2 供应商投诉时,应当提交投诉书和必要的证明材料，并按照被投诉采购人、采购代理机构（以下简称被投诉人）和与投诉事项有关的供应商数量提供投诉书的副本。投诉书应当包括下列内容：</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（1）投诉人和被投诉人的姓名或者名称、通讯地址、邮编、联系人及联系电话；</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（2）质疑和质疑答复情况说明及相关证明材料；</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（3）具体、明确的投诉事项和与投诉事项相关的投诉请求；</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（4）事实依据；</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（5）法律依据；</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（6）提起投诉的日期。</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投诉人为自然人的，应当由本人签字；投诉人为法人或者其他组织的，应当由法定代表人、主要负责人，或者其委托代理人签字或者盖章，并加盖单位章。</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11.2.3 投诉书范本格式在中国政府采购网站（http</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//www.ccgp.gov.cn/）自行下载。</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11.2.4 投诉人提起投诉应当符合下列条件：</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（1）提起投诉前已依法进行质疑；</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（2）投诉书内容符合财政部94号令的规定；</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（3）在投诉有效期限内提起投诉；</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（4）同一投诉事项未经财政部门投诉处理；</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（5）财政部规定的其他条件。</w:t>
      </w:r>
    </w:p>
    <w:p>
      <w:pPr>
        <w:widowControl/>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11.2.5  投诉人投诉的事项不得超出已质疑事项的范围，但基于质疑答复内容提出的投诉事项除外。</w:t>
      </w:r>
    </w:p>
    <w:p>
      <w:pPr>
        <w:spacing w:before="240" w:beforeLines="100" w:after="120" w:afterLines="50" w:line="360" w:lineRule="auto"/>
        <w:jc w:val="left"/>
        <w:outlineLvl w:val="1"/>
        <w:rPr>
          <w:rFonts w:hint="default" w:ascii="Times New Roman" w:hAnsi="Times New Roman" w:eastAsia="黑体" w:cs="Times New Roman"/>
          <w:b/>
          <w:color w:val="auto"/>
          <w:sz w:val="36"/>
          <w:szCs w:val="36"/>
          <w:highlight w:val="none"/>
        </w:rPr>
      </w:pPr>
      <w:bookmarkStart w:id="79" w:name="_Toc28134"/>
      <w:r>
        <w:rPr>
          <w:rFonts w:hint="default" w:ascii="Times New Roman" w:hAnsi="Times New Roman" w:eastAsia="黑体" w:cs="Times New Roman"/>
          <w:b/>
          <w:color w:val="auto"/>
          <w:sz w:val="36"/>
          <w:szCs w:val="36"/>
          <w:highlight w:val="none"/>
        </w:rPr>
        <w:t>12.其他</w:t>
      </w:r>
      <w:bookmarkEnd w:id="79"/>
    </w:p>
    <w:p>
      <w:pPr>
        <w:spacing w:before="120" w:beforeLines="50" w:after="120" w:afterLines="50" w:line="360" w:lineRule="auto"/>
        <w:jc w:val="left"/>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12.1成交供应商融资</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本着“银企自愿，风险自担”的原则，</w:t>
      </w:r>
      <w:r>
        <w:rPr>
          <w:rFonts w:hint="default" w:ascii="Times New Roman" w:hAnsi="Times New Roman" w:eastAsia="宋体" w:cs="Times New Roman"/>
          <w:color w:val="auto"/>
          <w:szCs w:val="21"/>
          <w:highlight w:val="none"/>
          <w:lang w:eastAsia="zh-CN"/>
        </w:rPr>
        <w:t>成交供应商</w:t>
      </w:r>
      <w:r>
        <w:rPr>
          <w:rFonts w:hint="default" w:ascii="Times New Roman" w:hAnsi="Times New Roman" w:eastAsia="宋体" w:cs="Times New Roman"/>
          <w:color w:val="auto"/>
          <w:szCs w:val="21"/>
          <w:highlight w:val="none"/>
        </w:rPr>
        <w:t>为中小企业的可以自愿选择政府采购贷进行融资，通过“陕西省政府采购</w:t>
      </w:r>
      <w:r>
        <w:rPr>
          <w:rFonts w:hint="default" w:ascii="Times New Roman" w:hAnsi="Times New Roman" w:eastAsia="宋体" w:cs="Times New Roman"/>
          <w:color w:val="auto"/>
          <w:szCs w:val="21"/>
          <w:highlight w:val="none"/>
          <w:lang w:val="en-US" w:eastAsia="zh-CN"/>
        </w:rPr>
        <w:t>信用</w:t>
      </w:r>
      <w:r>
        <w:rPr>
          <w:rFonts w:hint="default" w:ascii="Times New Roman" w:hAnsi="Times New Roman" w:eastAsia="宋体" w:cs="Times New Roman"/>
          <w:color w:val="auto"/>
          <w:szCs w:val="21"/>
          <w:highlight w:val="none"/>
        </w:rPr>
        <w:t>融资平台”（http：//www.ccgp-shaanxi.gov.cn/）实施政采贷。</w:t>
      </w:r>
    </w:p>
    <w:p>
      <w:pPr>
        <w:spacing w:before="120" w:beforeLines="50" w:after="120" w:afterLines="50" w:line="360" w:lineRule="auto"/>
        <w:jc w:val="left"/>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lang w:val="en-US" w:eastAsia="zh-CN"/>
        </w:rPr>
        <w:t>12</w:t>
      </w:r>
      <w:r>
        <w:rPr>
          <w:rFonts w:hint="default" w:ascii="Times New Roman" w:hAnsi="Times New Roman" w:cs="Times New Roman"/>
          <w:b/>
          <w:color w:val="auto"/>
          <w:sz w:val="30"/>
          <w:szCs w:val="30"/>
          <w:highlight w:val="none"/>
        </w:rPr>
        <w:t>.2 采购代理服务费</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12.2.1</w:t>
      </w:r>
      <w:r>
        <w:rPr>
          <w:rFonts w:hint="eastAsia" w:cs="Times New Roman"/>
          <w:color w:val="auto"/>
          <w:szCs w:val="21"/>
          <w:highlight w:val="none"/>
          <w:lang w:val="en-US" w:eastAsia="zh-CN"/>
        </w:rPr>
        <w:t>采购代理服务费</w:t>
      </w:r>
      <w:r>
        <w:rPr>
          <w:rFonts w:hint="default" w:ascii="Times New Roman" w:hAnsi="Times New Roman" w:cs="Times New Roman"/>
          <w:color w:val="auto"/>
          <w:szCs w:val="21"/>
          <w:highlight w:val="none"/>
        </w:rPr>
        <w:t>由成交供应商支付，成交供应商在领取《成交通知书》之前，应当向采购代理机构交纳采购代理服务费。</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cs="Times New Roman"/>
          <w:color w:val="auto"/>
          <w:szCs w:val="21"/>
          <w:highlight w:val="none"/>
        </w:rPr>
        <w:t>12.2.2 采购代理服务费依据《国家计委关于印发招标代理服务收费管理暂行办法的通知》（计价格</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2002</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1980号）和国家发改委办公厅颁发的《关于招标代理服务收费有关问题的通知》（发改办价格</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2003</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857号）文件规定标准收取。以上费用由成交单位支付。</w:t>
      </w:r>
      <w:r>
        <w:rPr>
          <w:rFonts w:hint="default" w:ascii="Times New Roman" w:hAnsi="Times New Roman" w:eastAsia="宋体" w:cs="Times New Roman"/>
          <w:color w:val="auto"/>
          <w:szCs w:val="21"/>
          <w:highlight w:val="none"/>
        </w:rPr>
        <w:t>具体收费金额将在成交公告中公布。</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12.2.3 采购代理服务费，可以采取现金、支票、银行汇票、电汇、网银等方式交纳，但不得用磋商保证金冲抵。</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12.2.4供应商须知前附表要求供应商提交磋商保证金的，成交供应商成交供应商不得用磋商保证金冲抵，未按本章12.2.1条款规定交纳采购代理服务费的，其磋商保证金将被采购代理机构全额没收。</w:t>
      </w:r>
    </w:p>
    <w:p>
      <w:pPr>
        <w:spacing w:before="120" w:beforeLines="50" w:after="120" w:afterLines="50" w:line="360" w:lineRule="auto"/>
        <w:jc w:val="left"/>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1</w:t>
      </w:r>
      <w:r>
        <w:rPr>
          <w:rFonts w:hint="default" w:ascii="Times New Roman" w:hAnsi="Times New Roman" w:cs="Times New Roman"/>
          <w:b/>
          <w:color w:val="auto"/>
          <w:sz w:val="30"/>
          <w:szCs w:val="30"/>
          <w:highlight w:val="none"/>
          <w:lang w:val="en-US" w:eastAsia="zh-CN"/>
        </w:rPr>
        <w:t>2</w:t>
      </w:r>
      <w:r>
        <w:rPr>
          <w:rFonts w:hint="default" w:ascii="Times New Roman" w:hAnsi="Times New Roman" w:cs="Times New Roman"/>
          <w:b/>
          <w:color w:val="auto"/>
          <w:sz w:val="30"/>
          <w:szCs w:val="30"/>
          <w:highlight w:val="none"/>
        </w:rPr>
        <w:t>.</w:t>
      </w:r>
      <w:r>
        <w:rPr>
          <w:rFonts w:hint="default" w:ascii="Times New Roman" w:hAnsi="Times New Roman" w:cs="Times New Roman"/>
          <w:b/>
          <w:color w:val="auto"/>
          <w:sz w:val="30"/>
          <w:szCs w:val="30"/>
          <w:highlight w:val="none"/>
          <w:lang w:val="en-US" w:eastAsia="zh-CN"/>
        </w:rPr>
        <w:t>3</w:t>
      </w:r>
      <w:r>
        <w:rPr>
          <w:rFonts w:hint="default" w:ascii="Times New Roman" w:hAnsi="Times New Roman" w:cs="Times New Roman"/>
          <w:b/>
          <w:color w:val="auto"/>
          <w:sz w:val="30"/>
          <w:szCs w:val="30"/>
          <w:highlight w:val="none"/>
        </w:rPr>
        <w:t xml:space="preserve"> 录音录像</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采购代理机构对开启响应文件、磋商和评审过程进行全程录音录像、文字记录，并存档备查。</w:t>
      </w:r>
    </w:p>
    <w:p>
      <w:pPr>
        <w:spacing w:before="120" w:beforeLines="50" w:after="120" w:afterLines="50" w:line="360" w:lineRule="auto"/>
        <w:jc w:val="left"/>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1</w:t>
      </w:r>
      <w:r>
        <w:rPr>
          <w:rFonts w:hint="default" w:ascii="Times New Roman" w:hAnsi="Times New Roman" w:cs="Times New Roman"/>
          <w:b/>
          <w:color w:val="auto"/>
          <w:sz w:val="30"/>
          <w:szCs w:val="30"/>
          <w:highlight w:val="none"/>
          <w:lang w:val="en-US" w:eastAsia="zh-CN"/>
        </w:rPr>
        <w:t>2</w:t>
      </w:r>
      <w:r>
        <w:rPr>
          <w:rFonts w:hint="default" w:ascii="Times New Roman" w:hAnsi="Times New Roman" w:cs="Times New Roman"/>
          <w:b/>
          <w:color w:val="auto"/>
          <w:sz w:val="30"/>
          <w:szCs w:val="30"/>
          <w:highlight w:val="none"/>
        </w:rPr>
        <w:t>.</w:t>
      </w:r>
      <w:r>
        <w:rPr>
          <w:rFonts w:hint="default" w:ascii="Times New Roman" w:hAnsi="Times New Roman" w:cs="Times New Roman"/>
          <w:b/>
          <w:color w:val="auto"/>
          <w:sz w:val="30"/>
          <w:szCs w:val="30"/>
          <w:highlight w:val="none"/>
          <w:lang w:val="en-US" w:eastAsia="zh-CN"/>
        </w:rPr>
        <w:t>4</w:t>
      </w:r>
      <w:r>
        <w:rPr>
          <w:rFonts w:hint="default" w:ascii="Times New Roman" w:hAnsi="Times New Roman" w:cs="Times New Roman"/>
          <w:b/>
          <w:color w:val="auto"/>
          <w:sz w:val="30"/>
          <w:szCs w:val="30"/>
          <w:highlight w:val="none"/>
        </w:rPr>
        <w:t xml:space="preserve"> 需要补充的其他内容</w:t>
      </w:r>
    </w:p>
    <w:p>
      <w:pPr>
        <w:adjustRightInd w:val="0"/>
        <w:snapToGrid w:val="0"/>
        <w:spacing w:before="120" w:beforeLines="50"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磋商文件需要补充的其</w:t>
      </w:r>
      <w:r>
        <w:rPr>
          <w:rFonts w:hint="default" w:ascii="Times New Roman" w:hAnsi="Times New Roman" w:cs="Times New Roman"/>
          <w:color w:val="auto"/>
          <w:szCs w:val="21"/>
          <w:highlight w:val="none"/>
        </w:rPr>
        <w:t>他内容见</w:t>
      </w:r>
      <w:r>
        <w:rPr>
          <w:rFonts w:hint="default" w:ascii="Times New Roman" w:hAnsi="Times New Roman" w:cs="Times New Roman"/>
          <w:b/>
          <w:color w:val="auto"/>
          <w:szCs w:val="21"/>
          <w:highlight w:val="none"/>
        </w:rPr>
        <w:t>供应商须知前附表</w:t>
      </w:r>
      <w:r>
        <w:rPr>
          <w:rFonts w:hint="default" w:ascii="Times New Roman" w:hAnsi="Times New Roman" w:cs="Times New Roman"/>
          <w:color w:val="auto"/>
          <w:szCs w:val="21"/>
          <w:highlight w:val="none"/>
        </w:rPr>
        <w:t>。</w:t>
      </w:r>
    </w:p>
    <w:p>
      <w:pPr>
        <w:rPr>
          <w:rFonts w:hint="default" w:ascii="Times New Roman" w:hAnsi="Times New Roman" w:eastAsia="黑体" w:cs="Times New Roman"/>
          <w:bCs/>
          <w:color w:val="auto"/>
          <w:sz w:val="32"/>
          <w:szCs w:val="32"/>
          <w:highlight w:val="none"/>
        </w:rPr>
      </w:pPr>
      <w:bookmarkStart w:id="80" w:name="_Toc11440"/>
      <w:r>
        <w:rPr>
          <w:rFonts w:hint="default" w:ascii="Times New Roman" w:hAnsi="Times New Roman" w:eastAsia="黑体" w:cs="Times New Roman"/>
          <w:bCs/>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after="120" w:afterLines="50" w:line="360" w:lineRule="auto"/>
        <w:jc w:val="center"/>
        <w:textAlignment w:val="auto"/>
        <w:outlineLvl w:val="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第三章</w:t>
      </w:r>
      <w:bookmarkStart w:id="81" w:name="_Toc217446093"/>
      <w:r>
        <w:rPr>
          <w:rFonts w:hint="default" w:ascii="Times New Roman" w:hAnsi="Times New Roman" w:eastAsia="黑体" w:cs="Times New Roman"/>
          <w:bCs/>
          <w:color w:val="auto"/>
          <w:sz w:val="32"/>
          <w:szCs w:val="32"/>
          <w:highlight w:val="none"/>
        </w:rPr>
        <w:t xml:space="preserve"> 磋商办法</w:t>
      </w:r>
      <w:bookmarkEnd w:id="80"/>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根据《中华人民共和国政府采购法》及其实施条例和财政部《政府采购竞争性磋商采购方式管理暂行办法》（财库</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2014</w:t>
      </w:r>
      <w:r>
        <w:rPr>
          <w:rFonts w:hint="default" w:ascii="Times New Roman" w:hAnsi="Times New Roman" w:eastAsia="宋体" w:cs="Times New Roman"/>
          <w:color w:val="auto"/>
          <w:szCs w:val="21"/>
          <w:highlight w:val="none"/>
          <w:lang w:val="en-US" w:eastAsia="zh-CN"/>
        </w:rPr>
        <w:t>〕</w:t>
      </w:r>
      <w:r>
        <w:rPr>
          <w:rFonts w:hint="default" w:ascii="Times New Roman" w:hAnsi="Times New Roman" w:cs="Times New Roman"/>
          <w:color w:val="auto"/>
          <w:szCs w:val="21"/>
          <w:highlight w:val="none"/>
        </w:rPr>
        <w:t>214号）等法律法规的规定，结合采购项目特点，制定本磋商办法。</w:t>
      </w:r>
    </w:p>
    <w:p>
      <w:pPr>
        <w:spacing w:before="120" w:beforeLines="50" w:after="120" w:afterLines="50" w:line="360" w:lineRule="auto"/>
        <w:outlineLvl w:val="1"/>
        <w:rPr>
          <w:rFonts w:hint="default" w:ascii="Times New Roman" w:hAnsi="Times New Roman" w:eastAsia="黑体" w:cs="Times New Roman"/>
          <w:color w:val="auto"/>
          <w:sz w:val="32"/>
          <w:szCs w:val="32"/>
          <w:highlight w:val="none"/>
        </w:rPr>
      </w:pPr>
      <w:bookmarkStart w:id="82" w:name="_Toc2368"/>
      <w:r>
        <w:rPr>
          <w:rFonts w:hint="default" w:ascii="Times New Roman" w:hAnsi="Times New Roman" w:eastAsia="黑体" w:cs="Times New Roman"/>
          <w:color w:val="auto"/>
          <w:sz w:val="32"/>
          <w:szCs w:val="32"/>
          <w:highlight w:val="none"/>
        </w:rPr>
        <w:t>1.磋商程序</w:t>
      </w:r>
      <w:bookmarkEnd w:id="82"/>
    </w:p>
    <w:p>
      <w:pPr>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1.1 磋商按下列程序进行：</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（1）响应文件初步评审；</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（2）响应文件的澄清；</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（3）磋商（包括技术磋商、商务磋商、提交最后报价）；</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（4）响应文件详细评审；</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（5）复核与核对评审结果；</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（6）确定成交候选人名单；</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（7）编写评审报告。</w:t>
      </w:r>
    </w:p>
    <w:p>
      <w:pPr>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1.2 响应文件初步评审</w:t>
      </w:r>
    </w:p>
    <w:p>
      <w:pPr>
        <w:tabs>
          <w:tab w:val="left" w:pos="0"/>
        </w:tabs>
        <w:adjustRightInd w:val="0"/>
        <w:snapToGrid w:val="0"/>
        <w:spacing w:line="360" w:lineRule="auto"/>
        <w:ind w:firstLine="413" w:firstLineChars="196"/>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1.2.1 资格性审查</w:t>
      </w:r>
    </w:p>
    <w:p>
      <w:pPr>
        <w:tabs>
          <w:tab w:val="left" w:pos="0"/>
        </w:tabs>
        <w:adjustRightInd w:val="0"/>
        <w:snapToGrid w:val="0"/>
        <w:spacing w:line="360" w:lineRule="auto"/>
        <w:ind w:firstLine="621" w:firstLineChars="296"/>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1.2.1.1 磋商小组将依据供应商的响应文件之资格审查部分文件，按照磋商文件第二章第3.1条所述资格要求对供应商进行资格审查，以确定其是否具备相应资格。</w:t>
      </w:r>
      <w:r>
        <w:rPr>
          <w:rFonts w:hint="default" w:ascii="Times New Roman" w:hAnsi="Times New Roman" w:cs="Times New Roman"/>
          <w:color w:val="auto"/>
          <w:kern w:val="0"/>
          <w:szCs w:val="21"/>
          <w:highlight w:val="none"/>
        </w:rPr>
        <w:t>如果供应商不具备资格、不满足磋商文件所规定的资格条件,将被视为未实质性响应磋商文件,其响应文件无效。</w:t>
      </w:r>
    </w:p>
    <w:p>
      <w:pPr>
        <w:tabs>
          <w:tab w:val="left" w:pos="0"/>
        </w:tabs>
        <w:adjustRightInd w:val="0"/>
        <w:snapToGrid w:val="0"/>
        <w:spacing w:line="360" w:lineRule="auto"/>
        <w:ind w:firstLine="621" w:firstLineChars="296"/>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 xml:space="preserve">1.2.1.2 </w:t>
      </w:r>
      <w:r>
        <w:rPr>
          <w:rFonts w:hint="default" w:ascii="Times New Roman" w:hAnsi="Times New Roman" w:cs="Times New Roman"/>
          <w:color w:val="auto"/>
          <w:kern w:val="0"/>
          <w:szCs w:val="21"/>
          <w:highlight w:val="none"/>
        </w:rPr>
        <w:t>信用信息查询时间截至时点，见供应商须知前附表，其查询结果在供应商限定资格条件审查时使用。</w:t>
      </w:r>
    </w:p>
    <w:p>
      <w:pPr>
        <w:tabs>
          <w:tab w:val="left" w:pos="0"/>
        </w:tabs>
        <w:adjustRightInd w:val="0"/>
        <w:snapToGrid w:val="0"/>
        <w:spacing w:line="360" w:lineRule="auto"/>
        <w:ind w:firstLine="621" w:firstLineChars="296"/>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1.2.1.3 采购代理机构可协助磋商小组通过官网查询供应商相关信息。</w:t>
      </w:r>
    </w:p>
    <w:p>
      <w:pPr>
        <w:tabs>
          <w:tab w:val="left" w:pos="0"/>
        </w:tabs>
        <w:adjustRightInd w:val="0"/>
        <w:snapToGrid w:val="0"/>
        <w:spacing w:line="360" w:lineRule="auto"/>
        <w:ind w:firstLine="632" w:firstLineChars="300"/>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1.2.1.4</w:t>
      </w:r>
      <w:r>
        <w:rPr>
          <w:rFonts w:hint="default" w:ascii="Times New Roman" w:hAnsi="Times New Roman" w:cs="Times New Roman"/>
          <w:b/>
          <w:color w:val="auto"/>
          <w:kern w:val="0"/>
          <w:szCs w:val="21"/>
          <w:highlight w:val="none"/>
          <w:lang w:val="en-US" w:eastAsia="zh-CN"/>
        </w:rPr>
        <w:t xml:space="preserve"> </w:t>
      </w:r>
      <w:r>
        <w:rPr>
          <w:rFonts w:hint="default" w:ascii="Times New Roman" w:hAnsi="Times New Roman" w:cs="Times New Roman"/>
          <w:b/>
          <w:color w:val="auto"/>
          <w:kern w:val="0"/>
          <w:szCs w:val="21"/>
          <w:highlight w:val="none"/>
        </w:rPr>
        <w:t>基本资格条件的审查</w:t>
      </w:r>
    </w:p>
    <w:p>
      <w:pPr>
        <w:tabs>
          <w:tab w:val="left" w:pos="0"/>
        </w:tabs>
        <w:adjustRightInd w:val="0"/>
        <w:snapToGrid w:val="0"/>
        <w:spacing w:line="360" w:lineRule="auto"/>
        <w:ind w:firstLine="630" w:firstLineChars="3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（一）审查方法如下：</w:t>
      </w:r>
    </w:p>
    <w:p>
      <w:pPr>
        <w:tabs>
          <w:tab w:val="left" w:pos="0"/>
        </w:tabs>
        <w:adjustRightInd w:val="0"/>
        <w:snapToGrid w:val="0"/>
        <w:spacing w:line="360" w:lineRule="auto"/>
        <w:ind w:firstLine="630" w:firstLineChars="3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（1）供应商属企业法人的，其3证合1或多证合1的营业执照，不审查原件，通过国家企业信用信息公示系统（http</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//www.gsxt.gov.cn/index.html）进行相关信息的核实；</w:t>
      </w:r>
    </w:p>
    <w:p>
      <w:pPr>
        <w:tabs>
          <w:tab w:val="left" w:pos="0"/>
        </w:tabs>
        <w:adjustRightInd w:val="0"/>
        <w:snapToGrid w:val="0"/>
        <w:spacing w:line="360" w:lineRule="auto"/>
        <w:ind w:firstLine="630" w:firstLineChars="3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（2）供应商属事业单位的，审查事业单位法人证书；</w:t>
      </w:r>
    </w:p>
    <w:p>
      <w:pPr>
        <w:tabs>
          <w:tab w:val="left" w:pos="0"/>
        </w:tabs>
        <w:adjustRightInd w:val="0"/>
        <w:snapToGrid w:val="0"/>
        <w:spacing w:line="360" w:lineRule="auto"/>
        <w:ind w:firstLine="630" w:firstLineChars="3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（3）供应商属于其他组织的（包括但不限于民办非企业单位登记证书、社会团体法人登记证书、基金会法人登记证书），审查登记证书；</w:t>
      </w:r>
    </w:p>
    <w:p>
      <w:pPr>
        <w:tabs>
          <w:tab w:val="left" w:pos="0"/>
        </w:tabs>
        <w:adjustRightInd w:val="0"/>
        <w:snapToGrid w:val="0"/>
        <w:spacing w:line="360" w:lineRule="auto"/>
        <w:ind w:firstLine="630" w:firstLineChars="3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（4）属于自然人的，审查身份证</w:t>
      </w:r>
      <w:r>
        <w:rPr>
          <w:rFonts w:hint="default" w:ascii="Times New Roman" w:hAnsi="Times New Roman" w:cs="Times New Roman"/>
          <w:color w:val="auto"/>
          <w:kern w:val="0"/>
          <w:szCs w:val="21"/>
          <w:highlight w:val="none"/>
          <w:lang w:eastAsia="zh-CN"/>
        </w:rPr>
        <w:t>复印件</w:t>
      </w:r>
      <w:r>
        <w:rPr>
          <w:rFonts w:hint="default" w:ascii="Times New Roman" w:hAnsi="Times New Roman" w:cs="Times New Roman"/>
          <w:color w:val="auto"/>
          <w:kern w:val="0"/>
          <w:szCs w:val="21"/>
          <w:highlight w:val="none"/>
        </w:rPr>
        <w:t>。</w:t>
      </w:r>
    </w:p>
    <w:p>
      <w:pPr>
        <w:tabs>
          <w:tab w:val="left" w:pos="0"/>
        </w:tabs>
        <w:adjustRightInd w:val="0"/>
        <w:snapToGrid w:val="0"/>
        <w:spacing w:line="360" w:lineRule="auto"/>
        <w:ind w:firstLine="720" w:firstLineChars="343"/>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（二）审查标准如下：</w:t>
      </w:r>
    </w:p>
    <w:p>
      <w:pPr>
        <w:tabs>
          <w:tab w:val="left" w:pos="0"/>
        </w:tabs>
        <w:adjustRightInd w:val="0"/>
        <w:snapToGrid w:val="0"/>
        <w:spacing w:line="360" w:lineRule="auto"/>
        <w:ind w:firstLine="840" w:firstLineChars="4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磋商小组将按下表所列举的审查标准对供应商的基本资格条件进行</w:t>
      </w:r>
      <w:r>
        <w:rPr>
          <w:rFonts w:hint="default" w:ascii="Times New Roman" w:hAnsi="Times New Roman" w:cs="Times New Roman"/>
          <w:bCs/>
          <w:color w:val="auto"/>
          <w:szCs w:val="21"/>
          <w:highlight w:val="none"/>
        </w:rPr>
        <w:t>审查，供应商若</w:t>
      </w:r>
      <w:r>
        <w:rPr>
          <w:rFonts w:hint="default" w:ascii="Times New Roman" w:hAnsi="Times New Roman" w:cs="Times New Roman"/>
          <w:color w:val="auto"/>
          <w:kern w:val="0"/>
          <w:szCs w:val="21"/>
          <w:highlight w:val="none"/>
        </w:rPr>
        <w:t>有一项不合格，即判定其基本资格条件审查结果为不合格，将不具备磋商资格，其响应文件无效</w:t>
      </w:r>
      <w:r>
        <w:rPr>
          <w:rFonts w:hint="default" w:ascii="Times New Roman" w:hAnsi="Times New Roman" w:cs="Times New Roman"/>
          <w:color w:val="auto"/>
          <w:highlight w:val="none"/>
        </w:rPr>
        <w:t>。</w:t>
      </w:r>
    </w:p>
    <w:tbl>
      <w:tblPr>
        <w:tblStyle w:val="1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682"/>
        <w:gridCol w:w="1114"/>
        <w:gridCol w:w="1254"/>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1" w:type="dxa"/>
            <w:noWrap w:val="0"/>
            <w:vAlign w:val="bottom"/>
          </w:tcPr>
          <w:p>
            <w:pPr>
              <w:tabs>
                <w:tab w:val="left" w:pos="0"/>
              </w:tabs>
              <w:adjustRightInd w:val="0"/>
              <w:snapToGrid w:val="0"/>
              <w:spacing w:line="360" w:lineRule="auto"/>
              <w:jc w:val="center"/>
              <w:rPr>
                <w:rFonts w:hint="default" w:ascii="Times New Roman" w:hAnsi="Times New Roman" w:cs="Times New Roman"/>
                <w:b/>
                <w:color w:val="auto"/>
                <w:kern w:val="0"/>
                <w:sz w:val="24"/>
                <w:highlight w:val="none"/>
              </w:rPr>
            </w:pPr>
            <w:r>
              <w:rPr>
                <w:rFonts w:hint="default" w:ascii="Times New Roman" w:hAnsi="Times New Roman" w:eastAsia="宋体" w:cs="Times New Roman"/>
                <w:b/>
                <w:kern w:val="0"/>
                <w:sz w:val="24"/>
                <w:highlight w:val="none"/>
              </w:rPr>
              <w:t>序号</w:t>
            </w:r>
          </w:p>
        </w:tc>
        <w:tc>
          <w:tcPr>
            <w:tcW w:w="5682" w:type="dxa"/>
            <w:noWrap w:val="0"/>
            <w:vAlign w:val="bottom"/>
          </w:tcPr>
          <w:p>
            <w:pPr>
              <w:tabs>
                <w:tab w:val="left" w:pos="0"/>
              </w:tabs>
              <w:adjustRightInd w:val="0"/>
              <w:snapToGrid w:val="0"/>
              <w:spacing w:line="360" w:lineRule="auto"/>
              <w:jc w:val="center"/>
              <w:rPr>
                <w:rFonts w:hint="default" w:ascii="Times New Roman" w:hAnsi="Times New Roman" w:cs="Times New Roman"/>
                <w:b/>
                <w:color w:val="auto"/>
                <w:kern w:val="0"/>
                <w:sz w:val="24"/>
                <w:highlight w:val="none"/>
              </w:rPr>
            </w:pPr>
            <w:r>
              <w:rPr>
                <w:rFonts w:hint="default" w:ascii="Times New Roman" w:hAnsi="Times New Roman" w:eastAsia="宋体" w:cs="Times New Roman"/>
                <w:b/>
                <w:kern w:val="0"/>
                <w:sz w:val="24"/>
                <w:highlight w:val="none"/>
              </w:rPr>
              <w:t>审查因素</w:t>
            </w:r>
          </w:p>
        </w:tc>
        <w:tc>
          <w:tcPr>
            <w:tcW w:w="1114" w:type="dxa"/>
            <w:noWrap w:val="0"/>
            <w:vAlign w:val="bottom"/>
          </w:tcPr>
          <w:p>
            <w:pPr>
              <w:tabs>
                <w:tab w:val="left" w:pos="0"/>
              </w:tabs>
              <w:adjustRightInd w:val="0"/>
              <w:snapToGrid w:val="0"/>
              <w:jc w:val="center"/>
              <w:rPr>
                <w:rFonts w:hint="default" w:ascii="Times New Roman" w:hAnsi="Times New Roman" w:cs="Times New Roman"/>
                <w:b/>
                <w:color w:val="auto"/>
                <w:kern w:val="0"/>
                <w:sz w:val="24"/>
                <w:highlight w:val="none"/>
              </w:rPr>
            </w:pPr>
            <w:r>
              <w:rPr>
                <w:rFonts w:hint="default" w:ascii="Times New Roman" w:hAnsi="Times New Roman" w:eastAsia="宋体" w:cs="Times New Roman"/>
                <w:b/>
                <w:kern w:val="0"/>
                <w:sz w:val="24"/>
                <w:highlight w:val="none"/>
              </w:rPr>
              <w:t>审查标准</w:t>
            </w:r>
          </w:p>
        </w:tc>
        <w:tc>
          <w:tcPr>
            <w:tcW w:w="1262" w:type="dxa"/>
            <w:gridSpan w:val="2"/>
            <w:noWrap w:val="0"/>
            <w:vAlign w:val="bottom"/>
          </w:tcPr>
          <w:p>
            <w:pPr>
              <w:tabs>
                <w:tab w:val="left" w:pos="0"/>
              </w:tabs>
              <w:adjustRightInd w:val="0"/>
              <w:snapToGrid w:val="0"/>
              <w:spacing w:line="360" w:lineRule="auto"/>
              <w:jc w:val="center"/>
              <w:rPr>
                <w:rFonts w:hint="default" w:ascii="Times New Roman" w:hAnsi="Times New Roman" w:cs="Times New Roman"/>
                <w:b/>
                <w:color w:val="auto"/>
                <w:kern w:val="0"/>
                <w:sz w:val="24"/>
                <w:highlight w:val="none"/>
              </w:rPr>
            </w:pPr>
            <w:r>
              <w:rPr>
                <w:rFonts w:hint="default" w:ascii="Times New Roman" w:hAnsi="Times New Roman" w:eastAsia="宋体" w:cs="Times New Roman"/>
                <w:b/>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731" w:type="dxa"/>
            <w:noWrap w:val="0"/>
            <w:vAlign w:val="center"/>
          </w:tcPr>
          <w:p>
            <w:pPr>
              <w:tabs>
                <w:tab w:val="left" w:pos="0"/>
              </w:tabs>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eastAsia="宋体" w:cs="Times New Roman"/>
                <w:kern w:val="0"/>
                <w:szCs w:val="21"/>
                <w:highlight w:val="none"/>
              </w:rPr>
              <w:t>1</w:t>
            </w:r>
          </w:p>
        </w:tc>
        <w:tc>
          <w:tcPr>
            <w:tcW w:w="5682" w:type="dxa"/>
            <w:noWrap w:val="0"/>
            <w:vAlign w:val="center"/>
          </w:tcPr>
          <w:p>
            <w:pPr>
              <w:keepNext w:val="0"/>
              <w:keepLines w:val="0"/>
              <w:pageBreakBefore w:val="0"/>
              <w:widowControl w:val="0"/>
              <w:tabs>
                <w:tab w:val="left" w:pos="0"/>
              </w:tabs>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根据供应商类别进行审查：</w:t>
            </w:r>
          </w:p>
          <w:p>
            <w:pPr>
              <w:keepNext w:val="0"/>
              <w:keepLines w:val="0"/>
              <w:pageBreakBefore w:val="0"/>
              <w:widowControl w:val="0"/>
              <w:tabs>
                <w:tab w:val="left" w:pos="0"/>
              </w:tabs>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kern w:val="0"/>
                <w:szCs w:val="21"/>
                <w:highlight w:val="none"/>
              </w:rPr>
            </w:pPr>
            <w:r>
              <w:rPr>
                <w:rFonts w:hint="eastAsia" w:cs="Times New Roman"/>
                <w:kern w:val="0"/>
                <w:szCs w:val="21"/>
                <w:highlight w:val="none"/>
                <w:lang w:eastAsia="zh-CN"/>
              </w:rPr>
              <w:t>（</w:t>
            </w:r>
            <w:r>
              <w:rPr>
                <w:rFonts w:hint="eastAsia" w:cs="Times New Roman"/>
                <w:kern w:val="0"/>
                <w:szCs w:val="21"/>
                <w:highlight w:val="none"/>
                <w:lang w:val="en-US" w:eastAsia="zh-CN"/>
              </w:rPr>
              <w:t>1</w:t>
            </w:r>
            <w:r>
              <w:rPr>
                <w:rFonts w:hint="eastAsia" w:cs="Times New Roman"/>
                <w:kern w:val="0"/>
                <w:szCs w:val="21"/>
                <w:highlight w:val="none"/>
                <w:lang w:eastAsia="zh-CN"/>
              </w:rPr>
              <w:t>）</w:t>
            </w:r>
            <w:r>
              <w:rPr>
                <w:rFonts w:hint="default" w:ascii="Times New Roman" w:hAnsi="Times New Roman" w:eastAsia="宋体" w:cs="Times New Roman"/>
                <w:kern w:val="0"/>
                <w:szCs w:val="21"/>
                <w:highlight w:val="none"/>
              </w:rPr>
              <w:t>企业磋商的：营业执照(3证合1或多证合1)复印件</w:t>
            </w:r>
          </w:p>
          <w:p>
            <w:pPr>
              <w:keepNext w:val="0"/>
              <w:keepLines w:val="0"/>
              <w:pageBreakBefore w:val="0"/>
              <w:widowControl w:val="0"/>
              <w:tabs>
                <w:tab w:val="left" w:pos="0"/>
              </w:tabs>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kern w:val="0"/>
                <w:szCs w:val="21"/>
                <w:highlight w:val="none"/>
              </w:rPr>
            </w:pPr>
            <w:r>
              <w:rPr>
                <w:rFonts w:hint="eastAsia" w:cs="Times New Roman"/>
                <w:kern w:val="0"/>
                <w:szCs w:val="21"/>
                <w:highlight w:val="none"/>
                <w:lang w:eastAsia="zh-CN"/>
              </w:rPr>
              <w:t>（</w:t>
            </w:r>
            <w:r>
              <w:rPr>
                <w:rFonts w:hint="eastAsia" w:cs="Times New Roman"/>
                <w:kern w:val="0"/>
                <w:szCs w:val="21"/>
                <w:highlight w:val="none"/>
                <w:lang w:val="en-US" w:eastAsia="zh-CN"/>
              </w:rPr>
              <w:t>2</w:t>
            </w:r>
            <w:r>
              <w:rPr>
                <w:rFonts w:hint="eastAsia" w:cs="Times New Roman"/>
                <w:kern w:val="0"/>
                <w:szCs w:val="21"/>
                <w:highlight w:val="none"/>
                <w:lang w:eastAsia="zh-CN"/>
              </w:rPr>
              <w:t>）</w:t>
            </w:r>
            <w:r>
              <w:rPr>
                <w:rFonts w:hint="default" w:ascii="Times New Roman" w:hAnsi="Times New Roman" w:eastAsia="宋体" w:cs="Times New Roman"/>
                <w:kern w:val="0"/>
                <w:szCs w:val="21"/>
                <w:highlight w:val="none"/>
              </w:rPr>
              <w:t>事业单位磋商的：事业单位法人证书复印件</w:t>
            </w:r>
          </w:p>
          <w:p>
            <w:pPr>
              <w:keepNext w:val="0"/>
              <w:keepLines w:val="0"/>
              <w:pageBreakBefore w:val="0"/>
              <w:widowControl w:val="0"/>
              <w:tabs>
                <w:tab w:val="left" w:pos="0"/>
              </w:tabs>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kern w:val="0"/>
                <w:szCs w:val="21"/>
                <w:highlight w:val="none"/>
              </w:rPr>
            </w:pPr>
            <w:r>
              <w:rPr>
                <w:rFonts w:hint="eastAsia" w:cs="Times New Roman"/>
                <w:kern w:val="0"/>
                <w:szCs w:val="21"/>
                <w:highlight w:val="none"/>
                <w:lang w:eastAsia="zh-CN"/>
              </w:rPr>
              <w:t>（</w:t>
            </w:r>
            <w:r>
              <w:rPr>
                <w:rFonts w:hint="eastAsia" w:cs="Times New Roman"/>
                <w:kern w:val="0"/>
                <w:szCs w:val="21"/>
                <w:highlight w:val="none"/>
                <w:lang w:val="en-US" w:eastAsia="zh-CN"/>
              </w:rPr>
              <w:t>3</w:t>
            </w:r>
            <w:r>
              <w:rPr>
                <w:rFonts w:hint="eastAsia" w:cs="Times New Roman"/>
                <w:kern w:val="0"/>
                <w:szCs w:val="21"/>
                <w:highlight w:val="none"/>
                <w:lang w:eastAsia="zh-CN"/>
              </w:rPr>
              <w:t>）</w:t>
            </w:r>
            <w:r>
              <w:rPr>
                <w:rFonts w:hint="default" w:ascii="Times New Roman" w:hAnsi="Times New Roman" w:eastAsia="宋体" w:cs="Times New Roman"/>
                <w:kern w:val="0"/>
                <w:szCs w:val="21"/>
                <w:highlight w:val="none"/>
              </w:rPr>
              <w:t>其他组织磋商的：登记证书复印件</w:t>
            </w:r>
          </w:p>
          <w:p>
            <w:pPr>
              <w:keepNext w:val="0"/>
              <w:keepLines w:val="0"/>
              <w:pageBreakBefore w:val="0"/>
              <w:widowControl w:val="0"/>
              <w:tabs>
                <w:tab w:val="left" w:pos="0"/>
              </w:tabs>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cs="Times New Roman"/>
                <w:color w:val="auto"/>
                <w:kern w:val="0"/>
                <w:szCs w:val="21"/>
                <w:highlight w:val="none"/>
              </w:rPr>
            </w:pPr>
            <w:r>
              <w:rPr>
                <w:rFonts w:hint="eastAsia" w:cs="Times New Roman"/>
                <w:kern w:val="0"/>
                <w:szCs w:val="21"/>
                <w:highlight w:val="none"/>
                <w:lang w:eastAsia="zh-CN"/>
              </w:rPr>
              <w:t>（</w:t>
            </w:r>
            <w:r>
              <w:rPr>
                <w:rFonts w:hint="eastAsia" w:cs="Times New Roman"/>
                <w:kern w:val="0"/>
                <w:szCs w:val="21"/>
                <w:highlight w:val="none"/>
                <w:lang w:val="en-US" w:eastAsia="zh-CN"/>
              </w:rPr>
              <w:t>4</w:t>
            </w:r>
            <w:r>
              <w:rPr>
                <w:rFonts w:hint="eastAsia" w:cs="Times New Roman"/>
                <w:kern w:val="0"/>
                <w:szCs w:val="21"/>
                <w:highlight w:val="none"/>
                <w:lang w:eastAsia="zh-CN"/>
              </w:rPr>
              <w:t>）</w:t>
            </w:r>
            <w:r>
              <w:rPr>
                <w:rFonts w:hint="default" w:ascii="Times New Roman" w:hAnsi="Times New Roman" w:eastAsia="宋体" w:cs="Times New Roman"/>
                <w:kern w:val="0"/>
                <w:szCs w:val="21"/>
                <w:highlight w:val="none"/>
              </w:rPr>
              <w:t>自然人磋商的：身份证复印件</w:t>
            </w:r>
          </w:p>
        </w:tc>
        <w:tc>
          <w:tcPr>
            <w:tcW w:w="1114" w:type="dxa"/>
            <w:noWrap w:val="0"/>
            <w:vAlign w:val="center"/>
          </w:tcPr>
          <w:p>
            <w:pPr>
              <w:tabs>
                <w:tab w:val="left" w:pos="0"/>
              </w:tabs>
              <w:adjustRightInd w:val="0"/>
              <w:snapToGrid w:val="0"/>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合法</w:t>
            </w:r>
          </w:p>
          <w:p>
            <w:pPr>
              <w:tabs>
                <w:tab w:val="left" w:pos="0"/>
              </w:tabs>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eastAsia="宋体" w:cs="Times New Roman"/>
                <w:kern w:val="0"/>
                <w:szCs w:val="21"/>
                <w:highlight w:val="none"/>
              </w:rPr>
              <w:t>有效</w:t>
            </w:r>
          </w:p>
        </w:tc>
        <w:tc>
          <w:tcPr>
            <w:tcW w:w="1254" w:type="dxa"/>
            <w:noWrap w:val="0"/>
            <w:vAlign w:val="center"/>
          </w:tcPr>
          <w:p>
            <w:pPr>
              <w:tabs>
                <w:tab w:val="left" w:pos="0"/>
              </w:tabs>
              <w:adjustRightInd w:val="0"/>
              <w:snapToGrid w:val="0"/>
              <w:jc w:val="center"/>
              <w:rPr>
                <w:rFonts w:hint="default" w:ascii="Times New Roman" w:hAnsi="Times New Roman" w:cs="Times New Roman"/>
                <w:color w:val="auto"/>
                <w:kern w:val="0"/>
                <w:szCs w:val="21"/>
                <w:highlight w:val="none"/>
              </w:rPr>
            </w:pPr>
          </w:p>
        </w:tc>
        <w:tc>
          <w:tcPr>
            <w:tcW w:w="0" w:type="auto"/>
            <w:noWrap w:val="0"/>
            <w:vAlign w:val="center"/>
          </w:tcPr>
          <w:p>
            <w:pPr>
              <w:tabs>
                <w:tab w:val="left" w:pos="0"/>
              </w:tabs>
              <w:adjustRightInd w:val="0"/>
              <w:snapToGrid w:val="0"/>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31" w:type="dxa"/>
            <w:noWrap w:val="0"/>
            <w:vAlign w:val="center"/>
          </w:tcPr>
          <w:p>
            <w:pPr>
              <w:tabs>
                <w:tab w:val="left" w:pos="0"/>
              </w:tabs>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eastAsia="宋体" w:cs="Times New Roman"/>
                <w:kern w:val="0"/>
                <w:szCs w:val="21"/>
                <w:highlight w:val="none"/>
              </w:rPr>
              <w:t>2</w:t>
            </w:r>
          </w:p>
        </w:tc>
        <w:tc>
          <w:tcPr>
            <w:tcW w:w="5682" w:type="dxa"/>
            <w:noWrap w:val="0"/>
            <w:vAlign w:val="center"/>
          </w:tcPr>
          <w:p>
            <w:pPr>
              <w:numPr>
                <w:ilvl w:val="0"/>
                <w:numId w:val="0"/>
              </w:numPr>
              <w:tabs>
                <w:tab w:val="left" w:pos="0"/>
              </w:tabs>
              <w:adjustRightInd w:val="0"/>
              <w:snapToGrid w:val="0"/>
              <w:ind w:leftChars="0"/>
              <w:rPr>
                <w:rFonts w:hint="default" w:ascii="Times New Roman" w:hAnsi="Times New Roman" w:eastAsia="宋体" w:cs="Times New Roman"/>
                <w:kern w:val="0"/>
                <w:szCs w:val="21"/>
                <w:highlight w:val="none"/>
              </w:rPr>
            </w:pPr>
            <w:r>
              <w:rPr>
                <w:rFonts w:hint="eastAsia" w:ascii="Times New Roman" w:hAnsi="Times New Roman" w:cs="Times New Roman"/>
                <w:kern w:val="0"/>
                <w:szCs w:val="21"/>
                <w:highlight w:val="none"/>
                <w:lang w:val="en-US" w:eastAsia="zh-CN"/>
              </w:rPr>
              <w:t>（1</w:t>
            </w:r>
            <w:r>
              <w:rPr>
                <w:rFonts w:hint="eastAsia" w:ascii="Times New Roman" w:hAnsi="Times New Roman" w:cs="Times New Roman"/>
                <w:kern w:val="0"/>
                <w:szCs w:val="21"/>
                <w:highlight w:val="none"/>
                <w:lang w:eastAsia="zh-CN"/>
              </w:rPr>
              <w:t>）</w:t>
            </w:r>
            <w:r>
              <w:rPr>
                <w:rFonts w:hint="default" w:ascii="Times New Roman" w:hAnsi="Times New Roman" w:eastAsia="宋体" w:cs="Times New Roman"/>
                <w:kern w:val="0"/>
                <w:szCs w:val="21"/>
                <w:highlight w:val="none"/>
              </w:rPr>
              <w:t>法定代表人（负责人）参加磋商的：法定代表人（负责人）身份证明及身份证</w:t>
            </w:r>
          </w:p>
          <w:p>
            <w:pPr>
              <w:numPr>
                <w:ilvl w:val="0"/>
                <w:numId w:val="0"/>
              </w:numPr>
              <w:tabs>
                <w:tab w:val="left" w:pos="0"/>
              </w:tabs>
              <w:adjustRightInd w:val="0"/>
              <w:snapToGrid w:val="0"/>
              <w:ind w:left="0" w:leftChars="0" w:firstLine="0" w:firstLineChars="0"/>
              <w:rPr>
                <w:rFonts w:hint="default" w:ascii="Times New Roman" w:hAnsi="Times New Roman" w:cs="Times New Roman"/>
                <w:color w:val="auto"/>
                <w:kern w:val="0"/>
                <w:szCs w:val="21"/>
                <w:highlight w:val="none"/>
              </w:rPr>
            </w:pP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2</w:t>
            </w:r>
            <w:r>
              <w:rPr>
                <w:rFonts w:hint="eastAsia" w:ascii="Times New Roman" w:hAnsi="Times New Roman" w:cs="Times New Roman"/>
                <w:kern w:val="0"/>
                <w:szCs w:val="21"/>
                <w:highlight w:val="none"/>
                <w:lang w:eastAsia="zh-CN"/>
              </w:rPr>
              <w:t>）</w:t>
            </w:r>
            <w:r>
              <w:rPr>
                <w:rFonts w:hint="default" w:ascii="Times New Roman" w:hAnsi="Times New Roman" w:eastAsia="宋体" w:cs="Times New Roman"/>
                <w:kern w:val="0"/>
                <w:szCs w:val="21"/>
                <w:highlight w:val="none"/>
              </w:rPr>
              <w:t>委托代理人参加磋商的：授权委托书及委托代理人身份证</w:t>
            </w:r>
          </w:p>
        </w:tc>
        <w:tc>
          <w:tcPr>
            <w:tcW w:w="1114" w:type="dxa"/>
            <w:noWrap w:val="0"/>
            <w:vAlign w:val="center"/>
          </w:tcPr>
          <w:p>
            <w:pPr>
              <w:tabs>
                <w:tab w:val="left" w:pos="0"/>
              </w:tabs>
              <w:adjustRightInd w:val="0"/>
              <w:snapToGrid w:val="0"/>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合法</w:t>
            </w:r>
          </w:p>
          <w:p>
            <w:pPr>
              <w:tabs>
                <w:tab w:val="left" w:pos="0"/>
              </w:tabs>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eastAsia="宋体" w:cs="Times New Roman"/>
                <w:kern w:val="0"/>
                <w:szCs w:val="21"/>
                <w:highlight w:val="none"/>
              </w:rPr>
              <w:t>有效</w:t>
            </w:r>
          </w:p>
        </w:tc>
        <w:tc>
          <w:tcPr>
            <w:tcW w:w="1254" w:type="dxa"/>
            <w:noWrap w:val="0"/>
            <w:vAlign w:val="center"/>
          </w:tcPr>
          <w:p>
            <w:pPr>
              <w:tabs>
                <w:tab w:val="left" w:pos="0"/>
              </w:tabs>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eastAsia="宋体" w:cs="Times New Roman"/>
                <w:kern w:val="0"/>
                <w:szCs w:val="21"/>
                <w:highlight w:val="none"/>
              </w:rPr>
              <w:t>审查复印件</w:t>
            </w:r>
          </w:p>
        </w:tc>
        <w:tc>
          <w:tcPr>
            <w:tcW w:w="0" w:type="auto"/>
            <w:noWrap w:val="0"/>
            <w:vAlign w:val="center"/>
          </w:tcPr>
          <w:p>
            <w:pPr>
              <w:tabs>
                <w:tab w:val="left" w:pos="0"/>
              </w:tabs>
              <w:adjustRightInd w:val="0"/>
              <w:snapToGrid w:val="0"/>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31" w:type="dxa"/>
            <w:noWrap w:val="0"/>
            <w:vAlign w:val="center"/>
          </w:tcPr>
          <w:p>
            <w:pPr>
              <w:tabs>
                <w:tab w:val="left" w:pos="0"/>
              </w:tabs>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eastAsia="宋体" w:cs="Times New Roman"/>
                <w:kern w:val="0"/>
                <w:szCs w:val="21"/>
                <w:highlight w:val="none"/>
              </w:rPr>
              <w:t>3</w:t>
            </w:r>
          </w:p>
        </w:tc>
        <w:tc>
          <w:tcPr>
            <w:tcW w:w="5682" w:type="dxa"/>
            <w:noWrap w:val="0"/>
            <w:vAlign w:val="center"/>
          </w:tcPr>
          <w:p>
            <w:pPr>
              <w:tabs>
                <w:tab w:val="left" w:pos="0"/>
              </w:tabs>
              <w:adjustRightInd w:val="0"/>
              <w:snapToGrid w:val="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提供2</w:t>
            </w:r>
            <w:r>
              <w:rPr>
                <w:rFonts w:hint="default" w:ascii="Times New Roman" w:hAnsi="Times New Roman" w:cs="Times New Roman"/>
                <w:color w:val="auto"/>
                <w:kern w:val="0"/>
                <w:sz w:val="21"/>
                <w:szCs w:val="21"/>
                <w:highlight w:val="none"/>
                <w:lang w:val="en-US" w:eastAsia="zh-CN"/>
              </w:rPr>
              <w:t>020</w:t>
            </w:r>
            <w:r>
              <w:rPr>
                <w:rFonts w:hint="default" w:ascii="Times New Roman" w:hAnsi="Times New Roman" w:cs="Times New Roman"/>
                <w:color w:val="auto"/>
                <w:kern w:val="0"/>
                <w:sz w:val="21"/>
                <w:szCs w:val="21"/>
                <w:highlight w:val="none"/>
              </w:rPr>
              <w:t>年度或</w:t>
            </w:r>
            <w:r>
              <w:rPr>
                <w:rFonts w:hint="default" w:ascii="Times New Roman" w:hAnsi="Times New Roman" w:cs="Times New Roman"/>
                <w:color w:val="auto"/>
                <w:kern w:val="0"/>
                <w:sz w:val="21"/>
                <w:szCs w:val="21"/>
                <w:highlight w:val="none"/>
                <w:lang w:val="en-US" w:eastAsia="zh-CN"/>
              </w:rPr>
              <w:t>2021</w:t>
            </w:r>
            <w:r>
              <w:rPr>
                <w:rFonts w:hint="default" w:ascii="Times New Roman" w:hAnsi="Times New Roman" w:cs="Times New Roman"/>
                <w:color w:val="auto"/>
                <w:kern w:val="0"/>
                <w:sz w:val="21"/>
                <w:szCs w:val="21"/>
                <w:highlight w:val="none"/>
              </w:rPr>
              <w:t>年度经审计的财务报告或其基本存款账户开户银行出具的资信证明及基本存款账户开户许可证（基本账户信息表）；</w:t>
            </w:r>
          </w:p>
          <w:p>
            <w:pPr>
              <w:tabs>
                <w:tab w:val="left" w:pos="0"/>
              </w:tabs>
              <w:adjustRightInd w:val="0"/>
              <w:snapToGrid w:val="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要求：</w:t>
            </w:r>
          </w:p>
          <w:p>
            <w:pPr>
              <w:tabs>
                <w:tab w:val="left" w:pos="0"/>
              </w:tabs>
              <w:adjustRightInd w:val="0"/>
              <w:snapToGrid w:val="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w:t>
            </w:r>
            <w:r>
              <w:rPr>
                <w:rFonts w:hint="default" w:ascii="Times New Roman" w:hAnsi="Times New Roman" w:cs="Times New Roman"/>
                <w:color w:val="auto"/>
                <w:kern w:val="0"/>
                <w:sz w:val="21"/>
                <w:szCs w:val="21"/>
                <w:highlight w:val="none"/>
                <w:lang w:eastAsia="zh-CN"/>
              </w:rPr>
              <w:t>供应商</w:t>
            </w:r>
            <w:r>
              <w:rPr>
                <w:rFonts w:hint="default" w:ascii="Times New Roman" w:hAnsi="Times New Roman" w:cs="Times New Roman"/>
                <w:color w:val="auto"/>
                <w:kern w:val="0"/>
                <w:sz w:val="21"/>
                <w:szCs w:val="21"/>
                <w:highlight w:val="none"/>
              </w:rPr>
              <w:t>是法人的，应提供</w:t>
            </w:r>
            <w:r>
              <w:rPr>
                <w:rFonts w:hint="default" w:ascii="Times New Roman" w:hAnsi="Times New Roman" w:cs="Times New Roman"/>
                <w:color w:val="auto"/>
                <w:kern w:val="0"/>
                <w:sz w:val="21"/>
                <w:szCs w:val="21"/>
                <w:highlight w:val="none"/>
                <w:lang w:val="en-US" w:eastAsia="zh-CN"/>
              </w:rPr>
              <w:t>2020年或</w:t>
            </w:r>
            <w:r>
              <w:rPr>
                <w:rFonts w:hint="default" w:ascii="Times New Roman" w:hAnsi="Times New Roman" w:cs="Times New Roman"/>
                <w:color w:val="auto"/>
                <w:kern w:val="0"/>
                <w:sz w:val="21"/>
                <w:szCs w:val="21"/>
                <w:highlight w:val="none"/>
                <w:lang w:eastAsia="zh-CN"/>
              </w:rPr>
              <w:t>202</w:t>
            </w:r>
            <w:r>
              <w:rPr>
                <w:rFonts w:hint="default" w:ascii="Times New Roman" w:hAnsi="Times New Roman" w:cs="Times New Roman"/>
                <w:color w:val="auto"/>
                <w:kern w:val="0"/>
                <w:sz w:val="21"/>
                <w:szCs w:val="21"/>
                <w:highlight w:val="none"/>
                <w:lang w:val="en-US" w:eastAsia="zh-CN"/>
              </w:rPr>
              <w:t>1</w:t>
            </w:r>
            <w:r>
              <w:rPr>
                <w:rFonts w:hint="default" w:ascii="Times New Roman" w:hAnsi="Times New Roman" w:cs="Times New Roman"/>
                <w:color w:val="auto"/>
                <w:kern w:val="0"/>
                <w:sz w:val="21"/>
                <w:szCs w:val="21"/>
                <w:highlight w:val="none"/>
                <w:lang w:eastAsia="zh-CN"/>
              </w:rPr>
              <w:t>年度</w:t>
            </w:r>
            <w:r>
              <w:rPr>
                <w:rFonts w:hint="default" w:ascii="Times New Roman" w:hAnsi="Times New Roman" w:cs="Times New Roman"/>
                <w:color w:val="auto"/>
                <w:kern w:val="0"/>
                <w:sz w:val="21"/>
                <w:szCs w:val="21"/>
                <w:highlight w:val="none"/>
              </w:rPr>
              <w:t>经审计的</w:t>
            </w:r>
            <w:r>
              <w:rPr>
                <w:rFonts w:hint="default" w:ascii="Times New Roman" w:hAnsi="Times New Roman" w:cs="Times New Roman"/>
                <w:color w:val="auto"/>
                <w:kern w:val="0"/>
                <w:sz w:val="21"/>
                <w:szCs w:val="21"/>
                <w:highlight w:val="none"/>
                <w:lang w:eastAsia="zh-CN"/>
              </w:rPr>
              <w:t>供应商</w:t>
            </w:r>
            <w:r>
              <w:rPr>
                <w:rFonts w:hint="default" w:ascii="Times New Roman" w:hAnsi="Times New Roman" w:cs="Times New Roman"/>
                <w:color w:val="auto"/>
                <w:kern w:val="0"/>
                <w:sz w:val="21"/>
                <w:szCs w:val="21"/>
                <w:highlight w:val="none"/>
              </w:rPr>
              <w:t>财务报告，包括 “四表一注”即《资产负债表》《利润表》《现金流量表》《所有者权益变动表》及其附注复印件，或者提供开标前</w:t>
            </w:r>
            <w:r>
              <w:rPr>
                <w:rFonts w:hint="default" w:ascii="Times New Roman" w:hAnsi="Times New Roman" w:cs="Times New Roman"/>
                <w:color w:val="auto"/>
                <w:kern w:val="0"/>
                <w:sz w:val="21"/>
                <w:szCs w:val="21"/>
                <w:highlight w:val="none"/>
                <w:lang w:val="en-US" w:eastAsia="zh-CN"/>
              </w:rPr>
              <w:t>三</w:t>
            </w:r>
            <w:r>
              <w:rPr>
                <w:rFonts w:hint="default" w:ascii="Times New Roman" w:hAnsi="Times New Roman" w:cs="Times New Roman"/>
                <w:color w:val="auto"/>
                <w:kern w:val="0"/>
                <w:sz w:val="21"/>
                <w:szCs w:val="21"/>
                <w:highlight w:val="none"/>
              </w:rPr>
              <w:t>个月内由银行出具的资信证明。</w:t>
            </w:r>
          </w:p>
          <w:p>
            <w:pPr>
              <w:tabs>
                <w:tab w:val="left" w:pos="0"/>
              </w:tabs>
              <w:adjustRightInd w:val="0"/>
              <w:snapToGrid w:val="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w:t>
            </w:r>
            <w:r>
              <w:rPr>
                <w:rFonts w:hint="default" w:ascii="Times New Roman" w:hAnsi="Times New Roman" w:cs="Times New Roman"/>
                <w:color w:val="auto"/>
                <w:kern w:val="0"/>
                <w:sz w:val="21"/>
                <w:szCs w:val="21"/>
                <w:highlight w:val="none"/>
                <w:lang w:eastAsia="zh-CN"/>
              </w:rPr>
              <w:t>供应商</w:t>
            </w:r>
            <w:r>
              <w:rPr>
                <w:rFonts w:hint="default" w:ascii="Times New Roman" w:hAnsi="Times New Roman" w:cs="Times New Roman"/>
                <w:color w:val="auto"/>
                <w:kern w:val="0"/>
                <w:sz w:val="21"/>
                <w:szCs w:val="21"/>
                <w:highlight w:val="none"/>
              </w:rPr>
              <w:t>成立不到1年的，提供开标前三个月内由银行出具的资信证明。</w:t>
            </w:r>
          </w:p>
          <w:p>
            <w:pPr>
              <w:tabs>
                <w:tab w:val="left" w:pos="0"/>
              </w:tabs>
              <w:adjustRightInd w:val="0"/>
              <w:snapToGrid w:val="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（3）部分其他组织和自然人，提供开标前</w:t>
            </w:r>
            <w:r>
              <w:rPr>
                <w:rFonts w:hint="default" w:ascii="Times New Roman" w:hAnsi="Times New Roman" w:cs="Times New Roman"/>
                <w:color w:val="auto"/>
                <w:kern w:val="0"/>
                <w:sz w:val="21"/>
                <w:szCs w:val="21"/>
                <w:highlight w:val="none"/>
                <w:lang w:eastAsia="zh-CN"/>
              </w:rPr>
              <w:t>三</w:t>
            </w:r>
            <w:r>
              <w:rPr>
                <w:rFonts w:hint="default" w:ascii="Times New Roman" w:hAnsi="Times New Roman" w:cs="Times New Roman"/>
                <w:color w:val="auto"/>
                <w:kern w:val="0"/>
                <w:sz w:val="21"/>
                <w:szCs w:val="21"/>
                <w:highlight w:val="none"/>
              </w:rPr>
              <w:t>个月内由银行出具的资信证明。</w:t>
            </w:r>
          </w:p>
          <w:p>
            <w:pPr>
              <w:tabs>
                <w:tab w:val="left" w:pos="0"/>
              </w:tabs>
              <w:adjustRightInd w:val="0"/>
              <w:snapToGrid w:val="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（4）公益类事业单位无需提供财务审计报告。</w:t>
            </w:r>
          </w:p>
          <w:p>
            <w:pPr>
              <w:tabs>
                <w:tab w:val="left" w:pos="0"/>
              </w:tabs>
              <w:adjustRightInd w:val="0"/>
              <w:snapToGrid w:val="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（5）复印件直接装订，并加盖</w:t>
            </w:r>
            <w:r>
              <w:rPr>
                <w:rFonts w:hint="default" w:ascii="Times New Roman" w:hAnsi="Times New Roman" w:cs="Times New Roman"/>
                <w:color w:val="auto"/>
                <w:kern w:val="0"/>
                <w:sz w:val="21"/>
                <w:szCs w:val="21"/>
                <w:highlight w:val="none"/>
                <w:lang w:eastAsia="zh-CN"/>
              </w:rPr>
              <w:t>供应商</w:t>
            </w:r>
            <w:r>
              <w:rPr>
                <w:rFonts w:hint="default" w:ascii="Times New Roman" w:hAnsi="Times New Roman" w:cs="Times New Roman"/>
                <w:color w:val="auto"/>
                <w:kern w:val="0"/>
                <w:sz w:val="21"/>
                <w:szCs w:val="21"/>
                <w:highlight w:val="none"/>
              </w:rPr>
              <w:t>单位章。</w:t>
            </w:r>
          </w:p>
        </w:tc>
        <w:tc>
          <w:tcPr>
            <w:tcW w:w="1114" w:type="dxa"/>
            <w:noWrap w:val="0"/>
            <w:vAlign w:val="center"/>
          </w:tcPr>
          <w:p>
            <w:pPr>
              <w:tabs>
                <w:tab w:val="left" w:pos="0"/>
              </w:tabs>
              <w:adjustRightInd w:val="0"/>
              <w:snapToGrid w:val="0"/>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合法</w:t>
            </w:r>
          </w:p>
          <w:p>
            <w:pPr>
              <w:tabs>
                <w:tab w:val="left" w:pos="0"/>
              </w:tabs>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kern w:val="0"/>
                <w:szCs w:val="21"/>
                <w:highlight w:val="none"/>
              </w:rPr>
              <w:t>有效</w:t>
            </w:r>
          </w:p>
        </w:tc>
        <w:tc>
          <w:tcPr>
            <w:tcW w:w="1254" w:type="dxa"/>
            <w:noWrap w:val="0"/>
            <w:vAlign w:val="center"/>
          </w:tcPr>
          <w:p>
            <w:pPr>
              <w:tabs>
                <w:tab w:val="left" w:pos="0"/>
              </w:tabs>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Cs w:val="21"/>
                <w:highlight w:val="none"/>
              </w:rPr>
              <w:t>年度经审计财务报告四表一注不齐全的，或未提供资信证明的，为不合格。</w:t>
            </w:r>
          </w:p>
        </w:tc>
        <w:tc>
          <w:tcPr>
            <w:tcW w:w="0" w:type="auto"/>
            <w:noWrap w:val="0"/>
            <w:vAlign w:val="center"/>
          </w:tcPr>
          <w:p>
            <w:pPr>
              <w:tabs>
                <w:tab w:val="left" w:pos="0"/>
              </w:tabs>
              <w:adjustRightInd w:val="0"/>
              <w:snapToGrid w:val="0"/>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31" w:type="dxa"/>
            <w:noWrap w:val="0"/>
            <w:vAlign w:val="center"/>
          </w:tcPr>
          <w:p>
            <w:pPr>
              <w:tabs>
                <w:tab w:val="left" w:pos="0"/>
              </w:tabs>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eastAsia="宋体" w:cs="Times New Roman"/>
                <w:kern w:val="0"/>
                <w:szCs w:val="21"/>
                <w:highlight w:val="none"/>
              </w:rPr>
              <w:t>4</w:t>
            </w:r>
          </w:p>
        </w:tc>
        <w:tc>
          <w:tcPr>
            <w:tcW w:w="5682" w:type="dxa"/>
            <w:noWrap w:val="0"/>
            <w:vAlign w:val="center"/>
          </w:tcPr>
          <w:p>
            <w:pPr>
              <w:tabs>
                <w:tab w:val="left" w:pos="0"/>
              </w:tabs>
              <w:adjustRightInd w:val="0"/>
              <w:snapToGrid w:val="0"/>
              <w:rPr>
                <w:rFonts w:hint="default" w:ascii="Times New Roman" w:hAnsi="Times New Roman" w:eastAsia="宋体" w:cs="Times New Roman"/>
                <w:highlight w:val="none"/>
              </w:rPr>
            </w:pPr>
            <w:r>
              <w:rPr>
                <w:rFonts w:hint="default" w:ascii="Times New Roman" w:hAnsi="Times New Roman" w:eastAsia="宋体" w:cs="Times New Roman"/>
                <w:highlight w:val="none"/>
              </w:rPr>
              <w:t>税收缴纳证明：</w:t>
            </w:r>
          </w:p>
          <w:p>
            <w:pPr>
              <w:tabs>
                <w:tab w:val="left" w:pos="0"/>
              </w:tabs>
              <w:adjustRightInd w:val="0"/>
              <w:snapToGrid w:val="0"/>
              <w:rPr>
                <w:rFonts w:hint="default" w:ascii="Times New Roman" w:hAnsi="Times New Roman" w:eastAsia="宋体" w:cs="Times New Roman"/>
                <w:highlight w:val="none"/>
              </w:rPr>
            </w:pPr>
            <w:r>
              <w:rPr>
                <w:rFonts w:hint="default" w:ascii="Times New Roman" w:hAnsi="Times New Roman" w:eastAsia="宋体" w:cs="Times New Roman"/>
                <w:highlight w:val="none"/>
              </w:rPr>
              <w:t>（1）提供上一年度至今已缴纳的至少一个月的纳税证明或完税证明（任意税种）；</w:t>
            </w:r>
          </w:p>
          <w:p>
            <w:pPr>
              <w:tabs>
                <w:tab w:val="left" w:pos="0"/>
              </w:tabs>
              <w:adjustRightInd w:val="0"/>
              <w:snapToGrid w:val="0"/>
              <w:rPr>
                <w:rFonts w:hint="default" w:ascii="Times New Roman" w:hAnsi="Times New Roman" w:eastAsia="宋体" w:cs="Times New Roman"/>
                <w:highlight w:val="none"/>
              </w:rPr>
            </w:pPr>
            <w:r>
              <w:rPr>
                <w:rFonts w:hint="default" w:ascii="Times New Roman" w:hAnsi="Times New Roman" w:eastAsia="宋体" w:cs="Times New Roman"/>
                <w:highlight w:val="none"/>
              </w:rPr>
              <w:t>（2）依法免税的应提供相关文件证明；</w:t>
            </w:r>
          </w:p>
          <w:p>
            <w:pPr>
              <w:tabs>
                <w:tab w:val="left" w:pos="0"/>
              </w:tabs>
              <w:adjustRightInd w:val="0"/>
              <w:snapToGrid w:val="0"/>
              <w:rPr>
                <w:rFonts w:hint="default" w:ascii="Times New Roman" w:hAnsi="Times New Roman" w:eastAsia="宋体" w:cs="Times New Roman"/>
                <w:highlight w:val="none"/>
              </w:rPr>
            </w:pPr>
            <w:r>
              <w:rPr>
                <w:rFonts w:hint="default" w:ascii="Times New Roman" w:hAnsi="Times New Roman" w:eastAsia="宋体" w:cs="Times New Roman"/>
                <w:highlight w:val="none"/>
              </w:rPr>
              <w:t>（3）公益类事业单位无需提供；</w:t>
            </w:r>
          </w:p>
          <w:p>
            <w:pPr>
              <w:tabs>
                <w:tab w:val="left" w:pos="0"/>
              </w:tabs>
              <w:adjustRightInd w:val="0"/>
              <w:snapToGrid w:val="0"/>
              <w:rPr>
                <w:rFonts w:hint="default" w:ascii="Times New Roman" w:hAnsi="Times New Roman" w:eastAsia="宋体" w:cs="Times New Roman"/>
                <w:highlight w:val="none"/>
              </w:rPr>
            </w:pPr>
            <w:r>
              <w:rPr>
                <w:rFonts w:hint="default" w:ascii="Times New Roman" w:hAnsi="Times New Roman" w:eastAsia="宋体" w:cs="Times New Roman"/>
                <w:highlight w:val="none"/>
              </w:rPr>
              <w:t>（4）新成立未发生缴纳税收事项的供应商，应提供纳税书面承诺；</w:t>
            </w:r>
          </w:p>
          <w:p>
            <w:pPr>
              <w:tabs>
                <w:tab w:val="left" w:pos="0"/>
              </w:tabs>
              <w:adjustRightInd w:val="0"/>
              <w:snapToGrid w:val="0"/>
              <w:rPr>
                <w:rFonts w:hint="default" w:ascii="Times New Roman" w:hAnsi="Times New Roman" w:cs="Times New Roman"/>
                <w:color w:val="auto"/>
                <w:kern w:val="0"/>
                <w:szCs w:val="21"/>
                <w:highlight w:val="none"/>
              </w:rPr>
            </w:pPr>
            <w:r>
              <w:rPr>
                <w:rFonts w:hint="default" w:ascii="Times New Roman" w:hAnsi="Times New Roman" w:eastAsia="宋体" w:cs="Times New Roman"/>
                <w:highlight w:val="none"/>
              </w:rPr>
              <w:t>（5）复印件可直接装订，复印件加盖供应商单位章。</w:t>
            </w:r>
          </w:p>
        </w:tc>
        <w:tc>
          <w:tcPr>
            <w:tcW w:w="1114" w:type="dxa"/>
            <w:noWrap w:val="0"/>
            <w:vAlign w:val="center"/>
          </w:tcPr>
          <w:p>
            <w:pPr>
              <w:tabs>
                <w:tab w:val="left" w:pos="0"/>
              </w:tabs>
              <w:adjustRightInd w:val="0"/>
              <w:snapToGrid w:val="0"/>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合法</w:t>
            </w:r>
          </w:p>
          <w:p>
            <w:pPr>
              <w:tabs>
                <w:tab w:val="left" w:pos="0"/>
              </w:tabs>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eastAsia="宋体" w:cs="Times New Roman"/>
                <w:kern w:val="0"/>
                <w:szCs w:val="21"/>
                <w:highlight w:val="none"/>
              </w:rPr>
              <w:t>有效</w:t>
            </w:r>
          </w:p>
        </w:tc>
        <w:tc>
          <w:tcPr>
            <w:tcW w:w="1254" w:type="dxa"/>
            <w:noWrap w:val="0"/>
            <w:vAlign w:val="center"/>
          </w:tcPr>
          <w:p>
            <w:pPr>
              <w:tabs>
                <w:tab w:val="left" w:pos="0"/>
              </w:tabs>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eastAsia="宋体" w:cs="Times New Roman"/>
                <w:kern w:val="0"/>
                <w:szCs w:val="21"/>
                <w:highlight w:val="none"/>
              </w:rPr>
              <w:t>审查复印件</w:t>
            </w:r>
          </w:p>
        </w:tc>
        <w:tc>
          <w:tcPr>
            <w:tcW w:w="0" w:type="auto"/>
            <w:noWrap w:val="0"/>
            <w:vAlign w:val="center"/>
          </w:tcPr>
          <w:p>
            <w:pPr>
              <w:adjustRightInd w:val="0"/>
              <w:snapToGrid w:val="0"/>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731" w:type="dxa"/>
            <w:noWrap w:val="0"/>
            <w:vAlign w:val="center"/>
          </w:tcPr>
          <w:p>
            <w:pPr>
              <w:tabs>
                <w:tab w:val="left" w:pos="0"/>
              </w:tabs>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eastAsia="宋体" w:cs="Times New Roman"/>
                <w:kern w:val="0"/>
                <w:szCs w:val="21"/>
                <w:highlight w:val="none"/>
              </w:rPr>
              <w:t>5</w:t>
            </w:r>
          </w:p>
        </w:tc>
        <w:tc>
          <w:tcPr>
            <w:tcW w:w="5682" w:type="dxa"/>
            <w:noWrap w:val="0"/>
            <w:vAlign w:val="center"/>
          </w:tcPr>
          <w:p>
            <w:pPr>
              <w:tabs>
                <w:tab w:val="left" w:pos="0"/>
              </w:tabs>
              <w:adjustRightInd w:val="0"/>
              <w:snapToGrid w:val="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社会保障资金缴纳证明：</w:t>
            </w:r>
          </w:p>
          <w:p>
            <w:pPr>
              <w:tabs>
                <w:tab w:val="left" w:pos="0"/>
              </w:tabs>
              <w:adjustRightInd w:val="0"/>
              <w:snapToGrid w:val="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（1）提供上一年度至今已缴存的至少一个月的社会保障资金缴存单据或社保机构开具的社会保险参保缴费情况证明；</w:t>
            </w:r>
          </w:p>
          <w:p>
            <w:pPr>
              <w:tabs>
                <w:tab w:val="left" w:pos="0"/>
              </w:tabs>
              <w:adjustRightInd w:val="0"/>
              <w:snapToGrid w:val="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（2）依法不需要缴纳社会保障资金的供应商应提供相关文件证明；</w:t>
            </w:r>
          </w:p>
          <w:p>
            <w:pPr>
              <w:tabs>
                <w:tab w:val="left" w:pos="0"/>
              </w:tabs>
              <w:adjustRightInd w:val="0"/>
              <w:snapToGrid w:val="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（3）公益类事业单位无需提供；</w:t>
            </w:r>
          </w:p>
          <w:p>
            <w:pPr>
              <w:tabs>
                <w:tab w:val="left" w:pos="0"/>
              </w:tabs>
              <w:adjustRightInd w:val="0"/>
              <w:snapToGrid w:val="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（4）新成立未发生缴纳社保资金事项的供应商，应提供缴纳社保资金的书面承诺；</w:t>
            </w:r>
          </w:p>
          <w:p>
            <w:pPr>
              <w:tabs>
                <w:tab w:val="left" w:pos="0"/>
              </w:tabs>
              <w:adjustRightInd w:val="0"/>
              <w:snapToGrid w:val="0"/>
              <w:jc w:val="left"/>
              <w:rPr>
                <w:rFonts w:hint="default" w:ascii="Times New Roman" w:hAnsi="Times New Roman" w:cs="Times New Roman"/>
                <w:color w:val="auto"/>
                <w:kern w:val="0"/>
                <w:szCs w:val="21"/>
                <w:highlight w:val="none"/>
              </w:rPr>
            </w:pPr>
            <w:r>
              <w:rPr>
                <w:rFonts w:hint="default" w:ascii="Times New Roman" w:hAnsi="Times New Roman" w:eastAsia="宋体" w:cs="Times New Roman"/>
                <w:kern w:val="0"/>
                <w:szCs w:val="21"/>
                <w:highlight w:val="none"/>
              </w:rPr>
              <w:t>（5）复印件可直接装订，加盖供应商单位章。</w:t>
            </w:r>
          </w:p>
        </w:tc>
        <w:tc>
          <w:tcPr>
            <w:tcW w:w="1114" w:type="dxa"/>
            <w:noWrap w:val="0"/>
            <w:vAlign w:val="center"/>
          </w:tcPr>
          <w:p>
            <w:pPr>
              <w:tabs>
                <w:tab w:val="left" w:pos="0"/>
              </w:tabs>
              <w:adjustRightInd w:val="0"/>
              <w:snapToGrid w:val="0"/>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合法</w:t>
            </w:r>
          </w:p>
          <w:p>
            <w:pPr>
              <w:tabs>
                <w:tab w:val="left" w:pos="0"/>
              </w:tabs>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eastAsia="宋体" w:cs="Times New Roman"/>
                <w:kern w:val="0"/>
                <w:szCs w:val="21"/>
                <w:highlight w:val="none"/>
              </w:rPr>
              <w:t>有效</w:t>
            </w:r>
          </w:p>
        </w:tc>
        <w:tc>
          <w:tcPr>
            <w:tcW w:w="1254" w:type="dxa"/>
            <w:noWrap w:val="0"/>
            <w:vAlign w:val="center"/>
          </w:tcPr>
          <w:p>
            <w:pPr>
              <w:tabs>
                <w:tab w:val="left" w:pos="0"/>
              </w:tabs>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eastAsia="宋体" w:cs="Times New Roman"/>
                <w:kern w:val="0"/>
                <w:szCs w:val="21"/>
                <w:highlight w:val="none"/>
              </w:rPr>
              <w:t>审查复印件</w:t>
            </w:r>
          </w:p>
        </w:tc>
        <w:tc>
          <w:tcPr>
            <w:tcW w:w="0" w:type="auto"/>
            <w:noWrap w:val="0"/>
            <w:vAlign w:val="center"/>
          </w:tcPr>
          <w:p>
            <w:pPr>
              <w:adjustRightInd w:val="0"/>
              <w:snapToGrid w:val="0"/>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31" w:type="dxa"/>
            <w:noWrap w:val="0"/>
            <w:vAlign w:val="center"/>
          </w:tcPr>
          <w:p>
            <w:pPr>
              <w:tabs>
                <w:tab w:val="left" w:pos="0"/>
              </w:tabs>
              <w:adjustRightInd w:val="0"/>
              <w:snapToGrid w:val="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kern w:val="0"/>
                <w:szCs w:val="21"/>
                <w:highlight w:val="none"/>
              </w:rPr>
              <w:t>6</w:t>
            </w:r>
          </w:p>
        </w:tc>
        <w:tc>
          <w:tcPr>
            <w:tcW w:w="5682" w:type="dxa"/>
            <w:noWrap w:val="0"/>
            <w:vAlign w:val="center"/>
          </w:tcPr>
          <w:p>
            <w:pPr>
              <w:tabs>
                <w:tab w:val="left" w:pos="0"/>
              </w:tabs>
              <w:adjustRightInd w:val="0"/>
              <w:snapToGrid w:val="0"/>
              <w:jc w:val="left"/>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eastAsia="宋体" w:cs="Times New Roman"/>
                <w:kern w:val="0"/>
                <w:highlight w:val="none"/>
                <w:lang w:val="zh-CN"/>
              </w:rPr>
              <w:t>供应商具备履行合同所必需的设备和专业技术能力的证明</w:t>
            </w:r>
          </w:p>
        </w:tc>
        <w:tc>
          <w:tcPr>
            <w:tcW w:w="1114" w:type="dxa"/>
            <w:noWrap w:val="0"/>
            <w:vAlign w:val="center"/>
          </w:tcPr>
          <w:p>
            <w:pPr>
              <w:tabs>
                <w:tab w:val="left" w:pos="0"/>
              </w:tabs>
              <w:adjustRightInd w:val="0"/>
              <w:snapToGrid w:val="0"/>
              <w:jc w:val="center"/>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eastAsia="宋体" w:cs="Times New Roman"/>
                <w:kern w:val="0"/>
                <w:szCs w:val="21"/>
                <w:highlight w:val="none"/>
              </w:rPr>
              <w:t>合法有效</w:t>
            </w:r>
          </w:p>
        </w:tc>
        <w:tc>
          <w:tcPr>
            <w:tcW w:w="1254" w:type="dxa"/>
            <w:noWrap w:val="0"/>
            <w:vAlign w:val="center"/>
          </w:tcPr>
          <w:p>
            <w:pPr>
              <w:tabs>
                <w:tab w:val="left" w:pos="0"/>
              </w:tabs>
              <w:adjustRightInd w:val="0"/>
              <w:snapToGrid w:val="0"/>
              <w:jc w:val="center"/>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eastAsia="宋体" w:cs="Times New Roman"/>
                <w:kern w:val="0"/>
                <w:szCs w:val="21"/>
                <w:highlight w:val="none"/>
              </w:rPr>
              <w:t>审查</w:t>
            </w:r>
            <w:r>
              <w:rPr>
                <w:rFonts w:hint="default" w:ascii="Times New Roman" w:hAnsi="Times New Roman" w:eastAsia="宋体" w:cs="Times New Roman"/>
                <w:kern w:val="0"/>
                <w:szCs w:val="21"/>
                <w:highlight w:val="none"/>
                <w:lang w:eastAsia="zh-CN"/>
              </w:rPr>
              <w:t>响应文件中的原件</w:t>
            </w:r>
          </w:p>
        </w:tc>
        <w:tc>
          <w:tcPr>
            <w:tcW w:w="0" w:type="auto"/>
            <w:noWrap w:val="0"/>
            <w:vAlign w:val="center"/>
          </w:tcPr>
          <w:p>
            <w:pPr>
              <w:tabs>
                <w:tab w:val="left" w:pos="0"/>
              </w:tabs>
              <w:adjustRightInd w:val="0"/>
              <w:snapToGrid w:val="0"/>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31" w:type="dxa"/>
            <w:noWrap w:val="0"/>
            <w:vAlign w:val="center"/>
          </w:tcPr>
          <w:p>
            <w:pPr>
              <w:tabs>
                <w:tab w:val="left" w:pos="0"/>
              </w:tabs>
              <w:adjustRightInd w:val="0"/>
              <w:snapToGrid w:val="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kern w:val="0"/>
                <w:szCs w:val="21"/>
                <w:highlight w:val="none"/>
              </w:rPr>
              <w:t>7</w:t>
            </w:r>
          </w:p>
        </w:tc>
        <w:tc>
          <w:tcPr>
            <w:tcW w:w="5682" w:type="dxa"/>
            <w:noWrap w:val="0"/>
            <w:vAlign w:val="center"/>
          </w:tcPr>
          <w:p>
            <w:pPr>
              <w:tabs>
                <w:tab w:val="left" w:pos="0"/>
              </w:tabs>
              <w:adjustRightInd w:val="0"/>
              <w:snapToGrid w:val="0"/>
              <w:jc w:val="left"/>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kern w:val="0"/>
                <w:szCs w:val="21"/>
                <w:highlight w:val="none"/>
              </w:rPr>
              <w:t>参加本次磋商前3年内，在经营活动中没有重大违法记录的书面声明</w:t>
            </w:r>
          </w:p>
        </w:tc>
        <w:tc>
          <w:tcPr>
            <w:tcW w:w="1114" w:type="dxa"/>
            <w:noWrap w:val="0"/>
            <w:vAlign w:val="center"/>
          </w:tcPr>
          <w:p>
            <w:pPr>
              <w:tabs>
                <w:tab w:val="left" w:pos="0"/>
              </w:tabs>
              <w:adjustRightInd w:val="0"/>
              <w:snapToGrid w:val="0"/>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合法</w:t>
            </w:r>
          </w:p>
          <w:p>
            <w:pPr>
              <w:tabs>
                <w:tab w:val="left" w:pos="0"/>
              </w:tabs>
              <w:adjustRightInd w:val="0"/>
              <w:snapToGrid w:val="0"/>
              <w:jc w:val="center"/>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eastAsia="宋体" w:cs="Times New Roman"/>
                <w:kern w:val="0"/>
                <w:szCs w:val="21"/>
                <w:highlight w:val="none"/>
              </w:rPr>
              <w:t>有效</w:t>
            </w:r>
          </w:p>
        </w:tc>
        <w:tc>
          <w:tcPr>
            <w:tcW w:w="1254" w:type="dxa"/>
            <w:noWrap w:val="0"/>
            <w:vAlign w:val="center"/>
          </w:tcPr>
          <w:p>
            <w:pPr>
              <w:tabs>
                <w:tab w:val="left" w:pos="0"/>
              </w:tabs>
              <w:adjustRightInd w:val="0"/>
              <w:snapToGrid w:val="0"/>
              <w:jc w:val="center"/>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eastAsia="宋体" w:cs="Times New Roman"/>
                <w:kern w:val="0"/>
                <w:szCs w:val="21"/>
                <w:highlight w:val="none"/>
              </w:rPr>
              <w:t>审查</w:t>
            </w:r>
            <w:r>
              <w:rPr>
                <w:rFonts w:hint="default" w:ascii="Times New Roman" w:hAnsi="Times New Roman" w:eastAsia="宋体" w:cs="Times New Roman"/>
                <w:kern w:val="0"/>
                <w:szCs w:val="21"/>
                <w:highlight w:val="none"/>
                <w:lang w:eastAsia="zh-CN"/>
              </w:rPr>
              <w:t>响应文件中的原件</w:t>
            </w:r>
          </w:p>
        </w:tc>
        <w:tc>
          <w:tcPr>
            <w:tcW w:w="0" w:type="auto"/>
            <w:noWrap w:val="0"/>
            <w:vAlign w:val="center"/>
          </w:tcPr>
          <w:p>
            <w:pPr>
              <w:tabs>
                <w:tab w:val="left" w:pos="0"/>
              </w:tabs>
              <w:adjustRightInd w:val="0"/>
              <w:snapToGrid w:val="0"/>
              <w:jc w:val="center"/>
              <w:rPr>
                <w:rFonts w:hint="default" w:ascii="Times New Roman" w:hAnsi="Times New Roman" w:cs="Times New Roman"/>
                <w:highlight w:val="none"/>
              </w:rPr>
            </w:pPr>
          </w:p>
        </w:tc>
      </w:tr>
    </w:tbl>
    <w:p>
      <w:pPr>
        <w:keepNext w:val="0"/>
        <w:keepLines w:val="0"/>
        <w:pageBreakBefore w:val="0"/>
        <w:widowControl w:val="0"/>
        <w:tabs>
          <w:tab w:val="left" w:pos="0"/>
        </w:tabs>
        <w:kinsoku/>
        <w:wordWrap/>
        <w:overflowPunct/>
        <w:topLinePunct w:val="0"/>
        <w:autoSpaceDE/>
        <w:autoSpaceDN/>
        <w:bidi w:val="0"/>
        <w:adjustRightInd w:val="0"/>
        <w:snapToGrid w:val="0"/>
        <w:spacing w:before="240" w:beforeLines="100" w:line="360" w:lineRule="auto"/>
        <w:ind w:firstLine="422" w:firstLineChars="200"/>
        <w:textAlignment w:val="auto"/>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1.2.1.5供应商落实政府采购政策资格条件审查</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b/>
          <w:color w:val="auto"/>
          <w:kern w:val="0"/>
          <w:szCs w:val="21"/>
          <w:highlight w:val="none"/>
          <w:lang w:eastAsia="zh-CN"/>
        </w:rPr>
      </w:pPr>
      <w:r>
        <w:rPr>
          <w:rFonts w:hint="default" w:ascii="Times New Roman" w:hAnsi="Times New Roman" w:cs="Times New Roman"/>
          <w:b/>
          <w:color w:val="auto"/>
          <w:kern w:val="0"/>
          <w:szCs w:val="21"/>
          <w:highlight w:val="none"/>
          <w:lang w:eastAsia="zh-CN"/>
        </w:rPr>
        <w:t>无</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b/>
          <w:color w:val="auto"/>
          <w:kern w:val="0"/>
          <w:szCs w:val="21"/>
          <w:highlight w:val="none"/>
          <w:lang w:eastAsia="zh-CN"/>
        </w:rPr>
      </w:pPr>
      <w:r>
        <w:rPr>
          <w:rFonts w:hint="default" w:ascii="Times New Roman" w:hAnsi="Times New Roman" w:cs="Times New Roman"/>
          <w:b/>
          <w:color w:val="auto"/>
          <w:kern w:val="0"/>
          <w:szCs w:val="21"/>
          <w:highlight w:val="none"/>
        </w:rPr>
        <w:t>1.2.1.6 供应商特定资格条件审查</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本项目</w:t>
      </w:r>
      <w:r>
        <w:rPr>
          <w:rFonts w:hint="eastAsia" w:ascii="Times New Roman" w:hAnsi="Times New Roman" w:cs="Times New Roman"/>
          <w:color w:val="auto"/>
          <w:kern w:val="0"/>
          <w:szCs w:val="21"/>
          <w:highlight w:val="none"/>
          <w:lang w:val="en-US" w:eastAsia="zh-CN"/>
        </w:rPr>
        <w:t>不</w:t>
      </w:r>
      <w:r>
        <w:rPr>
          <w:rFonts w:hint="default" w:ascii="Times New Roman" w:hAnsi="Times New Roman" w:cs="Times New Roman"/>
          <w:color w:val="auto"/>
          <w:kern w:val="0"/>
          <w:szCs w:val="21"/>
          <w:highlight w:val="none"/>
        </w:rPr>
        <w:t>属于特定行业，</w:t>
      </w:r>
      <w:r>
        <w:rPr>
          <w:rFonts w:hint="eastAsia" w:ascii="Times New Roman" w:hAnsi="Times New Roman" w:cs="Times New Roman"/>
          <w:color w:val="auto"/>
          <w:kern w:val="0"/>
          <w:szCs w:val="21"/>
          <w:highlight w:val="none"/>
          <w:lang w:val="en-US" w:eastAsia="zh-CN"/>
        </w:rPr>
        <w:t>无行政许可证明。但需审查供应商授权人员资料，</w:t>
      </w:r>
      <w:r>
        <w:rPr>
          <w:rFonts w:hint="default" w:ascii="Times New Roman" w:hAnsi="Times New Roman" w:eastAsia="宋体" w:cs="Times New Roman"/>
          <w:b w:val="0"/>
          <w:bCs/>
          <w:color w:val="auto"/>
          <w:kern w:val="0"/>
          <w:sz w:val="21"/>
          <w:szCs w:val="21"/>
          <w:highlight w:val="none"/>
          <w:lang w:val="en-US" w:eastAsia="zh-CN" w:bidi="ar-SA"/>
        </w:rPr>
        <w:t>法定代表人（单位负责人）参加磋商的，提供本人身份证复印件</w:t>
      </w:r>
      <w:r>
        <w:rPr>
          <w:rFonts w:hint="default" w:ascii="Times New Roman" w:hAnsi="Times New Roman" w:cs="Times New Roman"/>
          <w:b w:val="0"/>
          <w:bCs/>
          <w:color w:val="auto"/>
          <w:kern w:val="0"/>
          <w:sz w:val="21"/>
          <w:szCs w:val="21"/>
          <w:highlight w:val="none"/>
          <w:lang w:val="en-US" w:eastAsia="zh-CN" w:bidi="ar-SA"/>
        </w:rPr>
        <w:t>及法定代表人身份证明</w:t>
      </w:r>
      <w:r>
        <w:rPr>
          <w:rFonts w:hint="default" w:ascii="Times New Roman" w:hAnsi="Times New Roman" w:eastAsia="宋体" w:cs="Times New Roman"/>
          <w:b w:val="0"/>
          <w:bCs/>
          <w:color w:val="auto"/>
          <w:kern w:val="0"/>
          <w:sz w:val="21"/>
          <w:szCs w:val="21"/>
          <w:highlight w:val="none"/>
          <w:lang w:val="en-US" w:eastAsia="zh-CN" w:bidi="ar-SA"/>
        </w:rPr>
        <w:t>；法定代表人（单位负责人）授权他人参加磋商的，提供法定代表人（单位负责人）委托授权书并出示被授权代表的身份证复印件</w:t>
      </w:r>
      <w:r>
        <w:rPr>
          <w:rFonts w:hint="eastAsia" w:ascii="Times New Roman" w:hAnsi="Times New Roman" w:eastAsia="宋体" w:cs="Times New Roman"/>
          <w:b w:val="0"/>
          <w:bCs/>
          <w:color w:val="auto"/>
          <w:kern w:val="0"/>
          <w:sz w:val="21"/>
          <w:szCs w:val="21"/>
          <w:highlight w:val="none"/>
          <w:lang w:val="en-US" w:eastAsia="zh-CN" w:bidi="ar-SA"/>
        </w:rPr>
        <w:t>。</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1.2.1.7 供应商限定资格条件审查</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（一） 审查方法如下：</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eastAsia="宋体" w:cs="Times New Roman"/>
          <w:color w:val="auto"/>
          <w:kern w:val="0"/>
          <w:szCs w:val="21"/>
          <w:highlight w:val="none"/>
        </w:rPr>
        <w:t>（1）</w:t>
      </w:r>
      <w:r>
        <w:rPr>
          <w:rFonts w:hint="eastAsia" w:cs="Times New Roman"/>
          <w:color w:val="auto"/>
          <w:kern w:val="0"/>
          <w:szCs w:val="21"/>
          <w:highlight w:val="none"/>
          <w:lang w:val="en-US" w:eastAsia="zh-CN"/>
        </w:rPr>
        <w:t>采购代理机构或采购人</w:t>
      </w:r>
      <w:r>
        <w:rPr>
          <w:rFonts w:hint="default" w:ascii="Times New Roman" w:hAnsi="Times New Roman" w:eastAsia="宋体" w:cs="Times New Roman"/>
          <w:color w:val="auto"/>
          <w:kern w:val="0"/>
          <w:szCs w:val="21"/>
          <w:highlight w:val="none"/>
        </w:rPr>
        <w:t>通过信用中国网（http</w:t>
      </w:r>
      <w:r>
        <w:rPr>
          <w:rFonts w:hint="eastAsia"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//www.creditchina.gov.cn/）和中国政府采购网</w:t>
      </w:r>
      <w:r>
        <w:rPr>
          <w:rFonts w:hint="default" w:ascii="Times New Roman" w:hAnsi="Times New Roman" w:cs="Times New Roman"/>
          <w:color w:val="auto"/>
          <w:kern w:val="0"/>
          <w:szCs w:val="21"/>
          <w:highlight w:val="none"/>
        </w:rPr>
        <w:t>（http</w:t>
      </w:r>
      <w:r>
        <w:rPr>
          <w:rFonts w:hint="eastAsia" w:cs="Times New Roman"/>
          <w:color w:val="auto"/>
          <w:kern w:val="0"/>
          <w:szCs w:val="21"/>
          <w:highlight w:val="none"/>
          <w:lang w:eastAsia="zh-CN"/>
        </w:rPr>
        <w:t>：</w:t>
      </w:r>
      <w:r>
        <w:rPr>
          <w:rFonts w:hint="default" w:ascii="Times New Roman" w:hAnsi="Times New Roman" w:cs="Times New Roman"/>
          <w:color w:val="auto"/>
          <w:kern w:val="0"/>
          <w:szCs w:val="21"/>
          <w:highlight w:val="none"/>
        </w:rPr>
        <w:t>//www.ccgp.gov.cn/cr/list）对供应商的信用信息进行查询核实。</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（2）通过供应商响应文件之资格审查部分和国家企业信用信息公示系统（http</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//www.gsxt.gov.cn/index.html）对供应商之间</w:t>
      </w:r>
      <w:r>
        <w:rPr>
          <w:rFonts w:hint="default" w:ascii="Times New Roman" w:hAnsi="Times New Roman" w:cs="Times New Roman"/>
          <w:color w:val="auto"/>
          <w:szCs w:val="21"/>
          <w:highlight w:val="none"/>
        </w:rPr>
        <w:t>存在</w:t>
      </w:r>
      <w:r>
        <w:rPr>
          <w:rFonts w:hint="default" w:ascii="Times New Roman" w:hAnsi="Times New Roman" w:cs="Times New Roman"/>
          <w:bCs/>
          <w:color w:val="auto"/>
          <w:szCs w:val="21"/>
          <w:highlight w:val="none"/>
        </w:rPr>
        <w:t>隶属关系或者其他利害关系</w:t>
      </w:r>
      <w:r>
        <w:rPr>
          <w:rFonts w:hint="default" w:ascii="Times New Roman" w:hAnsi="Times New Roman" w:cs="Times New Roman"/>
          <w:color w:val="auto"/>
          <w:kern w:val="0"/>
          <w:szCs w:val="21"/>
          <w:highlight w:val="none"/>
        </w:rPr>
        <w:t>进行相关信息的核实。</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（3）供应商不良信用记录以磋商小组查询结果为准。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（二） 审查标准如下：</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（1）供应商存在磋商文件第二章第</w:t>
      </w:r>
      <w:r>
        <w:rPr>
          <w:rFonts w:hint="default" w:ascii="Times New Roman" w:hAnsi="Times New Roman" w:cs="Times New Roman"/>
          <w:color w:val="auto"/>
          <w:szCs w:val="21"/>
          <w:highlight w:val="none"/>
        </w:rPr>
        <w:t>1.3.2条列举</w:t>
      </w:r>
      <w:r>
        <w:rPr>
          <w:rFonts w:hint="default" w:ascii="Times New Roman" w:hAnsi="Times New Roman" w:cs="Times New Roman"/>
          <w:color w:val="auto"/>
          <w:kern w:val="0"/>
          <w:szCs w:val="21"/>
          <w:highlight w:val="none"/>
        </w:rPr>
        <w:t>情形之一的，审查不予通过，即判定其限定资格条件审查结果为不合格，将不具备磋商资格，按无效响应文件处理。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（2）供应商须知前附表规定接受联合体磋商的，联合体任何一方存在第二章第</w:t>
      </w:r>
      <w:r>
        <w:rPr>
          <w:rFonts w:hint="default" w:ascii="Times New Roman" w:hAnsi="Times New Roman" w:cs="Times New Roman"/>
          <w:color w:val="auto"/>
          <w:szCs w:val="21"/>
          <w:highlight w:val="none"/>
        </w:rPr>
        <w:t>1.3.2条列举</w:t>
      </w:r>
      <w:r>
        <w:rPr>
          <w:rFonts w:hint="default" w:ascii="Times New Roman" w:hAnsi="Times New Roman" w:cs="Times New Roman"/>
          <w:color w:val="auto"/>
          <w:kern w:val="0"/>
          <w:szCs w:val="21"/>
          <w:highlight w:val="none"/>
        </w:rPr>
        <w:t>情形之一的，视同联合体存在相同情形，审查不予通过，即判定其限定资格条件审查结果为不合格，将不具备磋商资格，按无效响应文件处理。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kern w:val="0"/>
          <w:szCs w:val="21"/>
          <w:highlight w:val="none"/>
        </w:rPr>
        <w:t xml:space="preserve">1.2.1.8  </w:t>
      </w:r>
      <w:r>
        <w:rPr>
          <w:rFonts w:hint="default" w:ascii="Times New Roman" w:hAnsi="Times New Roman" w:cs="Times New Roman"/>
          <w:b/>
          <w:color w:val="auto"/>
          <w:szCs w:val="21"/>
          <w:highlight w:val="none"/>
        </w:rPr>
        <w:t>未通过资格审查的供应商，不得进入后续磋商环节。</w:t>
      </w:r>
    </w:p>
    <w:p>
      <w:pPr>
        <w:spacing w:line="360" w:lineRule="auto"/>
        <w:ind w:firstLine="413" w:firstLineChars="196"/>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1.2.2 符合性审查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1.2.2.1 磋商小组依法对符合资格条件的供应商的响应文件进行符合性审查。磋商小组从响应文件的有效性、完整性和对磋商文件的响应程度进行审查，以确定其是否对磋商文件实质性内容作出响应。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1.2.2.2 磋商小组将按下列评审标准对供应商的响应文件进行符合性审查，供应商若有一项不合格，即判定其符合性审查结果为不合格，将不具备磋商资格，按无效响应文件处理。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627"/>
        <w:gridCol w:w="3695"/>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15" w:type="dxa"/>
            <w:noWrap w:val="0"/>
            <w:vAlign w:val="center"/>
          </w:tcPr>
          <w:p>
            <w:pPr>
              <w:tabs>
                <w:tab w:val="left" w:pos="0"/>
              </w:tabs>
              <w:adjustRightInd w:val="0"/>
              <w:snapToGrid w:val="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序号</w:t>
            </w:r>
          </w:p>
        </w:tc>
        <w:tc>
          <w:tcPr>
            <w:tcW w:w="4322" w:type="dxa"/>
            <w:gridSpan w:val="2"/>
            <w:noWrap w:val="0"/>
            <w:vAlign w:val="center"/>
          </w:tcPr>
          <w:p>
            <w:pPr>
              <w:tabs>
                <w:tab w:val="left" w:pos="0"/>
              </w:tabs>
              <w:adjustRightInd w:val="0"/>
              <w:snapToGrid w:val="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评审因素</w:t>
            </w:r>
          </w:p>
        </w:tc>
        <w:tc>
          <w:tcPr>
            <w:tcW w:w="4338" w:type="dxa"/>
            <w:noWrap w:val="0"/>
            <w:vAlign w:val="center"/>
          </w:tcPr>
          <w:p>
            <w:pPr>
              <w:tabs>
                <w:tab w:val="left" w:pos="0"/>
              </w:tabs>
              <w:adjustRightInd w:val="0"/>
              <w:snapToGrid w:val="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dxa"/>
            <w:vMerge w:val="restart"/>
            <w:noWrap w:val="0"/>
            <w:vAlign w:val="center"/>
          </w:tcPr>
          <w:p>
            <w:pPr>
              <w:tabs>
                <w:tab w:val="left" w:pos="0"/>
              </w:tabs>
              <w:adjustRightInd w:val="0"/>
              <w:snapToGrid w:val="0"/>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627" w:type="dxa"/>
            <w:vMerge w:val="restart"/>
            <w:noWrap w:val="0"/>
            <w:vAlign w:val="center"/>
          </w:tcPr>
          <w:p>
            <w:pPr>
              <w:tabs>
                <w:tab w:val="left" w:pos="0"/>
              </w:tabs>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有效性审查</w:t>
            </w:r>
          </w:p>
        </w:tc>
        <w:tc>
          <w:tcPr>
            <w:tcW w:w="3695" w:type="dxa"/>
            <w:noWrap w:val="0"/>
            <w:vAlign w:val="center"/>
          </w:tcPr>
          <w:p>
            <w:pPr>
              <w:tabs>
                <w:tab w:val="left" w:pos="0"/>
              </w:tabs>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（1）响应文件的签署盖章</w:t>
            </w:r>
          </w:p>
        </w:tc>
        <w:tc>
          <w:tcPr>
            <w:tcW w:w="4338" w:type="dxa"/>
            <w:noWrap w:val="0"/>
            <w:vAlign w:val="center"/>
          </w:tcPr>
          <w:p>
            <w:pPr>
              <w:tabs>
                <w:tab w:val="left" w:pos="0"/>
              </w:tabs>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响应文件上法定代表人或其委托代理人的签字齐全并加盖单位章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15" w:type="dxa"/>
            <w:vMerge w:val="continue"/>
            <w:noWrap w:val="0"/>
            <w:vAlign w:val="top"/>
          </w:tcPr>
          <w:p>
            <w:pPr>
              <w:tabs>
                <w:tab w:val="left" w:pos="0"/>
              </w:tabs>
              <w:adjustRightInd w:val="0"/>
              <w:snapToGrid w:val="0"/>
              <w:spacing w:line="360" w:lineRule="auto"/>
              <w:rPr>
                <w:rFonts w:hint="default" w:ascii="Times New Roman" w:hAnsi="Times New Roman" w:cs="Times New Roman"/>
                <w:color w:val="auto"/>
                <w:szCs w:val="21"/>
                <w:highlight w:val="none"/>
              </w:rPr>
            </w:pPr>
          </w:p>
        </w:tc>
        <w:tc>
          <w:tcPr>
            <w:tcW w:w="627" w:type="dxa"/>
            <w:vMerge w:val="continue"/>
            <w:noWrap w:val="0"/>
            <w:vAlign w:val="top"/>
          </w:tcPr>
          <w:p>
            <w:pPr>
              <w:tabs>
                <w:tab w:val="left" w:pos="0"/>
              </w:tabs>
              <w:adjustRightInd w:val="0"/>
              <w:snapToGrid w:val="0"/>
              <w:spacing w:line="360" w:lineRule="auto"/>
              <w:rPr>
                <w:rFonts w:hint="default" w:ascii="Times New Roman" w:hAnsi="Times New Roman" w:cs="Times New Roman"/>
                <w:color w:val="auto"/>
                <w:szCs w:val="21"/>
                <w:highlight w:val="none"/>
              </w:rPr>
            </w:pPr>
          </w:p>
        </w:tc>
        <w:tc>
          <w:tcPr>
            <w:tcW w:w="3695" w:type="dxa"/>
            <w:noWrap w:val="0"/>
            <w:vAlign w:val="center"/>
          </w:tcPr>
          <w:p>
            <w:pPr>
              <w:tabs>
                <w:tab w:val="left" w:pos="0"/>
              </w:tabs>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（2）响应文件格式、语言、计量单位、报价货币</w:t>
            </w:r>
          </w:p>
        </w:tc>
        <w:tc>
          <w:tcPr>
            <w:tcW w:w="4338" w:type="dxa"/>
            <w:noWrap w:val="0"/>
            <w:vAlign w:val="center"/>
          </w:tcPr>
          <w:p>
            <w:pPr>
              <w:tabs>
                <w:tab w:val="left" w:pos="0"/>
              </w:tabs>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应符合“响应文件格式”和响应文件要求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15" w:type="dxa"/>
            <w:vMerge w:val="continue"/>
            <w:noWrap w:val="0"/>
            <w:vAlign w:val="top"/>
          </w:tcPr>
          <w:p>
            <w:pPr>
              <w:tabs>
                <w:tab w:val="left" w:pos="0"/>
              </w:tabs>
              <w:adjustRightInd w:val="0"/>
              <w:snapToGrid w:val="0"/>
              <w:spacing w:line="360" w:lineRule="auto"/>
              <w:rPr>
                <w:rFonts w:hint="default" w:ascii="Times New Roman" w:hAnsi="Times New Roman" w:cs="Times New Roman"/>
                <w:color w:val="auto"/>
                <w:szCs w:val="21"/>
                <w:highlight w:val="none"/>
              </w:rPr>
            </w:pPr>
          </w:p>
        </w:tc>
        <w:tc>
          <w:tcPr>
            <w:tcW w:w="627" w:type="dxa"/>
            <w:vMerge w:val="continue"/>
            <w:noWrap w:val="0"/>
            <w:vAlign w:val="top"/>
          </w:tcPr>
          <w:p>
            <w:pPr>
              <w:tabs>
                <w:tab w:val="left" w:pos="0"/>
              </w:tabs>
              <w:adjustRightInd w:val="0"/>
              <w:snapToGrid w:val="0"/>
              <w:spacing w:line="360" w:lineRule="auto"/>
              <w:rPr>
                <w:rFonts w:hint="default" w:ascii="Times New Roman" w:hAnsi="Times New Roman" w:cs="Times New Roman"/>
                <w:color w:val="auto"/>
                <w:szCs w:val="21"/>
                <w:highlight w:val="none"/>
              </w:rPr>
            </w:pPr>
          </w:p>
        </w:tc>
        <w:tc>
          <w:tcPr>
            <w:tcW w:w="3695" w:type="dxa"/>
            <w:noWrap w:val="0"/>
            <w:vAlign w:val="center"/>
          </w:tcPr>
          <w:p>
            <w:pPr>
              <w:tabs>
                <w:tab w:val="left" w:pos="0"/>
              </w:tabs>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（3）报价唯一</w:t>
            </w:r>
          </w:p>
        </w:tc>
        <w:tc>
          <w:tcPr>
            <w:tcW w:w="4338" w:type="dxa"/>
            <w:noWrap w:val="0"/>
            <w:vAlign w:val="center"/>
          </w:tcPr>
          <w:p>
            <w:pPr>
              <w:tabs>
                <w:tab w:val="left" w:pos="0"/>
              </w:tabs>
              <w:adjustRightInd w:val="0"/>
              <w:snapToGrid w:val="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只能有一个有效报价，不得提交选择性报价，且报价不超过采购预算金额</w:t>
            </w:r>
            <w:r>
              <w:rPr>
                <w:rFonts w:hint="default" w:ascii="Times New Roman" w:hAnsi="Times New Roman" w:cs="Times New Roman"/>
                <w:color w:val="auto"/>
                <w:szCs w:val="21"/>
                <w:highlight w:val="none"/>
                <w:lang w:eastAsia="zh-CN"/>
              </w:rPr>
              <w:t>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15" w:type="dxa"/>
            <w:vMerge w:val="continue"/>
            <w:noWrap w:val="0"/>
            <w:vAlign w:val="center"/>
          </w:tcPr>
          <w:p>
            <w:pPr>
              <w:tabs>
                <w:tab w:val="left" w:pos="0"/>
              </w:tabs>
              <w:adjustRightInd w:val="0"/>
              <w:snapToGrid w:val="0"/>
              <w:spacing w:line="360" w:lineRule="auto"/>
              <w:jc w:val="center"/>
              <w:rPr>
                <w:rFonts w:hint="default" w:ascii="Times New Roman" w:hAnsi="Times New Roman" w:cs="Times New Roman"/>
                <w:color w:val="auto"/>
                <w:szCs w:val="21"/>
                <w:highlight w:val="none"/>
              </w:rPr>
            </w:pPr>
          </w:p>
        </w:tc>
        <w:tc>
          <w:tcPr>
            <w:tcW w:w="627" w:type="dxa"/>
            <w:vMerge w:val="continue"/>
            <w:noWrap w:val="0"/>
            <w:vAlign w:val="center"/>
          </w:tcPr>
          <w:p>
            <w:pPr>
              <w:tabs>
                <w:tab w:val="left" w:pos="0"/>
              </w:tabs>
              <w:adjustRightInd w:val="0"/>
              <w:snapToGrid w:val="0"/>
              <w:jc w:val="center"/>
              <w:rPr>
                <w:rFonts w:hint="default" w:ascii="Times New Roman" w:hAnsi="Times New Roman" w:cs="Times New Roman"/>
                <w:color w:val="auto"/>
                <w:szCs w:val="21"/>
                <w:highlight w:val="none"/>
              </w:rPr>
            </w:pPr>
          </w:p>
        </w:tc>
        <w:tc>
          <w:tcPr>
            <w:tcW w:w="3695" w:type="dxa"/>
            <w:noWrap w:val="0"/>
            <w:vAlign w:val="center"/>
          </w:tcPr>
          <w:p>
            <w:pPr>
              <w:tabs>
                <w:tab w:val="left" w:pos="0"/>
              </w:tabs>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（4）电子文件（光盘）</w:t>
            </w:r>
          </w:p>
        </w:tc>
        <w:tc>
          <w:tcPr>
            <w:tcW w:w="4338" w:type="dxa"/>
            <w:noWrap w:val="0"/>
            <w:vAlign w:val="center"/>
          </w:tcPr>
          <w:p>
            <w:pPr>
              <w:tabs>
                <w:tab w:val="left" w:pos="0"/>
              </w:tabs>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应符合磋商文件中的规定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15" w:type="dxa"/>
            <w:vMerge w:val="restart"/>
            <w:noWrap w:val="0"/>
            <w:vAlign w:val="center"/>
          </w:tcPr>
          <w:p>
            <w:pPr>
              <w:tabs>
                <w:tab w:val="left" w:pos="0"/>
              </w:tabs>
              <w:adjustRightInd w:val="0"/>
              <w:snapToGrid w:val="0"/>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627" w:type="dxa"/>
            <w:vMerge w:val="restart"/>
            <w:noWrap w:val="0"/>
            <w:vAlign w:val="center"/>
          </w:tcPr>
          <w:p>
            <w:pPr>
              <w:tabs>
                <w:tab w:val="left" w:pos="0"/>
              </w:tabs>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完整性审查</w:t>
            </w:r>
          </w:p>
        </w:tc>
        <w:tc>
          <w:tcPr>
            <w:tcW w:w="3695" w:type="dxa"/>
            <w:noWrap w:val="0"/>
            <w:vAlign w:val="center"/>
          </w:tcPr>
          <w:p>
            <w:pPr>
              <w:tabs>
                <w:tab w:val="left" w:pos="0"/>
              </w:tabs>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（5）响应文件份数</w:t>
            </w:r>
          </w:p>
        </w:tc>
        <w:tc>
          <w:tcPr>
            <w:tcW w:w="4338" w:type="dxa"/>
            <w:noWrap w:val="0"/>
            <w:vAlign w:val="center"/>
          </w:tcPr>
          <w:p>
            <w:pPr>
              <w:tabs>
                <w:tab w:val="left" w:pos="0"/>
              </w:tabs>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应符合“供应商须知前附表”规定的正本、副本、电子文件数量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15" w:type="dxa"/>
            <w:vMerge w:val="continue"/>
            <w:noWrap w:val="0"/>
            <w:vAlign w:val="top"/>
          </w:tcPr>
          <w:p>
            <w:pPr>
              <w:tabs>
                <w:tab w:val="left" w:pos="0"/>
              </w:tabs>
              <w:adjustRightInd w:val="0"/>
              <w:snapToGrid w:val="0"/>
              <w:spacing w:line="360" w:lineRule="auto"/>
              <w:rPr>
                <w:rFonts w:hint="default" w:ascii="Times New Roman" w:hAnsi="Times New Roman" w:cs="Times New Roman"/>
                <w:color w:val="auto"/>
                <w:szCs w:val="21"/>
                <w:highlight w:val="none"/>
              </w:rPr>
            </w:pPr>
          </w:p>
        </w:tc>
        <w:tc>
          <w:tcPr>
            <w:tcW w:w="627" w:type="dxa"/>
            <w:vMerge w:val="continue"/>
            <w:noWrap w:val="0"/>
            <w:vAlign w:val="top"/>
          </w:tcPr>
          <w:p>
            <w:pPr>
              <w:tabs>
                <w:tab w:val="left" w:pos="0"/>
              </w:tabs>
              <w:adjustRightInd w:val="0"/>
              <w:snapToGrid w:val="0"/>
              <w:spacing w:line="360" w:lineRule="auto"/>
              <w:rPr>
                <w:rFonts w:hint="default" w:ascii="Times New Roman" w:hAnsi="Times New Roman" w:cs="Times New Roman"/>
                <w:color w:val="auto"/>
                <w:szCs w:val="21"/>
                <w:highlight w:val="none"/>
              </w:rPr>
            </w:pPr>
          </w:p>
        </w:tc>
        <w:tc>
          <w:tcPr>
            <w:tcW w:w="3695" w:type="dxa"/>
            <w:noWrap w:val="0"/>
            <w:vAlign w:val="center"/>
          </w:tcPr>
          <w:p>
            <w:pPr>
              <w:tabs>
                <w:tab w:val="left" w:pos="0"/>
              </w:tabs>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（6）响应文件内容</w:t>
            </w:r>
          </w:p>
        </w:tc>
        <w:tc>
          <w:tcPr>
            <w:tcW w:w="4338" w:type="dxa"/>
            <w:noWrap w:val="0"/>
            <w:vAlign w:val="center"/>
          </w:tcPr>
          <w:p>
            <w:pPr>
              <w:tabs>
                <w:tab w:val="left" w:pos="0"/>
              </w:tabs>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15" w:type="dxa"/>
            <w:vMerge w:val="restart"/>
            <w:noWrap w:val="0"/>
            <w:vAlign w:val="center"/>
          </w:tcPr>
          <w:p>
            <w:pPr>
              <w:tabs>
                <w:tab w:val="left" w:pos="0"/>
              </w:tabs>
              <w:adjustRightInd w:val="0"/>
              <w:snapToGrid w:val="0"/>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627" w:type="dxa"/>
            <w:vMerge w:val="restart"/>
            <w:noWrap w:val="0"/>
            <w:vAlign w:val="center"/>
          </w:tcPr>
          <w:p>
            <w:pPr>
              <w:tabs>
                <w:tab w:val="left" w:pos="0"/>
              </w:tabs>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响应性审查</w:t>
            </w:r>
          </w:p>
        </w:tc>
        <w:tc>
          <w:tcPr>
            <w:tcW w:w="3695" w:type="dxa"/>
            <w:noWrap w:val="0"/>
            <w:vAlign w:val="center"/>
          </w:tcPr>
          <w:p>
            <w:pPr>
              <w:tabs>
                <w:tab w:val="left" w:pos="0"/>
              </w:tabs>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（7）对磋商文件响应程度</w:t>
            </w:r>
          </w:p>
        </w:tc>
        <w:tc>
          <w:tcPr>
            <w:tcW w:w="4338" w:type="dxa"/>
            <w:noWrap w:val="0"/>
            <w:vAlign w:val="center"/>
          </w:tcPr>
          <w:p>
            <w:pPr>
              <w:tabs>
                <w:tab w:val="left" w:pos="0"/>
              </w:tabs>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要求全面响应，不能有任何采购人不能接受的附加条件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Merge w:val="continue"/>
            <w:noWrap w:val="0"/>
            <w:vAlign w:val="top"/>
          </w:tcPr>
          <w:p>
            <w:pPr>
              <w:tabs>
                <w:tab w:val="left" w:pos="0"/>
              </w:tabs>
              <w:adjustRightInd w:val="0"/>
              <w:snapToGrid w:val="0"/>
              <w:spacing w:line="360" w:lineRule="auto"/>
              <w:rPr>
                <w:rFonts w:hint="default" w:ascii="Times New Roman" w:hAnsi="Times New Roman" w:cs="Times New Roman"/>
                <w:color w:val="auto"/>
                <w:szCs w:val="21"/>
                <w:highlight w:val="none"/>
              </w:rPr>
            </w:pPr>
          </w:p>
        </w:tc>
        <w:tc>
          <w:tcPr>
            <w:tcW w:w="627" w:type="dxa"/>
            <w:vMerge w:val="continue"/>
            <w:noWrap w:val="0"/>
            <w:vAlign w:val="top"/>
          </w:tcPr>
          <w:p>
            <w:pPr>
              <w:tabs>
                <w:tab w:val="left" w:pos="0"/>
              </w:tabs>
              <w:adjustRightInd w:val="0"/>
              <w:snapToGrid w:val="0"/>
              <w:spacing w:line="360" w:lineRule="auto"/>
              <w:rPr>
                <w:rFonts w:hint="default" w:ascii="Times New Roman" w:hAnsi="Times New Roman" w:cs="Times New Roman"/>
                <w:color w:val="auto"/>
                <w:szCs w:val="21"/>
                <w:highlight w:val="none"/>
              </w:rPr>
            </w:pPr>
          </w:p>
        </w:tc>
        <w:tc>
          <w:tcPr>
            <w:tcW w:w="3695" w:type="dxa"/>
            <w:noWrap w:val="0"/>
            <w:vAlign w:val="center"/>
          </w:tcPr>
          <w:p>
            <w:pPr>
              <w:tabs>
                <w:tab w:val="left" w:pos="0"/>
              </w:tabs>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（8）拟提供服务要求</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技术要求</w:t>
            </w:r>
          </w:p>
        </w:tc>
        <w:tc>
          <w:tcPr>
            <w:tcW w:w="4338" w:type="dxa"/>
            <w:noWrap w:val="0"/>
            <w:vAlign w:val="center"/>
          </w:tcPr>
          <w:p>
            <w:pPr>
              <w:tabs>
                <w:tab w:val="left" w:pos="0"/>
              </w:tabs>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应满足磋商文件提出的服务要求与技术要求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15" w:type="dxa"/>
            <w:vMerge w:val="continue"/>
            <w:noWrap w:val="0"/>
            <w:vAlign w:val="top"/>
          </w:tcPr>
          <w:p>
            <w:pPr>
              <w:tabs>
                <w:tab w:val="left" w:pos="0"/>
              </w:tabs>
              <w:adjustRightInd w:val="0"/>
              <w:snapToGrid w:val="0"/>
              <w:spacing w:line="360" w:lineRule="auto"/>
              <w:rPr>
                <w:rFonts w:hint="default" w:ascii="Times New Roman" w:hAnsi="Times New Roman" w:cs="Times New Roman"/>
                <w:color w:val="auto"/>
                <w:szCs w:val="21"/>
                <w:highlight w:val="none"/>
              </w:rPr>
            </w:pPr>
          </w:p>
        </w:tc>
        <w:tc>
          <w:tcPr>
            <w:tcW w:w="627" w:type="dxa"/>
            <w:vMerge w:val="continue"/>
            <w:noWrap w:val="0"/>
            <w:vAlign w:val="top"/>
          </w:tcPr>
          <w:p>
            <w:pPr>
              <w:tabs>
                <w:tab w:val="left" w:pos="0"/>
              </w:tabs>
              <w:adjustRightInd w:val="0"/>
              <w:snapToGrid w:val="0"/>
              <w:spacing w:line="360" w:lineRule="auto"/>
              <w:rPr>
                <w:rFonts w:hint="default" w:ascii="Times New Roman" w:hAnsi="Times New Roman" w:cs="Times New Roman"/>
                <w:color w:val="auto"/>
                <w:szCs w:val="21"/>
                <w:highlight w:val="none"/>
              </w:rPr>
            </w:pPr>
          </w:p>
        </w:tc>
        <w:tc>
          <w:tcPr>
            <w:tcW w:w="3695" w:type="dxa"/>
            <w:noWrap w:val="0"/>
            <w:vAlign w:val="center"/>
          </w:tcPr>
          <w:p>
            <w:pPr>
              <w:tabs>
                <w:tab w:val="left" w:pos="0"/>
              </w:tabs>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9</w:t>
            </w:r>
            <w:r>
              <w:rPr>
                <w:rFonts w:hint="default" w:ascii="Times New Roman" w:hAnsi="Times New Roman" w:cs="Times New Roman"/>
                <w:color w:val="auto"/>
                <w:szCs w:val="21"/>
                <w:highlight w:val="none"/>
              </w:rPr>
              <w:t>）服务期限</w:t>
            </w:r>
          </w:p>
        </w:tc>
        <w:tc>
          <w:tcPr>
            <w:tcW w:w="4338" w:type="dxa"/>
            <w:noWrap w:val="0"/>
            <w:vAlign w:val="center"/>
          </w:tcPr>
          <w:p>
            <w:pPr>
              <w:tabs>
                <w:tab w:val="left" w:pos="0"/>
              </w:tabs>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应满足磋商文件中要求的服务期限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15" w:type="dxa"/>
            <w:vMerge w:val="continue"/>
            <w:noWrap w:val="0"/>
            <w:vAlign w:val="top"/>
          </w:tcPr>
          <w:p>
            <w:pPr>
              <w:tabs>
                <w:tab w:val="left" w:pos="0"/>
              </w:tabs>
              <w:adjustRightInd w:val="0"/>
              <w:snapToGrid w:val="0"/>
              <w:spacing w:line="360" w:lineRule="auto"/>
              <w:rPr>
                <w:rFonts w:hint="default" w:ascii="Times New Roman" w:hAnsi="Times New Roman" w:cs="Times New Roman"/>
                <w:color w:val="auto"/>
                <w:szCs w:val="21"/>
                <w:highlight w:val="none"/>
              </w:rPr>
            </w:pPr>
          </w:p>
        </w:tc>
        <w:tc>
          <w:tcPr>
            <w:tcW w:w="627" w:type="dxa"/>
            <w:vMerge w:val="continue"/>
            <w:noWrap w:val="0"/>
            <w:vAlign w:val="top"/>
          </w:tcPr>
          <w:p>
            <w:pPr>
              <w:tabs>
                <w:tab w:val="left" w:pos="0"/>
              </w:tabs>
              <w:adjustRightInd w:val="0"/>
              <w:snapToGrid w:val="0"/>
              <w:spacing w:line="360" w:lineRule="auto"/>
              <w:rPr>
                <w:rFonts w:hint="default" w:ascii="Times New Roman" w:hAnsi="Times New Roman" w:cs="Times New Roman"/>
                <w:color w:val="auto"/>
                <w:szCs w:val="21"/>
                <w:highlight w:val="none"/>
              </w:rPr>
            </w:pPr>
          </w:p>
        </w:tc>
        <w:tc>
          <w:tcPr>
            <w:tcW w:w="3695" w:type="dxa"/>
            <w:noWrap w:val="0"/>
            <w:vAlign w:val="center"/>
          </w:tcPr>
          <w:p>
            <w:pPr>
              <w:tabs>
                <w:tab w:val="left" w:pos="0"/>
              </w:tabs>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0</w:t>
            </w:r>
            <w:r>
              <w:rPr>
                <w:rFonts w:hint="default" w:ascii="Times New Roman" w:hAnsi="Times New Roman" w:cs="Times New Roman"/>
                <w:color w:val="auto"/>
                <w:szCs w:val="21"/>
                <w:highlight w:val="none"/>
              </w:rPr>
              <w:t>）服务地点</w:t>
            </w:r>
          </w:p>
        </w:tc>
        <w:tc>
          <w:tcPr>
            <w:tcW w:w="4338" w:type="dxa"/>
            <w:noWrap w:val="0"/>
            <w:vAlign w:val="center"/>
          </w:tcPr>
          <w:p>
            <w:pPr>
              <w:tabs>
                <w:tab w:val="left" w:pos="0"/>
              </w:tabs>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应满足磋商文件中要求的服务地点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15" w:type="dxa"/>
            <w:vMerge w:val="continue"/>
            <w:noWrap w:val="0"/>
            <w:vAlign w:val="top"/>
          </w:tcPr>
          <w:p>
            <w:pPr>
              <w:tabs>
                <w:tab w:val="left" w:pos="0"/>
              </w:tabs>
              <w:adjustRightInd w:val="0"/>
              <w:snapToGrid w:val="0"/>
              <w:spacing w:line="360" w:lineRule="auto"/>
              <w:rPr>
                <w:rFonts w:hint="default" w:ascii="Times New Roman" w:hAnsi="Times New Roman" w:cs="Times New Roman"/>
                <w:color w:val="auto"/>
                <w:szCs w:val="21"/>
                <w:highlight w:val="none"/>
              </w:rPr>
            </w:pPr>
          </w:p>
        </w:tc>
        <w:tc>
          <w:tcPr>
            <w:tcW w:w="627" w:type="dxa"/>
            <w:vMerge w:val="continue"/>
            <w:noWrap w:val="0"/>
            <w:vAlign w:val="top"/>
          </w:tcPr>
          <w:p>
            <w:pPr>
              <w:tabs>
                <w:tab w:val="left" w:pos="0"/>
              </w:tabs>
              <w:adjustRightInd w:val="0"/>
              <w:snapToGrid w:val="0"/>
              <w:spacing w:line="360" w:lineRule="auto"/>
              <w:rPr>
                <w:rFonts w:hint="default" w:ascii="Times New Roman" w:hAnsi="Times New Roman" w:cs="Times New Roman"/>
                <w:color w:val="auto"/>
                <w:szCs w:val="21"/>
                <w:highlight w:val="none"/>
              </w:rPr>
            </w:pPr>
          </w:p>
        </w:tc>
        <w:tc>
          <w:tcPr>
            <w:tcW w:w="3695" w:type="dxa"/>
            <w:noWrap w:val="0"/>
            <w:vAlign w:val="center"/>
          </w:tcPr>
          <w:p>
            <w:pPr>
              <w:tabs>
                <w:tab w:val="left" w:pos="0"/>
              </w:tabs>
              <w:adjustRightInd w:val="0"/>
              <w:snapToGrid w:val="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11</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售后服务</w:t>
            </w:r>
          </w:p>
        </w:tc>
        <w:tc>
          <w:tcPr>
            <w:tcW w:w="4338" w:type="dxa"/>
            <w:noWrap w:val="0"/>
            <w:vAlign w:val="center"/>
          </w:tcPr>
          <w:p>
            <w:pPr>
              <w:tabs>
                <w:tab w:val="left" w:pos="0"/>
              </w:tabs>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应满足磋商文件售后服务的要求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15" w:type="dxa"/>
            <w:vMerge w:val="continue"/>
            <w:noWrap w:val="0"/>
            <w:vAlign w:val="top"/>
          </w:tcPr>
          <w:p>
            <w:pPr>
              <w:tabs>
                <w:tab w:val="left" w:pos="0"/>
              </w:tabs>
              <w:adjustRightInd w:val="0"/>
              <w:snapToGrid w:val="0"/>
              <w:spacing w:line="360" w:lineRule="auto"/>
              <w:rPr>
                <w:rFonts w:hint="default" w:ascii="Times New Roman" w:hAnsi="Times New Roman" w:cs="Times New Roman"/>
                <w:color w:val="auto"/>
                <w:szCs w:val="21"/>
                <w:highlight w:val="none"/>
              </w:rPr>
            </w:pPr>
          </w:p>
        </w:tc>
        <w:tc>
          <w:tcPr>
            <w:tcW w:w="627" w:type="dxa"/>
            <w:vMerge w:val="continue"/>
            <w:noWrap w:val="0"/>
            <w:vAlign w:val="top"/>
          </w:tcPr>
          <w:p>
            <w:pPr>
              <w:tabs>
                <w:tab w:val="left" w:pos="0"/>
              </w:tabs>
              <w:adjustRightInd w:val="0"/>
              <w:snapToGrid w:val="0"/>
              <w:spacing w:line="360" w:lineRule="auto"/>
              <w:rPr>
                <w:rFonts w:hint="default" w:ascii="Times New Roman" w:hAnsi="Times New Roman" w:cs="Times New Roman"/>
                <w:color w:val="auto"/>
                <w:szCs w:val="21"/>
                <w:highlight w:val="none"/>
              </w:rPr>
            </w:pPr>
          </w:p>
        </w:tc>
        <w:tc>
          <w:tcPr>
            <w:tcW w:w="3695" w:type="dxa"/>
            <w:noWrap w:val="0"/>
            <w:vAlign w:val="center"/>
          </w:tcPr>
          <w:p>
            <w:pPr>
              <w:tabs>
                <w:tab w:val="left" w:pos="0"/>
              </w:tabs>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）磋商有效期</w:t>
            </w:r>
          </w:p>
        </w:tc>
        <w:tc>
          <w:tcPr>
            <w:tcW w:w="4338" w:type="dxa"/>
            <w:noWrap w:val="0"/>
            <w:vAlign w:val="center"/>
          </w:tcPr>
          <w:p>
            <w:pPr>
              <w:tabs>
                <w:tab w:val="left" w:pos="0"/>
              </w:tabs>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应满足磋商文件中的规定</w:t>
            </w:r>
          </w:p>
        </w:tc>
      </w:tr>
    </w:tbl>
    <w:p>
      <w:pPr>
        <w:tabs>
          <w:tab w:val="left" w:pos="0"/>
        </w:tabs>
        <w:adjustRightInd w:val="0"/>
        <w:snapToGrid w:val="0"/>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1.2.2.3 未通过符合性检查的供应商，不得进入后续磋商环节。</w:t>
      </w:r>
    </w:p>
    <w:p>
      <w:pPr>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1.3 响应文件的澄清</w:t>
      </w:r>
    </w:p>
    <w:p>
      <w:pPr>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1.3.1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1.3.2磋商小组要求供应商澄清、说明或者更正响应文件应当以书面形式作出。供应商的澄清、说明或者更正应当由法定代表人或其授权代表签字或者加盖公章。由委托代理人签字的，应当附法定代表人授权书。供应商为自然人的，应当由本人签字并附身份证明。</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snapToGrid w:val="0"/>
          <w:color w:val="auto"/>
          <w:kern w:val="0"/>
          <w:szCs w:val="21"/>
          <w:highlight w:val="none"/>
        </w:rPr>
        <w:t xml:space="preserve">1.3.3 </w:t>
      </w:r>
      <w:r>
        <w:rPr>
          <w:rFonts w:hint="default" w:ascii="Times New Roman" w:hAnsi="Times New Roman" w:cs="Times New Roman"/>
          <w:color w:val="auto"/>
          <w:szCs w:val="21"/>
          <w:highlight w:val="none"/>
        </w:rPr>
        <w:t>供应商拒不按照要求对响应文件进行澄清、说明或者更正的，磋商小组可以拒绝其响应文件。磋商小组不接受供应商主动提出的澄清、说明或者更正。</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1.3.4 有效的书面澄清、说明或者更正材料，是响应文件的补充材料，并构成响应文件的组成部分。</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1.3.5 磋商小组对供应商提交的澄清、说明或者更正有疑问的，可以要求供应商进一步澄清、说明或者更正，直至满足磋商小组的要求。</w:t>
      </w:r>
    </w:p>
    <w:p>
      <w:pPr>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1.4 磋商</w:t>
      </w:r>
    </w:p>
    <w:p>
      <w:pPr>
        <w:spacing w:line="360" w:lineRule="auto"/>
        <w:ind w:firstLine="48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1.4.1磋商方式：</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1.4.1.1 对资格性审查和符合性审查合格的供应商，进入本次采购活动的磋商环节。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1.4.1.2 在磋商期间，供应商应派代表参加磋商，代表人数</w:t>
      </w:r>
      <w:r>
        <w:rPr>
          <w:rFonts w:hint="default" w:ascii="Times New Roman" w:hAnsi="Times New Roman" w:cs="Times New Roman"/>
          <w:color w:val="auto"/>
          <w:kern w:val="0"/>
          <w:szCs w:val="21"/>
          <w:highlight w:val="none"/>
          <w:u w:val="single"/>
        </w:rPr>
        <w:t xml:space="preserve"> 1</w:t>
      </w:r>
      <w:r>
        <w:rPr>
          <w:rFonts w:hint="default" w:ascii="Times New Roman" w:hAnsi="Times New Roman" w:cs="Times New Roman"/>
          <w:color w:val="auto"/>
          <w:kern w:val="0"/>
          <w:szCs w:val="21"/>
          <w:highlight w:val="none"/>
        </w:rPr>
        <w:t>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1.4.1.3 磋商小组将通过随机方式确定供应商进行磋商的顺序，所有成员集中与单一供应商按照顺序分别进行磋商，</w:t>
      </w:r>
      <w:r>
        <w:rPr>
          <w:rFonts w:hint="default" w:ascii="Times New Roman" w:hAnsi="Times New Roman" w:cs="Times New Roman"/>
          <w:color w:val="auto"/>
          <w:szCs w:val="21"/>
          <w:highlight w:val="none"/>
        </w:rPr>
        <w:t>并给予所有参加磋商的供应商平等的磋商机会</w:t>
      </w:r>
      <w:r>
        <w:rPr>
          <w:rFonts w:hint="default" w:ascii="Times New Roman" w:hAnsi="Times New Roman" w:cs="Times New Roman"/>
          <w:color w:val="auto"/>
          <w:kern w:val="0"/>
          <w:szCs w:val="21"/>
          <w:highlight w:val="none"/>
        </w:rPr>
        <w:t>。磋商的任何一方不得透露与磋商有关的其他供应商的技术资料、价格和其他信息。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1.4.1.4 </w:t>
      </w:r>
      <w:r>
        <w:rPr>
          <w:rFonts w:hint="default" w:ascii="Times New Roman" w:hAnsi="Times New Roman" w:cs="Times New Roman"/>
          <w:b/>
          <w:bCs/>
          <w:color w:val="auto"/>
          <w:kern w:val="0"/>
          <w:szCs w:val="21"/>
          <w:highlight w:val="none"/>
        </w:rPr>
        <w:t>技术磋商</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对磋商文件作出的实质性变动是磋商文件的有效组成部分，磋商小组应当及时以书面形式同时通知所有参加磋商的供应商。</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napToGrid w:val="0"/>
          <w:color w:val="auto"/>
          <w:kern w:val="0"/>
          <w:szCs w:val="21"/>
          <w:highlight w:val="none"/>
        </w:rPr>
      </w:pPr>
      <w:r>
        <w:rPr>
          <w:rFonts w:hint="default" w:ascii="Times New Roman" w:hAnsi="Times New Roman" w:cs="Times New Roman"/>
          <w:color w:val="auto"/>
          <w:szCs w:val="21"/>
          <w:highlight w:val="none"/>
        </w:rPr>
        <w:t>供应商应当按照磋商文件的变动情况和磋商小组的要求重新提交响应文件，并由其法定代表人或委托代理人签字或者加盖公章。</w:t>
      </w:r>
      <w:r>
        <w:rPr>
          <w:rFonts w:hint="default" w:ascii="Times New Roman" w:hAnsi="Times New Roman" w:cs="Times New Roman"/>
          <w:snapToGrid w:val="0"/>
          <w:color w:val="auto"/>
          <w:kern w:val="0"/>
          <w:szCs w:val="21"/>
          <w:highlight w:val="none"/>
        </w:rPr>
        <w:t>由委托代理人签字的，应当附法定代表人授权书。供应商为自然人的，应当由本人签字并附身份证明。</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磋商小组应当</w:t>
      </w:r>
      <w:r>
        <w:rPr>
          <w:rFonts w:hint="default" w:ascii="Times New Roman" w:hAnsi="Times New Roman" w:cs="Times New Roman"/>
          <w:color w:val="auto"/>
          <w:szCs w:val="21"/>
          <w:highlight w:val="none"/>
        </w:rPr>
        <w:t>根据规定</w:t>
      </w:r>
      <w:r>
        <w:rPr>
          <w:rFonts w:hint="default" w:ascii="Times New Roman" w:hAnsi="Times New Roman" w:cs="Times New Roman"/>
          <w:color w:val="auto"/>
          <w:kern w:val="0"/>
          <w:szCs w:val="21"/>
          <w:highlight w:val="none"/>
        </w:rPr>
        <w:t>对供应商重新提交的响应文件进行符合性审查。供应商重新提交的响应文件未通过符合性审查的，不得进入商务磋商，也不得要求提交最后报价。</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1.4.1.5 商务磋商。在技术磋商结束后，进行商务磋商。</w:t>
      </w:r>
      <w:r>
        <w:rPr>
          <w:rFonts w:hint="default" w:ascii="Times New Roman" w:hAnsi="Times New Roman" w:cs="Times New Roman"/>
          <w:b/>
          <w:color w:val="auto"/>
          <w:szCs w:val="21"/>
          <w:highlight w:val="none"/>
        </w:rPr>
        <w:t>磋商文件能够详细列明采购标的的技术、服务要求的，</w:t>
      </w:r>
      <w:r>
        <w:rPr>
          <w:rFonts w:hint="default" w:ascii="Times New Roman" w:hAnsi="Times New Roman" w:cs="Times New Roman"/>
          <w:color w:val="auto"/>
          <w:szCs w:val="21"/>
          <w:highlight w:val="none"/>
        </w:rPr>
        <w:t>磋商小组应当要求所有实质性响应的供应商在规定时间内提交最后报价，</w:t>
      </w:r>
      <w:r>
        <w:rPr>
          <w:rFonts w:hint="default" w:ascii="Times New Roman" w:hAnsi="Times New Roman" w:cs="Times New Roman"/>
          <w:b/>
          <w:color w:val="auto"/>
          <w:szCs w:val="21"/>
          <w:highlight w:val="none"/>
        </w:rPr>
        <w:t>提交最后报价的供应商不得少于3家</w:t>
      </w:r>
      <w:r>
        <w:rPr>
          <w:rFonts w:hint="default" w:ascii="Times New Roman" w:hAnsi="Times New Roman" w:cs="Times New Roman"/>
          <w:color w:val="auto"/>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磋商文件不能详细列明采购标的的技术、服务要求</w:t>
      </w:r>
      <w:r>
        <w:rPr>
          <w:rFonts w:hint="default" w:ascii="Times New Roman" w:hAnsi="Times New Roman" w:cs="Times New Roman"/>
          <w:color w:val="auto"/>
          <w:szCs w:val="21"/>
          <w:highlight w:val="none"/>
        </w:rPr>
        <w:t>，需经磋商由供应商提供最终设计方案或解决方案的，</w:t>
      </w:r>
      <w:r>
        <w:rPr>
          <w:rFonts w:hint="default" w:ascii="Times New Roman" w:hAnsi="Times New Roman" w:cs="Times New Roman"/>
          <w:b/>
          <w:color w:val="auto"/>
          <w:szCs w:val="21"/>
          <w:highlight w:val="none"/>
        </w:rPr>
        <w:t>磋商小组应当按照少数服从多数的原则投票推荐3家以上供应商的设计方案或者解决方案，</w:t>
      </w:r>
      <w:r>
        <w:rPr>
          <w:rFonts w:hint="default" w:ascii="Times New Roman" w:hAnsi="Times New Roman" w:cs="Times New Roman"/>
          <w:color w:val="auto"/>
          <w:szCs w:val="21"/>
          <w:highlight w:val="none"/>
        </w:rPr>
        <w:t>并要求其在规定时间内提交最后报价。</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b/>
          <w:snapToGrid w:val="0"/>
          <w:color w:val="auto"/>
          <w:kern w:val="0"/>
          <w:szCs w:val="21"/>
          <w:highlight w:val="none"/>
        </w:rPr>
      </w:pPr>
      <w:r>
        <w:rPr>
          <w:rFonts w:hint="default" w:ascii="Times New Roman" w:hAnsi="Times New Roman" w:cs="Times New Roman"/>
          <w:b/>
          <w:snapToGrid w:val="0"/>
          <w:color w:val="auto"/>
          <w:kern w:val="0"/>
          <w:szCs w:val="21"/>
          <w:highlight w:val="none"/>
        </w:rPr>
        <w:t>符合《政府采购竞争性磋商采购方式管理暂行办法》第三条第四项情形的，或者本项目为政府购买服务指导性目录中的，提交最后报价的供应商可以为2家。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1.4.1.6 已提交响应文件的供应商，在提交最后报价之前，可以根据磋商情况退出磋商，采购代理机构应当退还其磋商保证金。</w:t>
      </w:r>
    </w:p>
    <w:p>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1.4.2磋商步骤：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1.4.2.1 第一轮磋商。磋商小组对进入第一轮磋商的供应商再次进行评审、质疑和澄清。在此阶段，磋商小组依据参加磋商的供应商递交的响应文件进行技术和商务磋商。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磋商小组可以根据实际需要提出方案和技术参数要求，与单一供应商分别进行磋商，并给予所有参加磋商的供应商平等的磋商机会。要求参加磋商的供应商重新承诺技术参数和第二次磋商报价，以满足采购人的最大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1.4.2.2 第二轮磋商。对第一轮磋商结果不满意，磋商小组可以再次要求参加磋商的供应商进行第二轮磋商，磋商内容及要求与第一轮磋商相同。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1.4.2.3 每轮磋商结束后，磋商小组对磋商情况进行讨论，综合考虑供应商提供的技术参数和性价比，有权对技术参数最差供应商或性价比最低</w:t>
      </w:r>
      <w:r>
        <w:rPr>
          <w:rFonts w:hint="default" w:ascii="Times New Roman" w:hAnsi="Times New Roman" w:cs="Times New Roman"/>
          <w:color w:val="auto"/>
          <w:szCs w:val="21"/>
          <w:highlight w:val="none"/>
          <w:lang w:eastAsia="zh-CN"/>
        </w:rPr>
        <w:t>的</w:t>
      </w:r>
      <w:r>
        <w:rPr>
          <w:rFonts w:hint="default" w:ascii="Times New Roman" w:hAnsi="Times New Roman" w:cs="Times New Roman"/>
          <w:color w:val="auto"/>
          <w:szCs w:val="21"/>
          <w:highlight w:val="none"/>
        </w:rPr>
        <w:t>供应商进行淘汰，并将淘汰理由写入评审报告。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后一轮磋商报价高于前一轮</w:t>
      </w:r>
      <w:r>
        <w:rPr>
          <w:rFonts w:hint="default" w:ascii="Times New Roman" w:hAnsi="Times New Roman" w:cs="Times New Roman"/>
          <w:b/>
          <w:bCs/>
          <w:color w:val="auto"/>
          <w:szCs w:val="21"/>
          <w:highlight w:val="none"/>
        </w:rPr>
        <w:t>磋商</w:t>
      </w:r>
      <w:r>
        <w:rPr>
          <w:rFonts w:hint="default" w:ascii="Times New Roman" w:hAnsi="Times New Roman" w:cs="Times New Roman"/>
          <w:b/>
          <w:bCs/>
          <w:color w:val="auto"/>
          <w:highlight w:val="none"/>
        </w:rPr>
        <w:t>报价的供应商，视为其自动退出磋商，有磋商保证金的予以退还。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1.4.2.4 磋商小组应在最后一轮磋商前告知所有符合磋商要求的供应商是否是最后一次磋商。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1.4.2.5 最后一轮磋商结束后，磋商小组将对进入最后一轮的供应商的响应文件进行详细评审。</w:t>
      </w:r>
    </w:p>
    <w:p>
      <w:pPr>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1.5 最后报价</w:t>
      </w:r>
    </w:p>
    <w:p>
      <w:pPr>
        <w:widowControl/>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color w:val="auto"/>
          <w:szCs w:val="21"/>
          <w:highlight w:val="none"/>
        </w:rPr>
        <w:t>1.5.1 供应商应当以书面形式提交最后报价（最后报价将作为综合评分法中价格分的计算依据），并由其法定代表人或者委托代理人签字或者加盖单位章。</w:t>
      </w:r>
      <w:r>
        <w:rPr>
          <w:rFonts w:hint="default" w:ascii="Times New Roman" w:hAnsi="Times New Roman" w:cs="Times New Roman"/>
          <w:snapToGrid w:val="0"/>
          <w:color w:val="auto"/>
          <w:kern w:val="0"/>
          <w:szCs w:val="21"/>
          <w:highlight w:val="none"/>
        </w:rPr>
        <w:t>由委托代理人签字的，应当附法定代表人授权书。供应商为自然人的，应当由本人签字并附身份证明。</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1.5.2 最后报价是供应商响应文件的有效组成部分。</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1.5.3 最后报价仅向采购人及</w:t>
      </w:r>
      <w:r>
        <w:rPr>
          <w:rFonts w:hint="default" w:ascii="Times New Roman" w:hAnsi="Times New Roman" w:cs="Times New Roman"/>
          <w:color w:val="auto"/>
          <w:szCs w:val="21"/>
          <w:highlight w:val="none"/>
          <w:lang w:eastAsia="zh-CN"/>
        </w:rPr>
        <w:t>监标人</w:t>
      </w:r>
      <w:r>
        <w:rPr>
          <w:rFonts w:hint="default" w:ascii="Times New Roman" w:hAnsi="Times New Roman" w:cs="Times New Roman"/>
          <w:color w:val="auto"/>
          <w:szCs w:val="21"/>
          <w:highlight w:val="none"/>
        </w:rPr>
        <w:t>宣布，并由</w:t>
      </w:r>
      <w:r>
        <w:rPr>
          <w:rFonts w:hint="default" w:ascii="Times New Roman" w:hAnsi="Times New Roman" w:cs="Times New Roman"/>
          <w:color w:val="auto"/>
          <w:szCs w:val="21"/>
          <w:highlight w:val="none"/>
          <w:lang w:eastAsia="zh-CN"/>
        </w:rPr>
        <w:t>监标人</w:t>
      </w:r>
      <w:r>
        <w:rPr>
          <w:rFonts w:hint="default" w:ascii="Times New Roman" w:hAnsi="Times New Roman" w:cs="Times New Roman"/>
          <w:color w:val="auto"/>
          <w:szCs w:val="21"/>
          <w:highlight w:val="none"/>
        </w:rPr>
        <w:t>确认。</w:t>
      </w:r>
    </w:p>
    <w:p>
      <w:pPr>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1.6 响应文件详细评审</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经磋商确定最终采购需求和提交最后报价的供应商后，由磋商小组采用</w:t>
      </w:r>
      <w:r>
        <w:rPr>
          <w:rFonts w:hint="default" w:ascii="Times New Roman" w:hAnsi="Times New Roman" w:cs="Times New Roman"/>
          <w:b/>
          <w:color w:val="auto"/>
          <w:szCs w:val="21"/>
          <w:highlight w:val="none"/>
        </w:rPr>
        <w:t>综合评分法</w:t>
      </w:r>
      <w:r>
        <w:rPr>
          <w:rFonts w:hint="default" w:ascii="Times New Roman" w:hAnsi="Times New Roman" w:cs="Times New Roman"/>
          <w:color w:val="auto"/>
          <w:szCs w:val="21"/>
          <w:highlight w:val="none"/>
        </w:rPr>
        <w:t>对提交最后报价的供应商的响应文件和最后报价进行综合评分。</w:t>
      </w:r>
    </w:p>
    <w:p>
      <w:pPr>
        <w:spacing w:before="120" w:before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1.7 复核与核对评审结果</w:t>
      </w:r>
    </w:p>
    <w:p>
      <w:pPr>
        <w:spacing w:before="120" w:beforeLines="5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1.7.1 评分汇总结束后，磋商小组应当进行复核，特别要对拟推荐成交候选人的、最后报价最低的、响应文件被认定无效的进行重点复核。</w:t>
      </w:r>
    </w:p>
    <w:p>
      <w:pPr>
        <w:pStyle w:val="23"/>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1.7.2 评审结果汇总完成后，评审报告签署前，采购代理机构应当</w:t>
      </w:r>
      <w:r>
        <w:rPr>
          <w:rFonts w:hint="default" w:ascii="Times New Roman" w:hAnsi="Times New Roman" w:cs="Times New Roman"/>
          <w:bCs/>
          <w:color w:val="auto"/>
          <w:highlight w:val="none"/>
        </w:rPr>
        <w:t>核对评审结果，</w:t>
      </w:r>
      <w:r>
        <w:rPr>
          <w:rFonts w:hint="default" w:ascii="Times New Roman" w:hAnsi="Times New Roman" w:cs="Times New Roman"/>
          <w:color w:val="auto"/>
          <w:highlight w:val="none"/>
        </w:rPr>
        <w:t>除下列情形外，任何人不得修改评审结果：</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（1）资格性认定错误的；</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（2）分值汇总计算错误的；</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（3）分项评分超出评分标准范围的；</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（4）磋商小组对客观评审因素评分不一致的；</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（5）经磋商小组一致认定评分畸高、畸低的。</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经复核发现存在以上情形之一的，磋商小组应当当场修改评审结果，并在评审报告中记载。</w:t>
      </w:r>
    </w:p>
    <w:p>
      <w:pPr>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1.8 确定成交候选人名单</w:t>
      </w:r>
    </w:p>
    <w:p>
      <w:pPr>
        <w:spacing w:before="120" w:beforeLines="5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确定成交候选人程序</w:t>
      </w:r>
      <w:r>
        <w:rPr>
          <w:rFonts w:hint="default" w:ascii="Times New Roman" w:hAnsi="Times New Roman" w:cs="Times New Roman"/>
          <w:color w:val="auto"/>
          <w:szCs w:val="21"/>
          <w:highlight w:val="none"/>
          <w:lang w:eastAsia="zh-CN"/>
        </w:rPr>
        <w:t>详</w:t>
      </w:r>
      <w:r>
        <w:rPr>
          <w:rFonts w:hint="default" w:ascii="Times New Roman" w:hAnsi="Times New Roman" w:cs="Times New Roman"/>
          <w:color w:val="auto"/>
          <w:szCs w:val="21"/>
          <w:highlight w:val="none"/>
        </w:rPr>
        <w:t>见第二章第8.1、8.2条款。</w:t>
      </w:r>
    </w:p>
    <w:p>
      <w:pPr>
        <w:spacing w:before="120" w:beforeLines="50" w:after="120" w:afterLines="50" w:line="360" w:lineRule="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1.9 编写评审报告</w:t>
      </w:r>
    </w:p>
    <w:p>
      <w:pPr>
        <w:spacing w:line="360" w:lineRule="auto"/>
        <w:ind w:firstLine="48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1.9.1 磋商小组在确定成交候选人名单后，应当编写评审报告并向采购人出具。评审报告应当包括以下主要内容：</w:t>
      </w:r>
    </w:p>
    <w:p>
      <w:pPr>
        <w:spacing w:line="360" w:lineRule="auto"/>
        <w:ind w:firstLine="482"/>
        <w:rPr>
          <w:rFonts w:hint="default" w:ascii="Times New Roman" w:hAnsi="Times New Roman" w:cs="Times New Roman"/>
          <w:snapToGrid w:val="0"/>
          <w:color w:val="auto"/>
          <w:kern w:val="0"/>
          <w:szCs w:val="21"/>
          <w:highlight w:val="none"/>
        </w:rPr>
      </w:pPr>
      <w:r>
        <w:rPr>
          <w:rFonts w:hint="default" w:ascii="Times New Roman" w:hAnsi="Times New Roman" w:cs="Times New Roman"/>
          <w:color w:val="auto"/>
          <w:kern w:val="0"/>
          <w:szCs w:val="21"/>
          <w:highlight w:val="none"/>
        </w:rPr>
        <w:t>（1）</w:t>
      </w:r>
      <w:r>
        <w:rPr>
          <w:rFonts w:hint="default" w:ascii="Times New Roman" w:hAnsi="Times New Roman" w:cs="Times New Roman"/>
          <w:snapToGrid w:val="0"/>
          <w:color w:val="auto"/>
          <w:kern w:val="0"/>
          <w:szCs w:val="21"/>
          <w:highlight w:val="none"/>
        </w:rPr>
        <w:t>邀请供应商参加采购活动的具体方式和相关情况；</w:t>
      </w:r>
    </w:p>
    <w:p>
      <w:pPr>
        <w:spacing w:line="360" w:lineRule="auto"/>
        <w:ind w:firstLine="482"/>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（2）响应文件开启日期和地点；</w:t>
      </w:r>
    </w:p>
    <w:p>
      <w:pPr>
        <w:spacing w:line="360" w:lineRule="auto"/>
        <w:ind w:firstLine="482"/>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（3）获取磋商文件的供应商名单和磋商小组成员名单；</w:t>
      </w:r>
    </w:p>
    <w:p>
      <w:pPr>
        <w:spacing w:line="360" w:lineRule="auto"/>
        <w:ind w:firstLine="482"/>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（4）评审情况记录和说明，包括对供应商的资格审查情况、供应商响应文件评审情况、磋商情况（含磋商文件实质性变动情况）、报价情况等；</w:t>
      </w:r>
    </w:p>
    <w:p>
      <w:pPr>
        <w:spacing w:line="360" w:lineRule="auto"/>
        <w:ind w:firstLine="482"/>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（5）提出的成交候选人的排序名单及理由。</w:t>
      </w:r>
    </w:p>
    <w:p>
      <w:pPr>
        <w:spacing w:line="360" w:lineRule="auto"/>
        <w:ind w:firstLine="48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（6）其他需要说明的情况，包括评审过程中供应商根据磋商小组要求进行的澄清、说明或者更正，磋商小组成员的更换等，报价最高的供应商为第一中标候选人的，对其报价合理性予以特别书面。</w:t>
      </w:r>
    </w:p>
    <w:p>
      <w:pPr>
        <w:widowControl/>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color w:val="auto"/>
          <w:kern w:val="0"/>
          <w:szCs w:val="21"/>
          <w:highlight w:val="none"/>
        </w:rPr>
        <w:t xml:space="preserve">1.9.2 </w:t>
      </w:r>
      <w:r>
        <w:rPr>
          <w:rFonts w:hint="default" w:ascii="Times New Roman" w:hAnsi="Times New Roman" w:cs="Times New Roman"/>
          <w:snapToGrid w:val="0"/>
          <w:color w:val="auto"/>
          <w:kern w:val="0"/>
          <w:szCs w:val="21"/>
          <w:highlight w:val="none"/>
        </w:rPr>
        <w:t>评审报告应当由磋商小组全体人员签字认可。磋商小组成员对评审报告有异议的，磋商小组按照少数服从多数的原则推荐成交候选人名单，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4"/>
        <w:spacing w:before="120" w:beforeLines="50" w:after="120" w:afterLines="50" w:line="360" w:lineRule="auto"/>
        <w:ind w:firstLine="0"/>
        <w:outlineLvl w:val="1"/>
        <w:rPr>
          <w:rFonts w:hint="default" w:ascii="Times New Roman" w:hAnsi="Times New Roman" w:eastAsia="黑体" w:cs="Times New Roman"/>
          <w:color w:val="auto"/>
          <w:sz w:val="32"/>
          <w:szCs w:val="32"/>
          <w:highlight w:val="none"/>
        </w:rPr>
      </w:pPr>
      <w:bookmarkStart w:id="83" w:name="_Toc1337"/>
      <w:r>
        <w:rPr>
          <w:rFonts w:hint="default" w:ascii="Times New Roman" w:hAnsi="Times New Roman" w:eastAsia="黑体" w:cs="Times New Roman"/>
          <w:color w:val="auto"/>
          <w:sz w:val="32"/>
          <w:szCs w:val="32"/>
          <w:highlight w:val="none"/>
        </w:rPr>
        <w:t>2.评审方法</w:t>
      </w:r>
      <w:bookmarkEnd w:id="83"/>
    </w:p>
    <w:p>
      <w:pPr>
        <w:pStyle w:val="4"/>
        <w:spacing w:before="120" w:beforeLines="50" w:after="120" w:afterLines="50" w:line="360" w:lineRule="auto"/>
        <w:ind w:firstLine="0"/>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2.1 综合评分法</w:t>
      </w:r>
    </w:p>
    <w:p>
      <w:pPr>
        <w:spacing w:line="360" w:lineRule="auto"/>
        <w:ind w:firstLine="411" w:firstLineChars="196"/>
        <w:rPr>
          <w:rFonts w:hint="default" w:ascii="Times New Roman" w:hAnsi="Times New Roman" w:cs="Times New Roman"/>
          <w:snapToGrid w:val="0"/>
          <w:color w:val="auto"/>
          <w:kern w:val="0"/>
          <w:szCs w:val="21"/>
          <w:highlight w:val="none"/>
        </w:rPr>
      </w:pPr>
      <w:r>
        <w:rPr>
          <w:rFonts w:hint="default" w:ascii="Times New Roman" w:hAnsi="Times New Roman" w:cs="Times New Roman"/>
          <w:color w:val="auto"/>
          <w:szCs w:val="21"/>
          <w:highlight w:val="none"/>
        </w:rPr>
        <w:t>2.1.1 本采购项目评审方法采用综合评分法，</w:t>
      </w:r>
      <w:r>
        <w:rPr>
          <w:rFonts w:hint="default" w:ascii="Times New Roman" w:hAnsi="Times New Roman" w:cs="Times New Roman"/>
          <w:snapToGrid w:val="0"/>
          <w:color w:val="auto"/>
          <w:kern w:val="0"/>
          <w:szCs w:val="21"/>
          <w:highlight w:val="none"/>
        </w:rPr>
        <w:t>是指响应文件满足磋商文件全部实质性要求且按评审因素的量化指标评审得分最高的供应商为成交候选供应商的评审方法。</w:t>
      </w:r>
    </w:p>
    <w:p>
      <w:pPr>
        <w:pStyle w:val="4"/>
        <w:spacing w:line="360" w:lineRule="auto"/>
        <w:ind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2.1.2 综合评分法评审标准中的分值设置应当与评审因素的量化指标相对应。磋商文件中没有规定的评审标准不得作为评审依据。</w:t>
      </w:r>
    </w:p>
    <w:p>
      <w:pPr>
        <w:widowControl/>
        <w:autoSpaceDE w:val="0"/>
        <w:autoSpaceDN w:val="0"/>
        <w:spacing w:before="120" w:beforeLines="50" w:after="120" w:afterLines="50" w:line="360" w:lineRule="auto"/>
        <w:ind w:right="51"/>
        <w:textAlignment w:val="bottom"/>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2.2 评审细则及标准</w:t>
      </w:r>
    </w:p>
    <w:p>
      <w:pPr>
        <w:tabs>
          <w:tab w:val="left" w:pos="0"/>
        </w:tabs>
        <w:adjustRightInd w:val="0"/>
        <w:snapToGrid w:val="0"/>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2.2.1 评审因素</w:t>
      </w:r>
    </w:p>
    <w:p>
      <w:pPr>
        <w:adjustRightInd w:val="0"/>
        <w:snapToGrid w:val="0"/>
        <w:spacing w:before="120" w:beforeLines="50" w:line="360" w:lineRule="auto"/>
        <w:ind w:firstLine="420" w:firstLineChars="200"/>
        <w:jc w:val="left"/>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本采购项目评审因素包括：</w:t>
      </w:r>
      <w:r>
        <w:rPr>
          <w:rFonts w:hint="default" w:ascii="Times New Roman" w:hAnsi="Times New Roman" w:cs="Times New Roman"/>
          <w:b/>
          <w:color w:val="auto"/>
          <w:kern w:val="0"/>
          <w:szCs w:val="21"/>
          <w:highlight w:val="none"/>
        </w:rPr>
        <w:t>磋商报价、</w:t>
      </w:r>
      <w:r>
        <w:rPr>
          <w:rFonts w:hint="default" w:ascii="Times New Roman" w:hAnsi="Times New Roman" w:cs="Times New Roman"/>
          <w:b/>
          <w:color w:val="auto"/>
          <w:kern w:val="0"/>
          <w:szCs w:val="21"/>
          <w:highlight w:val="none"/>
          <w:lang w:val="en-US" w:eastAsia="zh-CN"/>
        </w:rPr>
        <w:t>技术响应</w:t>
      </w:r>
      <w:r>
        <w:rPr>
          <w:rFonts w:hint="default" w:ascii="Times New Roman" w:hAnsi="Times New Roman" w:cs="Times New Roman"/>
          <w:b/>
          <w:color w:val="auto"/>
          <w:kern w:val="0"/>
          <w:szCs w:val="21"/>
          <w:highlight w:val="none"/>
        </w:rPr>
        <w:t>、履约能力</w:t>
      </w:r>
      <w:r>
        <w:rPr>
          <w:rFonts w:hint="default" w:ascii="Times New Roman" w:hAnsi="Times New Roman" w:cs="Times New Roman"/>
          <w:b/>
          <w:color w:val="auto"/>
          <w:kern w:val="0"/>
          <w:szCs w:val="21"/>
          <w:highlight w:val="none"/>
          <w:lang w:eastAsia="zh-CN"/>
        </w:rPr>
        <w:t>、</w:t>
      </w:r>
      <w:r>
        <w:rPr>
          <w:rFonts w:hint="default" w:ascii="Times New Roman" w:hAnsi="Times New Roman" w:cs="Times New Roman"/>
          <w:b/>
          <w:color w:val="auto"/>
          <w:kern w:val="0"/>
          <w:szCs w:val="21"/>
          <w:highlight w:val="none"/>
          <w:lang w:val="en-US" w:eastAsia="zh-CN"/>
        </w:rPr>
        <w:t>售后服务、业绩证明</w:t>
      </w:r>
      <w:r>
        <w:rPr>
          <w:rFonts w:hint="default" w:ascii="Times New Roman" w:hAnsi="Times New Roman" w:cs="Times New Roman"/>
          <w:color w:val="auto"/>
          <w:kern w:val="0"/>
          <w:szCs w:val="21"/>
          <w:highlight w:val="none"/>
        </w:rPr>
        <w:t>等</w:t>
      </w:r>
      <w:r>
        <w:rPr>
          <w:rFonts w:hint="default" w:ascii="Times New Roman" w:hAnsi="Times New Roman" w:cs="Times New Roman"/>
          <w:color w:val="auto"/>
          <w:szCs w:val="21"/>
          <w:highlight w:val="none"/>
        </w:rPr>
        <w:t>对磋商文件的响应程度，以及相应的比重或者权值等，但不包括第二章第3.1条</w:t>
      </w:r>
      <w:r>
        <w:rPr>
          <w:rFonts w:hint="default" w:ascii="Times New Roman" w:hAnsi="Times New Roman" w:cs="Times New Roman"/>
          <w:color w:val="auto"/>
          <w:kern w:val="0"/>
          <w:szCs w:val="21"/>
          <w:highlight w:val="none"/>
          <w:lang w:val="zh-CN"/>
        </w:rPr>
        <w:t>款</w:t>
      </w:r>
      <w:r>
        <w:rPr>
          <w:rFonts w:hint="default" w:ascii="Times New Roman" w:hAnsi="Times New Roman" w:cs="Times New Roman"/>
          <w:color w:val="auto"/>
          <w:szCs w:val="21"/>
          <w:highlight w:val="none"/>
        </w:rPr>
        <w:t>规定的供应商资格条件。</w:t>
      </w:r>
      <w:r>
        <w:rPr>
          <w:rFonts w:hint="default" w:ascii="Times New Roman" w:hAnsi="Times New Roman" w:cs="Times New Roman"/>
          <w:bCs/>
          <w:color w:val="auto"/>
          <w:szCs w:val="21"/>
          <w:highlight w:val="none"/>
        </w:rPr>
        <w:t>项目的评标因素和标准见 “综合评分明细表”。</w:t>
      </w:r>
    </w:p>
    <w:p>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2.2.2 磋商报价评审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2.2.2.1供应商的价格分，按照财政部财库</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2014</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214号文件第二十四条和财库</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2020</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46号文件的规定，采用低价优先法计算，以本次满足磋商文件要求的</w:t>
      </w:r>
      <w:r>
        <w:rPr>
          <w:rFonts w:hint="default" w:ascii="Times New Roman" w:hAnsi="Times New Roman" w:cs="Times New Roman"/>
          <w:b/>
          <w:color w:val="auto"/>
          <w:szCs w:val="21"/>
          <w:highlight w:val="none"/>
        </w:rPr>
        <w:t>最低最后磋商报价为磋商基准价</w:t>
      </w:r>
      <w:r>
        <w:rPr>
          <w:rFonts w:hint="default" w:ascii="Times New Roman" w:hAnsi="Times New Roman" w:cs="Times New Roman"/>
          <w:color w:val="auto"/>
          <w:szCs w:val="21"/>
          <w:highlight w:val="none"/>
        </w:rPr>
        <w:t>，其磋商报价为满分。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2.2.2.2供应商的磋商报价得分，统一按照下列公式</w:t>
      </w:r>
      <w:r>
        <w:rPr>
          <w:rFonts w:hint="default" w:ascii="Times New Roman" w:hAnsi="Times New Roman" w:cs="Times New Roman"/>
          <w:bCs/>
          <w:color w:val="auto"/>
          <w:szCs w:val="21"/>
          <w:highlight w:val="none"/>
        </w:rPr>
        <w:t>计算：</w:t>
      </w:r>
    </w:p>
    <w:p>
      <w:pPr>
        <w:pStyle w:val="9"/>
        <w:keepNext w:val="0"/>
        <w:keepLines w:val="0"/>
        <w:pageBreakBefore w:val="0"/>
        <w:widowControl/>
        <w:tabs>
          <w:tab w:val="left" w:pos="1506"/>
        </w:tabs>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磋商评审价=最后报价×（1-报价扣除幅度）</w:t>
      </w:r>
    </w:p>
    <w:p>
      <w:pPr>
        <w:keepNext w:val="0"/>
        <w:keepLines w:val="0"/>
        <w:pageBreakBefore w:val="0"/>
        <w:kinsoku/>
        <w:wordWrap/>
        <w:overflowPunct/>
        <w:topLinePunct w:val="0"/>
        <w:autoSpaceDE/>
        <w:autoSpaceDN/>
        <w:bidi w:val="0"/>
        <w:spacing w:line="360" w:lineRule="auto"/>
        <w:ind w:firstLine="422" w:firstLineChars="200"/>
        <w:textAlignment w:val="auto"/>
        <w:rPr>
          <w:rFonts w:hint="default" w:ascii="Times New Roman" w:hAnsi="Times New Roman" w:cs="Times New Roman"/>
          <w:b/>
          <w:color w:val="000000"/>
          <w:szCs w:val="21"/>
          <w:highlight w:val="none"/>
        </w:rPr>
      </w:pPr>
      <w:r>
        <w:rPr>
          <w:rFonts w:hint="default" w:ascii="Times New Roman" w:hAnsi="Times New Roman" w:cs="Times New Roman"/>
          <w:b/>
          <w:color w:val="000000"/>
          <w:szCs w:val="21"/>
          <w:highlight w:val="none"/>
        </w:rPr>
        <w:t>最后报价得分=(磋商基准价／最后报价)×100×价格权重</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2.2.2.3 供应商报价扣除幅度如下：</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（1）供应商提供的货物全部为小微企业制造的，给予最后报价扣除</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u w:val="single"/>
          <w:lang w:val="en-US" w:eastAsia="zh-CN"/>
        </w:rPr>
        <w:t>10</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u w:val="single"/>
          <w:lang w:val="en-US" w:eastAsia="zh-CN"/>
        </w:rPr>
        <w:t xml:space="preserve"> </w:t>
      </w:r>
      <w:r>
        <w:rPr>
          <w:rFonts w:hint="default" w:ascii="Times New Roman" w:hAnsi="Times New Roman" w:cs="Times New Roman"/>
          <w:szCs w:val="21"/>
          <w:highlight w:val="none"/>
        </w:rPr>
        <w:t>优惠政策，只要有大中型企业制造货物的，就不得享受价格扣除优惠政策。</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szCs w:val="21"/>
          <w:highlight w:val="none"/>
        </w:rPr>
      </w:pPr>
      <w:r>
        <w:rPr>
          <w:rFonts w:hint="default" w:ascii="Times New Roman" w:hAnsi="Times New Roman" w:cs="Times New Roman"/>
          <w:kern w:val="0"/>
          <w:szCs w:val="21"/>
          <w:highlight w:val="none"/>
        </w:rPr>
        <w:t>（2）供应商须知前附表规定接受联合体磋商的，对于联合体协议中约定任意一方提供的货物全部由小</w:t>
      </w:r>
      <w:r>
        <w:rPr>
          <w:rFonts w:hint="default" w:ascii="Times New Roman" w:hAnsi="Times New Roman" w:cs="Times New Roman"/>
          <w:szCs w:val="21"/>
          <w:highlight w:val="none"/>
        </w:rPr>
        <w:t>微企业制造，且占采购合同总金额30%</w:t>
      </w:r>
      <w:r>
        <w:rPr>
          <w:rFonts w:hint="default" w:ascii="Times New Roman" w:hAnsi="Times New Roman" w:cs="Times New Roman"/>
          <w:szCs w:val="21"/>
          <w:highlight w:val="none"/>
          <w:lang w:eastAsia="zh-CN"/>
        </w:rPr>
        <w:t>以上的</w:t>
      </w:r>
      <w:r>
        <w:rPr>
          <w:rFonts w:hint="default" w:ascii="Times New Roman" w:hAnsi="Times New Roman" w:cs="Times New Roman"/>
          <w:szCs w:val="21"/>
          <w:highlight w:val="none"/>
        </w:rPr>
        <w:t>，给予最后报价扣除</w:t>
      </w:r>
      <w:r>
        <w:rPr>
          <w:rFonts w:hint="default" w:ascii="Times New Roman" w:hAnsi="Times New Roman" w:cs="Times New Roman"/>
          <w:szCs w:val="21"/>
          <w:highlight w:val="none"/>
          <w:lang w:val="en-US" w:eastAsia="zh-CN"/>
        </w:rPr>
        <w:t>3</w:t>
      </w:r>
      <w:r>
        <w:rPr>
          <w:rFonts w:hint="default" w:ascii="Times New Roman" w:hAnsi="Times New Roman" w:cs="Times New Roman"/>
          <w:szCs w:val="21"/>
          <w:highlight w:val="none"/>
        </w:rPr>
        <w:t>%优惠政策。</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（3）供应商须知前附表规定允许大中型企业向一家或者多家小微企业分包的，对于分包意向协议约定小微企业的合同份额占到合同总金额30%</w:t>
      </w:r>
      <w:r>
        <w:rPr>
          <w:rFonts w:hint="default" w:ascii="Times New Roman" w:hAnsi="Times New Roman" w:cs="Times New Roman"/>
          <w:szCs w:val="21"/>
          <w:highlight w:val="none"/>
          <w:lang w:eastAsia="zh-CN"/>
        </w:rPr>
        <w:t>以上的</w:t>
      </w:r>
      <w:r>
        <w:rPr>
          <w:rFonts w:hint="default" w:ascii="Times New Roman" w:hAnsi="Times New Roman" w:cs="Times New Roman"/>
          <w:szCs w:val="21"/>
          <w:highlight w:val="none"/>
        </w:rPr>
        <w:t>，给予最后报价扣除</w:t>
      </w:r>
      <w:r>
        <w:rPr>
          <w:rFonts w:hint="default" w:ascii="Times New Roman" w:hAnsi="Times New Roman" w:cs="Times New Roman"/>
          <w:szCs w:val="21"/>
          <w:highlight w:val="none"/>
          <w:lang w:val="en-US" w:eastAsia="zh-CN"/>
        </w:rPr>
        <w:t>3</w:t>
      </w:r>
      <w:r>
        <w:rPr>
          <w:rFonts w:hint="default" w:ascii="Times New Roman" w:hAnsi="Times New Roman" w:cs="Times New Roman"/>
          <w:szCs w:val="21"/>
          <w:highlight w:val="none"/>
        </w:rPr>
        <w:t xml:space="preserve">%优惠政策。 </w:t>
      </w:r>
    </w:p>
    <w:p>
      <w:pPr>
        <w:pStyle w:val="9"/>
        <w:keepNext w:val="0"/>
        <w:keepLines w:val="0"/>
        <w:pageBreakBefore w:val="0"/>
        <w:widowControl/>
        <w:tabs>
          <w:tab w:val="left" w:pos="1506"/>
        </w:tabs>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 xml:space="preserve">2.2.3 </w:t>
      </w:r>
      <w:r>
        <w:rPr>
          <w:rFonts w:hint="default" w:ascii="Times New Roman" w:hAnsi="Times New Roman" w:cs="Times New Roman"/>
          <w:b/>
          <w:bCs/>
          <w:color w:val="auto"/>
          <w:sz w:val="21"/>
          <w:szCs w:val="21"/>
          <w:highlight w:val="none"/>
          <w:lang w:val="en-US" w:eastAsia="zh-CN"/>
        </w:rPr>
        <w:t>技术响应</w:t>
      </w:r>
      <w:r>
        <w:rPr>
          <w:rFonts w:hint="default" w:ascii="Times New Roman" w:hAnsi="Times New Roman" w:cs="Times New Roman"/>
          <w:b/>
          <w:bCs/>
          <w:color w:val="auto"/>
          <w:sz w:val="21"/>
          <w:szCs w:val="21"/>
          <w:highlight w:val="none"/>
        </w:rPr>
        <w:t>、履约能力</w:t>
      </w:r>
      <w:r>
        <w:rPr>
          <w:rFonts w:hint="default" w:ascii="Times New Roman" w:hAnsi="Times New Roman" w:cs="Times New Roman"/>
          <w:b/>
          <w:bCs/>
          <w:color w:val="auto"/>
          <w:sz w:val="21"/>
          <w:szCs w:val="21"/>
          <w:highlight w:val="none"/>
          <w:lang w:eastAsia="zh-CN"/>
        </w:rPr>
        <w:t>、</w:t>
      </w:r>
      <w:r>
        <w:rPr>
          <w:rFonts w:hint="default" w:ascii="Times New Roman" w:hAnsi="Times New Roman" w:cs="Times New Roman"/>
          <w:b/>
          <w:bCs/>
          <w:color w:val="auto"/>
          <w:sz w:val="21"/>
          <w:szCs w:val="21"/>
          <w:highlight w:val="none"/>
          <w:lang w:val="en-US" w:eastAsia="zh-CN"/>
        </w:rPr>
        <w:t>售后服务、业绩证明</w:t>
      </w:r>
      <w:r>
        <w:rPr>
          <w:rFonts w:hint="default" w:ascii="Times New Roman" w:hAnsi="Times New Roman" w:cs="Times New Roman"/>
          <w:b/>
          <w:bCs/>
          <w:color w:val="auto"/>
          <w:sz w:val="21"/>
          <w:szCs w:val="21"/>
          <w:highlight w:val="none"/>
        </w:rPr>
        <w:t>及政府采购政策得分</w:t>
      </w:r>
    </w:p>
    <w:p>
      <w:pPr>
        <w:pStyle w:val="9"/>
        <w:keepNext w:val="0"/>
        <w:keepLines w:val="0"/>
        <w:pageBreakBefore w:val="0"/>
        <w:widowControl/>
        <w:tabs>
          <w:tab w:val="left" w:pos="1506"/>
        </w:tabs>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2.2.3.1技术、商务等评分项响应评分。按照 “综合评分明细表”规定的评审因素和标准，对技术、商务等评分项计算得分。</w:t>
      </w:r>
    </w:p>
    <w:p>
      <w:pPr>
        <w:pStyle w:val="9"/>
        <w:keepNext w:val="0"/>
        <w:keepLines w:val="0"/>
        <w:pageBreakBefore w:val="0"/>
        <w:widowControl/>
        <w:tabs>
          <w:tab w:val="left" w:pos="1506"/>
        </w:tabs>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2.2.3.2如本服务项目含有货物采购的，且供应商提供货物（产品）</w:t>
      </w:r>
      <w:r>
        <w:rPr>
          <w:rFonts w:hint="default" w:ascii="Times New Roman" w:hAnsi="Times New Roman" w:cs="Times New Roman"/>
          <w:color w:val="auto"/>
          <w:sz w:val="21"/>
          <w:szCs w:val="21"/>
          <w:highlight w:val="none"/>
        </w:rPr>
        <w:t>需落实政府采购政策（优先采购）的，对符合第二章第3.4.1条款规定条件的供应商，</w:t>
      </w:r>
      <w:r>
        <w:rPr>
          <w:rFonts w:hint="default" w:ascii="Times New Roman" w:hAnsi="Times New Roman" w:cs="Times New Roman"/>
          <w:bCs/>
          <w:color w:val="auto"/>
          <w:sz w:val="21"/>
          <w:szCs w:val="21"/>
          <w:highlight w:val="none"/>
        </w:rPr>
        <w:t>按照 “综合评分明细表”的</w:t>
      </w:r>
      <w:r>
        <w:rPr>
          <w:rFonts w:hint="default" w:ascii="Times New Roman" w:hAnsi="Times New Roman" w:cs="Times New Roman"/>
          <w:color w:val="auto"/>
          <w:sz w:val="21"/>
          <w:szCs w:val="21"/>
          <w:highlight w:val="none"/>
        </w:rPr>
        <w:t>相关规定进行</w:t>
      </w:r>
      <w:r>
        <w:rPr>
          <w:rFonts w:hint="default" w:ascii="Times New Roman" w:hAnsi="Times New Roman" w:cs="Times New Roman"/>
          <w:color w:val="auto"/>
          <w:sz w:val="21"/>
          <w:szCs w:val="21"/>
          <w:highlight w:val="none"/>
          <w:lang w:eastAsia="zh-CN"/>
        </w:rPr>
        <w:t>技术要求</w:t>
      </w:r>
      <w:r>
        <w:rPr>
          <w:rFonts w:hint="default" w:ascii="Times New Roman" w:hAnsi="Times New Roman" w:cs="Times New Roman"/>
          <w:color w:val="auto"/>
          <w:sz w:val="21"/>
          <w:szCs w:val="21"/>
          <w:highlight w:val="none"/>
        </w:rPr>
        <w:t>得分计算。</w:t>
      </w:r>
    </w:p>
    <w:p>
      <w:pPr>
        <w:pStyle w:val="9"/>
        <w:keepNext w:val="0"/>
        <w:keepLines w:val="0"/>
        <w:pageBreakBefore w:val="0"/>
        <w:widowControl/>
        <w:tabs>
          <w:tab w:val="left" w:pos="1506"/>
        </w:tabs>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2.2.4 评审总得分</w:t>
      </w:r>
    </w:p>
    <w:p>
      <w:pPr>
        <w:pStyle w:val="9"/>
        <w:keepNext w:val="0"/>
        <w:keepLines w:val="0"/>
        <w:pageBreakBefore w:val="0"/>
        <w:widowControl/>
        <w:tabs>
          <w:tab w:val="left" w:pos="1506"/>
        </w:tabs>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2.2.4.1 评审总得分为磋商报价、</w:t>
      </w:r>
      <w:r>
        <w:rPr>
          <w:rFonts w:hint="default" w:ascii="Times New Roman" w:hAnsi="Times New Roman" w:cs="Times New Roman"/>
          <w:bCs/>
          <w:color w:val="auto"/>
          <w:sz w:val="21"/>
          <w:szCs w:val="21"/>
          <w:highlight w:val="none"/>
          <w:lang w:val="en-US" w:eastAsia="zh-CN"/>
        </w:rPr>
        <w:t>技术响应</w:t>
      </w:r>
      <w:r>
        <w:rPr>
          <w:rFonts w:hint="default" w:ascii="Times New Roman" w:hAnsi="Times New Roman" w:cs="Times New Roman"/>
          <w:bCs/>
          <w:color w:val="auto"/>
          <w:sz w:val="21"/>
          <w:szCs w:val="21"/>
          <w:highlight w:val="none"/>
        </w:rPr>
        <w:t>、履约能力</w:t>
      </w:r>
      <w:r>
        <w:rPr>
          <w:rFonts w:hint="default"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lang w:val="en-US" w:eastAsia="zh-CN"/>
        </w:rPr>
        <w:t>售后服务、业绩证明</w:t>
      </w:r>
      <w:r>
        <w:rPr>
          <w:rFonts w:hint="default" w:ascii="Times New Roman" w:hAnsi="Times New Roman" w:cs="Times New Roman"/>
          <w:bCs/>
          <w:color w:val="auto"/>
          <w:sz w:val="21"/>
          <w:szCs w:val="21"/>
          <w:highlight w:val="none"/>
        </w:rPr>
        <w:t>等评分项得分之和。评审总得分按下例公式计算：</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评审总得分＝F1＋F2＋……＋Fn</w:t>
      </w:r>
    </w:p>
    <w:p>
      <w:pPr>
        <w:pStyle w:val="9"/>
        <w:keepNext w:val="0"/>
        <w:keepLines w:val="0"/>
        <w:pageBreakBefore w:val="0"/>
        <w:widowControl/>
        <w:tabs>
          <w:tab w:val="left" w:pos="1506"/>
        </w:tabs>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F1、F2……Fn分别为各项评审因素的汇总得分</w:t>
      </w:r>
    </w:p>
    <w:p>
      <w:pPr>
        <w:pStyle w:val="9"/>
        <w:keepNext w:val="0"/>
        <w:keepLines w:val="0"/>
        <w:pageBreakBefore w:val="0"/>
        <w:widowControl/>
        <w:tabs>
          <w:tab w:val="left" w:pos="1506"/>
        </w:tabs>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2.2.4.2评审过程中，不得去掉报价中的最高报价和最低报价。</w:t>
      </w:r>
    </w:p>
    <w:p>
      <w:pPr>
        <w:pStyle w:val="9"/>
        <w:keepNext w:val="0"/>
        <w:keepLines w:val="0"/>
        <w:pageBreakBefore w:val="0"/>
        <w:widowControl/>
        <w:tabs>
          <w:tab w:val="left" w:pos="1506"/>
        </w:tabs>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2.2.4.3</w:t>
      </w:r>
      <w:r>
        <w:rPr>
          <w:rFonts w:hint="default" w:ascii="Times New Roman" w:hAnsi="Times New Roman" w:cs="Times New Roman"/>
          <w:color w:val="auto"/>
          <w:sz w:val="21"/>
          <w:szCs w:val="21"/>
          <w:highlight w:val="none"/>
        </w:rPr>
        <w:t>评审时，磋商小组成员应当独立对满足磋商文件全部实质性要求供应商的</w:t>
      </w:r>
      <w:r>
        <w:rPr>
          <w:rFonts w:hint="default" w:ascii="Times New Roman" w:hAnsi="Times New Roman" w:cs="Times New Roman"/>
          <w:bCs/>
          <w:color w:val="auto"/>
          <w:sz w:val="21"/>
          <w:szCs w:val="21"/>
          <w:highlight w:val="none"/>
        </w:rPr>
        <w:t>响应文件</w:t>
      </w:r>
      <w:r>
        <w:rPr>
          <w:rFonts w:hint="default" w:ascii="Times New Roman" w:hAnsi="Times New Roman" w:cs="Times New Roman"/>
          <w:color w:val="auto"/>
          <w:sz w:val="21"/>
          <w:szCs w:val="21"/>
          <w:highlight w:val="none"/>
        </w:rPr>
        <w:t>进行评价、评分，然后汇总每个供应商每项评分因素的得分。每个供应商的最终得分为所有磋商小组成员评分的算术平均值。</w:t>
      </w:r>
    </w:p>
    <w:p>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2.2.5 非实质性偏离（非技术参数）</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非实质性偏离（非技术参数）是指响应文件在实质上响应磋商文件的要求，但在个别地方存在一些不规则、不一致、不完整的内容，并且澄清、说明或者补正这些内容不会改变响应文件的实质性内容。以下情况属于非实质性偏离：</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（1）文字表述的内容含义不明确；</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（2）同类问题表述不一致；</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（3）有明显文字和计算错误；</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（4）提供的服务信息和数据资料不完整；</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（5）正副本数量齐全、密封完好，只是未按照磋商文件要求进行分装或者统装；</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）响应文件未按磋商文件要求进行装订或未编制目录、页码或者页码混乱；</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7</w:t>
      </w:r>
      <w:r>
        <w:rPr>
          <w:rFonts w:hint="default" w:ascii="Times New Roman" w:hAnsi="Times New Roman" w:cs="Times New Roman"/>
          <w:color w:val="auto"/>
          <w:szCs w:val="21"/>
          <w:highlight w:val="none"/>
        </w:rPr>
        <w:t>）磋商小组认定的其他非实质性偏离。</w:t>
      </w:r>
    </w:p>
    <w:p>
      <w:pPr>
        <w:tabs>
          <w:tab w:val="left" w:pos="766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文件有上述（1）至（4）情形之一的，磋商小组应当书面要求供应商在规定的时间内予以澄清、说明或补正。供应商拒不或在规定的时间内没有进行澄清、说明或补正或澄清、说明、补正的内容也不能说明问题的，视为响应文件制作不规范，按每一项非实质性偏离进行扣分处理，直至该项分值扣完为止。</w:t>
      </w:r>
    </w:p>
    <w:p>
      <w:pPr>
        <w:tabs>
          <w:tab w:val="left" w:pos="7665"/>
        </w:tabs>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2.2.6综合评分明细表</w:t>
      </w:r>
    </w:p>
    <w:p>
      <w:pPr>
        <w:tabs>
          <w:tab w:val="left" w:pos="7665"/>
        </w:tabs>
        <w:spacing w:line="360" w:lineRule="auto"/>
        <w:ind w:firstLine="735" w:firstLineChars="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2.2.6.1综合评分明细表的制定以科学合理、降低磋商小组自由裁量权为原则。</w:t>
      </w:r>
    </w:p>
    <w:p>
      <w:pPr>
        <w:tabs>
          <w:tab w:val="left" w:pos="7665"/>
        </w:tabs>
        <w:spacing w:line="360" w:lineRule="auto"/>
        <w:ind w:firstLine="735" w:firstLineChars="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2.2.6.2 综合评分明细表</w:t>
      </w:r>
    </w:p>
    <w:p>
      <w:pPr>
        <w:pStyle w:val="7"/>
        <w:tabs>
          <w:tab w:val="left" w:pos="600"/>
        </w:tabs>
        <w:spacing w:before="240" w:beforeLines="100" w:line="360" w:lineRule="auto"/>
        <w:ind w:firstLine="0"/>
        <w:jc w:val="center"/>
        <w:rPr>
          <w:rFonts w:hint="default" w:ascii="Times New Roman" w:hAnsi="Times New Roman" w:cs="Times New Roman"/>
          <w:b/>
          <w:color w:val="auto"/>
          <w:szCs w:val="32"/>
          <w:highlight w:val="none"/>
        </w:rPr>
      </w:pPr>
      <w:r>
        <w:rPr>
          <w:rFonts w:hint="default" w:ascii="Times New Roman" w:hAnsi="Times New Roman" w:cs="Times New Roman"/>
          <w:b/>
          <w:color w:val="auto"/>
          <w:szCs w:val="32"/>
          <w:highlight w:val="none"/>
        </w:rPr>
        <w:t>综合评分明细表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140"/>
        <w:gridCol w:w="754"/>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51" w:type="dxa"/>
            <w:noWrap w:val="0"/>
            <w:vAlign w:val="center"/>
          </w:tcPr>
          <w:p>
            <w:pPr>
              <w:pStyle w:val="7"/>
              <w:tabs>
                <w:tab w:val="left" w:pos="600"/>
              </w:tabs>
              <w:spacing w:line="400" w:lineRule="exact"/>
              <w:ind w:firstLine="0"/>
              <w:jc w:val="center"/>
              <w:rPr>
                <w:rFonts w:hint="default" w:ascii="Times New Roman" w:hAnsi="Times New Roman" w:eastAsia="宋体" w:cs="Times New Roman"/>
                <w:b/>
                <w:color w:val="000000"/>
                <w:sz w:val="21"/>
                <w:szCs w:val="21"/>
                <w:highlight w:val="none"/>
                <w:lang w:val="en-US" w:eastAsia="zh-CN"/>
              </w:rPr>
            </w:pPr>
            <w:r>
              <w:rPr>
                <w:rFonts w:hint="default" w:ascii="Times New Roman" w:hAnsi="Times New Roman" w:eastAsia="宋体" w:cs="Times New Roman"/>
                <w:b/>
                <w:color w:val="000000"/>
                <w:sz w:val="21"/>
                <w:szCs w:val="21"/>
                <w:highlight w:val="none"/>
                <w:lang w:val="en-US" w:eastAsia="zh-CN"/>
              </w:rPr>
              <w:t>序号</w:t>
            </w:r>
          </w:p>
        </w:tc>
        <w:tc>
          <w:tcPr>
            <w:tcW w:w="1140" w:type="dxa"/>
            <w:noWrap w:val="0"/>
            <w:vAlign w:val="center"/>
          </w:tcPr>
          <w:p>
            <w:pPr>
              <w:pStyle w:val="7"/>
              <w:tabs>
                <w:tab w:val="left" w:pos="600"/>
              </w:tabs>
              <w:spacing w:line="400" w:lineRule="exact"/>
              <w:ind w:firstLine="0"/>
              <w:jc w:val="center"/>
              <w:rPr>
                <w:rFonts w:hint="default" w:ascii="Times New Roman" w:hAnsi="Times New Roman" w:eastAsia="宋体" w:cs="Times New Roman"/>
                <w:b/>
                <w:color w:val="000000"/>
                <w:sz w:val="21"/>
                <w:szCs w:val="21"/>
                <w:highlight w:val="none"/>
                <w:lang w:val="en-US" w:eastAsia="zh-CN"/>
              </w:rPr>
            </w:pPr>
            <w:r>
              <w:rPr>
                <w:rFonts w:hint="default" w:ascii="Times New Roman" w:hAnsi="Times New Roman" w:eastAsia="宋体" w:cs="Times New Roman"/>
                <w:b/>
                <w:color w:val="000000"/>
                <w:sz w:val="21"/>
                <w:szCs w:val="21"/>
                <w:highlight w:val="none"/>
                <w:lang w:val="en-US" w:eastAsia="zh-CN"/>
              </w:rPr>
              <w:t>评审因素</w:t>
            </w:r>
          </w:p>
        </w:tc>
        <w:tc>
          <w:tcPr>
            <w:tcW w:w="754" w:type="dxa"/>
            <w:noWrap w:val="0"/>
            <w:vAlign w:val="center"/>
          </w:tcPr>
          <w:p>
            <w:pPr>
              <w:pStyle w:val="7"/>
              <w:tabs>
                <w:tab w:val="left" w:pos="600"/>
              </w:tabs>
              <w:spacing w:line="400" w:lineRule="exact"/>
              <w:ind w:firstLine="0"/>
              <w:jc w:val="center"/>
              <w:rPr>
                <w:rFonts w:hint="default" w:ascii="Times New Roman" w:hAnsi="Times New Roman" w:eastAsia="宋体" w:cs="Times New Roman"/>
                <w:b/>
                <w:color w:val="000000"/>
                <w:sz w:val="21"/>
                <w:szCs w:val="21"/>
                <w:highlight w:val="none"/>
                <w:lang w:val="en-US" w:eastAsia="zh-CN"/>
              </w:rPr>
            </w:pPr>
            <w:r>
              <w:rPr>
                <w:rFonts w:hint="default" w:ascii="Times New Roman" w:hAnsi="Times New Roman" w:eastAsia="宋体" w:cs="Times New Roman"/>
                <w:b/>
                <w:color w:val="000000"/>
                <w:sz w:val="21"/>
                <w:szCs w:val="21"/>
                <w:highlight w:val="none"/>
                <w:lang w:val="en-US" w:eastAsia="zh-CN"/>
              </w:rPr>
              <w:t>分值</w:t>
            </w:r>
          </w:p>
        </w:tc>
        <w:tc>
          <w:tcPr>
            <w:tcW w:w="7088" w:type="dxa"/>
            <w:noWrap w:val="0"/>
            <w:vAlign w:val="center"/>
          </w:tcPr>
          <w:p>
            <w:pPr>
              <w:pStyle w:val="7"/>
              <w:tabs>
                <w:tab w:val="left" w:pos="600"/>
              </w:tabs>
              <w:spacing w:line="400" w:lineRule="exact"/>
              <w:ind w:firstLine="0"/>
              <w:jc w:val="center"/>
              <w:rPr>
                <w:rFonts w:hint="default" w:ascii="Times New Roman" w:hAnsi="Times New Roman" w:eastAsia="宋体" w:cs="Times New Roman"/>
                <w:b/>
                <w:color w:val="000000"/>
                <w:sz w:val="21"/>
                <w:szCs w:val="21"/>
                <w:highlight w:val="none"/>
                <w:lang w:val="en-US" w:eastAsia="zh-CN"/>
              </w:rPr>
            </w:pPr>
            <w:r>
              <w:rPr>
                <w:rFonts w:hint="default" w:ascii="Times New Roman" w:hAnsi="Times New Roman" w:eastAsia="宋体" w:cs="Times New Roman"/>
                <w:b/>
                <w:color w:val="000000"/>
                <w:sz w:val="21"/>
                <w:szCs w:val="21"/>
                <w:highlight w:val="none"/>
                <w:lang w:val="en-US" w:eastAsia="zh-CN"/>
              </w:rPr>
              <w:t xml:space="preserve">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51" w:type="dxa"/>
            <w:noWrap w:val="0"/>
            <w:vAlign w:val="center"/>
          </w:tcPr>
          <w:p>
            <w:pPr>
              <w:pStyle w:val="7"/>
              <w:tabs>
                <w:tab w:val="left" w:pos="600"/>
              </w:tabs>
              <w:spacing w:line="400" w:lineRule="exact"/>
              <w:ind w:firstLine="0"/>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1</w:t>
            </w:r>
          </w:p>
        </w:tc>
        <w:tc>
          <w:tcPr>
            <w:tcW w:w="1140" w:type="dxa"/>
            <w:noWrap w:val="0"/>
            <w:vAlign w:val="center"/>
          </w:tcPr>
          <w:p>
            <w:pPr>
              <w:pStyle w:val="7"/>
              <w:tabs>
                <w:tab w:val="left" w:pos="600"/>
              </w:tabs>
              <w:spacing w:line="400" w:lineRule="exact"/>
              <w:ind w:firstLine="0"/>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 xml:space="preserve">最后报价 </w:t>
            </w:r>
          </w:p>
        </w:tc>
        <w:tc>
          <w:tcPr>
            <w:tcW w:w="754" w:type="dxa"/>
            <w:noWrap w:val="0"/>
            <w:vAlign w:val="center"/>
          </w:tcPr>
          <w:p>
            <w:pPr>
              <w:pStyle w:val="7"/>
              <w:tabs>
                <w:tab w:val="left" w:pos="600"/>
              </w:tabs>
              <w:spacing w:line="400" w:lineRule="exact"/>
              <w:ind w:firstLine="0"/>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30</w:t>
            </w:r>
          </w:p>
        </w:tc>
        <w:tc>
          <w:tcPr>
            <w:tcW w:w="7088" w:type="dxa"/>
            <w:noWrap w:val="0"/>
            <w:vAlign w:val="center"/>
          </w:tcPr>
          <w:p>
            <w:pPr>
              <w:pStyle w:val="7"/>
              <w:tabs>
                <w:tab w:val="left" w:pos="600"/>
              </w:tabs>
              <w:spacing w:line="380" w:lineRule="exact"/>
              <w:ind w:firstLine="0"/>
              <w:jc w:val="both"/>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按本章第2.2.2条款规定进行评审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pPr>
              <w:pStyle w:val="7"/>
              <w:tabs>
                <w:tab w:val="left" w:pos="600"/>
              </w:tabs>
              <w:spacing w:line="400" w:lineRule="exact"/>
              <w:ind w:firstLine="0"/>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2</w:t>
            </w:r>
          </w:p>
        </w:tc>
        <w:tc>
          <w:tcPr>
            <w:tcW w:w="1140" w:type="dxa"/>
            <w:noWrap w:val="0"/>
            <w:vAlign w:val="center"/>
          </w:tcPr>
          <w:p>
            <w:pPr>
              <w:pStyle w:val="7"/>
              <w:tabs>
                <w:tab w:val="left" w:pos="600"/>
              </w:tabs>
              <w:spacing w:line="400" w:lineRule="exact"/>
              <w:ind w:firstLine="0"/>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技术响应</w:t>
            </w:r>
          </w:p>
        </w:tc>
        <w:tc>
          <w:tcPr>
            <w:tcW w:w="754" w:type="dxa"/>
            <w:noWrap w:val="0"/>
            <w:vAlign w:val="center"/>
          </w:tcPr>
          <w:p>
            <w:pPr>
              <w:pStyle w:val="7"/>
              <w:tabs>
                <w:tab w:val="left" w:pos="600"/>
              </w:tabs>
              <w:spacing w:line="400" w:lineRule="exact"/>
              <w:ind w:firstLine="0"/>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36</w:t>
            </w:r>
          </w:p>
        </w:tc>
        <w:tc>
          <w:tcPr>
            <w:tcW w:w="708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firstLine="210" w:firstLineChars="100"/>
              <w:textAlignment w:val="auto"/>
              <w:outlineLvl w:val="9"/>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rPr>
              <w:t>1、所投产品选型、配置、功能满足招标文件要求，性能质量好、符合相关国家标准规范，本项满分12分。参数指标细节描述详细、完整，且优于</w:t>
            </w:r>
            <w:r>
              <w:rPr>
                <w:rFonts w:hint="default" w:ascii="Times New Roman" w:hAnsi="Times New Roman" w:eastAsia="宋体" w:cs="Times New Roman"/>
                <w:color w:val="000000"/>
                <w:sz w:val="21"/>
                <w:szCs w:val="21"/>
                <w:highlight w:val="none"/>
                <w:lang w:val="en-US" w:eastAsia="zh-CN"/>
              </w:rPr>
              <w:t>磋商</w:t>
            </w:r>
            <w:r>
              <w:rPr>
                <w:rFonts w:hint="default" w:ascii="Times New Roman" w:hAnsi="Times New Roman" w:eastAsia="宋体" w:cs="Times New Roman"/>
                <w:color w:val="000000"/>
                <w:sz w:val="21"/>
                <w:szCs w:val="21"/>
                <w:highlight w:val="none"/>
              </w:rPr>
              <w:t>文件要求的计</w:t>
            </w:r>
            <w:r>
              <w:rPr>
                <w:rFonts w:hint="default" w:ascii="Times New Roman" w:hAnsi="Times New Roman" w:eastAsia="宋体" w:cs="Times New Roman"/>
                <w:color w:val="000000"/>
                <w:sz w:val="21"/>
                <w:szCs w:val="21"/>
                <w:highlight w:val="none"/>
                <w:lang w:val="en-US" w:eastAsia="zh-CN"/>
              </w:rPr>
              <w:t>8</w:t>
            </w:r>
            <w:r>
              <w:rPr>
                <w:rFonts w:hint="default" w:ascii="Times New Roman" w:hAnsi="Times New Roman" w:eastAsia="宋体" w:cs="Times New Roman"/>
                <w:color w:val="000000"/>
                <w:sz w:val="21"/>
                <w:szCs w:val="21"/>
                <w:highlight w:val="none"/>
              </w:rPr>
              <w:t>～12（含）分</w:t>
            </w:r>
            <w:r>
              <w:rPr>
                <w:rFonts w:hint="default" w:ascii="Times New Roman" w:hAnsi="Times New Roman" w:eastAsia="宋体" w:cs="Times New Roman"/>
                <w:color w:val="000000"/>
                <w:sz w:val="21"/>
                <w:szCs w:val="21"/>
                <w:highlight w:val="none"/>
                <w:lang w:eastAsia="zh-CN"/>
              </w:rPr>
              <w:t>；描述基本详细、较为完整，技术参数内容描述良好的计4～</w:t>
            </w:r>
            <w:r>
              <w:rPr>
                <w:rFonts w:hint="default" w:ascii="Times New Roman" w:hAnsi="Times New Roman" w:eastAsia="宋体" w:cs="Times New Roman"/>
                <w:color w:val="000000"/>
                <w:sz w:val="21"/>
                <w:szCs w:val="21"/>
                <w:highlight w:val="none"/>
                <w:lang w:val="en-US" w:eastAsia="zh-CN"/>
              </w:rPr>
              <w:t>8</w:t>
            </w:r>
            <w:r>
              <w:rPr>
                <w:rFonts w:hint="default" w:ascii="Times New Roman" w:hAnsi="Times New Roman" w:eastAsia="宋体" w:cs="Times New Roman"/>
                <w:color w:val="000000"/>
                <w:sz w:val="21"/>
                <w:szCs w:val="21"/>
                <w:highlight w:val="none"/>
                <w:lang w:eastAsia="zh-CN"/>
              </w:rPr>
              <w:t>（含）分；描述符合</w:t>
            </w:r>
            <w:r>
              <w:rPr>
                <w:rFonts w:hint="default" w:ascii="Times New Roman" w:hAnsi="Times New Roman" w:eastAsia="宋体" w:cs="Times New Roman"/>
                <w:color w:val="000000"/>
                <w:sz w:val="21"/>
                <w:szCs w:val="21"/>
                <w:highlight w:val="none"/>
                <w:lang w:val="en-US" w:eastAsia="zh-CN"/>
              </w:rPr>
              <w:t>磋商</w:t>
            </w:r>
            <w:r>
              <w:rPr>
                <w:rFonts w:hint="default" w:ascii="Times New Roman" w:hAnsi="Times New Roman" w:eastAsia="宋体" w:cs="Times New Roman"/>
                <w:color w:val="000000"/>
                <w:sz w:val="21"/>
                <w:szCs w:val="21"/>
                <w:highlight w:val="none"/>
                <w:lang w:eastAsia="zh-CN"/>
              </w:rPr>
              <w:t>文件要求，</w:t>
            </w:r>
            <w:r>
              <w:rPr>
                <w:rFonts w:hint="default" w:ascii="Times New Roman" w:hAnsi="Times New Roman" w:eastAsia="宋体" w:cs="Times New Roman"/>
                <w:color w:val="000000"/>
                <w:sz w:val="21"/>
                <w:szCs w:val="21"/>
                <w:highlight w:val="none"/>
                <w:lang w:val="en-US" w:eastAsia="zh-CN"/>
              </w:rPr>
              <w:t>技术参数内容描述</w:t>
            </w:r>
            <w:r>
              <w:rPr>
                <w:rFonts w:hint="default" w:ascii="Times New Roman" w:hAnsi="Times New Roman" w:eastAsia="宋体" w:cs="Times New Roman"/>
                <w:color w:val="000000"/>
                <w:sz w:val="21"/>
                <w:szCs w:val="21"/>
                <w:highlight w:val="none"/>
                <w:lang w:eastAsia="zh-CN"/>
              </w:rPr>
              <w:t>一般的计0～4（含）分。</w:t>
            </w:r>
          </w:p>
          <w:p>
            <w:pPr>
              <w:pageBreakBefore w:val="0"/>
              <w:widowControl w:val="0"/>
              <w:kinsoku/>
              <w:wordWrap/>
              <w:overflowPunct/>
              <w:topLinePunct w:val="0"/>
              <w:autoSpaceDE/>
              <w:autoSpaceDN/>
              <w:bidi w:val="0"/>
              <w:adjustRightInd/>
              <w:snapToGrid/>
              <w:spacing w:before="0" w:after="0" w:line="360" w:lineRule="exact"/>
              <w:ind w:firstLine="210" w:firstLineChars="100"/>
              <w:textAlignment w:val="auto"/>
              <w:outlineLvl w:val="9"/>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所投产品相关资料：投标产品附有详细的产品技术资料（包括但不限于产品宣传彩页、检测报告、质量证书等），本项满分12分。根据所投产品规格指标、功能内容详细，技术资料齐全，得6～12（含）分；所投产品规格指标、功能内容简单，资料不全，得0～6分。</w:t>
            </w:r>
          </w:p>
          <w:p>
            <w:pPr>
              <w:keepNext w:val="0"/>
              <w:keepLines w:val="0"/>
              <w:pageBreakBefore w:val="0"/>
              <w:widowControl w:val="0"/>
              <w:kinsoku/>
              <w:wordWrap/>
              <w:overflowPunct/>
              <w:topLinePunct w:val="0"/>
              <w:autoSpaceDE/>
              <w:autoSpaceDN/>
              <w:bidi w:val="0"/>
              <w:adjustRightInd/>
              <w:snapToGrid/>
              <w:spacing w:line="360" w:lineRule="exact"/>
              <w:ind w:left="0" w:firstLine="210" w:firstLineChars="100"/>
              <w:jc w:val="lef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3、针对本项目有具体的供货组织安排，从仓储、运输、派送措施等方面，提供详细的实施方案和供货计划表，</w:t>
            </w:r>
            <w:r>
              <w:rPr>
                <w:rFonts w:hint="default" w:ascii="Times New Roman" w:hAnsi="Times New Roman" w:eastAsia="宋体" w:cs="Times New Roman"/>
                <w:color w:val="000000"/>
                <w:sz w:val="21"/>
                <w:szCs w:val="21"/>
                <w:highlight w:val="none"/>
              </w:rPr>
              <w:t>并针对本项目特点做出合理计划及调配，能保证设备的顺利使用</w:t>
            </w:r>
            <w:r>
              <w:rPr>
                <w:rFonts w:hint="default" w:ascii="Times New Roman" w:hAnsi="Times New Roman"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lang w:val="en-US" w:eastAsia="zh-CN"/>
              </w:rPr>
              <w:t>本项满分12分。实施方案完整、可操作性强、细节考虑到位的计8～12分（含）；实施方案</w:t>
            </w:r>
            <w:r>
              <w:rPr>
                <w:rFonts w:hint="default" w:ascii="Times New Roman" w:hAnsi="Times New Roman" w:cs="Times New Roman"/>
                <w:color w:val="000000"/>
                <w:sz w:val="21"/>
                <w:szCs w:val="21"/>
                <w:highlight w:val="none"/>
                <w:lang w:val="en-US" w:eastAsia="zh-CN"/>
              </w:rPr>
              <w:t>较</w:t>
            </w:r>
            <w:r>
              <w:rPr>
                <w:rFonts w:hint="default" w:ascii="Times New Roman" w:hAnsi="Times New Roman" w:eastAsia="宋体" w:cs="Times New Roman"/>
                <w:color w:val="000000"/>
                <w:sz w:val="21"/>
                <w:szCs w:val="21"/>
                <w:highlight w:val="none"/>
                <w:lang w:val="en-US" w:eastAsia="zh-CN"/>
              </w:rPr>
              <w:t>完整、可操作性强、细节考虑</w:t>
            </w:r>
            <w:r>
              <w:rPr>
                <w:rFonts w:hint="default" w:ascii="Times New Roman" w:hAnsi="Times New Roman" w:cs="Times New Roman"/>
                <w:color w:val="000000"/>
                <w:sz w:val="21"/>
                <w:szCs w:val="21"/>
                <w:highlight w:val="none"/>
                <w:lang w:val="en-US" w:eastAsia="zh-CN"/>
              </w:rPr>
              <w:t>一般</w:t>
            </w:r>
            <w:r>
              <w:rPr>
                <w:rFonts w:hint="default" w:ascii="Times New Roman" w:hAnsi="Times New Roman" w:eastAsia="宋体" w:cs="Times New Roman"/>
                <w:color w:val="000000"/>
                <w:sz w:val="21"/>
                <w:szCs w:val="21"/>
                <w:highlight w:val="none"/>
                <w:lang w:val="en-US" w:eastAsia="zh-CN"/>
              </w:rPr>
              <w:t>的计</w:t>
            </w:r>
            <w:r>
              <w:rPr>
                <w:rFonts w:hint="default" w:ascii="Times New Roman" w:hAnsi="Times New Roman" w:cs="Times New Roman"/>
                <w:color w:val="000000"/>
                <w:sz w:val="21"/>
                <w:szCs w:val="21"/>
                <w:highlight w:val="none"/>
                <w:lang w:val="en-US" w:eastAsia="zh-CN"/>
              </w:rPr>
              <w:t>4</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8</w:t>
            </w:r>
            <w:r>
              <w:rPr>
                <w:rFonts w:hint="default" w:ascii="Times New Roman" w:hAnsi="Times New Roman" w:eastAsia="宋体" w:cs="Times New Roman"/>
                <w:color w:val="000000"/>
                <w:sz w:val="21"/>
                <w:szCs w:val="21"/>
                <w:highlight w:val="none"/>
                <w:lang w:val="en-US" w:eastAsia="zh-CN"/>
              </w:rPr>
              <w:t>分（含）；实施方案</w:t>
            </w:r>
            <w:r>
              <w:rPr>
                <w:rFonts w:hint="default" w:ascii="Times New Roman" w:hAnsi="Times New Roman" w:cs="Times New Roman"/>
                <w:color w:val="000000"/>
                <w:sz w:val="21"/>
                <w:szCs w:val="21"/>
                <w:highlight w:val="none"/>
                <w:lang w:val="en-US" w:eastAsia="zh-CN"/>
              </w:rPr>
              <w:t>不完善，细节考虑不充分的计0</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4</w:t>
            </w:r>
            <w:r>
              <w:rPr>
                <w:rFonts w:hint="default" w:ascii="Times New Roman" w:hAnsi="Times New Roman" w:eastAsia="宋体" w:cs="Times New Roman"/>
                <w:color w:val="000000"/>
                <w:sz w:val="21"/>
                <w:szCs w:val="21"/>
                <w:highlight w:val="none"/>
                <w:lang w:val="en-US" w:eastAsia="zh-CN"/>
              </w:rPr>
              <w:t>分（含）</w:t>
            </w:r>
            <w:r>
              <w:rPr>
                <w:rFonts w:hint="default" w:ascii="Times New Roman" w:hAnsi="Times New Roman" w:cs="Times New Roman"/>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pPr>
              <w:pStyle w:val="7"/>
              <w:tabs>
                <w:tab w:val="left" w:pos="600"/>
              </w:tabs>
              <w:spacing w:line="400" w:lineRule="exact"/>
              <w:ind w:firstLine="0"/>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3</w:t>
            </w:r>
          </w:p>
        </w:tc>
        <w:tc>
          <w:tcPr>
            <w:tcW w:w="1140" w:type="dxa"/>
            <w:noWrap w:val="0"/>
            <w:vAlign w:val="center"/>
          </w:tcPr>
          <w:p>
            <w:pPr>
              <w:spacing w:line="380" w:lineRule="exact"/>
              <w:ind w:firstLine="28"/>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履约能力</w:t>
            </w:r>
          </w:p>
        </w:tc>
        <w:tc>
          <w:tcPr>
            <w:tcW w:w="754" w:type="dxa"/>
            <w:noWrap w:val="0"/>
            <w:vAlign w:val="center"/>
          </w:tcPr>
          <w:p>
            <w:pPr>
              <w:spacing w:line="380" w:lineRule="exact"/>
              <w:ind w:firstLine="28"/>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15</w:t>
            </w:r>
          </w:p>
        </w:tc>
        <w:tc>
          <w:tcPr>
            <w:tcW w:w="7088"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0" w:firstLine="210" w:firstLineChars="100"/>
              <w:jc w:val="lef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设备</w:t>
            </w:r>
            <w:r>
              <w:rPr>
                <w:rFonts w:hint="default" w:ascii="Times New Roman" w:hAnsi="Times New Roman" w:eastAsia="宋体" w:cs="Times New Roman"/>
                <w:color w:val="000000"/>
                <w:sz w:val="21"/>
                <w:szCs w:val="21"/>
                <w:highlight w:val="none"/>
              </w:rPr>
              <w:t>供应渠道正常、有质量保证，为正规厂家</w:t>
            </w:r>
            <w:r>
              <w:rPr>
                <w:rFonts w:hint="default" w:ascii="Times New Roman" w:hAnsi="Times New Roman" w:eastAsia="宋体" w:cs="Times New Roman"/>
                <w:color w:val="000000"/>
                <w:sz w:val="21"/>
                <w:szCs w:val="21"/>
                <w:highlight w:val="none"/>
                <w:lang w:val="en-US" w:eastAsia="zh-CN"/>
              </w:rPr>
              <w:t>所生产的</w:t>
            </w:r>
            <w:r>
              <w:rPr>
                <w:rFonts w:hint="default" w:ascii="Times New Roman" w:hAnsi="Times New Roman" w:eastAsia="宋体" w:cs="Times New Roman"/>
                <w:color w:val="000000"/>
                <w:sz w:val="21"/>
                <w:szCs w:val="21"/>
                <w:highlight w:val="none"/>
              </w:rPr>
              <w:t>产品</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为正品行货，</w:t>
            </w:r>
            <w:r>
              <w:rPr>
                <w:rFonts w:hint="default" w:ascii="Times New Roman" w:hAnsi="Times New Roman" w:eastAsia="宋体" w:cs="Times New Roman"/>
                <w:color w:val="000000"/>
                <w:sz w:val="21"/>
                <w:szCs w:val="21"/>
                <w:highlight w:val="none"/>
                <w:lang w:val="en-US" w:eastAsia="zh-CN"/>
              </w:rPr>
              <w:t>有质量保证，提供相关证明材料（包括但并不限于产品的合法来源渠道、授权书、产品合格证等）</w:t>
            </w:r>
            <w:r>
              <w:rPr>
                <w:rFonts w:hint="default" w:ascii="Times New Roman" w:hAnsi="Times New Roman" w:cs="Times New Roman"/>
                <w:color w:val="000000"/>
                <w:sz w:val="21"/>
                <w:szCs w:val="21"/>
                <w:highlight w:val="none"/>
                <w:lang w:val="en-US" w:eastAsia="zh-CN"/>
              </w:rPr>
              <w:t>，根据其响应程度计分，根据磋商文件中的设备种类，所提供的设备证明材料达到所有设备种类一半及以上的得4分，不满一半设备种类的得2分。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0" w:firstLine="210" w:firstLineChars="1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设备</w:t>
            </w:r>
            <w:r>
              <w:rPr>
                <w:rFonts w:hint="default" w:ascii="Times New Roman" w:hAnsi="Times New Roman" w:eastAsia="宋体" w:cs="Times New Roman"/>
                <w:color w:val="000000"/>
                <w:sz w:val="21"/>
                <w:szCs w:val="21"/>
                <w:highlight w:val="none"/>
              </w:rPr>
              <w:t>检验手续合法有效，由专业技术人员提供</w:t>
            </w:r>
            <w:r>
              <w:rPr>
                <w:rFonts w:hint="default" w:ascii="Times New Roman" w:hAnsi="Times New Roman" w:eastAsia="宋体" w:cs="Times New Roman"/>
                <w:color w:val="000000"/>
                <w:sz w:val="21"/>
                <w:szCs w:val="21"/>
                <w:highlight w:val="none"/>
                <w:lang w:val="en-US" w:eastAsia="zh-CN"/>
              </w:rPr>
              <w:t>产品</w:t>
            </w:r>
            <w:r>
              <w:rPr>
                <w:rFonts w:hint="default" w:ascii="Times New Roman" w:hAnsi="Times New Roman" w:eastAsia="宋体" w:cs="Times New Roman"/>
                <w:color w:val="000000"/>
                <w:sz w:val="21"/>
                <w:szCs w:val="21"/>
                <w:highlight w:val="none"/>
              </w:rPr>
              <w:t>设备安装服务，并帮助采购人将设备安装调试到最佳使用状态</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根据项目人员配备投入情况</w:t>
            </w:r>
            <w:r>
              <w:rPr>
                <w:rFonts w:hint="default" w:ascii="Times New Roman" w:hAnsi="Times New Roman" w:eastAsia="宋体" w:cs="Times New Roman"/>
                <w:color w:val="000000"/>
                <w:sz w:val="21"/>
                <w:szCs w:val="21"/>
                <w:highlight w:val="none"/>
                <w:lang w:eastAsia="zh-CN"/>
              </w:rPr>
              <w:t>，从人数、结构、专业、岗位分工、工作经历等方面，根据响应程度</w:t>
            </w:r>
            <w:r>
              <w:rPr>
                <w:rFonts w:hint="default" w:ascii="Times New Roman" w:hAnsi="Times New Roman" w:eastAsia="宋体" w:cs="Times New Roman"/>
                <w:color w:val="000000"/>
                <w:sz w:val="21"/>
                <w:szCs w:val="21"/>
                <w:highlight w:val="none"/>
                <w:lang w:val="en-US" w:eastAsia="zh-CN"/>
              </w:rPr>
              <w:t>进行评审，优秀计</w:t>
            </w:r>
            <w:r>
              <w:rPr>
                <w:rFonts w:hint="default" w:ascii="Times New Roman" w:hAnsi="Times New Roman" w:cs="Times New Roman"/>
                <w:color w:val="000000"/>
                <w:sz w:val="21"/>
                <w:szCs w:val="21"/>
                <w:highlight w:val="none"/>
                <w:lang w:val="en-US" w:eastAsia="zh-CN"/>
              </w:rPr>
              <w:t>5</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7</w:t>
            </w:r>
            <w:r>
              <w:rPr>
                <w:rFonts w:hint="default" w:ascii="Times New Roman" w:hAnsi="Times New Roman" w:eastAsia="宋体" w:cs="Times New Roman"/>
                <w:color w:val="000000"/>
                <w:sz w:val="21"/>
                <w:szCs w:val="21"/>
                <w:highlight w:val="none"/>
                <w:lang w:val="en-US" w:eastAsia="zh-CN"/>
              </w:rPr>
              <w:t>分（含），良好计</w:t>
            </w:r>
            <w:r>
              <w:rPr>
                <w:rFonts w:hint="default" w:ascii="Times New Roman" w:hAnsi="Times New Roman" w:cs="Times New Roman"/>
                <w:color w:val="000000"/>
                <w:sz w:val="21"/>
                <w:szCs w:val="21"/>
                <w:highlight w:val="none"/>
                <w:lang w:val="en-US" w:eastAsia="zh-CN"/>
              </w:rPr>
              <w:t>3</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5</w:t>
            </w:r>
            <w:r>
              <w:rPr>
                <w:rFonts w:hint="default" w:ascii="Times New Roman" w:hAnsi="Times New Roman" w:eastAsia="宋体" w:cs="Times New Roman"/>
                <w:color w:val="000000"/>
                <w:sz w:val="21"/>
                <w:szCs w:val="21"/>
                <w:highlight w:val="none"/>
                <w:lang w:val="en-US" w:eastAsia="zh-CN"/>
              </w:rPr>
              <w:t>分（含），一般计</w:t>
            </w:r>
            <w:r>
              <w:rPr>
                <w:rFonts w:hint="default" w:ascii="Times New Roman" w:hAnsi="Times New Roman" w:cs="Times New Roman"/>
                <w:color w:val="000000"/>
                <w:sz w:val="21"/>
                <w:szCs w:val="21"/>
                <w:highlight w:val="none"/>
                <w:lang w:val="en-US" w:eastAsia="zh-CN"/>
              </w:rPr>
              <w:t>0</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3</w:t>
            </w:r>
            <w:r>
              <w:rPr>
                <w:rFonts w:hint="default" w:ascii="Times New Roman" w:hAnsi="Times New Roman" w:eastAsia="宋体" w:cs="Times New Roman"/>
                <w:color w:val="000000"/>
                <w:sz w:val="21"/>
                <w:szCs w:val="21"/>
                <w:highlight w:val="none"/>
                <w:lang w:val="en-US" w:eastAsia="zh-CN"/>
              </w:rPr>
              <w:t>分（含）</w:t>
            </w:r>
            <w:r>
              <w:rPr>
                <w:rFonts w:hint="default" w:ascii="Times New Roman" w:hAnsi="Times New Roman" w:cs="Times New Roman"/>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firstLine="210" w:firstLineChars="1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3、</w:t>
            </w:r>
            <w:r>
              <w:rPr>
                <w:rFonts w:hint="default" w:ascii="Times New Roman" w:hAnsi="Times New Roman" w:eastAsia="宋体" w:cs="Times New Roman"/>
                <w:color w:val="000000"/>
                <w:sz w:val="21"/>
                <w:szCs w:val="21"/>
                <w:highlight w:val="none"/>
              </w:rPr>
              <w:t>制造商实力雄厚，有足够的生产设备和加工生产能力，生产工艺流程先进、稳定，产品出厂检验合格。根据其响应程度</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lang w:val="en-US" w:eastAsia="zh-CN"/>
              </w:rPr>
              <w:t>优秀计</w:t>
            </w:r>
            <w:r>
              <w:rPr>
                <w:rFonts w:hint="default" w:ascii="Times New Roman" w:hAnsi="Times New Roman" w:cs="Times New Roman"/>
                <w:color w:val="000000"/>
                <w:sz w:val="21"/>
                <w:szCs w:val="21"/>
                <w:highlight w:val="none"/>
                <w:lang w:val="en-US" w:eastAsia="zh-CN"/>
              </w:rPr>
              <w:t>2</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4</w:t>
            </w:r>
            <w:r>
              <w:rPr>
                <w:rFonts w:hint="default" w:ascii="Times New Roman" w:hAnsi="Times New Roman" w:eastAsia="宋体" w:cs="Times New Roman"/>
                <w:color w:val="000000"/>
                <w:sz w:val="21"/>
                <w:szCs w:val="21"/>
                <w:highlight w:val="none"/>
                <w:lang w:val="en-US" w:eastAsia="zh-CN"/>
              </w:rPr>
              <w:t>分（含），一般计</w:t>
            </w:r>
            <w:r>
              <w:rPr>
                <w:rFonts w:hint="default" w:ascii="Times New Roman" w:hAnsi="Times New Roman" w:cs="Times New Roman"/>
                <w:color w:val="000000"/>
                <w:sz w:val="21"/>
                <w:szCs w:val="21"/>
                <w:highlight w:val="none"/>
                <w:lang w:val="en-US" w:eastAsia="zh-CN"/>
              </w:rPr>
              <w:t>0</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2</w:t>
            </w:r>
            <w:r>
              <w:rPr>
                <w:rFonts w:hint="default" w:ascii="Times New Roman" w:hAnsi="Times New Roman" w:eastAsia="宋体" w:cs="Times New Roman"/>
                <w:color w:val="000000"/>
                <w:sz w:val="21"/>
                <w:szCs w:val="21"/>
                <w:highlight w:val="none"/>
                <w:lang w:val="en-US" w:eastAsia="zh-CN"/>
              </w:rPr>
              <w:t>分（含）</w:t>
            </w:r>
            <w:r>
              <w:rPr>
                <w:rFonts w:hint="default" w:ascii="Times New Roman" w:hAnsi="Times New Roman" w:cs="Times New Roman"/>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pPr>
              <w:pStyle w:val="7"/>
              <w:tabs>
                <w:tab w:val="left" w:pos="600"/>
              </w:tabs>
              <w:spacing w:line="400" w:lineRule="exact"/>
              <w:ind w:firstLine="0"/>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4</w:t>
            </w:r>
          </w:p>
        </w:tc>
        <w:tc>
          <w:tcPr>
            <w:tcW w:w="1140" w:type="dxa"/>
            <w:noWrap w:val="0"/>
            <w:vAlign w:val="center"/>
          </w:tcPr>
          <w:p>
            <w:pPr>
              <w:spacing w:line="400" w:lineRule="exact"/>
              <w:ind w:firstLine="28"/>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售后服务</w:t>
            </w:r>
          </w:p>
        </w:tc>
        <w:tc>
          <w:tcPr>
            <w:tcW w:w="754" w:type="dxa"/>
            <w:noWrap w:val="0"/>
            <w:vAlign w:val="center"/>
          </w:tcPr>
          <w:p>
            <w:pPr>
              <w:spacing w:line="400" w:lineRule="exact"/>
              <w:ind w:firstLine="105" w:firstLineChars="50"/>
              <w:jc w:val="center"/>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rPr>
              <w:t>1</w:t>
            </w:r>
            <w:r>
              <w:rPr>
                <w:rFonts w:hint="default" w:ascii="Times New Roman" w:hAnsi="Times New Roman" w:eastAsia="宋体" w:cs="Times New Roman"/>
                <w:color w:val="000000"/>
                <w:sz w:val="21"/>
                <w:szCs w:val="21"/>
                <w:highlight w:val="none"/>
                <w:lang w:val="en-US" w:eastAsia="zh-CN"/>
              </w:rPr>
              <w:t>4</w:t>
            </w:r>
          </w:p>
        </w:tc>
        <w:tc>
          <w:tcPr>
            <w:tcW w:w="7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210" w:firstLineChars="100"/>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1、在本地有售后服务措施，并提供相关证明材料，售后服务条款具体、可行，并有详细的售后服务措施承诺，售后服务措施承诺</w:t>
            </w:r>
            <w:r>
              <w:rPr>
                <w:rFonts w:hint="default" w:ascii="Times New Roman" w:hAnsi="Times New Roman" w:eastAsia="宋体" w:cs="Times New Roman"/>
                <w:color w:val="000000"/>
                <w:sz w:val="21"/>
                <w:szCs w:val="21"/>
                <w:highlight w:val="none"/>
                <w:lang w:val="en-US" w:eastAsia="zh-CN"/>
              </w:rPr>
              <w:t>完整、细节考虑到位的计</w:t>
            </w:r>
            <w:r>
              <w:rPr>
                <w:rFonts w:hint="default" w:ascii="Times New Roman" w:hAnsi="Times New Roman" w:cs="Times New Roman"/>
                <w:color w:val="000000"/>
                <w:sz w:val="21"/>
                <w:szCs w:val="21"/>
                <w:highlight w:val="none"/>
                <w:lang w:val="en-US" w:eastAsia="zh-CN"/>
              </w:rPr>
              <w:t>5</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7</w:t>
            </w:r>
            <w:r>
              <w:rPr>
                <w:rFonts w:hint="default" w:ascii="Times New Roman" w:hAnsi="Times New Roman" w:eastAsia="宋体" w:cs="Times New Roman"/>
                <w:color w:val="000000"/>
                <w:sz w:val="21"/>
                <w:szCs w:val="21"/>
                <w:highlight w:val="none"/>
                <w:lang w:val="en-US" w:eastAsia="zh-CN"/>
              </w:rPr>
              <w:t>分（含）；</w:t>
            </w:r>
            <w:r>
              <w:rPr>
                <w:rFonts w:hint="default" w:ascii="Times New Roman" w:hAnsi="Times New Roman" w:eastAsia="宋体" w:cs="Times New Roman"/>
                <w:color w:val="000000"/>
                <w:sz w:val="21"/>
                <w:szCs w:val="21"/>
                <w:highlight w:val="none"/>
              </w:rPr>
              <w:t>售后服务措施承诺</w:t>
            </w:r>
            <w:r>
              <w:rPr>
                <w:rFonts w:hint="default" w:ascii="Times New Roman" w:hAnsi="Times New Roman" w:cs="Times New Roman"/>
                <w:color w:val="000000"/>
                <w:sz w:val="21"/>
                <w:szCs w:val="21"/>
                <w:highlight w:val="none"/>
                <w:lang w:val="en-US" w:eastAsia="zh-CN"/>
              </w:rPr>
              <w:t>较</w:t>
            </w:r>
            <w:r>
              <w:rPr>
                <w:rFonts w:hint="default" w:ascii="Times New Roman" w:hAnsi="Times New Roman" w:eastAsia="宋体" w:cs="Times New Roman"/>
                <w:color w:val="000000"/>
                <w:sz w:val="21"/>
                <w:szCs w:val="21"/>
                <w:highlight w:val="none"/>
                <w:lang w:val="en-US" w:eastAsia="zh-CN"/>
              </w:rPr>
              <w:t>完整、细节考虑</w:t>
            </w:r>
            <w:r>
              <w:rPr>
                <w:rFonts w:hint="default" w:ascii="Times New Roman" w:hAnsi="Times New Roman" w:cs="Times New Roman"/>
                <w:color w:val="000000"/>
                <w:sz w:val="21"/>
                <w:szCs w:val="21"/>
                <w:highlight w:val="none"/>
                <w:lang w:val="en-US" w:eastAsia="zh-CN"/>
              </w:rPr>
              <w:t>一般</w:t>
            </w:r>
            <w:r>
              <w:rPr>
                <w:rFonts w:hint="default" w:ascii="Times New Roman" w:hAnsi="Times New Roman" w:eastAsia="宋体" w:cs="Times New Roman"/>
                <w:color w:val="000000"/>
                <w:sz w:val="21"/>
                <w:szCs w:val="21"/>
                <w:highlight w:val="none"/>
                <w:lang w:val="en-US" w:eastAsia="zh-CN"/>
              </w:rPr>
              <w:t>的计</w:t>
            </w:r>
            <w:r>
              <w:rPr>
                <w:rFonts w:hint="default" w:ascii="Times New Roman" w:hAnsi="Times New Roman" w:cs="Times New Roman"/>
                <w:color w:val="000000"/>
                <w:sz w:val="21"/>
                <w:szCs w:val="21"/>
                <w:highlight w:val="none"/>
                <w:lang w:val="en-US" w:eastAsia="zh-CN"/>
              </w:rPr>
              <w:t>3</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5</w:t>
            </w:r>
            <w:r>
              <w:rPr>
                <w:rFonts w:hint="default" w:ascii="Times New Roman" w:hAnsi="Times New Roman" w:eastAsia="宋体" w:cs="Times New Roman"/>
                <w:color w:val="000000"/>
                <w:sz w:val="21"/>
                <w:szCs w:val="21"/>
                <w:highlight w:val="none"/>
                <w:lang w:val="en-US" w:eastAsia="zh-CN"/>
              </w:rPr>
              <w:t>分（含）；</w:t>
            </w:r>
            <w:r>
              <w:rPr>
                <w:rFonts w:hint="default" w:ascii="Times New Roman" w:hAnsi="Times New Roman" w:eastAsia="宋体" w:cs="Times New Roman"/>
                <w:color w:val="000000"/>
                <w:sz w:val="21"/>
                <w:szCs w:val="21"/>
                <w:highlight w:val="none"/>
              </w:rPr>
              <w:t>售后服务措施承诺</w:t>
            </w:r>
            <w:r>
              <w:rPr>
                <w:rFonts w:hint="default" w:ascii="Times New Roman" w:hAnsi="Times New Roman" w:cs="Times New Roman"/>
                <w:color w:val="000000"/>
                <w:sz w:val="21"/>
                <w:szCs w:val="21"/>
                <w:highlight w:val="none"/>
                <w:lang w:val="en-US" w:eastAsia="zh-CN"/>
              </w:rPr>
              <w:t>不完善，细节考虑不充分的计0</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3</w:t>
            </w:r>
            <w:r>
              <w:rPr>
                <w:rFonts w:hint="default" w:ascii="Times New Roman" w:hAnsi="Times New Roman" w:eastAsia="宋体" w:cs="Times New Roman"/>
                <w:color w:val="000000"/>
                <w:sz w:val="21"/>
                <w:szCs w:val="21"/>
                <w:highlight w:val="none"/>
                <w:lang w:val="en-US" w:eastAsia="zh-CN"/>
              </w:rPr>
              <w:t>分（含）</w:t>
            </w:r>
            <w:r>
              <w:rPr>
                <w:rFonts w:hint="default" w:ascii="Times New Roman" w:hAnsi="Times New Roman"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firstLine="210" w:firstLineChars="100"/>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2、免费为使用单位培训操作维护人员，能保证使用单位熟练操作、维护和正常使用，并在响应文件中列出详细可行的技术培训措施。</w:t>
            </w:r>
            <w:r>
              <w:rPr>
                <w:rFonts w:hint="default" w:ascii="Times New Roman" w:hAnsi="Times New Roman" w:eastAsia="宋体" w:cs="Times New Roman"/>
                <w:color w:val="000000"/>
                <w:sz w:val="21"/>
                <w:szCs w:val="21"/>
                <w:highlight w:val="none"/>
                <w:lang w:val="en-US" w:eastAsia="zh-CN"/>
              </w:rPr>
              <w:t>实施方案完整、可操作性强、细节考虑到位的计</w:t>
            </w:r>
            <w:r>
              <w:rPr>
                <w:rFonts w:hint="default" w:ascii="Times New Roman" w:hAnsi="Times New Roman" w:cs="Times New Roman"/>
                <w:color w:val="000000"/>
                <w:sz w:val="21"/>
                <w:szCs w:val="21"/>
                <w:highlight w:val="none"/>
                <w:lang w:val="en-US" w:eastAsia="zh-CN"/>
              </w:rPr>
              <w:t>5</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7</w:t>
            </w:r>
            <w:r>
              <w:rPr>
                <w:rFonts w:hint="default" w:ascii="Times New Roman" w:hAnsi="Times New Roman" w:eastAsia="宋体" w:cs="Times New Roman"/>
                <w:color w:val="000000"/>
                <w:sz w:val="21"/>
                <w:szCs w:val="21"/>
                <w:highlight w:val="none"/>
                <w:lang w:val="en-US" w:eastAsia="zh-CN"/>
              </w:rPr>
              <w:t>分（含）；实施方案</w:t>
            </w:r>
            <w:r>
              <w:rPr>
                <w:rFonts w:hint="default" w:ascii="Times New Roman" w:hAnsi="Times New Roman" w:cs="Times New Roman"/>
                <w:color w:val="000000"/>
                <w:sz w:val="21"/>
                <w:szCs w:val="21"/>
                <w:highlight w:val="none"/>
                <w:lang w:val="en-US" w:eastAsia="zh-CN"/>
              </w:rPr>
              <w:t>较</w:t>
            </w:r>
            <w:r>
              <w:rPr>
                <w:rFonts w:hint="default" w:ascii="Times New Roman" w:hAnsi="Times New Roman" w:eastAsia="宋体" w:cs="Times New Roman"/>
                <w:color w:val="000000"/>
                <w:sz w:val="21"/>
                <w:szCs w:val="21"/>
                <w:highlight w:val="none"/>
                <w:lang w:val="en-US" w:eastAsia="zh-CN"/>
              </w:rPr>
              <w:t>完整、可操作性强、细节考虑</w:t>
            </w:r>
            <w:r>
              <w:rPr>
                <w:rFonts w:hint="default" w:ascii="Times New Roman" w:hAnsi="Times New Roman" w:cs="Times New Roman"/>
                <w:color w:val="000000"/>
                <w:sz w:val="21"/>
                <w:szCs w:val="21"/>
                <w:highlight w:val="none"/>
                <w:lang w:val="en-US" w:eastAsia="zh-CN"/>
              </w:rPr>
              <w:t>一般</w:t>
            </w:r>
            <w:r>
              <w:rPr>
                <w:rFonts w:hint="default" w:ascii="Times New Roman" w:hAnsi="Times New Roman" w:eastAsia="宋体" w:cs="Times New Roman"/>
                <w:color w:val="000000"/>
                <w:sz w:val="21"/>
                <w:szCs w:val="21"/>
                <w:highlight w:val="none"/>
                <w:lang w:val="en-US" w:eastAsia="zh-CN"/>
              </w:rPr>
              <w:t>的计</w:t>
            </w:r>
            <w:r>
              <w:rPr>
                <w:rFonts w:hint="default" w:ascii="Times New Roman" w:hAnsi="Times New Roman" w:cs="Times New Roman"/>
                <w:color w:val="000000"/>
                <w:sz w:val="21"/>
                <w:szCs w:val="21"/>
                <w:highlight w:val="none"/>
                <w:lang w:val="en-US" w:eastAsia="zh-CN"/>
              </w:rPr>
              <w:t>3</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5</w:t>
            </w:r>
            <w:r>
              <w:rPr>
                <w:rFonts w:hint="default" w:ascii="Times New Roman" w:hAnsi="Times New Roman" w:eastAsia="宋体" w:cs="Times New Roman"/>
                <w:color w:val="000000"/>
                <w:sz w:val="21"/>
                <w:szCs w:val="21"/>
                <w:highlight w:val="none"/>
                <w:lang w:val="en-US" w:eastAsia="zh-CN"/>
              </w:rPr>
              <w:t>分（含）；实施方案</w:t>
            </w:r>
            <w:r>
              <w:rPr>
                <w:rFonts w:hint="default" w:ascii="Times New Roman" w:hAnsi="Times New Roman" w:cs="Times New Roman"/>
                <w:color w:val="000000"/>
                <w:sz w:val="21"/>
                <w:szCs w:val="21"/>
                <w:highlight w:val="none"/>
                <w:lang w:val="en-US" w:eastAsia="zh-CN"/>
              </w:rPr>
              <w:t>不完善，细节考虑不充分的计0</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3</w:t>
            </w:r>
            <w:r>
              <w:rPr>
                <w:rFonts w:hint="default" w:ascii="Times New Roman" w:hAnsi="Times New Roman" w:eastAsia="宋体" w:cs="Times New Roman"/>
                <w:color w:val="000000"/>
                <w:sz w:val="21"/>
                <w:szCs w:val="21"/>
                <w:highlight w:val="none"/>
                <w:lang w:val="en-US" w:eastAsia="zh-CN"/>
              </w:rPr>
              <w:t>分（含）</w:t>
            </w:r>
            <w:r>
              <w:rPr>
                <w:rFonts w:hint="default" w:ascii="Times New Roman" w:hAnsi="Times New Roman"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pPr>
              <w:pStyle w:val="7"/>
              <w:tabs>
                <w:tab w:val="left" w:pos="600"/>
              </w:tabs>
              <w:spacing w:line="400" w:lineRule="exact"/>
              <w:ind w:firstLine="0"/>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5</w:t>
            </w:r>
          </w:p>
        </w:tc>
        <w:tc>
          <w:tcPr>
            <w:tcW w:w="1140" w:type="dxa"/>
            <w:noWrap w:val="0"/>
            <w:vAlign w:val="center"/>
          </w:tcPr>
          <w:p>
            <w:pPr>
              <w:spacing w:line="400" w:lineRule="exact"/>
              <w:ind w:firstLine="28"/>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业绩证明</w:t>
            </w:r>
          </w:p>
        </w:tc>
        <w:tc>
          <w:tcPr>
            <w:tcW w:w="754" w:type="dxa"/>
            <w:noWrap w:val="0"/>
            <w:vAlign w:val="center"/>
          </w:tcPr>
          <w:p>
            <w:pPr>
              <w:spacing w:line="400" w:lineRule="exact"/>
              <w:ind w:firstLine="105" w:firstLineChars="50"/>
              <w:jc w:val="center"/>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val="en-US" w:eastAsia="zh-CN"/>
              </w:rPr>
              <w:t>5</w:t>
            </w:r>
          </w:p>
        </w:tc>
        <w:tc>
          <w:tcPr>
            <w:tcW w:w="7088" w:type="dxa"/>
            <w:noWrap w:val="0"/>
            <w:vAlign w:val="center"/>
          </w:tcPr>
          <w:p>
            <w:pPr>
              <w:spacing w:line="380" w:lineRule="exact"/>
              <w:ind w:firstLine="28"/>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提供20</w:t>
            </w:r>
            <w:r>
              <w:rPr>
                <w:rFonts w:hint="default" w:ascii="Times New Roman" w:hAnsi="Times New Roman" w:cs="Times New Roman"/>
                <w:color w:val="000000"/>
                <w:sz w:val="21"/>
                <w:szCs w:val="21"/>
                <w:highlight w:val="none"/>
                <w:lang w:val="en-US" w:eastAsia="zh-CN"/>
              </w:rPr>
              <w:t>20</w:t>
            </w:r>
            <w:r>
              <w:rPr>
                <w:rFonts w:hint="default" w:ascii="Times New Roman" w:hAnsi="Times New Roman" w:eastAsia="宋体" w:cs="Times New Roman"/>
                <w:color w:val="000000"/>
                <w:sz w:val="21"/>
                <w:szCs w:val="21"/>
                <w:highlight w:val="none"/>
              </w:rPr>
              <w:t>年</w:t>
            </w:r>
            <w:r>
              <w:rPr>
                <w:rFonts w:hint="default" w:ascii="Times New Roman" w:hAnsi="Times New Roman" w:eastAsia="宋体" w:cs="Times New Roman"/>
                <w:color w:val="000000"/>
                <w:sz w:val="21"/>
                <w:szCs w:val="21"/>
                <w:highlight w:val="none"/>
                <w:lang w:val="en-US" w:eastAsia="zh-CN"/>
              </w:rPr>
              <w:t>1</w:t>
            </w:r>
            <w:r>
              <w:rPr>
                <w:rFonts w:hint="default" w:ascii="Times New Roman" w:hAnsi="Times New Roman" w:eastAsia="宋体" w:cs="Times New Roman"/>
                <w:color w:val="000000"/>
                <w:sz w:val="21"/>
                <w:szCs w:val="21"/>
                <w:highlight w:val="none"/>
              </w:rPr>
              <w:t>月</w:t>
            </w:r>
            <w:r>
              <w:rPr>
                <w:rFonts w:hint="default" w:ascii="Times New Roman" w:hAnsi="Times New Roman" w:eastAsia="宋体" w:cs="Times New Roman"/>
                <w:color w:val="000000"/>
                <w:sz w:val="21"/>
                <w:szCs w:val="21"/>
                <w:highlight w:val="none"/>
                <w:lang w:val="en-US" w:eastAsia="zh-CN"/>
              </w:rPr>
              <w:t>1日至今</w:t>
            </w:r>
            <w:r>
              <w:rPr>
                <w:rFonts w:hint="default" w:ascii="Times New Roman" w:hAnsi="Times New Roman" w:eastAsia="宋体" w:cs="Times New Roman"/>
                <w:color w:val="000000"/>
                <w:sz w:val="21"/>
                <w:szCs w:val="21"/>
                <w:highlight w:val="none"/>
              </w:rPr>
              <w:t>所投</w:t>
            </w:r>
            <w:r>
              <w:rPr>
                <w:rFonts w:hint="eastAsia" w:ascii="Times New Roman" w:hAnsi="Times New Roman" w:cs="Times New Roman"/>
                <w:color w:val="000000"/>
                <w:sz w:val="21"/>
                <w:szCs w:val="21"/>
                <w:highlight w:val="none"/>
                <w:lang w:val="en-US" w:eastAsia="zh-CN"/>
              </w:rPr>
              <w:t>同类</w:t>
            </w:r>
            <w:r>
              <w:rPr>
                <w:rFonts w:hint="default" w:ascii="Times New Roman" w:hAnsi="Times New Roman" w:eastAsia="宋体" w:cs="Times New Roman"/>
                <w:color w:val="000000"/>
                <w:sz w:val="21"/>
                <w:szCs w:val="21"/>
                <w:highlight w:val="none"/>
              </w:rPr>
              <w:t>产品项目业绩合同，</w:t>
            </w:r>
            <w:r>
              <w:rPr>
                <w:rFonts w:hint="default" w:ascii="Times New Roman" w:hAnsi="Times New Roman" w:eastAsia="宋体" w:cs="Times New Roman"/>
                <w:color w:val="000000"/>
                <w:sz w:val="21"/>
                <w:szCs w:val="21"/>
                <w:highlight w:val="none"/>
                <w:lang w:val="en-US" w:eastAsia="zh-CN"/>
              </w:rPr>
              <w:t>提供合同复印件或扫描件并加盖公章，以合同签订日期为准，</w:t>
            </w:r>
            <w:r>
              <w:rPr>
                <w:rFonts w:hint="default" w:ascii="Times New Roman" w:hAnsi="Times New Roman" w:eastAsia="宋体" w:cs="Times New Roman"/>
                <w:color w:val="000000"/>
                <w:sz w:val="21"/>
                <w:szCs w:val="21"/>
                <w:highlight w:val="none"/>
              </w:rPr>
              <w:t xml:space="preserve">每份计1分，满分5分。                           </w:t>
            </w:r>
          </w:p>
        </w:tc>
      </w:tr>
      <w:bookmarkEnd w:id="81"/>
    </w:tbl>
    <w:p>
      <w:pPr>
        <w:pStyle w:val="7"/>
        <w:tabs>
          <w:tab w:val="left" w:pos="600"/>
        </w:tabs>
        <w:spacing w:before="360" w:beforeLines="150" w:after="120" w:afterLines="50" w:line="360" w:lineRule="auto"/>
        <w:ind w:firstLine="0"/>
        <w:jc w:val="left"/>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2.3无效响应文件的认定</w:t>
      </w:r>
    </w:p>
    <w:p>
      <w:pPr>
        <w:pStyle w:val="7"/>
        <w:tabs>
          <w:tab w:val="left" w:pos="600"/>
        </w:tabs>
        <w:spacing w:line="36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在评审过程中，出现下列情形之一的，响应文件无效：</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kern w:val="0"/>
          <w:szCs w:val="21"/>
          <w:highlight w:val="none"/>
        </w:rPr>
        <w:t>不具备磋商文件规定资格条件和要求的；</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（2）响应文件授权委托书、竞争性磋商响应函未按照磋商文件要求签署、盖章的；</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（3）响应文件需盖章签字的地方，</w:t>
      </w:r>
      <w:r>
        <w:rPr>
          <w:rFonts w:hint="default" w:ascii="Times New Roman" w:hAnsi="Times New Roman" w:cs="Times New Roman"/>
          <w:color w:val="auto"/>
          <w:szCs w:val="21"/>
          <w:highlight w:val="none"/>
          <w:lang w:eastAsia="zh-CN"/>
        </w:rPr>
        <w:t>未按要求</w:t>
      </w:r>
      <w:r>
        <w:rPr>
          <w:rFonts w:hint="default" w:ascii="Times New Roman" w:hAnsi="Times New Roman" w:cs="Times New Roman"/>
          <w:color w:val="auto"/>
          <w:szCs w:val="21"/>
          <w:highlight w:val="none"/>
        </w:rPr>
        <w:t>签字或盖章（授权委托书、竞争性磋商响应函除外）的；</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（4）响应文件未按照磋商文件规定的格式要求编制的；</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（5）磋商报价超过了磋商文件中规定的预算金额或最高限价的；</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（6）响应内容出现漏项或数量与要求不符的；</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（7）磋商有效期、服务期限、售后服务等商务条款不满足磋商文件要求的；</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（8）响应文件中附有采购人不能接受的附加条件的；</w:t>
      </w:r>
    </w:p>
    <w:p>
      <w:pPr>
        <w:pStyle w:val="7"/>
        <w:tabs>
          <w:tab w:val="left" w:pos="600"/>
        </w:tabs>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（9）所提供服务或产品的技术规格、技术标准不满足磋商文件实质性要求的；</w:t>
      </w:r>
    </w:p>
    <w:p>
      <w:pPr>
        <w:pStyle w:val="7"/>
        <w:tabs>
          <w:tab w:val="left" w:pos="600"/>
        </w:tabs>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（10）所提供产品不符合强制执行的国家标准、行业标准的（如有）；</w:t>
      </w:r>
    </w:p>
    <w:p>
      <w:pPr>
        <w:pStyle w:val="7"/>
        <w:tabs>
          <w:tab w:val="left" w:pos="600"/>
        </w:tabs>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（11）所提供产品不是国家强制节能产品品目清单中的产品（如有）；</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（12）所提供产品属于强制性认证产品的未提供强制性产品认证证书复印件（如有）；</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（13）进口产品未办理正常进口手续的（如有）；</w:t>
      </w:r>
    </w:p>
    <w:p>
      <w:pPr>
        <w:pStyle w:val="7"/>
        <w:tabs>
          <w:tab w:val="left" w:pos="600"/>
        </w:tabs>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（14）响应文件的关键内容字迹模糊和无法辨认的；</w:t>
      </w:r>
    </w:p>
    <w:p>
      <w:pPr>
        <w:pStyle w:val="7"/>
        <w:tabs>
          <w:tab w:val="left" w:pos="600"/>
        </w:tabs>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（15）法律法规和磋商文件规定的其他情形的。</w:t>
      </w:r>
    </w:p>
    <w:p>
      <w:pPr>
        <w:widowControl/>
        <w:autoSpaceDE w:val="0"/>
        <w:autoSpaceDN w:val="0"/>
        <w:spacing w:before="120" w:beforeLines="50" w:after="120" w:afterLines="50" w:line="360" w:lineRule="auto"/>
        <w:ind w:right="51"/>
        <w:textAlignment w:val="bottom"/>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2.4 特殊情况的处理</w:t>
      </w:r>
    </w:p>
    <w:p>
      <w:pPr>
        <w:widowControl/>
        <w:autoSpaceDE w:val="0"/>
        <w:autoSpaceDN w:val="0"/>
        <w:spacing w:line="360" w:lineRule="auto"/>
        <w:ind w:right="53" w:firstLine="420" w:firstLineChars="200"/>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2.4.1 响应文件中如果出现前后不一致的，按照下列规定修正：</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（1）响应文件中的大写金额与小写金额不一致的，以大写金额为准；</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（2）响应文件中的总报价与按单价计算的汇总报价不一致的，以单价计算的汇总报价为准；</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（3）响应文件中的报价有明显小数点错误的，以总报价为准，并修改报价；</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（4）响应文件中有关分项表内容与“磋商报价一览表”不一致的，以“磋商报价一览表”为准；</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（5）响应文件中图表与文字表述不一致的，以文字表述为准；</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（6）响应文件正本与副本不一致的，以正本为准；</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（7）对不同文字文本响应文件的解释发生异议的，以中文文本为准。</w:t>
      </w:r>
    </w:p>
    <w:p>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按上述修正错误的方法调整的报价应对供应商具有约束力。如果供应商不接受修正后的价格，其响应文件将被拒绝。</w:t>
      </w:r>
    </w:p>
    <w:p>
      <w:pPr>
        <w:adjustRightInd w:val="0"/>
        <w:snapToGrid w:val="0"/>
        <w:spacing w:line="360" w:lineRule="auto"/>
        <w:ind w:firstLine="420" w:firstLineChars="200"/>
        <w:rPr>
          <w:rFonts w:hint="default" w:ascii="Times New Roman" w:hAnsi="Times New Roman" w:cs="Times New Roman"/>
          <w:b/>
          <w:color w:val="auto"/>
          <w:kern w:val="0"/>
          <w:szCs w:val="21"/>
          <w:highlight w:val="none"/>
        </w:rPr>
      </w:pPr>
      <w:r>
        <w:rPr>
          <w:rFonts w:hint="default" w:ascii="Times New Roman" w:hAnsi="Times New Roman" w:cs="Times New Roman"/>
          <w:color w:val="auto"/>
          <w:szCs w:val="21"/>
          <w:highlight w:val="none"/>
        </w:rPr>
        <w:t>2.4.2</w:t>
      </w:r>
      <w:r>
        <w:rPr>
          <w:rFonts w:hint="default" w:ascii="Times New Roman" w:hAnsi="Times New Roman" w:cs="Times New Roman"/>
          <w:b/>
          <w:color w:val="auto"/>
          <w:szCs w:val="21"/>
          <w:highlight w:val="none"/>
        </w:rPr>
        <w:t>磋商</w:t>
      </w:r>
      <w:r>
        <w:rPr>
          <w:rFonts w:hint="default" w:ascii="Times New Roman" w:hAnsi="Times New Roman" w:cs="Times New Roman"/>
          <w:b/>
          <w:color w:val="auto"/>
          <w:kern w:val="0"/>
          <w:szCs w:val="21"/>
          <w:highlight w:val="none"/>
        </w:rPr>
        <w:t>报价异常处理</w:t>
      </w:r>
    </w:p>
    <w:p>
      <w:pPr>
        <w:keepNext w:val="0"/>
        <w:keepLines w:val="0"/>
        <w:pageBreakBefore w:val="0"/>
        <w:widowControl/>
        <w:kinsoku/>
        <w:wordWrap/>
        <w:overflowPunct/>
        <w:topLinePunct w:val="0"/>
        <w:autoSpaceDE w:val="0"/>
        <w:autoSpaceDN w:val="0"/>
        <w:bidi w:val="0"/>
        <w:spacing w:line="360" w:lineRule="auto"/>
        <w:ind w:right="53" w:firstLine="420" w:firstLineChars="200"/>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2.4.2.1 </w:t>
      </w:r>
      <w:r>
        <w:rPr>
          <w:rFonts w:hint="default" w:ascii="Times New Roman" w:hAnsi="Times New Roman" w:cs="Times New Roman"/>
          <w:color w:val="auto"/>
          <w:szCs w:val="21"/>
          <w:highlight w:val="none"/>
        </w:rPr>
        <w:t>响应文件分项报价中，若某项有不合理报价（或零报价、漏报价）的，经磋商小组评审后，此项得分为零，不参与最后报价分值的计算。</w:t>
      </w:r>
    </w:p>
    <w:p>
      <w:pPr>
        <w:keepNext w:val="0"/>
        <w:keepLines w:val="0"/>
        <w:pageBreakBefore w:val="0"/>
        <w:kinsoku/>
        <w:wordWrap/>
        <w:overflowPunct/>
        <w:topLinePunct w:val="0"/>
        <w:bidi w:val="0"/>
        <w:adjustRightInd w:val="0"/>
        <w:snapToGrid w:val="0"/>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2.4.2.2磋商小组认为供应商的最后报价明显低于其他通过资格性、符合性审查供应商的最后报价，有可能影响服务质量或者不能诚信履约的，应当要求其在评审现场合理的时间内提供书面说明，</w:t>
      </w:r>
      <w:r>
        <w:rPr>
          <w:rFonts w:hint="default" w:ascii="Times New Roman" w:hAnsi="Times New Roman" w:cs="Times New Roman"/>
          <w:b/>
          <w:color w:val="auto"/>
          <w:kern w:val="0"/>
          <w:szCs w:val="21"/>
          <w:highlight w:val="none"/>
        </w:rPr>
        <w:t>必要时</w:t>
      </w:r>
      <w:r>
        <w:rPr>
          <w:rFonts w:hint="default" w:ascii="Times New Roman" w:hAnsi="Times New Roman" w:cs="Times New Roman"/>
          <w:color w:val="auto"/>
          <w:kern w:val="0"/>
          <w:szCs w:val="21"/>
          <w:highlight w:val="none"/>
        </w:rPr>
        <w:t>提交相关证明材料；供应商不能证明其最后报价合理性的，磋商小组</w:t>
      </w:r>
      <w:r>
        <w:rPr>
          <w:rFonts w:hint="default" w:ascii="Times New Roman" w:hAnsi="Times New Roman" w:cs="Times New Roman"/>
          <w:b/>
          <w:color w:val="auto"/>
          <w:kern w:val="0"/>
          <w:szCs w:val="21"/>
          <w:highlight w:val="none"/>
        </w:rPr>
        <w:t>应当</w:t>
      </w:r>
      <w:r>
        <w:rPr>
          <w:rFonts w:hint="default" w:ascii="Times New Roman" w:hAnsi="Times New Roman" w:cs="Times New Roman"/>
          <w:color w:val="auto"/>
          <w:kern w:val="0"/>
          <w:szCs w:val="21"/>
          <w:highlight w:val="none"/>
        </w:rPr>
        <w:t>将其作为无效响应文件处理。</w:t>
      </w:r>
    </w:p>
    <w:p>
      <w:pPr>
        <w:widowControl/>
        <w:autoSpaceDE w:val="0"/>
        <w:autoSpaceDN w:val="0"/>
        <w:spacing w:line="360" w:lineRule="auto"/>
        <w:ind w:right="53" w:firstLine="420" w:firstLineChars="200"/>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2.4.3 磋商小组成员打分超过得分界限或未按本办法赋分时，该成员的打分，按废票处理。</w:t>
      </w:r>
    </w:p>
    <w:p>
      <w:pPr>
        <w:widowControl/>
        <w:autoSpaceDE w:val="0"/>
        <w:autoSpaceDN w:val="0"/>
        <w:spacing w:line="360" w:lineRule="auto"/>
        <w:ind w:right="53" w:firstLine="420" w:firstLineChars="200"/>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2.4.4 评审过程中，各种数字的计算结果，均保留两位小数，第三位“四舍五入”，但计算百分数时应精确到千分位，万分位“四舍五入”。</w:t>
      </w:r>
    </w:p>
    <w:p>
      <w:pPr>
        <w:widowControl/>
        <w:autoSpaceDE w:val="0"/>
        <w:autoSpaceDN w:val="0"/>
        <w:spacing w:line="360" w:lineRule="auto"/>
        <w:ind w:right="53" w:firstLine="420" w:firstLineChars="200"/>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2.4.5 评审过程中，若出现本磋商办法以外的特殊情况时，将暂停评审，待磋商小组商榷后，再进行评审。</w:t>
      </w:r>
    </w:p>
    <w:p>
      <w:pPr>
        <w:pStyle w:val="4"/>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2.4.6 合格供应商少于3家的处理</w:t>
      </w:r>
    </w:p>
    <w:p>
      <w:pPr>
        <w:pStyle w:val="4"/>
        <w:keepNext w:val="0"/>
        <w:keepLines w:val="0"/>
        <w:pageBreakBefore w:val="0"/>
        <w:kinsoku/>
        <w:wordWrap/>
        <w:overflowPunct/>
        <w:topLinePunct w:val="0"/>
        <w:bidi w:val="0"/>
        <w:adjustRightInd/>
        <w:snapToGrid/>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2.4.6.1 评审过程中，若出现合格供应商只有2家时，符合《政府采购竞争性磋商采购方式管理暂行办法》第3条第4项情形的，</w:t>
      </w:r>
      <w:r>
        <w:rPr>
          <w:rFonts w:hint="default" w:ascii="Times New Roman" w:hAnsi="Times New Roman" w:cs="Times New Roman"/>
          <w:b/>
          <w:snapToGrid w:val="0"/>
          <w:color w:val="auto"/>
          <w:kern w:val="0"/>
          <w:szCs w:val="21"/>
          <w:highlight w:val="none"/>
        </w:rPr>
        <w:t>或者本项目为政府购买服务指导性目录中的，</w:t>
      </w:r>
      <w:r>
        <w:rPr>
          <w:rFonts w:hint="default" w:ascii="Times New Roman" w:hAnsi="Times New Roman" w:cs="Times New Roman"/>
          <w:b/>
          <w:color w:val="auto"/>
          <w:szCs w:val="21"/>
          <w:highlight w:val="none"/>
        </w:rPr>
        <w:t>可以继续进行；只有1家时，采购人应依法重新组织采购活动。</w:t>
      </w:r>
    </w:p>
    <w:p>
      <w:pPr>
        <w:keepNext w:val="0"/>
        <w:keepLines w:val="0"/>
        <w:pageBreakBefore w:val="0"/>
        <w:widowControl/>
        <w:kinsoku/>
        <w:wordWrap/>
        <w:overflowPunct/>
        <w:topLinePunct w:val="0"/>
        <w:autoSpaceDE w:val="0"/>
        <w:autoSpaceDN w:val="0"/>
        <w:bidi w:val="0"/>
        <w:adjustRightInd/>
        <w:snapToGrid/>
        <w:spacing w:line="360" w:lineRule="auto"/>
        <w:ind w:right="53" w:firstLine="420" w:firstLineChars="200"/>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2.4.6.</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评审过程中，除符合本章第2.4.6.1条款规定情形外，若出现合格供应商少于3家时，采购人应依法重新组织采购活动。</w:t>
      </w:r>
    </w:p>
    <w:p>
      <w:pPr>
        <w:widowControl/>
        <w:autoSpaceDE w:val="0"/>
        <w:autoSpaceDN w:val="0"/>
        <w:spacing w:line="360" w:lineRule="auto"/>
        <w:ind w:right="53" w:firstLine="420" w:firstLineChars="200"/>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2.4.7 评审报告签署后，采购人或者采购代理机构发现存在本章第1.7.2条款情形之一的，应当组织原磋商小组进行重新评审，重新评审改变成交结果的，书面报告本级财政部门。</w:t>
      </w:r>
    </w:p>
    <w:p>
      <w:pPr>
        <w:pStyle w:val="4"/>
        <w:spacing w:line="360" w:lineRule="auto"/>
        <w:ind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2.4.8 评审争议处理原则</w:t>
      </w:r>
    </w:p>
    <w:p>
      <w:pPr>
        <w:pStyle w:val="7"/>
        <w:tabs>
          <w:tab w:val="left" w:pos="600"/>
        </w:tabs>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磋商小组在评审过程中，对响应文件资格性、符合性审查和对供应商做无效响应文件处理及其他需要共同认定的事项存在争议的，应当以少数服从多数的原则做出结论，但不得违反法律法规和磋商文件的规定。有不同意见的磋商小组成员认为认定过程和结果不符合法律法规或者磋商文件规定的，应当及时向采购人书面反映，采购人收到书面反映后，应当及时向同级财政部门报告依法处理。</w:t>
      </w:r>
    </w:p>
    <w:p>
      <w:pPr>
        <w:pStyle w:val="4"/>
        <w:spacing w:line="360" w:lineRule="auto"/>
        <w:ind w:firstLine="422" w:firstLineChars="200"/>
        <w:rPr>
          <w:rFonts w:hint="default" w:ascii="Times New Roman" w:hAnsi="Times New Roman" w:cs="Times New Roman"/>
          <w:b/>
          <w:color w:val="auto"/>
          <w:szCs w:val="21"/>
          <w:highlight w:val="none"/>
        </w:rPr>
      </w:pPr>
      <w:bookmarkStart w:id="84" w:name="_Toc20651224"/>
      <w:r>
        <w:rPr>
          <w:rFonts w:hint="default" w:ascii="Times New Roman" w:hAnsi="Times New Roman" w:cs="Times New Roman"/>
          <w:b/>
          <w:color w:val="auto"/>
          <w:szCs w:val="21"/>
          <w:highlight w:val="none"/>
        </w:rPr>
        <w:t>2.4.9 停止评</w:t>
      </w:r>
      <w:bookmarkEnd w:id="84"/>
      <w:r>
        <w:rPr>
          <w:rFonts w:hint="default" w:ascii="Times New Roman" w:hAnsi="Times New Roman" w:cs="Times New Roman"/>
          <w:b/>
          <w:color w:val="auto"/>
          <w:szCs w:val="21"/>
          <w:highlight w:val="none"/>
        </w:rPr>
        <w:t>审</w:t>
      </w:r>
    </w:p>
    <w:p>
      <w:pPr>
        <w:pStyle w:val="7"/>
        <w:tabs>
          <w:tab w:val="left" w:pos="600"/>
        </w:tabs>
        <w:spacing w:line="360" w:lineRule="auto"/>
        <w:ind w:firstLine="420" w:firstLineChars="200"/>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磋商小组发现磋商文件存在歧义、重大缺陷导致评审工作无法进行，或者磋商文件内容违反国家有关强制性规定的，应当停止评审工作，与采购人、采购代理机构沟通并作书面记录。</w:t>
      </w:r>
      <w:r>
        <w:rPr>
          <w:rFonts w:hint="default" w:ascii="Times New Roman" w:hAnsi="Times New Roman" w:cs="Times New Roman"/>
          <w:b/>
          <w:color w:val="auto"/>
          <w:sz w:val="21"/>
          <w:szCs w:val="21"/>
          <w:highlight w:val="none"/>
        </w:rPr>
        <w:t>采购人、采购代理机构应当确认和修改磋商文件后，重新组织采购活动。</w:t>
      </w:r>
    </w:p>
    <w:p>
      <w:pPr>
        <w:widowControl/>
        <w:spacing w:line="360" w:lineRule="auto"/>
        <w:ind w:firstLine="420" w:firstLineChars="200"/>
        <w:rPr>
          <w:rFonts w:hint="default" w:ascii="Times New Roman" w:hAnsi="Times New Roman" w:cs="Times New Roman"/>
          <w:color w:val="auto"/>
          <w:szCs w:val="21"/>
          <w:highlight w:val="none"/>
        </w:rPr>
      </w:pPr>
      <w:bookmarkStart w:id="85" w:name="_Toc20651225"/>
      <w:r>
        <w:rPr>
          <w:rFonts w:hint="default" w:ascii="Times New Roman" w:hAnsi="Times New Roman" w:cs="Times New Roman"/>
          <w:color w:val="auto"/>
          <w:szCs w:val="21"/>
          <w:highlight w:val="none"/>
        </w:rPr>
        <w:t>2.4.10采购人、采购代理机构发现磋商小组未按照磋商文件规定的评审标准进行评审的，应当重新开展采购活动，并同时书面报告本级财政部门。</w:t>
      </w:r>
    </w:p>
    <w:bookmarkEnd w:id="85"/>
    <w:p>
      <w:pPr>
        <w:keepNext w:val="0"/>
        <w:keepLines w:val="0"/>
        <w:pageBreakBefore w:val="0"/>
        <w:widowControl w:val="0"/>
        <w:kinsoku/>
        <w:wordWrap/>
        <w:overflowPunct/>
        <w:topLinePunct w:val="0"/>
        <w:autoSpaceDE/>
        <w:autoSpaceDN/>
        <w:bidi w:val="0"/>
        <w:adjustRightInd/>
        <w:snapToGrid/>
        <w:spacing w:before="0" w:after="157" w:afterLines="50" w:line="360" w:lineRule="auto"/>
        <w:jc w:val="center"/>
        <w:textAlignment w:val="auto"/>
        <w:outlineLvl w:val="0"/>
        <w:rPr>
          <w:rFonts w:hint="default" w:ascii="Times New Roman" w:hAnsi="Times New Roman" w:cs="Times New Roman"/>
          <w:b w:val="0"/>
          <w:bCs w:val="0"/>
          <w:color w:val="auto"/>
          <w:sz w:val="32"/>
          <w:szCs w:val="32"/>
          <w:highlight w:val="none"/>
        </w:rPr>
      </w:pPr>
      <w:r>
        <w:rPr>
          <w:rFonts w:hint="default" w:ascii="Times New Roman" w:hAnsi="Times New Roman" w:cs="Times New Roman"/>
          <w:b/>
          <w:bCs/>
          <w:color w:val="auto"/>
          <w:sz w:val="32"/>
          <w:szCs w:val="32"/>
          <w:highlight w:val="none"/>
        </w:rPr>
        <w:br w:type="page"/>
      </w:r>
      <w:bookmarkStart w:id="86" w:name="_Toc1790"/>
      <w:r>
        <w:rPr>
          <w:rFonts w:hint="default" w:ascii="Times New Roman" w:hAnsi="Times New Roman" w:eastAsia="黑体" w:cs="Times New Roman"/>
          <w:b w:val="0"/>
          <w:bCs w:val="0"/>
          <w:color w:val="auto"/>
          <w:sz w:val="32"/>
          <w:szCs w:val="32"/>
          <w:highlight w:val="none"/>
        </w:rPr>
        <w:t>第四章 采购内容及要求</w:t>
      </w:r>
      <w:bookmarkEnd w:id="86"/>
    </w:p>
    <w:p>
      <w:pPr>
        <w:pStyle w:val="3"/>
        <w:rPr>
          <w:rFonts w:hint="default" w:ascii="Times New Roman" w:hAnsi="Times New Roman" w:eastAsia="宋体" w:cs="Times New Roman"/>
          <w:b/>
          <w:color w:val="auto"/>
          <w:sz w:val="30"/>
          <w:szCs w:val="30"/>
          <w:highlight w:val="none"/>
          <w:lang w:eastAsia="zh-CN"/>
        </w:rPr>
      </w:pPr>
      <w:bookmarkStart w:id="87" w:name="_Toc24722"/>
      <w:r>
        <w:rPr>
          <w:rFonts w:hint="default" w:ascii="Times New Roman" w:hAnsi="Times New Roman" w:eastAsia="宋体" w:cs="Times New Roman"/>
          <w:b/>
          <w:color w:val="auto"/>
          <w:sz w:val="30"/>
          <w:szCs w:val="30"/>
          <w:highlight w:val="none"/>
          <w:lang w:val="en-US" w:eastAsia="zh-CN"/>
        </w:rPr>
        <w:t>一</w:t>
      </w:r>
      <w:r>
        <w:rPr>
          <w:rFonts w:hint="default" w:ascii="Times New Roman" w:hAnsi="Times New Roman" w:eastAsia="宋体" w:cs="Times New Roman"/>
          <w:b/>
          <w:color w:val="auto"/>
          <w:sz w:val="30"/>
          <w:szCs w:val="30"/>
          <w:highlight w:val="none"/>
          <w:lang w:eastAsia="zh-CN"/>
        </w:rPr>
        <w:t>、项目概况及总体要求</w:t>
      </w:r>
      <w:bookmarkEnd w:id="87"/>
    </w:p>
    <w:p>
      <w:pPr>
        <w:pStyle w:val="4"/>
        <w:keepNext w:val="0"/>
        <w:keepLines w:val="0"/>
        <w:pageBreakBefore w:val="0"/>
        <w:widowControl w:val="0"/>
        <w:kinsoku/>
        <w:wordWrap/>
        <w:overflowPunct/>
        <w:topLinePunct w:val="0"/>
        <w:autoSpaceDE/>
        <w:autoSpaceDN/>
        <w:bidi w:val="0"/>
        <w:adjustRightInd/>
        <w:snapToGrid/>
        <w:spacing w:line="360" w:lineRule="auto"/>
        <w:ind w:firstLine="367" w:firstLineChars="175"/>
        <w:textAlignment w:val="auto"/>
        <w:rPr>
          <w:rFonts w:hint="default" w:ascii="Times New Roman" w:hAnsi="Times New Roman" w:cs="Times New Roman"/>
          <w:b/>
          <w:bCs w:val="0"/>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西安高新区第五十七幼儿园部室设备采购项目</w:t>
      </w:r>
      <w:r>
        <w:rPr>
          <w:rFonts w:hint="default" w:ascii="Times New Roman" w:hAnsi="Times New Roman" w:cs="Times New Roman"/>
          <w:b w:val="0"/>
          <w:bCs/>
          <w:color w:val="0000FF"/>
          <w:szCs w:val="21"/>
          <w:highlight w:val="none"/>
          <w:lang w:val="en-US" w:eastAsia="zh-CN"/>
        </w:rPr>
        <w:t>。</w:t>
      </w:r>
      <w:r>
        <w:rPr>
          <w:rFonts w:hint="default" w:ascii="Times New Roman" w:hAnsi="Times New Roman" w:cs="Times New Roman"/>
          <w:b/>
          <w:bCs w:val="0"/>
          <w:color w:val="auto"/>
          <w:szCs w:val="21"/>
          <w:highlight w:val="none"/>
          <w:lang w:val="en-US" w:eastAsia="zh-CN"/>
        </w:rPr>
        <w:t>本项目所属行业为其他未列明行业。</w:t>
      </w:r>
    </w:p>
    <w:p>
      <w:pPr>
        <w:pStyle w:val="3"/>
        <w:numPr>
          <w:ilvl w:val="0"/>
          <w:numId w:val="0"/>
        </w:numPr>
        <w:spacing w:before="120" w:beforeLines="50" w:after="120" w:afterLines="50" w:line="360" w:lineRule="auto"/>
        <w:rPr>
          <w:rFonts w:hint="default" w:ascii="Times New Roman" w:hAnsi="Times New Roman" w:eastAsia="宋体" w:cs="Times New Roman"/>
          <w:color w:val="auto"/>
          <w:sz w:val="30"/>
          <w:szCs w:val="30"/>
          <w:highlight w:val="none"/>
          <w:lang w:val="en-US" w:eastAsia="zh-CN"/>
        </w:rPr>
      </w:pPr>
      <w:bookmarkStart w:id="88" w:name="_Toc14176"/>
      <w:bookmarkStart w:id="89" w:name="_Toc12014425"/>
      <w:r>
        <w:rPr>
          <w:rFonts w:hint="default" w:ascii="Times New Roman" w:hAnsi="Times New Roman" w:eastAsia="宋体" w:cs="Times New Roman"/>
          <w:color w:val="auto"/>
          <w:sz w:val="30"/>
          <w:szCs w:val="30"/>
          <w:highlight w:val="none"/>
          <w:lang w:eastAsia="zh-CN"/>
        </w:rPr>
        <w:t>二、</w:t>
      </w:r>
      <w:r>
        <w:rPr>
          <w:rFonts w:hint="default" w:ascii="Times New Roman" w:hAnsi="Times New Roman" w:eastAsia="宋体" w:cs="Times New Roman"/>
          <w:color w:val="auto"/>
          <w:sz w:val="30"/>
          <w:szCs w:val="30"/>
          <w:highlight w:val="none"/>
          <w:lang w:val="en-US" w:eastAsia="zh-CN"/>
        </w:rPr>
        <w:t>设备采购清单</w:t>
      </w:r>
      <w:r>
        <w:rPr>
          <w:rFonts w:hint="default" w:ascii="Times New Roman" w:hAnsi="Times New Roman" w:eastAsia="宋体" w:cs="Times New Roman"/>
          <w:color w:val="auto"/>
          <w:sz w:val="30"/>
          <w:szCs w:val="30"/>
          <w:highlight w:val="none"/>
        </w:rPr>
        <w:t>与</w:t>
      </w:r>
      <w:bookmarkEnd w:id="88"/>
      <w:bookmarkEnd w:id="89"/>
      <w:r>
        <w:rPr>
          <w:rFonts w:hint="default" w:ascii="Times New Roman" w:hAnsi="Times New Roman" w:eastAsia="宋体" w:cs="Times New Roman"/>
          <w:color w:val="auto"/>
          <w:sz w:val="30"/>
          <w:szCs w:val="30"/>
          <w:highlight w:val="none"/>
          <w:lang w:val="en-US" w:eastAsia="zh-CN"/>
        </w:rPr>
        <w:t>参数</w:t>
      </w:r>
    </w:p>
    <w:p>
      <w:pPr>
        <w:keepNext/>
        <w:keepLines/>
        <w:pageBreakBefore w:val="0"/>
        <w:widowControl w:val="0"/>
        <w:kinsoku/>
        <w:wordWrap/>
        <w:overflowPunct/>
        <w:topLinePunct w:val="0"/>
        <w:autoSpaceDE/>
        <w:autoSpaceDN/>
        <w:bidi w:val="0"/>
        <w:adjustRightInd/>
        <w:snapToGrid/>
        <w:spacing w:before="0" w:after="0" w:line="360" w:lineRule="auto"/>
        <w:ind w:firstLine="420" w:firstLineChars="200"/>
        <w:textAlignment w:val="auto"/>
        <w:outlineLvl w:val="9"/>
        <w:rPr>
          <w:rFonts w:hint="default" w:ascii="Times New Roman" w:hAnsi="Times New Roman" w:eastAsia="宋体" w:cs="Times New Roman"/>
          <w:b w:val="0"/>
          <w:bCs/>
          <w:color w:val="auto"/>
          <w:kern w:val="2"/>
          <w:sz w:val="21"/>
          <w:szCs w:val="21"/>
          <w:highlight w:val="none"/>
          <w:lang w:val="en-US" w:eastAsia="zh-CN" w:bidi="ar-SA"/>
        </w:rPr>
      </w:pPr>
      <w:bookmarkStart w:id="90" w:name="_Toc18378"/>
      <w:bookmarkStart w:id="91" w:name="_Toc12014426"/>
      <w:r>
        <w:rPr>
          <w:rFonts w:hint="default" w:ascii="Times New Roman" w:hAnsi="Times New Roman" w:eastAsia="宋体" w:cs="Times New Roman"/>
          <w:b w:val="0"/>
          <w:bCs/>
          <w:color w:val="auto"/>
          <w:kern w:val="2"/>
          <w:sz w:val="21"/>
          <w:szCs w:val="21"/>
          <w:highlight w:val="none"/>
          <w:lang w:val="en-US" w:eastAsia="zh-CN" w:bidi="ar-SA"/>
        </w:rPr>
        <w:t>2.1卫生保健室</w:t>
      </w:r>
    </w:p>
    <w:tbl>
      <w:tblPr>
        <w:tblStyle w:val="17"/>
        <w:tblW w:w="97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4"/>
        <w:gridCol w:w="676"/>
        <w:gridCol w:w="6804"/>
        <w:gridCol w:w="739"/>
        <w:gridCol w:w="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序号</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设备名称</w:t>
            </w:r>
          </w:p>
        </w:tc>
        <w:tc>
          <w:tcPr>
            <w:tcW w:w="6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规格参数</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数量</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血压仪</w:t>
            </w:r>
          </w:p>
        </w:tc>
        <w:tc>
          <w:tcPr>
            <w:tcW w:w="68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测量范围压力范围：0mmHg-299mmHg  测量精度：压力±3mmHg  无操作后2分钟自动关机，高静音气泵，高清LCD大屏显示，智能加压，自动识别血压高低，血压偏高自动提示</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听诊器</w:t>
            </w:r>
          </w:p>
        </w:tc>
        <w:tc>
          <w:tcPr>
            <w:tcW w:w="68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镀镍锌合金听诊头听诊清晰、悬浮式震动膜片、密闭式硅胶耳塞屏蔽杂音，隐藏式耳挂，双管设计加厚加粗导音管，用于心脏及动静脉听音，肺部听音，幼儿听诊等</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视力灯箱</w:t>
            </w:r>
          </w:p>
        </w:tc>
        <w:tc>
          <w:tcPr>
            <w:tcW w:w="68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材质：高强度铝合金+亚克力</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规格：灯箱尺寸945*30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*35</w:t>
            </w:r>
            <w:r>
              <w:rPr>
                <w:rFonts w:hint="default" w:ascii="Times New Roman" w:hAnsi="Times New Roman" w:cs="Times New Roman"/>
                <w:i w:val="0"/>
                <w:iCs w:val="0"/>
                <w:color w:val="000000"/>
                <w:kern w:val="0"/>
                <w:sz w:val="21"/>
                <w:szCs w:val="21"/>
                <w:highlight w:val="none"/>
                <w:u w:val="none"/>
                <w:lang w:val="en-US" w:eastAsia="zh-CN" w:bidi="ar"/>
              </w:rPr>
              <w:t>m</w:t>
            </w:r>
            <w:r>
              <w:rPr>
                <w:rFonts w:hint="default" w:ascii="Times New Roman" w:hAnsi="Times New Roman" w:eastAsia="宋体" w:cs="Times New Roman"/>
                <w:i w:val="0"/>
                <w:iCs w:val="0"/>
                <w:color w:val="000000"/>
                <w:kern w:val="0"/>
                <w:sz w:val="21"/>
                <w:szCs w:val="21"/>
                <w:highlight w:val="none"/>
                <w:u w:val="none"/>
                <w:lang w:val="en-US" w:eastAsia="zh-CN" w:bidi="ar"/>
              </w:rPr>
              <w:t>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国际标准对数视力表，采用LED光源，高强度铝合金作箱体框架，视表板选用亚克力板，造型美观。</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氧气袋</w:t>
            </w:r>
          </w:p>
        </w:tc>
        <w:tc>
          <w:tcPr>
            <w:tcW w:w="68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default" w:ascii="Times New Roman" w:hAnsi="Times New Roman"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规格：30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65</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*40</w:t>
            </w:r>
            <w:r>
              <w:rPr>
                <w:rFonts w:hint="default" w:ascii="Times New Roman" w:hAnsi="Times New Roman" w:cs="Times New Roman"/>
                <w:i w:val="0"/>
                <w:iCs w:val="0"/>
                <w:color w:val="000000"/>
                <w:kern w:val="0"/>
                <w:sz w:val="21"/>
                <w:szCs w:val="21"/>
                <w:highlight w:val="none"/>
                <w:u w:val="none"/>
                <w:lang w:val="en-US" w:eastAsia="zh-CN" w:bidi="ar"/>
              </w:rPr>
              <w:t>0m</w:t>
            </w:r>
            <w:r>
              <w:rPr>
                <w:rFonts w:hint="default" w:ascii="Times New Roman" w:hAnsi="Times New Roman" w:eastAsia="宋体" w:cs="Times New Roman"/>
                <w:i w:val="0"/>
                <w:iCs w:val="0"/>
                <w:color w:val="000000"/>
                <w:kern w:val="0"/>
                <w:sz w:val="21"/>
                <w:szCs w:val="21"/>
                <w:highlight w:val="none"/>
                <w:u w:val="none"/>
                <w:lang w:val="en-US" w:eastAsia="zh-CN" w:bidi="ar"/>
              </w:rPr>
              <w:t>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配三通管，2米吸氧管，5米吸氧管，吸氧面罩各一。氧气袋不含氧气，需自行充氧</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卫生箱</w:t>
            </w:r>
          </w:p>
        </w:tc>
        <w:tc>
          <w:tcPr>
            <w:tcW w:w="68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材质：铝合金、中纤板</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尺寸：35</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*23</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*23</w:t>
            </w:r>
            <w:r>
              <w:rPr>
                <w:rFonts w:hint="default" w:ascii="Times New Roman" w:hAnsi="Times New Roman" w:cs="Times New Roman"/>
                <w:i w:val="0"/>
                <w:iCs w:val="0"/>
                <w:color w:val="000000"/>
                <w:kern w:val="0"/>
                <w:sz w:val="21"/>
                <w:szCs w:val="21"/>
                <w:highlight w:val="none"/>
                <w:u w:val="none"/>
                <w:lang w:val="en-US" w:eastAsia="zh-CN" w:bidi="ar"/>
              </w:rPr>
              <w:t>0m</w:t>
            </w:r>
            <w:r>
              <w:rPr>
                <w:rFonts w:hint="default" w:ascii="Times New Roman" w:hAnsi="Times New Roman" w:eastAsia="宋体" w:cs="Times New Roman"/>
                <w:i w:val="0"/>
                <w:iCs w:val="0"/>
                <w:color w:val="000000"/>
                <w:kern w:val="0"/>
                <w:sz w:val="21"/>
                <w:szCs w:val="21"/>
                <w:highlight w:val="none"/>
                <w:u w:val="none"/>
                <w:lang w:val="en-US" w:eastAsia="zh-CN" w:bidi="ar"/>
              </w:rPr>
              <w:t>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分层、分隔设计PP环保材质托盘可独立取出，精钢包角，坚固耐用。配有安全锁，开合方便。ABS防滑脚垫 带肩带</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体温计</w:t>
            </w:r>
          </w:p>
        </w:tc>
        <w:tc>
          <w:tcPr>
            <w:tcW w:w="68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材质：玻璃菱形水银体温计</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最高测量体温：42℃ 配PP外壳</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使用前用75°酒精消毒，并将水银柱甩到35.5℃常人腋下温度为30-37℃，口腔温度比腋下高0.2-0.4度，直肠温度比口腔温度高0.3-0.5℃儿童测量需在成人的监护下进行，防止水银中毒。</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jc w:val="center"/>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w:t>
            </w:r>
          </w:p>
        </w:tc>
        <w:tc>
          <w:tcPr>
            <w:tcW w:w="6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额温枪</w:t>
            </w:r>
          </w:p>
        </w:tc>
        <w:tc>
          <w:tcPr>
            <w:tcW w:w="68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体温及物温两种测温模式，测量范围：前额测量模式0°C~50°C，表面测量模式-22°C~80°C 高低温自动报警</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尺寸：15.5*4.5*3.9cm 精度：±0.3℃</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温度单位：摄氏度、华氏度</w:t>
            </w:r>
          </w:p>
        </w:tc>
        <w:tc>
          <w:tcPr>
            <w:tcW w:w="7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7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医用镊子</w:t>
            </w:r>
          </w:p>
        </w:tc>
        <w:tc>
          <w:tcPr>
            <w:tcW w:w="6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材质：304不锈钢防碘伏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产品款式：内含直头一把和弯头一把</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产品尺寸：16mm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升级款304不锈钢加厚款，使用手感好、不易变形。表面条纹防滑，适用于药品加持取用，弯头直头两个款式轻松夹取物品。</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jc w:val="center"/>
        </w:trPr>
        <w:tc>
          <w:tcPr>
            <w:tcW w:w="0" w:type="auto"/>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医用剪刀</w:t>
            </w:r>
          </w:p>
        </w:tc>
        <w:tc>
          <w:tcPr>
            <w:tcW w:w="6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材质：304不锈钢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产品款式：内含直头一把和弯头一把</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产品尺寸：16mm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采用不锈钢材质，耐腐蚀。无毛刺，无菱角。刃口锋利，不卷刀</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89"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w:t>
            </w:r>
          </w:p>
        </w:tc>
        <w:tc>
          <w:tcPr>
            <w:tcW w:w="67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止血带</w:t>
            </w:r>
          </w:p>
        </w:tc>
        <w:tc>
          <w:tcPr>
            <w:tcW w:w="6808"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材质：天然橡胶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口径：6*9mm 7.5米/包</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颜色：黄色</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乳胶管止血带弹性好、拉力好，不易断裂。</w:t>
            </w:r>
          </w:p>
        </w:tc>
        <w:tc>
          <w:tcPr>
            <w:tcW w:w="73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敷料缸</w:t>
            </w:r>
          </w:p>
        </w:tc>
        <w:tc>
          <w:tcPr>
            <w:tcW w:w="68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材质：304不锈钢防碘伏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产品尺寸：10*10cm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304不锈钢制成，表面光滑。耐腐、耐热性能力强。不锈钢内壁防滑耐用，盖子边缘卷边设计，圆润细腻防止划伤手掌。</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带盖方盘</w:t>
            </w:r>
          </w:p>
        </w:tc>
        <w:tc>
          <w:tcPr>
            <w:tcW w:w="68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材质：304不锈钢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规格：23</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*12</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cs="Times New Roman"/>
                <w:i w:val="0"/>
                <w:iCs w:val="0"/>
                <w:color w:val="000000"/>
                <w:kern w:val="0"/>
                <w:sz w:val="21"/>
                <w:szCs w:val="21"/>
                <w:highlight w:val="none"/>
                <w:u w:val="none"/>
                <w:lang w:val="en-US" w:eastAsia="zh-CN" w:bidi="ar"/>
              </w:rPr>
              <w:t>0mm，</w:t>
            </w:r>
            <w:r>
              <w:rPr>
                <w:rFonts w:hint="default" w:ascii="Times New Roman" w:hAnsi="Times New Roman" w:eastAsia="宋体" w:cs="Times New Roman"/>
                <w:i w:val="0"/>
                <w:iCs w:val="0"/>
                <w:color w:val="000000"/>
                <w:kern w:val="0"/>
                <w:sz w:val="21"/>
                <w:szCs w:val="21"/>
                <w:highlight w:val="none"/>
                <w:u w:val="none"/>
                <w:lang w:val="en-US" w:eastAsia="zh-CN" w:bidi="ar"/>
              </w:rPr>
              <w:t>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防碘伏，耐腐蚀，抗氧化。用于换药消毒</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贮槽</w:t>
            </w:r>
          </w:p>
        </w:tc>
        <w:tc>
          <w:tcPr>
            <w:tcW w:w="68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材质：304不锈钢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尺寸：20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*145</w:t>
            </w:r>
            <w:r>
              <w:rPr>
                <w:rFonts w:hint="default" w:ascii="Times New Roman" w:hAnsi="Times New Roman" w:cs="Times New Roman"/>
                <w:i w:val="0"/>
                <w:iCs w:val="0"/>
                <w:color w:val="000000"/>
                <w:kern w:val="0"/>
                <w:sz w:val="21"/>
                <w:szCs w:val="21"/>
                <w:highlight w:val="none"/>
                <w:u w:val="none"/>
                <w:lang w:val="en-US" w:eastAsia="zh-CN" w:bidi="ar"/>
              </w:rPr>
              <w:t>mm，</w:t>
            </w:r>
            <w:r>
              <w:rPr>
                <w:rFonts w:hint="default" w:ascii="Times New Roman" w:hAnsi="Times New Roman" w:eastAsia="宋体" w:cs="Times New Roman"/>
                <w:i w:val="0"/>
                <w:iCs w:val="0"/>
                <w:color w:val="000000"/>
                <w:kern w:val="0"/>
                <w:sz w:val="21"/>
                <w:szCs w:val="21"/>
                <w:highlight w:val="none"/>
                <w:u w:val="none"/>
                <w:lang w:val="en-US" w:eastAsia="zh-CN" w:bidi="ar"/>
              </w:rPr>
              <w:t>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不锈钢板材具有耐酸，耐碱性能，密度高，抛光无气泡无针孔等，侧面和底部都是可以旋转调节的</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器械缸</w:t>
            </w:r>
          </w:p>
        </w:tc>
        <w:tc>
          <w:tcPr>
            <w:tcW w:w="68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材质：201不锈钢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产品尺寸：10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*10</w:t>
            </w:r>
            <w:r>
              <w:rPr>
                <w:rFonts w:hint="default" w:ascii="Times New Roman" w:hAnsi="Times New Roman" w:cs="Times New Roman"/>
                <w:i w:val="0"/>
                <w:iCs w:val="0"/>
                <w:color w:val="000000"/>
                <w:kern w:val="0"/>
                <w:sz w:val="21"/>
                <w:szCs w:val="21"/>
                <w:highlight w:val="none"/>
                <w:u w:val="none"/>
                <w:lang w:val="en-US" w:eastAsia="zh-CN" w:bidi="ar"/>
              </w:rPr>
              <w:t>0m</w:t>
            </w:r>
            <w:r>
              <w:rPr>
                <w:rFonts w:hint="default" w:ascii="Times New Roman" w:hAnsi="Times New Roman" w:eastAsia="宋体" w:cs="Times New Roman"/>
                <w:i w:val="0"/>
                <w:iCs w:val="0"/>
                <w:color w:val="000000"/>
                <w:kern w:val="0"/>
                <w:sz w:val="21"/>
                <w:szCs w:val="21"/>
                <w:highlight w:val="none"/>
                <w:u w:val="none"/>
                <w:lang w:val="en-US" w:eastAsia="zh-CN" w:bidi="ar"/>
              </w:rPr>
              <w:t>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304不锈钢制成，表面光滑。耐腐、耐热性能力强。不锈钢内壁防滑耐用，盖子边缘卷边设计，圆润细腻防止划伤手掌。</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三角巾</w:t>
            </w:r>
          </w:p>
        </w:tc>
        <w:tc>
          <w:tcPr>
            <w:tcW w:w="68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材质：加厚无纺布（10小袋/包）</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规格：96</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*96</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*136</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cm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包装：自封袋独立包装</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重量：约15g</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压舌板</w:t>
            </w:r>
          </w:p>
        </w:tc>
        <w:tc>
          <w:tcPr>
            <w:tcW w:w="68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材质：304不锈钢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规格：长*大头宽*小头宽16*1.8*1cm</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jc w:val="center"/>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w:t>
            </w:r>
          </w:p>
        </w:tc>
        <w:tc>
          <w:tcPr>
            <w:tcW w:w="6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口镜</w:t>
            </w:r>
          </w:p>
        </w:tc>
        <w:tc>
          <w:tcPr>
            <w:tcW w:w="68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材质：食品级不锈钢材质</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尺寸：15.3cm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重量：20克</w:t>
            </w:r>
          </w:p>
        </w:tc>
        <w:tc>
          <w:tcPr>
            <w:tcW w:w="7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额镜</w:t>
            </w:r>
          </w:p>
        </w:tc>
        <w:tc>
          <w:tcPr>
            <w:tcW w:w="6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材质：304不锈钢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规格：直径8*2cm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固定方式：自贴扣固定</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jc w:val="center"/>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w:t>
            </w:r>
          </w:p>
        </w:tc>
        <w:tc>
          <w:tcPr>
            <w:tcW w:w="67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叩诊锤</w:t>
            </w:r>
          </w:p>
        </w:tc>
        <w:tc>
          <w:tcPr>
            <w:tcW w:w="680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材质：锌合金、硅胶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规格：全长18cm，锤头长6cm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垂头顶部可旋出钢针，针长4.8cm，尾部可旋出刷子。</w:t>
            </w:r>
          </w:p>
        </w:tc>
        <w:tc>
          <w:tcPr>
            <w:tcW w:w="73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78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w:t>
            </w:r>
          </w:p>
        </w:tc>
        <w:tc>
          <w:tcPr>
            <w:tcW w:w="67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变色图谱</w:t>
            </w:r>
          </w:p>
        </w:tc>
        <w:tc>
          <w:tcPr>
            <w:tcW w:w="6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全图能对红、黄、绿、蓝、紫色觉进行全面检查并对红绿、蓝紫色弱做重中轻三分类，对色视觉检查可达定性和半定量标准。</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7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9" w:hRule="atLeast"/>
          <w:jc w:val="center"/>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w:t>
            </w:r>
          </w:p>
        </w:tc>
        <w:tc>
          <w:tcPr>
            <w:tcW w:w="6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测量尺</w:t>
            </w:r>
          </w:p>
        </w:tc>
        <w:tc>
          <w:tcPr>
            <w:tcW w:w="680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材质：PP塑料</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尺寸：1.1*150cm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制式标准：厘米制、市尺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按国际比例尺寸刻制。</w:t>
            </w:r>
          </w:p>
        </w:tc>
        <w:tc>
          <w:tcPr>
            <w:tcW w:w="73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7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22</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器械台</w:t>
            </w:r>
          </w:p>
        </w:tc>
        <w:tc>
          <w:tcPr>
            <w:tcW w:w="6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材质：不锈钢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规格：66*44*89cm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不锈钢材质（430），一体焊接成型，带双抽，坚固耐用、易清洗不变形。静音防滑锁轮，边角打磨设计不割伤不刮伤。</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23</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身高体重秤</w:t>
            </w:r>
          </w:p>
        </w:tc>
        <w:tc>
          <w:tcPr>
            <w:tcW w:w="6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53*28*88cm 称重2kg-200kg 量高70-190cm 电子版</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jc w:val="center"/>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w:t>
            </w:r>
          </w:p>
        </w:tc>
        <w:tc>
          <w:tcPr>
            <w:tcW w:w="67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紫外线灯消毒车</w:t>
            </w:r>
          </w:p>
        </w:tc>
        <w:tc>
          <w:tcPr>
            <w:tcW w:w="6808"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灯管功率：30W*2</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灯管数量：2支 建议使用面积：≥30㎡ 电源电压：220V±10% 电源频率：50HZ±10% 紫外线主波长253.7m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电源线长：1.7米</w:t>
            </w:r>
          </w:p>
        </w:tc>
        <w:tc>
          <w:tcPr>
            <w:tcW w:w="73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8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综合型急救箱</w:t>
            </w:r>
          </w:p>
        </w:tc>
        <w:tc>
          <w:tcPr>
            <w:tcW w:w="68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材质：铝塑面板，铝合金框架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箱体尺寸：35</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*23</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*23</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铝合金结构，镀银旋转式提手，厚实五金锁具，分隔分层设计，内含5大类30种常见急救品，环保PP材质托盘</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污物箱</w:t>
            </w:r>
          </w:p>
        </w:tc>
        <w:tc>
          <w:tcPr>
            <w:tcW w:w="68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材质：PP原料、聚乙烯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规格：30L 开合方式：密封袋盖结构、脚踏开关垃圾桶密封防臭阻止异味、筒身加用料更结实耐用。配医疗废物专用垃圾袋200个</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幼儿诊查床</w:t>
            </w:r>
          </w:p>
        </w:tc>
        <w:tc>
          <w:tcPr>
            <w:tcW w:w="68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尺寸：160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*60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*6</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0</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加固加厚钢材，防滑脚垫，床面采用高密度回弹海绵及优质弹力皮革</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可折叠收纳</w:t>
            </w:r>
            <w:r>
              <w:rPr>
                <w:rFonts w:hint="default" w:ascii="Times New Roman" w:hAnsi="Times New Roman" w:cs="Times New Roman"/>
                <w:i w:val="0"/>
                <w:iCs w:val="0"/>
                <w:color w:val="000000"/>
                <w:kern w:val="0"/>
                <w:sz w:val="21"/>
                <w:szCs w:val="21"/>
                <w:highlight w:val="none"/>
                <w:u w:val="none"/>
                <w:lang w:val="en-US" w:eastAsia="zh-CN"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保健室医生桌</w:t>
            </w:r>
          </w:p>
        </w:tc>
        <w:tc>
          <w:tcPr>
            <w:tcW w:w="68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材质：标准E1级颗粒板材 </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规格：1200*600*750mm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经过防虫防腐处理，全自动机器封边，整体全板式+五金结构</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jc w:val="center"/>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29</w:t>
            </w:r>
          </w:p>
        </w:tc>
        <w:tc>
          <w:tcPr>
            <w:tcW w:w="6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保健室医生椅</w:t>
            </w:r>
          </w:p>
        </w:tc>
        <w:tc>
          <w:tcPr>
            <w:tcW w:w="68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材质：网布、高密度回弹棉、塑胶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材质坚硬、防静电，抗冲击、可升降、360度旋转，方便操作。</w:t>
            </w:r>
          </w:p>
        </w:tc>
        <w:tc>
          <w:tcPr>
            <w:tcW w:w="7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诊查枕头</w:t>
            </w:r>
          </w:p>
        </w:tc>
        <w:tc>
          <w:tcPr>
            <w:tcW w:w="6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材质：优质加绒PVC植绒</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规格：41*30*8-10cm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采用贴合颈椎的凹形曲线设计，柔软舒适的植绒面料，高频热压成型接缝技术，防漏气，可安全使用。可吹气</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jc w:val="center"/>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31</w:t>
            </w:r>
          </w:p>
        </w:tc>
        <w:tc>
          <w:tcPr>
            <w:tcW w:w="67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药品柜</w:t>
            </w:r>
          </w:p>
        </w:tc>
        <w:tc>
          <w:tcPr>
            <w:tcW w:w="680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尺寸：850*上深2500下深500*1800mm                           </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柜体采用优质SPCC冷轧钢板材制作，中间带有2个抽屉，抽屉滑道采用三节静音式滑轮。304不锈钢台面耐磨耐腐蚀</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层板可调节</w:t>
            </w:r>
          </w:p>
        </w:tc>
        <w:tc>
          <w:tcPr>
            <w:tcW w:w="73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8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w:t>
            </w:r>
          </w:p>
        </w:tc>
        <w:tc>
          <w:tcPr>
            <w:tcW w:w="67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文件柜</w:t>
            </w:r>
          </w:p>
        </w:tc>
        <w:tc>
          <w:tcPr>
            <w:tcW w:w="6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规格：90*39*185cm材质厚度：0.6毫米、冷轧钢优质冷轧板，望通锁，热固型环保粉末喷涂，上2下1活板，ABS拉手</w:t>
            </w:r>
          </w:p>
        </w:tc>
        <w:tc>
          <w:tcPr>
            <w:tcW w:w="73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w:t>
            </w:r>
          </w:p>
        </w:tc>
        <w:tc>
          <w:tcPr>
            <w:tcW w:w="6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白大褂</w:t>
            </w:r>
          </w:p>
        </w:tc>
        <w:tc>
          <w:tcPr>
            <w:tcW w:w="680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材质：纯棉</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规格：女式 L码净成衣胸围104cm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7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34</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眼保健操挂图</w:t>
            </w:r>
          </w:p>
        </w:tc>
        <w:tc>
          <w:tcPr>
            <w:tcW w:w="6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材质：铜版纸双面覆膜</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规格：40*60mm</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张</w:t>
            </w:r>
          </w:p>
        </w:tc>
      </w:tr>
    </w:tbl>
    <w:p>
      <w:pPr>
        <w:keepNext/>
        <w:keepLines/>
        <w:pageBreakBefore w:val="0"/>
        <w:widowControl w:val="0"/>
        <w:kinsoku/>
        <w:wordWrap/>
        <w:overflowPunct/>
        <w:topLinePunct w:val="0"/>
        <w:autoSpaceDE/>
        <w:autoSpaceDN/>
        <w:bidi w:val="0"/>
        <w:adjustRightInd/>
        <w:snapToGrid/>
        <w:spacing w:before="157" w:beforeLines="50" w:after="0" w:line="360" w:lineRule="auto"/>
        <w:ind w:firstLine="420" w:firstLineChars="200"/>
        <w:textAlignment w:val="auto"/>
        <w:outlineLvl w:val="9"/>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2.2科学发现室</w:t>
      </w:r>
    </w:p>
    <w:tbl>
      <w:tblPr>
        <w:tblStyle w:val="17"/>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089"/>
        <w:gridCol w:w="6945"/>
        <w:gridCol w:w="660"/>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序号</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名称</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规格参数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奇妙的磁力</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产品尺寸：435x310x115mm（木盒），误差不超过10mm。                          产品描述：奇妙的磁力通过有趣的磁力实验向幼儿展示了磁极、磁化、同性相斥，异性相吸等磁的现象。通过游戏，幼儿可以提升探索能力、动手操作能力并理解生活中一些简单的磁力现象。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5"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小小机械师</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产品尺寸：425x295x95mm（木盒），误差不超过10mm。                                      产品描述：这是一款展示机械传动的实验盒，归类于Spielwelle“学习工场”中。在这里，孩子们把基本的机械元素看作玩具，进而引入到游戏实验中。这款游戏包含了实验所需的机械元件和22个基本的机械学原理实验。孩子们在实验中可以插入固定棒、转动手摇柄、传递旋转运动、改变旋转方向或者发出声音，这些都是最基础的机械传动原理，正是这些简单的原理和机械装置在几百年的时间里帮助人们减轻了很多的工作负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4"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声学教学盒</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产品尺寸：530x270x120mm（木盒），误差不超过10mm。            </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产品描述：在这款游戏中孩子们有机会尝试感受声音、声调和节奏，从而更好地理解声学现象。实验盒里面包含有16款关于击打乐器、鼓风器和弦乐器音调的有趣游戏和实验。配有教师指导用书。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光影教学盒</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产品尺寸：530x270x120mm（木盒），误差不超过10mm。                           产品描述：这是一款光学实验游戏，引领孩子们利用光以及延伸物理现象进行游戏实验。孩子们通过观察实验现象所产生的变化来学习光和影，每一款光学现象实验都有简短的物理现象介绍，不需要很强的专业背景知识就能理解。配有教师指导用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科探钻孔机（新）</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产品尺寸：300x200x372mm ，误差不超过10mm。                                         产品描述：大多数孩子都对手工艺类的操作活动怀有浓厚的兴趣，尤其是真正的机器和工具。这台科探钻孔机让幼儿也可以使用钻孔机，并在木块的准确位置上钻孔，它仅仅依靠肌肉力量作为所需动力，而不需要通过电流运转。因为钻孔机的主体齿轮装置在透明的丙烯酸玻璃箱中，孩子们通过观察能够更好地理解这套动力系统的运作原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传声筒</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产品尺寸：包装尺寸：490x460x218mm，误差不超过10mm。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产品描述：可供8个孩子在12米的范围内组成一个电话网。孩子虽看不见对方，却可以通过我们的传声筒交谈，以提高表达和倾听能力，是室内活动的最佳选择。</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造纸术</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包装尺寸：210x130x55mm，误差不超过10mm。                        </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产品描述：在造纸框、纸片和水的帮助下孩子会在实验中发现造纸的秘密。他们会自己观察有趣的过程——纸是怎样从含水的纸浆中产生的。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科学物理实验台</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包装尺寸：900x700x440mm，误差不超过10mm。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产品描述：孩子们天生对实验和发明抱有浓厚的兴趣。 这款科学物理实验台为年轻探险家提供了发现机械现象和关系所需的一切，为孩子打开一扇探索物理世界的大门。（含有15张实验图例卡）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超能科学物理实验台玩具</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包装尺寸：490×775×300mm，误差不超过10mm。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产品描述：让这款超酷的实验台为孩子开启科学世界的大门！包含超过15种实验所需的各种零配件，操作简单；满足四岁及以上孩子探索未知世界，学习科学原理的愿望。</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科学物理实验台玩具</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包装尺寸：366×445×245mm，误差不超过10mm。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产品描述：想要成为科学家？从这款可以操作十几种物理实验的工作台开始吧。哪怕是只有四岁的孩子也可以玩转实验，并从中学到科学知识。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科学物理实验箱玩具</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包装尺寸：300×266×87mm，误差不超过10mm。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产品描述：这个小小的盒子真是个百宝箱！里面有六个好玩的物理实验所需的装置配件和工具，即使是只有四岁的孩子也可以轻松地完成实验并从中学到科学知识。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科学物理实验组合套玩具</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包装尺寸：265×240×50mm，误差不超过10mm。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产品描述：快来看看怎么组装至少三个有趣的实验装置：机械抓手、吊机和爬绳青蛙，就算你是四岁的孩子也可以轻松完成，还能学到科学知识。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科学物理实验基础套玩具</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包装尺寸：260×300×60mm，误差不超过10mm。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产品描述：基础实验套装帮你加深对物理和工程的理解。内含便利的工具、零配件和启蒙搭建项目，可以和其它小发明家套装组合使用。只要有创意，发明无极限。</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科学物理实验进阶套玩具</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包装尺寸：390×300×70mm，误差不超过10mm。</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产品描述：升级实验套装帮你深入拓展对物理和工程的理解。内含便利的工具、足量零部件、螺旋桨、LED灯，配套的启蒙搭建卡片提供拼搭创意，还可以和其它小发明家套装组合使用。只要有创意，发明无极限。</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科学物理实验磁力套玩具</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包装尺寸：260×240×50mm，误差不超过10mm。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产品描述：七个磁力实验带你一起探索神奇的磁感应世界。绝对是小科学家和发明者的最爱！</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科学物理实验光学套玩具</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包装尺寸：300×240×100mm，误差不超过10mm。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产品描述：八个实验带你一起探索五光十色的光学世界。绝对是小科学家和发明者的最爱！</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树脂球套装</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产品尺寸：340x125x55mm（木盒），误差不超过10mm。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产品描述：感官球游戏，带孩子走入感官世界！孩子们可以通过彩色的树脂球观察周围事物，获得丰富多彩的视觉体验。</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感官积木套装，12pcs</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产品尺寸：正方形150x150x38mm；长方形150x75x38mm；正三角形边长150mm；半圆直径150mm，误差不超过10mm。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产品描述：由榉木、亚克力、填充物、沙子、液体、珠子等材质组成。</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隧道镜</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产品尺寸</w:t>
            </w:r>
            <w:r>
              <w:rPr>
                <w:rFonts w:hint="eastAsia"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Ø500x56mm，误差不超过10mm。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产品描述：打开光源，通过隧道镜，你可以看见什么？深邃的“外太空”，还是神秘的“虫洞”？可充电，充电时间为4-6小时，单色放电6-8小时。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八倍望远镜</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包装尺寸：150x50x150mm，误差不超过10mm。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产品描述：用这个8倍望远镜能更近地观察远处的物体哦！它采用可持续的环保竹材，很适合观察鸟类和动物。望远镜上有一根腕带可以挂在手上，另外还有个配套的收纳袋，方便外出携带。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迷藏潜望镜</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产品尺寸：57x57x300mm，误差不超过10mm。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产品描述：用这款酷酷的潜望镜来玩捉迷藏吧！它采用可持续的环保竹材，可以从墙壁窥视里面的兔洞和鸟洞。潜望镜上有一根腕带可以挂在手上，方便外出携带。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放大镜、口哨探索套</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包装尺寸：165x270x165mm，误差不超过10mm。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产品描述：可以用这个便携的4倍放大镜近距离地观察树叶、瓢虫和自然界的一切事物。当你发现了有趣的东西，吹两下哨声来通知你的小伙伴吧！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植物标本DIY套盒</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包装尺寸：187x77x187mm，误差不超过10mm。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产品描述：采集叶子和花朵，用工具盒将它们压制做成标本，或者使用颜料、画笔和贴纸，把干燥的植物变成色彩斑斓的艺术品。</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蝴蝶捕捉网</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产品尺寸：735x215x30mm，误差不超过10mm。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产品描述：无论是抓鱼还是捕蝴蝶，这款轻巧的捕捉网都是你的好帮手！采用环保材料制成，适合小探索者们户外使用。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拉环蓄能手电筒</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产品尺寸：42x42x135mm，误差不超过10mm。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产品描述：不用再担心电池了！用这款手电筒可以通过拉环自己发电。采用竹子和生物塑料制成。</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昆虫观察罐</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产品尺寸：72x72x85mm，误差不超过10mm。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产品描述：采用环保材料制造的随身“实验室”，有了它就可以近距离地观察捉到的昆虫。包括放大镜、坐标网和气孔，气孔可以保持标本活性。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指南针&amp;挂钩套装</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产品尺寸：包装尺寸：150x150x35mm，误差不超过10mm。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产品描述：准备好户外探险了吗？这款入门级露营套装包含一个指南针和一个挂钩。采用环保材料制成。挂钩承重不超过十公斤，可以悬挂、固定随行装备。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探索系列-野生动物脚印</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产品尺寸：约80mm，误差不超过10mm。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产品描述：材质：石头、树脂，化石包含：狮子、大象、犀牛、鸵鸟、斑马、猎豹、长颈鹿、河马。</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探索系列-农场动物脚印</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产品尺寸：约80mm，误差不超过10mm。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产品描述：材质：石头、树脂，化石包含：牛、马、绵羊、猪、狗、猫、鸡、鸭。</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探索系列-森林动物脚印</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产品尺寸：约80mm，误差不超过10mm。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产品描述：化石包含：松鼠、狐狸、兔子、鹰、青蛙、鹿、猫头鹰、老鼠。</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探索系列-远古化石</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产品尺寸：约80mm，误差不超过10mm。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产品描述：材质：石头、树脂，化石包含：蕨类植物、三叶虫、虾、蛤壳、鲨鱼的牙齿、叶子、菊石、海胆。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恐龙骨骼套装</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产品尺寸：6cm、8cm、10cm、12cm、14cm、16cm、18cm、20cm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产品描述：材质：石头、树脂，化石包含：这些恐龙骨骼是由持久而独特的混合物铸造而成的，该组包括16根骨头(大小分为8根)。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恐龙骨骼匹配测量卡</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产品尺寸：275x210mm，每套包括16张卡片，误差不超过10mm。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产品描述：材质：pvc，将恐龙骨骼与这些活动卡一起使用。它们将鼓励孩子们匹配、计数、比较、排序和测量.该卡由耐用的PVC制成，足够坚固，可以在室外区域使用（包括玩水）。</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探索系列-恐龙脚印</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产品尺寸：约90mm，误差不超过10mm。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产品描述：材质：石头、树脂，化石包含：食草：雷龙、剑龙、三角恐龙、棱齿龙、禽龙。食肉： 恐爪龙、翼龙、雷克斯霸王龙。</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世界物种栖息地</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产品描述：世界物种栖息地介绍了生活在7个不同大洲的动物物种。世界物种栖息地可与世界地图拼图配合使用。</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套装包括：28个塑料动物，7张大洲卡，图片卡和标签卡，1份复印卡和说明书，全部装在榉木盒中。</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生物演化史之动物和图册</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产品描述：材料包括一套大型高质量的塑胶动物26个，一本带有每种动物相关介绍的书。这款产品可配套生物进化史之时间轴（一同使用）。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超大放大镜</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6个1组 11cm  6个1组(11组)，含收纳架，鼓励幼儿物归原处的好习惯。约4.5倍的放大倍率，观察昆虫或或植物的好帮手。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超大吸管</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尺寸：120x55mm，误差不超过10mm。含6只吸管，1个立架，6种不同颜色的吸管。  可区分不同种类的实验溶液，可搭配超大试管适用。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超大试管</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尺寸：150x35mm，误差不超过10mm。含6只试管，1个立架，可实验温度从10*~200F，有刻度区分2550，75和100毫升，6种不同颜色的盖子，可以区分不同种类的实验溶液。</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安全护目镜</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材质：PC、ABS。尺寸：高约18cm，底座直径约16.5cm。误差不超过10mm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 件套，外加一个可站立的架子。可伸缩的安全护目镜，适合每位幼儿。符合安全标准，培养幼儿安全实验的意识，做好安全防护。</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惯性赛车</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材质：木制。</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尺寸：约360×320×100mm。误差不超过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内含6 辆车。为何轨道没有相连但是赛车不会飞出轨道？通过探究，帮助幼儿理解惯性动力的概念。</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昆虫标本探索家</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材质：PVC、树脂。</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尺寸：学习卡约170×140mm。误差不超过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通过仿真标本模型，让幼儿变成小小昆虫学家，不仅能认识蝴蝶、蜜蜂、蜻蜓、锹形虫及茧，也可通过操作学习卡拓展了解昆虫相关知识。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海洋生物标本探索家</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材质：树脂、PVC、纤维。内含5 张双面学习卡、5 种海洋生物标本模型及1 只放大镜。通过仿真标本模型，让幼儿变成小小海洋生物学家，不仅能认识海星、食人鱼、鲨鱼、魟鱼及海棉，也可通过操作学习卡延伸学习海洋生物相关知识。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鸟类标本探索家</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材质：树脂、PVC、纤维。通过仿真标本模型，让幼儿变成小小鸟类学家，不仅能认识老鹰、猫头鹰、乌鸦、孔雀及麻雀，也可通过操作学习卡拓展了解鸟类相关知识。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小鸡成长史</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材质：ABS。尺寸：蛋约7cm。小鸡成长史学具共21 个鸡蛋。记录了小鸡不同时期的成长变化，打开蛋壳会有小鸡不同时期的成长记录，直观地展现了小鸡的成长过程与生命周期。</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9"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人体器官挂袋</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材质：布制。</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尺寸：700×500mm，误差不超过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内含有14 个中文名称标签贴（可自粘）和1 本认识人体器官手册。人体器官挂袋帮助幼儿学习人体科学。认识人体的主要器官，脑、心、肝、肺、胃和肠等14 个器官。</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天气日历挂袋</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材质：600D牛津布纸卡，尺寸：700×1000mm，误差不超过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内含1个挂袋+8套卡片（98张卡片）。天气日历挂袋，材质优良，可以挂在墙面或桌面上进行操作。锻炼幼儿动手操作能力，能让幼儿认识日期和天气情况，迁移生活经验，体验时间、季节、天气变化。</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立式气象站</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材质：安全塑料。尺寸：140 cm。综合式的气象观察站，有风向计、雨量计、风速计、温度计。可观察当地每日、每季的气象变化状况，方便幼儿记录、观察，并养成观察记录的好习惯。</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生物观察箱</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材质：ABS、PP、LDPE、PVC、GPPS。尺寸：250×180×250 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具有5 倍放大功能的观察箱，可将昆虫、植物或活体生物放置于观察箱中进行清晰观察。观察箱有透气孔、有旋转盖锁和手柄，幼儿使用方便。</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根茎植物观察箱</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材质：安全塑料。尺寸：240×150×400mm，误差不超过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观察根茎植物的生长历程。配备自动浇水室，以保持土壤湿润。培养幼儿科学探索的精神。</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彩虹调色家</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材质：ABS、橡胶。尺寸：桶高12cm 直径13 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共9 个配件。含量杯和量匙，幼儿可以利用材料快速地测量出颜料溶液比例，自行创作出各种不同的色彩。通过测量与记录的过程，掌握科学探究的方法。</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实验家科学组</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材质：ABS、PVC、PP、纸。尺寸：185×260×140mm，误差不超过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成为小小科学家，从这套完备的实验套装开始。包括瓶、试管架、试管、安全眼镜、吸管等，激发幼儿科学探索的乐趣。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超大磁性青蛙的一生</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材质：磁铁。</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尺寸：200×200mm，误差不超过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很直观地展现了青蛙的成长过程与生命周期。帮助幼儿理解，开展科学观察，也可用于情境故事创编。</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超大磁性蝴蝶的一生</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材质：磁铁。</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尺寸：220×170mm，误差不超过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很直观地展现了蝴蝶的成长过程与生命周期。帮助幼儿理解，开展科学观察，也可用于情境故事创编。</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地板拼图- 世界地图</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材质：纸质。</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尺寸：600×910mm，误差不超过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33 片超厚拼图，表面易于清洁。幼儿可以根据局部与整体的关系拼搭出完整的地图，了解世界布局，探索世界各大洲和他们的一些动物及居民。初步感知世界地理知识。锻练幼儿手眼协调、逻辑推理能力。</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水耕植物培养试管</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材质：METAL。</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尺寸：约254x197x95mm，误差不超过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试试看用水栽培、泥土栽培、沙子栽培，哪一种会长的最快？或是观察生长状况会有，什么不同？亦可尝试栽种各种不同的植物横向比较，学会分类与对比。</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无土植物生长瓶</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材质：PMMA、PP、ABS。</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尺寸：约231×224×109mm，误差不超过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内含2 个生长瓶、2 支攀附杆、2 个种子篮及1 本观察日记。通过趣味造型生长瓶来观察水培植物的生长原理。观察并记录植物生长过程，了解丰富的趣味知识。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3"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听诊器</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材质：塑胶。</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尺寸：约155×349mm，误差不超过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1 件听诊器可以用来听心脏的声音，帮助幼儿进行扮演游戏的开展，也可以用于科学领域，认识听诊器，并帮助幼儿知道听诊器的工作原理。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超大牙齿模型</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材质：安全塑料。</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尺寸：牙齿120×160×200mm；牙刷250×20mm。误差不超过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可观察牙齿整体结构，各颗牙齿结构，计数牙齿的数目，学习正确刷牙的方式。</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磁铁学习组</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材质：磁铁、塑料。尺寸：车子11 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有大磁棒、磁力车、量尺，学习磁力的互吸互斥作用以及磁力的运用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调色实验桶</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材质：PP、ABS、PVC、橡胶。尺寸：放大镜11 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 种英文活动指引。内含放大镜、漏斗、吸管、烧瓶、夹子、护目镜、大试管2 个、盖子2 个。可供开展气体实验、奶油分离实验、盐水实验、糖浆与油实验、结晶实验、橙子或鸡蛋的浮沉实验，制作柠檬汁、颜色实验、油盐水实验等。</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手持凹凸镜</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材质：ABS。尺寸：约镜面直径11.5cm，加手柄总长23cm。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红、黄、蓝、绿、橙、紫六色手持凹凸镜各1 个。通过游戏和实验活动培养幼儿的预测与推断技能，初步感知并探索面镜、透镜成像的现象。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100-1200倍缩放显微镜</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材质：塑料产品尺寸：显微镜23cm </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内含1架微型切片机、1组幻灯片、3个收集小瓶、1组空白标签、1个玻璃罩、1个皮氏培养皿、1把手术刀、1个镊子、1个滑盖、1个手机适配器。共计12件。通过转动手轮，调节显目镜的焦距去观察微小的物体。内含手机支架，手机支架可固定在显微镜上面，手机的照相镜头要正对准显微镜的目镜。</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显微玻片12 片组</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材质：PMMA。</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尺寸：约7.5cm。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共36 种不同玻片标本可供观察。通过显微镜观察玻片，发展观察能力。</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滑轮机械学习组</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材质：ABS、铁、尼龙。</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内含小车、轮滑器、小翘翘板、3 个小砝码、螺旋模拟器及10 张学习卡。为什么加了轮子让小盒能更好移动呢? 通过有趣的学习活动，让幼儿了解轮滑、杠杆、轮轴、斜面、楔形及螺旋6 种简单的机械原理。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趣味发音盒</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材质：ABS安全塑料、电子元件产品尺寸：15cm(L)×12cm(W)×6.5cm(H)，误差不超过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内含趣味发音盒×3（红黄蓝），纽扣锂电池×3、专用充电器×1。共计7pcs。优质方形塑料发音盒，可录音30秒，声音清晰，可以用于传统的听声辩物、听声辨人。通过录自己的声音并倾听，帮助幼儿认识自己。</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3"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扩焦望远镜</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材质：ABS、TPE、尼龙、PVC。</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尺寸：150×120×50mm。误差不超过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可扩焦3 倍，有英文指引。让幼儿可双眼同时自然地观察细微的动物或植物，不需眯着眼睛观察。</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科学游戏组- 沉浮</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材质：PP、PVC、木制。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尺寸：学习卡约200×200mm。误差不超过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如何让浮在水面的物体沉到水底？沉到水底的青蛙如何让它浮在水面上？搭配学习卡，动手探索吧！幼儿通过动手实验认识浮力原理，体验各种材质与浮力的关系。</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8"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磁性弹珠台</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材质：MAGNETSET。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尺寸：最长零件约250×50mm。误差不超过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思考如何让小弹珠沿着轨道，滑落至下方顺利进洞？试试怎样的轨道排列会让弹珠更快滑落？通过实验，了解简易物体运动原理，培养幼儿解决问题的能力。</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惯性与重力学习</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轨道长30cm，架高23.5cm  内含摆锤球、支架、2个轨道2台车4个方块及10张学习卡。认识引力、惯性、摩擦力及推拉等简易物理原理。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颜色魔镜</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w:t>
            </w:r>
            <w:r>
              <w:rPr>
                <w:rFonts w:hint="eastAsia"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14cm  透过单色或双镜片，观察颜色的变化。也可自制颜色卡片，当戴上红色镜片观察哪些颜色不见了?换上绿色又变成出现哪些图案?</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小手灵活训练</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4种不同的夹物品工具，帮助小朋友训练手眼协调的灵活度。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行星投影机</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内含投影机、2张投影片共16张影像，需2个AA电池(不含)。  宇宙行星、绚丽银河近在眼前，小巧好携带能够投射在多种表面，学习简单的天文学知识。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超大八大行星</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材质：乙烯基、PE、EVA、PVC尺寸：太阳58cm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薄软胶可充气，8种行星，含英文活动指引。我们居住在地球这颗行星上，有水、空气、动植物。除了太阳与月亮，你知道我们附近还有什么星体吗？有什么星球有生物？将教室布置成太阳系，吸引幼儿探索星际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蚂蚁工厂</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w:t>
            </w:r>
            <w:r>
              <w:rPr>
                <w:rFonts w:hint="eastAsia"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220x380mm。误差不超过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含沙子，不含蚂蚁。  包括24页指南书(英文)。蚂蚊是高度社会化形态的动物，让小朋友通过观察蚂蚊的生态，培养观察力、注意力，学会尊重。爱惜生命。</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水底探测船</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250*120*60mm，误差不超过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船底部用固定3倍放大器，可以在游泳池或是安全的小水池观察水底下的物品，能够清楚地看到细节。</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火箭发射组</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w:t>
            </w:r>
            <w:r>
              <w:rPr>
                <w:rFonts w:hint="eastAsia"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基座15cn，火箭13cm。内含基座、发射台、火箭及活动指引。调整基座方向，按下发射台，发射火箭。在趣味活动中，学习太空科学知识。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变色平面镜</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含1个镜框、红、黄、蓝镜片各1片。  观察红+黄会变成什么颜色?观察红+蓝会变成什么颜色?观察蓝+黄会变成什么颜色?享受观察物体变色的乐趣。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金属探测器</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材质：ABS</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尺寸：266×203×57mm。误差不超过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金属探测器检测到金属物质就会发出滴滴的声音，可以帮助幼儿辨别哪些是金属物质，哪些不是金属物质，激发幼儿科学探究的意识和精神。</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超大卷尺</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可测量120CM有标示2种尺寸一面为公制厘米另一面英制英寸。  新颖设计好握把手，帮助幼儿测量，轮轴式手取功能，快速收拾卷尺。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木影戏套装</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材质：木制（激光切）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产品尺寸：木影戏套装约20cm左右，木棍长约30cm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内含一套动物主题×6、一套西游记主题×6、一套小蝌蚪找妈妈主题×6、一套手影×6，木棍×8根。共计32件。造型生动、操作简易的木影戏套装，主题丰富，满足幼儿探索光影游戏的乐趣，发展手眼协调能力和语言表达能力。</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主题哈哈镜</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材质：木制 </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星星：凹面镜，825×655mm。误差不超过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星球：凸面镜，450×475mm。误差不超过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飞船：平面镜，800×470mm。误差不超过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83</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星系齿轮机构</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尺寸400*400mm。误差不超过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桦木夹板，环保水性漆；无毒，无味，产品质量通过中国强制性产品GB6675认证，通过ISO9001,2015国际质量体系认证，达到出口欧美标准。这款齿轮系列产品，是一款5岁以上的孩子通过手动操作齿轮，带动各个齿轮旋转的科学类游戏产品。孩子通过操作认识齿轮啮齿连续传递和基础动力学基础原理。在操作中不同大小，不同颜色的齿轮接连旋转，除了带给孩子机械之美的体验及物理旋转的初步感知之外，还可以发展幼儿的观察能力、眼手协调能力、大小肌肉运动能力和动手、动脑的能力。同时随着年龄增长，会将这种旋转原理的感性认知迁移到宇宙星球旋转的粗浅认识当中，进而简单认知银河系星球之间“公转”和“自传”概念。这款游戏材料还可以作为幼儿园科学发现室墙面环境创设的一部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84</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齿轮加减速机构</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尺寸400*400mm。误差不超过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桦木夹板，环保水性漆；无毒，无味，产品质量通过中国强制性产品GB6675认证，通过ISO9001,2015国际质量体系认证，达到出口欧美标准。这款齿轮系列产品，是一款3岁以上的孩子通过手动操作齿轮，带动各个齿轮旋转的科学类游戏产品。孩子通过操作认识齿轮啮齿连续传递和基础动力学原理。在操作中不同大小，不同颜色的齿轮在不同力的操作下加速或减速接连旋转，除了带给孩子机械之美的体验及物理旋转的初步感知之外，还可以发展幼儿的观察能力、眼手协调能力、大小肌肉运动能力和动手、动脑的能力。同时会将旋转原理迁移到生活中，进一步认识生活中存在的旋转原理。这款游戏材料还可以作为幼儿园科学发现室墙面环境创设的一部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85</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平动机构</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尺寸400*400mm。误差不超过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桦木夹板，环保水性漆；无毒，无味，产品质量通过中国强制性产品GB6675认证，通过ISO9001,2015国际质量体系认证，达到出口欧美标准。这款齿轮系列产品，工作原理是以滑块(平动)为动力带动连杆再带动曲柄运动，将动力和运动传输出去给执行机构。5岁以上孩子通过操作认识平动机构的基础动力学原理。在操作中不同大小，不同颜色的齿轮在力的操作下出现不同速度、不同方向的接连旋转，除了带给孩子机械之美的体验及物理旋转的初步感知之外，还可以发展幼儿的对比观察能力、眼手协调能力、大小肌肉运动能力和动手、动脑的能力。同时会将旋转原理迁移到生活中，进一步认识生活中存在的旋转原理。这款游戏材料还可以作为幼儿园科学发现室墙面环境创设的一部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86</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太阳地球月亮机构</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尺寸400*400mm。误差不超过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桦木夹板，环保水性漆；无毒，无味，产品质量通过中国强制性产品GB6675认证，通过ISO9001,2015国际质量体系认证，达到出口欧美标准。这款齿轮系列产品，是一款5岁以上的孩子通过手动操作齿轮，带动各个齿轮旋转的科学类游戏产品。孩子通过操作认识齿轮啮齿连续传递和基础动力学原理。在操作中不同大小，不同颜色、不同样式的齿轮以及三个中心球在力的操作下出现不同速度的接连旋转，除了带给孩子机械之美的体验及物理旋转的初步感知之外，还可以发展幼儿的对比观察能力、眼手协调能力、大小肌肉运动能力和动手、动脑的能力。同时会将旋转原理迁移到宇宙中太阳、地球、月亮“自传”和“公转”的基础知识中。这款游戏材料还可以作为幼儿园科学发现室墙面环境创设的一部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87</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双心齿轮机构</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尺寸400*400mm。误差不超过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桦木夹板，环保水性漆；无毒，无味，产品质量通过中国强制性产品GB6675认证，通过ISO9001,2015国际质量体系认证，达到出口欧美标准。这款齿轮系列产品，是一款5岁以上的孩子通过手动操作齿轮，带动各个齿轮旋转的科学类游戏产品。孩子通过操作认识齿轮啮齿连续传递和基础动力学原理。在操作中不同大小，不同颜色、不同形状的齿轮在力的操作下不同速度的发生旋转，除了带给孩子机械之美的体验及齿轮旋转的初步感知之外，还可以发展幼儿的对比观察能力、眼手协调能力、大小肌肉运动能力和动手、动脑的能力。同时会将旋转原理迁移到生活中，进一步认识生活中存在的齿轮旋转原理。这款游戏材料还可以作为幼儿园科学发现室墙面环境创设的一部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大脑声光反应提升游戏柜</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尺寸545*545*580mm。误差不超过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桦木夹板，环保水性漆；无毒，无味，产品质量通过中国强制性产品GB6675认证，通过ISO9001,2015国际质量体系认证，达到出口欧美标准。包括5款游戏内容，桌面是大脑声光反应提升游戏，四边分别为：音乐喷泉，水漩涡，发电轮，灯光隧道。</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大脑短期记忆提升游戏桌</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尺寸600*600*585mm。误差不超过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桦木，榉木，环保水性漆；无毒，无味，产品质量通过中国强制性产品GB6675认证，通过ISO9001,2015国际质量体系认证，达到出口欧美标准，产品配充电装置。脑短期记忆提升游戏桌，面板简洁、明亮并配以语音播报。简单的操作指令，使5-7岁的儿童进入注意力高度集中的游戏时空，在操作中，通过科学的、无数次短时记忆训练，锻炼儿童的记忆力、专注力、观察力、反应的灵敏度，以及手部动作的灵活性。在游戏中，儿童进入瞬间挑战自我，不断闯关，刺激大脑高速运转的游戏境地，玩法引人入迷。大脑短期记忆提升游戏开启儿童“超常大脑”的童年按钮。</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万能收纳柜</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3200*300*550mm。误差不超过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橡胶木，含轮子</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91</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科学组合</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1520*350*1130mm。误差不超过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橡胶木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92</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收纳柜A</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900*300*900mm。误差不超过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橡胶木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93</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收纳柜B</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930*300*900mm。误差不超过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橡胶木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月牙桌五件套</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1300*1300*530mm。误差不超过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橡胶木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幼儿椅</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330*300*500mm。误差不超过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橡胶木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侏罗纪主题地毯( 大）</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材质：尼龙。</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尺寸：2000×1500mm。误差不超过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毯绒厚度0.3 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野生动物主题地毯( 大 )</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材质：尼龙。</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尺寸：2000×1500mm。误差不超过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毯绒厚度0.3 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海洋主题地毯( 大）</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材质：尼龙。</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尺寸：2000×1500mm。误差不超过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毯绒厚度0.3 cm。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bl>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2.3美术室</w:t>
      </w:r>
    </w:p>
    <w:tbl>
      <w:tblPr>
        <w:tblStyle w:val="17"/>
        <w:tblW w:w="10035" w:type="dxa"/>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110"/>
        <w:gridCol w:w="6750"/>
        <w:gridCol w:w="690"/>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序号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产品名称</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规格参数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杜菲白板柜</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材质：木制 </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尺寸：826×298×1327mm，误差不超过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双面白板设计，可吸附磁铁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水彩杯柜</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橡胶木，830*400*650mm，误差不超过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画板架</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橡胶木，620*400*1200mm，误差不超过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双面绘画白板</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橡胶木，830*300*1300mm，误差不超过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连结颜料盒</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材质：安全塑料。</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尺寸：约11cm×10cm×8cm高，误差不超过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内含红、黄、蓝、绿、紫、橙、连结颜料盒各1 件，可分可合、自由连接的独特设计，可以盛放颜料等溶液，也可以用作收纳盒，亦可用作清洗水彩笔，用途多样，造型多变，是幼儿园美术活动中必选材料。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海绵颜料沾盘</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材质：安全塑料。</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尺寸：约上直径13cm、底直径11.4cm、高度3cm，误差不超过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内含10 个各色海绵颜料沾盘，宽口设计，方便幼儿使用模具沾取颜料。幼儿可以将颜料一一对应地倒入各色沾盘中，学习颜色配对的同时提升创意表现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颜料回收盘- 彩色</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材质：安全塑料。</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尺寸：约14×12×4 cm。误差不超过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红黄蓝绿四色一组，方形高边设计，颜料不易外溢，方便小组活动自取自用。可平铺可堆叠，尖嘴接口方便将剩余颜料集中回收，养成主动取放、爱护班级环境的好习惯。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6圆4格调色盘</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材质：安全塑料。尺寸：约23cm×17cm。误差不超过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 圆4 方调色盘更适用于多人创作，可以有效地通过调色盘的形状分成两小组开展美术活动，有意识地提升幼儿间的集体创作能力。</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长柄圆头笔刷</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材质：安全塑料+ 铝管+ 猪鬃毛。尺寸：约长19cm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 色混装，色彩鲜亮，幼儿易抓握，可以促进手部肌肉控制能力。</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长柄扁头笔刷</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材质：安全塑料+ 铝管+ 猪鬃毛。尺寸：约长19cm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长柄扁头笔刷可以供幼儿画出粗、细线条，是学习点、线、面技能的不二选择。</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 支缤纷水彩笔（新）</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材质：安全塑料+ 木制+ 海绵+ 铝管+ 猪鬃毛+ 尼龙。</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尺寸：最小尺寸约9cm、最大尺寸约18cm。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25 支缤纷水彩笔颜色丰富，手柄和刷头的规格多样，非常适合大各年龄段幼儿使用。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迷你花纹刷笔- 建筑风格</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材质：安全塑料+EVA+ 海绵+ 无纺布。尺寸：总长约13cm、手柄长约6cm建筑风格的迷你花纹刷笔作为主材使用时，可帮助幼儿提升造型水平，了解工具带来的独特表现。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迷你花纹刷笔- 涂鸦风格</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材质：安全塑料+EVA+ 海绵+ 无纺布。尺寸：总长约14cm、手柄长约6cm涂鸦风格的迷你花纹刷笔适用于美工室、户内外美工区的涂鸦游戏，满足幼儿挥洒色彩的情感表达。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花纹刷笔- 喷洒风格</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材质：安全塑料+EVA+ 海绵+ 无纺布。尺寸：手柄长约13cm、宽度约2.2cm、总长约18cm 喷洒风格的花纹刷笔对幼儿来说极具吸引力，可以很好地满足幼儿大胆想象、创意涂鸦的灵感创作。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线条刮刮板</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材质：安全塑料+ 泡棉。尺寸：长约9cm 宽约3.5 刷头宽约2cm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使用范围广，可以满足幼儿在沙地、颜料或黏土等不同性质的材料上完成创意作品。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模型画板- 恐龙</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材质：安全塑料。尺寸：约长15×14cm。误差不超过</w:t>
            </w:r>
            <w:r>
              <w:rPr>
                <w:rFonts w:hint="default" w:ascii="Times New Roman" w:hAnsi="Times New Roman" w:cs="Times New Roman"/>
                <w:i w:val="0"/>
                <w:iCs w:val="0"/>
                <w:color w:val="000000"/>
                <w:kern w:val="0"/>
                <w:sz w:val="21"/>
                <w:szCs w:val="21"/>
                <w:highlight w:val="none"/>
                <w:u w:val="none"/>
                <w:lang w:val="en-US" w:eastAsia="zh-CN" w:bidi="ar"/>
              </w:rPr>
              <w:t>2</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以恐龙为主题的模型画板包括六种不同的图案设计，帮助幼儿认识不同种类的恐龙以及特征，增长见识，激发创作灵感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模型画板-丛林</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材质：安全塑料。尺寸：约长15.4×14.2cm。误差不超过</w:t>
            </w:r>
            <w:r>
              <w:rPr>
                <w:rFonts w:hint="default" w:ascii="Times New Roman" w:hAnsi="Times New Roman" w:cs="Times New Roman"/>
                <w:i w:val="0"/>
                <w:iCs w:val="0"/>
                <w:color w:val="000000"/>
                <w:kern w:val="0"/>
                <w:sz w:val="21"/>
                <w:szCs w:val="21"/>
                <w:highlight w:val="none"/>
                <w:u w:val="none"/>
                <w:lang w:val="en-US" w:eastAsia="zh-CN" w:bidi="ar"/>
              </w:rPr>
              <w:t>2</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以丛林为主题的模型画板包含狮、虎、蛇、大象、鳄鱼和鹦鹉，帮助幼儿认识多种动物以及了解它们的特征，开阔视野，拓展表现手法。</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模型画板- 复活节</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材质：安全塑料。尺寸：约长15.3×14.2cm。误差不超过</w:t>
            </w:r>
            <w:r>
              <w:rPr>
                <w:rFonts w:hint="default" w:ascii="Times New Roman" w:hAnsi="Times New Roman" w:cs="Times New Roman"/>
                <w:i w:val="0"/>
                <w:iCs w:val="0"/>
                <w:color w:val="000000"/>
                <w:kern w:val="0"/>
                <w:sz w:val="21"/>
                <w:szCs w:val="21"/>
                <w:highlight w:val="none"/>
                <w:u w:val="none"/>
                <w:lang w:val="en-US" w:eastAsia="zh-CN" w:bidi="ar"/>
              </w:rPr>
              <w:t>2</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以复活节为主题模型画板包含小羊、水仙花、小鸡、篮子、兔子和彩蛋。幼儿可以选用多种颜色表现不同形象，提升造型水平。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模型画板-童话王国</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材质：安全塑料。尺寸：约14.2cm×15.3cm。误差不超过</w:t>
            </w:r>
            <w:r>
              <w:rPr>
                <w:rFonts w:hint="default" w:ascii="Times New Roman" w:hAnsi="Times New Roman" w:cs="Times New Roman"/>
                <w:i w:val="0"/>
                <w:iCs w:val="0"/>
                <w:color w:val="000000"/>
                <w:kern w:val="0"/>
                <w:sz w:val="21"/>
                <w:szCs w:val="21"/>
                <w:highlight w:val="none"/>
                <w:u w:val="none"/>
                <w:lang w:val="en-US" w:eastAsia="zh-CN" w:bidi="ar"/>
              </w:rPr>
              <w:t>2</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以童话王国为主题的塑料模具，包括城堡、南瓜车、骏马、王冠、教母、蘑菇屋六种图案，材质易清洗，可反复使用，有利于提升幼儿故事创编的能力。</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创意综合大印章</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材质：塑料、EVA尺寸：直径约7.5cm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精致小巧的透明印板易抓易握，好掌握方向，可搭配不同主题印出不同作品。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恐龙世界大印章</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材质：EVA尺寸：直径约7.5cm </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恐龙世界大印章，让幼儿在拓印恐龙的同时，观察不同恐龙外型特征，加深对恐龙的认知。</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缤纷水果大印章</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材质：塑料、EVA尺寸：直径约7.5cm </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苹果、橘子及草莓等多种缤纷水果大印章让幼儿爱不释手，培养其观察生活、表现生活的美感力。</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新鲜蔬菜大印章</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材质：EVA尺寸：直径约7.5cm </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花椰菜、青椒、玉米及马铃薯等多种新鲜蔬菜大印章，可以帮助幼儿认识多种蔬菜，养成观察生活、表现生活的好习惯。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热闹农场大印章</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材质：塑料、EVA尺寸：直径约7.5cm </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农场大印章能印出小羊、小猪、小鸡及马儿等农场动物，幼儿在认识动物的同时，学会运用图案表述自己的发现，让想象得以呈现。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动物花纹跷跷板印章</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材质：安全塑料。尺寸：约长5cm。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不同动物花纹跷跷板印章好玩又好用，不仅让幼儿在拓印中了解动物的花纹特征，培养其敏锐的观察力，而且跷跷板造型设计让幼儿爱不释手，在玩乐中创意表现。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海绵印章-交通工具</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材质：泡棉。尺寸：长约13cm 厚约5cm。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船、飞机、火车、货车和轿车等海绵印章配合绘画、手工等不同类型的美术活动，完成创意表现。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海绵印章-海底生物</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材质：泡棉。尺寸：长约14cm 厚约5cm。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海龟、海马、螃蟹、热带鱼、潜水员等多种海绵印章，能够满足幼儿创作生动的海底场景图，激发幼儿进行美术创作的兴趣和愿望。</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滚动连续印-A</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材质：安全塑料+ 橡胶。尺寸：长约16cm, 印面直径约4cm。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通过滚动，使幼儿轻松印出波浪纹、碰撞纹、泡泡纹、不规则纹等连续图案，搭配大印台使用更佳。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滚动连续印-B</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材质：安全塑料+ 橡胶。尺寸：长约16cm, 印面直径约4cm。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用滚轮创造出连续图案，星星纹、旋转纹、圈圈、Z 型纹，感受不同纹路带来的美感。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连续印-多角图</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材质：安全塑料+EVA。尺寸：长约12.5×7.8cm 滚轮宽度约4cm 直径约5.5cm。误差不超过</w:t>
            </w:r>
            <w:r>
              <w:rPr>
                <w:rFonts w:hint="default" w:ascii="Times New Roman" w:hAnsi="Times New Roman" w:cs="Times New Roman"/>
                <w:i w:val="0"/>
                <w:iCs w:val="0"/>
                <w:color w:val="000000"/>
                <w:kern w:val="0"/>
                <w:sz w:val="21"/>
                <w:szCs w:val="21"/>
                <w:highlight w:val="none"/>
                <w:u w:val="none"/>
                <w:lang w:val="en-US" w:eastAsia="zh-CN" w:bidi="ar"/>
              </w:rPr>
              <w:t>2</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用滚轮创造连续印的效果，帮助幼儿创造美丽图案。易于掌握，锻炼小手肌肉控制力。</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连续印-线条</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材质：安全塑料+EVA。尺寸：长约12.5×7.8cm 滚轮宽度约4cm 直径约5.5cm。误差不超过</w:t>
            </w:r>
            <w:r>
              <w:rPr>
                <w:rFonts w:hint="default" w:ascii="Times New Roman" w:hAnsi="Times New Roman" w:cs="Times New Roman"/>
                <w:i w:val="0"/>
                <w:iCs w:val="0"/>
                <w:color w:val="000000"/>
                <w:kern w:val="0"/>
                <w:sz w:val="21"/>
                <w:szCs w:val="21"/>
                <w:highlight w:val="none"/>
                <w:u w:val="none"/>
                <w:lang w:val="en-US" w:eastAsia="zh-CN" w:bidi="ar"/>
              </w:rPr>
              <w:t>2</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操作简单、画面干净，呈现多种线条，丰富美术创作。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易握蛋形蜡笔</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材质：蜡+聚乙烯尺寸：单支约3×4.5cm，单盒尺寸约：16.8×10.2×4cm。误差不超过</w:t>
            </w:r>
            <w:r>
              <w:rPr>
                <w:rFonts w:hint="default" w:ascii="Times New Roman" w:hAnsi="Times New Roman" w:cs="Times New Roman"/>
                <w:i w:val="0"/>
                <w:iCs w:val="0"/>
                <w:color w:val="000000"/>
                <w:kern w:val="0"/>
                <w:sz w:val="21"/>
                <w:szCs w:val="21"/>
                <w:highlight w:val="none"/>
                <w:u w:val="none"/>
                <w:lang w:val="en-US" w:eastAsia="zh-CN" w:bidi="ar"/>
              </w:rPr>
              <w:t>2</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内含9色蛋形蜡笔，易握不沾手，实心不易碎，独特的鸡蛋造型充满了趣味性，提升宝贝对绘画的好奇心，更能收获绘画的愉悦感！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白胚纸筒</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材质：纸质尺寸：20×4cm、15×3.6cm、10×3cm可用于拼贴各种手工作品，也可以在建构、STEM游戏中作为操作材料使用，是幼儿喜爱的材料。误差不超过</w:t>
            </w:r>
            <w:r>
              <w:rPr>
                <w:rFonts w:hint="default" w:ascii="Times New Roman" w:hAnsi="Times New Roman" w:cs="Times New Roman"/>
                <w:i w:val="0"/>
                <w:iCs w:val="0"/>
                <w:color w:val="000000"/>
                <w:kern w:val="0"/>
                <w:sz w:val="21"/>
                <w:szCs w:val="21"/>
                <w:highlight w:val="none"/>
                <w:u w:val="none"/>
                <w:lang w:val="en-US" w:eastAsia="zh-CN" w:bidi="ar"/>
              </w:rPr>
              <w:t>2</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固体胶棒套装</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w:t>
            </w:r>
            <w:r>
              <w:rPr>
                <w:rFonts w:hint="eastAsia"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PVP规格：8g/支，24支/盒 </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粘性强、易清洗、涂沫顺滑的固体胶棒套装，适合幼儿在进行粘贴工作时使用。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拉菲草填充物</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材质：纸制。尺寸：约50g每色。</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内含大红、橙、浅黄、浅蓝、浅粉、浅绿、浅紫、玫红、肉粉、白各50g，缤纷色彩手工拉菲草，是一款手工装饰材料，可做人物头发，复活节填充物等，独特多元的美术材料为幼儿提供创意灵感。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童型纸板</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材质：纸制。尺寸：长约90cm肩宽约29cm。多张儿童身高纸板可用来进行有趣的装扮和DIY制作，充分发挥想象力与创造力，提升动手能力。</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混装彩色活动眼睛</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材质：PVC。尺寸：约5-20mm。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内含5种不同颜色、大小的彩色活动眼睛，可用于装饰各种人物、动物剪贴画或张贴画等美术作品中，让作品更有活力，提升幼儿的审美能力。</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圆状亮片-柔色系</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材质：PET。尺寸：直径约10mm。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色彩柔和的圆形亮片，特别适合母亲节、复活节等节日手工制作。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保丽龙球2.5公分</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材质：保丽龙。尺寸：约直径2.5cm。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幼儿发挥绘画天赋，制作立体画，几颗保丽龙球就能让画面层次感丰富起来，如粘贴在太空星球画上。</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也可发挥创意，制作成太阳花、毛毛虫等美工作品。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泡棉垫</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材质：EVA。尺寸：约20×30cm。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背面无粘胶，将内含10种颜色的EVA泡棉垫剪出各种形状，或是动物、花草等图案，可广泛用于美术创作活动中。鼓励幼儿自主发挥多多创意，提升小手灵活性。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安全剪刀</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材质：不锈钢、塑料。 尺寸：约13.5cm。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安全圆角剪刀头，不用担心幼儿在创作过程中的安全问题。采用全塑料包裹设计，双拼色设计，更易于激发幼儿创作兴趣。</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DIY 圆木片-S</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材质：木制 。尺寸：约4-5×0.5cm。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天然材料圆木片，可满足手工制作中的不同需求，可以与多种基础材料搭配使用，如丙烯颜料、水粉颜料、油性记号笔。让幼儿玩耍学习两不误，在动手的过程中锻炼身心大脑，带来丰富的创造体验。</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DIY 圆木片-M</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材质：木制。 尺寸：约5-6×1cm。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天然材料圆木片，可满足手工制作中的不同需求，可以与多种基础材料搭配使用，如丙烯颜料、水粉颜料、油性记号笔。让幼儿玩耍学习两不误，在动手的过程中锻炼身心大脑，带来丰富的创造体验。</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DIY 圆木片-L</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材质：木制 。尺寸：约9-10×1cm。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天然材料圆木片，可满足手工制作中的不同需求，可以与多种基础材料搭配使用，如丙烯颜料、水粉颜料、油性记号笔。让幼儿玩耍学习两不误，在动手的过程中锻炼身心大脑，带来丰富的创造体验。</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彩色火柴棒</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材质：木制。尺寸：约5×0.2cm。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数量超多的木色火柴棒用途多样、尺寸一致，是幼儿探索、运用、创作的重要配件。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木色火柴棒</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材质：木制。尺寸：约5×0.2cm。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颜色鲜艳的雪糕棒包含橙色、黄色、红色、紫色、蓝色和绿色等颜色，是手工制作、建构搭建及计数的好材料。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木汤匙组</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材质：木制。尺寸：约23×5×1cm。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可以通过绘画和装饰，制作小人或者其他的工艺品。提升幼儿小手灵活性，发挥想象力。</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拼豆熨烫纸</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材质：塑料。尺寸：约15×15cm。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熨烫纸很薄，可反复使用，或搭配拼豆套装一起使用。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手工织布机</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材质：木制、金属。</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尺寸：编织板约20.5×13.5cm 棍棒约14cm 铁质针约15cm 梳子6.5cm。 内含编织板10 件棍棒10 件铁质针10 件梳子10 件作为一款入门级的织布机，外形小巧重量轻，幼儿能在简单操作的过程中体验手工织布的乐趣，感受中华传统工艺的魅力。</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魔力沙</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含白，粉，绿，蓝，紫，桔，黄，原色共8色。材质：玻璃微珠。尺寸：约 15×22 cm 底宽约 8 cm。创意塑型材料魔力沙，色彩丰富、柔软细腻、易塑型，对于提升幼儿塑造艺术造型空间能力、拓展独立思考能力与动手动脑能力有很大的帮助。</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蔬菜模具4件套</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材质：塑料。尺寸：约9×6×2.5cm。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内含蔬菜模具4款，每款各1件。模具表面光滑无毛刺，大小适合，不易伤手。能轻松脱模，并在脱模后成形完整，可搭配魔力沙一起使用，做出自己想要的各种蔬菜。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海底世界4件套</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塑料。尺寸：约6.5×6.5×4.5cm。内含海底世界模具4款，每款各1件。海底世界是什么样子的？一起来构建吧！模具表面光滑无毛刺，大小适合，不易伤手。能轻松脱模，并在脱模后成形完整，可搭配魔力沙一起使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小城堡9件套</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材质：塑料。</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尺寸：约①5×3×4cm②5.6×2×2.8cm③5×2.8×2cm④5×3×4cm⑤4×3cm⑥4.8×3cm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⑦4×3.8cm⑧3.3×3.5cm⑨4.8×3cm。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模具表面光滑无毛刺，大小适合，不易伤手；形状清晰，轻松脱模，成形完整，可搭配魔力沙一起使用，搭建各种类型的造型。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考古恐龙 4 件套</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材质：塑料。尺寸：约12×8cm。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内含恐龙模具4款，每款各1件。进入生物考古学家的世界，探索恐龙世界的奥秘。模具表面光滑无毛刺，大小适合，不易伤手。能轻松脱模，并在脱模后成形完整，可搭配魔力沙一起使用。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切模综合组 - 水果</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塑料。尺寸：最长约11cm。内含香蕉、菠萝、梨、柠檬、草莓和苹果6种水果主题的模型切模器。可爱的空心动物模型切模，易清洗、易塑形。可用于面泥、橡皮泥、超轻黏土的制作定型等，轻轻按压就能塑造出可爱的造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切模综合组 - 动物</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材质：塑料。</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尺寸：最长约10cm。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内含马、母牛、绵羊、鸭子、猪和兔子6种动物的模型切模器。可爱的空心动物模型切模，易清洗、易塑形。可用于面泥、橡皮泥、超轻黏土的制作定型等，轻轻按压就能塑造出可爱的造型。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切模综合组 - 蔬菜</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材质：塑料。尺寸：最长约13cm。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内含茄子、蘑菇、胡椒、红萝卜、葱和胡瓜6种蔬菜模型切模器。可爱的空心动物模型切模，易清洗、易塑形。可用于面泥、橡皮泥、超轻黏土的制作定型等，轻轻按压就能塑造出可爱的造型。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切模综合组 - 丛林动物</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材质：塑料。尺寸：约12.5cm。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内含鹦鹉、长颈鹿、鳄鱼、大象、狮子和河马6种丛林动物模型的黏土切模器。可爱的空心动物模型切模，易清洗、易塑形。可用于面泥、橡皮泥、超轻黏土的制作定型等，轻轻按压就能塑造出可爱的造型。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花纹擀面棍</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材质：塑料、橡胶。尺寸：长约18cm,印面长约10cm。</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内含条纹、圆圈、之字形、水波纹及垂直波浪5种形状的塑料花纹擀面棍，可搭配黏土或面团使用。将黏土如同压马路一般压出独特的纹路，再在此纹路上创造出不同的花样，例如各种纹路的杯子蛋糕等。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大线轴压花组</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木制。尺寸：总长约20.5cm，印面长约12cm。内含3根不同花纹的大线轴擀面棍，可搭配黏土或面团使用。将黏土如同压马路一般压出独特的纹路，再在此纹路上创造出不同的花样，例如各种纹路的杯子蛋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造型捣模组</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材质：木制。尺寸：总长约11，手柄长约8cm,印面约4.5cm。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圆形捣磨内框设计，四款不同的组合纹路，可搭配黏土或面团使用。将黏土如同压马路一般压出独特的纹路，再在此纹路上创造出不同的花样，例如各种纹路的小月饼等。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木制形状锤</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材质：木制。尺寸：长约12，印面宽约3cm。内含5根不同造型纹路的形状锤，可搭配黏土或面团使用。将黏土如同压马路一般压出独特的纹路，再在此纹路上创造出不同的花样，例如各种纹路的小西点等。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色彩魔法盘</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产品尺寸：包装尺寸：690x500x130mm，误差不超过</w:t>
            </w:r>
            <w:r>
              <w:rPr>
                <w:rFonts w:hint="default" w:ascii="Times New Roman" w:hAnsi="Times New Roman" w:cs="Times New Roman"/>
                <w:i w:val="0"/>
                <w:iCs w:val="0"/>
                <w:color w:val="000000"/>
                <w:kern w:val="0"/>
                <w:sz w:val="21"/>
                <w:szCs w:val="21"/>
                <w:highlight w:val="none"/>
                <w:u w:val="none"/>
                <w:lang w:val="en-US" w:eastAsia="zh-CN" w:bidi="ar"/>
              </w:rPr>
              <w:t>2</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产品描述：彩色魔法盘为儿童提供了一种简单的方式来表达富有表现力的动态艺术作品，快速或缓慢地转动手柄，可以创造出不同的画面。在转动转盘的时候，水彩颜料会被涂鸦到纸张上，由离心力的作用绘出趣味和意想不到的图案。</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色彩魔法盘圆形纸（200PCS）</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包含200张裁剪好的适合创作的双胶纸。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色彩魔法盘刮刀和颜料瓶</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包含5支配合魔法盘使用的刮刀、20个便于盛放颜料和挤出颜料的小号塑料瓶。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手指画颜料</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含白，黄，红，紫，蓝，绿，棕，白，黑，橘，共9色一组；</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容量：1000ml/瓶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产品尺寸：瓶高：270mm瓶底直径：80mm，误差不超过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可折叠晾画架</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产品尺寸：产品组装后高：970mm网片宽：460mm，深：340mm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产品描述：一款专为晾干孩子的美术作品而设计的晾画架。共25层，可放置A3大小的画稿。结构简洁牢固，易于组装，移动灵活。充分利用和节省空间。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卷筒画纸</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产品尺寸：380x2000mm，误差不超过</w:t>
            </w:r>
            <w:r>
              <w:rPr>
                <w:rFonts w:hint="default" w:ascii="Times New Roman" w:hAnsi="Times New Roman" w:cs="Times New Roman"/>
                <w:i w:val="0"/>
                <w:iCs w:val="0"/>
                <w:color w:val="000000"/>
                <w:kern w:val="0"/>
                <w:sz w:val="21"/>
                <w:szCs w:val="21"/>
                <w:highlight w:val="none"/>
                <w:u w:val="none"/>
                <w:lang w:val="en-US" w:eastAsia="zh-CN" w:bidi="ar"/>
              </w:rPr>
              <w:t>2</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产品描述：适用于多功能画架。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收纳柜A</w:t>
            </w:r>
          </w:p>
        </w:tc>
        <w:tc>
          <w:tcPr>
            <w:tcW w:w="6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900*300*900mm，误差不超过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橡胶木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收纳柜B</w:t>
            </w:r>
          </w:p>
        </w:tc>
        <w:tc>
          <w:tcPr>
            <w:tcW w:w="6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930*300*900mm，误差不超过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橡胶木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美术工具架</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橡胶木，800*300*250mm，误差不超过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美工工具收纳盒</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橡胶木，770*300*450mm，误差不超过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移动美工推车</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橡胶木，900*400*650mm，误差不超过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美术移动推车</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 830*400*700mm，误差不超过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实木美工桌</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美工桌：橡胶木，1600*800*5300mm，误差不超过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美工架（2个） 750*150*80mm，误差不超过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幼儿小方凳</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橡胶木，280*280*2900mm，误差不超过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扇形隔断柜</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橡胶木，3060*300*11000mm，误差不超过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作品展示架</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 920*300*13000mm，误差不超过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作品收纳柜</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 800*300*13000mm，误差不超过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bl>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2.4图书阅览室</w:t>
      </w:r>
    </w:p>
    <w:tbl>
      <w:tblPr>
        <w:tblStyle w:val="17"/>
        <w:tblW w:w="10035" w:type="dxa"/>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125"/>
        <w:gridCol w:w="6735"/>
        <w:gridCol w:w="690"/>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产品名称</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规格参数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幼儿图书</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精装绘本，详见附件1（500种，每种2本，共1000本）正版图书，无破损。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幼儿教师阅读书目</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教师理论用书，详见附件2（100种，每种2本，共200本）正版图书，无破损。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阅读桌</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 1000*900*560mm，误差不超过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实木幼儿椅</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 330*300*500mm，误差不超过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组合图书架A</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 1800*300*1200mm，误差不超过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组合图书架B</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 2100*300*1200mm，误差不超过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组合图书架C</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 2100*300*1600mm，误差不超过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半圆中岛阅读柜</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 直径1200*865mm，误差不超过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图书吧台</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1800*800*500mm，误差不超过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橡胶木。板材厚度≥18mm，含水率不高于16.6%；甲醛释放量≤0.124mg/m³；产品应无霉变、虫眼、明显变形和明显色差；上色产品应无长度到边缘、宽度超过0.15mm的裂缝和影响产品性能的活节。安装应平整、牢固，不得有脱胶、脱钉。漆膜要求平滑、光亮，牢固；主要表面应无堆漆、起泡、皱纹、泛白及影响美观的补漆、擦毛和流痕。外露金属配件应电镀，镀层要牢固、光亮，不得有气泡、脱壳，露底、锈蚀、发毛及明显的擦伤和冲制拉丝。产品的安全和环保要求应符合GB28007-2011&lt;儿童家具通用技术条件&gt;、GB18584-2001&lt;室内装饰装修材料  木家具用有害物质限量&gt;、GB 18580-2017《室内装饰装修材料 人造板及其制品中甲醛释放限量》的有关规定。提供符合GB18581-2020标准并具有CNAS和MA标志的检测报告。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双面书柜</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930*500*500mm，误差不超过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橡胶木。板材厚度≥18mm，含水率不高于16.6%；甲醛释放量≤0.124mg/m³；产品应无霉变、虫眼、明显变形和明显色差；上色产品应无长度到边缘、宽度超过0.15mm的裂缝和影响产品性能的活节。安装应平整、牢固，不得有脱胶、脱钉。漆膜要求平滑、光亮，牢固；主要表面应无堆漆、起泡、皱纹、泛白及影响美观的补漆、擦毛和流痕。外露金属配件应电镀，镀层要牢固、光亮，不得有气泡、脱壳，露底、锈蚀、发毛及明显的擦伤和冲制拉丝。产品的安全和环保要求应符合GB28007-2011&lt;儿童家具通用技术条件&gt;、GB18584-2001&lt;室内装饰装修材料  木家具用有害物质限量&gt;、GB 18580-2017《室内装饰装修材料 人造板及其制品中甲醛释放限量》的有关规定。提供符合GB18581-2020标准并具有CNAS和MA标志的检测报告。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阿拉卡图书柜</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 930*300*1100mm，误差不超过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机器人书架</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 760*300*1400mm，误差不超过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图书柜</w:t>
            </w:r>
          </w:p>
        </w:tc>
        <w:tc>
          <w:tcPr>
            <w:tcW w:w="6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 830*300*900mm，误差不超过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阅读分享屋</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材质：木制+环保PVC耐磨皮+ 高密度泡棉 </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尺寸：1110×1100×1430mm，误差不超过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瓢虫书柜</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材质：木制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尺寸：600×750×600mm，误差不超过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教具书本收纳板层+轮滑。</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警车座椅书柜(不移动)</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材质：木制 尺寸：800×600×510 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认识交通标志毯</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材质：尼龙</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尺寸：2400×2000mm，误差不超过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背胶厚度约0.3cm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太阳系行星教学毯</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材质：尼龙</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尺寸：2400×2000mm，误差不超过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背胶厚度约0.3 cm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椭圆教学毯（树叶）</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材质：尼龙 </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尺寸：3000×2000mm，误差不超过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背胶厚度约0.3cm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bl>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2.5音体室</w:t>
      </w:r>
    </w:p>
    <w:tbl>
      <w:tblPr>
        <w:tblStyle w:val="17"/>
        <w:tblW w:w="9975" w:type="dxa"/>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3"/>
        <w:gridCol w:w="968"/>
        <w:gridCol w:w="6864"/>
        <w:gridCol w:w="70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trPr>
        <w:tc>
          <w:tcPr>
            <w:tcW w:w="70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序号</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产品名称</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规格参数</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单位</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5"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动物手偶</w:t>
            </w:r>
          </w:p>
        </w:tc>
        <w:tc>
          <w:tcPr>
            <w:tcW w:w="6864"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共8种：海龟、奶牛、母鸡、猪、狐狸、鸭子、狗、老虎：配件：毛绒1个；材质：超柔短绒100%涤；生产工艺：工艺：缝制</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0"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大号触摸钢琴</w:t>
            </w:r>
          </w:p>
        </w:tc>
        <w:tc>
          <w:tcPr>
            <w:tcW w:w="6864"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1、产品材质：夹板、PP、PA、ABS、LDPE、PCBA。</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2、产品尺寸：730x434x610H 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3、产品配件：5张插入式音乐卡片。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、产品结构：电子钢琴托架为木制夹板，强度符合GB 6675.3-2014的标准要求。</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、音乐卡片：塑料制琴谱符合GB/T 22048-2015标准中邻苯二甲酸酯的要求。</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cs="Times New Roman"/>
                <w:i w:val="0"/>
                <w:iCs w:val="0"/>
                <w:color w:val="000000"/>
                <w:kern w:val="0"/>
                <w:sz w:val="21"/>
                <w:szCs w:val="21"/>
                <w:highlight w:val="none"/>
                <w:u w:val="none"/>
                <w:lang w:val="en-US" w:eastAsia="zh-CN" w:bidi="ar"/>
              </w:rPr>
              <w:t>6</w:t>
            </w:r>
            <w:r>
              <w:rPr>
                <w:rFonts w:hint="default" w:ascii="Times New Roman" w:hAnsi="Times New Roman" w:eastAsia="宋体" w:cs="Times New Roman"/>
                <w:i w:val="0"/>
                <w:iCs w:val="0"/>
                <w:color w:val="000000"/>
                <w:kern w:val="0"/>
                <w:sz w:val="21"/>
                <w:szCs w:val="21"/>
                <w:highlight w:val="none"/>
                <w:u w:val="none"/>
                <w:lang w:val="en-US" w:eastAsia="zh-CN" w:bidi="ar"/>
              </w:rPr>
              <w:t>、涂层：重金属含量符合GB 6675.2-2014标准的检测。</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cs="Times New Roman"/>
                <w:i w:val="0"/>
                <w:iCs w:val="0"/>
                <w:color w:val="000000"/>
                <w:kern w:val="0"/>
                <w:sz w:val="21"/>
                <w:szCs w:val="21"/>
                <w:highlight w:val="none"/>
                <w:u w:val="none"/>
                <w:lang w:val="en-US" w:eastAsia="zh-CN" w:bidi="ar"/>
              </w:rPr>
              <w:t>7</w:t>
            </w:r>
            <w:r>
              <w:rPr>
                <w:rFonts w:hint="default" w:ascii="Times New Roman" w:hAnsi="Times New Roman" w:eastAsia="宋体" w:cs="Times New Roman"/>
                <w:i w:val="0"/>
                <w:iCs w:val="0"/>
                <w:color w:val="000000"/>
                <w:kern w:val="0"/>
                <w:sz w:val="21"/>
                <w:szCs w:val="21"/>
                <w:highlight w:val="none"/>
                <w:u w:val="none"/>
                <w:lang w:val="en-US" w:eastAsia="zh-CN" w:bidi="ar"/>
              </w:rPr>
              <w:t>、声响：产品的声响要求符合GB 6675.2-2014标准的要求。</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cs="Times New Roman"/>
                <w:i w:val="0"/>
                <w:iCs w:val="0"/>
                <w:color w:val="000000"/>
                <w:kern w:val="0"/>
                <w:sz w:val="21"/>
                <w:szCs w:val="21"/>
                <w:highlight w:val="none"/>
                <w:u w:val="none"/>
                <w:lang w:val="en-US" w:eastAsia="zh-CN" w:bidi="ar"/>
              </w:rPr>
              <w:t>8</w:t>
            </w:r>
            <w:r>
              <w:rPr>
                <w:rFonts w:hint="default" w:ascii="Times New Roman" w:hAnsi="Times New Roman" w:eastAsia="宋体" w:cs="Times New Roman"/>
                <w:i w:val="0"/>
                <w:iCs w:val="0"/>
                <w:color w:val="000000"/>
                <w:kern w:val="0"/>
                <w:sz w:val="21"/>
                <w:szCs w:val="21"/>
                <w:highlight w:val="none"/>
                <w:u w:val="none"/>
                <w:lang w:val="en-US" w:eastAsia="zh-CN" w:bidi="ar"/>
              </w:rPr>
              <w:t>、电子安全要求符合GB 19865-2005标准的要求。</w:t>
            </w:r>
          </w:p>
        </w:tc>
        <w:tc>
          <w:tcPr>
            <w:tcW w:w="70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音乐柜子</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*53</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*160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0"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圆头打棒</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mm，误差不超过</w:t>
            </w:r>
            <w:r>
              <w:rPr>
                <w:rFonts w:hint="default" w:ascii="Times New Roman" w:hAnsi="Times New Roman" w:cs="Times New Roman"/>
                <w:i w:val="0"/>
                <w:iCs w:val="0"/>
                <w:color w:val="000000"/>
                <w:kern w:val="0"/>
                <w:sz w:val="21"/>
                <w:szCs w:val="21"/>
                <w:highlight w:val="none"/>
                <w:u w:val="none"/>
                <w:lang w:val="en-US" w:eastAsia="zh-CN" w:bidi="ar"/>
              </w:rPr>
              <w:t>10</w:t>
            </w:r>
            <w:r>
              <w:rPr>
                <w:rFonts w:hint="default" w:ascii="Times New Roman" w:hAnsi="Times New Roman" w:eastAsia="宋体" w:cs="Times New Roman"/>
                <w:i w:val="0"/>
                <w:iCs w:val="0"/>
                <w:color w:val="000000"/>
                <w:kern w:val="0"/>
                <w:sz w:val="21"/>
                <w:szCs w:val="21"/>
                <w:highlight w:val="none"/>
                <w:u w:val="none"/>
                <w:lang w:val="en-US" w:eastAsia="zh-CN" w:bidi="ar"/>
              </w:rPr>
              <w:t>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对</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21铃棒铃</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mm，误差不超过</w:t>
            </w:r>
            <w:r>
              <w:rPr>
                <w:rFonts w:hint="default" w:ascii="Times New Roman" w:hAnsi="Times New Roman" w:cs="Times New Roman"/>
                <w:i w:val="0"/>
                <w:iCs w:val="0"/>
                <w:color w:val="000000"/>
                <w:kern w:val="0"/>
                <w:sz w:val="21"/>
                <w:szCs w:val="21"/>
                <w:highlight w:val="none"/>
                <w:u w:val="none"/>
                <w:lang w:val="en-US" w:eastAsia="zh-CN" w:bidi="ar"/>
              </w:rPr>
              <w:t>10</w:t>
            </w:r>
            <w:r>
              <w:rPr>
                <w:rFonts w:hint="default" w:ascii="Times New Roman" w:hAnsi="Times New Roman" w:eastAsia="宋体" w:cs="Times New Roman"/>
                <w:i w:val="0"/>
                <w:iCs w:val="0"/>
                <w:color w:val="000000"/>
                <w:kern w:val="0"/>
                <w:sz w:val="21"/>
                <w:szCs w:val="21"/>
                <w:highlight w:val="none"/>
                <w:u w:val="none"/>
                <w:lang w:val="en-US" w:eastAsia="zh-CN" w:bidi="ar"/>
              </w:rPr>
              <w:t>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4英寸三角铁</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*10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mm，误差不超过</w:t>
            </w:r>
            <w:r>
              <w:rPr>
                <w:rFonts w:hint="default" w:ascii="Times New Roman" w:hAnsi="Times New Roman" w:cs="Times New Roman"/>
                <w:i w:val="0"/>
                <w:iCs w:val="0"/>
                <w:color w:val="000000"/>
                <w:kern w:val="0"/>
                <w:sz w:val="21"/>
                <w:szCs w:val="21"/>
                <w:highlight w:val="none"/>
                <w:u w:val="none"/>
                <w:lang w:val="en-US" w:eastAsia="zh-CN" w:bidi="ar"/>
              </w:rPr>
              <w:t>10</w:t>
            </w:r>
            <w:r>
              <w:rPr>
                <w:rFonts w:hint="default" w:ascii="Times New Roman" w:hAnsi="Times New Roman" w:eastAsia="宋体" w:cs="Times New Roman"/>
                <w:i w:val="0"/>
                <w:iCs w:val="0"/>
                <w:color w:val="000000"/>
                <w:kern w:val="0"/>
                <w:sz w:val="21"/>
                <w:szCs w:val="21"/>
                <w:highlight w:val="none"/>
                <w:u w:val="none"/>
                <w:lang w:val="en-US" w:eastAsia="zh-CN" w:bidi="ar"/>
              </w:rPr>
              <w:t>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螺纹高低梆子</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*9</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5"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手持响板</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cmmm，误差不超过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9厘米镲</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*9</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对</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0"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红色5铃皮手铃</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*10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5"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小号方梆子</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175*4</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*6</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四铃板镲</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22</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5"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15厘米镲</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*15</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对</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10寸单排铃鼓</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*55mm，误差不超过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5"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8寸手鼓</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*55mm，误差不超过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5"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中号木质鱼蛙</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*55*55mm，误差不超过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0"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木质砂蛋</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*8</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中音木箱体琴</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C4-A5</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62</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*32</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*23</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15音彩色金属键桥形打琴</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495*18</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*7</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PET三音地鼓</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Ø555*18</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21秒雨声</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95*95*635cmm，误差不超过</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5"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22</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音乐地毯</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*140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*8mm，误差不超过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张</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5"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23</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表演台</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橡胶木，80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*30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*130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5"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三层教具架</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橡胶木，93</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*30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*80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9"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展示转角柜</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橡胶木，40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*40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*60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5"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图书柜</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橡胶木，100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*30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*90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二层弯柜</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橡胶木，82</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*30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*60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w:t>
            </w:r>
          </w:p>
        </w:tc>
        <w:tc>
          <w:tcPr>
            <w:tcW w:w="96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音乐凳</w:t>
            </w:r>
          </w:p>
        </w:tc>
        <w:tc>
          <w:tcPr>
            <w:tcW w:w="686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*25</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*37</w:t>
            </w:r>
            <w:r>
              <w:rPr>
                <w:rFonts w:hint="default" w:ascii="Times New Roman" w:hAnsi="Times New Roman"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mm，误差不超过</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0mm</w:t>
            </w:r>
            <w:r>
              <w:rPr>
                <w:rFonts w:hint="default" w:ascii="Times New Roman" w:hAnsi="Times New Roman" w:cs="Times New Roman"/>
                <w:i w:val="0"/>
                <w:iCs w:val="0"/>
                <w:color w:val="000000"/>
                <w:kern w:val="0"/>
                <w:sz w:val="21"/>
                <w:szCs w:val="21"/>
                <w:highlight w:val="none"/>
                <w:u w:val="none"/>
                <w:lang w:val="en-US" w:eastAsia="zh-CN" w:bidi="ar"/>
              </w:rPr>
              <w:t>。</w:t>
            </w:r>
          </w:p>
        </w:tc>
        <w:tc>
          <w:tcPr>
            <w:tcW w:w="70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把</w:t>
            </w:r>
          </w:p>
        </w:tc>
        <w:tc>
          <w:tcPr>
            <w:tcW w:w="73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w:t>
            </w:r>
          </w:p>
        </w:tc>
      </w:tr>
    </w:tbl>
    <w:p>
      <w:pPr>
        <w:pStyle w:val="10"/>
        <w:spacing w:line="360" w:lineRule="auto"/>
        <w:rPr>
          <w:rFonts w:hint="default" w:ascii="Times New Roman" w:hAnsi="Times New Roman"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2.6钢琴</w:t>
      </w:r>
    </w:p>
    <w:tbl>
      <w:tblPr>
        <w:tblStyle w:val="17"/>
        <w:tblW w:w="100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2"/>
        <w:gridCol w:w="648"/>
        <w:gridCol w:w="7313"/>
        <w:gridCol w:w="728"/>
        <w:gridCol w:w="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序号</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设备名称</w:t>
            </w:r>
          </w:p>
        </w:tc>
        <w:tc>
          <w:tcPr>
            <w:tcW w:w="7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规格参数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数量</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钢琴</w:t>
            </w:r>
          </w:p>
        </w:tc>
        <w:tc>
          <w:tcPr>
            <w:tcW w:w="7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L1550mm*H1221mm*W618mm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立式钢琴88键板配置：延音踏板、倍弱音踏板、弱音踏板</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缓降</w:t>
            </w:r>
            <w:r>
              <w:rPr>
                <w:rFonts w:hint="eastAsia"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专利人性化设计的内置双缓降器，在键盘盖左右两边各装一个缓降，有效的增长缓降的使用效果及寿命，防止琴盖降落时夹伤手指。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材质</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板材</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铁板采用灰铸铁</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音板：采用鱼鳞松实木复合音板</w:t>
            </w:r>
            <w:r>
              <w:rPr>
                <w:rFonts w:hint="default" w:ascii="Times New Roman" w:hAnsi="Times New Roman" w:cs="Times New Roman"/>
                <w:i w:val="0"/>
                <w:iCs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琴弦</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均符合GB/T10159-2008国家质量检测标准的规定。</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背架</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实木背架</w:t>
            </w:r>
            <w:r>
              <w:rPr>
                <w:rFonts w:hint="default" w:ascii="Times New Roman" w:hAnsi="Times New Roman" w:cs="Times New Roman"/>
                <w:i w:val="0"/>
                <w:iCs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弦轴板</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木单板</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弦轴梢的扭力达到170-190牛</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米。</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铰链</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不锈钢材质</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钢琴附件配置</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双人琴凳，配含钢琴专用琴披、擦琴布、钢琴专用护理液、胶脚垫、键盘呢毡</w:t>
            </w:r>
            <w:r>
              <w:rPr>
                <w:rFonts w:hint="default" w:ascii="Times New Roman" w:hAnsi="Times New Roman" w:cs="Times New Roman"/>
                <w:i w:val="0"/>
                <w:iCs w:val="0"/>
                <w:color w:val="000000"/>
                <w:kern w:val="0"/>
                <w:sz w:val="21"/>
                <w:szCs w:val="21"/>
                <w:highlight w:val="none"/>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r>
    </w:tbl>
    <w:p>
      <w:pPr>
        <w:pStyle w:val="10"/>
        <w:rPr>
          <w:rFonts w:hint="default" w:ascii="Times New Roman" w:hAnsi="Times New Roman" w:cs="Times New Roman"/>
          <w:b w:val="0"/>
          <w:bCs/>
          <w:color w:val="auto"/>
          <w:sz w:val="21"/>
          <w:szCs w:val="21"/>
          <w:highlight w:val="none"/>
          <w:lang w:val="en-US" w:eastAsia="zh-CN"/>
        </w:rPr>
      </w:pPr>
    </w:p>
    <w:p>
      <w:pPr>
        <w:pStyle w:val="10"/>
        <w:spacing w:line="360" w:lineRule="auto"/>
        <w:rPr>
          <w:rFonts w:hint="default" w:ascii="Times New Roman" w:hAnsi="Times New Roman"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2.7幼儿绘本</w:t>
      </w:r>
    </w:p>
    <w:tbl>
      <w:tblPr>
        <w:tblStyle w:val="17"/>
        <w:tblW w:w="10046" w:type="dxa"/>
        <w:tblInd w:w="-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8"/>
        <w:gridCol w:w="7469"/>
        <w:gridCol w:w="1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序号</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书名</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法国巴亚畅销绘本：小绿狼（平）（NEW）</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林格伦儿童文学大奖作家绘本：爷爷变成了幽灵（平）（NEW）</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汉斯·比尔绘本系列：谁下了最美丽的蛋？（平）（NEW)</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白日梦想家系列：小邋遢和爱干净 （平）</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叫孩子学会打开心结，适应新环境--小豆芽不孤单（全彩美绘本）</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小月亮童书·启蒙读物送给小朋友的美好礼物--亲爱的宝贝（美绘版）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小月亮童书·启蒙读物送给小朋友的美好礼物--第一次自己买东西（美绘版）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小月亮童书·启蒙读物送给小朋友的美好礼物--窗边的小豆子（美绘版）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培养孩子积极乐观、勤劳勇敢的品质--谁是真正的朋友（全彩美绘本）</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小月亮童书·启蒙读物送给小朋友的美好礼物--您辛苦了，妈妈（美绘版）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教孩子学会正确求助，乐于助人--毛毛虫去爬山（全彩美绘本）</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适应新环境，感受性快乐--我爱幼儿园（美绘版）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教会孩子感受亲情，培养幽默感--我是跟屁虫（美绘注音版）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教会孩子独处，避免分离焦虑--我想亲亲月亮（全彩美绘本）</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海底两万里（美绘版）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教孩子理解父母的辛苦，学会感恩--我的好爸爸（全彩美绘本）</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让孩子体会与人相处的乐趣--遇见你真好（美绘版）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教育孩子互相帮助、坚强勇敢--小金鱼回家（美绘版）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来听听孩子的心声吧--等我长大后（美绘版）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小月亮童书·启蒙读物送给小朋友的美好礼物--神秘的礼物（美绘版）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培养孩子对大自然热爱之情，对环境的保护意识--山顶的小木屋（全彩美绘本）</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用贴进心灵的故事，帮助孩子爱上幼儿园--幼儿园的秘密（全彩美绘本）</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培养孩子积极乐观、勤劳勇敢的品质--长大以后我最棒（全彩美绘本）</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小月亮童书·启蒙读物送给小朋友的美好礼物--你好，地球（美绘版）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身边的科普认知绘本第一辑--和妈妈一起逛超市（美绘版）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身边的科普认知绘本第一辑--我不是脏小孩儿（美绘版）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身边的科普认知绘本第一辑--谁吃了谁（美绘版）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身边的科普认知绘本第二辑--一起盖房子（美绘版）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身边的科普认知绘本第一辑--垃圾去哪儿（美绘版）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身边的科普认知绘本第二辑--北极熊很难过（美绘版）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葛翠琳童书绘本·快乐童谣--月儿弯弯（美绘）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葛翠琳童书绘本·快乐童谣--顶儿尖尖（美绘）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亲子共读趣味绘本--马戏表演（美绘）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亲子共读趣味绘本--起床了（美绘）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亲子共读趣味绘本--大朋友和小朋友（美绘）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亲子共读趣味绘本--妈妈与幼仔（美绘）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身边的科普认知绘本第二辑--叮叮当当敲钉子（美绘版）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身边的科普认知绘本第二辑--我不要生病（美绘版）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身边的科普认知绘本第二辑--开汽车啦（美绘版）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身边的科普认知绘本第二辑--向动物学习（美绘版）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身边的科普认知绘本第二辑--我不害怕（美绘版）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身边的科普认知绘本第二辑--抬眼就看到的虫子（美绘版）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亲子共读趣味绘本--农场上演大逃亡（美绘）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亲子共读趣味绘本--害怕的猫咪（美绘）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亲子共读趣味绘本--过河（美绘）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亲子共读趣味绘本--青蛙的爱好（美绘）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亲子共读趣味绘本--小老鼠的一天（美绘）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亲子共读趣味绘本--小霸王龙（美绘）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亲子共读趣味绘本--跳绳（美绘）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未来的森林（全4册*不单发）--保护“大家伙”（美绘版） </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未来的森林（全4册*不单发）--除草的“神秘人”（美绘版） </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未来的森林（全4册*不单发）--村里的新邻居（美绘版） </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未来的森林（全4册*不单发）--大家一起来（美绘版）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葛翠琳童书馆绘本·动脑猜猜看--谁摘的山果多（美绘）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葛翠琳童书馆绘本·动脑猜猜看--谁的姥姥（美绘）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葛翠琳童书馆绘本·动脑猜猜看--谁送来的梯子（美绘）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葛翠琳童书馆绘本·动脑猜猜看--谁从天上掉下来（美绘）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孩子特爱问的小问号·十万个为什么--恐龙终极探秘（美绘）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孩子特爱问的小问号·十万个为什么--昆虫和鸟类探秘（美绘）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孩子特爱问的小问号·十万个为什么--科学超有趣（美绘）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孩子特爱问的小问号·十万个为什么--海洋总动员（美绘）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孩子特爱问的小问号·十万个为什么--闯进动物王国（美绘）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身边的科普认知绘本第三辑--用勺子还是筷子（美绘版）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身边的科普认知绘本第三辑--大海里有什么（美绘版）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身边的科普认知绘本第三辑--食物是怎么变成屎的（美绘版）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身边的科普认知绘本第三辑--大米是怎么种出来的（美绘版）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身边的科普认知绘本第三辑--各种各样的运动（美绘版）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身边的科普认知绘本第三辑--比萨是怎么来的（美绘版）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身边的科普认知绘本第三辑--一点儿也不脏的猪（美绘版）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身边的科普认知绘本第三辑--玩遍游乐场（美绘版）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幼儿心理自助绘本--阿拉斯有新朋友了？（国外引进*美绘本）</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幼儿心理自助绘本--喵喵想去幼儿园（国外引进*美绘本）</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幼儿心理自助绘本--泰迪熊找不到了？（国外引进*美绘本）</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幼儿心理自助绘本--阿拉斯好开心（国外引进*美绘本）</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科学小问号--无处不在的气象（美绘版）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科学小问号--看！原来是重力（美绘版）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科学小问号--化石燃料的形成（美绘版）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科学小问号--奇妙的声音（美绘版）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科学小问号--探索未来科技（美绘版）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科学小问号--不可思议的能量（美绘版）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科学小问号--神奇的光学（美绘版）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科学小问号--热力大爆发（美绘版）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科学小问号--现代科技的文明（美绘版）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科学小问号--南极洲的现象（美绘版）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幼儿学前绘本故事--长翅膀的画册（美绘）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幼儿学前绘本故事--神奇的蘑菇帽（美绘）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幼儿学前绘本故事--太阳生气了（美绘）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幼儿学前绘本故事--我飞起来了（美绘)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幼儿学前绘本故事--神秘的七彩桥(美绘）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幼儿学前绘本故事--小袋鼠荡秋千（美绘）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幼儿学前绘本故事--跟着风儿去旅行（美绘）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好孩子好品德系列图画书--河对岸的风景（美绘版）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好孩子好品德系列图画书--骄傲的画家（美绘版）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好孩子好品德系列图画书--森林旅行团（美绘版）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好孩子好品德系列图画书--红鞋匠的梦想（美绘版）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好孩子好品德系列图画书--傍晚的灯笼（美绘版）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好孩子好品德系列图画书--小猪的新木屋（美绘版）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好孩子好品德系列图画书--小闹闹的歌声（美绘版）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好孩子好品德系列图画书--你是我的翅膀（美绘版）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好孩子好品德系列图画书--罗洛的菜园（美绘版）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好孩子好品德系列图画书--自私的小羊山山（美绘版）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好孩子好品德系列图画书--小松鼠和松塔（美绘版）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幼儿学前绘本故事--春天里（美绘）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幼儿学前绘本故事--小小的梦（美绘）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幼儿学前绘本故事--棉花的故事（美绘）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无敌超人去野营（国外引进*美绘本）</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小小乐器演奏家（国外引进*美绘本）</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好孩子启蒙成长丛书--为什么呢？（美绘版）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好孩子启蒙成长丛书--妈妈最懂我！（美绘版）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好孩子启蒙成长丛书--圆圆圈星球（美绘版）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好孩子启蒙成长丛书--亲吻火车（美绘版）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好孩子启蒙成长丛书--跟着小虫爬呀爬（美绘版）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好孩子启蒙成长丛书--等我长大以后（美绘版）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好孩子启蒙成长丛书--表情怎么了？（美绘版）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好孩子好品德系列图画书--我们都是好朋友（美绘版）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好孩子好品德系列图画书--猴子小姐的委托（美绘版）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好孩子好品德系列图画书--波波的花雨伞（美绘版）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好孩子好品德系列图画书--小丑变形记（美绘版）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好孩子好品德系列图画书--我们都很了不起（美绘版）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好孩子好品德系列图画书--惹祸的礼物（美绘版）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好孩子好品德系列图画书--卡卡的果汁店（美绘版）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好孩子好品德系列图画书--嘟嘟的星空（美绘版）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好孩子好品德系列图画书--爸爸，我错了！（美绘版）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好孩子好品德系列图画书--米米的远方（美绘版）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好孩子好品德系列图画书--学轮滑的小兔子（美绘版）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好孩子好品德系列图画书--松松和小喜（美绘版）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好孩子好品德系列图画书--斑斑的梦想（美绘版）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儿童情绪管理与心理健康--召回纸飞机（美绘版）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儿童情绪管理与心理健康--睡不着的奥弗特（美绘版）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儿童情绪管理与心理健康--最讨厌打针（美绘版）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儿童情绪管理与心理健康--巧克力哪去了（美绘版）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儿童情绪管理与心理健康--妖怪快走开（美绘版）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儿童情绪管理与心理健康--妈妈总是忙（美绘版）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我爱我家--淘气的我（美绘）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我爱我家--我的表哥（美绘）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我爱我家--我的表妹（美绘）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我爱我家--我的姐姐（美绘）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我爱我家--我的爷爷（美绘）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我爱我家--我的妈妈（美绘）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我爱我家--我的爸爸（美绘）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教孩子学会正视自己，勇于表现--会飞的大象（全彩美绘本）</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教会孩子体会生活乐趣，品味家庭亲情--不小心逗乐你（美绘版）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用满怀爱意的“唠叨”鼓励孩子好好吃饭--多吃饭长打个（全彩美绘本）</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感谢校园的魅力，培养学习的兴趣--神奇校园（全彩美绘本）</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小月亮童书·启蒙读物送给小朋友的美好礼物--我敢嘲笑老虎（美绘版）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感受快乐，让孩子爱上幼儿园--幼儿园快乐的一天（美绘版）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小月亮童书·启蒙读物送给小朋友的美好礼物--森林马拉松大会·成功与失败只差一步（美绘版）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通过隔代亲情，教育孩子孝顺长辈--爷爷的三轮车（全彩美绘本）</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爱护环境，人人有责--不要随便扔垃圾（美绘版）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家庭绘本--妈妈需要离开你们一天（美绘版）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家庭绘本--整个暑假都不洗头的查理（美绘版）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学会坚强，关爱别人--妈妈，我能行（美绘版）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小王子（美绘版）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家庭绘本--小怪物更爱你的爸爸妈妈（美绘版）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教育孩子理解父母的爱，与兄弟姐妹和平共处--左手爱上右手（美绘版）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小月亮童书·启蒙读物送给小朋友的美好礼物--小屁孩儿日记（美绘版）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小月亮童书·启蒙读物送给小朋友的美好礼物--爱发脾气的小屁孩（美绘版）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消除孩子上学的恐惧，给他们信心和鼓励--我要上学了（美绘版）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小月亮童书·启蒙读物送给小朋友的美好礼物--红鞋子（美绘版）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小月亮童书·启蒙读物送给小朋友的美好礼物--好朋友（美绘版）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培养孩子对父亲的崇拜感--我的爸爸有办法（全彩美绘本）</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教育孩子们要正确认识自己，同时学习他人的长处--我先知道我是谁（美绘版）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奇妙世界发现之旅--美丽的自然（美绘版）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奇妙世界发现之旅--植物的秘密（美绘版）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奇妙世界发现之旅--农场趣闻（美绘版）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奇妙世界发现之旅--动物的秘密（美绘版）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奇妙世界发现之旅--家禽的故事（美绘版）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奇妙世界发现之旅--身边的文明（美绘版）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奇妙世界发现之旅--宠物小宝贝（美绘版）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奇妙世界发现之旅--可爱的动物（美绘版）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奇妙世界发现之旅--神奇的科学（美绘版）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奇妙世界发现之旅--小鸟和昆虫（美绘版）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奇妙世界发现之旅--趣味海底世界（美绘版）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奇妙世界发现之旅--交通小百科（美绘版）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家园共育原创绘本：嘘！安静</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十二生肖原创美绘本：申猴</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家园共育原创绘本：你很棒</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家园共育原创绘本：认真听，有礼貌</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激发宝宝表达欲：认真听，不走神儿</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激发宝宝表达欲：不害怕，勇敢地问</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游戏篇：小布老虎</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想象力篇：谁惹祸了</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心理篇：像动物那样勇敢</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游戏篇：积木国</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游戏篇：我爱小玩具</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心理篇：学当小姐姐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游戏篇：雪天下灯笼</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心理篇：谁生蛋宝宝</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心理篇：去动物园喽</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心理篇：鹦鹉爱说话</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游戏篇：铁皮小火车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心理篇：跳龙门的小鲤鱼</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想象力篇：小木马病了</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心理篇：我敢唱歌了</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游戏篇：饼干七巧板</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游戏篇：彩云当风筝</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游戏篇：皮球真淘气</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心理篇：小蜥蜴是朋友</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心理篇：猫头鹰的夜晚</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游戏篇：再见，小布熊</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想象力篇：大猫和小鼠</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想象力篇：去往翡翠城</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想象力篇：长鱼的树</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想象力篇：蝴蝶风筝</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想象力篇：和星星说话</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游戏篇：跳房子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想象力篇：蜗牛飞上天</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想象力篇：小木马来了</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心理篇：我是斑马迷</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中国娃娃 想象力篇：飞起来啦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十二生肖原创美绘本：辰龙</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家园共育原创绘本：说实话真好</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儿童逆商培养原创绘本：别想欺负我</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激发宝宝表达欲：不害羞，勇敢地说</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激发宝宝表达欲：别慌张，得体地说</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儿童逆商培养原创绘本：坏情绪，请走开</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家园共育原创绘本：坏脾气，我不要</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家园共育原创绘本：会沟通的孩子受欢迎</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家园共育原创绘本：拉拉手，好朋友</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220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家园共育原创绘本：学会分享</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221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家园共育原创绘本：一起玩儿真好</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222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十二生肖原创美绘本：戌狗</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223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十二生肖原创美绘本：巳蛇</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224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十二生肖原创美绘本：子鼠</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225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十二生肖原创美绘本：未羊</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226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十二生肖原创美绘本：酉鸡</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227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保护自己更重要：别随便命令我</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228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儿童逆商培养原创绘本：我才不怕呢</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229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儿童逆商培养原创绘本：我真的很棒</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230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儿童逆商培养原创绘本：不要嘲笑我</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231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儿童逆商培养原创绘本：我要更勇敢</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232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保护自己更重要：随便摸我可不行</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233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十二生肖原创美绘本：亥猪</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234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十二生肖原创美绘本：寅虎</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235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儿童逆商培养原创绘本：对不起，我错了</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236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保护自己更重要：我不跟陌生人走</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237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保护自己更重要：被欺骗时怎么办</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238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激发宝宝表达欲：有礼貌，不随便回答</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239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保护自己更重要：不许欺负我</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儿童逆商培养原创绘本：输了又怎样</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保护自己更重要：别想让我保守秘密</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保护自己更重要：别嘲笑我</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儿童逆商培养原创绘本：不再害怕和妈妈分开</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激发宝宝表达欲：别发脾气，好好说</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激发宝宝表达欲：不急躁，专心听</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激发宝宝表达欲：不哭闹，清楚地说</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保护自己更重要：别随便亲我</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亮鲸鲸：我要养成好习惯</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亮鲸鲸：我不再抱怨了</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亮鲸鲸：我是聪明的孩子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团圆</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好饿的毛毛虫</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小蓝和小黄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驿马</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一园青菜成了精</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爷爷一定有办法（二版）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獾的礼物</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生气汤02</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魔法亲亲</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蚯蚓的日记（二版）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下雪天</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彼得的椅子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躲猫猫大王</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会飞的抱抱</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傻鹅皮杜妮</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子儿，吐吐（二版）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逃家小兔（二版）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猜猜我有多爱你（二版）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猜猜我有多爱你 你愿做做我的朋友吗</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我的连衣裙</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阿立会穿裤子了</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月下看猫头鹰</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母鸡萝丝去散步（二版）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月亮小熊的故事. 月亮，生日快乐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驴小弟变石头（二版）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阿利的红斗篷</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武士与龙</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抱抱</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巴士到站了</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爱音乐的马可</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小猫头鹰</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三个强盗</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最奇妙的蛋</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你睡不着吗？</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一寸虫</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雪人</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小阿力的大学校</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求雨</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打瞌睡的房子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290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夜莺</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291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迟到大王</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292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你喜欢……</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293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我永远爱你</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294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好朋友</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295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房子，再见</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296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小种子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297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小羊和蝴蝶</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298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南瓜汤（二版）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299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妈妈，买绿豆！</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小鱼散步</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金老爷买钟</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门</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漏</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葡萄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毛头小鹰</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汤姆爷爷</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下雨天</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花城</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敌人</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310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天为啥是蓝的？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311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爸爸去上班</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312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我的地图书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313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若伯特的孩子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314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圣诞节的礼物</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315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海马先生</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316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地球之舞</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317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爸爸，我要月亮</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318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小天使失踪了——美术馆奇遇记</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319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派克的小提琴</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那只深蓝色的鸟是我爸爸</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我要把我的帽子找回来</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欢迎来到神奇船</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三顶帽子几个人</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数字在哪里</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咕叽咕叽</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好想吃榴莲</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好安静的书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画了一匹蓝马的画家</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你们都是我的最爱</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耗子大爷在家吗？</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烟花</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好大声的书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棕色的熊、棕色的熊，你在看什么？（纸板）</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袋鼠也有妈妈吗？</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从头动到脚</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北冥有鱼</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谁是第一名</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海鹦就是海鹦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爱画画的诗</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340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有些时候，我特别喜欢爸爸</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341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有些时候，我特别喜欢妈妈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342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阿福去散步</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343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要跟着来噢</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344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好大的红苹果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345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移动的积木</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346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妈妈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347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变色龙捉迷藏</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348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这不是我的帽子（新）</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349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野地上的花园</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350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风到哪里去了</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351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战役</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352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1,2,3到动物园</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353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公鸡的新邻居</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354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拼拼凑凑的变色龙</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355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谁的家到了？</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356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黑米走丢了</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357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小黑鸟</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358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神奇变身水</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359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森林</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360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阿虎开窍了</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361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寻猫启事</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362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月亮小熊的故事. 月亮蛋糕</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363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月亮小熊的故事. 月亮捉迷藏</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364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胡椒南瓜汤</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365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生活微百科. 做梦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366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生活微百科. 上厕所</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367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生活微百科. 记事情</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368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早安晚安</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369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亲子游戏动动儿歌——打开伞</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370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我的名字克里桑丝美美菊花</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371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猜猜我有多爱你宝宝书：颜色·数一数</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372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微生物：看不见的魔术师01</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373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游泳</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374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想看海的乌龟</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375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棉婆婆睡不着</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376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迟到的理由</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377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九千九百九十九岁的老奶奶</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378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山姆和大卫去挖洞</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379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小乔逃跑了</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380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嗨，身体的各位！</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381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23</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382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跑跑镇</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383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爱睡觉的鲸鱼</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384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爱思考的青蛙——蚯蚓有没有脸？</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385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爱思考的青蛙——夜晚从哪里来？</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386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爱思考的青蛙——路通到哪里？</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387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爱思考的青蛙——生命在哪里？</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388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我的南极朋友</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389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好想马上见到你</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390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你看到我的小鸭了吗？</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391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加油！熊医生</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392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山猫服饰店</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393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火车快跑</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394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晴天 雨天 幸福天</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395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你最喜欢什么动物？</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396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最好喝的汤</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397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画一个星星给我</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398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神探狗汪汪</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399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澡堂子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400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公主怎么挖鼻屎</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401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巴夭人的孩子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402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豆丁要回家</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403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太阳晚上到哪儿去了？</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lang w:val="en-US" w:eastAsia="zh-CN"/>
              </w:rPr>
            </w:pPr>
            <w:r>
              <w:rPr>
                <w:rFonts w:hint="default" w:ascii="Times New Roman" w:hAnsi="Times New Roman" w:cs="Times New Roman"/>
                <w:i w:val="0"/>
                <w:iCs w:val="0"/>
                <w:color w:val="000000"/>
                <w:sz w:val="21"/>
                <w:szCs w:val="21"/>
                <w:highlight w:val="none"/>
                <w:u w:val="none"/>
                <w:lang w:val="en-US" w:eastAsia="zh-CN"/>
              </w:rPr>
              <w:t>404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12个人一天的生活</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405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张开大嘴呱呱呱</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406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小老鼠找新家</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407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洗澡时间躲猫猫</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408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游戏时间躲猫猫</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409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卖帽子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410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轻轻呼气 小白鲸</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411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打架的艺术01</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412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星期三下午捉蝌蚪</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413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我们发现了一顶帽子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414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艾瑞卡尔好朋友</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415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小洋葱大作战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416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影子飞机</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417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午后</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418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脑袋上的池塘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419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乌干菜白米饭</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420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门兽</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421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六十六头牛</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422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红菇娘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423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我的情绪小怪兽</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424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小雨滴：给0~3岁宝宝的律动儿歌</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425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牛来了：给0~3岁宝宝的传统儿歌</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426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孤独的巨人</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427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猫头鹰蝙蝠</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428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嗷呜！嗷呜！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429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想哭的时候</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430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山羊蛋糕店</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431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爸爸的图画书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432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盒子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433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假装是鱼</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434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全都睡了100年</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435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书之子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436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圆月照着打瞌睡的房子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437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我家是动物园</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438</w:t>
            </w:r>
          </w:p>
        </w:tc>
        <w:tc>
          <w:tcPr>
            <w:tcW w:w="7469"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父子开车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439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忠信的鼓</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440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一起玩</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441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好饿的毛毛虫 纸板书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442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好忙的鸟儿</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443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数不清！大自然的生物多样性</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444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抓不到我！</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445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勇敢的小熊</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446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动物量体重</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447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方块动物园</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448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动物量身高</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449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狼、鸭子和老鼠</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450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好安静的蟋蟀01</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451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溜达鸡</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452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怪叔叔</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453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明锣移山</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454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喂，这样做才正确！</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455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抓流星</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456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正方形</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457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三角形</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458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圆形</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459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胖国王</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460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瘦皇后</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461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眼镜公主</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462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蛀牙王子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463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13楼有只恐龙</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464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呼唤我的猫</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465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屎壳郎的生日礼物</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466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亲一下小鳄鱼</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467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情绪小怪兽去上学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468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旋风小鼹鼠</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469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爱吃青菜的鳄鱼</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470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爱吃水果的牛</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471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毛毛，回家喽！</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472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好忙的蜘蛛</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473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爸爸，为什么？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474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好忙的除夕</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475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雪鹿</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476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这个世界上，我最喜欢……</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477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猴子捞月 </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478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金雕猎狼</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479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好乖的波波 </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480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跳着去噗噗啰，我的小宝贝！</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481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大个子夫人从高高的山坡上骨碌骨碌地滚下去啦！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482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美好日酒店</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483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星空下的等待</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484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在爸爸的背上</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485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小可可爱打嗝</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486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逛商店街</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487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谁的袜子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488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喂喂，我告诉你哦……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489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Style w:val="28"/>
                <w:rFonts w:hint="default" w:ascii="Times New Roman" w:hAnsi="Times New Roman" w:cs="Times New Roman"/>
                <w:sz w:val="21"/>
                <w:szCs w:val="21"/>
                <w:highlight w:val="none"/>
                <w:lang w:val="en-US" w:eastAsia="zh-CN" w:bidi="ar"/>
              </w:rPr>
              <w:t>建筑</w:t>
            </w:r>
            <w:r>
              <w:rPr>
                <w:rStyle w:val="29"/>
                <w:rFonts w:hint="default" w:ascii="Times New Roman" w:hAnsi="Times New Roman" w:cs="Times New Roman"/>
                <w:sz w:val="21"/>
                <w:szCs w:val="21"/>
                <w:highlight w:val="none"/>
                <w:lang w:val="en-US" w:eastAsia="zh-CN" w:bidi="ar"/>
              </w:rPr>
              <w:t>师海鹦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490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DNA：基因和遗传的秘密</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491</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为什么，为什么不？</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492</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不一样的1</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493</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小鸟和鳄鱼</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494</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心喜阅绘本馆：没有人拥有月亮（精）X</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495</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心喜阅绘本馆：贫民窟的世界乐团（精）X</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496</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献给孩子的诗歌绘本：今天好开心（精）</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497</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科普绘本：北极熊（精）</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498</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科普绘本：蓝鲸（精）（NEW）</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499</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科普绘本：北极熊（精）（智能点读版）</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500</w:t>
            </w:r>
          </w:p>
        </w:tc>
        <w:tc>
          <w:tcPr>
            <w:tcW w:w="7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科普绘本：会魔法的季节·秋天的魔法（精）</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bl>
    <w:p>
      <w:pPr>
        <w:pStyle w:val="10"/>
        <w:spacing w:line="360" w:lineRule="auto"/>
        <w:rPr>
          <w:rFonts w:hint="default" w:ascii="Times New Roman" w:hAnsi="Times New Roman"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2.7教师用书配置方案</w:t>
      </w:r>
    </w:p>
    <w:tbl>
      <w:tblPr>
        <w:tblStyle w:val="17"/>
        <w:tblW w:w="10029" w:type="dxa"/>
        <w:tblInd w:w="-4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9"/>
        <w:gridCol w:w="7448"/>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序号</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书名</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幼儿音乐能力培养的策略与方案（含光盘）</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幼儿园科学探究教学</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幼儿教师教育一体化模式创新与实践框架</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中国幼儿园教育质量评价</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 正文 )" w:cs="Times New Roman"/>
                <w:i w:val="0"/>
                <w:iCs w:val="0"/>
                <w:color w:val="000000"/>
                <w:sz w:val="21"/>
                <w:szCs w:val="21"/>
                <w:highlight w:val="none"/>
                <w:u w:val="none"/>
              </w:rPr>
            </w:pPr>
            <w:r>
              <w:rPr>
                <w:rFonts w:hint="default" w:ascii="Times New Roman" w:hAnsi="Times New Roman" w:eastAsia="宋体 ( 正文 )" w:cs="Times New Roman"/>
                <w:i w:val="0"/>
                <w:iCs w:val="0"/>
                <w:color w:val="000000"/>
                <w:kern w:val="0"/>
                <w:sz w:val="21"/>
                <w:szCs w:val="21"/>
                <w:highlight w:val="none"/>
                <w:u w:val="none"/>
                <w:lang w:val="en-US" w:eastAsia="zh-CN" w:bidi="ar"/>
              </w:rPr>
              <w:t>3-6岁儿童学习与发展指南   实施问答</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幼儿园教育质量评价手册</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幼儿教师自我评价研究</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 正文 )" w:cs="Times New Roman"/>
                <w:i w:val="0"/>
                <w:iCs w:val="0"/>
                <w:color w:val="000000"/>
                <w:sz w:val="21"/>
                <w:szCs w:val="21"/>
                <w:highlight w:val="none"/>
                <w:u w:val="none"/>
              </w:rPr>
            </w:pPr>
            <w:r>
              <w:rPr>
                <w:rFonts w:hint="default" w:ascii="Times New Roman" w:hAnsi="Times New Roman" w:eastAsia="宋体 ( 正文 )" w:cs="Times New Roman"/>
                <w:i w:val="0"/>
                <w:iCs w:val="0"/>
                <w:color w:val="000000"/>
                <w:kern w:val="0"/>
                <w:sz w:val="21"/>
                <w:szCs w:val="21"/>
                <w:highlight w:val="none"/>
                <w:u w:val="none"/>
                <w:lang w:val="en-US" w:eastAsia="zh-CN" w:bidi="ar"/>
              </w:rPr>
              <w:t>数学不仅是数数</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中国娃：幼儿园民间文化活动（下册）</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小小收藏家：幼儿博物馆的建设与利用</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小小园丁：幼儿园种植活动</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小小美食家：幼儿园炊事活动</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小小书虫：幼儿园图书馆的建设与利用</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早期儿童数学教育</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小小艺术家：幼儿园表演活动</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小小饲养员：幼儿园饲养活动</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中国娃：幼儿园民间文化活动（上册）</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 正文 )" w:cs="Times New Roman"/>
                <w:i w:val="0"/>
                <w:iCs w:val="0"/>
                <w:color w:val="000000"/>
                <w:sz w:val="21"/>
                <w:szCs w:val="21"/>
                <w:highlight w:val="none"/>
                <w:u w:val="none"/>
              </w:rPr>
            </w:pPr>
            <w:r>
              <w:rPr>
                <w:rFonts w:hint="default" w:ascii="Times New Roman" w:hAnsi="Times New Roman" w:eastAsia="宋体 ( 正文 )" w:cs="Times New Roman"/>
                <w:i w:val="0"/>
                <w:iCs w:val="0"/>
                <w:color w:val="000000"/>
                <w:kern w:val="0"/>
                <w:sz w:val="21"/>
                <w:szCs w:val="21"/>
                <w:highlight w:val="none"/>
                <w:u w:val="none"/>
                <w:lang w:val="en-US" w:eastAsia="zh-CN" w:bidi="ar"/>
              </w:rPr>
              <w:t>幼儿园艺术、健康和社会教育</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家校关系与家长和家庭成功合作</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鹰架儿童的学习：维果斯基与幼儿教育</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小游戏、大学问：教师在幼儿游戏中的角色</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22</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新手老师上路啰!幼儿教师入门必读</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23</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与幼儿教师对话：迈向专业成长之路</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学前儿童游戏治疗：10名边缘儿童的个案研究</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区域性幼儿教师研训一体化的研究与实践</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游戏——从理论到实践</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当游戏不再简单——帮助儿童参与并持续游戏</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当游戏不再有趣——帮助儿童解决游戏中的冲突</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29</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儿童音乐生活</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让早期学习理论看得见</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31</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全景式：幼儿教师的专业成长</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新手父母教养宝典：你的1岁孩子</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新手父母教养宝典：你的2岁孩子</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34</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新手父母教养宝典：你的3岁孩子</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35</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新手父母教养宝典：你的4岁孩子</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36</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新手父母教养宝典：你的5岁孩子</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37</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新手父母教养宝典：你的6岁孩子</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38</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宝宝迈向STEM：0～3岁儿童的科学、技术、工程和数学活动</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39</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与我心灵共舞：满足婴幼儿的成长需求——安全感、被爱和被尊重</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40</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小时候的时候：别样的成长档案与分析</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41</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动作教学：幼儿核心的动作经验</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42</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理想的教学点子1：以核心经验为中心设计日常计划</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43</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理想的教学点子2：以幼儿兴趣为中心做计划</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44</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理想的教学点子3：100个小组活动经验</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45</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理想的教学点子4：家长工作坊的必备资源</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46</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学习环境的规划与运用</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47</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建构活动区的设计与应用</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48</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角色活动区的设计与应用</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49</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美工活动区的设计与应用</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50</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智力活动区的设计与应用</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51</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幼儿自然科学经验：教材教法</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52</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探究•体验•发现：幼儿园科学教育理论与实践</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53</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幼儿数学新论：教材教法</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54</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幼儿园早期阅读活动案例精选集</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55</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红红火火中国龙</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56</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五月的风</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57</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串珠游戏方案·小班</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58</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串珠游戏方案·中班</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59</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串珠游戏方案·大班</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60</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娃娃的太空梦：南京市实验幼儿园空间科学启蒙案例研究</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61</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与幼儿一起发现自然</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62</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与幼儿一起探索水</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63</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与幼儿一起建构积木</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64</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甘蔗有多高</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65</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鸽子</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66</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幼儿环境教育：校本课程的经验</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67</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与幼儿一起学习STEM：用斜坡和轨道开展探究性教学</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68</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培养STEM素养：适合3～8岁儿童探索的12个科学主题</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69</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幼儿科学教育——探究取向</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70</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图画书教学之路——从读本分析到核心经验的落实</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71</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来自真实教室的经验与反思——图画书教学大家谈</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72</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神奇的认知多棱镜——知识类图画书教学大家谈</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73</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像童年一样美——散文类图画书教学大家谈</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74</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游戏性与文学性并举的语言盛宴——诗歌类图画书教学大家谈</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75</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在现实和奇境间漫游——故事类图画书教学大家谈</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76</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幼儿园里有妖怪——幼儿“光影世界”的体验式探究</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77</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妖怪变形记——幼儿“光影世界”的游戏式探究</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78</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妖怪剧诞生记——幼儿“光影剧”的创造式探究</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79</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探索自然的50个创意</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80</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教保小小孩</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81</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开启孩子的心灵世界：项目教学法</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82</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小小探索家：幼儿教育中的项目课程教学</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83</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项目课程的魅力：应对当代幼儿教室挑战的策略与方法</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84</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幼儿教材教法：整合性课程取向</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85</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儿童的一百种语言</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86</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学前儿童语言学习与发展核心经验</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87</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学前儿童</w:t>
            </w:r>
            <w:r>
              <w:rPr>
                <w:rFonts w:hint="eastAsia" w:ascii="Times New Roman" w:hAnsi="Times New Roman" w:cs="Times New Roman"/>
                <w:i w:val="0"/>
                <w:iCs w:val="0"/>
                <w:color w:val="000000"/>
                <w:kern w:val="0"/>
                <w:sz w:val="21"/>
                <w:szCs w:val="21"/>
                <w:highlight w:val="none"/>
                <w:u w:val="none"/>
                <w:lang w:val="en-US" w:eastAsia="zh-CN" w:bidi="ar"/>
              </w:rPr>
              <w:t>数学</w:t>
            </w:r>
            <w:r>
              <w:rPr>
                <w:rFonts w:hint="default" w:ascii="Times New Roman" w:hAnsi="Times New Roman" w:eastAsia="宋体" w:cs="Times New Roman"/>
                <w:i w:val="0"/>
                <w:iCs w:val="0"/>
                <w:color w:val="000000"/>
                <w:kern w:val="0"/>
                <w:sz w:val="21"/>
                <w:szCs w:val="21"/>
                <w:highlight w:val="none"/>
                <w:u w:val="none"/>
                <w:lang w:val="en-US" w:eastAsia="zh-CN" w:bidi="ar"/>
              </w:rPr>
              <w:t>学习与发展核心经验</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88</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学前儿童健康学习与发展核心经验</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89</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学前儿童社会学习与发展核心经验</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90</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学前儿童运动游戏的理论与实践——通过运动游戏促进身体发展</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91</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平衡良好的孩子：运动与早期学习</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92</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数字时代的早期学习</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93</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石头剪子布：李茹儿童歌曲集（1本书+2CD)</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94</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石头剪子布：李茹儿童歌曲歌唱游戏（1指导手册+1DVD）</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95</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舞起来1（1本指导手册+1CD+1DVD）</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96</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舞起来2（1本指导手册+1CD+1DVD）</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97</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一个孩子两种语言：幼儿双语教学手册</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98</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汉语儿童语言研究（2010）卷</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99</w:t>
            </w:r>
          </w:p>
        </w:tc>
        <w:tc>
          <w:tcPr>
            <w:tcW w:w="7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寻找幼儿园语言教育质量提升之路</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100</w:t>
            </w:r>
          </w:p>
        </w:tc>
        <w:tc>
          <w:tcPr>
            <w:tcW w:w="7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《指南》背景下的幼儿园语言教育：第六届全国幼儿语言教育研讨会获奖活动评析</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bl>
    <w:p>
      <w:pPr>
        <w:pStyle w:val="3"/>
        <w:rPr>
          <w:rFonts w:hint="default" w:ascii="Times New Roman" w:hAnsi="Times New Roman" w:eastAsia="宋体" w:cs="Times New Roman"/>
          <w:b/>
          <w:color w:val="auto"/>
          <w:sz w:val="30"/>
          <w:szCs w:val="30"/>
          <w:highlight w:val="none"/>
          <w:lang w:val="en-US" w:eastAsia="zh-CN"/>
        </w:rPr>
      </w:pPr>
      <w:r>
        <w:rPr>
          <w:rFonts w:hint="default" w:ascii="Times New Roman" w:hAnsi="Times New Roman" w:eastAsia="宋体" w:cs="Times New Roman"/>
          <w:b/>
          <w:color w:val="auto"/>
          <w:sz w:val="30"/>
          <w:szCs w:val="30"/>
          <w:highlight w:val="none"/>
          <w:lang w:val="en-US" w:eastAsia="zh-CN"/>
        </w:rPr>
        <w:t>三、商务要求</w:t>
      </w:r>
      <w:bookmarkEnd w:id="90"/>
      <w:bookmarkEnd w:id="91"/>
    </w:p>
    <w:p>
      <w:pPr>
        <w:pStyle w:val="4"/>
        <w:spacing w:line="360" w:lineRule="auto"/>
        <w:ind w:firstLine="525" w:firstLineChars="25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3.1供货时间：合同签订后15个日历日内；</w:t>
      </w:r>
    </w:p>
    <w:p>
      <w:pPr>
        <w:pStyle w:val="4"/>
        <w:spacing w:line="360" w:lineRule="auto"/>
        <w:ind w:firstLine="525" w:firstLineChars="250"/>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Cs w:val="21"/>
          <w:highlight w:val="none"/>
          <w:lang w:val="en-US" w:eastAsia="zh-CN"/>
        </w:rPr>
        <w:t>3.2供货地点：</w:t>
      </w:r>
      <w:r>
        <w:rPr>
          <w:rFonts w:hint="default" w:ascii="Times New Roman" w:hAnsi="Times New Roman" w:cs="Times New Roman"/>
          <w:color w:val="auto"/>
          <w:sz w:val="21"/>
          <w:szCs w:val="21"/>
          <w:highlight w:val="none"/>
          <w:lang w:val="zh-CN"/>
        </w:rPr>
        <w:t>采购人指定地点；</w:t>
      </w:r>
    </w:p>
    <w:p>
      <w:pPr>
        <w:pStyle w:val="4"/>
        <w:spacing w:line="360" w:lineRule="auto"/>
        <w:ind w:firstLine="525" w:firstLineChars="25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Cs w:val="21"/>
          <w:highlight w:val="none"/>
          <w:lang w:val="en-US" w:eastAsia="zh-CN"/>
        </w:rPr>
        <w:t>3.3质</w:t>
      </w:r>
      <w:r>
        <w:rPr>
          <w:rFonts w:hint="default" w:ascii="Times New Roman" w:hAnsi="Times New Roman" w:cs="Times New Roman"/>
          <w:color w:val="auto"/>
          <w:sz w:val="21"/>
          <w:szCs w:val="21"/>
          <w:highlight w:val="none"/>
          <w:lang w:val="en-US" w:eastAsia="zh-CN"/>
        </w:rPr>
        <w:t>保期：验收合格后两年。</w:t>
      </w:r>
    </w:p>
    <w:p>
      <w:pPr>
        <w:pStyle w:val="4"/>
        <w:spacing w:line="360" w:lineRule="auto"/>
        <w:ind w:firstLine="525" w:firstLineChars="250"/>
        <w:rPr>
          <w:rFonts w:hint="default" w:ascii="Times New Roman" w:hAnsi="Times New Roman" w:eastAsia="宋体" w:cs="Times New Roman"/>
          <w:color w:val="auto"/>
          <w:sz w:val="21"/>
          <w:szCs w:val="21"/>
          <w:highlight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jc w:val="center"/>
        <w:textAlignment w:val="auto"/>
        <w:outlineLvl w:val="0"/>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cs="Times New Roman"/>
          <w:b/>
          <w:bCs/>
          <w:color w:val="auto"/>
          <w:kern w:val="2"/>
          <w:sz w:val="32"/>
          <w:szCs w:val="32"/>
          <w:highlight w:val="none"/>
          <w:lang w:val="en-US" w:eastAsia="zh-CN" w:bidi="ar-SA"/>
        </w:rPr>
        <w:br w:type="page"/>
      </w:r>
      <w:bookmarkStart w:id="92" w:name="_Toc22972"/>
      <w:r>
        <w:rPr>
          <w:rFonts w:hint="default" w:ascii="Times New Roman" w:hAnsi="Times New Roman" w:eastAsia="黑体" w:cs="Times New Roman"/>
          <w:b w:val="0"/>
          <w:bCs w:val="0"/>
          <w:color w:val="auto"/>
          <w:kern w:val="2"/>
          <w:sz w:val="32"/>
          <w:szCs w:val="32"/>
          <w:highlight w:val="none"/>
          <w:lang w:val="en-US" w:eastAsia="zh-CN" w:bidi="ar-SA"/>
        </w:rPr>
        <w:t>第五章 政府采购合同格式</w:t>
      </w:r>
      <w:bookmarkEnd w:id="92"/>
    </w:p>
    <w:p>
      <w:pPr>
        <w:pStyle w:val="4"/>
        <w:numPr>
          <w:ilvl w:val="0"/>
          <w:numId w:val="0"/>
        </w:numPr>
        <w:spacing w:line="360" w:lineRule="auto"/>
        <w:ind w:leftChars="0"/>
        <w:jc w:val="center"/>
        <w:rPr>
          <w:rFonts w:hint="default" w:ascii="Times New Roman" w:hAnsi="Times New Roman" w:cs="Times New Roman"/>
          <w:b/>
          <w:bCs/>
          <w:color w:val="auto"/>
          <w:kern w:val="2"/>
          <w:sz w:val="24"/>
          <w:szCs w:val="24"/>
          <w:highlight w:val="none"/>
          <w:lang w:val="en-US" w:eastAsia="zh-CN" w:bidi="ar-SA"/>
        </w:rPr>
      </w:pPr>
    </w:p>
    <w:p>
      <w:pPr>
        <w:pStyle w:val="4"/>
        <w:numPr>
          <w:ilvl w:val="0"/>
          <w:numId w:val="0"/>
        </w:numPr>
        <w:spacing w:line="360" w:lineRule="auto"/>
        <w:ind w:leftChars="0"/>
        <w:jc w:val="center"/>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（本合同为中小企业预留份额合同）</w:t>
      </w:r>
    </w:p>
    <w:p>
      <w:pPr>
        <w:pStyle w:val="24"/>
        <w:spacing w:line="36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合同编号： </w:t>
      </w:r>
    </w:p>
    <w:p>
      <w:pPr>
        <w:pStyle w:val="24"/>
        <w:spacing w:line="36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签订地点： </w:t>
      </w:r>
    </w:p>
    <w:p>
      <w:pPr>
        <w:pStyle w:val="24"/>
        <w:spacing w:line="36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签订时间：</w:t>
      </w:r>
    </w:p>
    <w:p>
      <w:pPr>
        <w:pStyle w:val="24"/>
        <w:spacing w:line="360" w:lineRule="auto"/>
        <w:ind w:firstLine="0" w:firstLineChars="0"/>
        <w:rPr>
          <w:rFonts w:hint="default" w:ascii="Times New Roman" w:hAnsi="Times New Roman" w:cs="Times New Roman"/>
          <w:sz w:val="21"/>
          <w:szCs w:val="21"/>
          <w:highlight w:val="none"/>
          <w:u w:val="single"/>
        </w:rPr>
      </w:pPr>
      <w:r>
        <w:rPr>
          <w:rFonts w:hint="default" w:ascii="Times New Roman" w:hAnsi="Times New Roman" w:cs="Times New Roman"/>
          <w:sz w:val="21"/>
          <w:szCs w:val="21"/>
          <w:highlight w:val="none"/>
        </w:rPr>
        <w:t>采购人（甲方）：</w:t>
      </w:r>
    </w:p>
    <w:p>
      <w:pPr>
        <w:pStyle w:val="24"/>
        <w:spacing w:line="36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中标人（乙方）：</w:t>
      </w:r>
    </w:p>
    <w:p>
      <w:pPr>
        <w:pStyle w:val="24"/>
        <w:spacing w:line="360" w:lineRule="auto"/>
        <w:ind w:firstLine="48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根据《中华人民共和国政府采购法》及实施条例、《中华人民共和国</w:t>
      </w:r>
      <w:r>
        <w:rPr>
          <w:rFonts w:hint="default" w:ascii="Times New Roman" w:hAnsi="Times New Roman" w:cs="Times New Roman"/>
          <w:sz w:val="21"/>
          <w:szCs w:val="21"/>
          <w:highlight w:val="none"/>
          <w:lang w:val="en-US" w:eastAsia="zh-CN"/>
        </w:rPr>
        <w:t>民法典</w:t>
      </w:r>
      <w:r>
        <w:rPr>
          <w:rFonts w:hint="default" w:ascii="Times New Roman" w:hAnsi="Times New Roman" w:cs="Times New Roman"/>
          <w:sz w:val="21"/>
          <w:szCs w:val="21"/>
          <w:highlight w:val="none"/>
        </w:rPr>
        <w:t>法》和甲方</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u w:val="single"/>
          <w:lang w:eastAsia="zh-CN"/>
        </w:rPr>
        <w:t>西安高新区第五十七幼儿园部室设备采购项目</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采购项目（采购项目编号：</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u w:val="single"/>
          <w:lang w:val="en-US" w:eastAsia="zh-CN"/>
        </w:rPr>
        <w:t xml:space="preserve"> </w:t>
      </w:r>
      <w:r>
        <w:rPr>
          <w:rFonts w:hint="default" w:ascii="Times New Roman" w:hAnsi="Times New Roman" w:cs="Times New Roman"/>
          <w:sz w:val="21"/>
          <w:szCs w:val="21"/>
          <w:highlight w:val="none"/>
        </w:rPr>
        <w:t>）的</w:t>
      </w:r>
      <w:r>
        <w:rPr>
          <w:rFonts w:hint="default" w:ascii="Times New Roman" w:hAnsi="Times New Roman" w:cs="Times New Roman"/>
          <w:sz w:val="21"/>
          <w:szCs w:val="21"/>
          <w:highlight w:val="none"/>
          <w:lang w:eastAsia="zh-CN"/>
        </w:rPr>
        <w:t>竞争性磋商</w:t>
      </w:r>
      <w:r>
        <w:rPr>
          <w:rFonts w:hint="default" w:ascii="Times New Roman" w:hAnsi="Times New Roman" w:cs="Times New Roman"/>
          <w:sz w:val="21"/>
          <w:szCs w:val="21"/>
          <w:highlight w:val="none"/>
        </w:rPr>
        <w:t>文件、</w:t>
      </w:r>
      <w:r>
        <w:rPr>
          <w:rFonts w:hint="default" w:ascii="Times New Roman" w:hAnsi="Times New Roman" w:cs="Times New Roman"/>
          <w:sz w:val="21"/>
          <w:szCs w:val="21"/>
          <w:highlight w:val="none"/>
          <w:lang w:eastAsia="zh-CN"/>
        </w:rPr>
        <w:t>磋商响应</w:t>
      </w:r>
      <w:r>
        <w:rPr>
          <w:rFonts w:hint="default" w:ascii="Times New Roman" w:hAnsi="Times New Roman" w:cs="Times New Roman"/>
          <w:sz w:val="21"/>
          <w:szCs w:val="21"/>
          <w:highlight w:val="none"/>
        </w:rPr>
        <w:t>文件等有关规定，为确保甲方采购项目的顺利实施，甲、乙双方在平等自愿原则下签订本合同，并共同遵守如下条款：</w:t>
      </w:r>
    </w:p>
    <w:p>
      <w:pPr>
        <w:pStyle w:val="24"/>
        <w:spacing w:line="360" w:lineRule="auto"/>
        <w:ind w:firstLine="482"/>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第一条 合同标的及数量</w:t>
      </w:r>
    </w:p>
    <w:p>
      <w:pPr>
        <w:pStyle w:val="24"/>
        <w:spacing w:line="360" w:lineRule="auto"/>
        <w:ind w:firstLine="480"/>
        <w:rPr>
          <w:rFonts w:hint="default" w:ascii="Times New Roman" w:hAnsi="Times New Roman" w:cs="Times New Roman"/>
          <w:b/>
          <w:sz w:val="21"/>
          <w:szCs w:val="21"/>
          <w:highlight w:val="none"/>
        </w:rPr>
      </w:pPr>
      <w:r>
        <w:rPr>
          <w:rFonts w:hint="default" w:ascii="Times New Roman" w:hAnsi="Times New Roman" w:cs="Times New Roman"/>
          <w:sz w:val="21"/>
          <w:szCs w:val="21"/>
          <w:highlight w:val="none"/>
        </w:rPr>
        <w:t>乙方向甲方提供下列货物（产品）：</w:t>
      </w:r>
    </w:p>
    <w:p>
      <w:pPr>
        <w:pStyle w:val="4"/>
        <w:spacing w:line="360" w:lineRule="auto"/>
        <w:ind w:firstLine="602"/>
        <w:jc w:val="center"/>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供货一览表</w:t>
      </w:r>
    </w:p>
    <w:tbl>
      <w:tblPr>
        <w:tblStyle w:val="17"/>
        <w:tblpPr w:leftFromText="181" w:rightFromText="181" w:vertAnchor="text" w:horzAnchor="margin" w:tblpY="5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33"/>
        <w:gridCol w:w="1273"/>
        <w:gridCol w:w="875"/>
        <w:gridCol w:w="1342"/>
        <w:gridCol w:w="730"/>
        <w:gridCol w:w="1060"/>
        <w:gridCol w:w="14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ign w:val="center"/>
          </w:tcPr>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序号</w:t>
            </w:r>
          </w:p>
        </w:tc>
        <w:tc>
          <w:tcPr>
            <w:tcW w:w="1333" w:type="dxa"/>
            <w:noWrap/>
            <w:vAlign w:val="center"/>
          </w:tcPr>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货物名称</w:t>
            </w:r>
          </w:p>
        </w:tc>
        <w:tc>
          <w:tcPr>
            <w:tcW w:w="1273" w:type="dxa"/>
            <w:noWrap/>
            <w:vAlign w:val="center"/>
          </w:tcPr>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品牌/型号</w:t>
            </w:r>
          </w:p>
        </w:tc>
        <w:tc>
          <w:tcPr>
            <w:tcW w:w="875" w:type="dxa"/>
            <w:noWrap/>
            <w:vAlign w:val="center"/>
          </w:tcPr>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规格</w:t>
            </w:r>
          </w:p>
        </w:tc>
        <w:tc>
          <w:tcPr>
            <w:tcW w:w="1342" w:type="dxa"/>
            <w:noWrap/>
            <w:vAlign w:val="center"/>
          </w:tcPr>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计量单位</w:t>
            </w:r>
          </w:p>
        </w:tc>
        <w:tc>
          <w:tcPr>
            <w:tcW w:w="730" w:type="dxa"/>
            <w:noWrap/>
            <w:vAlign w:val="center"/>
          </w:tcPr>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数量</w:t>
            </w:r>
          </w:p>
        </w:tc>
        <w:tc>
          <w:tcPr>
            <w:tcW w:w="1060" w:type="dxa"/>
            <w:noWrap/>
            <w:vAlign w:val="center"/>
          </w:tcPr>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单价（元）</w:t>
            </w:r>
          </w:p>
        </w:tc>
        <w:tc>
          <w:tcPr>
            <w:tcW w:w="1461" w:type="dxa"/>
            <w:noWrap/>
            <w:vAlign w:val="center"/>
          </w:tcPr>
          <w:p>
            <w:pPr>
              <w:keepNext/>
              <w:keepLines/>
              <w:pageBreakBefore w:val="0"/>
              <w:widowControl w:val="0"/>
              <w:kinsoku/>
              <w:wordWrap/>
              <w:overflowPunct/>
              <w:topLinePunct w:val="0"/>
              <w:autoSpaceDE/>
              <w:autoSpaceDN/>
              <w:bidi w:val="0"/>
              <w:adjustRightInd/>
              <w:snapToGrid/>
              <w:spacing w:before="0" w:after="0" w:line="360" w:lineRule="auto"/>
              <w:ind w:left="236" w:hanging="205" w:hangingChars="98"/>
              <w:jc w:val="center"/>
              <w:textAlignment w:val="auto"/>
              <w:outlineLvl w:val="9"/>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金额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333"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273"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875"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342"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730"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060"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461"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333"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273"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875"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342"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730"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060"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461"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333"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273"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875"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342"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730"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060"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461"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333"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273"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875"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342"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730"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060"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461"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333"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273"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875"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342"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730"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060"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461"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333"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273"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875"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342"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730"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060"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461"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ign w:val="top"/>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p>
        </w:tc>
        <w:tc>
          <w:tcPr>
            <w:tcW w:w="1333" w:type="dxa"/>
            <w:noWrap/>
            <w:vAlign w:val="center"/>
          </w:tcPr>
          <w:p>
            <w:pPr>
              <w:keepNext/>
              <w:keepLines/>
              <w:pageBreakBefore w:val="0"/>
              <w:widowControl w:val="0"/>
              <w:kinsoku/>
              <w:wordWrap/>
              <w:overflowPunct/>
              <w:topLinePunct w:val="0"/>
              <w:autoSpaceDE/>
              <w:autoSpaceDN/>
              <w:bidi w:val="0"/>
              <w:adjustRightInd/>
              <w:snapToGrid/>
              <w:spacing w:before="0" w:after="0" w:line="360" w:lineRule="auto"/>
              <w:ind w:firstLine="308" w:firstLineChars="147"/>
              <w:textAlignment w:val="auto"/>
              <w:outlineLvl w:val="9"/>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合计</w:t>
            </w:r>
          </w:p>
        </w:tc>
        <w:tc>
          <w:tcPr>
            <w:tcW w:w="4220" w:type="dxa"/>
            <w:gridSpan w:val="4"/>
            <w:noWrap/>
            <w:vAlign w:val="center"/>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大写</w:t>
            </w:r>
          </w:p>
        </w:tc>
        <w:tc>
          <w:tcPr>
            <w:tcW w:w="2521" w:type="dxa"/>
            <w:gridSpan w:val="2"/>
            <w:noWrap/>
            <w:vAlign w:val="center"/>
          </w:tcPr>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000000"/>
                <w:sz w:val="21"/>
                <w:szCs w:val="21"/>
                <w:highlight w:val="none"/>
              </w:rPr>
            </w:pPr>
            <w:r>
              <w:rPr>
                <w:rFonts w:hint="default" w:ascii="Times New Roman" w:hAnsi="Times New Roman" w:cs="Times New Roman" w:eastAsiaTheme="minorEastAsia"/>
                <w:color w:val="000000"/>
                <w:sz w:val="21"/>
                <w:szCs w:val="21"/>
                <w:highlight w:val="none"/>
              </w:rPr>
              <w:t>￥</w:t>
            </w:r>
          </w:p>
        </w:tc>
      </w:tr>
    </w:tbl>
    <w:p>
      <w:pPr>
        <w:pageBreakBefore w:val="0"/>
        <w:widowControl w:val="0"/>
        <w:kinsoku/>
        <w:wordWrap/>
        <w:overflowPunct/>
        <w:topLinePunct w:val="0"/>
        <w:autoSpaceDE/>
        <w:autoSpaceDN/>
        <w:bidi w:val="0"/>
        <w:adjustRightInd/>
        <w:snapToGrid/>
        <w:spacing w:before="0" w:after="0" w:line="360" w:lineRule="auto"/>
        <w:ind w:firstLine="422" w:firstLineChars="200"/>
        <w:jc w:val="left"/>
        <w:textAlignment w:val="auto"/>
        <w:outlineLvl w:val="9"/>
        <w:rPr>
          <w:rFonts w:hint="default" w:ascii="Times New Roman" w:hAnsi="Times New Roman" w:cs="Times New Roman"/>
          <w:b/>
          <w:bCs/>
          <w:color w:val="000000"/>
          <w:sz w:val="21"/>
          <w:szCs w:val="21"/>
          <w:highlight w:val="none"/>
        </w:rPr>
      </w:pPr>
      <w:r>
        <w:rPr>
          <w:rFonts w:hint="default" w:ascii="Times New Roman" w:hAnsi="Times New Roman" w:cs="Times New Roman"/>
          <w:b/>
          <w:bCs/>
          <w:color w:val="000000"/>
          <w:sz w:val="21"/>
          <w:szCs w:val="21"/>
          <w:highlight w:val="none"/>
        </w:rPr>
        <w:t>第二条 合同价款</w:t>
      </w:r>
    </w:p>
    <w:p>
      <w:pPr>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default" w:ascii="Times New Roman" w:hAnsi="Times New Roman" w:cs="Times New Roman"/>
          <w:b w:val="0"/>
          <w:color w:val="000000"/>
          <w:sz w:val="21"/>
          <w:szCs w:val="21"/>
          <w:highlight w:val="none"/>
        </w:rPr>
      </w:pPr>
      <w:r>
        <w:rPr>
          <w:rFonts w:hint="default" w:ascii="Times New Roman" w:hAnsi="Times New Roman" w:cs="Times New Roman"/>
          <w:b w:val="0"/>
          <w:color w:val="000000"/>
          <w:sz w:val="21"/>
          <w:szCs w:val="21"/>
          <w:highlight w:val="none"/>
        </w:rPr>
        <w:t>1、合同总价为人民币大写：</w:t>
      </w:r>
      <w:r>
        <w:rPr>
          <w:rFonts w:hint="default" w:ascii="Times New Roman" w:hAnsi="Times New Roman" w:cs="Times New Roman"/>
          <w:b w:val="0"/>
          <w:color w:val="000000"/>
          <w:sz w:val="21"/>
          <w:szCs w:val="21"/>
          <w:highlight w:val="none"/>
          <w:u w:val="single"/>
        </w:rPr>
        <w:t xml:space="preserve">          </w:t>
      </w:r>
      <w:r>
        <w:rPr>
          <w:rFonts w:hint="default" w:ascii="Times New Roman" w:hAnsi="Times New Roman" w:cs="Times New Roman"/>
          <w:b w:val="0"/>
          <w:color w:val="000000"/>
          <w:sz w:val="21"/>
          <w:szCs w:val="21"/>
          <w:highlight w:val="none"/>
        </w:rPr>
        <w:t>元， RMB￥</w:t>
      </w:r>
      <w:r>
        <w:rPr>
          <w:rFonts w:hint="default" w:ascii="Times New Roman" w:hAnsi="Times New Roman" w:cs="Times New Roman"/>
          <w:b w:val="0"/>
          <w:color w:val="000000"/>
          <w:sz w:val="21"/>
          <w:szCs w:val="21"/>
          <w:highlight w:val="none"/>
          <w:u w:val="single"/>
        </w:rPr>
        <w:t xml:space="preserve">         </w:t>
      </w:r>
      <w:r>
        <w:rPr>
          <w:rFonts w:hint="default" w:ascii="Times New Roman" w:hAnsi="Times New Roman" w:cs="Times New Roman"/>
          <w:b w:val="0"/>
          <w:color w:val="000000"/>
          <w:sz w:val="21"/>
          <w:szCs w:val="21"/>
          <w:highlight w:val="none"/>
        </w:rPr>
        <w:t>元。</w:t>
      </w:r>
    </w:p>
    <w:p>
      <w:pPr>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default" w:ascii="Times New Roman" w:hAnsi="Times New Roman" w:cs="Times New Roman"/>
          <w:b w:val="0"/>
          <w:color w:val="000000"/>
          <w:sz w:val="21"/>
          <w:szCs w:val="21"/>
          <w:highlight w:val="none"/>
        </w:rPr>
      </w:pPr>
      <w:r>
        <w:rPr>
          <w:rFonts w:hint="default" w:ascii="Times New Roman" w:hAnsi="Times New Roman" w:cs="Times New Roman"/>
          <w:b w:val="0"/>
          <w:color w:val="000000"/>
          <w:sz w:val="21"/>
          <w:szCs w:val="21"/>
          <w:highlight w:val="none"/>
        </w:rPr>
        <w:t>2、本合同总价是货物（产品）设计、材料、制造、包装、运输、安装、调试、检测、验收合格交付使用之前及保修期内保修服务与备用物件等其他有关各项的含税费用。</w:t>
      </w:r>
    </w:p>
    <w:p>
      <w:pPr>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default" w:ascii="Times New Roman" w:hAnsi="Times New Roman" w:cs="Times New Roman"/>
          <w:b w:val="0"/>
          <w:color w:val="000000"/>
          <w:sz w:val="21"/>
          <w:szCs w:val="21"/>
          <w:highlight w:val="none"/>
        </w:rPr>
      </w:pPr>
      <w:r>
        <w:rPr>
          <w:rFonts w:hint="default" w:ascii="Times New Roman" w:hAnsi="Times New Roman" w:cs="Times New Roman"/>
          <w:b w:val="0"/>
          <w:color w:val="000000"/>
          <w:sz w:val="21"/>
          <w:szCs w:val="21"/>
          <w:highlight w:val="none"/>
        </w:rPr>
        <w:t>3、本合同总价还包含乙方应当提供的伴随服务和售后服务费用。</w:t>
      </w:r>
    </w:p>
    <w:p>
      <w:pPr>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default" w:ascii="Times New Roman" w:hAnsi="Times New Roman" w:cs="Times New Roman"/>
          <w:b w:val="0"/>
          <w:color w:val="000000"/>
          <w:sz w:val="21"/>
          <w:szCs w:val="21"/>
          <w:highlight w:val="none"/>
        </w:rPr>
      </w:pPr>
      <w:r>
        <w:rPr>
          <w:rFonts w:hint="default" w:ascii="Times New Roman" w:hAnsi="Times New Roman" w:cs="Times New Roman"/>
          <w:b w:val="0"/>
          <w:color w:val="000000"/>
          <w:sz w:val="21"/>
          <w:szCs w:val="21"/>
          <w:highlight w:val="none"/>
        </w:rPr>
        <w:t>4、本合同执行期间合同总价不变，甲方无须另向乙方支付本合同规定之外的其他任何费用。</w:t>
      </w:r>
    </w:p>
    <w:p>
      <w:pPr>
        <w:pStyle w:val="6"/>
        <w:pageBreakBefore w:val="0"/>
        <w:widowControl w:val="0"/>
        <w:kinsoku/>
        <w:wordWrap/>
        <w:overflowPunct/>
        <w:topLinePunct w:val="0"/>
        <w:autoSpaceDE/>
        <w:autoSpaceDN/>
        <w:bidi w:val="0"/>
        <w:adjustRightInd/>
        <w:snapToGrid/>
        <w:spacing w:after="0" w:afterLines="0" w:line="360" w:lineRule="auto"/>
        <w:ind w:firstLine="422" w:firstLineChars="200"/>
        <w:jc w:val="left"/>
        <w:textAlignment w:val="auto"/>
        <w:outlineLvl w:val="9"/>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第三条 款项结算</w:t>
      </w:r>
    </w:p>
    <w:p>
      <w:pPr>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default" w:ascii="Times New Roman" w:hAnsi="Times New Roman" w:cs="Times New Roman"/>
          <w:b w:val="0"/>
          <w:color w:val="auto"/>
          <w:sz w:val="21"/>
          <w:szCs w:val="21"/>
          <w:highlight w:val="none"/>
        </w:rPr>
      </w:pPr>
      <w:r>
        <w:rPr>
          <w:rFonts w:hint="default" w:ascii="Times New Roman" w:hAnsi="Times New Roman" w:cs="Times New Roman"/>
          <w:b w:val="0"/>
          <w:color w:val="auto"/>
          <w:sz w:val="21"/>
          <w:szCs w:val="21"/>
          <w:highlight w:val="none"/>
        </w:rPr>
        <w:t>1、货物（产品）按下列比例支付价款：交付完毕并验收合格后</w:t>
      </w:r>
      <w:r>
        <w:rPr>
          <w:rFonts w:hint="default" w:ascii="Times New Roman" w:hAnsi="Times New Roman" w:cs="Times New Roman"/>
          <w:b w:val="0"/>
          <w:color w:val="auto"/>
          <w:sz w:val="21"/>
          <w:szCs w:val="21"/>
          <w:highlight w:val="none"/>
          <w:lang w:val="en-US" w:eastAsia="zh-CN"/>
        </w:rPr>
        <w:t>30日内</w:t>
      </w:r>
      <w:r>
        <w:rPr>
          <w:rFonts w:hint="default" w:ascii="Times New Roman" w:hAnsi="Times New Roman" w:cs="Times New Roman"/>
          <w:b w:val="0"/>
          <w:color w:val="auto"/>
          <w:sz w:val="21"/>
          <w:szCs w:val="21"/>
          <w:highlight w:val="none"/>
        </w:rPr>
        <w:t>，甲方向乙方支付合同总价</w:t>
      </w:r>
      <w:r>
        <w:rPr>
          <w:rFonts w:hint="default" w:ascii="Times New Roman" w:hAnsi="Times New Roman" w:cs="Times New Roman"/>
          <w:b w:val="0"/>
          <w:color w:val="auto"/>
          <w:sz w:val="21"/>
          <w:szCs w:val="21"/>
          <w:highlight w:val="none"/>
          <w:u w:val="single"/>
          <w:lang w:val="en-US" w:eastAsia="zh-CN"/>
        </w:rPr>
        <w:t>100</w:t>
      </w:r>
      <w:r>
        <w:rPr>
          <w:rFonts w:hint="default" w:ascii="Times New Roman" w:hAnsi="Times New Roman" w:cs="Times New Roman"/>
          <w:b w:val="0"/>
          <w:color w:val="auto"/>
          <w:sz w:val="21"/>
          <w:szCs w:val="21"/>
          <w:highlight w:val="none"/>
          <w:u w:val="single"/>
        </w:rPr>
        <w:t>%</w:t>
      </w:r>
      <w:r>
        <w:rPr>
          <w:rFonts w:hint="default" w:ascii="Times New Roman" w:hAnsi="Times New Roman" w:cs="Times New Roman"/>
          <w:b w:val="0"/>
          <w:color w:val="auto"/>
          <w:sz w:val="21"/>
          <w:szCs w:val="21"/>
          <w:highlight w:val="none"/>
        </w:rPr>
        <w:t>的价款。</w:t>
      </w:r>
    </w:p>
    <w:p>
      <w:pPr>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default" w:ascii="Times New Roman" w:hAnsi="Times New Roman" w:cs="Times New Roman"/>
          <w:b w:val="0"/>
          <w:color w:val="auto"/>
          <w:sz w:val="21"/>
          <w:szCs w:val="21"/>
          <w:highlight w:val="none"/>
        </w:rPr>
      </w:pPr>
      <w:r>
        <w:rPr>
          <w:rFonts w:hint="default" w:ascii="Times New Roman" w:hAnsi="Times New Roman" w:cs="Times New Roman"/>
          <w:b w:val="0"/>
          <w:color w:val="auto"/>
          <w:sz w:val="21"/>
          <w:szCs w:val="21"/>
          <w:highlight w:val="none"/>
        </w:rPr>
        <w:t>2、乙方须向甲方出具合法有效的完税发票，甲方进行支付结算。</w:t>
      </w:r>
    </w:p>
    <w:p>
      <w:pPr>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default" w:ascii="Times New Roman" w:hAnsi="Times New Roman" w:cs="Times New Roman"/>
          <w:b w:val="0"/>
          <w:color w:val="auto"/>
          <w:sz w:val="21"/>
          <w:szCs w:val="21"/>
          <w:highlight w:val="none"/>
        </w:rPr>
      </w:pPr>
      <w:r>
        <w:rPr>
          <w:rFonts w:hint="default" w:ascii="Times New Roman" w:hAnsi="Times New Roman" w:cs="Times New Roman"/>
          <w:b w:val="0"/>
          <w:color w:val="auto"/>
          <w:sz w:val="21"/>
          <w:szCs w:val="21"/>
          <w:highlight w:val="none"/>
        </w:rPr>
        <w:t>3、结算方式：银行转账。</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firstLine="422" w:firstLineChars="200"/>
        <w:jc w:val="left"/>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第四条 权利保证</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cs="Times New Roman"/>
          <w:bCs/>
          <w:color w:val="000000"/>
          <w:sz w:val="21"/>
          <w:szCs w:val="21"/>
          <w:highlight w:val="none"/>
        </w:rPr>
      </w:pPr>
      <w:r>
        <w:rPr>
          <w:rFonts w:hint="default" w:ascii="Times New Roman" w:hAnsi="Times New Roman" w:cs="Times New Roman"/>
          <w:bCs/>
          <w:color w:val="000000"/>
          <w:sz w:val="21"/>
          <w:szCs w:val="21"/>
          <w:highlight w:val="none"/>
        </w:rPr>
        <w:t>1、乙方保证对其出售的货物享有合法的权利。</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cs="Times New Roman"/>
          <w:bCs/>
          <w:color w:val="000000"/>
          <w:sz w:val="21"/>
          <w:szCs w:val="21"/>
          <w:highlight w:val="none"/>
        </w:rPr>
      </w:pPr>
      <w:r>
        <w:rPr>
          <w:rFonts w:hint="default" w:ascii="Times New Roman" w:hAnsi="Times New Roman" w:cs="Times New Roman"/>
          <w:bCs/>
          <w:color w:val="000000"/>
          <w:sz w:val="21"/>
          <w:szCs w:val="21"/>
          <w:highlight w:val="none"/>
        </w:rPr>
        <w:t>2、乙方保证对其出售的货物上不存在任何未曾向甲方透露的担保物权，如抵押权、质押权、留置权。</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cs="Times New Roman"/>
          <w:bCs/>
          <w:color w:val="000000"/>
          <w:sz w:val="21"/>
          <w:szCs w:val="21"/>
          <w:highlight w:val="none"/>
        </w:rPr>
      </w:pPr>
      <w:r>
        <w:rPr>
          <w:rFonts w:hint="default" w:ascii="Times New Roman" w:hAnsi="Times New Roman" w:cs="Times New Roman"/>
          <w:bCs/>
          <w:color w:val="000000"/>
          <w:sz w:val="21"/>
          <w:szCs w:val="21"/>
          <w:highlight w:val="none"/>
        </w:rPr>
        <w:t>3、乙方保证对其出售的货物或其任何一部分没有侵犯第三方的专利权、版权、商标权或其他权利。</w:t>
      </w:r>
    </w:p>
    <w:p>
      <w:pPr>
        <w:pStyle w:val="24"/>
        <w:keepNext w:val="0"/>
        <w:keepLines w:val="0"/>
        <w:pageBreakBefore w:val="0"/>
        <w:widowControl w:val="0"/>
        <w:kinsoku/>
        <w:wordWrap/>
        <w:overflowPunct/>
        <w:topLinePunct w:val="0"/>
        <w:autoSpaceDE/>
        <w:autoSpaceDN/>
        <w:bidi w:val="0"/>
        <w:adjustRightInd/>
        <w:snapToGrid/>
        <w:spacing w:line="360" w:lineRule="auto"/>
        <w:ind w:firstLine="315" w:firstLineChars="150"/>
        <w:jc w:val="left"/>
        <w:textAlignment w:val="auto"/>
        <w:rPr>
          <w:rFonts w:hint="default" w:ascii="Times New Roman" w:hAnsi="Times New Roman" w:cs="Times New Roman"/>
          <w:bCs/>
          <w:color w:val="000000"/>
          <w:sz w:val="21"/>
          <w:szCs w:val="21"/>
          <w:highlight w:val="none"/>
        </w:rPr>
      </w:pPr>
      <w:r>
        <w:rPr>
          <w:rFonts w:hint="default" w:ascii="Times New Roman" w:hAnsi="Times New Roman" w:cs="Times New Roman"/>
          <w:bCs/>
          <w:color w:val="000000"/>
          <w:sz w:val="21"/>
          <w:szCs w:val="21"/>
          <w:highlight w:val="none"/>
        </w:rPr>
        <w:t>4、如甲方在使用该货物构成上述侵权的，则由乙方承担全部责任。</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firstLine="422" w:firstLineChars="200"/>
        <w:jc w:val="left"/>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第五条 交货时间与地点</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jc w:val="left"/>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乙方在合同签订生效之日起，按甲方指定时间、地点交货。</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1、供货时间：合同签订后</w:t>
      </w:r>
      <w:r>
        <w:rPr>
          <w:rFonts w:hint="default" w:ascii="Times New Roman" w:hAnsi="Times New Roman" w:cs="Times New Roman"/>
          <w:color w:val="auto"/>
          <w:sz w:val="21"/>
          <w:szCs w:val="21"/>
          <w:highlight w:val="none"/>
          <w:lang w:val="en-US" w:eastAsia="zh-CN"/>
        </w:rPr>
        <w:t>15</w:t>
      </w:r>
      <w:r>
        <w:rPr>
          <w:rFonts w:hint="default" w:ascii="Times New Roman" w:hAnsi="Times New Roman" w:cs="Times New Roman"/>
          <w:color w:val="auto"/>
          <w:sz w:val="21"/>
          <w:szCs w:val="21"/>
          <w:highlight w:val="none"/>
          <w:lang w:val="zh-CN"/>
        </w:rPr>
        <w:t>个日历日内</w:t>
      </w:r>
      <w:r>
        <w:rPr>
          <w:rFonts w:hint="default" w:ascii="Times New Roman" w:hAnsi="Times New Roman" w:cs="Times New Roman"/>
          <w:color w:val="auto"/>
          <w:sz w:val="21"/>
          <w:szCs w:val="21"/>
          <w:highlight w:val="none"/>
        </w:rPr>
        <w:t>。</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2、交货地点：</w:t>
      </w:r>
      <w:r>
        <w:rPr>
          <w:rFonts w:hint="default" w:ascii="Times New Roman" w:hAnsi="Times New Roman" w:cs="Times New Roman"/>
          <w:color w:val="auto"/>
          <w:sz w:val="21"/>
          <w:szCs w:val="21"/>
          <w:highlight w:val="none"/>
          <w:lang w:eastAsia="zh-CN"/>
        </w:rPr>
        <w:t>采购人</w:t>
      </w:r>
      <w:r>
        <w:rPr>
          <w:rFonts w:hint="default" w:ascii="Times New Roman" w:hAnsi="Times New Roman" w:cs="Times New Roman"/>
          <w:color w:val="auto"/>
          <w:sz w:val="21"/>
          <w:szCs w:val="21"/>
          <w:highlight w:val="none"/>
        </w:rPr>
        <w:t>指定地点。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3、质保期：验收合格后</w:t>
      </w:r>
      <w:r>
        <w:rPr>
          <w:rFonts w:hint="default" w:ascii="Times New Roman" w:hAnsi="Times New Roman" w:cs="Times New Roman"/>
          <w:color w:val="auto"/>
          <w:sz w:val="21"/>
          <w:szCs w:val="21"/>
          <w:highlight w:val="none"/>
          <w:lang w:val="en-US" w:eastAsia="zh-CN"/>
        </w:rPr>
        <w:t>两</w:t>
      </w:r>
      <w:r>
        <w:rPr>
          <w:rFonts w:hint="default" w:ascii="Times New Roman" w:hAnsi="Times New Roman" w:cs="Times New Roman"/>
          <w:color w:val="auto"/>
          <w:sz w:val="21"/>
          <w:szCs w:val="21"/>
          <w:highlight w:val="none"/>
        </w:rPr>
        <w:t>年。</w:t>
      </w:r>
    </w:p>
    <w:p>
      <w:pPr>
        <w:pStyle w:val="24"/>
        <w:spacing w:line="360" w:lineRule="auto"/>
        <w:ind w:firstLine="316" w:firstLineChars="150"/>
        <w:jc w:val="left"/>
        <w:rPr>
          <w:rFonts w:hint="default" w:ascii="Times New Roman" w:hAnsi="Times New Roman" w:cs="Times New Roman"/>
          <w:sz w:val="21"/>
          <w:szCs w:val="21"/>
          <w:highlight w:val="none"/>
        </w:rPr>
      </w:pPr>
      <w:r>
        <w:rPr>
          <w:rFonts w:hint="default" w:ascii="Times New Roman" w:hAnsi="Times New Roman" w:cs="Times New Roman"/>
          <w:b/>
          <w:sz w:val="21"/>
          <w:szCs w:val="21"/>
          <w:highlight w:val="none"/>
        </w:rPr>
        <w:t xml:space="preserve">第六条 包装要求与运输方式  </w:t>
      </w:r>
    </w:p>
    <w:p>
      <w:pPr>
        <w:pStyle w:val="24"/>
        <w:spacing w:line="360" w:lineRule="auto"/>
        <w:ind w:firstLine="315" w:firstLineChars="15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1、除合同另有规定外，乙方提供的全部货物均应按标准保护措施进行包装，该包装应适应于远距离运输、防潮、防震、防锈和防野蛮装卸，以确保货物安全运抵指定地点。</w:t>
      </w:r>
    </w:p>
    <w:p>
      <w:pPr>
        <w:pStyle w:val="24"/>
        <w:spacing w:line="360" w:lineRule="auto"/>
        <w:ind w:firstLine="315" w:firstLineChars="15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2、每一包装单元应附详细的装箱单和质量合格证。</w:t>
      </w:r>
    </w:p>
    <w:p>
      <w:pPr>
        <w:pStyle w:val="24"/>
        <w:spacing w:line="360" w:lineRule="auto"/>
        <w:ind w:firstLine="315" w:firstLineChars="15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3、货物（产品）运输方式：</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pPr>
        <w:pStyle w:val="24"/>
        <w:spacing w:line="360" w:lineRule="auto"/>
        <w:ind w:firstLine="315" w:firstLineChars="15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4、乙方负责货物（产品）运输，货物运输的合理损耗及计算方法。</w:t>
      </w:r>
    </w:p>
    <w:p>
      <w:pPr>
        <w:pStyle w:val="24"/>
        <w:spacing w:line="360" w:lineRule="auto"/>
        <w:ind w:firstLine="482"/>
        <w:jc w:val="left"/>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第七条 质量保证</w:t>
      </w:r>
    </w:p>
    <w:p>
      <w:pPr>
        <w:pStyle w:val="24"/>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1、乙方须提供全新的、未使用过的合格正品货物（含零部件、配件等），完全符合合同规定的质量、规格和性能的要求。</w:t>
      </w:r>
    </w:p>
    <w:p>
      <w:pPr>
        <w:pStyle w:val="24"/>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2、乙方提供的节能和环保产品必须是列入政府采购清单的产品。</w:t>
      </w:r>
    </w:p>
    <w:p>
      <w:pPr>
        <w:pStyle w:val="24"/>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3、质量标准按照最新颁布的国家标准、行业标准或制造商企业标准确定，上述标准不一致的，以严格标准为准。</w:t>
      </w:r>
    </w:p>
    <w:p>
      <w:pPr>
        <w:pStyle w:val="24"/>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4、乙方所提供货物还应符合国家和陕西省有关安全、环保、节能之规定，“3C”认证的货物（产品）应加贴“3C”认证标志。</w:t>
      </w:r>
    </w:p>
    <w:p>
      <w:pPr>
        <w:pStyle w:val="24"/>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5、货物制造质量出现问题，乙方应负责三包（包修、包换、包退），费用由乙方负担，甲方有权到乙方生产场地检查货物质量和生产进度。</w:t>
      </w:r>
    </w:p>
    <w:p>
      <w:pPr>
        <w:pStyle w:val="24"/>
        <w:spacing w:line="360" w:lineRule="auto"/>
        <w:ind w:firstLine="316" w:firstLineChars="150"/>
        <w:jc w:val="left"/>
        <w:rPr>
          <w:rFonts w:hint="default" w:ascii="Times New Roman" w:hAnsi="Times New Roman" w:cs="Times New Roman"/>
          <w:sz w:val="21"/>
          <w:szCs w:val="21"/>
          <w:highlight w:val="none"/>
        </w:rPr>
      </w:pPr>
      <w:r>
        <w:rPr>
          <w:rFonts w:hint="default" w:ascii="Times New Roman" w:hAnsi="Times New Roman" w:cs="Times New Roman"/>
          <w:b/>
          <w:sz w:val="21"/>
          <w:szCs w:val="21"/>
          <w:highlight w:val="none"/>
        </w:rPr>
        <w:t>第八条 货物验收</w:t>
      </w:r>
    </w:p>
    <w:p>
      <w:pPr>
        <w:pStyle w:val="24"/>
        <w:spacing w:line="360" w:lineRule="auto"/>
        <w:ind w:firstLine="315" w:firstLineChars="15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1、货物验收由甲方组织，乙方配合，并按下列程序进行：</w:t>
      </w:r>
    </w:p>
    <w:p>
      <w:pPr>
        <w:pStyle w:val="24"/>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交货验收时，乙方须提供质检部门产品抽样检查合格的检测报告（或制造商自检报告）及所提供货物（产品）的合格证、装箱清单、配件、随机工具、用户使用手册（产品使用说明书）、保修卡等资料交付给甲方；</w:t>
      </w:r>
    </w:p>
    <w:p>
      <w:pPr>
        <w:pStyle w:val="24"/>
        <w:spacing w:line="360" w:lineRule="auto"/>
        <w:ind w:firstLine="359" w:firstLineChars="171"/>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（2）到货验收：货物到达后，按合同第一条款的货物清单和装箱单经行逐一核对，同时检查货物外观，是否有划痕或破损的，并做好相应记录；</w:t>
      </w:r>
    </w:p>
    <w:p>
      <w:pPr>
        <w:pStyle w:val="24"/>
        <w:spacing w:line="360" w:lineRule="auto"/>
        <w:ind w:firstLine="315" w:firstLineChars="15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货物初验：乙方应在货物到货之日起，日内全部完成安装调试完毕；乙方安装调试完毕后日内完成初步验收；初步验收合格后，进入日试用期；试用期间发生重大质量问题的乙方应按照甲方要求履行退换货责任，对于小的质量瑕疵在乙方修复后试用期相应顺延；</w:t>
      </w:r>
    </w:p>
    <w:p>
      <w:pPr>
        <w:pStyle w:val="24"/>
        <w:spacing w:line="360" w:lineRule="auto"/>
        <w:ind w:firstLine="315" w:firstLineChars="15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（4）货物终验：试用期结束后日内完成最终验收；</w:t>
      </w:r>
    </w:p>
    <w:p>
      <w:pPr>
        <w:pStyle w:val="24"/>
        <w:spacing w:line="360" w:lineRule="auto"/>
        <w:ind w:firstLine="315" w:firstLineChars="15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（5）质量验收合格，双方签署质量验收报告。</w:t>
      </w:r>
    </w:p>
    <w:p>
      <w:pPr>
        <w:pStyle w:val="24"/>
        <w:spacing w:line="360" w:lineRule="auto"/>
        <w:ind w:firstLine="525" w:firstLineChars="25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2、货物验收依据：</w:t>
      </w:r>
    </w:p>
    <w:p>
      <w:pPr>
        <w:pStyle w:val="4"/>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（1）招标文件；</w:t>
      </w:r>
    </w:p>
    <w:p>
      <w:pPr>
        <w:pStyle w:val="4"/>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（2）投标文件；</w:t>
      </w:r>
    </w:p>
    <w:p>
      <w:pPr>
        <w:pStyle w:val="4"/>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（3）采购合同及补充协议；</w:t>
      </w:r>
    </w:p>
    <w:p>
      <w:pPr>
        <w:pStyle w:val="24"/>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（4）质检部门抽样检查货物（产品）合格的检测报告。</w:t>
      </w:r>
    </w:p>
    <w:p>
      <w:pPr>
        <w:pStyle w:val="24"/>
        <w:keepNext w:val="0"/>
        <w:keepLines w:val="0"/>
        <w:pageBreakBefore w:val="0"/>
        <w:widowControl w:val="0"/>
        <w:kinsoku/>
        <w:wordWrap/>
        <w:overflowPunct/>
        <w:topLinePunct w:val="0"/>
        <w:autoSpaceDE/>
        <w:autoSpaceDN/>
        <w:bidi w:val="0"/>
        <w:adjustRightInd/>
        <w:snapToGrid/>
        <w:spacing w:line="360" w:lineRule="auto"/>
        <w:ind w:firstLine="525" w:firstLineChars="25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3、货物验收时发现问题的处理办法：</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（1）乙方提供不符合招标文件和本合同规定的货物（产品），甲方有权拒绝接受；</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如发现所交付的货物有短装、次品、损坏或其它不符合标准及本合同规定之情形者，甲方有权要求更换货物（产品），同时做出详尽的现场记录，或由甲乙双方签署备忘录，此现场记录或备忘录可用作补充、缺失和更换损坏部件或更换整个货物（产品）有效证据，由此产生的时间延误与有关费用由乙方承担，验收期限相应顺延；</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（3）如货物经乙方次维修仍不能达到合同约定的质量标准，甲方有权退货，并视作乙方不能交付货物而须支付违约赔偿金给甲方，甲方还可依法追究乙方的违约责任； </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（4）货物安装完成后日内，甲方无故不进行验收工作并已使用货物的，视同已安装调试完成并验收合格；</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（5）乙方不能完整交付货物及本条第一款规定的单证和工具的，必须负责补齐，否则视为未按合同约定交货；</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jc w:val="left"/>
        <w:rPr>
          <w:rFonts w:hint="default" w:ascii="Times New Roman" w:hAnsi="Times New Roman" w:cs="Times New Roman"/>
          <w:bCs/>
          <w:sz w:val="21"/>
          <w:szCs w:val="21"/>
          <w:highlight w:val="none"/>
        </w:rPr>
      </w:pPr>
      <w:r>
        <w:rPr>
          <w:rFonts w:hint="default" w:ascii="Times New Roman" w:hAnsi="Times New Roman" w:cs="Times New Roman"/>
          <w:sz w:val="21"/>
          <w:szCs w:val="21"/>
          <w:highlight w:val="none"/>
        </w:rPr>
        <w:t>（6）超出合理磅差的处理方法：</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jc w:val="left"/>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第九条 售后服务</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乙方所供货物提供以下售后服务：</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（一）质保期内：</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1、发生质量问题，接到甲方通知后，应于当日派出专业的维修人员到现场进行检测维修，发生的全部费用由乙方承担，若需送回生产厂，乙方承担往返费用 。</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2、定期派技术人员到现场走访，给予检查维护 。</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3、排除故障的期限不得超过</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小时（工作日）。否则甲方有权指定第三方维修，维修费用由乙方承担。</w:t>
      </w: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（二）质保期结束前，进行系统测试，全面保养维护，确保正常运行。</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jc w:val="left"/>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第十条 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1、乙方在签订本合同之前，向甲方提交履约保证金人民币</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u w:val="single"/>
          <w:lang w:val="en-US" w:eastAsia="zh-CN"/>
        </w:rPr>
        <w:t xml:space="preserve">/ </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元，￥</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u w:val="single"/>
          <w:lang w:val="en-US" w:eastAsia="zh-CN"/>
        </w:rPr>
        <w:t xml:space="preserve"> /</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2、履约保证金的有效期为乙方承诺的货物（产品）质保期。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3、如乙方未能履行合同规定的义务，甲方有权从履约保证金中取得补偿。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4、货物（产品）质保期结束后，甲方财务部门接到甲方确认本合同货物质量与服务等约定事项已经履行完毕的正式书面文件后的日内，向乙方退还履约保证金。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b/>
          <w:sz w:val="21"/>
          <w:szCs w:val="21"/>
          <w:highlight w:val="none"/>
        </w:rPr>
      </w:pPr>
      <w:r>
        <w:rPr>
          <w:rFonts w:hint="default" w:ascii="Times New Roman" w:hAnsi="Times New Roman" w:cs="Times New Roman"/>
          <w:sz w:val="21"/>
          <w:szCs w:val="21"/>
          <w:highlight w:val="none"/>
        </w:rPr>
        <w:t>5、乙方可以履约担保函的形式交纳履约保证金（格式见附件1）。</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jc w:val="left"/>
        <w:rPr>
          <w:rFonts w:hint="default" w:ascii="Times New Roman" w:hAnsi="Times New Roman" w:cs="Times New Roman"/>
          <w:sz w:val="21"/>
          <w:szCs w:val="21"/>
          <w:highlight w:val="none"/>
        </w:rPr>
      </w:pPr>
      <w:r>
        <w:rPr>
          <w:rFonts w:hint="default" w:ascii="Times New Roman" w:hAnsi="Times New Roman" w:cs="Times New Roman"/>
          <w:b/>
          <w:sz w:val="21"/>
          <w:szCs w:val="21"/>
          <w:highlight w:val="none"/>
        </w:rPr>
        <w:t>第十一条 违约责任</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1、甲方违约责任</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（1）甲方无正当理由拒收货物的，甲方应偿付合同总价</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%的违约金；</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（2）甲方逾期支付货款的，除应及时付足货款外，应向乙方每天支付欠款总额</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‰的滞纳金；但累计滞纳金总额不超过欠款总额的</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2、乙方违约责任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（1）如乙方不能交付货物，乙方应向甲方支付合同总价</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％的违约金；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（2）乙方逾期交付货物的，每逾期1天，乙方向甲方偿付逾期交货部分货款总额的</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‰的滞纳金。如乙方逾期交货达___天，甲方有权解除合同，解除合同的通知自到达乙方时生效；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（3）乙方所交付的货物品种、型号、规格不符合合同规定的，甲方有权拒收。甲方拒收的，乙方应向甲方支付货款总额</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%的违约金；</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向甲方支付货款总额的</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%的违约金；</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（6）乙方未按本合同的规定和“服务承诺”提供伴随服务/售后服务的，应按合同总价款的%向甲方承担违约责任；</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（7）乙方在承担上述1-7款一项或多项违约责任后，仍应继续履行合同规定的义务（甲方解除合同的除外）。甲方未能及时追究乙方的任何一项违约责任并不表明甲方放弃追究乙方该项或其他违约责任；</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（8）乙方偿付的违约金不足以弥补甲方损失的，还应按甲方损失尚未弥补的部分，支付赔偿金给甲方。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rPr>
          <w:rFonts w:hint="default" w:ascii="Times New Roman" w:hAnsi="Times New Roman" w:cs="Times New Roman"/>
          <w:sz w:val="21"/>
          <w:szCs w:val="21"/>
          <w:highlight w:val="none"/>
        </w:rPr>
      </w:pPr>
      <w:r>
        <w:rPr>
          <w:rFonts w:hint="default" w:ascii="Times New Roman" w:hAnsi="Times New Roman" w:cs="Times New Roman"/>
          <w:b/>
          <w:sz w:val="21"/>
          <w:szCs w:val="21"/>
          <w:highlight w:val="none"/>
        </w:rPr>
        <w:t>第十二条 合同的变更和终止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b/>
          <w:sz w:val="21"/>
          <w:szCs w:val="21"/>
          <w:highlight w:val="none"/>
        </w:rPr>
      </w:pPr>
      <w:r>
        <w:rPr>
          <w:rFonts w:hint="default" w:ascii="Times New Roman" w:hAnsi="Times New Roman" w:cs="Times New Roman"/>
          <w:sz w:val="21"/>
          <w:szCs w:val="21"/>
          <w:highlight w:val="none"/>
        </w:rPr>
        <w:t>除《中华人民共和国政府采购法》第49条、第50条第二款规定的情形外，本合同一经签订，甲乙双方不得擅自变更、中止或终止合同。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第十三条 争议的解决</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1、因货物的质量问题发生争议，由质量技术监督部门或其指定的质量鉴定机构进行质量鉴定。货物符合标准的，鉴定费由甲方承担；货物不符合质量标准的，鉴定费由乙方承担。</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2、因履行本合同引起的或与本合同有关的争议，甲、乙双方应首先通过友好协商解决，如果协商不成，则采取以下第</w:t>
      </w:r>
      <w:r>
        <w:rPr>
          <w:rFonts w:hint="default" w:ascii="Times New Roman" w:hAnsi="Times New Roman" w:cs="Times New Roman"/>
          <w:sz w:val="21"/>
          <w:szCs w:val="21"/>
          <w:highlight w:val="none"/>
          <w:u w:val="single"/>
        </w:rPr>
        <w:t xml:space="preserve">  (2)  </w:t>
      </w:r>
      <w:r>
        <w:rPr>
          <w:rFonts w:hint="default" w:ascii="Times New Roman" w:hAnsi="Times New Roman" w:cs="Times New Roman"/>
          <w:sz w:val="21"/>
          <w:szCs w:val="21"/>
          <w:highlight w:val="none"/>
        </w:rPr>
        <w:t>种方式解决争议：</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（1）向甲方所在地有管辖权的人民法院提起诉讼；</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（2）向</w:t>
      </w:r>
      <w:r>
        <w:rPr>
          <w:rFonts w:hint="default" w:ascii="Times New Roman" w:hAnsi="Times New Roman" w:cs="Times New Roman"/>
          <w:sz w:val="21"/>
          <w:szCs w:val="21"/>
          <w:highlight w:val="none"/>
          <w:u w:val="single"/>
        </w:rPr>
        <w:t>西安</w:t>
      </w:r>
      <w:r>
        <w:rPr>
          <w:rFonts w:hint="default" w:ascii="Times New Roman" w:hAnsi="Times New Roman" w:cs="Times New Roman"/>
          <w:sz w:val="21"/>
          <w:szCs w:val="21"/>
          <w:highlight w:val="none"/>
        </w:rPr>
        <w:t>仲裁委员会按其仲裁规则申请仲裁。</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3、在仲裁期间，本合同应继续履行。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baseline"/>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第十四条 合同生效及其他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1、如有未尽事宜，由双方依法订立补充合同。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2、本合同自签订之日起生效。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3、本合同一式___份，具有同等法律效力，甲乙双方各执____份，___份报送政府采购监督管理部门备案，一份鉴证人存档。</w:t>
      </w:r>
    </w:p>
    <w:p>
      <w:pPr>
        <w:spacing w:line="360" w:lineRule="auto"/>
        <w:ind w:left="426"/>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第十五条  附件</w:t>
      </w:r>
    </w:p>
    <w:p>
      <w:pPr>
        <w:snapToGrid w:val="0"/>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1、项目磋商文件</w:t>
      </w:r>
    </w:p>
    <w:p>
      <w:pPr>
        <w:snapToGrid w:val="0"/>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2、项目修改澄清文件</w:t>
      </w:r>
    </w:p>
    <w:p>
      <w:pPr>
        <w:snapToGrid w:val="0"/>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3、项目磋商响应文件</w:t>
      </w:r>
    </w:p>
    <w:p>
      <w:pPr>
        <w:snapToGrid w:val="0"/>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4、成交通知书</w:t>
      </w:r>
    </w:p>
    <w:p>
      <w:pPr>
        <w:snapToGrid w:val="0"/>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5、其他</w:t>
      </w:r>
    </w:p>
    <w:p>
      <w:pPr>
        <w:snapToGrid w:val="0"/>
        <w:spacing w:line="360" w:lineRule="auto"/>
        <w:ind w:firstLine="420" w:firstLineChars="200"/>
        <w:jc w:val="left"/>
        <w:rPr>
          <w:rFonts w:hint="default" w:ascii="Times New Roman" w:hAnsi="Times New Roman" w:eastAsia="宋体" w:cs="Times New Roman"/>
          <w:color w:val="auto"/>
          <w:sz w:val="21"/>
          <w:szCs w:val="21"/>
          <w:highlight w:val="none"/>
        </w:rPr>
      </w:pPr>
    </w:p>
    <w:p>
      <w:pPr>
        <w:snapToGrid w:val="0"/>
        <w:spacing w:line="360" w:lineRule="auto"/>
        <w:ind w:firstLine="420" w:firstLineChars="200"/>
        <w:jc w:val="left"/>
        <w:rPr>
          <w:rFonts w:hint="default" w:ascii="Times New Roman" w:hAnsi="Times New Roman" w:eastAsia="宋体" w:cs="Times New Roman"/>
          <w:color w:val="auto"/>
          <w:sz w:val="21"/>
          <w:szCs w:val="21"/>
          <w:highlight w:val="none"/>
        </w:rPr>
      </w:pPr>
    </w:p>
    <w:p>
      <w:pPr>
        <w:snapToGrid w:val="0"/>
        <w:spacing w:line="36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eastAsia="zh-CN"/>
        </w:rPr>
        <w:t>甲方</w:t>
      </w:r>
      <w:r>
        <w:rPr>
          <w:rFonts w:hint="default" w:ascii="Times New Roman" w:hAnsi="Times New Roman" w:eastAsia="宋体" w:cs="Times New Roman"/>
          <w:color w:val="auto"/>
          <w:kern w:val="0"/>
          <w:sz w:val="21"/>
          <w:szCs w:val="21"/>
          <w:highlight w:val="none"/>
        </w:rPr>
        <w:t xml:space="preserve">（盖章）：                           </w:t>
      </w:r>
      <w:r>
        <w:rPr>
          <w:rFonts w:hint="default" w:ascii="Times New Roman" w:hAnsi="Times New Roman" w:eastAsia="宋体" w:cs="Times New Roman"/>
          <w:color w:val="auto"/>
          <w:kern w:val="0"/>
          <w:sz w:val="21"/>
          <w:szCs w:val="21"/>
          <w:highlight w:val="none"/>
          <w:lang w:eastAsia="zh-CN"/>
        </w:rPr>
        <w:t>乙方</w:t>
      </w:r>
      <w:r>
        <w:rPr>
          <w:rFonts w:hint="default" w:ascii="Times New Roman" w:hAnsi="Times New Roman" w:eastAsia="宋体" w:cs="Times New Roman"/>
          <w:color w:val="auto"/>
          <w:kern w:val="0"/>
          <w:sz w:val="21"/>
          <w:szCs w:val="21"/>
          <w:highlight w:val="none"/>
        </w:rPr>
        <w:t>（盖章）：</w:t>
      </w:r>
    </w:p>
    <w:p>
      <w:pPr>
        <w:snapToGrid w:val="0"/>
        <w:spacing w:line="36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法定代表人</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委托代理人</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kern w:val="0"/>
          <w:sz w:val="21"/>
          <w:szCs w:val="21"/>
          <w:highlight w:val="none"/>
          <w:lang w:val="en-US" w:eastAsia="zh-CN"/>
        </w:rPr>
        <w:t xml:space="preserve">       </w:t>
      </w:r>
      <w:r>
        <w:rPr>
          <w:rFonts w:hint="default" w:ascii="Times New Roman" w:hAnsi="Times New Roman" w:eastAsia="宋体" w:cs="Times New Roman"/>
          <w:color w:val="auto"/>
          <w:kern w:val="0"/>
          <w:sz w:val="21"/>
          <w:szCs w:val="21"/>
          <w:highlight w:val="none"/>
        </w:rPr>
        <w:t xml:space="preserve">     </w:t>
      </w:r>
      <w:r>
        <w:rPr>
          <w:rFonts w:hint="default" w:ascii="Times New Roman" w:hAnsi="Times New Roman" w:eastAsia="宋体" w:cs="Times New Roman"/>
          <w:color w:val="auto"/>
          <w:kern w:val="0"/>
          <w:sz w:val="21"/>
          <w:szCs w:val="21"/>
          <w:highlight w:val="none"/>
          <w:lang w:val="en-US" w:eastAsia="zh-CN"/>
        </w:rPr>
        <w:t xml:space="preserve"> </w:t>
      </w:r>
      <w:r>
        <w:rPr>
          <w:rFonts w:hint="default" w:ascii="Times New Roman" w:hAnsi="Times New Roman" w:eastAsia="宋体" w:cs="Times New Roman"/>
          <w:color w:val="auto"/>
          <w:kern w:val="0"/>
          <w:sz w:val="21"/>
          <w:szCs w:val="21"/>
          <w:highlight w:val="none"/>
        </w:rPr>
        <w:t xml:space="preserve">  法定代表人</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委托代理人</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w:t>
      </w:r>
    </w:p>
    <w:p>
      <w:pPr>
        <w:snapToGrid w:val="0"/>
        <w:spacing w:line="36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eastAsia="zh-CN"/>
        </w:rPr>
        <w:t>地</w:t>
      </w:r>
      <w:r>
        <w:rPr>
          <w:rFonts w:hint="default" w:ascii="Times New Roman" w:hAnsi="Times New Roman" w:eastAsia="宋体" w:cs="Times New Roman"/>
          <w:color w:val="auto"/>
          <w:kern w:val="0"/>
          <w:sz w:val="21"/>
          <w:szCs w:val="21"/>
          <w:highlight w:val="none"/>
          <w:lang w:val="en-US" w:eastAsia="zh-CN"/>
        </w:rPr>
        <w:t xml:space="preserve">    </w:t>
      </w:r>
      <w:r>
        <w:rPr>
          <w:rFonts w:hint="default" w:ascii="Times New Roman" w:hAnsi="Times New Roman" w:eastAsia="宋体" w:cs="Times New Roman"/>
          <w:color w:val="auto"/>
          <w:kern w:val="0"/>
          <w:sz w:val="21"/>
          <w:szCs w:val="21"/>
          <w:highlight w:val="none"/>
          <w:lang w:eastAsia="zh-CN"/>
        </w:rPr>
        <w:t>址</w:t>
      </w:r>
      <w:r>
        <w:rPr>
          <w:rFonts w:hint="default" w:ascii="Times New Roman" w:hAnsi="Times New Roman" w:eastAsia="宋体" w:cs="Times New Roman"/>
          <w:color w:val="auto"/>
          <w:kern w:val="0"/>
          <w:sz w:val="21"/>
          <w:szCs w:val="21"/>
          <w:highlight w:val="none"/>
        </w:rPr>
        <w:t xml:space="preserve">：                               </w:t>
      </w:r>
      <w:r>
        <w:rPr>
          <w:rFonts w:hint="default" w:ascii="Times New Roman" w:hAnsi="Times New Roman" w:eastAsia="宋体" w:cs="Times New Roman"/>
          <w:color w:val="auto"/>
          <w:kern w:val="0"/>
          <w:sz w:val="21"/>
          <w:szCs w:val="21"/>
          <w:highlight w:val="none"/>
          <w:lang w:eastAsia="zh-CN"/>
        </w:rPr>
        <w:t>地</w:t>
      </w:r>
      <w:r>
        <w:rPr>
          <w:rFonts w:hint="default" w:ascii="Times New Roman" w:hAnsi="Times New Roman" w:eastAsia="宋体" w:cs="Times New Roman"/>
          <w:color w:val="auto"/>
          <w:kern w:val="0"/>
          <w:sz w:val="21"/>
          <w:szCs w:val="21"/>
          <w:highlight w:val="none"/>
          <w:lang w:val="en-US" w:eastAsia="zh-CN"/>
        </w:rPr>
        <w:t xml:space="preserve">    </w:t>
      </w:r>
      <w:r>
        <w:rPr>
          <w:rFonts w:hint="default" w:ascii="Times New Roman" w:hAnsi="Times New Roman" w:eastAsia="宋体" w:cs="Times New Roman"/>
          <w:color w:val="auto"/>
          <w:kern w:val="0"/>
          <w:sz w:val="21"/>
          <w:szCs w:val="21"/>
          <w:highlight w:val="none"/>
          <w:lang w:eastAsia="zh-CN"/>
        </w:rPr>
        <w:t>址</w:t>
      </w:r>
      <w:r>
        <w:rPr>
          <w:rFonts w:hint="default" w:ascii="Times New Roman" w:hAnsi="Times New Roman" w:eastAsia="宋体" w:cs="Times New Roman"/>
          <w:color w:val="auto"/>
          <w:kern w:val="0"/>
          <w:sz w:val="21"/>
          <w:szCs w:val="21"/>
          <w:highlight w:val="none"/>
        </w:rPr>
        <w:t>：</w:t>
      </w:r>
    </w:p>
    <w:p>
      <w:pPr>
        <w:snapToGrid w:val="0"/>
        <w:spacing w:line="36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开户银行：                               开户银行：</w:t>
      </w:r>
    </w:p>
    <w:p>
      <w:pPr>
        <w:pStyle w:val="24"/>
        <w:spacing w:line="36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银行帐号：                               银行帐号：</w:t>
      </w:r>
    </w:p>
    <w:p>
      <w:pPr>
        <w:snapToGrid w:val="0"/>
        <w:spacing w:line="36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电    话：                               电    话：</w:t>
      </w:r>
    </w:p>
    <w:p>
      <w:pPr>
        <w:snapToGrid w:val="0"/>
        <w:spacing w:line="36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传    真：                               传    真：</w:t>
      </w:r>
    </w:p>
    <w:p>
      <w:pPr>
        <w:spacing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签约日期：</w:t>
      </w:r>
      <w:r>
        <w:rPr>
          <w:rFonts w:hint="default" w:ascii="Times New Roman" w:hAnsi="Times New Roman" w:eastAsia="宋体" w:cs="Times New Roman"/>
          <w:color w:val="auto"/>
          <w:sz w:val="21"/>
          <w:szCs w:val="21"/>
          <w:highlight w:val="none"/>
          <w:lang w:val="en-US" w:eastAsia="zh-CN"/>
        </w:rPr>
        <w:t xml:space="preserve">    年    月   日              </w:t>
      </w:r>
      <w:r>
        <w:rPr>
          <w:rFonts w:hint="default" w:ascii="Times New Roman" w:hAnsi="Times New Roman" w:eastAsia="宋体" w:cs="Times New Roman"/>
          <w:color w:val="auto"/>
          <w:sz w:val="21"/>
          <w:szCs w:val="21"/>
          <w:highlight w:val="none"/>
          <w:lang w:eastAsia="zh-CN"/>
        </w:rPr>
        <w:t>签约日期：</w:t>
      </w:r>
      <w:r>
        <w:rPr>
          <w:rFonts w:hint="default" w:ascii="Times New Roman" w:hAnsi="Times New Roman" w:eastAsia="宋体" w:cs="Times New Roman"/>
          <w:color w:val="auto"/>
          <w:sz w:val="21"/>
          <w:szCs w:val="21"/>
          <w:highlight w:val="none"/>
          <w:lang w:val="en-US" w:eastAsia="zh-CN"/>
        </w:rPr>
        <w:t xml:space="preserve">    年    月   日</w:t>
      </w:r>
      <w:r>
        <w:rPr>
          <w:rFonts w:hint="default" w:ascii="Times New Roman" w:hAnsi="Times New Roman" w:cs="Times New Roman"/>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0"/>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color w:val="auto"/>
          <w:sz w:val="28"/>
          <w:szCs w:val="28"/>
          <w:highlight w:val="none"/>
        </w:rPr>
        <w:br w:type="page"/>
      </w:r>
      <w:bookmarkStart w:id="93" w:name="_Toc5441"/>
      <w:r>
        <w:rPr>
          <w:rFonts w:hint="default" w:ascii="Times New Roman" w:hAnsi="Times New Roman" w:eastAsia="黑体" w:cs="Times New Roman"/>
          <w:b w:val="0"/>
          <w:bCs w:val="0"/>
          <w:color w:val="auto"/>
          <w:kern w:val="2"/>
          <w:sz w:val="32"/>
          <w:szCs w:val="32"/>
          <w:highlight w:val="none"/>
          <w:lang w:val="en-US" w:eastAsia="zh-CN" w:bidi="ar-SA"/>
        </w:rPr>
        <w:t>第六章 响应文件格式</w:t>
      </w:r>
      <w:bookmarkEnd w:id="76"/>
      <w:bookmarkEnd w:id="93"/>
    </w:p>
    <w:p>
      <w:pPr>
        <w:spacing w:line="520" w:lineRule="exact"/>
        <w:jc w:val="center"/>
        <w:rPr>
          <w:rFonts w:hint="default" w:ascii="Times New Roman" w:hAnsi="Times New Roman" w:eastAsia="仿宋_GB2312" w:cs="Times New Roman"/>
          <w:b/>
          <w:color w:val="auto"/>
          <w:sz w:val="32"/>
          <w:szCs w:val="32"/>
          <w:highlight w:val="none"/>
        </w:rPr>
      </w:pPr>
    </w:p>
    <w:p>
      <w:pPr>
        <w:spacing w:line="360" w:lineRule="auto"/>
        <w:ind w:firstLine="411" w:firstLineChars="196"/>
        <w:rPr>
          <w:rFonts w:hint="default" w:ascii="Times New Roman" w:hAnsi="Times New Roman" w:eastAsia="仿宋_GB2312" w:cs="Times New Roman"/>
          <w:b/>
          <w:color w:val="auto"/>
          <w:sz w:val="28"/>
          <w:szCs w:val="28"/>
          <w:highlight w:val="none"/>
        </w:rPr>
      </w:pPr>
      <w:r>
        <w:rPr>
          <w:rFonts w:hint="default" w:ascii="Times New Roman" w:hAnsi="Times New Roman" w:cs="Times New Roman"/>
          <w:color w:val="auto"/>
          <w:szCs w:val="21"/>
          <w:highlight w:val="none"/>
        </w:rPr>
        <w:t>响应文件格式是供应商的部分响应文件格式，供应商应当严格按照这些格式编制响应文件。编制响应文件前，请详细阅读磋商文件，理解文件中的每一项要求，做出逐一实质性响应，认为有必要，可做补充说明。</w:t>
      </w:r>
    </w:p>
    <w:p>
      <w:pPr>
        <w:spacing w:line="400" w:lineRule="exact"/>
        <w:jc w:val="center"/>
        <w:rPr>
          <w:rFonts w:hint="default" w:ascii="Times New Roman" w:hAnsi="Times New Roman" w:eastAsia="仿宋_GB2312" w:cs="Times New Roman"/>
          <w:b/>
          <w:color w:val="auto"/>
          <w:sz w:val="28"/>
          <w:szCs w:val="28"/>
          <w:highlight w:val="none"/>
        </w:rPr>
      </w:pPr>
    </w:p>
    <w:p>
      <w:pPr>
        <w:spacing w:line="400" w:lineRule="exact"/>
        <w:ind w:firstLine="570"/>
        <w:rPr>
          <w:rFonts w:hint="default" w:ascii="Times New Roman" w:hAnsi="Times New Roman" w:eastAsia="仿宋_GB2312" w:cs="Times New Roman"/>
          <w:color w:val="auto"/>
          <w:sz w:val="28"/>
          <w:szCs w:val="28"/>
          <w:highlight w:val="none"/>
        </w:rPr>
      </w:pPr>
    </w:p>
    <w:p>
      <w:pPr>
        <w:spacing w:line="400" w:lineRule="exact"/>
        <w:ind w:firstLine="570"/>
        <w:rPr>
          <w:rFonts w:hint="default" w:ascii="Times New Roman" w:hAnsi="Times New Roman" w:eastAsia="仿宋_GB2312" w:cs="Times New Roman"/>
          <w:color w:val="auto"/>
          <w:sz w:val="28"/>
          <w:szCs w:val="28"/>
          <w:highlight w:val="none"/>
        </w:rPr>
      </w:pPr>
    </w:p>
    <w:p>
      <w:pPr>
        <w:spacing w:line="400" w:lineRule="exact"/>
        <w:ind w:firstLine="570"/>
        <w:rPr>
          <w:rFonts w:hint="default" w:ascii="Times New Roman" w:hAnsi="Times New Roman" w:eastAsia="仿宋_GB2312" w:cs="Times New Roman"/>
          <w:color w:val="auto"/>
          <w:sz w:val="28"/>
          <w:szCs w:val="28"/>
          <w:highlight w:val="none"/>
        </w:rPr>
      </w:pPr>
    </w:p>
    <w:p>
      <w:pPr>
        <w:spacing w:line="400" w:lineRule="exact"/>
        <w:ind w:firstLine="570"/>
        <w:rPr>
          <w:rFonts w:hint="default" w:ascii="Times New Roman" w:hAnsi="Times New Roman" w:eastAsia="仿宋_GB2312" w:cs="Times New Roman"/>
          <w:color w:val="auto"/>
          <w:sz w:val="28"/>
          <w:szCs w:val="28"/>
          <w:highlight w:val="none"/>
        </w:rPr>
      </w:pPr>
    </w:p>
    <w:p>
      <w:pPr>
        <w:spacing w:line="400" w:lineRule="exact"/>
        <w:ind w:firstLine="570"/>
        <w:rPr>
          <w:rFonts w:hint="default" w:ascii="Times New Roman" w:hAnsi="Times New Roman" w:eastAsia="仿宋_GB2312" w:cs="Times New Roman"/>
          <w:color w:val="auto"/>
          <w:sz w:val="28"/>
          <w:szCs w:val="28"/>
          <w:highlight w:val="none"/>
        </w:rPr>
      </w:pPr>
    </w:p>
    <w:p>
      <w:pPr>
        <w:spacing w:line="400" w:lineRule="exact"/>
        <w:ind w:firstLine="570"/>
        <w:rPr>
          <w:rFonts w:hint="default" w:ascii="Times New Roman" w:hAnsi="Times New Roman" w:eastAsia="仿宋_GB2312" w:cs="Times New Roman"/>
          <w:color w:val="auto"/>
          <w:sz w:val="28"/>
          <w:szCs w:val="28"/>
          <w:highlight w:val="none"/>
        </w:rPr>
      </w:pPr>
    </w:p>
    <w:p>
      <w:pPr>
        <w:spacing w:line="400" w:lineRule="exact"/>
        <w:ind w:firstLine="570"/>
        <w:rPr>
          <w:rFonts w:hint="default" w:ascii="Times New Roman" w:hAnsi="Times New Roman" w:eastAsia="仿宋_GB2312" w:cs="Times New Roman"/>
          <w:color w:val="auto"/>
          <w:sz w:val="28"/>
          <w:szCs w:val="28"/>
          <w:highlight w:val="none"/>
        </w:rPr>
      </w:pPr>
    </w:p>
    <w:p>
      <w:pPr>
        <w:spacing w:line="400" w:lineRule="exact"/>
        <w:ind w:firstLine="570"/>
        <w:rPr>
          <w:rFonts w:hint="default" w:ascii="Times New Roman" w:hAnsi="Times New Roman" w:eastAsia="仿宋_GB2312" w:cs="Times New Roman"/>
          <w:color w:val="auto"/>
          <w:sz w:val="28"/>
          <w:szCs w:val="28"/>
          <w:highlight w:val="none"/>
        </w:rPr>
      </w:pPr>
    </w:p>
    <w:p>
      <w:pPr>
        <w:spacing w:line="400" w:lineRule="exact"/>
        <w:ind w:firstLine="570"/>
        <w:rPr>
          <w:rFonts w:hint="default" w:ascii="Times New Roman" w:hAnsi="Times New Roman" w:eastAsia="仿宋_GB2312" w:cs="Times New Roman"/>
          <w:color w:val="auto"/>
          <w:sz w:val="28"/>
          <w:szCs w:val="28"/>
          <w:highlight w:val="none"/>
        </w:rPr>
      </w:pPr>
    </w:p>
    <w:p>
      <w:pPr>
        <w:spacing w:line="400" w:lineRule="exact"/>
        <w:ind w:firstLine="570"/>
        <w:rPr>
          <w:rFonts w:hint="default" w:ascii="Times New Roman" w:hAnsi="Times New Roman" w:eastAsia="仿宋_GB2312" w:cs="Times New Roman"/>
          <w:color w:val="auto"/>
          <w:sz w:val="28"/>
          <w:szCs w:val="28"/>
          <w:highlight w:val="none"/>
        </w:rPr>
      </w:pPr>
    </w:p>
    <w:p>
      <w:pPr>
        <w:spacing w:line="400" w:lineRule="exact"/>
        <w:ind w:firstLine="570"/>
        <w:rPr>
          <w:rFonts w:hint="default" w:ascii="Times New Roman" w:hAnsi="Times New Roman" w:eastAsia="仿宋_GB2312" w:cs="Times New Roman"/>
          <w:color w:val="auto"/>
          <w:sz w:val="28"/>
          <w:szCs w:val="28"/>
          <w:highlight w:val="none"/>
        </w:rPr>
      </w:pPr>
    </w:p>
    <w:p>
      <w:pPr>
        <w:spacing w:line="400" w:lineRule="exact"/>
        <w:ind w:firstLine="570"/>
        <w:rPr>
          <w:rFonts w:hint="default" w:ascii="Times New Roman" w:hAnsi="Times New Roman" w:eastAsia="仿宋_GB2312" w:cs="Times New Roman"/>
          <w:color w:val="auto"/>
          <w:sz w:val="28"/>
          <w:szCs w:val="28"/>
          <w:highlight w:val="none"/>
        </w:rPr>
      </w:pPr>
    </w:p>
    <w:p>
      <w:pPr>
        <w:spacing w:line="400" w:lineRule="exact"/>
        <w:ind w:firstLine="570"/>
        <w:rPr>
          <w:rFonts w:hint="default" w:ascii="Times New Roman" w:hAnsi="Times New Roman" w:eastAsia="仿宋_GB2312" w:cs="Times New Roman"/>
          <w:color w:val="auto"/>
          <w:sz w:val="28"/>
          <w:szCs w:val="28"/>
          <w:highlight w:val="none"/>
        </w:rPr>
      </w:pPr>
    </w:p>
    <w:p>
      <w:pPr>
        <w:spacing w:line="400" w:lineRule="exact"/>
        <w:ind w:firstLine="570"/>
        <w:rPr>
          <w:rFonts w:hint="default" w:ascii="Times New Roman" w:hAnsi="Times New Roman" w:eastAsia="仿宋_GB2312" w:cs="Times New Roman"/>
          <w:color w:val="auto"/>
          <w:sz w:val="28"/>
          <w:szCs w:val="28"/>
          <w:highlight w:val="none"/>
        </w:rPr>
      </w:pPr>
    </w:p>
    <w:p>
      <w:pPr>
        <w:spacing w:line="400" w:lineRule="exact"/>
        <w:ind w:firstLine="570"/>
        <w:rPr>
          <w:rFonts w:hint="default" w:ascii="Times New Roman" w:hAnsi="Times New Roman" w:eastAsia="仿宋_GB2312" w:cs="Times New Roman"/>
          <w:color w:val="auto"/>
          <w:sz w:val="28"/>
          <w:szCs w:val="28"/>
          <w:highlight w:val="none"/>
        </w:rPr>
      </w:pPr>
    </w:p>
    <w:p>
      <w:pPr>
        <w:spacing w:line="400" w:lineRule="exact"/>
        <w:ind w:firstLine="570"/>
        <w:rPr>
          <w:rFonts w:hint="default" w:ascii="Times New Roman" w:hAnsi="Times New Roman" w:eastAsia="仿宋_GB2312" w:cs="Times New Roman"/>
          <w:color w:val="auto"/>
          <w:sz w:val="28"/>
          <w:szCs w:val="28"/>
          <w:highlight w:val="none"/>
        </w:rPr>
      </w:pPr>
    </w:p>
    <w:p>
      <w:pPr>
        <w:spacing w:line="400" w:lineRule="exact"/>
        <w:ind w:firstLine="570"/>
        <w:rPr>
          <w:rFonts w:hint="default" w:ascii="Times New Roman" w:hAnsi="Times New Roman" w:eastAsia="仿宋_GB2312" w:cs="Times New Roman"/>
          <w:color w:val="auto"/>
          <w:sz w:val="28"/>
          <w:szCs w:val="28"/>
          <w:highlight w:val="none"/>
        </w:rPr>
      </w:pPr>
    </w:p>
    <w:p>
      <w:pPr>
        <w:spacing w:line="400" w:lineRule="exact"/>
        <w:ind w:firstLine="570"/>
        <w:rPr>
          <w:rFonts w:hint="default" w:ascii="Times New Roman" w:hAnsi="Times New Roman" w:eastAsia="仿宋_GB2312" w:cs="Times New Roman"/>
          <w:color w:val="auto"/>
          <w:sz w:val="28"/>
          <w:szCs w:val="28"/>
          <w:highlight w:val="none"/>
        </w:rPr>
      </w:pPr>
    </w:p>
    <w:p>
      <w:pPr>
        <w:spacing w:line="400" w:lineRule="exact"/>
        <w:ind w:firstLine="570"/>
        <w:rPr>
          <w:rFonts w:hint="default" w:ascii="Times New Roman" w:hAnsi="Times New Roman" w:eastAsia="仿宋_GB2312" w:cs="Times New Roman"/>
          <w:color w:val="auto"/>
          <w:sz w:val="28"/>
          <w:szCs w:val="28"/>
          <w:highlight w:val="none"/>
        </w:rPr>
      </w:pPr>
    </w:p>
    <w:p>
      <w:pPr>
        <w:spacing w:line="400" w:lineRule="exact"/>
        <w:ind w:firstLine="570"/>
        <w:rPr>
          <w:rFonts w:hint="default" w:ascii="Times New Roman" w:hAnsi="Times New Roman" w:eastAsia="仿宋_GB2312" w:cs="Times New Roman"/>
          <w:color w:val="auto"/>
          <w:sz w:val="28"/>
          <w:szCs w:val="28"/>
          <w:highlight w:val="none"/>
        </w:rPr>
      </w:pPr>
    </w:p>
    <w:p>
      <w:pPr>
        <w:rPr>
          <w:rFonts w:hint="default" w:ascii="Times New Roman" w:hAnsi="Times New Roman" w:eastAsia="宋体" w:cs="Times New Roman"/>
          <w:color w:val="auto"/>
          <w:szCs w:val="28"/>
          <w:highlight w:val="none"/>
        </w:rPr>
      </w:pPr>
      <w:bookmarkStart w:id="94" w:name="_Toc7635"/>
      <w:bookmarkStart w:id="95" w:name="_Toc217446082"/>
      <w:r>
        <w:rPr>
          <w:rFonts w:hint="default" w:ascii="Times New Roman" w:hAnsi="Times New Roman" w:eastAsia="宋体" w:cs="Times New Roman"/>
          <w:color w:val="auto"/>
          <w:szCs w:val="28"/>
          <w:highlight w:val="none"/>
        </w:rPr>
        <w:br w:type="page"/>
      </w:r>
    </w:p>
    <w:p>
      <w:pPr>
        <w:pageBreakBefore w:val="0"/>
        <w:kinsoku/>
        <w:wordWrap/>
        <w:overflowPunct/>
        <w:bidi w:val="0"/>
        <w:spacing w:line="400" w:lineRule="exact"/>
        <w:ind w:right="840"/>
        <w:jc w:val="right"/>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宋体" w:cs="Times New Roman"/>
          <w:color w:val="auto"/>
          <w:sz w:val="28"/>
          <w:szCs w:val="28"/>
          <w:highlight w:val="none"/>
        </w:rPr>
        <w:t>正本/副本</w:t>
      </w:r>
      <w:bookmarkEnd w:id="94"/>
    </w:p>
    <w:p>
      <w:pPr>
        <w:pageBreakBefore w:val="0"/>
        <w:kinsoku/>
        <w:wordWrap/>
        <w:overflowPunct/>
        <w:bidi w:val="0"/>
        <w:spacing w:before="0" w:after="0" w:line="400" w:lineRule="exact"/>
        <w:textAlignment w:val="auto"/>
        <w:outlineLvl w:val="9"/>
        <w:rPr>
          <w:rFonts w:hint="default" w:ascii="Times New Roman" w:hAnsi="Times New Roman" w:eastAsia="宋体" w:cs="Times New Roman"/>
          <w:color w:val="auto"/>
          <w:sz w:val="28"/>
          <w:szCs w:val="28"/>
          <w:highlight w:val="none"/>
        </w:rPr>
      </w:pPr>
      <w:bookmarkStart w:id="96" w:name="_Toc25896"/>
      <w:r>
        <w:rPr>
          <w:rFonts w:hint="default" w:ascii="Times New Roman" w:hAnsi="Times New Roman" w:eastAsia="宋体" w:cs="Times New Roman"/>
          <w:color w:val="auto"/>
          <w:sz w:val="28"/>
          <w:szCs w:val="28"/>
          <w:highlight w:val="none"/>
        </w:rPr>
        <w:t>政府采购项目</w:t>
      </w:r>
      <w:bookmarkEnd w:id="96"/>
    </w:p>
    <w:p>
      <w:pPr>
        <w:pageBreakBefore w:val="0"/>
        <w:kinsoku/>
        <w:wordWrap/>
        <w:overflowPunct/>
        <w:bidi w:val="0"/>
        <w:spacing w:before="0" w:after="0" w:line="400" w:lineRule="exact"/>
        <w:textAlignment w:val="auto"/>
        <w:outlineLvl w:val="9"/>
        <w:rPr>
          <w:rFonts w:hint="default" w:ascii="Times New Roman" w:hAnsi="Times New Roman" w:eastAsia="宋体" w:cs="Times New Roman"/>
          <w:b w:val="0"/>
          <w:color w:val="auto"/>
          <w:sz w:val="28"/>
          <w:szCs w:val="28"/>
          <w:highlight w:val="none"/>
          <w:lang w:eastAsia="zh-CN"/>
        </w:rPr>
      </w:pPr>
      <w:bookmarkStart w:id="97" w:name="_Toc29883"/>
      <w:r>
        <w:rPr>
          <w:rFonts w:hint="default" w:ascii="Times New Roman" w:hAnsi="Times New Roman" w:eastAsia="宋体" w:cs="Times New Roman"/>
          <w:color w:val="auto"/>
          <w:sz w:val="28"/>
          <w:szCs w:val="28"/>
          <w:highlight w:val="none"/>
        </w:rPr>
        <w:t>采购项目编号：</w:t>
      </w:r>
      <w:bookmarkEnd w:id="97"/>
    </w:p>
    <w:p>
      <w:pPr>
        <w:pageBreakBefore w:val="0"/>
        <w:kinsoku/>
        <w:wordWrap/>
        <w:overflowPunct/>
        <w:bidi w:val="0"/>
        <w:spacing w:line="400" w:lineRule="exact"/>
        <w:textAlignment w:val="auto"/>
        <w:outlineLvl w:val="9"/>
        <w:rPr>
          <w:rFonts w:hint="default" w:ascii="Times New Roman" w:hAnsi="Times New Roman" w:eastAsia="仿宋_GB2312" w:cs="Times New Roman"/>
          <w:color w:val="auto"/>
          <w:szCs w:val="28"/>
          <w:highlight w:val="none"/>
        </w:rPr>
      </w:pPr>
      <w:r>
        <w:rPr>
          <w:rFonts w:hint="default" w:ascii="Times New Roman" w:hAnsi="Times New Roman" w:eastAsia="仿宋_GB2312" w:cs="Times New Roman"/>
          <w:color w:val="auto"/>
          <w:szCs w:val="28"/>
          <w:highlight w:val="none"/>
        </w:rPr>
        <w:t xml:space="preserve">                           </w:t>
      </w:r>
    </w:p>
    <w:p>
      <w:pPr>
        <w:pageBreakBefore w:val="0"/>
        <w:kinsoku/>
        <w:wordWrap/>
        <w:overflowPunct/>
        <w:bidi w:val="0"/>
        <w:spacing w:line="400" w:lineRule="exact"/>
        <w:jc w:val="center"/>
        <w:textAlignment w:val="auto"/>
        <w:outlineLvl w:val="9"/>
        <w:rPr>
          <w:rFonts w:hint="default" w:ascii="Times New Roman" w:hAnsi="Times New Roman" w:eastAsia="仿宋_GB2312" w:cs="Times New Roman"/>
          <w:color w:val="auto"/>
          <w:szCs w:val="28"/>
          <w:highlight w:val="none"/>
        </w:rPr>
      </w:pPr>
    </w:p>
    <w:p>
      <w:pPr>
        <w:pageBreakBefore w:val="0"/>
        <w:kinsoku/>
        <w:wordWrap/>
        <w:overflowPunct/>
        <w:bidi w:val="0"/>
        <w:spacing w:line="680" w:lineRule="exact"/>
        <w:jc w:val="center"/>
        <w:textAlignment w:val="auto"/>
        <w:outlineLvl w:val="9"/>
        <w:rPr>
          <w:rFonts w:hint="default" w:ascii="Times New Roman" w:hAnsi="Times New Roman" w:eastAsia="宋体" w:cs="Times New Roman"/>
          <w:color w:val="auto"/>
          <w:sz w:val="44"/>
          <w:szCs w:val="44"/>
          <w:highlight w:val="none"/>
        </w:rPr>
      </w:pPr>
      <w:r>
        <w:rPr>
          <w:rFonts w:hint="default" w:ascii="Times New Roman" w:hAnsi="Times New Roman" w:eastAsia="宋体" w:cs="Times New Roman"/>
          <w:color w:val="auto"/>
          <w:sz w:val="44"/>
          <w:szCs w:val="44"/>
          <w:highlight w:val="none"/>
          <w:lang w:eastAsia="zh-CN"/>
        </w:rPr>
        <w:t>西安高新区第五十七幼儿园部室设备采购项目</w:t>
      </w:r>
    </w:p>
    <w:p>
      <w:pPr>
        <w:pageBreakBefore w:val="0"/>
        <w:kinsoku/>
        <w:wordWrap/>
        <w:overflowPunct/>
        <w:bidi w:val="0"/>
        <w:spacing w:line="400" w:lineRule="exact"/>
        <w:jc w:val="center"/>
        <w:textAlignment w:val="auto"/>
        <w:outlineLvl w:val="9"/>
        <w:rPr>
          <w:rFonts w:hint="default" w:ascii="Times New Roman" w:hAnsi="Times New Roman" w:eastAsia="宋体" w:cs="Times New Roman"/>
          <w:color w:val="auto"/>
          <w:sz w:val="44"/>
          <w:szCs w:val="44"/>
          <w:highlight w:val="none"/>
        </w:rPr>
      </w:pPr>
    </w:p>
    <w:p>
      <w:pPr>
        <w:pStyle w:val="4"/>
        <w:pageBreakBefore w:val="0"/>
        <w:kinsoku/>
        <w:wordWrap/>
        <w:overflowPunct/>
        <w:bidi w:val="0"/>
        <w:ind w:firstLine="0"/>
        <w:textAlignment w:val="auto"/>
        <w:outlineLvl w:val="9"/>
        <w:rPr>
          <w:rFonts w:hint="default" w:ascii="Times New Roman" w:hAnsi="Times New Roman" w:cs="Times New Roman"/>
          <w:color w:val="auto"/>
          <w:highlight w:val="none"/>
        </w:rPr>
      </w:pPr>
    </w:p>
    <w:p>
      <w:pPr>
        <w:pageBreakBefore w:val="0"/>
        <w:kinsoku/>
        <w:wordWrap/>
        <w:overflowPunct/>
        <w:bidi w:val="0"/>
        <w:spacing w:line="900" w:lineRule="exact"/>
        <w:jc w:val="center"/>
        <w:textAlignment w:val="auto"/>
        <w:outlineLvl w:val="9"/>
        <w:rPr>
          <w:rFonts w:hint="default" w:ascii="Times New Roman" w:hAnsi="Times New Roman" w:eastAsia="方正小标宋简体" w:cs="Times New Roman"/>
          <w:b w:val="0"/>
          <w:color w:val="auto"/>
          <w:sz w:val="56"/>
          <w:szCs w:val="56"/>
          <w:highlight w:val="none"/>
        </w:rPr>
      </w:pPr>
      <w:bookmarkStart w:id="98" w:name="_Toc22061"/>
      <w:r>
        <w:rPr>
          <w:rFonts w:hint="default" w:ascii="Times New Roman" w:hAnsi="Times New Roman" w:eastAsia="方正小标宋简体" w:cs="Times New Roman"/>
          <w:b w:val="0"/>
          <w:color w:val="auto"/>
          <w:sz w:val="56"/>
          <w:szCs w:val="56"/>
          <w:highlight w:val="none"/>
        </w:rPr>
        <w:t>竞争性磋商响应文件</w:t>
      </w:r>
      <w:bookmarkEnd w:id="98"/>
    </w:p>
    <w:p>
      <w:pPr>
        <w:pStyle w:val="4"/>
        <w:pageBreakBefore w:val="0"/>
        <w:kinsoku/>
        <w:wordWrap/>
        <w:overflowPunct/>
        <w:bidi w:val="0"/>
        <w:textAlignment w:val="auto"/>
        <w:outlineLvl w:val="9"/>
        <w:rPr>
          <w:rFonts w:hint="default" w:ascii="Times New Roman" w:hAnsi="Times New Roman" w:cs="Times New Roman"/>
          <w:color w:val="auto"/>
          <w:sz w:val="28"/>
          <w:szCs w:val="28"/>
          <w:highlight w:val="none"/>
        </w:rPr>
      </w:pPr>
    </w:p>
    <w:p>
      <w:pPr>
        <w:pStyle w:val="4"/>
        <w:pageBreakBefore w:val="0"/>
        <w:kinsoku/>
        <w:wordWrap/>
        <w:overflowPunct/>
        <w:bidi w:val="0"/>
        <w:textAlignment w:val="auto"/>
        <w:outlineLvl w:val="9"/>
        <w:rPr>
          <w:rFonts w:hint="default" w:ascii="Times New Roman" w:hAnsi="Times New Roman" w:cs="Times New Roman"/>
          <w:color w:val="auto"/>
          <w:sz w:val="28"/>
          <w:szCs w:val="28"/>
          <w:highlight w:val="none"/>
        </w:rPr>
      </w:pPr>
    </w:p>
    <w:p>
      <w:pPr>
        <w:pStyle w:val="4"/>
        <w:pageBreakBefore w:val="0"/>
        <w:kinsoku/>
        <w:wordWrap/>
        <w:overflowPunct/>
        <w:bidi w:val="0"/>
        <w:textAlignment w:val="auto"/>
        <w:outlineLvl w:val="9"/>
        <w:rPr>
          <w:rFonts w:hint="default" w:ascii="Times New Roman" w:hAnsi="Times New Roman" w:cs="Times New Roman"/>
          <w:color w:val="auto"/>
          <w:sz w:val="28"/>
          <w:szCs w:val="28"/>
          <w:highlight w:val="none"/>
        </w:rPr>
      </w:pPr>
    </w:p>
    <w:p>
      <w:pPr>
        <w:pStyle w:val="4"/>
        <w:pageBreakBefore w:val="0"/>
        <w:kinsoku/>
        <w:wordWrap/>
        <w:overflowPunct/>
        <w:bidi w:val="0"/>
        <w:textAlignment w:val="auto"/>
        <w:outlineLvl w:val="9"/>
        <w:rPr>
          <w:rFonts w:hint="default" w:ascii="Times New Roman" w:hAnsi="Times New Roman" w:cs="Times New Roman"/>
          <w:color w:val="auto"/>
          <w:sz w:val="28"/>
          <w:szCs w:val="28"/>
          <w:highlight w:val="none"/>
        </w:rPr>
      </w:pPr>
    </w:p>
    <w:p>
      <w:pPr>
        <w:pStyle w:val="4"/>
        <w:pageBreakBefore w:val="0"/>
        <w:kinsoku/>
        <w:wordWrap/>
        <w:overflowPunct/>
        <w:bidi w:val="0"/>
        <w:textAlignment w:val="auto"/>
        <w:outlineLvl w:val="9"/>
        <w:rPr>
          <w:rFonts w:hint="default" w:ascii="Times New Roman" w:hAnsi="Times New Roman" w:cs="Times New Roman"/>
          <w:color w:val="auto"/>
          <w:sz w:val="28"/>
          <w:szCs w:val="28"/>
          <w:highlight w:val="none"/>
        </w:rPr>
      </w:pPr>
    </w:p>
    <w:p>
      <w:pPr>
        <w:pStyle w:val="4"/>
        <w:pageBreakBefore w:val="0"/>
        <w:kinsoku/>
        <w:wordWrap/>
        <w:overflowPunct/>
        <w:bidi w:val="0"/>
        <w:textAlignment w:val="auto"/>
        <w:outlineLvl w:val="9"/>
        <w:rPr>
          <w:rFonts w:hint="default" w:ascii="Times New Roman" w:hAnsi="Times New Roman" w:cs="Times New Roman"/>
          <w:color w:val="auto"/>
          <w:sz w:val="28"/>
          <w:szCs w:val="28"/>
          <w:highlight w:val="none"/>
        </w:rPr>
      </w:pPr>
    </w:p>
    <w:p>
      <w:pPr>
        <w:pStyle w:val="4"/>
        <w:pageBreakBefore w:val="0"/>
        <w:kinsoku/>
        <w:wordWrap/>
        <w:overflowPunct/>
        <w:bidi w:val="0"/>
        <w:textAlignment w:val="auto"/>
        <w:outlineLvl w:val="9"/>
        <w:rPr>
          <w:rFonts w:hint="default" w:ascii="Times New Roman" w:hAnsi="Times New Roman" w:cs="Times New Roman"/>
          <w:color w:val="auto"/>
          <w:sz w:val="28"/>
          <w:szCs w:val="28"/>
          <w:highlight w:val="none"/>
        </w:rPr>
      </w:pPr>
    </w:p>
    <w:p>
      <w:pPr>
        <w:pStyle w:val="4"/>
        <w:pageBreakBefore w:val="0"/>
        <w:kinsoku/>
        <w:wordWrap/>
        <w:overflowPunct/>
        <w:bidi w:val="0"/>
        <w:textAlignment w:val="auto"/>
        <w:outlineLvl w:val="9"/>
        <w:rPr>
          <w:rFonts w:hint="default" w:ascii="Times New Roman" w:hAnsi="Times New Roman" w:cs="Times New Roman"/>
          <w:color w:val="auto"/>
          <w:sz w:val="28"/>
          <w:szCs w:val="28"/>
          <w:highlight w:val="none"/>
        </w:rPr>
      </w:pPr>
    </w:p>
    <w:p>
      <w:pPr>
        <w:pStyle w:val="4"/>
        <w:pageBreakBefore w:val="0"/>
        <w:kinsoku/>
        <w:wordWrap/>
        <w:overflowPunct/>
        <w:bidi w:val="0"/>
        <w:spacing w:before="120" w:beforeLines="50"/>
        <w:ind w:firstLine="1630" w:firstLineChars="580"/>
        <w:textAlignment w:val="auto"/>
        <w:outlineLvl w:val="9"/>
        <w:rPr>
          <w:rFonts w:hint="default" w:ascii="Times New Roman" w:hAnsi="Times New Roman" w:cs="Times New Roman"/>
          <w:b/>
          <w:color w:val="auto"/>
          <w:sz w:val="28"/>
          <w:szCs w:val="28"/>
          <w:highlight w:val="none"/>
        </w:rPr>
      </w:pPr>
    </w:p>
    <w:p>
      <w:pPr>
        <w:pStyle w:val="4"/>
        <w:pageBreakBefore w:val="0"/>
        <w:kinsoku/>
        <w:wordWrap/>
        <w:overflowPunct/>
        <w:bidi w:val="0"/>
        <w:spacing w:before="120" w:beforeLines="50"/>
        <w:ind w:firstLine="1630" w:firstLineChars="580"/>
        <w:textAlignment w:val="auto"/>
        <w:outlineLvl w:val="9"/>
        <w:rPr>
          <w:rFonts w:hint="default" w:ascii="Times New Roman" w:hAnsi="Times New Roman" w:cs="Times New Roman"/>
          <w:b/>
          <w:color w:val="auto"/>
          <w:sz w:val="28"/>
          <w:szCs w:val="28"/>
          <w:highlight w:val="none"/>
        </w:rPr>
      </w:pPr>
    </w:p>
    <w:p>
      <w:pPr>
        <w:pStyle w:val="4"/>
        <w:pageBreakBefore w:val="0"/>
        <w:kinsoku/>
        <w:wordWrap/>
        <w:overflowPunct/>
        <w:bidi w:val="0"/>
        <w:spacing w:before="120" w:beforeLines="50"/>
        <w:ind w:firstLine="1630" w:firstLineChars="580"/>
        <w:textAlignment w:val="auto"/>
        <w:outlineLvl w:val="9"/>
        <w:rPr>
          <w:rFonts w:hint="default" w:ascii="Times New Roman" w:hAnsi="Times New Roman" w:cs="Times New Roman"/>
          <w:b/>
          <w:color w:val="auto"/>
          <w:sz w:val="28"/>
          <w:szCs w:val="28"/>
          <w:highlight w:val="none"/>
        </w:rPr>
      </w:pPr>
    </w:p>
    <w:p>
      <w:pPr>
        <w:pStyle w:val="4"/>
        <w:pageBreakBefore w:val="0"/>
        <w:kinsoku/>
        <w:wordWrap/>
        <w:overflowPunct/>
        <w:bidi w:val="0"/>
        <w:spacing w:before="120" w:beforeLines="50"/>
        <w:ind w:firstLine="1630" w:firstLineChars="580"/>
        <w:textAlignment w:val="auto"/>
        <w:outlineLvl w:val="9"/>
        <w:rPr>
          <w:rFonts w:hint="default" w:ascii="Times New Roman" w:hAnsi="Times New Roman" w:cs="Times New Roman"/>
          <w:b/>
          <w:color w:val="auto"/>
          <w:sz w:val="28"/>
          <w:szCs w:val="28"/>
          <w:highlight w:val="none"/>
        </w:rPr>
      </w:pPr>
    </w:p>
    <w:p>
      <w:pPr>
        <w:pStyle w:val="4"/>
        <w:pageBreakBefore w:val="0"/>
        <w:kinsoku/>
        <w:wordWrap/>
        <w:overflowPunct/>
        <w:bidi w:val="0"/>
        <w:spacing w:before="120" w:beforeLines="50"/>
        <w:ind w:firstLine="1630" w:firstLineChars="580"/>
        <w:textAlignment w:val="auto"/>
        <w:outlineLvl w:val="9"/>
        <w:rPr>
          <w:rFonts w:hint="default" w:ascii="Times New Roman" w:hAnsi="Times New Roman" w:cs="Times New Roman"/>
          <w:b/>
          <w:color w:val="auto"/>
          <w:sz w:val="28"/>
          <w:szCs w:val="28"/>
          <w:highlight w:val="none"/>
        </w:rPr>
      </w:pPr>
    </w:p>
    <w:p>
      <w:pPr>
        <w:pStyle w:val="4"/>
        <w:pageBreakBefore w:val="0"/>
        <w:kinsoku/>
        <w:wordWrap/>
        <w:overflowPunct/>
        <w:bidi w:val="0"/>
        <w:spacing w:before="120" w:beforeLines="50"/>
        <w:ind w:firstLine="1630" w:firstLineChars="580"/>
        <w:textAlignment w:val="auto"/>
        <w:outlineLvl w:val="9"/>
        <w:rPr>
          <w:rFonts w:hint="default" w:ascii="Times New Roman" w:hAnsi="Times New Roman" w:cs="Times New Roman"/>
          <w:b/>
          <w:color w:val="auto"/>
          <w:sz w:val="28"/>
          <w:szCs w:val="28"/>
          <w:highlight w:val="none"/>
        </w:rPr>
      </w:pPr>
    </w:p>
    <w:p>
      <w:pPr>
        <w:pStyle w:val="4"/>
        <w:pageBreakBefore w:val="0"/>
        <w:kinsoku/>
        <w:wordWrap/>
        <w:overflowPunct/>
        <w:bidi w:val="0"/>
        <w:spacing w:before="120" w:beforeLines="50"/>
        <w:ind w:firstLine="1630" w:firstLineChars="580"/>
        <w:textAlignment w:val="auto"/>
        <w:outlineLvl w:val="9"/>
        <w:rPr>
          <w:rFonts w:hint="default" w:ascii="Times New Roman" w:hAnsi="Times New Roman" w:cs="Times New Roman"/>
          <w:color w:val="auto"/>
          <w:sz w:val="28"/>
          <w:szCs w:val="28"/>
          <w:highlight w:val="none"/>
        </w:rPr>
      </w:pPr>
      <w:bookmarkStart w:id="99" w:name="_Toc3948"/>
      <w:r>
        <w:rPr>
          <w:rFonts w:hint="default" w:ascii="Times New Roman" w:hAnsi="Times New Roman" w:cs="Times New Roman"/>
          <w:b/>
          <w:color w:val="auto"/>
          <w:sz w:val="28"/>
          <w:szCs w:val="28"/>
          <w:highlight w:val="none"/>
        </w:rPr>
        <w:t>供应商：</w:t>
      </w:r>
      <w:r>
        <w:rPr>
          <w:rFonts w:hint="default" w:ascii="Times New Roman" w:hAnsi="Times New Roman" w:cs="Times New Roman"/>
          <w:b/>
          <w:color w:val="auto"/>
          <w:sz w:val="28"/>
          <w:szCs w:val="28"/>
          <w:highlight w:val="none"/>
          <w:u w:val="single"/>
        </w:rPr>
        <w:t xml:space="preserve">                          </w:t>
      </w:r>
      <w:r>
        <w:rPr>
          <w:rFonts w:hint="default" w:ascii="Times New Roman" w:hAnsi="Times New Roman" w:cs="Times New Roman"/>
          <w:color w:val="auto"/>
          <w:sz w:val="28"/>
          <w:szCs w:val="28"/>
          <w:highlight w:val="none"/>
        </w:rPr>
        <w:t>（盖单位章）</w:t>
      </w:r>
      <w:bookmarkEnd w:id="99"/>
    </w:p>
    <w:p>
      <w:pPr>
        <w:pStyle w:val="4"/>
        <w:pageBreakBefore w:val="0"/>
        <w:kinsoku/>
        <w:wordWrap/>
        <w:overflowPunct/>
        <w:bidi w:val="0"/>
        <w:spacing w:before="120" w:beforeLines="50"/>
        <w:ind w:firstLine="1630" w:firstLineChars="580"/>
        <w:textAlignment w:val="auto"/>
        <w:outlineLvl w:val="9"/>
        <w:rPr>
          <w:rFonts w:hint="default" w:ascii="Times New Roman" w:hAnsi="Times New Roman" w:cs="Times New Roman"/>
          <w:color w:val="auto"/>
          <w:sz w:val="28"/>
          <w:szCs w:val="28"/>
          <w:highlight w:val="none"/>
        </w:rPr>
      </w:pPr>
      <w:bookmarkStart w:id="100" w:name="_Toc16416"/>
      <w:r>
        <w:rPr>
          <w:rFonts w:hint="default" w:ascii="Times New Roman" w:hAnsi="Times New Roman" w:cs="Times New Roman"/>
          <w:b/>
          <w:color w:val="auto"/>
          <w:sz w:val="28"/>
          <w:szCs w:val="28"/>
          <w:highlight w:val="none"/>
        </w:rPr>
        <w:t>法定代表人或其委托代理人：</w:t>
      </w:r>
      <w:r>
        <w:rPr>
          <w:rFonts w:hint="default" w:ascii="Times New Roman" w:hAnsi="Times New Roman" w:cs="Times New Roman"/>
          <w:b/>
          <w:color w:val="auto"/>
          <w:sz w:val="28"/>
          <w:szCs w:val="28"/>
          <w:highlight w:val="none"/>
          <w:u w:val="single"/>
        </w:rPr>
        <w:t xml:space="preserve">          </w:t>
      </w:r>
      <w:r>
        <w:rPr>
          <w:rFonts w:hint="default" w:ascii="Times New Roman" w:hAnsi="Times New Roman" w:cs="Times New Roman"/>
          <w:color w:val="auto"/>
          <w:sz w:val="28"/>
          <w:szCs w:val="28"/>
          <w:highlight w:val="none"/>
        </w:rPr>
        <w:t>（签字）</w:t>
      </w:r>
      <w:bookmarkEnd w:id="100"/>
    </w:p>
    <w:p>
      <w:pPr>
        <w:pStyle w:val="4"/>
        <w:pageBreakBefore w:val="0"/>
        <w:kinsoku/>
        <w:wordWrap/>
        <w:overflowPunct/>
        <w:bidi w:val="0"/>
        <w:spacing w:before="120" w:beforeLines="50"/>
        <w:ind w:firstLine="1630" w:firstLineChars="580"/>
        <w:textAlignment w:val="auto"/>
        <w:outlineLvl w:val="9"/>
        <w:rPr>
          <w:rFonts w:hint="default" w:ascii="Times New Roman" w:hAnsi="Times New Roman" w:cs="Times New Roman"/>
          <w:color w:val="auto"/>
          <w:sz w:val="28"/>
          <w:szCs w:val="28"/>
          <w:highlight w:val="none"/>
        </w:rPr>
      </w:pPr>
      <w:bookmarkStart w:id="101" w:name="_Toc30642"/>
      <w:r>
        <w:rPr>
          <w:rFonts w:hint="default" w:ascii="Times New Roman" w:hAnsi="Times New Roman" w:cs="Times New Roman"/>
          <w:b/>
          <w:color w:val="auto"/>
          <w:sz w:val="28"/>
          <w:szCs w:val="28"/>
          <w:highlight w:val="none"/>
        </w:rPr>
        <w:t xml:space="preserve">时  间：      </w:t>
      </w:r>
      <w:r>
        <w:rPr>
          <w:rFonts w:hint="default" w:ascii="Times New Roman" w:hAnsi="Times New Roman" w:cs="Times New Roman"/>
          <w:color w:val="auto"/>
          <w:sz w:val="28"/>
          <w:szCs w:val="28"/>
          <w:highlight w:val="none"/>
        </w:rPr>
        <w:t>20   年  月  日</w:t>
      </w:r>
      <w:bookmarkEnd w:id="101"/>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黑体" w:cs="Times New Roman"/>
          <w:color w:val="auto"/>
          <w:sz w:val="52"/>
          <w:szCs w:val="52"/>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黑体" w:cs="Times New Roman"/>
          <w:color w:val="auto"/>
          <w:sz w:val="52"/>
          <w:szCs w:val="52"/>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黑体" w:cs="Times New Roman"/>
          <w:color w:val="auto"/>
          <w:sz w:val="52"/>
          <w:szCs w:val="52"/>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黑体" w:cs="Times New Roman"/>
          <w:color w:val="auto"/>
          <w:sz w:val="52"/>
          <w:szCs w:val="52"/>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黑体" w:cs="Times New Roman"/>
          <w:color w:val="auto"/>
          <w:sz w:val="52"/>
          <w:szCs w:val="52"/>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黑体" w:cs="Times New Roman"/>
          <w:color w:val="auto"/>
          <w:sz w:val="52"/>
          <w:szCs w:val="52"/>
          <w:highlight w:val="none"/>
        </w:rPr>
      </w:pPr>
    </w:p>
    <w:p>
      <w:pPr>
        <w:pStyle w:val="4"/>
        <w:pageBreakBefore w:val="0"/>
        <w:kinsoku/>
        <w:wordWrap/>
        <w:overflowPunct/>
        <w:bidi w:val="0"/>
        <w:spacing w:before="120" w:beforeLines="50"/>
        <w:ind w:firstLine="0"/>
        <w:jc w:val="center"/>
        <w:textAlignment w:val="auto"/>
        <w:outlineLvl w:val="9"/>
        <w:rPr>
          <w:rFonts w:hint="default" w:ascii="Times New Roman" w:hAnsi="Times New Roman" w:eastAsia="黑体" w:cs="Times New Roman"/>
          <w:color w:val="auto"/>
          <w:sz w:val="72"/>
          <w:szCs w:val="72"/>
          <w:highlight w:val="none"/>
        </w:rPr>
      </w:pPr>
      <w:bookmarkStart w:id="102" w:name="_Toc8344"/>
      <w:r>
        <w:rPr>
          <w:rFonts w:hint="default" w:ascii="Times New Roman" w:hAnsi="Times New Roman" w:eastAsia="黑体" w:cs="Times New Roman"/>
          <w:color w:val="auto"/>
          <w:sz w:val="72"/>
          <w:szCs w:val="72"/>
          <w:highlight w:val="none"/>
        </w:rPr>
        <w:t>资格审查文件</w:t>
      </w:r>
      <w:bookmarkEnd w:id="102"/>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bookmarkEnd w:id="95"/>
    <w:p>
      <w:pPr>
        <w:pStyle w:val="4"/>
        <w:pageBreakBefore w:val="0"/>
        <w:kinsoku/>
        <w:wordWrap/>
        <w:overflowPunct/>
        <w:bidi w:val="0"/>
        <w:spacing w:before="120" w:beforeLines="50" w:after="120" w:afterLines="50"/>
        <w:ind w:firstLine="0"/>
        <w:textAlignment w:val="auto"/>
        <w:outlineLvl w:val="9"/>
        <w:rPr>
          <w:rFonts w:hint="default" w:ascii="Times New Roman" w:hAnsi="Times New Roman" w:eastAsia="方正小标宋简体" w:cs="Times New Roman"/>
          <w:color w:val="auto"/>
          <w:sz w:val="44"/>
          <w:szCs w:val="44"/>
          <w:highlight w:val="none"/>
        </w:rPr>
      </w:pPr>
    </w:p>
    <w:p>
      <w:pPr>
        <w:pStyle w:val="4"/>
        <w:pageBreakBefore w:val="0"/>
        <w:kinsoku/>
        <w:wordWrap/>
        <w:overflowPunct/>
        <w:bidi w:val="0"/>
        <w:spacing w:before="120" w:beforeLines="50" w:after="120" w:afterLines="50"/>
        <w:ind w:firstLine="0"/>
        <w:textAlignment w:val="auto"/>
        <w:outlineLvl w:val="9"/>
        <w:rPr>
          <w:rFonts w:hint="default" w:ascii="Times New Roman" w:hAnsi="Times New Roman" w:eastAsia="方正小标宋简体" w:cs="Times New Roman"/>
          <w:color w:val="auto"/>
          <w:sz w:val="44"/>
          <w:szCs w:val="44"/>
          <w:highlight w:val="none"/>
        </w:rPr>
      </w:pPr>
    </w:p>
    <w:p>
      <w:pPr>
        <w:pStyle w:val="4"/>
        <w:pageBreakBefore w:val="0"/>
        <w:kinsoku/>
        <w:wordWrap/>
        <w:overflowPunct/>
        <w:bidi w:val="0"/>
        <w:spacing w:before="120" w:beforeLines="50" w:after="120" w:afterLines="50"/>
        <w:ind w:firstLine="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br w:type="page"/>
      </w:r>
      <w:r>
        <w:rPr>
          <w:rFonts w:hint="default" w:ascii="Times New Roman" w:hAnsi="Times New Roman" w:eastAsia="黑体" w:cs="Times New Roman"/>
          <w:color w:val="auto"/>
          <w:sz w:val="32"/>
          <w:szCs w:val="32"/>
          <w:highlight w:val="none"/>
        </w:rPr>
        <w:t>目  录</w:t>
      </w:r>
    </w:p>
    <w:p>
      <w:pPr>
        <w:pStyle w:val="4"/>
        <w:pageBreakBefore w:val="0"/>
        <w:kinsoku/>
        <w:wordWrap/>
        <w:overflowPunct/>
        <w:bidi w:val="0"/>
        <w:spacing w:before="120" w:beforeLines="50" w:line="360" w:lineRule="auto"/>
        <w:ind w:firstLine="0"/>
        <w:textAlignment w:val="auto"/>
        <w:outlineLvl w:val="9"/>
        <w:rPr>
          <w:rFonts w:hint="default" w:ascii="Times New Roman" w:hAnsi="Times New Roman" w:cs="Times New Roman"/>
          <w:color w:val="auto"/>
          <w:sz w:val="24"/>
          <w:szCs w:val="24"/>
          <w:highlight w:val="none"/>
        </w:rPr>
      </w:pPr>
    </w:p>
    <w:p>
      <w:pPr>
        <w:pageBreakBefore w:val="0"/>
        <w:kinsoku/>
        <w:wordWrap/>
        <w:overflowPunct/>
        <w:bidi w:val="0"/>
        <w:textAlignment w:val="auto"/>
        <w:outlineLvl w:val="9"/>
        <w:rPr>
          <w:rFonts w:hint="default" w:ascii="Times New Roman" w:hAnsi="Times New Roman" w:cs="Times New Roman"/>
          <w:color w:val="auto"/>
          <w:highlight w:val="none"/>
        </w:rPr>
      </w:pPr>
    </w:p>
    <w:p>
      <w:pPr>
        <w:pageBreakBefore w:val="0"/>
        <w:tabs>
          <w:tab w:val="left" w:pos="851"/>
          <w:tab w:val="left" w:pos="1701"/>
          <w:tab w:val="left" w:pos="1843"/>
        </w:tabs>
        <w:kinsoku/>
        <w:wordWrap/>
        <w:overflowPunct/>
        <w:bidi w:val="0"/>
        <w:spacing w:line="360" w:lineRule="auto"/>
        <w:ind w:firstLine="420"/>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1.供应商基本情况表……………………………………………………………………</w:t>
      </w:r>
    </w:p>
    <w:p>
      <w:pPr>
        <w:pageBreakBefore w:val="0"/>
        <w:tabs>
          <w:tab w:val="left" w:pos="1701"/>
          <w:tab w:val="left" w:pos="1843"/>
        </w:tabs>
        <w:kinsoku/>
        <w:wordWrap/>
        <w:overflowPunct/>
        <w:bidi w:val="0"/>
        <w:spacing w:line="360" w:lineRule="auto"/>
        <w:ind w:firstLine="840" w:firstLineChars="400"/>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2.法定代表人身份证明…………………………………………………………………</w:t>
      </w:r>
    </w:p>
    <w:p>
      <w:pPr>
        <w:pageBreakBefore w:val="0"/>
        <w:kinsoku/>
        <w:wordWrap/>
        <w:overflowPunct/>
        <w:bidi w:val="0"/>
        <w:spacing w:line="360" w:lineRule="auto"/>
        <w:ind w:firstLine="840" w:firstLineChars="400"/>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3.法定代表人授权书……………………………………………………………………</w:t>
      </w:r>
    </w:p>
    <w:p>
      <w:pPr>
        <w:pageBreakBefore w:val="0"/>
        <w:kinsoku/>
        <w:wordWrap/>
        <w:overflowPunct/>
        <w:bidi w:val="0"/>
        <w:spacing w:line="360" w:lineRule="auto"/>
        <w:ind w:firstLine="420" w:firstLineChars="200"/>
        <w:textAlignment w:val="auto"/>
        <w:outlineLvl w:val="9"/>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szCs w:val="21"/>
          <w:highlight w:val="none"/>
        </w:rPr>
        <w:t xml:space="preserve">    4.供应商</w:t>
      </w:r>
      <w:r>
        <w:rPr>
          <w:rFonts w:hint="default" w:ascii="Times New Roman" w:hAnsi="Times New Roman" w:cs="Times New Roman"/>
          <w:color w:val="auto"/>
          <w:kern w:val="0"/>
          <w:szCs w:val="21"/>
          <w:highlight w:val="none"/>
          <w:lang w:val="zh-CN"/>
        </w:rPr>
        <w:t>营业执照等证明文件，自然人的身份证明</w:t>
      </w:r>
      <w:r>
        <w:rPr>
          <w:rFonts w:hint="default" w:ascii="Times New Roman" w:hAnsi="Times New Roman" w:cs="Times New Roman"/>
          <w:color w:val="auto"/>
          <w:szCs w:val="21"/>
          <w:highlight w:val="none"/>
        </w:rPr>
        <w:t>…………………………………</w:t>
      </w:r>
    </w:p>
    <w:p>
      <w:pPr>
        <w:pageBreakBefore w:val="0"/>
        <w:kinsoku/>
        <w:wordWrap/>
        <w:overflowPunct/>
        <w:bidi w:val="0"/>
        <w:spacing w:line="360" w:lineRule="auto"/>
        <w:ind w:firstLine="735" w:firstLineChars="350"/>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5.财务状况报告…………………………………………………………………………</w:t>
      </w:r>
    </w:p>
    <w:p>
      <w:pPr>
        <w:pageBreakBefore w:val="0"/>
        <w:kinsoku/>
        <w:wordWrap/>
        <w:overflowPunct/>
        <w:bidi w:val="0"/>
        <w:spacing w:line="360" w:lineRule="auto"/>
        <w:ind w:firstLine="840" w:firstLineChars="400"/>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6.税收缴纳证明…………………………………………………………………………</w:t>
      </w:r>
    </w:p>
    <w:p>
      <w:pPr>
        <w:pageBreakBefore w:val="0"/>
        <w:kinsoku/>
        <w:wordWrap/>
        <w:overflowPunct/>
        <w:bidi w:val="0"/>
        <w:spacing w:line="360" w:lineRule="auto"/>
        <w:ind w:firstLine="840" w:firstLineChars="400"/>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7.社会保障资金缴纳证明………………………………………………………………</w:t>
      </w:r>
    </w:p>
    <w:p>
      <w:pPr>
        <w:pageBreakBefore w:val="0"/>
        <w:kinsoku/>
        <w:wordWrap/>
        <w:overflowPunct/>
        <w:bidi w:val="0"/>
        <w:spacing w:line="360" w:lineRule="auto"/>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8.</w:t>
      </w:r>
      <w:r>
        <w:rPr>
          <w:rFonts w:hint="default" w:ascii="Times New Roman" w:hAnsi="Times New Roman" w:cs="Times New Roman"/>
          <w:color w:val="auto"/>
          <w:kern w:val="0"/>
          <w:szCs w:val="21"/>
          <w:highlight w:val="none"/>
          <w:lang w:val="zh-CN"/>
        </w:rPr>
        <w:t>具备履行合同所必需的设备和专业技术能力的证明</w:t>
      </w:r>
      <w:r>
        <w:rPr>
          <w:rFonts w:hint="default" w:ascii="Times New Roman" w:hAnsi="Times New Roman" w:cs="Times New Roman"/>
          <w:color w:val="auto"/>
          <w:szCs w:val="21"/>
          <w:highlight w:val="none"/>
        </w:rPr>
        <w:t>………………………………</w:t>
      </w:r>
    </w:p>
    <w:p>
      <w:pPr>
        <w:pageBreakBefore w:val="0"/>
        <w:kinsoku/>
        <w:wordWrap/>
        <w:overflowPunct/>
        <w:bidi w:val="0"/>
        <w:spacing w:line="360" w:lineRule="auto"/>
        <w:ind w:firstLine="420" w:firstLineChars="200"/>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9.响应声明书……………………………………………………………………………</w:t>
      </w:r>
    </w:p>
    <w:p>
      <w:pPr>
        <w:pageBreakBefore w:val="0"/>
        <w:kinsoku/>
        <w:wordWrap/>
        <w:overflowPunct/>
        <w:bidi w:val="0"/>
        <w:spacing w:line="360" w:lineRule="auto"/>
        <w:ind w:firstLine="840" w:firstLineChars="400"/>
        <w:textAlignment w:val="auto"/>
        <w:outlineLvl w:val="9"/>
        <w:rPr>
          <w:rFonts w:hint="default" w:ascii="Times New Roman" w:hAnsi="Times New Roman" w:cs="Times New Roman"/>
          <w:b/>
          <w:color w:val="auto"/>
          <w:sz w:val="36"/>
          <w:szCs w:val="36"/>
          <w:highlight w:val="none"/>
        </w:rPr>
      </w:pPr>
      <w:r>
        <w:rPr>
          <w:rFonts w:hint="default" w:ascii="Times New Roman" w:hAnsi="Times New Roman" w:eastAsia="宋体" w:cs="Times New Roman"/>
          <w:color w:val="auto"/>
          <w:szCs w:val="21"/>
          <w:highlight w:val="none"/>
          <w:lang w:val="en-US" w:eastAsia="zh-CN"/>
        </w:rPr>
        <w:t>10.需要落实政府采购政策证明材料</w:t>
      </w:r>
      <w:r>
        <w:rPr>
          <w:rFonts w:hint="default" w:ascii="Times New Roman" w:hAnsi="Times New Roman" w:cs="Times New Roman"/>
          <w:color w:val="auto"/>
          <w:szCs w:val="21"/>
          <w:highlight w:val="none"/>
        </w:rPr>
        <w:t>…………………………………………………</w:t>
      </w:r>
    </w:p>
    <w:p>
      <w:pPr>
        <w:pStyle w:val="2"/>
        <w:rPr>
          <w:rFonts w:hint="default"/>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b/>
          <w:color w:val="auto"/>
          <w:sz w:val="36"/>
          <w:szCs w:val="36"/>
          <w:highlight w:val="none"/>
        </w:rPr>
      </w:pPr>
      <w:r>
        <w:rPr>
          <w:rFonts w:hint="default" w:ascii="Times New Roman" w:hAnsi="Times New Roman" w:cs="Times New Roman"/>
          <w:b/>
          <w:color w:val="auto"/>
          <w:sz w:val="36"/>
          <w:szCs w:val="36"/>
          <w:highlight w:val="none"/>
        </w:rPr>
        <w:br w:type="page"/>
      </w:r>
    </w:p>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b/>
          <w:color w:val="auto"/>
          <w:sz w:val="36"/>
          <w:szCs w:val="36"/>
          <w:highlight w:val="none"/>
        </w:rPr>
      </w:pPr>
      <w:r>
        <w:rPr>
          <w:rFonts w:hint="default" w:ascii="Times New Roman" w:hAnsi="Times New Roman" w:cs="Times New Roman"/>
          <w:b/>
          <w:color w:val="auto"/>
          <w:sz w:val="36"/>
          <w:szCs w:val="36"/>
          <w:highlight w:val="none"/>
        </w:rPr>
        <w:t>1.供应商基本情况表</w:t>
      </w:r>
    </w:p>
    <w:tbl>
      <w:tblPr>
        <w:tblStyle w:val="1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1419"/>
        <w:gridCol w:w="1418"/>
        <w:gridCol w:w="567"/>
        <w:gridCol w:w="814"/>
        <w:gridCol w:w="13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供应商名称</w:t>
            </w:r>
          </w:p>
        </w:tc>
        <w:tc>
          <w:tcPr>
            <w:tcW w:w="7016" w:type="dxa"/>
            <w:gridSpan w:val="6"/>
            <w:noWrap w:val="0"/>
            <w:vAlign w:val="center"/>
          </w:tcPr>
          <w:p>
            <w:pPr>
              <w:pageBreakBefore w:val="0"/>
              <w:kinsoku/>
              <w:wordWrap/>
              <w:overflowPunct/>
              <w:topLinePunct/>
              <w:bidi w:val="0"/>
              <w:spacing w:line="440" w:lineRule="exact"/>
              <w:jc w:val="center"/>
              <w:textAlignment w:val="auto"/>
              <w:outlineLvl w:val="9"/>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统一社会信用代码</w:t>
            </w:r>
          </w:p>
        </w:tc>
        <w:tc>
          <w:tcPr>
            <w:tcW w:w="1416" w:type="dxa"/>
            <w:noWrap w:val="0"/>
            <w:vAlign w:val="center"/>
          </w:tcPr>
          <w:p>
            <w:pPr>
              <w:pageBreakBefore w:val="0"/>
              <w:kinsoku/>
              <w:wordWrap/>
              <w:overflowPunct/>
              <w:topLinePunct/>
              <w:bidi w:val="0"/>
              <w:spacing w:line="440" w:lineRule="exact"/>
              <w:jc w:val="center"/>
              <w:textAlignment w:val="auto"/>
              <w:outlineLvl w:val="9"/>
              <w:rPr>
                <w:rFonts w:hint="default" w:ascii="Times New Roman" w:hAnsi="Times New Roman" w:cs="Times New Roman"/>
                <w:color w:val="auto"/>
                <w:szCs w:val="21"/>
                <w:highlight w:val="none"/>
              </w:rPr>
            </w:pPr>
          </w:p>
        </w:tc>
        <w:tc>
          <w:tcPr>
            <w:tcW w:w="1419" w:type="dxa"/>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注册资金</w:t>
            </w:r>
          </w:p>
        </w:tc>
        <w:tc>
          <w:tcPr>
            <w:tcW w:w="1418" w:type="dxa"/>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p>
        </w:tc>
        <w:tc>
          <w:tcPr>
            <w:tcW w:w="1381" w:type="dxa"/>
            <w:gridSpan w:val="2"/>
            <w:noWrap w:val="0"/>
            <w:vAlign w:val="center"/>
          </w:tcPr>
          <w:p>
            <w:pPr>
              <w:pageBreakBefore w:val="0"/>
              <w:kinsoku/>
              <w:wordWrap/>
              <w:overflowPunct/>
              <w:topLinePunct/>
              <w:bidi w:val="0"/>
              <w:spacing w:line="440" w:lineRule="exact"/>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成立时间</w:t>
            </w:r>
          </w:p>
        </w:tc>
        <w:tc>
          <w:tcPr>
            <w:tcW w:w="1382" w:type="dxa"/>
            <w:noWrap w:val="0"/>
            <w:vAlign w:val="center"/>
          </w:tcPr>
          <w:p>
            <w:pPr>
              <w:pageBreakBefore w:val="0"/>
              <w:kinsoku/>
              <w:wordWrap/>
              <w:overflowPunct/>
              <w:topLinePunct/>
              <w:bidi w:val="0"/>
              <w:spacing w:line="440" w:lineRule="exact"/>
              <w:jc w:val="center"/>
              <w:textAlignment w:val="auto"/>
              <w:outlineLvl w:val="9"/>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4253" w:type="dxa"/>
            <w:gridSpan w:val="3"/>
            <w:noWrap w:val="0"/>
            <w:vAlign w:val="center"/>
          </w:tcPr>
          <w:p>
            <w:pPr>
              <w:pageBreakBefore w:val="0"/>
              <w:kinsoku/>
              <w:wordWrap/>
              <w:overflowPunct/>
              <w:topLinePunct/>
              <w:bidi w:val="0"/>
              <w:spacing w:line="440" w:lineRule="exact"/>
              <w:jc w:val="center"/>
              <w:textAlignment w:val="auto"/>
              <w:outlineLvl w:val="9"/>
              <w:rPr>
                <w:rFonts w:hint="default" w:ascii="Times New Roman" w:hAnsi="Times New Roman" w:cs="Times New Roman"/>
                <w:color w:val="auto"/>
                <w:szCs w:val="21"/>
                <w:highlight w:val="none"/>
              </w:rPr>
            </w:pPr>
          </w:p>
        </w:tc>
        <w:tc>
          <w:tcPr>
            <w:tcW w:w="1381" w:type="dxa"/>
            <w:gridSpan w:val="2"/>
            <w:noWrap w:val="0"/>
            <w:vAlign w:val="center"/>
          </w:tcPr>
          <w:p>
            <w:pPr>
              <w:pageBreakBefore w:val="0"/>
              <w:kinsoku/>
              <w:wordWrap/>
              <w:overflowPunct/>
              <w:topLinePunct/>
              <w:bidi w:val="0"/>
              <w:spacing w:line="440" w:lineRule="exact"/>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资产总额</w:t>
            </w:r>
          </w:p>
        </w:tc>
        <w:tc>
          <w:tcPr>
            <w:tcW w:w="1382" w:type="dxa"/>
            <w:noWrap w:val="0"/>
            <w:vAlign w:val="center"/>
          </w:tcPr>
          <w:p>
            <w:pPr>
              <w:pageBreakBefore w:val="0"/>
              <w:kinsoku/>
              <w:wordWrap/>
              <w:overflowPunct/>
              <w:topLinePunct/>
              <w:bidi w:val="0"/>
              <w:spacing w:line="440" w:lineRule="exact"/>
              <w:jc w:val="center"/>
              <w:textAlignment w:val="auto"/>
              <w:outlineLvl w:val="9"/>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上年营业额</w:t>
            </w:r>
          </w:p>
        </w:tc>
        <w:tc>
          <w:tcPr>
            <w:tcW w:w="1416" w:type="dxa"/>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p>
        </w:tc>
        <w:tc>
          <w:tcPr>
            <w:tcW w:w="1419" w:type="dxa"/>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员工总人数</w:t>
            </w:r>
          </w:p>
        </w:tc>
        <w:tc>
          <w:tcPr>
            <w:tcW w:w="1418" w:type="dxa"/>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p>
        </w:tc>
        <w:tc>
          <w:tcPr>
            <w:tcW w:w="1381" w:type="dxa"/>
            <w:gridSpan w:val="2"/>
            <w:noWrap w:val="0"/>
            <w:vAlign w:val="center"/>
          </w:tcPr>
          <w:p>
            <w:pPr>
              <w:pageBreakBefore w:val="0"/>
              <w:kinsoku/>
              <w:wordWrap/>
              <w:overflowPunct/>
              <w:topLinePunct/>
              <w:bidi w:val="0"/>
              <w:spacing w:line="440" w:lineRule="exact"/>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企业类型</w:t>
            </w:r>
          </w:p>
        </w:tc>
        <w:tc>
          <w:tcPr>
            <w:tcW w:w="1382" w:type="dxa"/>
            <w:noWrap w:val="0"/>
            <w:vAlign w:val="center"/>
          </w:tcPr>
          <w:p>
            <w:pPr>
              <w:pageBreakBefore w:val="0"/>
              <w:kinsoku/>
              <w:wordWrap/>
              <w:overflowPunct/>
              <w:topLinePunct/>
              <w:bidi w:val="0"/>
              <w:spacing w:line="440" w:lineRule="exact"/>
              <w:jc w:val="center"/>
              <w:textAlignment w:val="auto"/>
              <w:outlineLvl w:val="9"/>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（单位负责人）</w:t>
            </w:r>
          </w:p>
        </w:tc>
        <w:tc>
          <w:tcPr>
            <w:tcW w:w="1416" w:type="dxa"/>
            <w:vMerge w:val="restart"/>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姓名</w:t>
            </w:r>
          </w:p>
        </w:tc>
        <w:tc>
          <w:tcPr>
            <w:tcW w:w="1419" w:type="dxa"/>
            <w:vMerge w:val="restart"/>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p>
        </w:tc>
        <w:tc>
          <w:tcPr>
            <w:tcW w:w="1418" w:type="dxa"/>
            <w:vMerge w:val="restart"/>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电话</w:t>
            </w:r>
          </w:p>
        </w:tc>
        <w:tc>
          <w:tcPr>
            <w:tcW w:w="1381" w:type="dxa"/>
            <w:gridSpan w:val="2"/>
            <w:noWrap w:val="0"/>
            <w:vAlign w:val="center"/>
          </w:tcPr>
          <w:p>
            <w:pPr>
              <w:pageBreakBefore w:val="0"/>
              <w:kinsoku/>
              <w:wordWrap/>
              <w:overflowPunct/>
              <w:topLinePunct/>
              <w:bidi w:val="0"/>
              <w:spacing w:line="440" w:lineRule="exact"/>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手机</w:t>
            </w:r>
          </w:p>
        </w:tc>
        <w:tc>
          <w:tcPr>
            <w:tcW w:w="1382" w:type="dxa"/>
            <w:noWrap w:val="0"/>
            <w:vAlign w:val="center"/>
          </w:tcPr>
          <w:p>
            <w:pPr>
              <w:pageBreakBefore w:val="0"/>
              <w:kinsoku/>
              <w:wordWrap/>
              <w:overflowPunct/>
              <w:topLinePunct/>
              <w:bidi w:val="0"/>
              <w:spacing w:line="440" w:lineRule="exact"/>
              <w:jc w:val="center"/>
              <w:textAlignment w:val="auto"/>
              <w:outlineLvl w:val="9"/>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p>
        </w:tc>
        <w:tc>
          <w:tcPr>
            <w:tcW w:w="1416" w:type="dxa"/>
            <w:vMerge w:val="continue"/>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p>
        </w:tc>
        <w:tc>
          <w:tcPr>
            <w:tcW w:w="1419" w:type="dxa"/>
            <w:vMerge w:val="continue"/>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p>
        </w:tc>
        <w:tc>
          <w:tcPr>
            <w:tcW w:w="1418" w:type="dxa"/>
            <w:vMerge w:val="continue"/>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p>
        </w:tc>
        <w:tc>
          <w:tcPr>
            <w:tcW w:w="1381" w:type="dxa"/>
            <w:gridSpan w:val="2"/>
            <w:noWrap w:val="0"/>
            <w:vAlign w:val="center"/>
          </w:tcPr>
          <w:p>
            <w:pPr>
              <w:pageBreakBefore w:val="0"/>
              <w:kinsoku/>
              <w:wordWrap/>
              <w:overflowPunct/>
              <w:topLinePunct/>
              <w:bidi w:val="0"/>
              <w:spacing w:line="440" w:lineRule="exact"/>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办公</w:t>
            </w:r>
          </w:p>
        </w:tc>
        <w:tc>
          <w:tcPr>
            <w:tcW w:w="1382" w:type="dxa"/>
            <w:noWrap w:val="0"/>
            <w:vAlign w:val="center"/>
          </w:tcPr>
          <w:p>
            <w:pPr>
              <w:pageBreakBefore w:val="0"/>
              <w:kinsoku/>
              <w:wordWrap/>
              <w:overflowPunct/>
              <w:topLinePunct/>
              <w:bidi w:val="0"/>
              <w:spacing w:line="440" w:lineRule="exact"/>
              <w:jc w:val="center"/>
              <w:textAlignment w:val="auto"/>
              <w:outlineLvl w:val="9"/>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416" w:type="dxa"/>
            <w:vMerge w:val="restart"/>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1419" w:type="dxa"/>
            <w:vMerge w:val="restart"/>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p>
        </w:tc>
        <w:tc>
          <w:tcPr>
            <w:tcW w:w="1418" w:type="dxa"/>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电话</w:t>
            </w:r>
          </w:p>
        </w:tc>
        <w:tc>
          <w:tcPr>
            <w:tcW w:w="2763" w:type="dxa"/>
            <w:gridSpan w:val="3"/>
            <w:noWrap w:val="0"/>
            <w:vAlign w:val="center"/>
          </w:tcPr>
          <w:p>
            <w:pPr>
              <w:pageBreakBefore w:val="0"/>
              <w:kinsoku/>
              <w:wordWrap/>
              <w:overflowPunct/>
              <w:topLinePunct/>
              <w:bidi w:val="0"/>
              <w:spacing w:line="440" w:lineRule="exact"/>
              <w:jc w:val="center"/>
              <w:textAlignment w:val="auto"/>
              <w:outlineLvl w:val="9"/>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p>
        </w:tc>
        <w:tc>
          <w:tcPr>
            <w:tcW w:w="1416" w:type="dxa"/>
            <w:vMerge w:val="continue"/>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p>
        </w:tc>
        <w:tc>
          <w:tcPr>
            <w:tcW w:w="1419" w:type="dxa"/>
            <w:vMerge w:val="continue"/>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p>
        </w:tc>
        <w:tc>
          <w:tcPr>
            <w:tcW w:w="1418" w:type="dxa"/>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邮箱</w:t>
            </w:r>
          </w:p>
        </w:tc>
        <w:tc>
          <w:tcPr>
            <w:tcW w:w="2763" w:type="dxa"/>
            <w:gridSpan w:val="3"/>
            <w:noWrap w:val="0"/>
            <w:vAlign w:val="center"/>
          </w:tcPr>
          <w:p>
            <w:pPr>
              <w:pageBreakBefore w:val="0"/>
              <w:kinsoku/>
              <w:wordWrap/>
              <w:overflowPunct/>
              <w:topLinePunct/>
              <w:bidi w:val="0"/>
              <w:spacing w:line="440" w:lineRule="exact"/>
              <w:jc w:val="center"/>
              <w:textAlignment w:val="auto"/>
              <w:outlineLvl w:val="9"/>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基本账户开</w:t>
            </w:r>
            <w:r>
              <w:rPr>
                <w:rFonts w:hint="default" w:ascii="Times New Roman" w:hAnsi="Times New Roman" w:cs="Times New Roman"/>
                <w:color w:val="auto"/>
                <w:szCs w:val="21"/>
                <w:highlight w:val="none"/>
                <w:lang w:eastAsia="zh-CN"/>
              </w:rPr>
              <w:t>户</w:t>
            </w:r>
            <w:r>
              <w:rPr>
                <w:rFonts w:hint="default" w:ascii="Times New Roman" w:hAnsi="Times New Roman" w:cs="Times New Roman"/>
                <w:color w:val="auto"/>
                <w:szCs w:val="21"/>
                <w:highlight w:val="none"/>
              </w:rPr>
              <w:t>银行</w:t>
            </w:r>
          </w:p>
        </w:tc>
        <w:tc>
          <w:tcPr>
            <w:tcW w:w="2835" w:type="dxa"/>
            <w:gridSpan w:val="2"/>
            <w:noWrap w:val="0"/>
            <w:vAlign w:val="center"/>
          </w:tcPr>
          <w:p>
            <w:pPr>
              <w:pageBreakBefore w:val="0"/>
              <w:kinsoku/>
              <w:wordWrap/>
              <w:overflowPunct/>
              <w:topLinePunct/>
              <w:bidi w:val="0"/>
              <w:spacing w:line="440" w:lineRule="exact"/>
              <w:jc w:val="center"/>
              <w:textAlignment w:val="auto"/>
              <w:outlineLvl w:val="9"/>
              <w:rPr>
                <w:rFonts w:hint="default" w:ascii="Times New Roman" w:hAnsi="Times New Roman" w:cs="Times New Roman"/>
                <w:color w:val="auto"/>
                <w:szCs w:val="21"/>
                <w:highlight w:val="none"/>
              </w:rPr>
            </w:pPr>
          </w:p>
        </w:tc>
        <w:tc>
          <w:tcPr>
            <w:tcW w:w="1985" w:type="dxa"/>
            <w:gridSpan w:val="2"/>
            <w:noWrap w:val="0"/>
            <w:vAlign w:val="center"/>
          </w:tcPr>
          <w:p>
            <w:pPr>
              <w:pageBreakBefore w:val="0"/>
              <w:kinsoku/>
              <w:wordWrap/>
              <w:overflowPunct/>
              <w:topLinePunct/>
              <w:bidi w:val="0"/>
              <w:spacing w:line="440" w:lineRule="exact"/>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基本账户银行账号</w:t>
            </w:r>
          </w:p>
        </w:tc>
        <w:tc>
          <w:tcPr>
            <w:tcW w:w="2196" w:type="dxa"/>
            <w:gridSpan w:val="2"/>
            <w:noWrap w:val="0"/>
            <w:vAlign w:val="center"/>
          </w:tcPr>
          <w:p>
            <w:pPr>
              <w:pageBreakBefore w:val="0"/>
              <w:kinsoku/>
              <w:wordWrap/>
              <w:overflowPunct/>
              <w:topLinePunct/>
              <w:bidi w:val="0"/>
              <w:spacing w:line="440" w:lineRule="exact"/>
              <w:jc w:val="center"/>
              <w:textAlignment w:val="auto"/>
              <w:outlineLvl w:val="9"/>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noWrap w:val="0"/>
            <w:vAlign w:val="center"/>
          </w:tcPr>
          <w:p>
            <w:pPr>
              <w:pageBreakBefore w:val="0"/>
              <w:kinsoku/>
              <w:wordWrap/>
              <w:overflowPunct/>
              <w:topLinePunct/>
              <w:bidi w:val="0"/>
              <w:spacing w:line="360" w:lineRule="exact"/>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供应商关联企业情况（包括但不限于与供应商法定代表人为同一人或者存在控股、管理关系的不同单位）</w:t>
            </w:r>
          </w:p>
        </w:tc>
        <w:tc>
          <w:tcPr>
            <w:tcW w:w="7016" w:type="dxa"/>
            <w:gridSpan w:val="6"/>
            <w:noWrap w:val="0"/>
            <w:vAlign w:val="center"/>
          </w:tcPr>
          <w:p>
            <w:pPr>
              <w:pageBreakBefore w:val="0"/>
              <w:kinsoku/>
              <w:wordWrap/>
              <w:overflowPunct/>
              <w:topLinePunct/>
              <w:bidi w:val="0"/>
              <w:spacing w:line="440" w:lineRule="exact"/>
              <w:jc w:val="center"/>
              <w:textAlignment w:val="auto"/>
              <w:outlineLvl w:val="9"/>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61" w:hRule="atLeast"/>
        </w:trPr>
        <w:tc>
          <w:tcPr>
            <w:tcW w:w="1984" w:type="dxa"/>
            <w:noWrap w:val="0"/>
            <w:vAlign w:val="center"/>
          </w:tcPr>
          <w:p>
            <w:pPr>
              <w:pageBreakBefore w:val="0"/>
              <w:kinsoku/>
              <w:wordWrap/>
              <w:overflowPunct/>
              <w:topLinePunct/>
              <w:bidi w:val="0"/>
              <w:jc w:val="center"/>
              <w:textAlignment w:val="auto"/>
              <w:outlineLvl w:val="9"/>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营业范围</w:t>
            </w:r>
          </w:p>
        </w:tc>
        <w:tc>
          <w:tcPr>
            <w:tcW w:w="7016" w:type="dxa"/>
            <w:gridSpan w:val="6"/>
            <w:noWrap w:val="0"/>
            <w:vAlign w:val="center"/>
          </w:tcPr>
          <w:p>
            <w:pPr>
              <w:pageBreakBefore w:val="0"/>
              <w:kinsoku/>
              <w:wordWrap/>
              <w:overflowPunct/>
              <w:topLinePunct/>
              <w:bidi w:val="0"/>
              <w:jc w:val="center"/>
              <w:textAlignment w:val="auto"/>
              <w:outlineLvl w:val="9"/>
              <w:rPr>
                <w:rFonts w:hint="default" w:ascii="Times New Roman" w:hAnsi="Times New Roman" w:cs="Times New Roman"/>
                <w:color w:val="auto"/>
                <w:szCs w:val="21"/>
                <w:highlight w:val="none"/>
              </w:rPr>
            </w:pPr>
          </w:p>
        </w:tc>
      </w:tr>
    </w:tbl>
    <w:p>
      <w:pPr>
        <w:pageBreakBefore w:val="0"/>
        <w:kinsoku/>
        <w:wordWrap/>
        <w:overflowPunct/>
        <w:bidi w:val="0"/>
        <w:adjustRightInd w:val="0"/>
        <w:snapToGrid w:val="0"/>
        <w:spacing w:before="120" w:beforeLines="50"/>
        <w:ind w:left="630" w:hanging="630" w:hangingChars="300"/>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说明：企业类型指大型、中型、小型、微型；上年营业收入、资产总额应与财务报表中的数据一致， 金额单位为万元。</w:t>
      </w:r>
    </w:p>
    <w:p>
      <w:pPr>
        <w:pageBreakBefore w:val="0"/>
        <w:kinsoku/>
        <w:wordWrap/>
        <w:overflowPunct/>
        <w:bidi w:val="0"/>
        <w:adjustRightInd w:val="0"/>
        <w:snapToGrid w:val="0"/>
        <w:spacing w:before="240" w:beforeLines="100" w:line="360" w:lineRule="auto"/>
        <w:ind w:firstLine="388" w:firstLineChars="185"/>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供  应  商：</w:t>
      </w:r>
      <w:r>
        <w:rPr>
          <w:rFonts w:hint="default" w:ascii="Times New Roman" w:hAnsi="Times New Roman" w:cs="Times New Roman"/>
          <w:bCs/>
          <w:color w:val="auto"/>
          <w:szCs w:val="21"/>
          <w:highlight w:val="none"/>
          <w:u w:val="single"/>
        </w:rPr>
        <w:t xml:space="preserve">                         </w:t>
      </w:r>
      <w:r>
        <w:rPr>
          <w:rFonts w:hint="default" w:ascii="Times New Roman" w:hAnsi="Times New Roman" w:cs="Times New Roman"/>
          <w:bCs/>
          <w:color w:val="auto"/>
          <w:szCs w:val="21"/>
          <w:highlight w:val="none"/>
        </w:rPr>
        <w:t>（盖单位章）</w:t>
      </w:r>
    </w:p>
    <w:p>
      <w:pPr>
        <w:pageBreakBefore w:val="0"/>
        <w:kinsoku/>
        <w:wordWrap/>
        <w:overflowPunct/>
        <w:bidi w:val="0"/>
        <w:adjustRightInd w:val="0"/>
        <w:spacing w:line="360" w:lineRule="auto"/>
        <w:ind w:firstLine="367" w:firstLineChars="175"/>
        <w:jc w:val="left"/>
        <w:textAlignment w:val="auto"/>
        <w:outlineLvl w:val="9"/>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法定代表人或委托代理人：</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（签字）</w:t>
      </w:r>
    </w:p>
    <w:p>
      <w:pPr>
        <w:pageBreakBefore w:val="0"/>
        <w:kinsoku/>
        <w:wordWrap/>
        <w:overflowPunct/>
        <w:bidi w:val="0"/>
        <w:adjustRightInd w:val="0"/>
        <w:spacing w:line="360" w:lineRule="auto"/>
        <w:ind w:firstLine="367" w:firstLineChars="175"/>
        <w:jc w:val="left"/>
        <w:textAlignment w:val="auto"/>
        <w:outlineLvl w:val="9"/>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日      期</w:t>
      </w:r>
      <w:r>
        <w:rPr>
          <w:rFonts w:hint="eastAsia" w:ascii="Times New Roman" w:hAnsi="Times New Roman" w:cs="Times New Roman"/>
          <w:bCs/>
          <w:color w:val="auto"/>
          <w:szCs w:val="21"/>
          <w:highlight w:val="none"/>
          <w:lang w:eastAsia="zh-CN"/>
        </w:rPr>
        <w:t>：</w:t>
      </w:r>
      <w:r>
        <w:rPr>
          <w:rFonts w:hint="default" w:ascii="Times New Roman" w:hAnsi="Times New Roman" w:cs="Times New Roman"/>
          <w:bCs/>
          <w:color w:val="auto"/>
          <w:szCs w:val="21"/>
          <w:highlight w:val="none"/>
        </w:rPr>
        <w:t>20</w:t>
      </w:r>
      <w:r>
        <w:rPr>
          <w:rFonts w:hint="default" w:ascii="Times New Roman" w:hAnsi="Times New Roman" w:cs="Times New Roman"/>
          <w:bCs/>
          <w:color w:val="auto"/>
          <w:szCs w:val="21"/>
          <w:highlight w:val="none"/>
          <w:u w:val="single"/>
        </w:rPr>
        <w:t xml:space="preserve">   </w:t>
      </w:r>
      <w:r>
        <w:rPr>
          <w:rFonts w:hint="default" w:ascii="Times New Roman" w:hAnsi="Times New Roman" w:cs="Times New Roman"/>
          <w:bCs/>
          <w:color w:val="auto"/>
          <w:szCs w:val="21"/>
          <w:highlight w:val="none"/>
        </w:rPr>
        <w:t>年</w:t>
      </w:r>
      <w:r>
        <w:rPr>
          <w:rFonts w:hint="default" w:ascii="Times New Roman" w:hAnsi="Times New Roman" w:cs="Times New Roman"/>
          <w:bCs/>
          <w:color w:val="auto"/>
          <w:szCs w:val="21"/>
          <w:highlight w:val="none"/>
          <w:u w:val="single"/>
        </w:rPr>
        <w:t xml:space="preserve">   </w:t>
      </w:r>
      <w:r>
        <w:rPr>
          <w:rFonts w:hint="default" w:ascii="Times New Roman" w:hAnsi="Times New Roman" w:cs="Times New Roman"/>
          <w:bCs/>
          <w:color w:val="auto"/>
          <w:szCs w:val="21"/>
          <w:highlight w:val="none"/>
        </w:rPr>
        <w:t>月</w:t>
      </w:r>
      <w:r>
        <w:rPr>
          <w:rFonts w:hint="default" w:ascii="Times New Roman" w:hAnsi="Times New Roman" w:cs="Times New Roman"/>
          <w:bCs/>
          <w:color w:val="auto"/>
          <w:szCs w:val="21"/>
          <w:highlight w:val="none"/>
          <w:u w:val="single"/>
        </w:rPr>
        <w:t xml:space="preserve">   </w:t>
      </w:r>
      <w:r>
        <w:rPr>
          <w:rFonts w:hint="default" w:ascii="Times New Roman" w:hAnsi="Times New Roman" w:cs="Times New Roman"/>
          <w:bCs/>
          <w:color w:val="auto"/>
          <w:szCs w:val="21"/>
          <w:highlight w:val="none"/>
        </w:rPr>
        <w:t>日</w:t>
      </w:r>
    </w:p>
    <w:p>
      <w:pPr>
        <w:pageBreakBefore w:val="0"/>
        <w:kinsoku/>
        <w:wordWrap/>
        <w:overflowPunct/>
        <w:bidi w:val="0"/>
        <w:adjustRightInd w:val="0"/>
        <w:spacing w:line="360" w:lineRule="auto"/>
        <w:ind w:firstLine="367" w:firstLineChars="175"/>
        <w:jc w:val="left"/>
        <w:textAlignment w:val="auto"/>
        <w:outlineLvl w:val="9"/>
        <w:rPr>
          <w:rFonts w:hint="default" w:ascii="Times New Roman" w:hAnsi="Times New Roman" w:cs="Times New Roman"/>
          <w:bCs/>
          <w:color w:val="auto"/>
          <w:szCs w:val="21"/>
          <w:highlight w:val="none"/>
        </w:rPr>
      </w:pPr>
    </w:p>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color w:val="auto"/>
          <w:sz w:val="32"/>
          <w:szCs w:val="32"/>
          <w:highlight w:val="none"/>
        </w:rPr>
      </w:pPr>
      <w:r>
        <w:rPr>
          <w:rFonts w:hint="default" w:ascii="Times New Roman" w:hAnsi="Times New Roman" w:cs="Times New Roman"/>
          <w:b/>
          <w:color w:val="auto"/>
          <w:sz w:val="32"/>
          <w:szCs w:val="32"/>
          <w:highlight w:val="none"/>
        </w:rPr>
        <w:br w:type="page"/>
      </w:r>
      <w:r>
        <w:rPr>
          <w:rFonts w:hint="default" w:ascii="Times New Roman" w:hAnsi="Times New Roman" w:cs="Times New Roman"/>
          <w:b/>
          <w:color w:val="auto"/>
          <w:sz w:val="32"/>
          <w:szCs w:val="32"/>
          <w:highlight w:val="none"/>
        </w:rPr>
        <w:t>2.法定代表人（单位负责人）身份证明</w:t>
      </w:r>
    </w:p>
    <w:p>
      <w:pPr>
        <w:pageBreakBefore w:val="0"/>
        <w:kinsoku/>
        <w:wordWrap/>
        <w:overflowPunct/>
        <w:bidi w:val="0"/>
        <w:snapToGrid w:val="0"/>
        <w:spacing w:line="480" w:lineRule="auto"/>
        <w:textAlignment w:val="auto"/>
        <w:outlineLvl w:val="9"/>
        <w:rPr>
          <w:rFonts w:hint="default" w:ascii="Times New Roman" w:hAnsi="Times New Roman" w:cs="Times New Roman"/>
          <w:color w:val="auto"/>
          <w:szCs w:val="21"/>
          <w:highlight w:val="none"/>
        </w:rPr>
      </w:pPr>
    </w:p>
    <w:p>
      <w:pPr>
        <w:pageBreakBefore w:val="0"/>
        <w:kinsoku/>
        <w:wordWrap/>
        <w:overflowPunct/>
        <w:autoSpaceDE w:val="0"/>
        <w:autoSpaceDN w:val="0"/>
        <w:bidi w:val="0"/>
        <w:adjustRightInd w:val="0"/>
        <w:snapToGrid w:val="0"/>
        <w:spacing w:before="120" w:beforeLines="50" w:line="360" w:lineRule="auto"/>
        <w:jc w:val="left"/>
        <w:textAlignment w:val="auto"/>
        <w:outlineLvl w:val="9"/>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供应商</w:t>
      </w:r>
      <w:r>
        <w:rPr>
          <w:rFonts w:hint="default" w:ascii="Times New Roman" w:hAnsi="Times New Roman" w:cs="Times New Roman"/>
          <w:color w:val="auto"/>
          <w:kern w:val="0"/>
          <w:szCs w:val="21"/>
          <w:highlight w:val="none"/>
        </w:rPr>
        <w:t>名称：</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 xml:space="preserve"> </w:t>
      </w:r>
    </w:p>
    <w:p>
      <w:pPr>
        <w:pageBreakBefore w:val="0"/>
        <w:kinsoku/>
        <w:wordWrap/>
        <w:overflowPunct/>
        <w:autoSpaceDE w:val="0"/>
        <w:autoSpaceDN w:val="0"/>
        <w:bidi w:val="0"/>
        <w:adjustRightInd w:val="0"/>
        <w:snapToGrid w:val="0"/>
        <w:spacing w:before="120" w:beforeLines="50" w:line="360" w:lineRule="auto"/>
        <w:jc w:val="left"/>
        <w:textAlignment w:val="auto"/>
        <w:outlineLvl w:val="9"/>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统一社会信用代码：</w:t>
      </w:r>
      <w:r>
        <w:rPr>
          <w:rFonts w:hint="default" w:ascii="Times New Roman" w:hAnsi="Times New Roman" w:cs="Times New Roman"/>
          <w:color w:val="auto"/>
          <w:kern w:val="0"/>
          <w:szCs w:val="21"/>
          <w:highlight w:val="none"/>
          <w:u w:val="single"/>
        </w:rPr>
        <w:t xml:space="preserve">                </w:t>
      </w:r>
    </w:p>
    <w:p>
      <w:pPr>
        <w:pageBreakBefore w:val="0"/>
        <w:kinsoku/>
        <w:wordWrap/>
        <w:overflowPunct/>
        <w:autoSpaceDE w:val="0"/>
        <w:autoSpaceDN w:val="0"/>
        <w:bidi w:val="0"/>
        <w:adjustRightInd w:val="0"/>
        <w:snapToGrid w:val="0"/>
        <w:spacing w:before="120" w:beforeLines="50" w:line="360" w:lineRule="auto"/>
        <w:jc w:val="left"/>
        <w:textAlignment w:val="auto"/>
        <w:outlineLvl w:val="9"/>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姓名：</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 xml:space="preserve"> 性别：</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 xml:space="preserve"> 年龄：</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 xml:space="preserve"> 职务：</w:t>
      </w:r>
      <w:r>
        <w:rPr>
          <w:rFonts w:hint="default" w:ascii="Times New Roman" w:hAnsi="Times New Roman" w:cs="Times New Roman"/>
          <w:color w:val="auto"/>
          <w:kern w:val="0"/>
          <w:szCs w:val="21"/>
          <w:highlight w:val="none"/>
          <w:u w:val="single"/>
        </w:rPr>
        <w:t xml:space="preserve">             </w:t>
      </w:r>
    </w:p>
    <w:p>
      <w:pPr>
        <w:pageBreakBefore w:val="0"/>
        <w:kinsoku/>
        <w:wordWrap/>
        <w:overflowPunct/>
        <w:autoSpaceDE w:val="0"/>
        <w:autoSpaceDN w:val="0"/>
        <w:bidi w:val="0"/>
        <w:adjustRightInd w:val="0"/>
        <w:snapToGrid w:val="0"/>
        <w:spacing w:before="120" w:beforeLines="50" w:line="360" w:lineRule="auto"/>
        <w:jc w:val="left"/>
        <w:textAlignment w:val="auto"/>
        <w:outlineLvl w:val="9"/>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系</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（供应商名称）的法定代表人（单位负责人）。</w:t>
      </w:r>
    </w:p>
    <w:p>
      <w:pPr>
        <w:pageBreakBefore w:val="0"/>
        <w:kinsoku/>
        <w:wordWrap/>
        <w:overflowPunct/>
        <w:autoSpaceDE w:val="0"/>
        <w:autoSpaceDN w:val="0"/>
        <w:bidi w:val="0"/>
        <w:adjustRightInd w:val="0"/>
        <w:snapToGrid w:val="0"/>
        <w:spacing w:before="120" w:beforeLines="50" w:line="360" w:lineRule="auto"/>
        <w:jc w:val="left"/>
        <w:textAlignment w:val="auto"/>
        <w:outlineLvl w:val="9"/>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特此证明。</w:t>
      </w:r>
    </w:p>
    <w:p>
      <w:pPr>
        <w:pageBreakBefore w:val="0"/>
        <w:kinsoku/>
        <w:wordWrap/>
        <w:overflowPunct/>
        <w:autoSpaceDE w:val="0"/>
        <w:autoSpaceDN w:val="0"/>
        <w:bidi w:val="0"/>
        <w:adjustRightInd w:val="0"/>
        <w:snapToGrid w:val="0"/>
        <w:spacing w:before="120" w:beforeLines="50" w:line="360" w:lineRule="auto"/>
        <w:jc w:val="left"/>
        <w:textAlignment w:val="auto"/>
        <w:outlineLvl w:val="9"/>
        <w:rPr>
          <w:rFonts w:hint="default" w:ascii="Times New Roman" w:hAnsi="Times New Roman" w:cs="Times New Roman"/>
          <w:color w:val="auto"/>
          <w:szCs w:val="21"/>
          <w:highlight w:val="none"/>
        </w:rPr>
      </w:pPr>
    </w:p>
    <w:p>
      <w:pPr>
        <w:pageBreakBefore w:val="0"/>
        <w:kinsoku/>
        <w:wordWrap/>
        <w:overflowPunct/>
        <w:autoSpaceDE w:val="0"/>
        <w:autoSpaceDN w:val="0"/>
        <w:bidi w:val="0"/>
        <w:adjustRightInd w:val="0"/>
        <w:snapToGrid w:val="0"/>
        <w:spacing w:before="120" w:beforeLines="50" w:line="360" w:lineRule="auto"/>
        <w:jc w:val="left"/>
        <w:textAlignment w:val="auto"/>
        <w:outlineLvl w:val="9"/>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附：法定代表人</w:t>
      </w:r>
      <w:r>
        <w:rPr>
          <w:rFonts w:hint="default" w:ascii="Times New Roman" w:hAnsi="Times New Roman" w:cs="Times New Roman"/>
          <w:color w:val="auto"/>
          <w:szCs w:val="21"/>
          <w:highlight w:val="none"/>
          <w:lang w:eastAsia="zh-CN"/>
        </w:rPr>
        <w:t>（单位负责人）</w:t>
      </w:r>
      <w:r>
        <w:rPr>
          <w:rFonts w:hint="default" w:ascii="Times New Roman" w:hAnsi="Times New Roman" w:cs="Times New Roman"/>
          <w:color w:val="auto"/>
          <w:szCs w:val="21"/>
          <w:highlight w:val="none"/>
        </w:rPr>
        <w:t>身份证复印件</w:t>
      </w:r>
      <w:r>
        <w:rPr>
          <w:rFonts w:hint="default" w:ascii="Times New Roman" w:hAnsi="Times New Roman" w:cs="Times New Roman"/>
          <w:color w:val="auto"/>
          <w:szCs w:val="21"/>
          <w:highlight w:val="none"/>
          <w:lang w:val="zh-CN"/>
        </w:rPr>
        <w:t>（正反面）。</w:t>
      </w:r>
    </w:p>
    <w:p>
      <w:pPr>
        <w:pageBreakBefore w:val="0"/>
        <w:kinsoku/>
        <w:wordWrap/>
        <w:overflowPunct/>
        <w:bidi w:val="0"/>
        <w:snapToGrid w:val="0"/>
        <w:spacing w:line="480" w:lineRule="auto"/>
        <w:textAlignment w:val="auto"/>
        <w:outlineLvl w:val="9"/>
        <w:rPr>
          <w:rFonts w:hint="default" w:ascii="Times New Roman" w:hAnsi="Times New Roman" w:cs="Times New Roman"/>
          <w:color w:val="auto"/>
          <w:szCs w:val="21"/>
          <w:highlight w:val="none"/>
        </w:rPr>
      </w:pPr>
    </w:p>
    <w:tbl>
      <w:tblPr>
        <w:tblStyle w:val="17"/>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6"/>
        <w:gridCol w:w="4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4586" w:type="dxa"/>
            <w:noWrap w:val="0"/>
            <w:vAlign w:val="center"/>
          </w:tcPr>
          <w:p>
            <w:pPr>
              <w:pageBreakBefore w:val="0"/>
              <w:kinsoku/>
              <w:wordWrap/>
              <w:overflowPunct/>
              <w:bidi w:val="0"/>
              <w:snapToGrid w:val="0"/>
              <w:spacing w:line="480" w:lineRule="auto"/>
              <w:jc w:val="center"/>
              <w:textAlignment w:val="auto"/>
              <w:outlineLvl w:val="9"/>
              <w:rPr>
                <w:rFonts w:hint="default" w:ascii="Times New Roman" w:hAnsi="Times New Roman" w:cs="Times New Roman"/>
                <w:color w:val="auto"/>
                <w:szCs w:val="21"/>
                <w:highlight w:val="none"/>
              </w:rPr>
            </w:pPr>
          </w:p>
          <w:p>
            <w:pPr>
              <w:pageBreakBefore w:val="0"/>
              <w:kinsoku/>
              <w:wordWrap/>
              <w:overflowPunct/>
              <w:bidi w:val="0"/>
              <w:snapToGrid w:val="0"/>
              <w:spacing w:line="480" w:lineRule="auto"/>
              <w:jc w:val="center"/>
              <w:textAlignment w:val="auto"/>
              <w:outlineLvl w:val="9"/>
              <w:rPr>
                <w:rFonts w:hint="default" w:ascii="Times New Roman" w:hAnsi="Times New Roman" w:cs="Times New Roman"/>
                <w:color w:val="auto"/>
                <w:szCs w:val="21"/>
                <w:highlight w:val="none"/>
              </w:rPr>
            </w:pPr>
          </w:p>
          <w:p>
            <w:pPr>
              <w:pageBreakBefore w:val="0"/>
              <w:kinsoku/>
              <w:wordWrap/>
              <w:overflowPunct/>
              <w:autoSpaceDE w:val="0"/>
              <w:autoSpaceDN w:val="0"/>
              <w:bidi w:val="0"/>
              <w:adjustRightInd w:val="0"/>
              <w:snapToGrid w:val="0"/>
              <w:spacing w:before="120" w:beforeLines="50" w:line="360" w:lineRule="auto"/>
              <w:jc w:val="center"/>
              <w:textAlignment w:val="auto"/>
              <w:outlineLvl w:val="9"/>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法定代表人（单位负责人）身份证复印件</w:t>
            </w:r>
          </w:p>
          <w:p>
            <w:pPr>
              <w:pageBreakBefore w:val="0"/>
              <w:kinsoku/>
              <w:wordWrap/>
              <w:overflowPunct/>
              <w:bidi w:val="0"/>
              <w:snapToGrid w:val="0"/>
              <w:spacing w:line="480" w:lineRule="auto"/>
              <w:jc w:val="center"/>
              <w:textAlignment w:val="auto"/>
              <w:outlineLvl w:val="9"/>
              <w:rPr>
                <w:rFonts w:hint="default" w:ascii="Times New Roman" w:hAnsi="Times New Roman" w:cs="Times New Roman"/>
                <w:color w:val="auto"/>
                <w:szCs w:val="21"/>
                <w:highlight w:val="none"/>
              </w:rPr>
            </w:pPr>
          </w:p>
          <w:p>
            <w:pPr>
              <w:pageBreakBefore w:val="0"/>
              <w:kinsoku/>
              <w:wordWrap/>
              <w:overflowPunct/>
              <w:bidi w:val="0"/>
              <w:snapToGrid w:val="0"/>
              <w:spacing w:line="480" w:lineRule="auto"/>
              <w:jc w:val="center"/>
              <w:textAlignment w:val="auto"/>
              <w:outlineLvl w:val="9"/>
              <w:rPr>
                <w:rFonts w:hint="default" w:ascii="Times New Roman" w:hAnsi="Times New Roman" w:cs="Times New Roman"/>
                <w:color w:val="auto"/>
                <w:szCs w:val="21"/>
                <w:highlight w:val="none"/>
              </w:rPr>
            </w:pPr>
          </w:p>
        </w:tc>
        <w:tc>
          <w:tcPr>
            <w:tcW w:w="4587" w:type="dxa"/>
            <w:noWrap w:val="0"/>
            <w:vAlign w:val="center"/>
          </w:tcPr>
          <w:p>
            <w:pPr>
              <w:pageBreakBefore w:val="0"/>
              <w:kinsoku/>
              <w:wordWrap/>
              <w:overflowPunct/>
              <w:autoSpaceDE w:val="0"/>
              <w:autoSpaceDN w:val="0"/>
              <w:bidi w:val="0"/>
              <w:adjustRightInd w:val="0"/>
              <w:snapToGrid w:val="0"/>
              <w:spacing w:before="120" w:beforeLines="50" w:line="360" w:lineRule="auto"/>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法定代表人（单位负责人）身份证复印件</w:t>
            </w:r>
          </w:p>
        </w:tc>
      </w:tr>
    </w:tbl>
    <w:p>
      <w:pPr>
        <w:pageBreakBefore w:val="0"/>
        <w:kinsoku/>
        <w:wordWrap/>
        <w:overflowPunct/>
        <w:bidi w:val="0"/>
        <w:snapToGrid w:val="0"/>
        <w:spacing w:line="480" w:lineRule="auto"/>
        <w:textAlignment w:val="auto"/>
        <w:outlineLvl w:val="9"/>
        <w:rPr>
          <w:rFonts w:hint="default" w:ascii="Times New Roman" w:hAnsi="Times New Roman" w:cs="Times New Roman"/>
          <w:color w:val="auto"/>
          <w:szCs w:val="21"/>
          <w:highlight w:val="none"/>
        </w:rPr>
      </w:pPr>
    </w:p>
    <w:p>
      <w:pPr>
        <w:pageBreakBefore w:val="0"/>
        <w:kinsoku/>
        <w:wordWrap/>
        <w:overflowPunct/>
        <w:bidi w:val="0"/>
        <w:snapToGrid w:val="0"/>
        <w:textAlignment w:val="auto"/>
        <w:outlineLvl w:val="9"/>
        <w:rPr>
          <w:rFonts w:hint="default" w:ascii="Times New Roman" w:hAnsi="Times New Roman" w:cs="Times New Roman"/>
          <w:color w:val="auto"/>
          <w:szCs w:val="21"/>
          <w:highlight w:val="none"/>
        </w:rPr>
      </w:pPr>
    </w:p>
    <w:p>
      <w:pPr>
        <w:pageBreakBefore w:val="0"/>
        <w:kinsoku/>
        <w:wordWrap/>
        <w:overflowPunct/>
        <w:bidi w:val="0"/>
        <w:snapToGrid w:val="0"/>
        <w:textAlignment w:val="auto"/>
        <w:outlineLvl w:val="9"/>
        <w:rPr>
          <w:rFonts w:hint="default" w:ascii="Times New Roman" w:hAnsi="Times New Roman" w:cs="Times New Roman"/>
          <w:color w:val="auto"/>
          <w:szCs w:val="21"/>
          <w:highlight w:val="none"/>
        </w:rPr>
      </w:pPr>
    </w:p>
    <w:p>
      <w:pPr>
        <w:pageBreakBefore w:val="0"/>
        <w:kinsoku/>
        <w:wordWrap/>
        <w:overflowPunct/>
        <w:bidi w:val="0"/>
        <w:snapToGrid w:val="0"/>
        <w:textAlignment w:val="auto"/>
        <w:outlineLvl w:val="9"/>
        <w:rPr>
          <w:rFonts w:hint="default" w:ascii="Times New Roman" w:hAnsi="Times New Roman" w:cs="Times New Roman"/>
          <w:color w:val="auto"/>
          <w:szCs w:val="21"/>
          <w:highlight w:val="none"/>
        </w:rPr>
      </w:pPr>
    </w:p>
    <w:p>
      <w:pPr>
        <w:pageBreakBefore w:val="0"/>
        <w:kinsoku/>
        <w:wordWrap/>
        <w:overflowPunct/>
        <w:bidi w:val="0"/>
        <w:adjustRightInd w:val="0"/>
        <w:snapToGrid w:val="0"/>
        <w:spacing w:line="360" w:lineRule="auto"/>
        <w:ind w:right="420" w:firstLine="3255" w:firstLineChars="1550"/>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供应商名称：</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（盖单位章）</w:t>
      </w:r>
    </w:p>
    <w:p>
      <w:pPr>
        <w:pageBreakBefore w:val="0"/>
        <w:kinsoku/>
        <w:wordWrap/>
        <w:overflowPunct/>
        <w:bidi w:val="0"/>
        <w:adjustRightInd w:val="0"/>
        <w:snapToGrid w:val="0"/>
        <w:spacing w:line="360" w:lineRule="auto"/>
        <w:ind w:right="420" w:firstLine="4830" w:firstLineChars="2300"/>
        <w:textAlignment w:val="auto"/>
        <w:outlineLvl w:val="9"/>
        <w:rPr>
          <w:rFonts w:hint="default" w:ascii="Times New Roman" w:hAnsi="Times New Roman" w:cs="Times New Roman"/>
          <w:color w:val="auto"/>
          <w:szCs w:val="21"/>
          <w:highlight w:val="none"/>
        </w:rPr>
      </w:pPr>
    </w:p>
    <w:p>
      <w:pPr>
        <w:pageBreakBefore w:val="0"/>
        <w:kinsoku/>
        <w:wordWrap/>
        <w:overflowPunct/>
        <w:bidi w:val="0"/>
        <w:adjustRightInd w:val="0"/>
        <w:snapToGrid w:val="0"/>
        <w:spacing w:line="360" w:lineRule="auto"/>
        <w:ind w:right="420" w:firstLine="4252" w:firstLineChars="2025"/>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日期：20  年  月  日</w:t>
      </w:r>
    </w:p>
    <w:p>
      <w:pPr>
        <w:pageBreakBefore w:val="0"/>
        <w:kinsoku/>
        <w:wordWrap/>
        <w:overflowPunct/>
        <w:bidi w:val="0"/>
        <w:adjustRightInd w:val="0"/>
        <w:snapToGrid w:val="0"/>
        <w:spacing w:line="360" w:lineRule="auto"/>
        <w:ind w:right="420" w:firstLine="210" w:firstLineChars="100"/>
        <w:textAlignment w:val="auto"/>
        <w:outlineLvl w:val="9"/>
        <w:rPr>
          <w:rFonts w:hint="default" w:ascii="Times New Roman" w:hAnsi="Times New Roman" w:eastAsia="仿宋_GB2312" w:cs="Times New Roman"/>
          <w:color w:val="auto"/>
          <w:szCs w:val="21"/>
          <w:highlight w:val="none"/>
        </w:rPr>
      </w:pPr>
    </w:p>
    <w:p>
      <w:pPr>
        <w:pageBreakBefore w:val="0"/>
        <w:kinsoku/>
        <w:wordWrap/>
        <w:overflowPunct/>
        <w:bidi w:val="0"/>
        <w:adjustRightInd w:val="0"/>
        <w:snapToGrid w:val="0"/>
        <w:spacing w:line="360" w:lineRule="auto"/>
        <w:ind w:right="420" w:firstLine="210" w:firstLineChars="100"/>
        <w:textAlignment w:val="auto"/>
        <w:outlineLvl w:val="9"/>
        <w:rPr>
          <w:rFonts w:hint="default" w:ascii="Times New Roman" w:hAnsi="Times New Roman" w:eastAsia="仿宋_GB2312" w:cs="Times New Roman"/>
          <w:color w:val="auto"/>
          <w:szCs w:val="21"/>
          <w:highlight w:val="none"/>
        </w:rPr>
      </w:pPr>
    </w:p>
    <w:p>
      <w:pPr>
        <w:pageBreakBefore w:val="0"/>
        <w:kinsoku/>
        <w:wordWrap/>
        <w:overflowPunct/>
        <w:bidi w:val="0"/>
        <w:adjustRightInd w:val="0"/>
        <w:snapToGrid w:val="0"/>
        <w:spacing w:line="360" w:lineRule="auto"/>
        <w:ind w:right="420" w:firstLine="210" w:firstLineChars="100"/>
        <w:textAlignment w:val="auto"/>
        <w:outlineLvl w:val="9"/>
        <w:rPr>
          <w:rFonts w:hint="default" w:ascii="Times New Roman" w:hAnsi="Times New Roman" w:eastAsia="仿宋_GB2312" w:cs="Times New Roman"/>
          <w:color w:val="auto"/>
          <w:szCs w:val="21"/>
          <w:highlight w:val="none"/>
        </w:rPr>
      </w:pPr>
    </w:p>
    <w:p>
      <w:pPr>
        <w:pageBreakBefore w:val="0"/>
        <w:kinsoku/>
        <w:wordWrap/>
        <w:overflowPunct/>
        <w:bidi w:val="0"/>
        <w:adjustRightInd w:val="0"/>
        <w:snapToGrid w:val="0"/>
        <w:spacing w:line="360" w:lineRule="auto"/>
        <w:ind w:right="420" w:firstLine="210" w:firstLineChars="100"/>
        <w:textAlignment w:val="auto"/>
        <w:outlineLvl w:val="9"/>
        <w:rPr>
          <w:rFonts w:hint="default" w:ascii="Times New Roman" w:hAnsi="Times New Roman" w:eastAsia="仿宋_GB2312" w:cs="Times New Roman"/>
          <w:color w:val="auto"/>
          <w:szCs w:val="21"/>
          <w:highlight w:val="none"/>
        </w:rPr>
      </w:pPr>
    </w:p>
    <w:p>
      <w:pPr>
        <w:pageBreakBefore w:val="0"/>
        <w:kinsoku/>
        <w:wordWrap/>
        <w:overflowPunct/>
        <w:bidi w:val="0"/>
        <w:adjustRightInd w:val="0"/>
        <w:snapToGrid w:val="0"/>
        <w:spacing w:line="360" w:lineRule="auto"/>
        <w:ind w:right="420" w:firstLine="210" w:firstLineChars="100"/>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说明：仅限法定代表人（单位负责人）参加磋商时提供。</w:t>
      </w:r>
    </w:p>
    <w:p>
      <w:pPr>
        <w:pageBreakBefore w:val="0"/>
        <w:kinsoku/>
        <w:wordWrap/>
        <w:overflowPunct/>
        <w:bidi w:val="0"/>
        <w:adjustRightInd w:val="0"/>
        <w:snapToGrid w:val="0"/>
        <w:spacing w:line="360" w:lineRule="auto"/>
        <w:ind w:right="420" w:firstLine="210" w:firstLineChars="100"/>
        <w:textAlignment w:val="auto"/>
        <w:outlineLvl w:val="9"/>
        <w:rPr>
          <w:rFonts w:hint="default" w:ascii="Times New Roman" w:hAnsi="Times New Roman" w:eastAsia="楷体" w:cs="Times New Roman"/>
          <w:color w:val="auto"/>
          <w:szCs w:val="21"/>
          <w:highlight w:val="none"/>
        </w:rPr>
      </w:pPr>
    </w:p>
    <w:p>
      <w:pP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p>
    <w:p>
      <w:pPr>
        <w:pageBreakBefore w:val="0"/>
        <w:kinsoku/>
        <w:wordWrap/>
        <w:overflowPunct/>
        <w:bidi w:val="0"/>
        <w:jc w:val="center"/>
        <w:textAlignment w:val="auto"/>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3.法定代表人授权委托书</w:t>
      </w:r>
    </w:p>
    <w:p>
      <w:pPr>
        <w:pageBreakBefore w:val="0"/>
        <w:kinsoku/>
        <w:wordWrap/>
        <w:overflowPunct/>
        <w:bidi w:val="0"/>
        <w:adjustRightInd w:val="0"/>
        <w:snapToGrid w:val="0"/>
        <w:spacing w:line="360" w:lineRule="auto"/>
        <w:jc w:val="center"/>
        <w:textAlignment w:val="auto"/>
        <w:outlineLvl w:val="9"/>
        <w:rPr>
          <w:rFonts w:hint="default" w:ascii="Times New Roman" w:hAnsi="Times New Roman" w:eastAsia="黑体" w:cs="Times New Roman"/>
          <w:b/>
          <w:color w:val="auto"/>
          <w:sz w:val="28"/>
          <w:szCs w:val="28"/>
          <w:highlight w:val="none"/>
        </w:rPr>
      </w:pPr>
    </w:p>
    <w:p>
      <w:pPr>
        <w:pageBreakBefore w:val="0"/>
        <w:kinsoku/>
        <w:wordWrap/>
        <w:overflowPunct/>
        <w:bidi w:val="0"/>
        <w:spacing w:line="400" w:lineRule="exact"/>
        <w:ind w:firstLine="560" w:firstLineChars="20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spacing w:line="360" w:lineRule="auto"/>
        <w:ind w:firstLine="420" w:firstLineChars="200"/>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本人</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lang w:val="zh-CN"/>
        </w:rPr>
        <w:t>（姓名）系</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lang w:val="zh-CN"/>
        </w:rPr>
        <w:t>（供应商名称）的法定代表人（单位负责人），</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lang w:val="zh-CN"/>
        </w:rPr>
        <w:t>现委托</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lang w:val="zh-CN"/>
        </w:rPr>
        <w:t>（姓名）为我方代理人。代理人根据授权，以我方的名义签署、澄清确认、递交、撤回、修改</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u w:val="single"/>
          <w:lang w:val="zh-CN" w:eastAsia="zh-CN"/>
        </w:rPr>
        <w:t>西安高新区第五十七幼儿园部室设备采购项目</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lang w:val="zh-CN"/>
        </w:rPr>
        <w:t>（采购项目）响应文件、签订合同和全权处理一切与之有关的事宜，</w:t>
      </w:r>
      <w:r>
        <w:rPr>
          <w:rFonts w:hint="default" w:ascii="Times New Roman" w:hAnsi="Times New Roman" w:cs="Times New Roman"/>
          <w:color w:val="auto"/>
          <w:kern w:val="0"/>
          <w:szCs w:val="21"/>
          <w:highlight w:val="none"/>
        </w:rPr>
        <w:t>其法律后果由我方承担。</w:t>
      </w:r>
    </w:p>
    <w:p>
      <w:pPr>
        <w:pageBreakBefore w:val="0"/>
        <w:kinsoku/>
        <w:wordWrap/>
        <w:overflowPunct/>
        <w:bidi w:val="0"/>
        <w:spacing w:line="480" w:lineRule="auto"/>
        <w:ind w:firstLine="420" w:firstLineChars="200"/>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委托期限</w:t>
      </w:r>
      <w:r>
        <w:rPr>
          <w:rFonts w:hint="default" w:ascii="Times New Roman" w:hAnsi="Times New Roman" w:cs="Times New Roman"/>
          <w:color w:val="auto"/>
          <w:szCs w:val="21"/>
          <w:highlight w:val="none"/>
        </w:rPr>
        <w:t>：本授权委托书有效期自磋商截止之日起90日历天。</w:t>
      </w:r>
    </w:p>
    <w:p>
      <w:pPr>
        <w:pageBreakBefore w:val="0"/>
        <w:kinsoku/>
        <w:wordWrap/>
        <w:overflowPunct/>
        <w:bidi w:val="0"/>
        <w:spacing w:line="480" w:lineRule="auto"/>
        <w:ind w:firstLine="420" w:firstLineChars="200"/>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color w:val="auto"/>
          <w:szCs w:val="21"/>
          <w:highlight w:val="none"/>
        </w:rPr>
        <w:t>代理人无转委托权。</w:t>
      </w:r>
    </w:p>
    <w:p>
      <w:pPr>
        <w:pageBreakBefore w:val="0"/>
        <w:kinsoku/>
        <w:wordWrap/>
        <w:overflowPunct/>
        <w:bidi w:val="0"/>
        <w:spacing w:line="360" w:lineRule="auto"/>
        <w:ind w:firstLine="420" w:firstLineChars="200"/>
        <w:textAlignment w:val="auto"/>
        <w:outlineLvl w:val="9"/>
        <w:rPr>
          <w:rFonts w:hint="default" w:ascii="Times New Roman" w:hAnsi="Times New Roman" w:cs="Times New Roman"/>
          <w:color w:val="auto"/>
          <w:szCs w:val="21"/>
          <w:highlight w:val="none"/>
        </w:rPr>
      </w:pPr>
    </w:p>
    <w:p>
      <w:pPr>
        <w:pageBreakBefore w:val="0"/>
        <w:kinsoku/>
        <w:wordWrap/>
        <w:overflowPunct/>
        <w:bidi w:val="0"/>
        <w:spacing w:line="360" w:lineRule="auto"/>
        <w:textAlignment w:val="auto"/>
        <w:outlineLvl w:val="9"/>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lang w:val="zh-CN"/>
        </w:rPr>
        <w:t>附：法定代表人（单位负责人）身份证复印件</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zh-CN"/>
        </w:rPr>
        <w:t>委托代理人身份证复印件（正反面）。</w:t>
      </w:r>
    </w:p>
    <w:tbl>
      <w:tblPr>
        <w:tblStyle w:val="17"/>
        <w:tblW w:w="0" w:type="auto"/>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2459"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bidi w:val="0"/>
              <w:spacing w:line="360" w:lineRule="auto"/>
              <w:jc w:val="center"/>
              <w:textAlignment w:val="auto"/>
              <w:outlineLvl w:val="9"/>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lang w:val="zh-CN"/>
              </w:rPr>
              <w:t>法定代表人（单位负责人）身份证复印件</w:t>
            </w:r>
          </w:p>
        </w:tc>
        <w:tc>
          <w:tcPr>
            <w:tcW w:w="391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bidi w:val="0"/>
              <w:spacing w:line="360" w:lineRule="auto"/>
              <w:jc w:val="center"/>
              <w:textAlignment w:val="auto"/>
              <w:outlineLvl w:val="9"/>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lang w:val="zh-CN"/>
              </w:rPr>
              <w:t>委托代理人身份证复印件</w:t>
            </w:r>
          </w:p>
        </w:tc>
      </w:tr>
      <w:tr>
        <w:tblPrEx>
          <w:tblCellMar>
            <w:top w:w="0" w:type="dxa"/>
            <w:left w:w="108" w:type="dxa"/>
            <w:bottom w:w="0" w:type="dxa"/>
            <w:right w:w="108" w:type="dxa"/>
          </w:tblCellMar>
        </w:tblPrEx>
        <w:trPr>
          <w:trHeight w:val="2510"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bidi w:val="0"/>
              <w:spacing w:line="360" w:lineRule="auto"/>
              <w:jc w:val="center"/>
              <w:textAlignment w:val="auto"/>
              <w:outlineLvl w:val="9"/>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法定代表人（单位负责人）身份证复印件</w:t>
            </w:r>
          </w:p>
        </w:tc>
        <w:tc>
          <w:tcPr>
            <w:tcW w:w="391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bidi w:val="0"/>
              <w:spacing w:line="360" w:lineRule="auto"/>
              <w:jc w:val="center"/>
              <w:textAlignment w:val="auto"/>
              <w:outlineLvl w:val="9"/>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委托代理人身份证复印件</w:t>
            </w:r>
          </w:p>
        </w:tc>
      </w:tr>
    </w:tbl>
    <w:p>
      <w:pPr>
        <w:pageBreakBefore w:val="0"/>
        <w:kinsoku/>
        <w:wordWrap/>
        <w:overflowPunct/>
        <w:bidi w:val="0"/>
        <w:ind w:firstLine="420" w:firstLineChars="200"/>
        <w:textAlignment w:val="auto"/>
        <w:outlineLvl w:val="9"/>
        <w:rPr>
          <w:rFonts w:hint="default" w:ascii="Times New Roman" w:hAnsi="Times New Roman" w:cs="Times New Roman"/>
          <w:color w:val="auto"/>
          <w:szCs w:val="21"/>
          <w:highlight w:val="none"/>
        </w:rPr>
      </w:pPr>
    </w:p>
    <w:p>
      <w:pPr>
        <w:pageBreakBefore w:val="0"/>
        <w:kinsoku/>
        <w:wordWrap/>
        <w:overflowPunct/>
        <w:bidi w:val="0"/>
        <w:ind w:firstLine="2835" w:firstLineChars="1350"/>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  应  商：</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（盖单位章） </w:t>
      </w:r>
    </w:p>
    <w:p>
      <w:pPr>
        <w:pageBreakBefore w:val="0"/>
        <w:kinsoku/>
        <w:wordWrap/>
        <w:overflowPunct/>
        <w:bidi w:val="0"/>
        <w:ind w:firstLine="420" w:firstLineChars="200"/>
        <w:textAlignment w:val="auto"/>
        <w:outlineLvl w:val="9"/>
        <w:rPr>
          <w:rFonts w:hint="default" w:ascii="Times New Roman" w:hAnsi="Times New Roman" w:cs="Times New Roman"/>
          <w:color w:val="auto"/>
          <w:szCs w:val="21"/>
          <w:highlight w:val="none"/>
        </w:rPr>
      </w:pPr>
    </w:p>
    <w:p>
      <w:pPr>
        <w:pageBreakBefore w:val="0"/>
        <w:kinsoku/>
        <w:wordWrap/>
        <w:overflowPunct/>
        <w:bidi w:val="0"/>
        <w:ind w:firstLine="2835" w:firstLineChars="1350"/>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法定代表人（单位负责人）</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 xml:space="preserve"> </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 （签字）</w:t>
      </w:r>
    </w:p>
    <w:p>
      <w:pPr>
        <w:pageBreakBefore w:val="0"/>
        <w:kinsoku/>
        <w:wordWrap/>
        <w:overflowPunct/>
        <w:bidi w:val="0"/>
        <w:ind w:firstLine="3465" w:firstLineChars="1650"/>
        <w:textAlignment w:val="auto"/>
        <w:outlineLvl w:val="9"/>
        <w:rPr>
          <w:rFonts w:hint="default" w:ascii="Times New Roman" w:hAnsi="Times New Roman" w:cs="Times New Roman"/>
          <w:color w:val="auto"/>
          <w:szCs w:val="21"/>
          <w:highlight w:val="none"/>
        </w:rPr>
      </w:pPr>
    </w:p>
    <w:p>
      <w:pPr>
        <w:pageBreakBefore w:val="0"/>
        <w:kinsoku/>
        <w:wordWrap/>
        <w:overflowPunct/>
        <w:bidi w:val="0"/>
        <w:ind w:firstLine="2835" w:firstLineChars="1350"/>
        <w:jc w:val="left"/>
        <w:textAlignment w:val="auto"/>
        <w:outlineLvl w:val="9"/>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身 份 证 号：</w:t>
      </w:r>
      <w:r>
        <w:rPr>
          <w:rFonts w:hint="default" w:ascii="Times New Roman" w:hAnsi="Times New Roman" w:cs="Times New Roman"/>
          <w:color w:val="auto"/>
          <w:szCs w:val="21"/>
          <w:highlight w:val="none"/>
          <w:u w:val="single"/>
        </w:rPr>
        <w:t xml:space="preserve">                               </w:t>
      </w:r>
    </w:p>
    <w:p>
      <w:pPr>
        <w:pageBreakBefore w:val="0"/>
        <w:kinsoku/>
        <w:wordWrap/>
        <w:overflowPunct/>
        <w:bidi w:val="0"/>
        <w:ind w:firstLine="3465" w:firstLineChars="1650"/>
        <w:textAlignment w:val="auto"/>
        <w:outlineLvl w:val="9"/>
        <w:rPr>
          <w:rFonts w:hint="default" w:ascii="Times New Roman" w:hAnsi="Times New Roman" w:cs="Times New Roman"/>
          <w:color w:val="auto"/>
          <w:szCs w:val="21"/>
          <w:highlight w:val="none"/>
        </w:rPr>
      </w:pPr>
    </w:p>
    <w:p>
      <w:pPr>
        <w:pageBreakBefore w:val="0"/>
        <w:kinsoku/>
        <w:wordWrap/>
        <w:overflowPunct/>
        <w:bidi w:val="0"/>
        <w:ind w:firstLine="2835" w:firstLineChars="1350"/>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委托代理人：</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 （签字）     </w:t>
      </w:r>
    </w:p>
    <w:p>
      <w:pPr>
        <w:pageBreakBefore w:val="0"/>
        <w:kinsoku/>
        <w:wordWrap/>
        <w:overflowPunct/>
        <w:bidi w:val="0"/>
        <w:ind w:firstLine="2835" w:firstLineChars="1350"/>
        <w:jc w:val="left"/>
        <w:textAlignment w:val="auto"/>
        <w:outlineLvl w:val="9"/>
        <w:rPr>
          <w:rFonts w:hint="default" w:ascii="Times New Roman" w:hAnsi="Times New Roman" w:cs="Times New Roman"/>
          <w:color w:val="auto"/>
          <w:szCs w:val="21"/>
          <w:highlight w:val="none"/>
        </w:rPr>
      </w:pPr>
    </w:p>
    <w:p>
      <w:pPr>
        <w:pageBreakBefore w:val="0"/>
        <w:kinsoku/>
        <w:wordWrap/>
        <w:overflowPunct/>
        <w:bidi w:val="0"/>
        <w:ind w:firstLine="2835" w:firstLineChars="1350"/>
        <w:jc w:val="left"/>
        <w:textAlignment w:val="auto"/>
        <w:outlineLvl w:val="9"/>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身 份 证 号：</w:t>
      </w:r>
      <w:r>
        <w:rPr>
          <w:rFonts w:hint="default" w:ascii="Times New Roman" w:hAnsi="Times New Roman" w:cs="Times New Roman"/>
          <w:color w:val="auto"/>
          <w:szCs w:val="21"/>
          <w:highlight w:val="none"/>
          <w:u w:val="single"/>
        </w:rPr>
        <w:t xml:space="preserve">                               </w:t>
      </w:r>
    </w:p>
    <w:p>
      <w:pPr>
        <w:pageBreakBefore w:val="0"/>
        <w:kinsoku/>
        <w:wordWrap/>
        <w:overflowPunct/>
        <w:bidi w:val="0"/>
        <w:ind w:firstLine="420" w:firstLineChars="200"/>
        <w:textAlignment w:val="auto"/>
        <w:outlineLvl w:val="9"/>
        <w:rPr>
          <w:rFonts w:hint="default" w:ascii="Times New Roman" w:hAnsi="Times New Roman" w:cs="Times New Roman"/>
          <w:color w:val="auto"/>
          <w:szCs w:val="21"/>
          <w:highlight w:val="none"/>
        </w:rPr>
      </w:pPr>
    </w:p>
    <w:p>
      <w:pPr>
        <w:pageBreakBefore w:val="0"/>
        <w:kinsoku/>
        <w:wordWrap/>
        <w:overflowPunct/>
        <w:bidi w:val="0"/>
        <w:ind w:firstLine="2730" w:firstLineChars="1300"/>
        <w:textAlignment w:val="auto"/>
        <w:outlineLvl w:val="9"/>
        <w:rPr>
          <w:rFonts w:hint="default" w:ascii="Times New Roman" w:hAnsi="Times New Roman" w:eastAsia="仿宋_GB2312" w:cs="Times New Roman"/>
          <w:color w:val="auto"/>
          <w:szCs w:val="21"/>
          <w:highlight w:val="none"/>
          <w:lang w:val="zh-CN"/>
        </w:rPr>
      </w:pPr>
      <w:r>
        <w:rPr>
          <w:rFonts w:hint="default" w:ascii="Times New Roman" w:hAnsi="Times New Roman" w:cs="Times New Roman"/>
          <w:color w:val="auto"/>
          <w:szCs w:val="21"/>
          <w:highlight w:val="none"/>
        </w:rPr>
        <w:t xml:space="preserve"> 授权委托日期：20</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 年</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 月</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 日</w:t>
      </w:r>
    </w:p>
    <w:p>
      <w:pPr>
        <w:pageBreakBefore w:val="0"/>
        <w:kinsoku/>
        <w:wordWrap/>
        <w:overflowPunct/>
        <w:bidi w:val="0"/>
        <w:ind w:firstLine="420" w:firstLineChars="200"/>
        <w:textAlignment w:val="auto"/>
        <w:outlineLvl w:val="9"/>
        <w:rPr>
          <w:rFonts w:hint="default" w:ascii="Times New Roman" w:hAnsi="Times New Roman" w:eastAsia="仿宋_GB2312" w:cs="Times New Roman"/>
          <w:color w:val="auto"/>
          <w:highlight w:val="none"/>
          <w:lang w:val="zh-CN"/>
        </w:rPr>
      </w:pPr>
    </w:p>
    <w:p>
      <w:pPr>
        <w:pageBreakBefore w:val="0"/>
        <w:kinsoku/>
        <w:wordWrap/>
        <w:overflowPunct/>
        <w:bidi w:val="0"/>
        <w:ind w:firstLine="210" w:firstLineChars="100"/>
        <w:textAlignment w:val="auto"/>
        <w:outlineLvl w:val="9"/>
        <w:rPr>
          <w:rFonts w:hint="default" w:ascii="Times New Roman" w:hAnsi="Times New Roman" w:eastAsia="楷体" w:cs="Times New Roman"/>
          <w:color w:val="auto"/>
          <w:highlight w:val="none"/>
          <w:lang w:val="zh-CN"/>
        </w:rPr>
      </w:pPr>
      <w:r>
        <w:rPr>
          <w:rFonts w:hint="default" w:ascii="Times New Roman" w:hAnsi="Times New Roman" w:eastAsia="楷体" w:cs="Times New Roman"/>
          <w:color w:val="auto"/>
          <w:highlight w:val="none"/>
          <w:lang w:val="zh-CN"/>
        </w:rPr>
        <w:t>说明：仅限委托代理人参加磋商时提供。</w:t>
      </w:r>
    </w:p>
    <w:p>
      <w:pP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p>
    <w:p>
      <w:pPr>
        <w:pageBreakBefore w:val="0"/>
        <w:kinsoku/>
        <w:wordWrap/>
        <w:overflowPunct/>
        <w:bidi w:val="0"/>
        <w:jc w:val="center"/>
        <w:textAlignment w:val="auto"/>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4.</w:t>
      </w:r>
      <w:r>
        <w:rPr>
          <w:rFonts w:hint="default" w:ascii="Times New Roman" w:hAnsi="Times New Roman" w:cs="Times New Roman"/>
          <w:b/>
          <w:color w:val="auto"/>
          <w:kern w:val="0"/>
          <w:sz w:val="32"/>
          <w:szCs w:val="32"/>
          <w:highlight w:val="none"/>
          <w:lang w:val="zh-CN"/>
        </w:rPr>
        <w:t>供应商的营业执照等证明文件，自然人的身份证明</w:t>
      </w:r>
    </w:p>
    <w:p>
      <w:pPr>
        <w:pStyle w:val="8"/>
        <w:pageBreakBefore w:val="0"/>
        <w:kinsoku/>
        <w:wordWrap/>
        <w:overflowPunct/>
        <w:bidi w:val="0"/>
        <w:adjustRightInd w:val="0"/>
        <w:snapToGrid w:val="0"/>
        <w:spacing w:line="360" w:lineRule="auto"/>
        <w:jc w:val="left"/>
        <w:textAlignment w:val="auto"/>
        <w:outlineLvl w:val="9"/>
        <w:rPr>
          <w:rFonts w:hint="default" w:ascii="Times New Roman" w:hAnsi="Times New Roman" w:cs="Times New Roman"/>
          <w:color w:val="auto"/>
          <w:sz w:val="24"/>
          <w:szCs w:val="24"/>
          <w:highlight w:val="none"/>
        </w:rPr>
      </w:pPr>
    </w:p>
    <w:p>
      <w:pPr>
        <w:pStyle w:val="8"/>
        <w:pageBreakBefore w:val="0"/>
        <w:kinsoku/>
        <w:wordWrap/>
        <w:overflowPunct/>
        <w:bidi w:val="0"/>
        <w:adjustRightInd w:val="0"/>
        <w:snapToGrid w:val="0"/>
        <w:spacing w:line="360" w:lineRule="auto"/>
        <w:textAlignment w:val="auto"/>
        <w:outlineLvl w:val="9"/>
        <w:rPr>
          <w:rFonts w:hint="default" w:ascii="Times New Roman" w:hAnsi="Times New Roman" w:eastAsia="楷体" w:cs="Times New Roman"/>
          <w:color w:val="auto"/>
          <w:highlight w:val="none"/>
        </w:rPr>
      </w:pPr>
      <w:r>
        <w:rPr>
          <w:rFonts w:hint="default" w:ascii="Times New Roman" w:hAnsi="Times New Roman" w:eastAsia="楷体" w:cs="Times New Roman"/>
          <w:color w:val="auto"/>
          <w:highlight w:val="none"/>
        </w:rPr>
        <w:t xml:space="preserve"> 说明：</w:t>
      </w:r>
    </w:p>
    <w:p>
      <w:pPr>
        <w:pStyle w:val="8"/>
        <w:pageBreakBefore w:val="0"/>
        <w:kinsoku/>
        <w:wordWrap/>
        <w:overflowPunct/>
        <w:bidi w:val="0"/>
        <w:adjustRightInd w:val="0"/>
        <w:snapToGrid w:val="0"/>
        <w:spacing w:line="360" w:lineRule="auto"/>
        <w:ind w:firstLine="420" w:firstLineChars="200"/>
        <w:textAlignment w:val="auto"/>
        <w:outlineLvl w:val="9"/>
        <w:rPr>
          <w:rFonts w:hint="default" w:ascii="Times New Roman" w:hAnsi="Times New Roman" w:eastAsia="楷体" w:cs="Times New Roman"/>
          <w:color w:val="auto"/>
          <w:highlight w:val="none"/>
        </w:rPr>
      </w:pPr>
      <w:r>
        <w:rPr>
          <w:rFonts w:hint="default" w:ascii="Times New Roman" w:hAnsi="Times New Roman" w:eastAsia="楷体" w:cs="Times New Roman"/>
          <w:color w:val="auto"/>
          <w:highlight w:val="none"/>
        </w:rPr>
        <w:t>（1）企业单位磋商的提供有效的营业执照（3证合1或多证合1）；</w:t>
      </w:r>
    </w:p>
    <w:p>
      <w:pPr>
        <w:pStyle w:val="8"/>
        <w:pageBreakBefore w:val="0"/>
        <w:kinsoku/>
        <w:wordWrap/>
        <w:overflowPunct/>
        <w:bidi w:val="0"/>
        <w:adjustRightInd w:val="0"/>
        <w:snapToGrid w:val="0"/>
        <w:spacing w:line="360" w:lineRule="auto"/>
        <w:ind w:firstLine="420" w:firstLineChars="200"/>
        <w:textAlignment w:val="auto"/>
        <w:outlineLvl w:val="9"/>
        <w:rPr>
          <w:rFonts w:hint="default" w:ascii="Times New Roman" w:hAnsi="Times New Roman" w:eastAsia="楷体" w:cs="Times New Roman"/>
          <w:color w:val="auto"/>
          <w:highlight w:val="none"/>
        </w:rPr>
      </w:pPr>
      <w:r>
        <w:rPr>
          <w:rFonts w:hint="default" w:ascii="Times New Roman" w:hAnsi="Times New Roman" w:eastAsia="楷体" w:cs="Times New Roman"/>
          <w:color w:val="auto"/>
          <w:highlight w:val="none"/>
        </w:rPr>
        <w:t>（2）事业单位磋商的提供有效的法人证书（带有社会统一信用代码）；</w:t>
      </w:r>
    </w:p>
    <w:p>
      <w:pPr>
        <w:pStyle w:val="8"/>
        <w:pageBreakBefore w:val="0"/>
        <w:kinsoku/>
        <w:wordWrap/>
        <w:overflowPunct/>
        <w:bidi w:val="0"/>
        <w:adjustRightInd w:val="0"/>
        <w:snapToGrid w:val="0"/>
        <w:spacing w:line="360" w:lineRule="auto"/>
        <w:ind w:firstLine="420" w:firstLineChars="200"/>
        <w:textAlignment w:val="auto"/>
        <w:outlineLvl w:val="9"/>
        <w:rPr>
          <w:rFonts w:hint="default" w:ascii="Times New Roman" w:hAnsi="Times New Roman" w:eastAsia="楷体" w:cs="Times New Roman"/>
          <w:color w:val="auto"/>
          <w:highlight w:val="none"/>
        </w:rPr>
      </w:pPr>
      <w:r>
        <w:rPr>
          <w:rFonts w:hint="default" w:ascii="Times New Roman" w:hAnsi="Times New Roman" w:eastAsia="楷体" w:cs="Times New Roman"/>
          <w:color w:val="auto"/>
          <w:highlight w:val="none"/>
        </w:rPr>
        <w:t>（3）其他组织磋商的提供有效的登记证书（带有社会统一信用代码）；</w:t>
      </w:r>
    </w:p>
    <w:p>
      <w:pPr>
        <w:pStyle w:val="8"/>
        <w:pageBreakBefore w:val="0"/>
        <w:kinsoku/>
        <w:wordWrap/>
        <w:overflowPunct/>
        <w:bidi w:val="0"/>
        <w:adjustRightInd w:val="0"/>
        <w:snapToGrid w:val="0"/>
        <w:spacing w:line="360" w:lineRule="auto"/>
        <w:ind w:firstLine="420" w:firstLineChars="200"/>
        <w:textAlignment w:val="auto"/>
        <w:outlineLvl w:val="9"/>
        <w:rPr>
          <w:rFonts w:hint="default" w:ascii="Times New Roman" w:hAnsi="Times New Roman" w:eastAsia="楷体" w:cs="Times New Roman"/>
          <w:color w:val="auto"/>
          <w:highlight w:val="none"/>
        </w:rPr>
      </w:pPr>
      <w:r>
        <w:rPr>
          <w:rFonts w:hint="default" w:ascii="Times New Roman" w:hAnsi="Times New Roman" w:eastAsia="楷体" w:cs="Times New Roman"/>
          <w:color w:val="auto"/>
          <w:highlight w:val="none"/>
        </w:rPr>
        <w:t>（4）自然人磋商的提供有效的身份证原件；</w:t>
      </w:r>
    </w:p>
    <w:p>
      <w:pPr>
        <w:pStyle w:val="8"/>
        <w:pageBreakBefore w:val="0"/>
        <w:kinsoku/>
        <w:wordWrap/>
        <w:overflowPunct/>
        <w:bidi w:val="0"/>
        <w:adjustRightInd w:val="0"/>
        <w:snapToGrid w:val="0"/>
        <w:spacing w:line="360" w:lineRule="auto"/>
        <w:ind w:firstLine="420" w:firstLineChars="200"/>
        <w:textAlignment w:val="auto"/>
        <w:outlineLvl w:val="9"/>
        <w:rPr>
          <w:rFonts w:hint="default" w:ascii="Times New Roman" w:hAnsi="Times New Roman" w:eastAsia="楷体" w:cs="Times New Roman"/>
          <w:color w:val="auto"/>
          <w:highlight w:val="none"/>
        </w:rPr>
      </w:pPr>
      <w:r>
        <w:rPr>
          <w:rFonts w:hint="default" w:ascii="Times New Roman" w:hAnsi="Times New Roman" w:eastAsia="楷体" w:cs="Times New Roman"/>
          <w:color w:val="auto"/>
          <w:highlight w:val="none"/>
        </w:rPr>
        <w:t>（5）以上（1）-（3）项为正本或者副本复印件，并加盖供应商单位章。</w:t>
      </w: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p>
    <w:p>
      <w:pPr>
        <w:pStyle w:val="8"/>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5.财务状况报告</w:t>
      </w:r>
    </w:p>
    <w:p>
      <w:pPr>
        <w:pStyle w:val="8"/>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b/>
          <w:color w:val="auto"/>
          <w:sz w:val="32"/>
          <w:szCs w:val="32"/>
          <w:highlight w:val="none"/>
        </w:rPr>
      </w:pPr>
    </w:p>
    <w:p>
      <w:pPr>
        <w:pStyle w:val="8"/>
        <w:pageBreakBefore w:val="0"/>
        <w:kinsoku/>
        <w:wordWrap/>
        <w:overflowPunct/>
        <w:bidi w:val="0"/>
        <w:adjustRightInd w:val="0"/>
        <w:snapToGrid w:val="0"/>
        <w:spacing w:line="360" w:lineRule="auto"/>
        <w:jc w:val="left"/>
        <w:textAlignment w:val="auto"/>
        <w:outlineLvl w:val="9"/>
        <w:rPr>
          <w:rFonts w:hint="default" w:ascii="Times New Roman" w:hAnsi="Times New Roman" w:cs="Times New Roman"/>
          <w:b/>
          <w:color w:val="auto"/>
          <w:sz w:val="24"/>
          <w:szCs w:val="24"/>
          <w:highlight w:val="none"/>
        </w:rPr>
      </w:pPr>
      <w:r>
        <w:rPr>
          <w:rFonts w:hint="default" w:ascii="Times New Roman" w:hAnsi="Times New Roman" w:eastAsia="楷体" w:cs="Times New Roman"/>
          <w:color w:val="auto"/>
          <w:highlight w:val="none"/>
        </w:rPr>
        <w:t>说明：复印件直接装订，复印件加盖供应商单位章。</w:t>
      </w:r>
    </w:p>
    <w:p>
      <w:pPr>
        <w:pStyle w:val="8"/>
        <w:pageBreakBefore w:val="0"/>
        <w:kinsoku/>
        <w:wordWrap/>
        <w:overflowPunct/>
        <w:bidi w:val="0"/>
        <w:adjustRightInd w:val="0"/>
        <w:snapToGrid w:val="0"/>
        <w:spacing w:line="360" w:lineRule="auto"/>
        <w:jc w:val="left"/>
        <w:textAlignment w:val="auto"/>
        <w:outlineLvl w:val="9"/>
        <w:rPr>
          <w:rFonts w:hint="default" w:ascii="Times New Roman" w:hAnsi="Times New Roman" w:eastAsia="楷体" w:cs="Times New Roman"/>
          <w:color w:val="auto"/>
          <w:highlight w:val="none"/>
        </w:rPr>
      </w:pPr>
      <w:r>
        <w:rPr>
          <w:rFonts w:hint="default" w:ascii="Times New Roman" w:hAnsi="Times New Roman" w:cs="Times New Roman"/>
          <w:b/>
          <w:color w:val="auto"/>
          <w:sz w:val="24"/>
          <w:szCs w:val="24"/>
          <w:highlight w:val="none"/>
        </w:rPr>
        <w:t xml:space="preserve"> </w:t>
      </w:r>
    </w:p>
    <w:p>
      <w:pPr>
        <w:pStyle w:val="8"/>
        <w:pageBreakBefore w:val="0"/>
        <w:kinsoku/>
        <w:wordWrap/>
        <w:overflowPunct/>
        <w:bidi w:val="0"/>
        <w:adjustRightInd w:val="0"/>
        <w:snapToGrid w:val="0"/>
        <w:spacing w:line="360" w:lineRule="auto"/>
        <w:jc w:val="left"/>
        <w:textAlignment w:val="auto"/>
        <w:outlineLvl w:val="9"/>
        <w:rPr>
          <w:rFonts w:hint="default" w:ascii="Times New Roman" w:hAnsi="Times New Roman" w:cs="Times New Roman"/>
          <w:b/>
          <w:color w:val="auto"/>
          <w:sz w:val="24"/>
          <w:szCs w:val="24"/>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p>
    <w:p>
      <w:pPr>
        <w:pStyle w:val="8"/>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6.税收缴纳证明</w:t>
      </w:r>
    </w:p>
    <w:p>
      <w:pPr>
        <w:pStyle w:val="8"/>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b/>
          <w:color w:val="auto"/>
          <w:sz w:val="32"/>
          <w:szCs w:val="32"/>
          <w:highlight w:val="none"/>
        </w:rPr>
      </w:pPr>
    </w:p>
    <w:p>
      <w:pPr>
        <w:pStyle w:val="8"/>
        <w:pageBreakBefore w:val="0"/>
        <w:kinsoku/>
        <w:wordWrap/>
        <w:overflowPunct/>
        <w:bidi w:val="0"/>
        <w:adjustRightInd w:val="0"/>
        <w:snapToGrid w:val="0"/>
        <w:spacing w:line="360" w:lineRule="auto"/>
        <w:jc w:val="left"/>
        <w:textAlignment w:val="auto"/>
        <w:outlineLvl w:val="9"/>
        <w:rPr>
          <w:rFonts w:hint="default" w:ascii="Times New Roman" w:hAnsi="Times New Roman" w:cs="Times New Roman"/>
          <w:color w:val="auto"/>
          <w:sz w:val="24"/>
          <w:szCs w:val="24"/>
          <w:highlight w:val="none"/>
        </w:rPr>
      </w:pPr>
      <w:r>
        <w:rPr>
          <w:rFonts w:hint="default" w:ascii="Times New Roman" w:hAnsi="Times New Roman" w:eastAsia="楷体" w:cs="Times New Roman"/>
          <w:color w:val="auto"/>
          <w:highlight w:val="none"/>
        </w:rPr>
        <w:t>说明：复印件直接装订，复印件加盖供应商单位章。</w:t>
      </w:r>
    </w:p>
    <w:p>
      <w:pPr>
        <w:pStyle w:val="8"/>
        <w:pageBreakBefore w:val="0"/>
        <w:kinsoku/>
        <w:wordWrap/>
        <w:overflowPunct/>
        <w:bidi w:val="0"/>
        <w:adjustRightInd w:val="0"/>
        <w:snapToGrid w:val="0"/>
        <w:spacing w:line="360" w:lineRule="auto"/>
        <w:ind w:firstLine="420" w:firstLineChars="200"/>
        <w:textAlignment w:val="auto"/>
        <w:outlineLvl w:val="9"/>
        <w:rPr>
          <w:rFonts w:hint="default" w:ascii="Times New Roman" w:hAnsi="Times New Roman" w:cs="Times New Roman"/>
          <w:color w:val="auto"/>
          <w:highlight w:val="none"/>
        </w:rPr>
      </w:pPr>
    </w:p>
    <w:p>
      <w:pPr>
        <w:pStyle w:val="8"/>
        <w:pageBreakBefore w:val="0"/>
        <w:kinsoku/>
        <w:wordWrap/>
        <w:overflowPunct/>
        <w:bidi w:val="0"/>
        <w:adjustRightInd w:val="0"/>
        <w:snapToGrid w:val="0"/>
        <w:spacing w:line="360" w:lineRule="auto"/>
        <w:jc w:val="left"/>
        <w:textAlignment w:val="auto"/>
        <w:outlineLvl w:val="9"/>
        <w:rPr>
          <w:rFonts w:hint="default" w:ascii="Times New Roman" w:hAnsi="Times New Roman" w:cs="Times New Roman"/>
          <w:color w:val="auto"/>
          <w:sz w:val="24"/>
          <w:szCs w:val="24"/>
          <w:highlight w:val="none"/>
        </w:rPr>
      </w:pPr>
    </w:p>
    <w:p>
      <w:pPr>
        <w:pStyle w:val="8"/>
        <w:pageBreakBefore w:val="0"/>
        <w:kinsoku/>
        <w:wordWrap/>
        <w:overflowPunct/>
        <w:bidi w:val="0"/>
        <w:adjustRightInd w:val="0"/>
        <w:snapToGrid w:val="0"/>
        <w:spacing w:line="360" w:lineRule="auto"/>
        <w:jc w:val="left"/>
        <w:textAlignment w:val="auto"/>
        <w:outlineLvl w:val="9"/>
        <w:rPr>
          <w:rFonts w:hint="default" w:ascii="Times New Roman" w:hAnsi="Times New Roman" w:cs="Times New Roman"/>
          <w:color w:val="auto"/>
          <w:sz w:val="24"/>
          <w:szCs w:val="24"/>
          <w:highlight w:val="none"/>
        </w:rPr>
      </w:pPr>
    </w:p>
    <w:p>
      <w:pPr>
        <w:pStyle w:val="8"/>
        <w:pageBreakBefore w:val="0"/>
        <w:kinsoku/>
        <w:wordWrap/>
        <w:overflowPunct/>
        <w:bidi w:val="0"/>
        <w:adjustRightInd w:val="0"/>
        <w:snapToGrid w:val="0"/>
        <w:spacing w:line="360" w:lineRule="auto"/>
        <w:jc w:val="left"/>
        <w:textAlignment w:val="auto"/>
        <w:outlineLvl w:val="9"/>
        <w:rPr>
          <w:rFonts w:hint="default" w:ascii="Times New Roman" w:hAnsi="Times New Roman" w:cs="Times New Roman"/>
          <w:color w:val="auto"/>
          <w:sz w:val="24"/>
          <w:szCs w:val="24"/>
          <w:highlight w:val="none"/>
        </w:rPr>
      </w:pPr>
    </w:p>
    <w:p>
      <w:pPr>
        <w:pStyle w:val="8"/>
        <w:pageBreakBefore w:val="0"/>
        <w:kinsoku/>
        <w:wordWrap/>
        <w:overflowPunct/>
        <w:bidi w:val="0"/>
        <w:adjustRightInd w:val="0"/>
        <w:snapToGrid w:val="0"/>
        <w:spacing w:line="360" w:lineRule="auto"/>
        <w:jc w:val="left"/>
        <w:textAlignment w:val="auto"/>
        <w:outlineLvl w:val="9"/>
        <w:rPr>
          <w:rFonts w:hint="default" w:ascii="Times New Roman" w:hAnsi="Times New Roman" w:cs="Times New Roman"/>
          <w:color w:val="auto"/>
          <w:sz w:val="24"/>
          <w:szCs w:val="24"/>
          <w:highlight w:val="none"/>
        </w:rPr>
      </w:pPr>
    </w:p>
    <w:p>
      <w:pPr>
        <w:pStyle w:val="8"/>
        <w:pageBreakBefore w:val="0"/>
        <w:kinsoku/>
        <w:wordWrap/>
        <w:overflowPunct/>
        <w:bidi w:val="0"/>
        <w:adjustRightInd w:val="0"/>
        <w:snapToGrid w:val="0"/>
        <w:spacing w:line="360" w:lineRule="auto"/>
        <w:jc w:val="left"/>
        <w:textAlignment w:val="auto"/>
        <w:outlineLvl w:val="9"/>
        <w:rPr>
          <w:rFonts w:hint="default" w:ascii="Times New Roman" w:hAnsi="Times New Roman" w:cs="Times New Roman"/>
          <w:color w:val="auto"/>
          <w:sz w:val="24"/>
          <w:szCs w:val="24"/>
          <w:highlight w:val="none"/>
        </w:rPr>
      </w:pPr>
    </w:p>
    <w:p>
      <w:pPr>
        <w:pStyle w:val="8"/>
        <w:pageBreakBefore w:val="0"/>
        <w:kinsoku/>
        <w:wordWrap/>
        <w:overflowPunct/>
        <w:bidi w:val="0"/>
        <w:adjustRightInd w:val="0"/>
        <w:snapToGrid w:val="0"/>
        <w:spacing w:line="360" w:lineRule="auto"/>
        <w:jc w:val="left"/>
        <w:textAlignment w:val="auto"/>
        <w:outlineLvl w:val="9"/>
        <w:rPr>
          <w:rFonts w:hint="default" w:ascii="Times New Roman" w:hAnsi="Times New Roman" w:cs="Times New Roman"/>
          <w:color w:val="auto"/>
          <w:sz w:val="24"/>
          <w:szCs w:val="24"/>
          <w:highlight w:val="none"/>
        </w:rPr>
      </w:pPr>
    </w:p>
    <w:p>
      <w:pPr>
        <w:pStyle w:val="8"/>
        <w:pageBreakBefore w:val="0"/>
        <w:kinsoku/>
        <w:wordWrap/>
        <w:overflowPunct/>
        <w:bidi w:val="0"/>
        <w:adjustRightInd w:val="0"/>
        <w:snapToGrid w:val="0"/>
        <w:spacing w:line="360" w:lineRule="auto"/>
        <w:jc w:val="left"/>
        <w:textAlignment w:val="auto"/>
        <w:outlineLvl w:val="9"/>
        <w:rPr>
          <w:rFonts w:hint="default" w:ascii="Times New Roman" w:hAnsi="Times New Roman" w:cs="Times New Roman"/>
          <w:color w:val="auto"/>
          <w:sz w:val="24"/>
          <w:szCs w:val="24"/>
          <w:highlight w:val="none"/>
        </w:rPr>
      </w:pPr>
    </w:p>
    <w:p>
      <w:pPr>
        <w:pStyle w:val="8"/>
        <w:pageBreakBefore w:val="0"/>
        <w:kinsoku/>
        <w:wordWrap/>
        <w:overflowPunct/>
        <w:bidi w:val="0"/>
        <w:adjustRightInd w:val="0"/>
        <w:snapToGrid w:val="0"/>
        <w:spacing w:line="360" w:lineRule="auto"/>
        <w:jc w:val="left"/>
        <w:textAlignment w:val="auto"/>
        <w:outlineLvl w:val="9"/>
        <w:rPr>
          <w:rFonts w:hint="default" w:ascii="Times New Roman" w:hAnsi="Times New Roman" w:cs="Times New Roman"/>
          <w:color w:val="auto"/>
          <w:sz w:val="24"/>
          <w:szCs w:val="24"/>
          <w:highlight w:val="none"/>
        </w:rPr>
      </w:pPr>
    </w:p>
    <w:p>
      <w:pPr>
        <w:pStyle w:val="8"/>
        <w:pageBreakBefore w:val="0"/>
        <w:kinsoku/>
        <w:wordWrap/>
        <w:overflowPunct/>
        <w:bidi w:val="0"/>
        <w:adjustRightInd w:val="0"/>
        <w:snapToGrid w:val="0"/>
        <w:spacing w:line="360" w:lineRule="auto"/>
        <w:jc w:val="left"/>
        <w:textAlignment w:val="auto"/>
        <w:outlineLvl w:val="9"/>
        <w:rPr>
          <w:rFonts w:hint="default" w:ascii="Times New Roman" w:hAnsi="Times New Roman" w:cs="Times New Roman"/>
          <w:color w:val="auto"/>
          <w:sz w:val="24"/>
          <w:szCs w:val="24"/>
          <w:highlight w:val="none"/>
        </w:rPr>
      </w:pPr>
    </w:p>
    <w:p>
      <w:pPr>
        <w:pStyle w:val="8"/>
        <w:pageBreakBefore w:val="0"/>
        <w:kinsoku/>
        <w:wordWrap/>
        <w:overflowPunct/>
        <w:bidi w:val="0"/>
        <w:adjustRightInd w:val="0"/>
        <w:snapToGrid w:val="0"/>
        <w:spacing w:line="360" w:lineRule="auto"/>
        <w:jc w:val="left"/>
        <w:textAlignment w:val="auto"/>
        <w:outlineLvl w:val="9"/>
        <w:rPr>
          <w:rFonts w:hint="default" w:ascii="Times New Roman" w:hAnsi="Times New Roman" w:cs="Times New Roman"/>
          <w:color w:val="auto"/>
          <w:sz w:val="24"/>
          <w:szCs w:val="24"/>
          <w:highlight w:val="none"/>
        </w:rPr>
      </w:pPr>
    </w:p>
    <w:p>
      <w:pPr>
        <w:pStyle w:val="8"/>
        <w:pageBreakBefore w:val="0"/>
        <w:kinsoku/>
        <w:wordWrap/>
        <w:overflowPunct/>
        <w:bidi w:val="0"/>
        <w:adjustRightInd w:val="0"/>
        <w:snapToGrid w:val="0"/>
        <w:spacing w:line="360" w:lineRule="auto"/>
        <w:jc w:val="left"/>
        <w:textAlignment w:val="auto"/>
        <w:outlineLvl w:val="9"/>
        <w:rPr>
          <w:rFonts w:hint="default" w:ascii="Times New Roman" w:hAnsi="Times New Roman" w:cs="Times New Roman"/>
          <w:color w:val="auto"/>
          <w:sz w:val="24"/>
          <w:szCs w:val="24"/>
          <w:highlight w:val="none"/>
        </w:rPr>
      </w:pPr>
    </w:p>
    <w:p>
      <w:pPr>
        <w:pStyle w:val="8"/>
        <w:pageBreakBefore w:val="0"/>
        <w:kinsoku/>
        <w:wordWrap/>
        <w:overflowPunct/>
        <w:bidi w:val="0"/>
        <w:adjustRightInd w:val="0"/>
        <w:snapToGrid w:val="0"/>
        <w:spacing w:line="360" w:lineRule="auto"/>
        <w:jc w:val="left"/>
        <w:textAlignment w:val="auto"/>
        <w:outlineLvl w:val="9"/>
        <w:rPr>
          <w:rFonts w:hint="default" w:ascii="Times New Roman" w:hAnsi="Times New Roman" w:cs="Times New Roman"/>
          <w:color w:val="auto"/>
          <w:sz w:val="24"/>
          <w:szCs w:val="24"/>
          <w:highlight w:val="none"/>
        </w:rPr>
      </w:pPr>
    </w:p>
    <w:p>
      <w:pPr>
        <w:pStyle w:val="8"/>
        <w:pageBreakBefore w:val="0"/>
        <w:kinsoku/>
        <w:wordWrap/>
        <w:overflowPunct/>
        <w:bidi w:val="0"/>
        <w:adjustRightInd w:val="0"/>
        <w:snapToGrid w:val="0"/>
        <w:spacing w:line="360" w:lineRule="auto"/>
        <w:jc w:val="left"/>
        <w:textAlignment w:val="auto"/>
        <w:outlineLvl w:val="9"/>
        <w:rPr>
          <w:rFonts w:hint="default" w:ascii="Times New Roman" w:hAnsi="Times New Roman" w:cs="Times New Roman"/>
          <w:color w:val="auto"/>
          <w:sz w:val="24"/>
          <w:szCs w:val="24"/>
          <w:highlight w:val="none"/>
        </w:rPr>
      </w:pPr>
    </w:p>
    <w:p>
      <w:pPr>
        <w:pStyle w:val="8"/>
        <w:pageBreakBefore w:val="0"/>
        <w:kinsoku/>
        <w:wordWrap/>
        <w:overflowPunct/>
        <w:bidi w:val="0"/>
        <w:adjustRightInd w:val="0"/>
        <w:snapToGrid w:val="0"/>
        <w:spacing w:line="360" w:lineRule="auto"/>
        <w:jc w:val="left"/>
        <w:textAlignment w:val="auto"/>
        <w:outlineLvl w:val="9"/>
        <w:rPr>
          <w:rFonts w:hint="default" w:ascii="Times New Roman" w:hAnsi="Times New Roman" w:cs="Times New Roman"/>
          <w:color w:val="auto"/>
          <w:sz w:val="24"/>
          <w:szCs w:val="24"/>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p>
    <w:p>
      <w:pPr>
        <w:pStyle w:val="8"/>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7.缴纳社会保障资金证明</w:t>
      </w:r>
    </w:p>
    <w:p>
      <w:pPr>
        <w:pStyle w:val="8"/>
        <w:pageBreakBefore w:val="0"/>
        <w:kinsoku/>
        <w:wordWrap/>
        <w:overflowPunct/>
        <w:bidi w:val="0"/>
        <w:adjustRightInd w:val="0"/>
        <w:snapToGrid w:val="0"/>
        <w:spacing w:line="360" w:lineRule="auto"/>
        <w:jc w:val="left"/>
        <w:textAlignment w:val="auto"/>
        <w:outlineLvl w:val="9"/>
        <w:rPr>
          <w:rFonts w:hint="default" w:ascii="Times New Roman" w:hAnsi="Times New Roman" w:cs="Times New Roman"/>
          <w:color w:val="auto"/>
          <w:sz w:val="24"/>
          <w:szCs w:val="24"/>
          <w:highlight w:val="none"/>
        </w:rPr>
      </w:pPr>
    </w:p>
    <w:p>
      <w:pPr>
        <w:pStyle w:val="8"/>
        <w:pageBreakBefore w:val="0"/>
        <w:kinsoku/>
        <w:wordWrap/>
        <w:overflowPunct/>
        <w:bidi w:val="0"/>
        <w:adjustRightInd w:val="0"/>
        <w:snapToGrid w:val="0"/>
        <w:spacing w:line="360" w:lineRule="auto"/>
        <w:jc w:val="left"/>
        <w:textAlignment w:val="auto"/>
        <w:outlineLvl w:val="9"/>
        <w:rPr>
          <w:rFonts w:hint="default" w:ascii="Times New Roman" w:hAnsi="Times New Roman" w:eastAsia="楷体" w:cs="Times New Roman"/>
          <w:color w:val="auto"/>
          <w:highlight w:val="none"/>
        </w:rPr>
      </w:pPr>
      <w:r>
        <w:rPr>
          <w:rFonts w:hint="default" w:ascii="Times New Roman" w:hAnsi="Times New Roman" w:eastAsia="楷体" w:cs="Times New Roman"/>
          <w:color w:val="auto"/>
          <w:highlight w:val="none"/>
        </w:rPr>
        <w:t>说明：复印件直接装订，复印件加盖供应商单位章。</w:t>
      </w: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ind w:firstLine="0"/>
        <w:jc w:val="center"/>
        <w:textAlignment w:val="auto"/>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r>
        <w:rPr>
          <w:rFonts w:hint="default" w:ascii="Times New Roman" w:hAnsi="Times New Roman" w:cs="Times New Roman"/>
          <w:b/>
          <w:color w:val="auto"/>
          <w:sz w:val="32"/>
          <w:szCs w:val="32"/>
          <w:highlight w:val="none"/>
          <w:lang w:val="en-US" w:eastAsia="zh-CN"/>
        </w:rPr>
        <w:t>8</w:t>
      </w:r>
      <w:r>
        <w:rPr>
          <w:rFonts w:hint="default" w:ascii="Times New Roman" w:hAnsi="Times New Roman" w:cs="Times New Roman"/>
          <w:b/>
          <w:color w:val="auto"/>
          <w:sz w:val="32"/>
          <w:szCs w:val="32"/>
          <w:highlight w:val="none"/>
        </w:rPr>
        <w:t>.具备履行合同所必须的设备和专业技术能力的书面声明（原件）</w:t>
      </w:r>
    </w:p>
    <w:p>
      <w:pPr>
        <w:pStyle w:val="4"/>
        <w:pageBreakBefore w:val="0"/>
        <w:kinsoku/>
        <w:wordWrap/>
        <w:overflowPunct/>
        <w:bidi w:val="0"/>
        <w:spacing w:line="360" w:lineRule="auto"/>
        <w:ind w:firstLine="0"/>
        <w:jc w:val="left"/>
        <w:textAlignment w:val="auto"/>
        <w:outlineLvl w:val="9"/>
        <w:rPr>
          <w:rFonts w:hint="default" w:ascii="Times New Roman" w:hAnsi="Times New Roman" w:cs="Times New Roman"/>
          <w:b/>
          <w:color w:val="auto"/>
          <w:sz w:val="24"/>
          <w:szCs w:val="24"/>
          <w:highlight w:val="none"/>
        </w:rPr>
      </w:pPr>
    </w:p>
    <w:p>
      <w:pPr>
        <w:pStyle w:val="4"/>
        <w:pageBreakBefore w:val="0"/>
        <w:kinsoku/>
        <w:wordWrap/>
        <w:overflowPunct/>
        <w:bidi w:val="0"/>
        <w:spacing w:line="360" w:lineRule="auto"/>
        <w:ind w:firstLine="0"/>
        <w:jc w:val="center"/>
        <w:textAlignment w:val="auto"/>
        <w:outlineLvl w:val="9"/>
        <w:rPr>
          <w:rFonts w:hint="default" w:ascii="Times New Roman" w:hAnsi="Times New Roman" w:cs="Times New Roman"/>
          <w:b w:val="0"/>
          <w:bCs/>
          <w:color w:val="auto"/>
          <w:sz w:val="21"/>
          <w:szCs w:val="21"/>
          <w:highlight w:val="none"/>
          <w:lang w:eastAsia="zh-CN"/>
        </w:rPr>
      </w:pPr>
      <w:r>
        <w:rPr>
          <w:rFonts w:hint="default" w:ascii="Times New Roman" w:hAnsi="Times New Roman" w:cs="Times New Roman"/>
          <w:b w:val="0"/>
          <w:bCs/>
          <w:color w:val="auto"/>
          <w:sz w:val="21"/>
          <w:szCs w:val="21"/>
          <w:highlight w:val="none"/>
          <w:lang w:eastAsia="zh-CN"/>
        </w:rPr>
        <w:t>（</w:t>
      </w:r>
      <w:r>
        <w:rPr>
          <w:rFonts w:hint="default" w:ascii="Times New Roman" w:hAnsi="Times New Roman" w:cs="Times New Roman"/>
          <w:b w:val="0"/>
          <w:bCs/>
          <w:color w:val="auto"/>
          <w:sz w:val="21"/>
          <w:szCs w:val="21"/>
          <w:highlight w:val="none"/>
          <w:lang w:val="en-US" w:eastAsia="zh-CN"/>
        </w:rPr>
        <w:t>格式自拟</w:t>
      </w:r>
      <w:r>
        <w:rPr>
          <w:rFonts w:hint="default" w:ascii="Times New Roman" w:hAnsi="Times New Roman" w:cs="Times New Roman"/>
          <w:b w:val="0"/>
          <w:bCs/>
          <w:color w:val="auto"/>
          <w:sz w:val="21"/>
          <w:szCs w:val="21"/>
          <w:highlight w:val="none"/>
          <w:lang w:eastAsia="zh-CN"/>
        </w:rPr>
        <w:t>）</w:t>
      </w:r>
    </w:p>
    <w:p>
      <w:pPr>
        <w:pStyle w:val="4"/>
        <w:pageBreakBefore w:val="0"/>
        <w:kinsoku/>
        <w:wordWrap/>
        <w:overflowPunct/>
        <w:bidi w:val="0"/>
        <w:spacing w:line="360" w:lineRule="auto"/>
        <w:ind w:firstLine="0"/>
        <w:jc w:val="center"/>
        <w:textAlignment w:val="auto"/>
        <w:outlineLvl w:val="9"/>
        <w:rPr>
          <w:rFonts w:hint="default" w:ascii="Times New Roman" w:hAnsi="Times New Roman" w:cs="Times New Roman"/>
          <w:b w:val="0"/>
          <w:bCs/>
          <w:color w:val="auto"/>
          <w:sz w:val="21"/>
          <w:szCs w:val="21"/>
          <w:highlight w:val="none"/>
          <w:lang w:eastAsia="zh-CN"/>
        </w:rPr>
      </w:pPr>
    </w:p>
    <w:p>
      <w:pPr>
        <w:pStyle w:val="4"/>
        <w:pageBreakBefore w:val="0"/>
        <w:kinsoku/>
        <w:wordWrap/>
        <w:overflowPunct/>
        <w:bidi w:val="0"/>
        <w:spacing w:line="360" w:lineRule="auto"/>
        <w:ind w:firstLine="0"/>
        <w:jc w:val="center"/>
        <w:textAlignment w:val="auto"/>
        <w:outlineLvl w:val="9"/>
        <w:rPr>
          <w:rFonts w:hint="default" w:ascii="Times New Roman" w:hAnsi="Times New Roman" w:cs="Times New Roman"/>
          <w:b w:val="0"/>
          <w:bCs/>
          <w:color w:val="auto"/>
          <w:sz w:val="21"/>
          <w:szCs w:val="21"/>
          <w:highlight w:val="none"/>
          <w:lang w:eastAsia="zh-CN"/>
        </w:rPr>
      </w:pPr>
    </w:p>
    <w:p>
      <w:pPr>
        <w:pStyle w:val="4"/>
        <w:pageBreakBefore w:val="0"/>
        <w:kinsoku/>
        <w:wordWrap/>
        <w:overflowPunct/>
        <w:bidi w:val="0"/>
        <w:spacing w:line="360" w:lineRule="auto"/>
        <w:ind w:firstLine="0"/>
        <w:jc w:val="center"/>
        <w:textAlignment w:val="auto"/>
        <w:outlineLvl w:val="9"/>
        <w:rPr>
          <w:rFonts w:hint="default" w:ascii="Times New Roman" w:hAnsi="Times New Roman" w:cs="Times New Roman"/>
          <w:b w:val="0"/>
          <w:bCs/>
          <w:color w:val="auto"/>
          <w:sz w:val="21"/>
          <w:szCs w:val="21"/>
          <w:highlight w:val="none"/>
          <w:lang w:eastAsia="zh-CN"/>
        </w:rPr>
      </w:pPr>
    </w:p>
    <w:p>
      <w:pPr>
        <w:pStyle w:val="4"/>
        <w:pageBreakBefore w:val="0"/>
        <w:kinsoku/>
        <w:wordWrap/>
        <w:overflowPunct/>
        <w:bidi w:val="0"/>
        <w:spacing w:line="360" w:lineRule="auto"/>
        <w:ind w:firstLine="0"/>
        <w:jc w:val="center"/>
        <w:textAlignment w:val="auto"/>
        <w:outlineLvl w:val="9"/>
        <w:rPr>
          <w:rFonts w:hint="default" w:ascii="Times New Roman" w:hAnsi="Times New Roman" w:cs="Times New Roman"/>
          <w:b w:val="0"/>
          <w:bCs/>
          <w:color w:val="auto"/>
          <w:sz w:val="21"/>
          <w:szCs w:val="21"/>
          <w:highlight w:val="none"/>
          <w:lang w:eastAsia="zh-CN"/>
        </w:rPr>
      </w:pPr>
    </w:p>
    <w:p>
      <w:pPr>
        <w:pStyle w:val="4"/>
        <w:pageBreakBefore w:val="0"/>
        <w:kinsoku/>
        <w:wordWrap/>
        <w:overflowPunct/>
        <w:bidi w:val="0"/>
        <w:spacing w:line="360" w:lineRule="auto"/>
        <w:ind w:firstLine="0"/>
        <w:jc w:val="center"/>
        <w:textAlignment w:val="auto"/>
        <w:outlineLvl w:val="9"/>
        <w:rPr>
          <w:rFonts w:hint="default" w:ascii="Times New Roman" w:hAnsi="Times New Roman" w:cs="Times New Roman"/>
          <w:b w:val="0"/>
          <w:bCs/>
          <w:color w:val="auto"/>
          <w:sz w:val="21"/>
          <w:szCs w:val="21"/>
          <w:highlight w:val="none"/>
          <w:lang w:eastAsia="zh-CN"/>
        </w:rPr>
      </w:pPr>
    </w:p>
    <w:p>
      <w:pPr>
        <w:pStyle w:val="4"/>
        <w:pageBreakBefore w:val="0"/>
        <w:kinsoku/>
        <w:wordWrap/>
        <w:overflowPunct/>
        <w:bidi w:val="0"/>
        <w:spacing w:line="360" w:lineRule="auto"/>
        <w:ind w:firstLine="0"/>
        <w:jc w:val="center"/>
        <w:textAlignment w:val="auto"/>
        <w:outlineLvl w:val="9"/>
        <w:rPr>
          <w:rFonts w:hint="default" w:ascii="Times New Roman" w:hAnsi="Times New Roman" w:cs="Times New Roman"/>
          <w:b w:val="0"/>
          <w:bCs/>
          <w:color w:val="auto"/>
          <w:sz w:val="21"/>
          <w:szCs w:val="21"/>
          <w:highlight w:val="none"/>
          <w:lang w:eastAsia="zh-CN"/>
        </w:rPr>
      </w:pPr>
    </w:p>
    <w:p>
      <w:pPr>
        <w:pStyle w:val="4"/>
        <w:pageBreakBefore w:val="0"/>
        <w:kinsoku/>
        <w:wordWrap/>
        <w:overflowPunct/>
        <w:bidi w:val="0"/>
        <w:spacing w:line="360" w:lineRule="auto"/>
        <w:ind w:firstLine="0"/>
        <w:jc w:val="center"/>
        <w:textAlignment w:val="auto"/>
        <w:outlineLvl w:val="9"/>
        <w:rPr>
          <w:rFonts w:hint="default" w:ascii="Times New Roman" w:hAnsi="Times New Roman" w:cs="Times New Roman"/>
          <w:b w:val="0"/>
          <w:bCs/>
          <w:color w:val="auto"/>
          <w:sz w:val="21"/>
          <w:szCs w:val="21"/>
          <w:highlight w:val="none"/>
          <w:lang w:eastAsia="zh-CN"/>
        </w:rPr>
      </w:pPr>
    </w:p>
    <w:p>
      <w:pPr>
        <w:pStyle w:val="4"/>
        <w:pageBreakBefore w:val="0"/>
        <w:kinsoku/>
        <w:wordWrap/>
        <w:overflowPunct/>
        <w:bidi w:val="0"/>
        <w:spacing w:line="360" w:lineRule="auto"/>
        <w:ind w:firstLine="0"/>
        <w:jc w:val="center"/>
        <w:textAlignment w:val="auto"/>
        <w:outlineLvl w:val="9"/>
        <w:rPr>
          <w:rFonts w:hint="default" w:ascii="Times New Roman" w:hAnsi="Times New Roman" w:cs="Times New Roman"/>
          <w:b w:val="0"/>
          <w:bCs/>
          <w:color w:val="auto"/>
          <w:sz w:val="21"/>
          <w:szCs w:val="21"/>
          <w:highlight w:val="none"/>
          <w:lang w:eastAsia="zh-CN"/>
        </w:rPr>
      </w:pPr>
    </w:p>
    <w:p>
      <w:pPr>
        <w:pStyle w:val="4"/>
        <w:pageBreakBefore w:val="0"/>
        <w:kinsoku/>
        <w:wordWrap/>
        <w:overflowPunct/>
        <w:bidi w:val="0"/>
        <w:spacing w:line="360" w:lineRule="auto"/>
        <w:ind w:firstLine="0"/>
        <w:jc w:val="center"/>
        <w:textAlignment w:val="auto"/>
        <w:outlineLvl w:val="9"/>
        <w:rPr>
          <w:rFonts w:hint="default" w:ascii="Times New Roman" w:hAnsi="Times New Roman" w:cs="Times New Roman"/>
          <w:b w:val="0"/>
          <w:bCs/>
          <w:color w:val="auto"/>
          <w:sz w:val="21"/>
          <w:szCs w:val="21"/>
          <w:highlight w:val="none"/>
          <w:lang w:eastAsia="zh-CN"/>
        </w:rPr>
      </w:pPr>
    </w:p>
    <w:p>
      <w:pPr>
        <w:pStyle w:val="4"/>
        <w:pageBreakBefore w:val="0"/>
        <w:kinsoku/>
        <w:wordWrap/>
        <w:overflowPunct/>
        <w:bidi w:val="0"/>
        <w:spacing w:line="360" w:lineRule="auto"/>
        <w:ind w:firstLine="0"/>
        <w:jc w:val="center"/>
        <w:textAlignment w:val="auto"/>
        <w:outlineLvl w:val="9"/>
        <w:rPr>
          <w:rFonts w:hint="default" w:ascii="Times New Roman" w:hAnsi="Times New Roman" w:cs="Times New Roman"/>
          <w:b w:val="0"/>
          <w:bCs/>
          <w:color w:val="auto"/>
          <w:sz w:val="21"/>
          <w:szCs w:val="21"/>
          <w:highlight w:val="none"/>
          <w:lang w:eastAsia="zh-CN"/>
        </w:rPr>
      </w:pPr>
    </w:p>
    <w:p>
      <w:pPr>
        <w:pStyle w:val="4"/>
        <w:pageBreakBefore w:val="0"/>
        <w:kinsoku/>
        <w:wordWrap/>
        <w:overflowPunct/>
        <w:bidi w:val="0"/>
        <w:spacing w:line="360" w:lineRule="auto"/>
        <w:ind w:firstLine="0"/>
        <w:jc w:val="center"/>
        <w:textAlignment w:val="auto"/>
        <w:outlineLvl w:val="9"/>
        <w:rPr>
          <w:rFonts w:hint="default" w:ascii="Times New Roman" w:hAnsi="Times New Roman" w:cs="Times New Roman"/>
          <w:b w:val="0"/>
          <w:bCs/>
          <w:color w:val="auto"/>
          <w:sz w:val="21"/>
          <w:szCs w:val="21"/>
          <w:highlight w:val="none"/>
          <w:lang w:eastAsia="zh-CN"/>
        </w:rPr>
      </w:pPr>
    </w:p>
    <w:p>
      <w:pPr>
        <w:pStyle w:val="4"/>
        <w:pageBreakBefore w:val="0"/>
        <w:kinsoku/>
        <w:wordWrap/>
        <w:overflowPunct/>
        <w:bidi w:val="0"/>
        <w:spacing w:line="360" w:lineRule="auto"/>
        <w:ind w:firstLine="0"/>
        <w:jc w:val="center"/>
        <w:textAlignment w:val="auto"/>
        <w:outlineLvl w:val="9"/>
        <w:rPr>
          <w:rFonts w:hint="default" w:ascii="Times New Roman" w:hAnsi="Times New Roman" w:cs="Times New Roman"/>
          <w:b w:val="0"/>
          <w:bCs/>
          <w:color w:val="auto"/>
          <w:sz w:val="21"/>
          <w:szCs w:val="21"/>
          <w:highlight w:val="none"/>
          <w:lang w:eastAsia="zh-CN"/>
        </w:rPr>
      </w:pPr>
    </w:p>
    <w:p>
      <w:pPr>
        <w:pStyle w:val="4"/>
        <w:pageBreakBefore w:val="0"/>
        <w:kinsoku/>
        <w:wordWrap/>
        <w:overflowPunct/>
        <w:bidi w:val="0"/>
        <w:spacing w:line="360" w:lineRule="auto"/>
        <w:ind w:firstLine="0"/>
        <w:jc w:val="center"/>
        <w:textAlignment w:val="auto"/>
        <w:outlineLvl w:val="9"/>
        <w:rPr>
          <w:rFonts w:hint="default" w:ascii="Times New Roman" w:hAnsi="Times New Roman" w:cs="Times New Roman"/>
          <w:b w:val="0"/>
          <w:bCs/>
          <w:color w:val="auto"/>
          <w:sz w:val="21"/>
          <w:szCs w:val="21"/>
          <w:highlight w:val="none"/>
          <w:lang w:eastAsia="zh-CN"/>
        </w:rPr>
      </w:pPr>
    </w:p>
    <w:p>
      <w:pPr>
        <w:pStyle w:val="4"/>
        <w:pageBreakBefore w:val="0"/>
        <w:kinsoku/>
        <w:wordWrap/>
        <w:overflowPunct/>
        <w:bidi w:val="0"/>
        <w:spacing w:line="360" w:lineRule="auto"/>
        <w:ind w:firstLine="0"/>
        <w:jc w:val="center"/>
        <w:textAlignment w:val="auto"/>
        <w:outlineLvl w:val="9"/>
        <w:rPr>
          <w:rFonts w:hint="default" w:ascii="Times New Roman" w:hAnsi="Times New Roman" w:cs="Times New Roman"/>
          <w:b w:val="0"/>
          <w:bCs/>
          <w:color w:val="auto"/>
          <w:sz w:val="21"/>
          <w:szCs w:val="21"/>
          <w:highlight w:val="none"/>
          <w:lang w:eastAsia="zh-CN"/>
        </w:rPr>
      </w:pPr>
    </w:p>
    <w:p>
      <w:pPr>
        <w:pStyle w:val="4"/>
        <w:pageBreakBefore w:val="0"/>
        <w:kinsoku/>
        <w:wordWrap/>
        <w:overflowPunct/>
        <w:bidi w:val="0"/>
        <w:spacing w:line="360" w:lineRule="auto"/>
        <w:ind w:firstLine="0"/>
        <w:jc w:val="center"/>
        <w:textAlignment w:val="auto"/>
        <w:outlineLvl w:val="9"/>
        <w:rPr>
          <w:rFonts w:hint="default" w:ascii="Times New Roman" w:hAnsi="Times New Roman" w:cs="Times New Roman"/>
          <w:b w:val="0"/>
          <w:bCs/>
          <w:color w:val="auto"/>
          <w:sz w:val="21"/>
          <w:szCs w:val="21"/>
          <w:highlight w:val="none"/>
          <w:lang w:eastAsia="zh-CN"/>
        </w:rPr>
      </w:pPr>
    </w:p>
    <w:p>
      <w:pPr>
        <w:pStyle w:val="4"/>
        <w:pageBreakBefore w:val="0"/>
        <w:kinsoku/>
        <w:wordWrap/>
        <w:overflowPunct/>
        <w:bidi w:val="0"/>
        <w:spacing w:line="360" w:lineRule="auto"/>
        <w:ind w:firstLine="0"/>
        <w:jc w:val="center"/>
        <w:textAlignment w:val="auto"/>
        <w:outlineLvl w:val="9"/>
        <w:rPr>
          <w:rFonts w:hint="default" w:ascii="Times New Roman" w:hAnsi="Times New Roman" w:cs="Times New Roman"/>
          <w:b w:val="0"/>
          <w:bCs/>
          <w:color w:val="auto"/>
          <w:sz w:val="21"/>
          <w:szCs w:val="21"/>
          <w:highlight w:val="none"/>
          <w:lang w:eastAsia="zh-CN"/>
        </w:rPr>
      </w:pPr>
    </w:p>
    <w:p>
      <w:pPr>
        <w:pStyle w:val="4"/>
        <w:pageBreakBefore w:val="0"/>
        <w:kinsoku/>
        <w:wordWrap/>
        <w:overflowPunct/>
        <w:bidi w:val="0"/>
        <w:spacing w:line="360" w:lineRule="auto"/>
        <w:ind w:firstLine="0"/>
        <w:jc w:val="center"/>
        <w:textAlignment w:val="auto"/>
        <w:outlineLvl w:val="9"/>
        <w:rPr>
          <w:rFonts w:hint="default" w:ascii="Times New Roman" w:hAnsi="Times New Roman" w:cs="Times New Roman"/>
          <w:b w:val="0"/>
          <w:bCs/>
          <w:color w:val="auto"/>
          <w:sz w:val="21"/>
          <w:szCs w:val="21"/>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line="480" w:lineRule="auto"/>
        <w:ind w:left="0" w:leftChars="0" w:firstLine="2940" w:firstLineChars="1400"/>
        <w:jc w:val="both"/>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声  明  人</w:t>
      </w:r>
      <w:r>
        <w:rPr>
          <w:rFonts w:hint="eastAsia" w:cs="Times New Roman"/>
          <w:color w:val="auto"/>
          <w:szCs w:val="21"/>
          <w:highlight w:val="none"/>
          <w:lang w:eastAsia="zh-CN"/>
        </w:rPr>
        <w:t>：</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(供应商名称、盖单位章)</w:t>
      </w:r>
    </w:p>
    <w:p>
      <w:pPr>
        <w:pStyle w:val="4"/>
        <w:keepNext w:val="0"/>
        <w:keepLines w:val="0"/>
        <w:pageBreakBefore w:val="0"/>
        <w:widowControl w:val="0"/>
        <w:kinsoku/>
        <w:wordWrap/>
        <w:overflowPunct/>
        <w:topLinePunct w:val="0"/>
        <w:autoSpaceDE/>
        <w:autoSpaceDN/>
        <w:bidi w:val="0"/>
        <w:adjustRightInd/>
        <w:snapToGrid/>
        <w:spacing w:line="480" w:lineRule="auto"/>
        <w:ind w:left="0" w:leftChars="0" w:firstLine="2940" w:firstLineChars="1400"/>
        <w:jc w:val="both"/>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法定代表人或委托代理人：</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（签字）</w:t>
      </w:r>
    </w:p>
    <w:p>
      <w:pPr>
        <w:pStyle w:val="4"/>
        <w:keepNext w:val="0"/>
        <w:keepLines w:val="0"/>
        <w:pageBreakBefore w:val="0"/>
        <w:widowControl w:val="0"/>
        <w:kinsoku/>
        <w:wordWrap/>
        <w:overflowPunct/>
        <w:topLinePunct w:val="0"/>
        <w:autoSpaceDE/>
        <w:autoSpaceDN/>
        <w:bidi w:val="0"/>
        <w:adjustRightInd/>
        <w:snapToGrid/>
        <w:spacing w:line="360" w:lineRule="auto"/>
        <w:ind w:firstLine="2940" w:firstLineChars="1400"/>
        <w:jc w:val="both"/>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      期：</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 </w:t>
      </w:r>
    </w:p>
    <w:p>
      <w:pPr>
        <w:pStyle w:val="4"/>
        <w:pageBreakBefore w:val="0"/>
        <w:kinsoku/>
        <w:wordWrap/>
        <w:overflowPunct/>
        <w:bidi w:val="0"/>
        <w:spacing w:line="360" w:lineRule="auto"/>
        <w:ind w:firstLine="0"/>
        <w:jc w:val="center"/>
        <w:textAlignment w:val="auto"/>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r>
        <w:rPr>
          <w:rFonts w:hint="default" w:ascii="Times New Roman" w:hAnsi="Times New Roman" w:cs="Times New Roman"/>
          <w:b/>
          <w:color w:val="auto"/>
          <w:sz w:val="32"/>
          <w:szCs w:val="32"/>
          <w:highlight w:val="none"/>
          <w:lang w:val="en-US" w:eastAsia="zh-CN"/>
        </w:rPr>
        <w:t>9</w:t>
      </w:r>
      <w:r>
        <w:rPr>
          <w:rFonts w:hint="default" w:ascii="Times New Roman" w:hAnsi="Times New Roman" w:cs="Times New Roman"/>
          <w:b/>
          <w:color w:val="auto"/>
          <w:sz w:val="32"/>
          <w:szCs w:val="32"/>
          <w:highlight w:val="none"/>
        </w:rPr>
        <w:t>.竞争性磋商响应声明书</w:t>
      </w:r>
    </w:p>
    <w:p>
      <w:pPr>
        <w:pStyle w:val="4"/>
        <w:pageBreakBefore w:val="0"/>
        <w:kinsoku/>
        <w:wordWrap/>
        <w:overflowPunct/>
        <w:bidi w:val="0"/>
        <w:ind w:firstLine="0"/>
        <w:jc w:val="center"/>
        <w:textAlignment w:val="auto"/>
        <w:outlineLvl w:val="9"/>
        <w:rPr>
          <w:rFonts w:hint="default" w:ascii="Times New Roman" w:hAnsi="Times New Roman" w:eastAsia="仿宋_GB2312" w:cs="Times New Roman"/>
          <w:b/>
          <w:color w:val="auto"/>
          <w:sz w:val="36"/>
          <w:szCs w:val="36"/>
          <w:highlight w:val="none"/>
        </w:rPr>
      </w:pPr>
    </w:p>
    <w:p>
      <w:pPr>
        <w:pStyle w:val="4"/>
        <w:pageBreakBefore w:val="0"/>
        <w:kinsoku/>
        <w:wordWrap/>
        <w:overflowPunct/>
        <w:bidi w:val="0"/>
        <w:spacing w:after="120" w:afterLines="50" w:line="360" w:lineRule="auto"/>
        <w:ind w:firstLine="0"/>
        <w:textAlignment w:val="auto"/>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lang w:eastAsia="zh-CN"/>
        </w:rPr>
        <w:t>正大鹏安建设项目管理有限公司</w:t>
      </w:r>
      <w:r>
        <w:rPr>
          <w:rFonts w:hint="default" w:ascii="Times New Roman" w:hAnsi="Times New Roman" w:cs="Times New Roman"/>
          <w:b/>
          <w:color w:val="auto"/>
          <w:szCs w:val="21"/>
          <w:highlight w:val="none"/>
        </w:rPr>
        <w:t>：</w:t>
      </w:r>
    </w:p>
    <w:p>
      <w:pPr>
        <w:pStyle w:val="4"/>
        <w:pageBreakBefore w:val="0"/>
        <w:kinsoku/>
        <w:wordWrap/>
        <w:overflowPunct/>
        <w:bidi w:val="0"/>
        <w:spacing w:line="360" w:lineRule="auto"/>
        <w:ind w:firstLine="573"/>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我方</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（供应商名称），就参加</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u w:val="single"/>
          <w:lang w:eastAsia="zh-CN"/>
        </w:rPr>
        <w:t>西安高新区第五十七幼儿园部室设备采购项目</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采购项目（采购项目编号：</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）磋商事宜，在此郑重声明：</w:t>
      </w:r>
    </w:p>
    <w:p>
      <w:pPr>
        <w:pStyle w:val="4"/>
        <w:pageBreakBefore w:val="0"/>
        <w:kinsoku/>
        <w:wordWrap/>
        <w:overflowPunct/>
        <w:bidi w:val="0"/>
        <w:spacing w:line="360" w:lineRule="auto"/>
        <w:ind w:firstLine="573"/>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1.我方所提交的响应文件全部真实有效；</w:t>
      </w:r>
    </w:p>
    <w:p>
      <w:pPr>
        <w:pStyle w:val="4"/>
        <w:pageBreakBefore w:val="0"/>
        <w:kinsoku/>
        <w:wordWrap/>
        <w:overflowPunct/>
        <w:bidi w:val="0"/>
        <w:spacing w:line="360" w:lineRule="auto"/>
        <w:ind w:firstLine="573"/>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2.我方近3年来无因安全事故、质量事故、投标违规等不良记录被政府有关部门处罚或仍在处罚期限内的情形存在；</w:t>
      </w:r>
    </w:p>
    <w:p>
      <w:pPr>
        <w:pStyle w:val="4"/>
        <w:pageBreakBefore w:val="0"/>
        <w:kinsoku/>
        <w:wordWrap/>
        <w:overflowPunct/>
        <w:bidi w:val="0"/>
        <w:spacing w:line="360" w:lineRule="auto"/>
        <w:ind w:firstLine="573"/>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3.我方近3年来无违规违法经营受到责令停产(或停止经营)、吊销生产许可证（或经营许可证）、较大数额罚款（举行听证会的）等行政处罚的情形存在；</w:t>
      </w:r>
    </w:p>
    <w:p>
      <w:pPr>
        <w:pStyle w:val="4"/>
        <w:pageBreakBefore w:val="0"/>
        <w:kinsoku/>
        <w:wordWrap/>
        <w:overflowPunct/>
        <w:bidi w:val="0"/>
        <w:spacing w:line="360" w:lineRule="auto"/>
        <w:ind w:firstLine="573"/>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4.我方无企业财产被查封、冻结或处于破产状态或严重亏损状态等情形存在；</w:t>
      </w:r>
    </w:p>
    <w:p>
      <w:pPr>
        <w:pStyle w:val="4"/>
        <w:pageBreakBefore w:val="0"/>
        <w:kinsoku/>
        <w:wordWrap/>
        <w:overflowPunct/>
        <w:bidi w:val="0"/>
        <w:spacing w:line="360" w:lineRule="auto"/>
        <w:ind w:firstLine="573"/>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5.我方承诺在磋商过程中，保证不予其他单位恶意串通，不出让磋商资格，不采取不正当手段诋毁、排挤其他供应商，不向采购人、采购代理机构和磋商小组成员行贿；</w:t>
      </w:r>
    </w:p>
    <w:p>
      <w:pPr>
        <w:pStyle w:val="4"/>
        <w:pageBreakBefore w:val="0"/>
        <w:kinsoku/>
        <w:wordWrap/>
        <w:overflowPunct/>
        <w:bidi w:val="0"/>
        <w:spacing w:line="360" w:lineRule="auto"/>
        <w:ind w:firstLine="573"/>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6.我方参加本次政府采购活动近3年内，在经营活动中没有重大违法记录；</w:t>
      </w:r>
    </w:p>
    <w:p>
      <w:pPr>
        <w:pStyle w:val="4"/>
        <w:pageBreakBefore w:val="0"/>
        <w:kinsoku/>
        <w:wordWrap/>
        <w:overflowPunct/>
        <w:bidi w:val="0"/>
        <w:spacing w:line="360" w:lineRule="auto"/>
        <w:ind w:firstLine="573"/>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7.我方在提交响应文件时，未被列入政府采购严重违法</w:t>
      </w:r>
      <w:r>
        <w:rPr>
          <w:rFonts w:hint="default" w:ascii="Times New Roman" w:hAnsi="Times New Roman" w:cs="Times New Roman"/>
          <w:color w:val="auto"/>
          <w:szCs w:val="21"/>
          <w:highlight w:val="none"/>
          <w:shd w:val="clear" w:color="auto" w:fill="FFFFFF"/>
        </w:rPr>
        <w:t>失信行为记录</w:t>
      </w:r>
      <w:r>
        <w:rPr>
          <w:rFonts w:hint="default" w:ascii="Times New Roman" w:hAnsi="Times New Roman" w:cs="Times New Roman"/>
          <w:color w:val="auto"/>
          <w:szCs w:val="21"/>
          <w:highlight w:val="none"/>
        </w:rPr>
        <w:t>名单、失信被执行人、重大税收违法案件当事人名单。</w:t>
      </w:r>
    </w:p>
    <w:p>
      <w:pPr>
        <w:pStyle w:val="4"/>
        <w:pageBreakBefore w:val="0"/>
        <w:kinsoku/>
        <w:wordWrap/>
        <w:overflowPunct/>
        <w:bidi w:val="0"/>
        <w:spacing w:line="360" w:lineRule="auto"/>
        <w:ind w:firstLine="573"/>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以上声明若有违反，一经查实，我方愿意接受政府有关部门的相应处罚，并愿意承担由此带来的法律后果。</w:t>
      </w:r>
    </w:p>
    <w:p>
      <w:pPr>
        <w:pStyle w:val="4"/>
        <w:pageBreakBefore w:val="0"/>
        <w:kinsoku/>
        <w:wordWrap/>
        <w:overflowPunct/>
        <w:bidi w:val="0"/>
        <w:spacing w:line="480" w:lineRule="auto"/>
        <w:ind w:firstLine="570"/>
        <w:textAlignment w:val="auto"/>
        <w:outlineLvl w:val="9"/>
        <w:rPr>
          <w:rFonts w:hint="default" w:ascii="Times New Roman" w:hAnsi="Times New Roman" w:cs="Times New Roman"/>
          <w:color w:val="auto"/>
          <w:szCs w:val="21"/>
          <w:highlight w:val="none"/>
        </w:rPr>
      </w:pPr>
    </w:p>
    <w:p>
      <w:pPr>
        <w:pStyle w:val="4"/>
        <w:pageBreakBefore w:val="0"/>
        <w:kinsoku/>
        <w:wordWrap/>
        <w:overflowPunct/>
        <w:bidi w:val="0"/>
        <w:spacing w:line="480" w:lineRule="auto"/>
        <w:ind w:firstLine="570"/>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特此声明！</w:t>
      </w:r>
    </w:p>
    <w:p>
      <w:pPr>
        <w:pStyle w:val="4"/>
        <w:pageBreakBefore w:val="0"/>
        <w:kinsoku/>
        <w:wordWrap/>
        <w:overflowPunct/>
        <w:bidi w:val="0"/>
        <w:spacing w:line="480" w:lineRule="auto"/>
        <w:ind w:firstLine="570"/>
        <w:textAlignment w:val="auto"/>
        <w:outlineLvl w:val="9"/>
        <w:rPr>
          <w:rFonts w:hint="default" w:ascii="Times New Roman" w:hAnsi="Times New Roman" w:cs="Times New Roman"/>
          <w:color w:val="auto"/>
          <w:szCs w:val="21"/>
          <w:highlight w:val="none"/>
        </w:rPr>
      </w:pPr>
    </w:p>
    <w:p>
      <w:pPr>
        <w:pStyle w:val="4"/>
        <w:pageBreakBefore w:val="0"/>
        <w:kinsoku/>
        <w:wordWrap/>
        <w:overflowPunct/>
        <w:bidi w:val="0"/>
        <w:spacing w:line="480" w:lineRule="auto"/>
        <w:ind w:firstLine="570"/>
        <w:textAlignment w:val="auto"/>
        <w:outlineLvl w:val="9"/>
        <w:rPr>
          <w:rFonts w:hint="default" w:ascii="Times New Roman" w:hAnsi="Times New Roman" w:cs="Times New Roman"/>
          <w:color w:val="auto"/>
          <w:szCs w:val="21"/>
          <w:highlight w:val="none"/>
        </w:rPr>
      </w:pPr>
    </w:p>
    <w:p>
      <w:pPr>
        <w:pStyle w:val="4"/>
        <w:pageBreakBefore w:val="0"/>
        <w:kinsoku/>
        <w:wordWrap/>
        <w:overflowPunct/>
        <w:bidi w:val="0"/>
        <w:spacing w:line="480" w:lineRule="auto"/>
        <w:ind w:firstLine="570"/>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声  明  人</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(供应商名称、盖单位章)</w:t>
      </w:r>
    </w:p>
    <w:p>
      <w:pPr>
        <w:pStyle w:val="4"/>
        <w:pageBreakBefore w:val="0"/>
        <w:kinsoku/>
        <w:wordWrap/>
        <w:overflowPunct/>
        <w:bidi w:val="0"/>
        <w:spacing w:line="480" w:lineRule="auto"/>
        <w:ind w:firstLine="573"/>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法定代表人或委托代理人：</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（签字）</w:t>
      </w:r>
    </w:p>
    <w:p>
      <w:pPr>
        <w:pStyle w:val="4"/>
        <w:pageBreakBefore w:val="0"/>
        <w:kinsoku/>
        <w:wordWrap/>
        <w:overflowPunct/>
        <w:bidi w:val="0"/>
        <w:spacing w:line="480" w:lineRule="auto"/>
        <w:ind w:firstLine="573"/>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      期：</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     </w:t>
      </w:r>
    </w:p>
    <w:p>
      <w:pPr>
        <w:pageBreakBefore w:val="0"/>
        <w:tabs>
          <w:tab w:val="left" w:pos="3600"/>
        </w:tabs>
        <w:kinsoku/>
        <w:wordWrap/>
        <w:overflowPunct/>
        <w:bidi w:val="0"/>
        <w:adjustRightInd w:val="0"/>
        <w:snapToGrid w:val="0"/>
        <w:jc w:val="center"/>
        <w:textAlignment w:val="auto"/>
        <w:outlineLvl w:val="9"/>
        <w:rPr>
          <w:rFonts w:hint="default" w:ascii="Times New Roman" w:hAnsi="Times New Roman" w:cs="Times New Roman"/>
          <w:b/>
          <w:color w:val="auto"/>
          <w:sz w:val="36"/>
          <w:szCs w:val="36"/>
          <w:highlight w:val="none"/>
        </w:rPr>
      </w:pPr>
    </w:p>
    <w:p>
      <w:pPr>
        <w:pageBreakBefore w:val="0"/>
        <w:tabs>
          <w:tab w:val="left" w:pos="3600"/>
        </w:tabs>
        <w:kinsoku/>
        <w:wordWrap/>
        <w:overflowPunct/>
        <w:bidi w:val="0"/>
        <w:adjustRightInd w:val="0"/>
        <w:snapToGrid w:val="0"/>
        <w:jc w:val="center"/>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28"/>
          <w:szCs w:val="28"/>
          <w:highlight w:val="none"/>
        </w:rPr>
      </w:pPr>
    </w:p>
    <w:p>
      <w:pPr>
        <w:pageBreakBefore w:val="0"/>
        <w:kinsoku/>
        <w:wordWrap/>
        <w:overflowPunct/>
        <w:bidi w:val="0"/>
        <w:adjustRightInd w:val="0"/>
        <w:snapToGrid w:val="0"/>
        <w:spacing w:line="360" w:lineRule="auto"/>
        <w:jc w:val="center"/>
        <w:textAlignment w:val="auto"/>
        <w:outlineLvl w:val="9"/>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br w:type="page"/>
      </w:r>
    </w:p>
    <w:p>
      <w:pPr>
        <w:pageBreakBefore w:val="0"/>
        <w:kinsoku/>
        <w:wordWrap/>
        <w:overflowPunct/>
        <w:bidi w:val="0"/>
        <w:adjustRightInd w:val="0"/>
        <w:snapToGrid w:val="0"/>
        <w:spacing w:line="360" w:lineRule="auto"/>
        <w:jc w:val="center"/>
        <w:textAlignment w:val="auto"/>
        <w:outlineLvl w:val="9"/>
        <w:rPr>
          <w:rFonts w:hint="default" w:ascii="Times New Roman" w:hAnsi="Times New Roman" w:eastAsia="宋体" w:cs="Times New Roman"/>
          <w:b/>
          <w:color w:val="auto"/>
          <w:kern w:val="2"/>
          <w:sz w:val="32"/>
          <w:szCs w:val="32"/>
          <w:highlight w:val="none"/>
          <w:lang w:val="en-US" w:eastAsia="zh-CN" w:bidi="ar-SA"/>
        </w:rPr>
      </w:pPr>
      <w:r>
        <w:rPr>
          <w:rFonts w:hint="default" w:ascii="Times New Roman" w:hAnsi="Times New Roman" w:cs="Times New Roman"/>
          <w:b/>
          <w:color w:val="auto"/>
          <w:kern w:val="2"/>
          <w:sz w:val="32"/>
          <w:szCs w:val="32"/>
          <w:highlight w:val="none"/>
          <w:lang w:val="en-US" w:eastAsia="zh-CN" w:bidi="ar-SA"/>
        </w:rPr>
        <w:t>10.</w:t>
      </w:r>
      <w:r>
        <w:rPr>
          <w:rFonts w:hint="default" w:ascii="Times New Roman" w:hAnsi="Times New Roman" w:eastAsia="宋体" w:cs="Times New Roman"/>
          <w:b/>
          <w:color w:val="auto"/>
          <w:kern w:val="2"/>
          <w:sz w:val="32"/>
          <w:szCs w:val="32"/>
          <w:highlight w:val="none"/>
          <w:lang w:val="en-US" w:eastAsia="zh-CN" w:bidi="ar-SA"/>
        </w:rPr>
        <w:t>需要落实政府采购政策证明材料</w:t>
      </w:r>
    </w:p>
    <w:p>
      <w:pPr>
        <w:pageBreakBefore w:val="0"/>
        <w:tabs>
          <w:tab w:val="left" w:pos="3600"/>
        </w:tabs>
        <w:kinsoku/>
        <w:wordWrap/>
        <w:overflowPunct/>
        <w:bidi w:val="0"/>
        <w:adjustRightInd w:val="0"/>
        <w:snapToGrid w:val="0"/>
        <w:jc w:val="center"/>
        <w:textAlignment w:val="auto"/>
        <w:outlineLvl w:val="9"/>
        <w:rPr>
          <w:rFonts w:hint="default" w:ascii="Times New Roman" w:hAnsi="Times New Roman" w:cs="Times New Roman"/>
          <w:b/>
          <w:color w:val="auto"/>
          <w:kern w:val="0"/>
          <w:sz w:val="32"/>
          <w:szCs w:val="32"/>
          <w:highlight w:val="none"/>
          <w:lang w:val="zh-CN"/>
        </w:rPr>
      </w:pPr>
      <w:r>
        <w:rPr>
          <w:rFonts w:hint="default" w:ascii="Times New Roman" w:hAnsi="Times New Roman" w:cs="Times New Roman"/>
          <w:b/>
          <w:color w:val="auto"/>
          <w:kern w:val="0"/>
          <w:sz w:val="32"/>
          <w:szCs w:val="32"/>
          <w:highlight w:val="none"/>
          <w:lang w:val="zh-CN"/>
        </w:rPr>
        <w:br w:type="page"/>
      </w:r>
      <w:bookmarkStart w:id="103" w:name="_Toc29616"/>
    </w:p>
    <w:p>
      <w:pPr>
        <w:pageBreakBefore w:val="0"/>
        <w:tabs>
          <w:tab w:val="left" w:pos="3600"/>
        </w:tabs>
        <w:kinsoku/>
        <w:wordWrap/>
        <w:overflowPunct/>
        <w:bidi w:val="0"/>
        <w:adjustRightInd w:val="0"/>
        <w:snapToGrid w:val="0"/>
        <w:jc w:val="left"/>
        <w:textAlignment w:val="auto"/>
        <w:outlineLvl w:val="9"/>
        <w:rPr>
          <w:rFonts w:hint="default" w:ascii="Times New Roman" w:hAnsi="Times New Roman" w:eastAsia="宋体" w:cs="Times New Roman"/>
          <w:b/>
          <w:color w:val="auto"/>
          <w:kern w:val="0"/>
          <w:sz w:val="28"/>
          <w:szCs w:val="28"/>
          <w:highlight w:val="none"/>
          <w:lang w:val="en-US" w:eastAsia="zh-CN"/>
        </w:rPr>
      </w:pPr>
      <w:r>
        <w:rPr>
          <w:rFonts w:hint="default" w:ascii="Times New Roman" w:hAnsi="Times New Roman" w:cs="Times New Roman"/>
          <w:b/>
          <w:color w:val="auto"/>
          <w:kern w:val="0"/>
          <w:sz w:val="28"/>
          <w:szCs w:val="28"/>
          <w:highlight w:val="none"/>
          <w:lang w:val="zh-CN"/>
        </w:rPr>
        <w:t>附件</w:t>
      </w:r>
      <w:r>
        <w:rPr>
          <w:rFonts w:hint="default" w:ascii="Times New Roman" w:hAnsi="Times New Roman" w:cs="Times New Roman"/>
          <w:b/>
          <w:color w:val="auto"/>
          <w:kern w:val="0"/>
          <w:sz w:val="28"/>
          <w:szCs w:val="28"/>
          <w:highlight w:val="none"/>
          <w:lang w:val="en-US" w:eastAsia="zh-CN"/>
        </w:rPr>
        <w:t>1</w:t>
      </w:r>
    </w:p>
    <w:p>
      <w:pPr>
        <w:pageBreakBefore w:val="0"/>
        <w:tabs>
          <w:tab w:val="left" w:pos="3600"/>
        </w:tabs>
        <w:kinsoku/>
        <w:wordWrap/>
        <w:overflowPunct/>
        <w:bidi w:val="0"/>
        <w:adjustRightInd w:val="0"/>
        <w:snapToGrid w:val="0"/>
        <w:jc w:val="center"/>
        <w:textAlignment w:val="auto"/>
        <w:outlineLvl w:val="9"/>
        <w:rPr>
          <w:rFonts w:hint="default" w:ascii="Times New Roman" w:hAnsi="Times New Roman" w:eastAsia="黑体" w:cs="Times New Roman"/>
          <w:color w:val="auto"/>
          <w:sz w:val="36"/>
          <w:szCs w:val="36"/>
          <w:highlight w:val="none"/>
        </w:rPr>
      </w:pPr>
      <w:r>
        <w:rPr>
          <w:rFonts w:hint="default" w:ascii="Times New Roman" w:hAnsi="Times New Roman" w:eastAsia="宋体" w:cs="Times New Roman"/>
          <w:b/>
          <w:color w:val="auto"/>
          <w:kern w:val="2"/>
          <w:sz w:val="32"/>
          <w:szCs w:val="32"/>
          <w:highlight w:val="none"/>
          <w:lang w:val="en-US" w:eastAsia="zh-CN" w:bidi="ar-SA"/>
        </w:rPr>
        <w:t>中小企业声明函</w:t>
      </w:r>
      <w:bookmarkEnd w:id="103"/>
    </w:p>
    <w:p>
      <w:pPr>
        <w:pageBreakBefore w:val="0"/>
        <w:kinsoku/>
        <w:wordWrap/>
        <w:overflowPunct/>
        <w:bidi w:val="0"/>
        <w:spacing w:before="480" w:beforeLines="200" w:line="360" w:lineRule="auto"/>
        <w:ind w:firstLine="420" w:firstLineChars="200"/>
        <w:textAlignment w:val="auto"/>
        <w:outlineLvl w:val="9"/>
        <w:rPr>
          <w:rFonts w:hint="eastAsia" w:ascii="Times New Roman" w:hAnsi="Times New Roman" w:eastAsia="宋体"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rPr>
        <w:t>本公司(联合体)郑重声明，根据《政府采购促进中小企业发展管理办法》(财库〔2020〕46 号)的规定，本公司(联合体)参加(</w:t>
      </w:r>
      <w:r>
        <w:rPr>
          <w:rFonts w:hint="default" w:ascii="Times New Roman" w:hAnsi="Times New Roman" w:cs="Times New Roman"/>
          <w:color w:val="auto"/>
          <w:spacing w:val="0"/>
          <w:sz w:val="21"/>
          <w:szCs w:val="21"/>
          <w:highlight w:val="none"/>
          <w:u w:val="single"/>
        </w:rPr>
        <w:t>采 购 人 名 称</w:t>
      </w:r>
      <w:r>
        <w:rPr>
          <w:rFonts w:hint="default" w:ascii="Times New Roman" w:hAnsi="Times New Roman" w:cs="Times New Roman"/>
          <w:color w:val="auto"/>
          <w:spacing w:val="0"/>
          <w:sz w:val="21"/>
          <w:szCs w:val="21"/>
          <w:highlight w:val="none"/>
        </w:rPr>
        <w:t>)的(</w:t>
      </w:r>
      <w:r>
        <w:rPr>
          <w:rFonts w:hint="default" w:ascii="Times New Roman" w:hAnsi="Times New Roman" w:cs="Times New Roman"/>
          <w:color w:val="auto"/>
          <w:spacing w:val="0"/>
          <w:sz w:val="21"/>
          <w:szCs w:val="21"/>
          <w:highlight w:val="none"/>
          <w:u w:val="single"/>
        </w:rPr>
        <w:t>项 目 名 称</w:t>
      </w:r>
      <w:r>
        <w:rPr>
          <w:rFonts w:hint="default" w:ascii="Times New Roman" w:hAnsi="Times New Roman" w:cs="Times New Roman"/>
          <w:color w:val="auto"/>
          <w:spacing w:val="0"/>
          <w:sz w:val="21"/>
          <w:szCs w:val="21"/>
          <w:highlight w:val="none"/>
        </w:rPr>
        <w:t>)采购活动，服务全部由符合政策要求的中小企业承接。相关企业(含联合体中的中小企业)的具体情况如下</w:t>
      </w:r>
      <w:r>
        <w:rPr>
          <w:rFonts w:hint="eastAsia" w:ascii="Times New Roman" w:hAnsi="Times New Roman" w:cs="Times New Roman"/>
          <w:color w:val="auto"/>
          <w:spacing w:val="0"/>
          <w:sz w:val="21"/>
          <w:szCs w:val="21"/>
          <w:highlight w:val="none"/>
          <w:lang w:eastAsia="zh-CN"/>
        </w:rPr>
        <w:t>：</w:t>
      </w:r>
    </w:p>
    <w:p>
      <w:pPr>
        <w:pageBreakBefore w:val="0"/>
        <w:kinsoku/>
        <w:wordWrap/>
        <w:overflowPunct/>
        <w:bidi w:val="0"/>
        <w:spacing w:line="360" w:lineRule="auto"/>
        <w:ind w:firstLine="420" w:firstLineChars="200"/>
        <w:textAlignment w:val="auto"/>
        <w:outlineLvl w:val="9"/>
        <w:rPr>
          <w:rFonts w:hint="default" w:ascii="Times New Roman" w:hAnsi="Times New Roman" w:cs="Times New Roman"/>
          <w:color w:val="auto"/>
          <w:spacing w:val="0"/>
          <w:sz w:val="21"/>
          <w:szCs w:val="21"/>
          <w:highlight w:val="none"/>
        </w:rPr>
      </w:pPr>
      <w:r>
        <w:rPr>
          <w:rFonts w:hint="default" w:ascii="Times New Roman" w:hAnsi="Times New Roman" w:cs="Times New Roman"/>
          <w:color w:val="auto"/>
          <w:spacing w:val="0"/>
          <w:sz w:val="21"/>
          <w:szCs w:val="21"/>
          <w:highlight w:val="none"/>
        </w:rPr>
        <w:t>1.(</w:t>
      </w:r>
      <w:r>
        <w:rPr>
          <w:rFonts w:hint="default" w:ascii="Times New Roman" w:hAnsi="Times New Roman" w:cs="Times New Roman"/>
          <w:color w:val="auto"/>
          <w:spacing w:val="0"/>
          <w:sz w:val="21"/>
          <w:szCs w:val="21"/>
          <w:highlight w:val="none"/>
          <w:u w:val="single"/>
        </w:rPr>
        <w:t>标 的 名 称</w:t>
      </w:r>
      <w:r>
        <w:rPr>
          <w:rFonts w:hint="default" w:ascii="Times New Roman" w:hAnsi="Times New Roman" w:cs="Times New Roman"/>
          <w:color w:val="auto"/>
          <w:spacing w:val="0"/>
          <w:sz w:val="21"/>
          <w:szCs w:val="21"/>
          <w:highlight w:val="none"/>
        </w:rPr>
        <w:t>) ，属于(</w:t>
      </w:r>
      <w:r>
        <w:rPr>
          <w:rFonts w:hint="default" w:ascii="Times New Roman" w:hAnsi="Times New Roman" w:cs="Times New Roman"/>
          <w:color w:val="auto"/>
          <w:spacing w:val="0"/>
          <w:sz w:val="21"/>
          <w:szCs w:val="21"/>
          <w:highlight w:val="none"/>
          <w:u w:val="single"/>
        </w:rPr>
        <w:t>采购文件中明确的所属行业</w:t>
      </w:r>
      <w:r>
        <w:rPr>
          <w:rFonts w:hint="default" w:ascii="Times New Roman" w:hAnsi="Times New Roman" w:cs="Times New Roman"/>
          <w:color w:val="auto"/>
          <w:spacing w:val="0"/>
          <w:sz w:val="21"/>
          <w:szCs w:val="21"/>
          <w:highlight w:val="none"/>
        </w:rPr>
        <w:t>);承接企业为(</w:t>
      </w:r>
      <w:r>
        <w:rPr>
          <w:rFonts w:hint="default" w:ascii="Times New Roman" w:hAnsi="Times New Roman" w:cs="Times New Roman"/>
          <w:color w:val="auto"/>
          <w:spacing w:val="0"/>
          <w:sz w:val="21"/>
          <w:szCs w:val="21"/>
          <w:highlight w:val="none"/>
          <w:u w:val="single"/>
        </w:rPr>
        <w:t>企 业 名 称</w:t>
      </w:r>
      <w:r>
        <w:rPr>
          <w:rFonts w:hint="default" w:ascii="Times New Roman" w:hAnsi="Times New Roman" w:cs="Times New Roman"/>
          <w:color w:val="auto"/>
          <w:spacing w:val="0"/>
          <w:sz w:val="21"/>
          <w:szCs w:val="21"/>
          <w:highlight w:val="none"/>
        </w:rPr>
        <w:t>)，从业人员</w:t>
      </w:r>
      <w:r>
        <w:rPr>
          <w:rFonts w:hint="default" w:ascii="Times New Roman" w:hAnsi="Times New Roman" w:cs="Times New Roman"/>
          <w:color w:val="auto"/>
          <w:spacing w:val="0"/>
          <w:sz w:val="21"/>
          <w:szCs w:val="21"/>
          <w:highlight w:val="none"/>
          <w:u w:val="single"/>
        </w:rPr>
        <w:t xml:space="preserve">     </w:t>
      </w:r>
      <w:r>
        <w:rPr>
          <w:rFonts w:hint="default" w:ascii="Times New Roman" w:hAnsi="Times New Roman" w:cs="Times New Roman"/>
          <w:color w:val="auto"/>
          <w:spacing w:val="0"/>
          <w:sz w:val="21"/>
          <w:szCs w:val="21"/>
          <w:highlight w:val="none"/>
        </w:rPr>
        <w:t>人，营业收入为</w:t>
      </w:r>
      <w:r>
        <w:rPr>
          <w:rFonts w:hint="default" w:ascii="Times New Roman" w:hAnsi="Times New Roman" w:cs="Times New Roman"/>
          <w:color w:val="auto"/>
          <w:spacing w:val="0"/>
          <w:sz w:val="21"/>
          <w:szCs w:val="21"/>
          <w:highlight w:val="none"/>
          <w:u w:val="single"/>
        </w:rPr>
        <w:t xml:space="preserve">          </w:t>
      </w:r>
      <w:r>
        <w:rPr>
          <w:rFonts w:hint="default" w:ascii="Times New Roman" w:hAnsi="Times New Roman" w:cs="Times New Roman"/>
          <w:color w:val="auto"/>
          <w:spacing w:val="0"/>
          <w:sz w:val="21"/>
          <w:szCs w:val="21"/>
          <w:highlight w:val="none"/>
        </w:rPr>
        <w:t>万元，资产总额为</w:t>
      </w:r>
      <w:r>
        <w:rPr>
          <w:rFonts w:hint="default" w:ascii="Times New Roman" w:hAnsi="Times New Roman" w:cs="Times New Roman"/>
          <w:color w:val="auto"/>
          <w:spacing w:val="0"/>
          <w:sz w:val="21"/>
          <w:szCs w:val="21"/>
          <w:highlight w:val="none"/>
          <w:u w:val="single"/>
        </w:rPr>
        <w:t xml:space="preserve">         </w:t>
      </w:r>
      <w:r>
        <w:rPr>
          <w:rFonts w:hint="default" w:ascii="Times New Roman" w:hAnsi="Times New Roman" w:cs="Times New Roman"/>
          <w:color w:val="auto"/>
          <w:spacing w:val="0"/>
          <w:sz w:val="21"/>
          <w:szCs w:val="21"/>
          <w:highlight w:val="none"/>
        </w:rPr>
        <w:t>万元，属于(中型企业、小型企业、微型企业);</w:t>
      </w:r>
    </w:p>
    <w:p>
      <w:pPr>
        <w:pageBreakBefore w:val="0"/>
        <w:kinsoku/>
        <w:wordWrap/>
        <w:overflowPunct/>
        <w:bidi w:val="0"/>
        <w:spacing w:line="360" w:lineRule="auto"/>
        <w:ind w:firstLine="420" w:firstLineChars="200"/>
        <w:textAlignment w:val="auto"/>
        <w:outlineLvl w:val="9"/>
        <w:rPr>
          <w:rFonts w:hint="default" w:ascii="Times New Roman" w:hAnsi="Times New Roman" w:cs="Times New Roman"/>
          <w:color w:val="auto"/>
          <w:spacing w:val="0"/>
          <w:sz w:val="21"/>
          <w:szCs w:val="21"/>
          <w:highlight w:val="none"/>
        </w:rPr>
      </w:pPr>
      <w:r>
        <w:rPr>
          <w:rFonts w:hint="default" w:ascii="Times New Roman" w:hAnsi="Times New Roman" w:cs="Times New Roman"/>
          <w:color w:val="auto"/>
          <w:spacing w:val="0"/>
          <w:sz w:val="21"/>
          <w:szCs w:val="21"/>
          <w:highlight w:val="none"/>
        </w:rPr>
        <w:t>2.(</w:t>
      </w:r>
      <w:r>
        <w:rPr>
          <w:rFonts w:hint="default" w:ascii="Times New Roman" w:hAnsi="Times New Roman" w:cs="Times New Roman"/>
          <w:color w:val="auto"/>
          <w:spacing w:val="0"/>
          <w:sz w:val="21"/>
          <w:szCs w:val="21"/>
          <w:highlight w:val="none"/>
          <w:u w:val="single"/>
        </w:rPr>
        <w:t>标 的 名 称</w:t>
      </w:r>
      <w:r>
        <w:rPr>
          <w:rFonts w:hint="default" w:ascii="Times New Roman" w:hAnsi="Times New Roman" w:cs="Times New Roman"/>
          <w:color w:val="auto"/>
          <w:spacing w:val="0"/>
          <w:sz w:val="21"/>
          <w:szCs w:val="21"/>
          <w:highlight w:val="none"/>
        </w:rPr>
        <w:t>) ，属于(</w:t>
      </w:r>
      <w:r>
        <w:rPr>
          <w:rFonts w:hint="default" w:ascii="Times New Roman" w:hAnsi="Times New Roman" w:cs="Times New Roman"/>
          <w:color w:val="auto"/>
          <w:spacing w:val="0"/>
          <w:sz w:val="21"/>
          <w:szCs w:val="21"/>
          <w:highlight w:val="none"/>
          <w:u w:val="single"/>
        </w:rPr>
        <w:t>采购文件中明确的所属行业</w:t>
      </w:r>
      <w:r>
        <w:rPr>
          <w:rFonts w:hint="default" w:ascii="Times New Roman" w:hAnsi="Times New Roman" w:cs="Times New Roman"/>
          <w:color w:val="auto"/>
          <w:spacing w:val="0"/>
          <w:sz w:val="21"/>
          <w:szCs w:val="21"/>
          <w:highlight w:val="none"/>
        </w:rPr>
        <w:t>);承接企业为(</w:t>
      </w:r>
      <w:r>
        <w:rPr>
          <w:rFonts w:hint="default" w:ascii="Times New Roman" w:hAnsi="Times New Roman" w:cs="Times New Roman"/>
          <w:color w:val="auto"/>
          <w:spacing w:val="0"/>
          <w:sz w:val="21"/>
          <w:szCs w:val="21"/>
          <w:highlight w:val="none"/>
          <w:u w:val="single"/>
        </w:rPr>
        <w:t>企 业 名 称</w:t>
      </w:r>
      <w:r>
        <w:rPr>
          <w:rFonts w:hint="default" w:ascii="Times New Roman" w:hAnsi="Times New Roman" w:cs="Times New Roman"/>
          <w:color w:val="auto"/>
          <w:spacing w:val="0"/>
          <w:sz w:val="21"/>
          <w:szCs w:val="21"/>
          <w:highlight w:val="none"/>
        </w:rPr>
        <w:t>)，从业人员</w:t>
      </w:r>
      <w:r>
        <w:rPr>
          <w:rFonts w:hint="default" w:ascii="Times New Roman" w:hAnsi="Times New Roman" w:cs="Times New Roman"/>
          <w:color w:val="auto"/>
          <w:spacing w:val="0"/>
          <w:sz w:val="21"/>
          <w:szCs w:val="21"/>
          <w:highlight w:val="none"/>
          <w:u w:val="single"/>
        </w:rPr>
        <w:t xml:space="preserve">     </w:t>
      </w:r>
      <w:r>
        <w:rPr>
          <w:rFonts w:hint="default" w:ascii="Times New Roman" w:hAnsi="Times New Roman" w:cs="Times New Roman"/>
          <w:color w:val="auto"/>
          <w:spacing w:val="0"/>
          <w:sz w:val="21"/>
          <w:szCs w:val="21"/>
          <w:highlight w:val="none"/>
        </w:rPr>
        <w:t>人，营业收入为</w:t>
      </w:r>
      <w:r>
        <w:rPr>
          <w:rFonts w:hint="default" w:ascii="Times New Roman" w:hAnsi="Times New Roman" w:cs="Times New Roman"/>
          <w:color w:val="auto"/>
          <w:spacing w:val="0"/>
          <w:sz w:val="21"/>
          <w:szCs w:val="21"/>
          <w:highlight w:val="none"/>
          <w:u w:val="single"/>
        </w:rPr>
        <w:t xml:space="preserve">          </w:t>
      </w:r>
      <w:r>
        <w:rPr>
          <w:rFonts w:hint="default" w:ascii="Times New Roman" w:hAnsi="Times New Roman" w:cs="Times New Roman"/>
          <w:color w:val="auto"/>
          <w:spacing w:val="0"/>
          <w:sz w:val="21"/>
          <w:szCs w:val="21"/>
          <w:highlight w:val="none"/>
        </w:rPr>
        <w:t>万元，资产总额为</w:t>
      </w:r>
      <w:r>
        <w:rPr>
          <w:rFonts w:hint="default" w:ascii="Times New Roman" w:hAnsi="Times New Roman" w:cs="Times New Roman"/>
          <w:color w:val="auto"/>
          <w:spacing w:val="0"/>
          <w:sz w:val="21"/>
          <w:szCs w:val="21"/>
          <w:highlight w:val="none"/>
          <w:u w:val="single"/>
        </w:rPr>
        <w:t xml:space="preserve">         </w:t>
      </w:r>
      <w:r>
        <w:rPr>
          <w:rFonts w:hint="default" w:ascii="Times New Roman" w:hAnsi="Times New Roman" w:cs="Times New Roman"/>
          <w:color w:val="auto"/>
          <w:spacing w:val="0"/>
          <w:sz w:val="21"/>
          <w:szCs w:val="21"/>
          <w:highlight w:val="none"/>
        </w:rPr>
        <w:t>万元，属于(中型企业、小型企业、微型企业);</w:t>
      </w:r>
    </w:p>
    <w:p>
      <w:pPr>
        <w:pageBreakBefore w:val="0"/>
        <w:kinsoku/>
        <w:wordWrap/>
        <w:overflowPunct/>
        <w:bidi w:val="0"/>
        <w:spacing w:line="360" w:lineRule="auto"/>
        <w:ind w:firstLine="420" w:firstLineChars="200"/>
        <w:textAlignment w:val="auto"/>
        <w:outlineLvl w:val="9"/>
        <w:rPr>
          <w:rFonts w:hint="default" w:ascii="Times New Roman" w:hAnsi="Times New Roman" w:cs="Times New Roman"/>
          <w:color w:val="auto"/>
          <w:spacing w:val="0"/>
          <w:sz w:val="21"/>
          <w:szCs w:val="21"/>
          <w:highlight w:val="none"/>
        </w:rPr>
      </w:pPr>
      <w:r>
        <w:rPr>
          <w:rFonts w:hint="default" w:ascii="Times New Roman" w:hAnsi="Times New Roman" w:cs="Times New Roman"/>
          <w:color w:val="auto"/>
          <w:spacing w:val="0"/>
          <w:sz w:val="21"/>
          <w:szCs w:val="21"/>
          <w:highlight w:val="none"/>
        </w:rPr>
        <w:t>......</w:t>
      </w:r>
    </w:p>
    <w:p>
      <w:pPr>
        <w:pageBreakBefore w:val="0"/>
        <w:kinsoku/>
        <w:wordWrap/>
        <w:overflowPunct/>
        <w:bidi w:val="0"/>
        <w:spacing w:line="360" w:lineRule="auto"/>
        <w:ind w:firstLine="420" w:firstLineChars="200"/>
        <w:textAlignment w:val="auto"/>
        <w:outlineLvl w:val="9"/>
        <w:rPr>
          <w:rFonts w:hint="default" w:ascii="Times New Roman" w:hAnsi="Times New Roman" w:cs="Times New Roman"/>
          <w:color w:val="auto"/>
          <w:spacing w:val="0"/>
          <w:sz w:val="21"/>
          <w:szCs w:val="21"/>
          <w:highlight w:val="none"/>
        </w:rPr>
      </w:pPr>
      <w:r>
        <w:rPr>
          <w:rFonts w:hint="default" w:ascii="Times New Roman" w:hAnsi="Times New Roman" w:cs="Times New Roman"/>
          <w:color w:val="auto"/>
          <w:spacing w:val="0"/>
          <w:sz w:val="21"/>
          <w:szCs w:val="21"/>
          <w:highlight w:val="none"/>
        </w:rPr>
        <w:t>以上企业，不属于大企业的分支机构，不存在控股股东为大企业的情形，也不存在与大企业的负责人为同一人的情形。</w:t>
      </w:r>
    </w:p>
    <w:p>
      <w:pPr>
        <w:pageBreakBefore w:val="0"/>
        <w:kinsoku/>
        <w:wordWrap/>
        <w:overflowPunct/>
        <w:bidi w:val="0"/>
        <w:spacing w:before="480" w:beforeLines="200" w:line="360" w:lineRule="auto"/>
        <w:ind w:firstLine="420" w:firstLineChars="200"/>
        <w:textAlignment w:val="auto"/>
        <w:outlineLvl w:val="9"/>
        <w:rPr>
          <w:rFonts w:hint="default" w:ascii="Times New Roman" w:hAnsi="Times New Roman" w:cs="Times New Roman"/>
          <w:color w:val="auto"/>
          <w:spacing w:val="0"/>
          <w:sz w:val="21"/>
          <w:szCs w:val="21"/>
          <w:highlight w:val="none"/>
        </w:rPr>
      </w:pPr>
      <w:r>
        <w:rPr>
          <w:rFonts w:hint="default" w:ascii="Times New Roman" w:hAnsi="Times New Roman" w:cs="Times New Roman"/>
          <w:color w:val="auto"/>
          <w:spacing w:val="0"/>
          <w:sz w:val="21"/>
          <w:szCs w:val="21"/>
          <w:highlight w:val="none"/>
        </w:rPr>
        <w:t>本企业对上述声明内容的真实性负责。如有虚假，将依法承担相应责任。</w:t>
      </w:r>
    </w:p>
    <w:p>
      <w:pPr>
        <w:pageBreakBefore w:val="0"/>
        <w:kinsoku/>
        <w:wordWrap/>
        <w:overflowPunct/>
        <w:bidi w:val="0"/>
        <w:spacing w:before="480" w:beforeLines="200" w:line="360" w:lineRule="auto"/>
        <w:textAlignment w:val="auto"/>
        <w:outlineLvl w:val="9"/>
        <w:rPr>
          <w:rFonts w:hint="default" w:ascii="Times New Roman" w:hAnsi="Times New Roman" w:cs="Times New Roman"/>
          <w:color w:val="auto"/>
          <w:spacing w:val="0"/>
          <w:sz w:val="21"/>
          <w:szCs w:val="21"/>
          <w:highlight w:val="none"/>
        </w:rPr>
      </w:pPr>
      <w:r>
        <w:rPr>
          <w:rFonts w:hint="default" w:ascii="Times New Roman" w:hAnsi="Times New Roman" w:cs="Times New Roman"/>
          <w:color w:val="auto"/>
          <w:spacing w:val="0"/>
          <w:sz w:val="21"/>
          <w:szCs w:val="21"/>
          <w:highlight w:val="none"/>
        </w:rPr>
        <w:t>企业名称：</w:t>
      </w:r>
      <w:r>
        <w:rPr>
          <w:rFonts w:hint="default" w:ascii="Times New Roman" w:hAnsi="Times New Roman" w:cs="Times New Roman"/>
          <w:color w:val="auto"/>
          <w:spacing w:val="0"/>
          <w:sz w:val="21"/>
          <w:szCs w:val="21"/>
          <w:highlight w:val="none"/>
          <w:u w:val="single"/>
        </w:rPr>
        <w:t xml:space="preserve">                      </w:t>
      </w:r>
      <w:r>
        <w:rPr>
          <w:rFonts w:hint="default" w:ascii="Times New Roman" w:hAnsi="Times New Roman" w:cs="Times New Roman"/>
          <w:color w:val="auto"/>
          <w:spacing w:val="0"/>
          <w:sz w:val="21"/>
          <w:szCs w:val="21"/>
          <w:highlight w:val="none"/>
        </w:rPr>
        <w:t>(盖章)</w:t>
      </w:r>
      <w:r>
        <w:rPr>
          <w:rFonts w:hint="eastAsia" w:ascii="Times New Roman" w:hAnsi="Times New Roman" w:cs="Times New Roman"/>
          <w:color w:val="auto"/>
          <w:spacing w:val="0"/>
          <w:sz w:val="21"/>
          <w:szCs w:val="21"/>
          <w:highlight w:val="none"/>
          <w:lang w:eastAsia="zh-CN"/>
        </w:rPr>
        <w:t>：</w:t>
      </w:r>
      <w:r>
        <w:rPr>
          <w:rFonts w:hint="default" w:ascii="Times New Roman" w:hAnsi="Times New Roman" w:cs="Times New Roman"/>
          <w:color w:val="auto"/>
          <w:spacing w:val="0"/>
          <w:sz w:val="21"/>
          <w:szCs w:val="21"/>
          <w:highlight w:val="none"/>
        </w:rPr>
        <w:t xml:space="preserve"> </w:t>
      </w:r>
    </w:p>
    <w:p>
      <w:pPr>
        <w:pageBreakBefore w:val="0"/>
        <w:kinsoku/>
        <w:wordWrap/>
        <w:overflowPunct/>
        <w:bidi w:val="0"/>
        <w:spacing w:before="480" w:beforeLines="200" w:line="360" w:lineRule="auto"/>
        <w:textAlignment w:val="auto"/>
        <w:outlineLvl w:val="9"/>
        <w:rPr>
          <w:rFonts w:hint="eastAsia" w:ascii="Times New Roman" w:hAnsi="Times New Roman" w:eastAsia="宋体"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rPr>
        <w:t>日   期</w:t>
      </w:r>
      <w:r>
        <w:rPr>
          <w:rFonts w:hint="eastAsia" w:ascii="Times New Roman" w:hAnsi="Times New Roman" w:cs="Times New Roman"/>
          <w:color w:val="auto"/>
          <w:spacing w:val="0"/>
          <w:sz w:val="21"/>
          <w:szCs w:val="21"/>
          <w:highlight w:val="none"/>
          <w:lang w:eastAsia="zh-CN"/>
        </w:rPr>
        <w:t>：</w:t>
      </w:r>
    </w:p>
    <w:p>
      <w:pPr>
        <w:pStyle w:val="8"/>
        <w:pageBreakBefore w:val="0"/>
        <w:kinsoku/>
        <w:wordWrap/>
        <w:overflowPunct/>
        <w:bidi w:val="0"/>
        <w:adjustRightInd w:val="0"/>
        <w:snapToGrid w:val="0"/>
        <w:spacing w:line="360" w:lineRule="auto"/>
        <w:ind w:firstLine="105" w:firstLineChars="50"/>
        <w:textAlignment w:val="auto"/>
        <w:outlineLvl w:val="9"/>
        <w:rPr>
          <w:rFonts w:hint="default" w:ascii="Times New Roman" w:hAnsi="Times New Roman" w:eastAsia="楷体" w:cs="Times New Roman"/>
          <w:color w:val="auto"/>
          <w:spacing w:val="0"/>
          <w:sz w:val="21"/>
          <w:highlight w:val="none"/>
        </w:rPr>
      </w:pPr>
    </w:p>
    <w:p>
      <w:pPr>
        <w:pStyle w:val="8"/>
        <w:pageBreakBefore w:val="0"/>
        <w:kinsoku/>
        <w:wordWrap/>
        <w:overflowPunct/>
        <w:bidi w:val="0"/>
        <w:adjustRightInd w:val="0"/>
        <w:snapToGrid w:val="0"/>
        <w:spacing w:line="360" w:lineRule="auto"/>
        <w:ind w:firstLine="105" w:firstLineChars="50"/>
        <w:textAlignment w:val="auto"/>
        <w:outlineLvl w:val="9"/>
        <w:rPr>
          <w:rFonts w:hint="default" w:ascii="Times New Roman" w:hAnsi="Times New Roman" w:eastAsia="楷体" w:cs="Times New Roman"/>
          <w:color w:val="auto"/>
          <w:spacing w:val="0"/>
          <w:sz w:val="21"/>
          <w:highlight w:val="none"/>
        </w:rPr>
      </w:pPr>
    </w:p>
    <w:p>
      <w:pPr>
        <w:pStyle w:val="8"/>
        <w:pageBreakBefore w:val="0"/>
        <w:kinsoku/>
        <w:wordWrap/>
        <w:overflowPunct/>
        <w:bidi w:val="0"/>
        <w:adjustRightInd w:val="0"/>
        <w:snapToGrid w:val="0"/>
        <w:spacing w:line="360" w:lineRule="auto"/>
        <w:ind w:firstLine="105" w:firstLineChars="50"/>
        <w:textAlignment w:val="auto"/>
        <w:outlineLvl w:val="9"/>
        <w:rPr>
          <w:rFonts w:hint="default" w:ascii="Times New Roman" w:hAnsi="Times New Roman" w:eastAsia="楷体" w:cs="Times New Roman"/>
          <w:color w:val="auto"/>
          <w:highlight w:val="none"/>
        </w:rPr>
      </w:pPr>
    </w:p>
    <w:p>
      <w:pPr>
        <w:pageBreakBefore w:val="0"/>
        <w:kinsoku/>
        <w:wordWrap/>
        <w:overflowPunct/>
        <w:bidi w:val="0"/>
        <w:textAlignment w:val="auto"/>
        <w:outlineLvl w:val="9"/>
        <w:rPr>
          <w:rFonts w:hint="default" w:ascii="Times New Roman" w:hAnsi="Times New Roman" w:eastAsia="仿宋" w:cs="Times New Roman"/>
          <w:color w:val="auto"/>
          <w:spacing w:val="15"/>
          <w:sz w:val="18"/>
          <w:szCs w:val="18"/>
          <w:highlight w:val="none"/>
          <w:shd w:val="clear" w:color="auto" w:fill="FFFFFF"/>
        </w:rPr>
      </w:pPr>
      <w:r>
        <w:rPr>
          <w:rFonts w:hint="default" w:ascii="Times New Roman" w:hAnsi="Times New Roman" w:cs="Times New Roman"/>
          <w:color w:val="auto"/>
          <w:spacing w:val="6"/>
          <w:szCs w:val="21"/>
          <w:highlight w:val="none"/>
          <w:u w:val="single"/>
        </w:rPr>
        <w:t xml:space="preserve">                                                                             </w:t>
      </w:r>
    </w:p>
    <w:p>
      <w:pPr>
        <w:pageBreakBefore w:val="0"/>
        <w:kinsoku/>
        <w:wordWrap/>
        <w:overflowPunct/>
        <w:bidi w:val="0"/>
        <w:adjustRightInd w:val="0"/>
        <w:snapToGrid w:val="0"/>
        <w:spacing w:line="300" w:lineRule="exact"/>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说明：</w:t>
      </w:r>
    </w:p>
    <w:p>
      <w:pPr>
        <w:pageBreakBefore w:val="0"/>
        <w:kinsoku/>
        <w:wordWrap/>
        <w:overflowPunct/>
        <w:bidi w:val="0"/>
        <w:adjustRightInd w:val="0"/>
        <w:snapToGrid w:val="0"/>
        <w:spacing w:line="360" w:lineRule="exact"/>
        <w:ind w:firstLine="420" w:firstLineChars="200"/>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（1）填报前请认真阅读</w:t>
      </w:r>
      <w:r>
        <w:rPr>
          <w:rFonts w:hint="default" w:ascii="Times New Roman" w:hAnsi="Times New Roman" w:eastAsia="楷体" w:cs="Times New Roman"/>
          <w:color w:val="auto"/>
          <w:spacing w:val="6"/>
          <w:kern w:val="0"/>
          <w:szCs w:val="21"/>
          <w:highlight w:val="none"/>
        </w:rPr>
        <w:t>《中小企业划型标准规定》（工信部联企业</w:t>
      </w:r>
      <w:r>
        <w:rPr>
          <w:rFonts w:hint="default" w:ascii="Times New Roman" w:hAnsi="Times New Roman" w:eastAsia="楷体" w:cs="Times New Roman"/>
          <w:color w:val="auto"/>
          <w:spacing w:val="6"/>
          <w:kern w:val="0"/>
          <w:szCs w:val="21"/>
          <w:highlight w:val="none"/>
          <w:lang w:eastAsia="zh-CN"/>
        </w:rPr>
        <w:t>〔</w:t>
      </w:r>
      <w:r>
        <w:rPr>
          <w:rFonts w:hint="default" w:ascii="Times New Roman" w:hAnsi="Times New Roman" w:eastAsia="楷体" w:cs="Times New Roman"/>
          <w:color w:val="auto"/>
          <w:spacing w:val="6"/>
          <w:kern w:val="0"/>
          <w:szCs w:val="21"/>
          <w:highlight w:val="none"/>
        </w:rPr>
        <w:t>2011</w:t>
      </w:r>
      <w:r>
        <w:rPr>
          <w:rFonts w:hint="default" w:ascii="Times New Roman" w:hAnsi="Times New Roman" w:eastAsia="楷体" w:cs="Times New Roman"/>
          <w:color w:val="auto"/>
          <w:spacing w:val="6"/>
          <w:kern w:val="0"/>
          <w:szCs w:val="21"/>
          <w:highlight w:val="none"/>
          <w:lang w:eastAsia="zh-CN"/>
        </w:rPr>
        <w:t>〕</w:t>
      </w:r>
      <w:r>
        <w:rPr>
          <w:rFonts w:hint="default" w:ascii="Times New Roman" w:hAnsi="Times New Roman" w:eastAsia="楷体" w:cs="Times New Roman"/>
          <w:color w:val="auto"/>
          <w:spacing w:val="6"/>
          <w:kern w:val="0"/>
          <w:szCs w:val="21"/>
          <w:highlight w:val="none"/>
        </w:rPr>
        <w:t>300号）、</w:t>
      </w:r>
      <w:r>
        <w:rPr>
          <w:rFonts w:hint="default" w:ascii="Times New Roman" w:hAnsi="Times New Roman" w:eastAsia="楷体" w:cs="Times New Roman"/>
          <w:color w:val="auto"/>
          <w:kern w:val="0"/>
          <w:szCs w:val="21"/>
          <w:highlight w:val="none"/>
        </w:rPr>
        <w:t>《金融业企业划型标准规定》（</w:t>
      </w:r>
      <w:r>
        <w:rPr>
          <w:rFonts w:hint="default" w:ascii="Times New Roman" w:hAnsi="Times New Roman" w:eastAsia="楷体" w:cs="Times New Roman"/>
          <w:bCs/>
          <w:color w:val="auto"/>
          <w:kern w:val="0"/>
          <w:szCs w:val="21"/>
          <w:highlight w:val="none"/>
        </w:rPr>
        <w:t>银发〔2015〕309号）和</w:t>
      </w:r>
      <w:r>
        <w:rPr>
          <w:rFonts w:hint="default" w:ascii="Times New Roman" w:hAnsi="Times New Roman" w:eastAsia="楷体" w:cs="Times New Roman"/>
          <w:color w:val="auto"/>
          <w:spacing w:val="6"/>
          <w:szCs w:val="21"/>
          <w:highlight w:val="none"/>
        </w:rPr>
        <w:t>《</w:t>
      </w:r>
      <w:r>
        <w:rPr>
          <w:rFonts w:hint="default" w:ascii="Times New Roman" w:hAnsi="Times New Roman" w:eastAsia="楷体" w:cs="Times New Roman"/>
          <w:bCs/>
          <w:color w:val="auto"/>
          <w:szCs w:val="21"/>
          <w:highlight w:val="none"/>
        </w:rPr>
        <w:t>政府采购促进中小企业发展管理办法》(</w:t>
      </w:r>
      <w:r>
        <w:rPr>
          <w:rFonts w:hint="default" w:ascii="Times New Roman" w:hAnsi="Times New Roman" w:eastAsia="楷体" w:cs="Times New Roman"/>
          <w:color w:val="auto"/>
          <w:szCs w:val="21"/>
          <w:highlight w:val="none"/>
        </w:rPr>
        <w:t>财库</w:t>
      </w:r>
      <w:r>
        <w:rPr>
          <w:rFonts w:hint="default" w:ascii="Times New Roman" w:hAnsi="Times New Roman" w:eastAsia="楷体" w:cs="Times New Roman"/>
          <w:color w:val="auto"/>
          <w:szCs w:val="21"/>
          <w:highlight w:val="none"/>
          <w:lang w:eastAsia="zh-CN"/>
        </w:rPr>
        <w:t>〔</w:t>
      </w:r>
      <w:r>
        <w:rPr>
          <w:rFonts w:hint="default" w:ascii="Times New Roman" w:hAnsi="Times New Roman" w:eastAsia="楷体" w:cs="Times New Roman"/>
          <w:color w:val="auto"/>
          <w:szCs w:val="21"/>
          <w:highlight w:val="none"/>
        </w:rPr>
        <w:t>2020</w:t>
      </w:r>
      <w:r>
        <w:rPr>
          <w:rFonts w:hint="default" w:ascii="Times New Roman" w:hAnsi="Times New Roman" w:eastAsia="楷体" w:cs="Times New Roman"/>
          <w:color w:val="auto"/>
          <w:szCs w:val="21"/>
          <w:highlight w:val="none"/>
          <w:lang w:eastAsia="zh-CN"/>
        </w:rPr>
        <w:t>〕</w:t>
      </w:r>
      <w:r>
        <w:rPr>
          <w:rFonts w:hint="default" w:ascii="Times New Roman" w:hAnsi="Times New Roman" w:eastAsia="楷体" w:cs="Times New Roman"/>
          <w:color w:val="auto"/>
          <w:szCs w:val="21"/>
          <w:highlight w:val="none"/>
        </w:rPr>
        <w:t>46号)相关规定。</w:t>
      </w:r>
    </w:p>
    <w:p>
      <w:pPr>
        <w:pageBreakBefore w:val="0"/>
        <w:kinsoku/>
        <w:wordWrap/>
        <w:overflowPunct/>
        <w:bidi w:val="0"/>
        <w:adjustRightInd w:val="0"/>
        <w:snapToGrid w:val="0"/>
        <w:spacing w:line="360" w:lineRule="exact"/>
        <w:ind w:firstLine="420" w:firstLineChars="200"/>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（2）从业人员、营业收入、资产总额填报上一年度数据，无上一年度数据的新成立企业可不填报。响应文件其他地方与《中小企业声明函》数据不一致的，以《中小企业声明函》为准。</w:t>
      </w:r>
    </w:p>
    <w:p>
      <w:pPr>
        <w:pageBreakBefore w:val="0"/>
        <w:kinsoku/>
        <w:wordWrap/>
        <w:overflowPunct/>
        <w:bidi w:val="0"/>
        <w:adjustRightInd w:val="0"/>
        <w:snapToGrid w:val="0"/>
        <w:spacing w:line="360" w:lineRule="exact"/>
        <w:ind w:firstLine="420" w:firstLineChars="200"/>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供应商（含联合体）必须填报全部服务商的数据，</w:t>
      </w:r>
      <w:r>
        <w:rPr>
          <w:rFonts w:hint="default" w:ascii="Times New Roman" w:hAnsi="Times New Roman" w:eastAsia="楷体" w:cs="Times New Roman"/>
          <w:bCs/>
          <w:color w:val="auto"/>
          <w:szCs w:val="21"/>
          <w:highlight w:val="none"/>
        </w:rPr>
        <w:t>未按要求提供或者有大型企业承接本项目服务的，其响应文件无效。</w:t>
      </w:r>
    </w:p>
    <w:p>
      <w:pPr>
        <w:pageBreakBefore w:val="0"/>
        <w:kinsoku/>
        <w:wordWrap/>
        <w:overflowPunct/>
        <w:bidi w:val="0"/>
        <w:adjustRightInd w:val="0"/>
        <w:snapToGrid w:val="0"/>
        <w:spacing w:line="360" w:lineRule="exact"/>
        <w:ind w:firstLine="420" w:firstLineChars="200"/>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（3）横线以下只做填报说明，响应文件可不要。</w:t>
      </w:r>
    </w:p>
    <w:p>
      <w:pPr>
        <w:pageBreakBefore w:val="0"/>
        <w:kinsoku/>
        <w:wordWrap/>
        <w:overflowPunct/>
        <w:bidi w:val="0"/>
        <w:spacing w:line="588" w:lineRule="exact"/>
        <w:jc w:val="center"/>
        <w:textAlignment w:val="auto"/>
        <w:outlineLvl w:val="9"/>
        <w:rPr>
          <w:rFonts w:hint="default" w:ascii="Times New Roman" w:hAnsi="Times New Roman" w:eastAsia="黑体" w:cs="Times New Roman"/>
          <w:color w:val="auto"/>
          <w:spacing w:val="6"/>
          <w:sz w:val="36"/>
          <w:szCs w:val="36"/>
          <w:highlight w:val="none"/>
        </w:rPr>
      </w:pPr>
      <w:r>
        <w:rPr>
          <w:rFonts w:hint="default" w:ascii="Times New Roman" w:hAnsi="Times New Roman" w:eastAsia="黑体" w:cs="Times New Roman"/>
          <w:color w:val="auto"/>
          <w:spacing w:val="6"/>
          <w:sz w:val="36"/>
          <w:szCs w:val="36"/>
          <w:highlight w:val="none"/>
        </w:rPr>
        <w:br w:type="page"/>
      </w:r>
      <w:bookmarkStart w:id="104" w:name="_Toc21903"/>
    </w:p>
    <w:p>
      <w:pPr>
        <w:pageBreakBefore w:val="0"/>
        <w:kinsoku/>
        <w:wordWrap/>
        <w:overflowPunct/>
        <w:bidi w:val="0"/>
        <w:spacing w:line="588" w:lineRule="exact"/>
        <w:jc w:val="both"/>
        <w:textAlignment w:val="auto"/>
        <w:outlineLvl w:val="9"/>
        <w:rPr>
          <w:rFonts w:hint="default" w:ascii="Times New Roman" w:hAnsi="Times New Roman" w:eastAsia="宋体" w:cs="Times New Roman"/>
          <w:b/>
          <w:color w:val="auto"/>
          <w:kern w:val="2"/>
          <w:sz w:val="32"/>
          <w:szCs w:val="32"/>
          <w:highlight w:val="none"/>
          <w:lang w:val="en-US" w:eastAsia="zh-CN" w:bidi="ar-SA"/>
        </w:rPr>
      </w:pPr>
      <w:r>
        <w:rPr>
          <w:rFonts w:hint="default" w:ascii="Times New Roman" w:hAnsi="Times New Roman" w:cs="Times New Roman"/>
          <w:b/>
          <w:color w:val="auto"/>
          <w:kern w:val="2"/>
          <w:sz w:val="32"/>
          <w:szCs w:val="32"/>
          <w:highlight w:val="none"/>
          <w:lang w:val="en-US" w:eastAsia="zh-CN" w:bidi="ar-SA"/>
        </w:rPr>
        <w:t>附件2</w:t>
      </w:r>
    </w:p>
    <w:p>
      <w:pPr>
        <w:pageBreakBefore w:val="0"/>
        <w:kinsoku/>
        <w:wordWrap/>
        <w:overflowPunct/>
        <w:bidi w:val="0"/>
        <w:spacing w:line="588" w:lineRule="exact"/>
        <w:jc w:val="center"/>
        <w:textAlignment w:val="auto"/>
        <w:outlineLvl w:val="9"/>
        <w:rPr>
          <w:rFonts w:hint="default" w:ascii="Times New Roman" w:hAnsi="Times New Roman" w:eastAsia="黑体" w:cs="Times New Roman"/>
          <w:color w:val="auto"/>
          <w:spacing w:val="6"/>
          <w:sz w:val="36"/>
          <w:szCs w:val="36"/>
          <w:highlight w:val="none"/>
        </w:rPr>
      </w:pPr>
      <w:r>
        <w:rPr>
          <w:rFonts w:hint="default" w:ascii="Times New Roman" w:hAnsi="Times New Roman" w:eastAsia="宋体" w:cs="Times New Roman"/>
          <w:b/>
          <w:color w:val="auto"/>
          <w:kern w:val="2"/>
          <w:sz w:val="32"/>
          <w:szCs w:val="32"/>
          <w:highlight w:val="none"/>
          <w:lang w:val="en-US" w:eastAsia="zh-CN" w:bidi="ar-SA"/>
        </w:rPr>
        <w:t>残疾人福利性单位声明函</w:t>
      </w:r>
      <w:bookmarkEnd w:id="104"/>
    </w:p>
    <w:p>
      <w:pPr>
        <w:pageBreakBefore w:val="0"/>
        <w:kinsoku/>
        <w:wordWrap/>
        <w:overflowPunct/>
        <w:bidi w:val="0"/>
        <w:spacing w:before="480" w:beforeLines="200" w:line="360" w:lineRule="auto"/>
        <w:ind w:firstLine="444" w:firstLineChars="200"/>
        <w:textAlignment w:val="auto"/>
        <w:outlineLvl w:val="9"/>
        <w:rPr>
          <w:rFonts w:hint="default" w:ascii="Times New Roman" w:hAnsi="Times New Roman" w:cs="Times New Roman"/>
          <w:color w:val="auto"/>
          <w:spacing w:val="6"/>
          <w:szCs w:val="21"/>
          <w:highlight w:val="none"/>
        </w:rPr>
      </w:pPr>
      <w:r>
        <w:rPr>
          <w:rFonts w:hint="default" w:ascii="Times New Roman" w:hAnsi="Times New Roman" w:cs="Times New Roman"/>
          <w:color w:val="auto"/>
          <w:spacing w:val="6"/>
          <w:szCs w:val="21"/>
          <w:highlight w:val="none"/>
        </w:rPr>
        <w:t>本单位郑重声明，根据《财政部、民政部、中国残疾人联合会关于促进残疾人就业政府采购政策的通知》（财库</w:t>
      </w:r>
      <w:r>
        <w:rPr>
          <w:rFonts w:hint="default" w:ascii="Times New Roman" w:hAnsi="Times New Roman" w:cs="Times New Roman"/>
          <w:color w:val="auto"/>
          <w:szCs w:val="21"/>
          <w:highlight w:val="none"/>
        </w:rPr>
        <w:t>〔2017〕141</w:t>
      </w:r>
      <w:r>
        <w:rPr>
          <w:rFonts w:hint="default" w:ascii="Times New Roman" w:hAnsi="Times New Roman" w:cs="Times New Roman"/>
          <w:color w:val="auto"/>
          <w:spacing w:val="6"/>
          <w:szCs w:val="21"/>
          <w:highlight w:val="none"/>
        </w:rPr>
        <w:t>号）的规定，本单位从业人员</w:t>
      </w:r>
      <w:r>
        <w:rPr>
          <w:rFonts w:hint="default" w:ascii="Times New Roman" w:hAnsi="Times New Roman" w:cs="Times New Roman"/>
          <w:color w:val="auto"/>
          <w:spacing w:val="6"/>
          <w:szCs w:val="21"/>
          <w:highlight w:val="none"/>
          <w:u w:val="single"/>
        </w:rPr>
        <w:t xml:space="preserve">    </w:t>
      </w:r>
      <w:r>
        <w:rPr>
          <w:rFonts w:hint="default" w:ascii="Times New Roman" w:hAnsi="Times New Roman" w:cs="Times New Roman"/>
          <w:color w:val="auto"/>
          <w:spacing w:val="6"/>
          <w:szCs w:val="21"/>
          <w:highlight w:val="none"/>
        </w:rPr>
        <w:t>人，其中残疾人</w:t>
      </w:r>
      <w:r>
        <w:rPr>
          <w:rFonts w:hint="default" w:ascii="Times New Roman" w:hAnsi="Times New Roman" w:cs="Times New Roman"/>
          <w:color w:val="auto"/>
          <w:spacing w:val="6"/>
          <w:szCs w:val="21"/>
          <w:highlight w:val="none"/>
          <w:u w:val="single"/>
        </w:rPr>
        <w:t xml:space="preserve">      </w:t>
      </w:r>
      <w:r>
        <w:rPr>
          <w:rFonts w:hint="default" w:ascii="Times New Roman" w:hAnsi="Times New Roman" w:cs="Times New Roman"/>
          <w:color w:val="auto"/>
          <w:spacing w:val="6"/>
          <w:szCs w:val="21"/>
          <w:highlight w:val="none"/>
        </w:rPr>
        <w:t>人，为符合条件的残疾人福利性单位，且本单位参加（</w:t>
      </w:r>
      <w:r>
        <w:rPr>
          <w:rFonts w:hint="default" w:ascii="Times New Roman" w:hAnsi="Times New Roman" w:cs="Times New Roman"/>
          <w:color w:val="auto"/>
          <w:spacing w:val="6"/>
          <w:szCs w:val="21"/>
          <w:highlight w:val="none"/>
          <w:u w:val="single"/>
        </w:rPr>
        <w:t xml:space="preserve">采 购 人 名 称） </w:t>
      </w:r>
      <w:r>
        <w:rPr>
          <w:rFonts w:hint="default" w:ascii="Times New Roman" w:hAnsi="Times New Roman" w:cs="Times New Roman"/>
          <w:color w:val="auto"/>
          <w:spacing w:val="6"/>
          <w:szCs w:val="21"/>
          <w:highlight w:val="none"/>
        </w:rPr>
        <w:t>的（</w:t>
      </w:r>
      <w:r>
        <w:rPr>
          <w:rFonts w:hint="default" w:ascii="Times New Roman" w:hAnsi="Times New Roman" w:cs="Times New Roman"/>
          <w:color w:val="auto"/>
          <w:spacing w:val="6"/>
          <w:szCs w:val="21"/>
          <w:highlight w:val="none"/>
          <w:u w:val="single"/>
        </w:rPr>
        <w:t>项 目 名  称</w:t>
      </w:r>
      <w:r>
        <w:rPr>
          <w:rFonts w:hint="default" w:ascii="Times New Roman" w:hAnsi="Times New Roman" w:cs="Times New Roman"/>
          <w:color w:val="auto"/>
          <w:spacing w:val="6"/>
          <w:szCs w:val="21"/>
          <w:highlight w:val="none"/>
        </w:rPr>
        <w:t>）采购活动由本单位提供服务。</w:t>
      </w:r>
    </w:p>
    <w:p>
      <w:pPr>
        <w:pageBreakBefore w:val="0"/>
        <w:kinsoku/>
        <w:wordWrap/>
        <w:overflowPunct/>
        <w:bidi w:val="0"/>
        <w:spacing w:line="360" w:lineRule="auto"/>
        <w:ind w:firstLine="444" w:firstLineChars="200"/>
        <w:textAlignment w:val="auto"/>
        <w:outlineLvl w:val="9"/>
        <w:rPr>
          <w:rFonts w:hint="default" w:ascii="Times New Roman" w:hAnsi="Times New Roman" w:cs="Times New Roman"/>
          <w:color w:val="auto"/>
          <w:spacing w:val="6"/>
          <w:szCs w:val="21"/>
          <w:highlight w:val="none"/>
        </w:rPr>
      </w:pPr>
    </w:p>
    <w:p>
      <w:pPr>
        <w:pageBreakBefore w:val="0"/>
        <w:kinsoku/>
        <w:wordWrap/>
        <w:overflowPunct/>
        <w:bidi w:val="0"/>
        <w:spacing w:line="360" w:lineRule="auto"/>
        <w:ind w:firstLine="444" w:firstLineChars="200"/>
        <w:textAlignment w:val="auto"/>
        <w:outlineLvl w:val="9"/>
        <w:rPr>
          <w:rFonts w:hint="default" w:ascii="Times New Roman" w:hAnsi="Times New Roman" w:cs="Times New Roman"/>
          <w:color w:val="auto"/>
          <w:spacing w:val="6"/>
          <w:szCs w:val="21"/>
          <w:highlight w:val="none"/>
        </w:rPr>
      </w:pPr>
    </w:p>
    <w:p>
      <w:pPr>
        <w:pageBreakBefore w:val="0"/>
        <w:kinsoku/>
        <w:wordWrap/>
        <w:overflowPunct/>
        <w:bidi w:val="0"/>
        <w:spacing w:line="360" w:lineRule="auto"/>
        <w:ind w:firstLine="444" w:firstLineChars="200"/>
        <w:textAlignment w:val="auto"/>
        <w:outlineLvl w:val="9"/>
        <w:rPr>
          <w:rFonts w:hint="default" w:ascii="Times New Roman" w:hAnsi="Times New Roman" w:cs="Times New Roman"/>
          <w:color w:val="auto"/>
          <w:spacing w:val="6"/>
          <w:szCs w:val="21"/>
          <w:highlight w:val="none"/>
        </w:rPr>
      </w:pPr>
      <w:r>
        <w:rPr>
          <w:rFonts w:hint="default" w:ascii="Times New Roman" w:hAnsi="Times New Roman" w:cs="Times New Roman"/>
          <w:color w:val="auto"/>
          <w:spacing w:val="6"/>
          <w:szCs w:val="21"/>
          <w:highlight w:val="none"/>
        </w:rPr>
        <w:t>本单位对上述声明的真实性负责。如有虚假，将依法承担相应责任。</w:t>
      </w:r>
    </w:p>
    <w:p>
      <w:pPr>
        <w:pageBreakBefore w:val="0"/>
        <w:kinsoku/>
        <w:wordWrap/>
        <w:overflowPunct/>
        <w:bidi w:val="0"/>
        <w:spacing w:line="360" w:lineRule="auto"/>
        <w:ind w:firstLine="444" w:firstLineChars="200"/>
        <w:textAlignment w:val="auto"/>
        <w:outlineLvl w:val="9"/>
        <w:rPr>
          <w:rFonts w:hint="default" w:ascii="Times New Roman" w:hAnsi="Times New Roman" w:cs="Times New Roman"/>
          <w:color w:val="auto"/>
          <w:spacing w:val="6"/>
          <w:szCs w:val="21"/>
          <w:highlight w:val="none"/>
        </w:rPr>
      </w:pPr>
    </w:p>
    <w:p>
      <w:pPr>
        <w:pageBreakBefore w:val="0"/>
        <w:kinsoku/>
        <w:wordWrap/>
        <w:overflowPunct/>
        <w:bidi w:val="0"/>
        <w:spacing w:line="360" w:lineRule="auto"/>
        <w:ind w:firstLine="444" w:firstLineChars="200"/>
        <w:textAlignment w:val="auto"/>
        <w:outlineLvl w:val="9"/>
        <w:rPr>
          <w:rFonts w:hint="default" w:ascii="Times New Roman" w:hAnsi="Times New Roman" w:cs="Times New Roman"/>
          <w:color w:val="auto"/>
          <w:spacing w:val="6"/>
          <w:szCs w:val="21"/>
          <w:highlight w:val="none"/>
        </w:rPr>
      </w:pPr>
    </w:p>
    <w:p>
      <w:pPr>
        <w:pageBreakBefore w:val="0"/>
        <w:tabs>
          <w:tab w:val="left" w:pos="4860"/>
        </w:tabs>
        <w:kinsoku/>
        <w:wordWrap/>
        <w:overflowPunct/>
        <w:bidi w:val="0"/>
        <w:spacing w:line="360" w:lineRule="auto"/>
        <w:ind w:right="1560" w:firstLine="444" w:firstLineChars="200"/>
        <w:jc w:val="left"/>
        <w:textAlignment w:val="auto"/>
        <w:outlineLvl w:val="9"/>
        <w:rPr>
          <w:rFonts w:hint="default" w:ascii="Times New Roman" w:hAnsi="Times New Roman" w:cs="Times New Roman"/>
          <w:color w:val="auto"/>
          <w:spacing w:val="6"/>
          <w:szCs w:val="21"/>
          <w:highlight w:val="none"/>
        </w:rPr>
      </w:pPr>
      <w:r>
        <w:rPr>
          <w:rFonts w:hint="default" w:ascii="Times New Roman" w:hAnsi="Times New Roman" w:cs="Times New Roman"/>
          <w:color w:val="auto"/>
          <w:spacing w:val="6"/>
          <w:szCs w:val="21"/>
          <w:highlight w:val="none"/>
        </w:rPr>
        <w:t>单位名称：</w:t>
      </w:r>
      <w:r>
        <w:rPr>
          <w:rFonts w:hint="default" w:ascii="Times New Roman" w:hAnsi="Times New Roman" w:cs="Times New Roman"/>
          <w:color w:val="auto"/>
          <w:spacing w:val="6"/>
          <w:szCs w:val="21"/>
          <w:highlight w:val="none"/>
          <w:u w:val="single"/>
        </w:rPr>
        <w:t xml:space="preserve">              </w:t>
      </w:r>
      <w:r>
        <w:rPr>
          <w:rFonts w:hint="default" w:ascii="Times New Roman" w:hAnsi="Times New Roman" w:cs="Times New Roman"/>
          <w:color w:val="auto"/>
          <w:spacing w:val="6"/>
          <w:szCs w:val="21"/>
          <w:highlight w:val="none"/>
        </w:rPr>
        <w:t>（盖单位章）</w:t>
      </w:r>
    </w:p>
    <w:p>
      <w:pPr>
        <w:pageBreakBefore w:val="0"/>
        <w:tabs>
          <w:tab w:val="left" w:pos="4860"/>
        </w:tabs>
        <w:kinsoku/>
        <w:wordWrap/>
        <w:overflowPunct/>
        <w:bidi w:val="0"/>
        <w:spacing w:line="360" w:lineRule="auto"/>
        <w:ind w:right="1560" w:firstLine="444" w:firstLineChars="200"/>
        <w:jc w:val="left"/>
        <w:textAlignment w:val="auto"/>
        <w:outlineLvl w:val="9"/>
        <w:rPr>
          <w:rFonts w:hint="default" w:ascii="Times New Roman" w:hAnsi="Times New Roman" w:cs="Times New Roman"/>
          <w:color w:val="auto"/>
          <w:spacing w:val="6"/>
          <w:szCs w:val="21"/>
          <w:highlight w:val="none"/>
        </w:rPr>
      </w:pPr>
      <w:r>
        <w:rPr>
          <w:rFonts w:hint="default" w:ascii="Times New Roman" w:hAnsi="Times New Roman" w:cs="Times New Roman"/>
          <w:color w:val="auto"/>
          <w:spacing w:val="6"/>
          <w:szCs w:val="21"/>
          <w:highlight w:val="none"/>
        </w:rPr>
        <w:t xml:space="preserve"> </w:t>
      </w:r>
    </w:p>
    <w:p>
      <w:pPr>
        <w:pageBreakBefore w:val="0"/>
        <w:tabs>
          <w:tab w:val="left" w:pos="4860"/>
        </w:tabs>
        <w:kinsoku/>
        <w:wordWrap/>
        <w:overflowPunct/>
        <w:bidi w:val="0"/>
        <w:spacing w:line="360" w:lineRule="auto"/>
        <w:ind w:right="1560" w:firstLine="444" w:firstLineChars="200"/>
        <w:jc w:val="left"/>
        <w:textAlignment w:val="auto"/>
        <w:outlineLvl w:val="9"/>
        <w:rPr>
          <w:rFonts w:hint="default" w:ascii="Times New Roman" w:hAnsi="Times New Roman" w:cs="Times New Roman"/>
          <w:color w:val="auto"/>
          <w:spacing w:val="6"/>
          <w:szCs w:val="21"/>
          <w:highlight w:val="none"/>
        </w:rPr>
      </w:pPr>
      <w:r>
        <w:rPr>
          <w:rFonts w:hint="default" w:ascii="Times New Roman" w:hAnsi="Times New Roman" w:cs="Times New Roman"/>
          <w:color w:val="auto"/>
          <w:spacing w:val="6"/>
          <w:szCs w:val="21"/>
          <w:highlight w:val="none"/>
        </w:rPr>
        <w:t>日     期：    年   月  日</w:t>
      </w:r>
    </w:p>
    <w:p>
      <w:pPr>
        <w:pageBreakBefore w:val="0"/>
        <w:tabs>
          <w:tab w:val="left" w:pos="4860"/>
        </w:tabs>
        <w:kinsoku/>
        <w:wordWrap/>
        <w:overflowPunct/>
        <w:bidi w:val="0"/>
        <w:spacing w:line="360" w:lineRule="auto"/>
        <w:ind w:right="1560" w:firstLine="444" w:firstLineChars="200"/>
        <w:jc w:val="left"/>
        <w:textAlignment w:val="auto"/>
        <w:outlineLvl w:val="9"/>
        <w:rPr>
          <w:rFonts w:hint="default" w:ascii="Times New Roman" w:hAnsi="Times New Roman" w:cs="Times New Roman"/>
          <w:color w:val="auto"/>
          <w:spacing w:val="6"/>
          <w:szCs w:val="21"/>
          <w:highlight w:val="none"/>
        </w:rPr>
      </w:pPr>
    </w:p>
    <w:p>
      <w:pPr>
        <w:pageBreakBefore w:val="0"/>
        <w:tabs>
          <w:tab w:val="left" w:pos="4860"/>
        </w:tabs>
        <w:kinsoku/>
        <w:wordWrap/>
        <w:overflowPunct/>
        <w:bidi w:val="0"/>
        <w:spacing w:line="360" w:lineRule="auto"/>
        <w:ind w:right="1560" w:firstLine="444" w:firstLineChars="200"/>
        <w:jc w:val="left"/>
        <w:textAlignment w:val="auto"/>
        <w:outlineLvl w:val="9"/>
        <w:rPr>
          <w:rFonts w:hint="default" w:ascii="Times New Roman" w:hAnsi="Times New Roman" w:cs="Times New Roman"/>
          <w:color w:val="auto"/>
          <w:spacing w:val="6"/>
          <w:szCs w:val="21"/>
          <w:highlight w:val="none"/>
        </w:rPr>
      </w:pPr>
    </w:p>
    <w:p>
      <w:pPr>
        <w:pageBreakBefore w:val="0"/>
        <w:tabs>
          <w:tab w:val="left" w:pos="4860"/>
        </w:tabs>
        <w:kinsoku/>
        <w:wordWrap/>
        <w:overflowPunct/>
        <w:bidi w:val="0"/>
        <w:spacing w:line="360" w:lineRule="auto"/>
        <w:ind w:right="1560" w:firstLine="444" w:firstLineChars="200"/>
        <w:jc w:val="left"/>
        <w:textAlignment w:val="auto"/>
        <w:outlineLvl w:val="9"/>
        <w:rPr>
          <w:rFonts w:hint="default" w:ascii="Times New Roman" w:hAnsi="Times New Roman" w:cs="Times New Roman"/>
          <w:color w:val="auto"/>
          <w:spacing w:val="6"/>
          <w:szCs w:val="21"/>
          <w:highlight w:val="none"/>
        </w:rPr>
      </w:pPr>
    </w:p>
    <w:p>
      <w:pPr>
        <w:pageBreakBefore w:val="0"/>
        <w:tabs>
          <w:tab w:val="left" w:pos="4860"/>
        </w:tabs>
        <w:kinsoku/>
        <w:wordWrap/>
        <w:overflowPunct/>
        <w:bidi w:val="0"/>
        <w:spacing w:line="360" w:lineRule="auto"/>
        <w:ind w:right="1560" w:firstLine="444" w:firstLineChars="200"/>
        <w:jc w:val="left"/>
        <w:textAlignment w:val="auto"/>
        <w:outlineLvl w:val="9"/>
        <w:rPr>
          <w:rFonts w:hint="default" w:ascii="Times New Roman" w:hAnsi="Times New Roman" w:cs="Times New Roman"/>
          <w:color w:val="auto"/>
          <w:spacing w:val="6"/>
          <w:szCs w:val="21"/>
          <w:highlight w:val="none"/>
        </w:rPr>
      </w:pPr>
    </w:p>
    <w:p>
      <w:pPr>
        <w:pageBreakBefore w:val="0"/>
        <w:tabs>
          <w:tab w:val="left" w:pos="4860"/>
        </w:tabs>
        <w:kinsoku/>
        <w:wordWrap/>
        <w:overflowPunct/>
        <w:bidi w:val="0"/>
        <w:spacing w:line="360" w:lineRule="auto"/>
        <w:ind w:right="1560" w:firstLine="444" w:firstLineChars="200"/>
        <w:jc w:val="left"/>
        <w:textAlignment w:val="auto"/>
        <w:outlineLvl w:val="9"/>
        <w:rPr>
          <w:rFonts w:hint="default" w:ascii="Times New Roman" w:hAnsi="Times New Roman" w:cs="Times New Roman"/>
          <w:color w:val="auto"/>
          <w:spacing w:val="6"/>
          <w:szCs w:val="21"/>
          <w:highlight w:val="none"/>
        </w:rPr>
      </w:pPr>
    </w:p>
    <w:p>
      <w:pPr>
        <w:pageBreakBefore w:val="0"/>
        <w:tabs>
          <w:tab w:val="left" w:pos="4860"/>
        </w:tabs>
        <w:kinsoku/>
        <w:wordWrap/>
        <w:overflowPunct/>
        <w:bidi w:val="0"/>
        <w:spacing w:line="360" w:lineRule="auto"/>
        <w:ind w:right="1560" w:firstLine="444" w:firstLineChars="200"/>
        <w:jc w:val="left"/>
        <w:textAlignment w:val="auto"/>
        <w:outlineLvl w:val="9"/>
        <w:rPr>
          <w:rFonts w:hint="default" w:ascii="Times New Roman" w:hAnsi="Times New Roman" w:cs="Times New Roman"/>
          <w:color w:val="auto"/>
          <w:spacing w:val="6"/>
          <w:szCs w:val="21"/>
          <w:highlight w:val="none"/>
        </w:rPr>
      </w:pPr>
    </w:p>
    <w:p>
      <w:pPr>
        <w:pageBreakBefore w:val="0"/>
        <w:tabs>
          <w:tab w:val="left" w:pos="4860"/>
        </w:tabs>
        <w:kinsoku/>
        <w:wordWrap/>
        <w:overflowPunct/>
        <w:bidi w:val="0"/>
        <w:spacing w:line="360" w:lineRule="auto"/>
        <w:ind w:right="1560" w:firstLine="444" w:firstLineChars="200"/>
        <w:jc w:val="left"/>
        <w:textAlignment w:val="auto"/>
        <w:outlineLvl w:val="9"/>
        <w:rPr>
          <w:rFonts w:hint="default" w:ascii="Times New Roman" w:hAnsi="Times New Roman" w:cs="Times New Roman"/>
          <w:color w:val="auto"/>
          <w:spacing w:val="6"/>
          <w:szCs w:val="21"/>
          <w:highlight w:val="none"/>
        </w:rPr>
      </w:pPr>
    </w:p>
    <w:p>
      <w:pPr>
        <w:pageBreakBefore w:val="0"/>
        <w:tabs>
          <w:tab w:val="left" w:pos="4860"/>
        </w:tabs>
        <w:kinsoku/>
        <w:wordWrap/>
        <w:overflowPunct/>
        <w:bidi w:val="0"/>
        <w:spacing w:line="360" w:lineRule="auto"/>
        <w:ind w:right="1560" w:firstLine="444" w:firstLineChars="200"/>
        <w:jc w:val="left"/>
        <w:textAlignment w:val="auto"/>
        <w:outlineLvl w:val="9"/>
        <w:rPr>
          <w:rFonts w:hint="default" w:ascii="Times New Roman" w:hAnsi="Times New Roman" w:cs="Times New Roman"/>
          <w:color w:val="auto"/>
          <w:spacing w:val="6"/>
          <w:szCs w:val="21"/>
          <w:highlight w:val="none"/>
        </w:rPr>
      </w:pPr>
    </w:p>
    <w:p>
      <w:pPr>
        <w:pageBreakBefore w:val="0"/>
        <w:tabs>
          <w:tab w:val="left" w:pos="4860"/>
        </w:tabs>
        <w:kinsoku/>
        <w:wordWrap/>
        <w:overflowPunct/>
        <w:bidi w:val="0"/>
        <w:spacing w:line="360" w:lineRule="auto"/>
        <w:ind w:right="1560" w:firstLine="444" w:firstLineChars="200"/>
        <w:jc w:val="left"/>
        <w:textAlignment w:val="auto"/>
        <w:outlineLvl w:val="9"/>
        <w:rPr>
          <w:rFonts w:hint="default" w:ascii="Times New Roman" w:hAnsi="Times New Roman" w:cs="Times New Roman"/>
          <w:color w:val="auto"/>
          <w:spacing w:val="6"/>
          <w:szCs w:val="21"/>
          <w:highlight w:val="none"/>
        </w:rPr>
      </w:pPr>
    </w:p>
    <w:p>
      <w:pPr>
        <w:pageBreakBefore w:val="0"/>
        <w:tabs>
          <w:tab w:val="left" w:pos="4860"/>
        </w:tabs>
        <w:kinsoku/>
        <w:wordWrap/>
        <w:overflowPunct/>
        <w:bidi w:val="0"/>
        <w:spacing w:line="360" w:lineRule="auto"/>
        <w:ind w:right="1560" w:firstLine="444" w:firstLineChars="200"/>
        <w:jc w:val="left"/>
        <w:textAlignment w:val="auto"/>
        <w:outlineLvl w:val="9"/>
        <w:rPr>
          <w:rFonts w:hint="default" w:ascii="Times New Roman" w:hAnsi="Times New Roman" w:cs="Times New Roman"/>
          <w:color w:val="auto"/>
          <w:spacing w:val="6"/>
          <w:szCs w:val="21"/>
          <w:highlight w:val="none"/>
        </w:rPr>
      </w:pPr>
    </w:p>
    <w:p>
      <w:pPr>
        <w:pageBreakBefore w:val="0"/>
        <w:tabs>
          <w:tab w:val="left" w:pos="4860"/>
        </w:tabs>
        <w:kinsoku/>
        <w:wordWrap/>
        <w:overflowPunct/>
        <w:bidi w:val="0"/>
        <w:spacing w:line="360" w:lineRule="auto"/>
        <w:ind w:right="1560" w:firstLine="444" w:firstLineChars="200"/>
        <w:jc w:val="left"/>
        <w:textAlignment w:val="auto"/>
        <w:outlineLvl w:val="9"/>
        <w:rPr>
          <w:rFonts w:hint="default" w:ascii="Times New Roman" w:hAnsi="Times New Roman" w:cs="Times New Roman"/>
          <w:color w:val="auto"/>
          <w:spacing w:val="6"/>
          <w:szCs w:val="21"/>
          <w:highlight w:val="none"/>
        </w:rPr>
      </w:pPr>
    </w:p>
    <w:p>
      <w:pPr>
        <w:pageBreakBefore w:val="0"/>
        <w:tabs>
          <w:tab w:val="left" w:pos="4860"/>
        </w:tabs>
        <w:kinsoku/>
        <w:wordWrap/>
        <w:overflowPunct/>
        <w:bidi w:val="0"/>
        <w:spacing w:line="360" w:lineRule="auto"/>
        <w:ind w:right="1560" w:firstLine="444" w:firstLineChars="200"/>
        <w:jc w:val="left"/>
        <w:textAlignment w:val="auto"/>
        <w:outlineLvl w:val="9"/>
        <w:rPr>
          <w:rFonts w:hint="default" w:ascii="Times New Roman" w:hAnsi="Times New Roman" w:cs="Times New Roman"/>
          <w:color w:val="auto"/>
          <w:spacing w:val="6"/>
          <w:szCs w:val="21"/>
          <w:highlight w:val="none"/>
        </w:rPr>
      </w:pPr>
    </w:p>
    <w:p>
      <w:pPr>
        <w:pageBreakBefore w:val="0"/>
        <w:kinsoku/>
        <w:wordWrap/>
        <w:overflowPunct/>
        <w:bidi w:val="0"/>
        <w:textAlignment w:val="auto"/>
        <w:outlineLvl w:val="9"/>
        <w:rPr>
          <w:rFonts w:hint="default" w:ascii="Times New Roman" w:hAnsi="Times New Roman" w:eastAsia="仿宋" w:cs="Times New Roman"/>
          <w:color w:val="auto"/>
          <w:spacing w:val="15"/>
          <w:sz w:val="18"/>
          <w:szCs w:val="18"/>
          <w:highlight w:val="none"/>
          <w:shd w:val="clear" w:color="auto" w:fill="FFFFFF"/>
        </w:rPr>
      </w:pPr>
      <w:r>
        <w:rPr>
          <w:rFonts w:hint="default" w:ascii="Times New Roman" w:hAnsi="Times New Roman" w:cs="Times New Roman"/>
          <w:color w:val="auto"/>
          <w:spacing w:val="6"/>
          <w:szCs w:val="21"/>
          <w:highlight w:val="none"/>
          <w:u w:val="single"/>
        </w:rPr>
        <w:t xml:space="preserve">                                                                             </w:t>
      </w:r>
    </w:p>
    <w:p>
      <w:pPr>
        <w:pageBreakBefore w:val="0"/>
        <w:tabs>
          <w:tab w:val="left" w:pos="4860"/>
        </w:tabs>
        <w:kinsoku/>
        <w:wordWrap/>
        <w:overflowPunct/>
        <w:bidi w:val="0"/>
        <w:ind w:right="1559"/>
        <w:jc w:val="left"/>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说明：</w:t>
      </w:r>
    </w:p>
    <w:p>
      <w:pPr>
        <w:pageBreakBefore w:val="0"/>
        <w:kinsoku/>
        <w:wordWrap/>
        <w:overflowPunct/>
        <w:bidi w:val="0"/>
        <w:adjustRightInd w:val="0"/>
        <w:snapToGrid w:val="0"/>
        <w:spacing w:line="360" w:lineRule="exact"/>
        <w:ind w:firstLine="525" w:firstLineChars="250"/>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（1）填报前请认真阅读</w:t>
      </w:r>
      <w:r>
        <w:rPr>
          <w:rFonts w:hint="default" w:ascii="Times New Roman" w:hAnsi="Times New Roman" w:eastAsia="楷体" w:cs="Times New Roman"/>
          <w:color w:val="auto"/>
          <w:spacing w:val="6"/>
          <w:szCs w:val="21"/>
          <w:highlight w:val="none"/>
        </w:rPr>
        <w:t>《财政部、民政部、中国残疾人联合会关于促进残疾人就业政府采购政策的通知》（财库</w:t>
      </w:r>
      <w:r>
        <w:rPr>
          <w:rFonts w:hint="default" w:ascii="Times New Roman" w:hAnsi="Times New Roman" w:eastAsia="楷体" w:cs="Times New Roman"/>
          <w:color w:val="auto"/>
          <w:szCs w:val="21"/>
          <w:highlight w:val="none"/>
        </w:rPr>
        <w:t>〔2017〕141</w:t>
      </w:r>
      <w:r>
        <w:rPr>
          <w:rFonts w:hint="default" w:ascii="Times New Roman" w:hAnsi="Times New Roman" w:eastAsia="楷体" w:cs="Times New Roman"/>
          <w:color w:val="auto"/>
          <w:spacing w:val="6"/>
          <w:szCs w:val="21"/>
          <w:highlight w:val="none"/>
        </w:rPr>
        <w:t>号）的规定。</w:t>
      </w:r>
    </w:p>
    <w:p>
      <w:pPr>
        <w:pageBreakBefore w:val="0"/>
        <w:kinsoku/>
        <w:wordWrap/>
        <w:overflowPunct/>
        <w:bidi w:val="0"/>
        <w:adjustRightInd w:val="0"/>
        <w:snapToGrid w:val="0"/>
        <w:spacing w:line="360" w:lineRule="exact"/>
        <w:ind w:firstLine="525" w:firstLineChars="250"/>
        <w:textAlignment w:val="auto"/>
        <w:outlineLvl w:val="9"/>
        <w:rPr>
          <w:rFonts w:hint="default" w:ascii="Times New Roman" w:hAnsi="Times New Roman" w:eastAsia="楷体" w:cs="Times New Roman"/>
          <w:bCs/>
          <w:color w:val="auto"/>
          <w:szCs w:val="21"/>
          <w:highlight w:val="none"/>
        </w:rPr>
      </w:pPr>
      <w:r>
        <w:rPr>
          <w:rFonts w:hint="default" w:ascii="Times New Roman" w:hAnsi="Times New Roman" w:eastAsia="楷体" w:cs="Times New Roman"/>
          <w:color w:val="auto"/>
          <w:szCs w:val="21"/>
          <w:highlight w:val="none"/>
        </w:rPr>
        <w:t>（2）供应商属于残疾人福利性单位的，必须填报全部的数据，</w:t>
      </w:r>
      <w:r>
        <w:rPr>
          <w:rFonts w:hint="default" w:ascii="Times New Roman" w:hAnsi="Times New Roman" w:eastAsia="楷体" w:cs="Times New Roman"/>
          <w:bCs/>
          <w:color w:val="auto"/>
          <w:szCs w:val="21"/>
          <w:highlight w:val="none"/>
        </w:rPr>
        <w:t>未按要求提供或不符合政策条件要求的，其响应文件无效。</w:t>
      </w:r>
    </w:p>
    <w:p>
      <w:pPr>
        <w:pageBreakBefore w:val="0"/>
        <w:kinsoku/>
        <w:wordWrap/>
        <w:overflowPunct/>
        <w:bidi w:val="0"/>
        <w:adjustRightInd w:val="0"/>
        <w:snapToGrid w:val="0"/>
        <w:spacing w:line="360" w:lineRule="exact"/>
        <w:ind w:firstLine="525" w:firstLineChars="250"/>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（3）横线以下只做填报说明，响应文件可不要。</w:t>
      </w:r>
    </w:p>
    <w:p>
      <w:pPr>
        <w:pageBreakBefore w:val="0"/>
        <w:kinsoku/>
        <w:wordWrap/>
        <w:overflowPunct/>
        <w:bidi w:val="0"/>
        <w:adjustRightInd w:val="0"/>
        <w:snapToGrid w:val="0"/>
        <w:spacing w:before="50" w:line="360" w:lineRule="auto"/>
        <w:jc w:val="center"/>
        <w:textAlignment w:val="auto"/>
        <w:outlineLvl w:val="9"/>
        <w:rPr>
          <w:rFonts w:hint="default" w:ascii="Times New Roman" w:hAnsi="Times New Roman" w:eastAsia="黑体" w:cs="Times New Roman"/>
          <w:color w:val="auto"/>
          <w:sz w:val="36"/>
          <w:szCs w:val="36"/>
          <w:highlight w:val="none"/>
        </w:rPr>
      </w:pPr>
      <w:r>
        <w:rPr>
          <w:rFonts w:hint="default" w:ascii="Times New Roman" w:hAnsi="Times New Roman" w:eastAsia="黑体" w:cs="Times New Roman"/>
          <w:color w:val="auto"/>
          <w:sz w:val="36"/>
          <w:szCs w:val="36"/>
          <w:highlight w:val="none"/>
        </w:rPr>
        <w:br w:type="page"/>
      </w:r>
      <w:bookmarkStart w:id="105" w:name="_Toc21831"/>
    </w:p>
    <w:p>
      <w:pPr>
        <w:pageBreakBefore w:val="0"/>
        <w:kinsoku/>
        <w:wordWrap/>
        <w:overflowPunct/>
        <w:bidi w:val="0"/>
        <w:spacing w:line="588" w:lineRule="exact"/>
        <w:jc w:val="both"/>
        <w:textAlignment w:val="auto"/>
        <w:outlineLvl w:val="9"/>
        <w:rPr>
          <w:rFonts w:hint="default" w:ascii="Times New Roman" w:hAnsi="Times New Roman" w:cs="Times New Roman"/>
          <w:b/>
          <w:color w:val="auto"/>
          <w:kern w:val="2"/>
          <w:sz w:val="32"/>
          <w:szCs w:val="32"/>
          <w:highlight w:val="none"/>
          <w:lang w:val="en-US" w:eastAsia="zh-CN" w:bidi="ar-SA"/>
        </w:rPr>
      </w:pPr>
      <w:r>
        <w:rPr>
          <w:rFonts w:hint="default" w:ascii="Times New Roman" w:hAnsi="Times New Roman" w:cs="Times New Roman"/>
          <w:b/>
          <w:color w:val="auto"/>
          <w:kern w:val="2"/>
          <w:sz w:val="32"/>
          <w:szCs w:val="32"/>
          <w:highlight w:val="none"/>
          <w:lang w:val="en-US" w:eastAsia="zh-CN" w:bidi="ar-SA"/>
        </w:rPr>
        <w:t>附件3</w:t>
      </w:r>
    </w:p>
    <w:p>
      <w:pPr>
        <w:pageBreakBefore w:val="0"/>
        <w:kinsoku/>
        <w:wordWrap/>
        <w:overflowPunct/>
        <w:bidi w:val="0"/>
        <w:adjustRightInd w:val="0"/>
        <w:snapToGrid w:val="0"/>
        <w:spacing w:before="50" w:line="360" w:lineRule="auto"/>
        <w:jc w:val="center"/>
        <w:textAlignment w:val="auto"/>
        <w:outlineLvl w:val="9"/>
        <w:rPr>
          <w:rFonts w:hint="default" w:ascii="Times New Roman" w:hAnsi="Times New Roman" w:eastAsia="黑体" w:cs="Times New Roman"/>
          <w:color w:val="auto"/>
          <w:sz w:val="36"/>
          <w:szCs w:val="36"/>
          <w:highlight w:val="none"/>
        </w:rPr>
      </w:pPr>
      <w:r>
        <w:rPr>
          <w:rFonts w:hint="default" w:ascii="Times New Roman" w:hAnsi="Times New Roman" w:eastAsia="宋体" w:cs="Times New Roman"/>
          <w:b/>
          <w:color w:val="auto"/>
          <w:kern w:val="2"/>
          <w:sz w:val="32"/>
          <w:szCs w:val="32"/>
          <w:highlight w:val="none"/>
          <w:lang w:val="en-US" w:eastAsia="zh-CN" w:bidi="ar-SA"/>
        </w:rPr>
        <w:t>监狱企业证明</w:t>
      </w:r>
      <w:bookmarkEnd w:id="105"/>
    </w:p>
    <w:p>
      <w:pPr>
        <w:pageBreakBefore w:val="0"/>
        <w:kinsoku/>
        <w:wordWrap/>
        <w:overflowPunct/>
        <w:bidi w:val="0"/>
        <w:adjustRightInd w:val="0"/>
        <w:snapToGrid w:val="0"/>
        <w:spacing w:before="240" w:beforeLines="100"/>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说明：</w:t>
      </w:r>
    </w:p>
    <w:p>
      <w:pPr>
        <w:pageBreakBefore w:val="0"/>
        <w:kinsoku/>
        <w:wordWrap/>
        <w:overflowPunct/>
        <w:bidi w:val="0"/>
        <w:adjustRightInd w:val="0"/>
        <w:snapToGrid w:val="0"/>
        <w:spacing w:line="360" w:lineRule="exact"/>
        <w:ind w:firstLine="525" w:firstLineChars="250"/>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bCs/>
          <w:color w:val="auto"/>
          <w:szCs w:val="21"/>
          <w:highlight w:val="none"/>
        </w:rPr>
        <w:t>（1）</w:t>
      </w:r>
      <w:r>
        <w:rPr>
          <w:rFonts w:hint="default" w:ascii="Times New Roman" w:hAnsi="Times New Roman" w:eastAsia="楷体" w:cs="Times New Roman"/>
          <w:color w:val="auto"/>
          <w:szCs w:val="21"/>
          <w:highlight w:val="none"/>
        </w:rPr>
        <w:t>填报前请认真阅读</w:t>
      </w:r>
      <w:r>
        <w:rPr>
          <w:rFonts w:hint="default" w:ascii="Times New Roman" w:hAnsi="Times New Roman" w:eastAsia="楷体" w:cs="Times New Roman"/>
          <w:color w:val="auto"/>
          <w:spacing w:val="6"/>
          <w:szCs w:val="21"/>
          <w:highlight w:val="none"/>
        </w:rPr>
        <w:t>《财政部、司法部关于政府采购支持监狱企业发展有关问题的通知》（财库</w:t>
      </w:r>
      <w:r>
        <w:rPr>
          <w:rFonts w:hint="default" w:ascii="Times New Roman" w:hAnsi="Times New Roman" w:eastAsia="楷体" w:cs="Times New Roman"/>
          <w:color w:val="auto"/>
          <w:szCs w:val="21"/>
          <w:highlight w:val="none"/>
        </w:rPr>
        <w:t>〔2014〕68</w:t>
      </w:r>
      <w:r>
        <w:rPr>
          <w:rFonts w:hint="default" w:ascii="Times New Roman" w:hAnsi="Times New Roman" w:eastAsia="楷体" w:cs="Times New Roman"/>
          <w:color w:val="auto"/>
          <w:spacing w:val="6"/>
          <w:szCs w:val="21"/>
          <w:highlight w:val="none"/>
        </w:rPr>
        <w:t>号）的规定。</w:t>
      </w:r>
    </w:p>
    <w:p>
      <w:pPr>
        <w:pageBreakBefore w:val="0"/>
        <w:kinsoku/>
        <w:wordWrap/>
        <w:overflowPunct/>
        <w:bidi w:val="0"/>
        <w:adjustRightInd w:val="0"/>
        <w:snapToGrid w:val="0"/>
        <w:spacing w:line="360" w:lineRule="exact"/>
        <w:ind w:firstLine="527"/>
        <w:textAlignment w:val="auto"/>
        <w:outlineLvl w:val="9"/>
        <w:rPr>
          <w:rFonts w:hint="default" w:ascii="Times New Roman" w:hAnsi="Times New Roman" w:eastAsia="楷体" w:cs="Times New Roman"/>
          <w:bCs/>
          <w:color w:val="auto"/>
          <w:szCs w:val="21"/>
          <w:highlight w:val="none"/>
        </w:rPr>
      </w:pPr>
      <w:r>
        <w:rPr>
          <w:rFonts w:hint="default" w:ascii="Times New Roman" w:hAnsi="Times New Roman" w:eastAsia="楷体" w:cs="Times New Roman"/>
          <w:bCs/>
          <w:color w:val="auto"/>
          <w:szCs w:val="21"/>
          <w:highlight w:val="none"/>
        </w:rPr>
        <w:t>（2）证明文件无格式要求，由出具监狱企业证明的单位自行拟定，出具证明的单位应符合“供应商须知”第</w:t>
      </w:r>
      <w:r>
        <w:rPr>
          <w:rFonts w:hint="default" w:ascii="Times New Roman" w:hAnsi="Times New Roman" w:eastAsia="楷体" w:cs="Times New Roman"/>
          <w:color w:val="auto"/>
          <w:highlight w:val="none"/>
        </w:rPr>
        <w:t>3.4.2.3条款的规定。</w:t>
      </w:r>
    </w:p>
    <w:p>
      <w:pPr>
        <w:pageBreakBefore w:val="0"/>
        <w:kinsoku/>
        <w:wordWrap/>
        <w:overflowPunct/>
        <w:bidi w:val="0"/>
        <w:adjustRightInd w:val="0"/>
        <w:snapToGrid w:val="0"/>
        <w:spacing w:line="360" w:lineRule="exact"/>
        <w:ind w:firstLine="525" w:firstLineChars="250"/>
        <w:textAlignment w:val="auto"/>
        <w:outlineLvl w:val="9"/>
        <w:rPr>
          <w:rFonts w:hint="default" w:ascii="Times New Roman" w:hAnsi="Times New Roman" w:eastAsia="楷体" w:cs="Times New Roman"/>
          <w:bCs/>
          <w:color w:val="auto"/>
          <w:szCs w:val="21"/>
          <w:highlight w:val="none"/>
        </w:rPr>
      </w:pPr>
      <w:r>
        <w:rPr>
          <w:rFonts w:hint="default" w:ascii="Times New Roman" w:hAnsi="Times New Roman" w:eastAsia="楷体" w:cs="Times New Roman"/>
          <w:color w:val="auto"/>
          <w:szCs w:val="21"/>
          <w:highlight w:val="none"/>
        </w:rPr>
        <w:t>（3）供应商属于监狱企业的，</w:t>
      </w:r>
      <w:r>
        <w:rPr>
          <w:rFonts w:hint="default" w:ascii="Times New Roman" w:hAnsi="Times New Roman" w:eastAsia="楷体" w:cs="Times New Roman"/>
          <w:bCs/>
          <w:color w:val="auto"/>
          <w:szCs w:val="21"/>
          <w:highlight w:val="none"/>
        </w:rPr>
        <w:t>未按上述要求提供的或者非监狱企业承接服务的，其响应文件无效。</w:t>
      </w:r>
    </w:p>
    <w:p>
      <w:pPr>
        <w:pStyle w:val="5"/>
        <w:rPr>
          <w:rFonts w:hint="default" w:ascii="Times New Roman" w:hAnsi="Times New Roman" w:eastAsia="楷体" w:cs="Times New Roman"/>
          <w:bCs/>
          <w:color w:val="auto"/>
          <w:szCs w:val="21"/>
          <w:highlight w:val="none"/>
        </w:rPr>
      </w:pPr>
    </w:p>
    <w:p>
      <w:pPr>
        <w:rPr>
          <w:rFonts w:hint="default" w:ascii="Times New Roman" w:hAnsi="Times New Roman" w:eastAsia="楷体" w:cs="Times New Roman"/>
          <w:bCs/>
          <w:color w:val="auto"/>
          <w:szCs w:val="21"/>
          <w:highlight w:val="none"/>
        </w:rPr>
      </w:pPr>
    </w:p>
    <w:p>
      <w:pPr>
        <w:pStyle w:val="5"/>
        <w:rPr>
          <w:rFonts w:hint="default" w:ascii="Times New Roman" w:hAnsi="Times New Roman" w:eastAsia="楷体" w:cs="Times New Roman"/>
          <w:bCs/>
          <w:color w:val="auto"/>
          <w:szCs w:val="21"/>
          <w:highlight w:val="none"/>
        </w:rPr>
      </w:pPr>
    </w:p>
    <w:p>
      <w:pPr>
        <w:rPr>
          <w:rFonts w:hint="default" w:ascii="Times New Roman" w:hAnsi="Times New Roman" w:cs="Times New Roman"/>
          <w:highlight w:val="none"/>
        </w:rPr>
      </w:pPr>
      <w:r>
        <w:rPr>
          <w:rFonts w:hint="default" w:ascii="Times New Roman" w:hAnsi="Times New Roman" w:cs="Times New Roman"/>
          <w:highlight w:val="none"/>
        </w:rPr>
        <w:br w:type="page"/>
      </w:r>
    </w:p>
    <w:p>
      <w:pPr>
        <w:pageBreakBefore w:val="0"/>
        <w:kinsoku/>
        <w:wordWrap/>
        <w:overflowPunct/>
        <w:bidi w:val="0"/>
        <w:spacing w:line="588" w:lineRule="exact"/>
        <w:jc w:val="both"/>
        <w:textAlignment w:val="auto"/>
        <w:outlineLvl w:val="9"/>
        <w:rPr>
          <w:rFonts w:hint="default" w:ascii="Times New Roman" w:hAnsi="Times New Roman" w:cs="Times New Roman"/>
          <w:b/>
          <w:color w:val="auto"/>
          <w:kern w:val="2"/>
          <w:sz w:val="32"/>
          <w:szCs w:val="32"/>
          <w:highlight w:val="none"/>
          <w:lang w:val="en-US" w:eastAsia="zh-CN" w:bidi="ar-SA"/>
        </w:rPr>
      </w:pPr>
      <w:r>
        <w:rPr>
          <w:rFonts w:hint="default" w:ascii="Times New Roman" w:hAnsi="Times New Roman" w:cs="Times New Roman"/>
          <w:b/>
          <w:color w:val="auto"/>
          <w:kern w:val="2"/>
          <w:sz w:val="32"/>
          <w:szCs w:val="32"/>
          <w:highlight w:val="none"/>
          <w:lang w:val="en-US" w:eastAsia="zh-CN" w:bidi="ar-SA"/>
        </w:rPr>
        <w:t>附件4</w:t>
      </w:r>
    </w:p>
    <w:p>
      <w:pPr>
        <w:pageBreakBefore w:val="0"/>
        <w:kinsoku/>
        <w:wordWrap/>
        <w:overflowPunct/>
        <w:bidi w:val="0"/>
        <w:adjustRightInd w:val="0"/>
        <w:snapToGrid w:val="0"/>
        <w:spacing w:line="360" w:lineRule="auto"/>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强制采购或者优先采购产品</w:t>
      </w:r>
      <w:r>
        <w:rPr>
          <w:rFonts w:hint="default" w:ascii="Times New Roman" w:hAnsi="Times New Roman" w:eastAsia="黑体" w:cs="Times New Roman"/>
          <w:bCs/>
          <w:color w:val="auto"/>
          <w:sz w:val="32"/>
          <w:szCs w:val="32"/>
          <w:highlight w:val="none"/>
        </w:rPr>
        <w:t>的</w:t>
      </w:r>
      <w:r>
        <w:rPr>
          <w:rFonts w:hint="default" w:ascii="Times New Roman" w:hAnsi="Times New Roman" w:eastAsia="黑体" w:cs="Times New Roman"/>
          <w:color w:val="auto"/>
          <w:sz w:val="32"/>
          <w:szCs w:val="32"/>
          <w:highlight w:val="none"/>
        </w:rPr>
        <w:t>证明材料</w:t>
      </w:r>
    </w:p>
    <w:p>
      <w:pPr>
        <w:pStyle w:val="8"/>
        <w:pageBreakBefore w:val="0"/>
        <w:kinsoku/>
        <w:wordWrap/>
        <w:overflowPunct/>
        <w:bidi w:val="0"/>
        <w:adjustRightInd w:val="0"/>
        <w:snapToGrid w:val="0"/>
        <w:spacing w:line="360" w:lineRule="auto"/>
        <w:ind w:firstLine="105" w:firstLineChars="50"/>
        <w:textAlignment w:val="auto"/>
        <w:outlineLvl w:val="9"/>
        <w:rPr>
          <w:rFonts w:hint="default" w:ascii="Times New Roman" w:hAnsi="Times New Roman" w:eastAsia="楷体" w:cs="Times New Roman"/>
          <w:color w:val="auto"/>
          <w:highlight w:val="none"/>
        </w:rPr>
      </w:pPr>
      <w:r>
        <w:rPr>
          <w:rFonts w:hint="default" w:ascii="Times New Roman" w:hAnsi="Times New Roman" w:eastAsia="楷体" w:cs="Times New Roman"/>
          <w:color w:val="auto"/>
          <w:highlight w:val="none"/>
        </w:rPr>
        <w:t>说明：</w:t>
      </w:r>
    </w:p>
    <w:p>
      <w:pPr>
        <w:pStyle w:val="8"/>
        <w:pageBreakBefore w:val="0"/>
        <w:kinsoku/>
        <w:wordWrap/>
        <w:overflowPunct/>
        <w:bidi w:val="0"/>
        <w:adjustRightInd w:val="0"/>
        <w:snapToGrid w:val="0"/>
        <w:spacing w:line="360" w:lineRule="auto"/>
        <w:ind w:firstLine="525" w:firstLineChars="250"/>
        <w:textAlignment w:val="auto"/>
        <w:outlineLvl w:val="9"/>
        <w:rPr>
          <w:rFonts w:hint="default" w:ascii="Times New Roman" w:hAnsi="Times New Roman" w:eastAsia="楷体" w:cs="Times New Roman"/>
          <w:bCs/>
          <w:color w:val="auto"/>
          <w:highlight w:val="none"/>
        </w:rPr>
      </w:pPr>
      <w:r>
        <w:rPr>
          <w:rFonts w:hint="default" w:ascii="Times New Roman" w:hAnsi="Times New Roman" w:eastAsia="楷体" w:cs="Times New Roman"/>
          <w:color w:val="auto"/>
          <w:highlight w:val="none"/>
        </w:rPr>
        <w:t>（1）本服务项目包含货物的，所供产品属于《节能产品、环境标志产品品目清单》中产品的，应当按供应商须知第3.4.1条款规定提供相关证明材料。</w:t>
      </w:r>
    </w:p>
    <w:p>
      <w:pPr>
        <w:pStyle w:val="8"/>
        <w:pageBreakBefore w:val="0"/>
        <w:kinsoku/>
        <w:wordWrap/>
        <w:overflowPunct/>
        <w:bidi w:val="0"/>
        <w:adjustRightInd w:val="0"/>
        <w:snapToGrid w:val="0"/>
        <w:spacing w:line="360" w:lineRule="auto"/>
        <w:ind w:firstLine="525" w:firstLineChars="250"/>
        <w:textAlignment w:val="auto"/>
        <w:outlineLvl w:val="9"/>
        <w:rPr>
          <w:rFonts w:hint="default" w:ascii="Times New Roman" w:hAnsi="Times New Roman" w:eastAsia="楷体" w:cs="Times New Roman"/>
          <w:bCs/>
          <w:color w:val="auto"/>
          <w:highlight w:val="none"/>
        </w:rPr>
      </w:pPr>
      <w:r>
        <w:rPr>
          <w:rFonts w:hint="default" w:ascii="Times New Roman" w:hAnsi="Times New Roman" w:eastAsia="楷体" w:cs="Times New Roman"/>
          <w:bCs/>
          <w:color w:val="auto"/>
          <w:highlight w:val="none"/>
        </w:rPr>
        <w:t>（</w:t>
      </w:r>
      <w:r>
        <w:rPr>
          <w:rFonts w:hint="default" w:ascii="Times New Roman" w:hAnsi="Times New Roman" w:eastAsia="楷体" w:cs="Times New Roman"/>
          <w:bCs/>
          <w:color w:val="auto"/>
          <w:highlight w:val="none"/>
          <w:lang w:val="en-US" w:eastAsia="zh-CN"/>
        </w:rPr>
        <w:t>2</w:t>
      </w:r>
      <w:r>
        <w:rPr>
          <w:rFonts w:hint="default" w:ascii="Times New Roman" w:hAnsi="Times New Roman" w:eastAsia="楷体" w:cs="Times New Roman"/>
          <w:bCs/>
          <w:color w:val="auto"/>
          <w:highlight w:val="none"/>
        </w:rPr>
        <w:t>）本采购项目除强制节能产品外的</w:t>
      </w:r>
      <w:r>
        <w:rPr>
          <w:rFonts w:hint="default" w:ascii="Times New Roman" w:hAnsi="Times New Roman" w:eastAsia="楷体" w:cs="Times New Roman"/>
          <w:color w:val="auto"/>
          <w:highlight w:val="none"/>
        </w:rPr>
        <w:t>《节能产品、环境标志产品品目清单》中产品，属于优先采购产品，</w:t>
      </w:r>
      <w:r>
        <w:rPr>
          <w:rFonts w:hint="default" w:ascii="Times New Roman" w:hAnsi="Times New Roman" w:eastAsia="楷体" w:cs="Times New Roman"/>
          <w:bCs/>
          <w:color w:val="auto"/>
          <w:highlight w:val="none"/>
        </w:rPr>
        <w:t>供应商未按上述要求提供相应证明材料和未</w:t>
      </w:r>
      <w:r>
        <w:rPr>
          <w:rFonts w:hint="default" w:ascii="Times New Roman" w:hAnsi="Times New Roman" w:eastAsia="楷体" w:cs="Times New Roman"/>
          <w:color w:val="auto"/>
          <w:highlight w:val="none"/>
        </w:rPr>
        <w:t>在《分项报价明细表》中填写相应证书编号的，</w:t>
      </w:r>
      <w:r>
        <w:rPr>
          <w:rFonts w:hint="default" w:ascii="Times New Roman" w:hAnsi="Times New Roman" w:eastAsia="楷体" w:cs="Times New Roman"/>
          <w:bCs/>
          <w:color w:val="auto"/>
          <w:highlight w:val="none"/>
        </w:rPr>
        <w:t>评审时不予加分。</w:t>
      </w:r>
    </w:p>
    <w:p>
      <w:pPr>
        <w:pStyle w:val="5"/>
        <w:rPr>
          <w:rFonts w:hint="default" w:ascii="Times New Roman" w:hAnsi="Times New Roman" w:cs="Times New Roman"/>
          <w:highlight w:val="none"/>
        </w:rPr>
      </w:pPr>
    </w:p>
    <w:p>
      <w:pPr>
        <w:pStyle w:val="4"/>
        <w:pageBreakBefore w:val="0"/>
        <w:kinsoku/>
        <w:wordWrap/>
        <w:overflowPunct/>
        <w:bidi w:val="0"/>
        <w:spacing w:before="120" w:beforeLines="50"/>
        <w:ind w:firstLine="0"/>
        <w:jc w:val="center"/>
        <w:textAlignment w:val="auto"/>
        <w:outlineLvl w:val="9"/>
        <w:rPr>
          <w:rFonts w:hint="default" w:ascii="Times New Roman" w:hAnsi="Times New Roman" w:eastAsia="黑体" w:cs="Times New Roman"/>
          <w:color w:val="auto"/>
          <w:sz w:val="72"/>
          <w:szCs w:val="72"/>
          <w:highlight w:val="none"/>
        </w:rPr>
      </w:pPr>
      <w:r>
        <w:rPr>
          <w:rFonts w:hint="default" w:ascii="Times New Roman" w:hAnsi="Times New Roman" w:cs="Times New Roman"/>
          <w:b/>
          <w:color w:val="auto"/>
          <w:kern w:val="0"/>
          <w:sz w:val="32"/>
          <w:szCs w:val="32"/>
          <w:highlight w:val="none"/>
          <w:lang w:val="zh-CN"/>
        </w:rPr>
        <w:br w:type="page"/>
      </w:r>
    </w:p>
    <w:p>
      <w:pPr>
        <w:pStyle w:val="4"/>
        <w:pageBreakBefore w:val="0"/>
        <w:kinsoku/>
        <w:wordWrap/>
        <w:overflowPunct/>
        <w:bidi w:val="0"/>
        <w:spacing w:before="120" w:beforeLines="50"/>
        <w:ind w:firstLine="0"/>
        <w:jc w:val="center"/>
        <w:textAlignment w:val="auto"/>
        <w:outlineLvl w:val="9"/>
        <w:rPr>
          <w:rFonts w:hint="default" w:ascii="Times New Roman" w:hAnsi="Times New Roman" w:eastAsia="黑体" w:cs="Times New Roman"/>
          <w:color w:val="auto"/>
          <w:sz w:val="72"/>
          <w:szCs w:val="72"/>
          <w:highlight w:val="none"/>
        </w:rPr>
      </w:pPr>
    </w:p>
    <w:p>
      <w:pPr>
        <w:pStyle w:val="4"/>
        <w:pageBreakBefore w:val="0"/>
        <w:kinsoku/>
        <w:wordWrap/>
        <w:overflowPunct/>
        <w:bidi w:val="0"/>
        <w:spacing w:before="120" w:beforeLines="50"/>
        <w:ind w:firstLine="0"/>
        <w:jc w:val="center"/>
        <w:textAlignment w:val="auto"/>
        <w:outlineLvl w:val="9"/>
        <w:rPr>
          <w:rFonts w:hint="default" w:ascii="Times New Roman" w:hAnsi="Times New Roman" w:eastAsia="黑体" w:cs="Times New Roman"/>
          <w:color w:val="auto"/>
          <w:sz w:val="72"/>
          <w:szCs w:val="72"/>
          <w:highlight w:val="none"/>
        </w:rPr>
      </w:pPr>
    </w:p>
    <w:p>
      <w:pPr>
        <w:pStyle w:val="4"/>
        <w:pageBreakBefore w:val="0"/>
        <w:kinsoku/>
        <w:wordWrap/>
        <w:overflowPunct/>
        <w:bidi w:val="0"/>
        <w:spacing w:before="120" w:beforeLines="50"/>
        <w:ind w:firstLine="0"/>
        <w:jc w:val="center"/>
        <w:textAlignment w:val="auto"/>
        <w:outlineLvl w:val="9"/>
        <w:rPr>
          <w:rFonts w:hint="default" w:ascii="Times New Roman" w:hAnsi="Times New Roman" w:eastAsia="黑体" w:cs="Times New Roman"/>
          <w:color w:val="auto"/>
          <w:sz w:val="72"/>
          <w:szCs w:val="72"/>
          <w:highlight w:val="none"/>
        </w:rPr>
      </w:pPr>
    </w:p>
    <w:p>
      <w:pPr>
        <w:pStyle w:val="4"/>
        <w:pageBreakBefore w:val="0"/>
        <w:kinsoku/>
        <w:wordWrap/>
        <w:overflowPunct/>
        <w:bidi w:val="0"/>
        <w:spacing w:before="120" w:beforeLines="50"/>
        <w:ind w:firstLine="0"/>
        <w:jc w:val="center"/>
        <w:textAlignment w:val="auto"/>
        <w:outlineLvl w:val="9"/>
        <w:rPr>
          <w:rFonts w:hint="default" w:ascii="Times New Roman" w:hAnsi="Times New Roman" w:eastAsia="黑体" w:cs="Times New Roman"/>
          <w:color w:val="auto"/>
          <w:sz w:val="72"/>
          <w:szCs w:val="72"/>
          <w:highlight w:val="none"/>
        </w:rPr>
      </w:pPr>
    </w:p>
    <w:p>
      <w:pPr>
        <w:pStyle w:val="4"/>
        <w:pageBreakBefore w:val="0"/>
        <w:kinsoku/>
        <w:wordWrap/>
        <w:overflowPunct/>
        <w:bidi w:val="0"/>
        <w:spacing w:before="120" w:beforeLines="50"/>
        <w:ind w:firstLine="0"/>
        <w:jc w:val="center"/>
        <w:textAlignment w:val="auto"/>
        <w:outlineLvl w:val="9"/>
        <w:rPr>
          <w:rFonts w:hint="default" w:ascii="Times New Roman" w:hAnsi="Times New Roman" w:eastAsia="黑体" w:cs="Times New Roman"/>
          <w:color w:val="auto"/>
          <w:sz w:val="72"/>
          <w:szCs w:val="72"/>
          <w:highlight w:val="none"/>
        </w:rPr>
      </w:pPr>
      <w:bookmarkStart w:id="106" w:name="_Toc3091"/>
      <w:r>
        <w:rPr>
          <w:rFonts w:hint="default" w:ascii="Times New Roman" w:hAnsi="Times New Roman" w:eastAsia="黑体" w:cs="Times New Roman"/>
          <w:color w:val="auto"/>
          <w:sz w:val="72"/>
          <w:szCs w:val="72"/>
          <w:highlight w:val="none"/>
        </w:rPr>
        <w:t>商务技术文件</w:t>
      </w:r>
      <w:bookmarkEnd w:id="106"/>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eastAsia="仿宋_GB2312" w:cs="Times New Roman"/>
          <w:color w:val="auto"/>
          <w:sz w:val="36"/>
          <w:szCs w:val="36"/>
          <w:highlight w:val="none"/>
        </w:rPr>
      </w:pPr>
    </w:p>
    <w:p>
      <w:pPr>
        <w:pStyle w:val="4"/>
        <w:pageBreakBefore w:val="0"/>
        <w:kinsoku/>
        <w:wordWrap/>
        <w:overflowPunct/>
        <w:bidi w:val="0"/>
        <w:spacing w:before="120" w:beforeLines="50" w:after="120" w:afterLines="50"/>
        <w:ind w:firstLine="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br w:type="page"/>
      </w:r>
      <w:r>
        <w:rPr>
          <w:rFonts w:hint="default" w:ascii="Times New Roman" w:hAnsi="Times New Roman" w:eastAsia="黑体" w:cs="Times New Roman"/>
          <w:color w:val="auto"/>
          <w:sz w:val="32"/>
          <w:szCs w:val="32"/>
          <w:highlight w:val="none"/>
        </w:rPr>
        <w:t>目  录</w:t>
      </w:r>
    </w:p>
    <w:p>
      <w:pPr>
        <w:pStyle w:val="4"/>
        <w:pageBreakBefore w:val="0"/>
        <w:kinsoku/>
        <w:wordWrap/>
        <w:overflowPunct/>
        <w:bidi w:val="0"/>
        <w:spacing w:before="120" w:beforeLines="50" w:line="360" w:lineRule="auto"/>
        <w:ind w:firstLine="1392" w:firstLineChars="580"/>
        <w:textAlignment w:val="auto"/>
        <w:outlineLvl w:val="9"/>
        <w:rPr>
          <w:rFonts w:hint="default" w:ascii="Times New Roman" w:hAnsi="Times New Roman" w:cs="Times New Roman"/>
          <w:color w:val="auto"/>
          <w:sz w:val="24"/>
          <w:szCs w:val="24"/>
          <w:highlight w:val="none"/>
        </w:rPr>
      </w:pPr>
    </w:p>
    <w:p>
      <w:pPr>
        <w:pStyle w:val="4"/>
        <w:pageBreakBefore w:val="0"/>
        <w:kinsoku/>
        <w:wordWrap/>
        <w:overflowPunct/>
        <w:bidi w:val="0"/>
        <w:spacing w:before="120" w:beforeLines="50" w:line="360" w:lineRule="auto"/>
        <w:ind w:firstLineChars="200"/>
        <w:textAlignment w:val="auto"/>
        <w:outlineLvl w:val="9"/>
        <w:rPr>
          <w:rFonts w:hint="default" w:ascii="Times New Roman" w:hAnsi="Times New Roman" w:cs="Times New Roman"/>
          <w:color w:val="auto"/>
          <w:szCs w:val="21"/>
          <w:highlight w:val="none"/>
        </w:rPr>
      </w:pPr>
      <w:bookmarkStart w:id="107" w:name="_Toc14949"/>
      <w:r>
        <w:rPr>
          <w:rFonts w:hint="default" w:ascii="Times New Roman" w:hAnsi="Times New Roman" w:cs="Times New Roman"/>
          <w:color w:val="auto"/>
          <w:szCs w:val="21"/>
          <w:highlight w:val="none"/>
        </w:rPr>
        <w:t>一、竞争性磋商响应函……………………………………………………………………页码</w:t>
      </w:r>
      <w:bookmarkEnd w:id="107"/>
    </w:p>
    <w:p>
      <w:pPr>
        <w:pStyle w:val="4"/>
        <w:pageBreakBefore w:val="0"/>
        <w:kinsoku/>
        <w:wordWrap/>
        <w:overflowPunct/>
        <w:bidi w:val="0"/>
        <w:spacing w:before="120" w:beforeLines="50" w:line="360" w:lineRule="auto"/>
        <w:ind w:firstLineChars="200"/>
        <w:textAlignment w:val="auto"/>
        <w:outlineLvl w:val="9"/>
        <w:rPr>
          <w:rFonts w:hint="default" w:ascii="Times New Roman" w:hAnsi="Times New Roman" w:cs="Times New Roman"/>
          <w:color w:val="auto"/>
          <w:szCs w:val="21"/>
          <w:highlight w:val="none"/>
        </w:rPr>
      </w:pPr>
      <w:bookmarkStart w:id="108" w:name="_Toc4625"/>
      <w:r>
        <w:rPr>
          <w:rFonts w:hint="default" w:ascii="Times New Roman" w:hAnsi="Times New Roman" w:cs="Times New Roman"/>
          <w:color w:val="auto"/>
          <w:szCs w:val="21"/>
          <w:highlight w:val="none"/>
        </w:rPr>
        <w:t>二、磋商报价一览表 ……………………………………………………………………</w:t>
      </w:r>
      <w:bookmarkEnd w:id="108"/>
    </w:p>
    <w:p>
      <w:pPr>
        <w:pStyle w:val="4"/>
        <w:pageBreakBefore w:val="0"/>
        <w:kinsoku/>
        <w:wordWrap/>
        <w:overflowPunct/>
        <w:bidi w:val="0"/>
        <w:spacing w:before="120" w:beforeLines="50" w:line="360" w:lineRule="auto"/>
        <w:ind w:firstLineChars="200"/>
        <w:textAlignment w:val="auto"/>
        <w:outlineLvl w:val="9"/>
        <w:rPr>
          <w:rFonts w:hint="default" w:ascii="Times New Roman" w:hAnsi="Times New Roman" w:eastAsia="宋体" w:cs="Times New Roman"/>
          <w:color w:val="auto"/>
          <w:szCs w:val="21"/>
          <w:highlight w:val="none"/>
          <w:lang w:eastAsia="zh-CN"/>
        </w:rPr>
      </w:pPr>
      <w:bookmarkStart w:id="109" w:name="_Toc5393"/>
      <w:r>
        <w:rPr>
          <w:rFonts w:hint="default" w:ascii="Times New Roman" w:hAnsi="Times New Roman" w:cs="Times New Roman"/>
          <w:color w:val="auto"/>
          <w:szCs w:val="21"/>
          <w:highlight w:val="none"/>
          <w:lang w:eastAsia="zh-CN"/>
        </w:rPr>
        <w:t>三、分项报价明细表</w:t>
      </w:r>
      <w:r>
        <w:rPr>
          <w:rFonts w:hint="default" w:ascii="Times New Roman" w:hAnsi="Times New Roman" w:cs="Times New Roman"/>
          <w:color w:val="auto"/>
          <w:szCs w:val="21"/>
          <w:highlight w:val="none"/>
        </w:rPr>
        <w:t xml:space="preserve"> ……………………………………………………………………</w:t>
      </w:r>
      <w:bookmarkEnd w:id="109"/>
    </w:p>
    <w:p>
      <w:pPr>
        <w:pStyle w:val="4"/>
        <w:pageBreakBefore w:val="0"/>
        <w:tabs>
          <w:tab w:val="right" w:pos="8539"/>
        </w:tabs>
        <w:kinsoku/>
        <w:wordWrap/>
        <w:overflowPunct/>
        <w:bidi w:val="0"/>
        <w:spacing w:before="120" w:beforeLines="50" w:line="360" w:lineRule="auto"/>
        <w:ind w:firstLineChars="200"/>
        <w:textAlignment w:val="auto"/>
        <w:outlineLvl w:val="9"/>
        <w:rPr>
          <w:rFonts w:hint="default" w:ascii="Times New Roman" w:hAnsi="Times New Roman" w:eastAsia="宋体" w:cs="Times New Roman"/>
          <w:color w:val="auto"/>
          <w:szCs w:val="21"/>
          <w:highlight w:val="none"/>
          <w:lang w:eastAsia="zh-CN"/>
        </w:rPr>
      </w:pPr>
      <w:bookmarkStart w:id="110" w:name="_Toc6195"/>
      <w:r>
        <w:rPr>
          <w:rFonts w:hint="default" w:ascii="Times New Roman" w:hAnsi="Times New Roman" w:cs="Times New Roman"/>
          <w:color w:val="auto"/>
          <w:szCs w:val="21"/>
          <w:highlight w:val="none"/>
          <w:lang w:eastAsia="zh-CN"/>
        </w:rPr>
        <w:t>四</w:t>
      </w:r>
      <w:r>
        <w:rPr>
          <w:rFonts w:hint="default" w:ascii="Times New Roman" w:hAnsi="Times New Roman" w:cs="Times New Roman"/>
          <w:color w:val="auto"/>
          <w:szCs w:val="21"/>
          <w:highlight w:val="none"/>
        </w:rPr>
        <w:t>、商务</w:t>
      </w:r>
      <w:r>
        <w:rPr>
          <w:rFonts w:hint="default" w:ascii="Times New Roman" w:hAnsi="Times New Roman" w:cs="Times New Roman"/>
          <w:color w:val="auto"/>
          <w:szCs w:val="21"/>
          <w:highlight w:val="none"/>
          <w:lang w:eastAsia="zh-CN"/>
        </w:rPr>
        <w:t>条款</w:t>
      </w:r>
      <w:r>
        <w:rPr>
          <w:rFonts w:hint="default" w:ascii="Times New Roman" w:hAnsi="Times New Roman" w:cs="Times New Roman"/>
          <w:color w:val="auto"/>
          <w:szCs w:val="21"/>
          <w:highlight w:val="none"/>
        </w:rPr>
        <w:t>偏离表 ……………………………………………………………………</w:t>
      </w:r>
      <w:bookmarkEnd w:id="110"/>
    </w:p>
    <w:p>
      <w:pPr>
        <w:pStyle w:val="4"/>
        <w:pageBreakBefore w:val="0"/>
        <w:kinsoku/>
        <w:wordWrap/>
        <w:overflowPunct/>
        <w:bidi w:val="0"/>
        <w:spacing w:before="120" w:beforeLines="50" w:line="360" w:lineRule="auto"/>
        <w:ind w:firstLineChars="200"/>
        <w:textAlignment w:val="auto"/>
        <w:outlineLvl w:val="9"/>
        <w:rPr>
          <w:rFonts w:hint="default" w:ascii="Times New Roman" w:hAnsi="Times New Roman" w:cs="Times New Roman"/>
          <w:color w:val="auto"/>
          <w:szCs w:val="21"/>
          <w:highlight w:val="none"/>
        </w:rPr>
      </w:pPr>
      <w:bookmarkStart w:id="111" w:name="_Toc11225"/>
      <w:r>
        <w:rPr>
          <w:rFonts w:hint="default" w:ascii="Times New Roman" w:hAnsi="Times New Roman" w:cs="Times New Roman"/>
          <w:color w:val="auto"/>
          <w:szCs w:val="21"/>
          <w:highlight w:val="none"/>
          <w:lang w:eastAsia="zh-CN"/>
        </w:rPr>
        <w:t>五</w:t>
      </w:r>
      <w:r>
        <w:rPr>
          <w:rFonts w:hint="default" w:ascii="Times New Roman" w:hAnsi="Times New Roman" w:cs="Times New Roman"/>
          <w:color w:val="auto"/>
          <w:szCs w:val="21"/>
          <w:highlight w:val="none"/>
        </w:rPr>
        <w:t>、承诺文件………………………………………………………………………………</w:t>
      </w:r>
      <w:bookmarkEnd w:id="111"/>
    </w:p>
    <w:p>
      <w:pPr>
        <w:pStyle w:val="4"/>
        <w:pageBreakBefore w:val="0"/>
        <w:kinsoku/>
        <w:wordWrap/>
        <w:overflowPunct/>
        <w:bidi w:val="0"/>
        <w:spacing w:before="120" w:beforeLines="50" w:line="360" w:lineRule="auto"/>
        <w:ind w:firstLineChars="200"/>
        <w:textAlignment w:val="auto"/>
        <w:outlineLvl w:val="9"/>
        <w:rPr>
          <w:rFonts w:hint="default" w:ascii="Times New Roman" w:hAnsi="Times New Roman" w:cs="Times New Roman"/>
          <w:color w:val="auto"/>
          <w:szCs w:val="21"/>
          <w:highlight w:val="none"/>
        </w:rPr>
      </w:pPr>
      <w:bookmarkStart w:id="112" w:name="_Toc3056"/>
      <w:r>
        <w:rPr>
          <w:rFonts w:hint="default" w:ascii="Times New Roman" w:hAnsi="Times New Roman" w:cs="Times New Roman"/>
          <w:color w:val="auto"/>
          <w:szCs w:val="21"/>
          <w:highlight w:val="none"/>
          <w:lang w:eastAsia="zh-CN"/>
        </w:rPr>
        <w:t>六</w:t>
      </w:r>
      <w:r>
        <w:rPr>
          <w:rFonts w:hint="default" w:ascii="Times New Roman" w:hAnsi="Times New Roman" w:cs="Times New Roman"/>
          <w:color w:val="auto"/>
          <w:szCs w:val="21"/>
          <w:highlight w:val="none"/>
        </w:rPr>
        <w:t>、其他证明材料………………………………………………………………………</w:t>
      </w:r>
      <w:bookmarkEnd w:id="112"/>
    </w:p>
    <w:p>
      <w:pPr>
        <w:pStyle w:val="4"/>
        <w:pageBreakBefore w:val="0"/>
        <w:kinsoku/>
        <w:wordWrap/>
        <w:overflowPunct/>
        <w:bidi w:val="0"/>
        <w:spacing w:before="120" w:beforeLines="50" w:line="360" w:lineRule="auto"/>
        <w:ind w:firstLineChars="200"/>
        <w:textAlignment w:val="auto"/>
        <w:outlineLvl w:val="9"/>
        <w:rPr>
          <w:rFonts w:hint="default" w:ascii="Times New Roman" w:hAnsi="Times New Roman" w:cs="Times New Roman"/>
          <w:color w:val="auto"/>
          <w:szCs w:val="21"/>
          <w:highlight w:val="none"/>
        </w:rPr>
      </w:pPr>
      <w:bookmarkStart w:id="113" w:name="_Toc4640"/>
      <w:r>
        <w:rPr>
          <w:rFonts w:hint="default" w:ascii="Times New Roman" w:hAnsi="Times New Roman" w:cs="Times New Roman"/>
          <w:color w:val="auto"/>
          <w:szCs w:val="21"/>
          <w:highlight w:val="none"/>
          <w:lang w:eastAsia="zh-CN"/>
        </w:rPr>
        <w:t>七</w:t>
      </w:r>
      <w:r>
        <w:rPr>
          <w:rFonts w:hint="default" w:ascii="Times New Roman" w:hAnsi="Times New Roman" w:cs="Times New Roman"/>
          <w:color w:val="auto"/>
          <w:szCs w:val="21"/>
          <w:highlight w:val="none"/>
        </w:rPr>
        <w:t>、技术文件 ……………………………………………………………………………</w:t>
      </w:r>
      <w:bookmarkEnd w:id="113"/>
    </w:p>
    <w:p>
      <w:pPr>
        <w:pStyle w:val="4"/>
        <w:pageBreakBefore w:val="0"/>
        <w:kinsoku/>
        <w:wordWrap/>
        <w:overflowPunct/>
        <w:bidi w:val="0"/>
        <w:spacing w:before="120" w:beforeLines="50" w:line="360" w:lineRule="auto"/>
        <w:ind w:firstLineChars="200"/>
        <w:textAlignment w:val="auto"/>
        <w:outlineLvl w:val="9"/>
        <w:rPr>
          <w:rFonts w:hint="default" w:ascii="Times New Roman" w:hAnsi="Times New Roman" w:cs="Times New Roman"/>
          <w:color w:val="auto"/>
          <w:szCs w:val="21"/>
          <w:highlight w:val="none"/>
        </w:rPr>
      </w:pPr>
      <w:bookmarkStart w:id="114" w:name="_Toc7013"/>
      <w:r>
        <w:rPr>
          <w:rFonts w:hint="default" w:ascii="Times New Roman" w:hAnsi="Times New Roman" w:cs="Times New Roman"/>
          <w:color w:val="auto"/>
          <w:szCs w:val="21"/>
          <w:highlight w:val="none"/>
          <w:lang w:eastAsia="zh-CN"/>
        </w:rPr>
        <w:t>八</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技术条款</w:t>
      </w:r>
      <w:r>
        <w:rPr>
          <w:rFonts w:hint="default" w:ascii="Times New Roman" w:hAnsi="Times New Roman" w:cs="Times New Roman"/>
          <w:bCs/>
          <w:color w:val="auto"/>
          <w:kern w:val="0"/>
          <w:szCs w:val="21"/>
          <w:highlight w:val="none"/>
        </w:rPr>
        <w:t>偏离表</w:t>
      </w:r>
      <w:r>
        <w:rPr>
          <w:rFonts w:hint="default" w:ascii="Times New Roman" w:hAnsi="Times New Roman" w:cs="Times New Roman"/>
          <w:color w:val="auto"/>
          <w:szCs w:val="21"/>
          <w:highlight w:val="none"/>
        </w:rPr>
        <w:t>……………………………………………………………………</w:t>
      </w:r>
      <w:bookmarkEnd w:id="114"/>
    </w:p>
    <w:p>
      <w:pPr>
        <w:pStyle w:val="4"/>
        <w:pageBreakBefore w:val="0"/>
        <w:kinsoku/>
        <w:wordWrap/>
        <w:overflowPunct/>
        <w:bidi w:val="0"/>
        <w:spacing w:before="120" w:beforeLines="50" w:line="360" w:lineRule="auto"/>
        <w:ind w:firstLineChars="200"/>
        <w:textAlignment w:val="auto"/>
        <w:outlineLvl w:val="9"/>
        <w:rPr>
          <w:rFonts w:hint="default" w:ascii="Times New Roman" w:hAnsi="Times New Roman" w:cs="Times New Roman"/>
          <w:color w:val="auto"/>
          <w:szCs w:val="21"/>
          <w:highlight w:val="none"/>
        </w:rPr>
      </w:pPr>
      <w:bookmarkStart w:id="115" w:name="_Toc1031"/>
      <w:r>
        <w:rPr>
          <w:rFonts w:hint="default" w:ascii="Times New Roman" w:hAnsi="Times New Roman" w:cs="Times New Roman"/>
          <w:color w:val="auto"/>
          <w:szCs w:val="21"/>
          <w:highlight w:val="none"/>
          <w:lang w:eastAsia="zh-CN"/>
        </w:rPr>
        <w:t>九</w:t>
      </w:r>
      <w:r>
        <w:rPr>
          <w:rFonts w:hint="default" w:ascii="Times New Roman" w:hAnsi="Times New Roman" w:cs="Times New Roman"/>
          <w:color w:val="auto"/>
          <w:szCs w:val="21"/>
          <w:highlight w:val="none"/>
        </w:rPr>
        <w:t>、供应商认为有必要补充说明的事项………………………………………………</w:t>
      </w:r>
      <w:bookmarkEnd w:id="115"/>
    </w:p>
    <w:p>
      <w:pPr>
        <w:pStyle w:val="4"/>
        <w:pageBreakBefore w:val="0"/>
        <w:kinsoku/>
        <w:wordWrap/>
        <w:overflowPunct/>
        <w:bidi w:val="0"/>
        <w:spacing w:before="120" w:beforeLines="50" w:line="360" w:lineRule="auto"/>
        <w:ind w:firstLineChars="200"/>
        <w:textAlignment w:val="auto"/>
        <w:outlineLvl w:val="9"/>
        <w:rPr>
          <w:rFonts w:hint="default" w:ascii="Times New Roman" w:hAnsi="Times New Roman" w:cs="Times New Roman"/>
          <w:color w:val="auto"/>
          <w:szCs w:val="21"/>
          <w:highlight w:val="none"/>
        </w:rPr>
      </w:pPr>
    </w:p>
    <w:p>
      <w:pPr>
        <w:pStyle w:val="4"/>
        <w:pageBreakBefore w:val="0"/>
        <w:kinsoku/>
        <w:wordWrap/>
        <w:overflowPunct/>
        <w:bidi w:val="0"/>
        <w:spacing w:before="120" w:beforeLines="50" w:line="360" w:lineRule="auto"/>
        <w:ind w:firstLine="1218" w:firstLineChars="580"/>
        <w:textAlignment w:val="auto"/>
        <w:outlineLvl w:val="9"/>
        <w:rPr>
          <w:rFonts w:hint="default" w:ascii="Times New Roman" w:hAnsi="Times New Roman" w:cs="Times New Roman"/>
          <w:color w:val="auto"/>
          <w:szCs w:val="21"/>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pStyle w:val="4"/>
        <w:pageBreakBefore w:val="0"/>
        <w:kinsoku/>
        <w:wordWrap/>
        <w:overflowPunct/>
        <w:bidi w:val="0"/>
        <w:spacing w:before="120" w:beforeLines="50"/>
        <w:ind w:firstLine="0"/>
        <w:textAlignment w:val="auto"/>
        <w:outlineLvl w:val="9"/>
        <w:rPr>
          <w:rFonts w:hint="default" w:ascii="Times New Roman" w:hAnsi="Times New Roman" w:cs="Times New Roman"/>
          <w:b/>
          <w:color w:val="auto"/>
          <w:sz w:val="36"/>
          <w:szCs w:val="36"/>
          <w:highlight w:val="none"/>
        </w:rPr>
      </w:pPr>
    </w:p>
    <w:p>
      <w:pPr>
        <w:rPr>
          <w:rFonts w:hint="default" w:ascii="Times New Roman" w:hAnsi="Times New Roman" w:cs="Times New Roman"/>
          <w:b/>
          <w:color w:val="auto"/>
          <w:szCs w:val="32"/>
          <w:highlight w:val="none"/>
        </w:rPr>
      </w:pPr>
      <w:bookmarkStart w:id="116" w:name="_Toc29953"/>
      <w:r>
        <w:rPr>
          <w:rFonts w:hint="default" w:ascii="Times New Roman" w:hAnsi="Times New Roman" w:cs="Times New Roman"/>
          <w:b/>
          <w:color w:val="auto"/>
          <w:szCs w:val="32"/>
          <w:highlight w:val="none"/>
        </w:rPr>
        <w:br w:type="page"/>
      </w:r>
    </w:p>
    <w:p>
      <w:pPr>
        <w:pStyle w:val="9"/>
        <w:pageBreakBefore w:val="0"/>
        <w:kinsoku/>
        <w:wordWrap/>
        <w:overflowPunct/>
        <w:bidi w:val="0"/>
        <w:spacing w:before="240" w:beforeLines="100" w:after="240" w:afterLines="100" w:line="360" w:lineRule="auto"/>
        <w:ind w:firstLine="0"/>
        <w:jc w:val="center"/>
        <w:textAlignment w:val="auto"/>
        <w:outlineLvl w:val="9"/>
        <w:rPr>
          <w:rFonts w:hint="default" w:ascii="Times New Roman" w:hAnsi="Times New Roman" w:eastAsia="仿宋_GB2312" w:cs="Times New Roman"/>
          <w:b/>
          <w:bCs/>
          <w:color w:val="auto"/>
          <w:szCs w:val="32"/>
          <w:highlight w:val="none"/>
        </w:rPr>
      </w:pPr>
      <w:r>
        <w:rPr>
          <w:rFonts w:hint="default" w:ascii="Times New Roman" w:hAnsi="Times New Roman" w:cs="Times New Roman"/>
          <w:b/>
          <w:color w:val="auto"/>
          <w:szCs w:val="32"/>
          <w:highlight w:val="none"/>
        </w:rPr>
        <w:t>一、竞争性磋商响应函</w:t>
      </w:r>
      <w:bookmarkEnd w:id="116"/>
    </w:p>
    <w:p>
      <w:pPr>
        <w:pStyle w:val="9"/>
        <w:pageBreakBefore w:val="0"/>
        <w:kinsoku/>
        <w:wordWrap/>
        <w:overflowPunct/>
        <w:bidi w:val="0"/>
        <w:spacing w:after="240" w:afterLines="100" w:line="400" w:lineRule="exact"/>
        <w:ind w:firstLine="0"/>
        <w:textAlignment w:val="auto"/>
        <w:outlineLvl w:val="9"/>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lang w:eastAsia="zh-CN"/>
        </w:rPr>
        <w:t>正大鹏安建设项目管理有限公司</w:t>
      </w:r>
      <w:r>
        <w:rPr>
          <w:rFonts w:hint="default" w:ascii="Times New Roman" w:hAnsi="Times New Roman" w:cs="Times New Roman"/>
          <w:bCs/>
          <w:color w:val="auto"/>
          <w:sz w:val="21"/>
          <w:szCs w:val="21"/>
          <w:highlight w:val="none"/>
        </w:rPr>
        <w:t>：</w:t>
      </w:r>
    </w:p>
    <w:p>
      <w:pPr>
        <w:pStyle w:val="9"/>
        <w:pageBreakBefore w:val="0"/>
        <w:kinsoku/>
        <w:wordWrap/>
        <w:overflowPunct/>
        <w:bidi w:val="0"/>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我方已仔细研究了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eastAsia="zh-CN"/>
        </w:rPr>
        <w:t>西安高新区第五十七幼儿园部室设备采购项目</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的磋商文件（政府采购项目编号：</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）的全部内容，知悉参加磋商的风险，我方承诺接受磋商文件的全部条款且无任何异议，</w:t>
      </w:r>
      <w:r>
        <w:rPr>
          <w:rFonts w:hint="default" w:ascii="Times New Roman" w:hAnsi="Times New Roman" w:cs="Times New Roman"/>
          <w:bCs/>
          <w:color w:val="auto"/>
          <w:sz w:val="21"/>
          <w:szCs w:val="21"/>
          <w:highlight w:val="none"/>
        </w:rPr>
        <w:t>决定参加贵单位组织的本项目磋商。</w:t>
      </w:r>
    </w:p>
    <w:p>
      <w:pPr>
        <w:pStyle w:val="8"/>
        <w:pageBreakBefore w:val="0"/>
        <w:kinsoku/>
        <w:wordWrap/>
        <w:overflowPunct/>
        <w:bidi w:val="0"/>
        <w:adjustRightInd w:val="0"/>
        <w:snapToGrid w:val="0"/>
        <w:spacing w:line="360" w:lineRule="auto"/>
        <w:ind w:firstLine="420" w:firstLineChars="200"/>
        <w:textAlignment w:val="auto"/>
        <w:outlineLvl w:val="9"/>
        <w:rPr>
          <w:rFonts w:hint="default" w:ascii="Times New Roman" w:hAnsi="Times New Roman" w:cs="Times New Roman"/>
          <w:bCs/>
          <w:color w:val="auto"/>
          <w:highlight w:val="none"/>
        </w:rPr>
      </w:pPr>
      <w:r>
        <w:rPr>
          <w:rFonts w:hint="default" w:ascii="Times New Roman" w:hAnsi="Times New Roman" w:cs="Times New Roman"/>
          <w:color w:val="auto"/>
          <w:highlight w:val="none"/>
        </w:rPr>
        <w:t>一、我方提交响应文件正本</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份和副本</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份，</w:t>
      </w:r>
      <w:r>
        <w:rPr>
          <w:rFonts w:hint="default" w:ascii="Times New Roman" w:hAnsi="Times New Roman" w:cs="Times New Roman"/>
          <w:bCs/>
          <w:color w:val="auto"/>
          <w:highlight w:val="none"/>
        </w:rPr>
        <w:t>电子文件</w:t>
      </w:r>
      <w:r>
        <w:rPr>
          <w:rFonts w:hint="default" w:ascii="Times New Roman" w:hAnsi="Times New Roman" w:cs="Times New Roman"/>
          <w:bCs/>
          <w:color w:val="auto"/>
          <w:highlight w:val="none"/>
          <w:lang w:val="en-US" w:eastAsia="zh-CN"/>
        </w:rPr>
        <w:t>2</w:t>
      </w:r>
      <w:r>
        <w:rPr>
          <w:rFonts w:hint="default" w:ascii="Times New Roman" w:hAnsi="Times New Roman" w:cs="Times New Roman"/>
          <w:bCs/>
          <w:color w:val="auto"/>
          <w:highlight w:val="none"/>
        </w:rPr>
        <w:t>份（光盘序列号为：</w:t>
      </w:r>
      <w:r>
        <w:rPr>
          <w:rFonts w:hint="default" w:ascii="Times New Roman" w:hAnsi="Times New Roman" w:cs="Times New Roman"/>
          <w:bCs/>
          <w:color w:val="auto"/>
          <w:highlight w:val="none"/>
          <w:u w:val="single"/>
        </w:rPr>
        <w:t xml:space="preserve">   </w:t>
      </w:r>
      <w:r>
        <w:rPr>
          <w:rFonts w:hint="default" w:ascii="Times New Roman" w:hAnsi="Times New Roman" w:cs="Times New Roman"/>
          <w:bCs/>
          <w:color w:val="auto"/>
          <w:highlight w:val="none"/>
          <w:u w:val="none"/>
          <w:lang w:eastAsia="zh-CN"/>
        </w:rPr>
        <w:t>、</w:t>
      </w:r>
      <w:r>
        <w:rPr>
          <w:rFonts w:hint="default" w:ascii="Times New Roman" w:hAnsi="Times New Roman" w:cs="Times New Roman"/>
          <w:bCs/>
          <w:color w:val="auto"/>
          <w:highlight w:val="none"/>
          <w:u w:val="single"/>
        </w:rPr>
        <w:t xml:space="preserve">   </w:t>
      </w:r>
      <w:r>
        <w:rPr>
          <w:rFonts w:hint="default" w:ascii="Times New Roman" w:hAnsi="Times New Roman" w:cs="Times New Roman"/>
          <w:bCs/>
          <w:color w:val="auto"/>
          <w:highlight w:val="none"/>
        </w:rPr>
        <w:t>）。</w:t>
      </w:r>
    </w:p>
    <w:p>
      <w:pPr>
        <w:pStyle w:val="8"/>
        <w:pageBreakBefore w:val="0"/>
        <w:kinsoku/>
        <w:wordWrap/>
        <w:overflowPunct/>
        <w:bidi w:val="0"/>
        <w:adjustRightInd w:val="0"/>
        <w:snapToGrid w:val="0"/>
        <w:spacing w:line="360" w:lineRule="auto"/>
        <w:ind w:firstLine="420" w:firstLineChars="200"/>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二、我方的磋商报价</w:t>
      </w:r>
      <w:r>
        <w:rPr>
          <w:rFonts w:hint="default" w:ascii="Times New Roman" w:hAnsi="Times New Roman" w:cs="Times New Roman"/>
          <w:color w:val="auto"/>
          <w:highlight w:val="none"/>
          <w:lang w:eastAsia="zh-CN"/>
        </w:rPr>
        <w:t>：</w:t>
      </w:r>
      <w:r>
        <w:rPr>
          <w:rFonts w:hint="default" w:ascii="Times New Roman" w:hAnsi="Times New Roman" w:cs="Times New Roman"/>
          <w:b w:val="0"/>
          <w:bCs/>
          <w:color w:val="auto"/>
          <w:kern w:val="2"/>
          <w:sz w:val="21"/>
          <w:szCs w:val="24"/>
          <w:highlight w:val="none"/>
          <w:lang w:val="en-US" w:eastAsia="zh-CN" w:bidi="ar-SA"/>
        </w:rPr>
        <w:t>总报价</w:t>
      </w:r>
      <w:r>
        <w:rPr>
          <w:rFonts w:hint="default" w:ascii="Times New Roman" w:hAnsi="Times New Roman" w:cs="Times New Roman"/>
          <w:b w:val="0"/>
          <w:bCs/>
          <w:color w:val="auto"/>
          <w:kern w:val="2"/>
          <w:sz w:val="21"/>
          <w:szCs w:val="24"/>
          <w:highlight w:val="none"/>
          <w:u w:val="single"/>
          <w:lang w:val="en-US" w:eastAsia="zh-CN" w:bidi="ar-SA"/>
        </w:rPr>
        <w:t xml:space="preserve">        </w:t>
      </w:r>
      <w:r>
        <w:rPr>
          <w:rFonts w:hint="default" w:ascii="Times New Roman" w:hAnsi="Times New Roman" w:cs="Times New Roman"/>
          <w:b w:val="0"/>
          <w:bCs/>
          <w:color w:val="auto"/>
          <w:kern w:val="2"/>
          <w:sz w:val="21"/>
          <w:szCs w:val="24"/>
          <w:highlight w:val="none"/>
          <w:lang w:val="en-US" w:eastAsia="zh-CN" w:bidi="ar-SA"/>
        </w:rPr>
        <w:t>（元）；</w:t>
      </w:r>
      <w:r>
        <w:rPr>
          <w:rFonts w:hint="default" w:ascii="Times New Roman" w:hAnsi="Times New Roman" w:cs="Times New Roman"/>
          <w:b w:val="0"/>
          <w:bCs/>
          <w:color w:val="auto"/>
          <w:highlight w:val="none"/>
        </w:rPr>
        <w:t>人民币（大写）</w:t>
      </w:r>
      <w:r>
        <w:rPr>
          <w:rFonts w:hint="default" w:ascii="Times New Roman" w:hAnsi="Times New Roman" w:cs="Times New Roman"/>
          <w:b w:val="0"/>
          <w:bCs/>
          <w:color w:val="auto"/>
          <w:highlight w:val="none"/>
          <w:u w:val="single"/>
        </w:rPr>
        <w:t xml:space="preserve">      </w:t>
      </w:r>
      <w:r>
        <w:rPr>
          <w:rFonts w:hint="default" w:ascii="Times New Roman" w:hAnsi="Times New Roman" w:cs="Times New Roman"/>
          <w:b w:val="0"/>
          <w:bCs/>
          <w:color w:val="auto"/>
          <w:highlight w:val="none"/>
        </w:rPr>
        <w:t>元，</w:t>
      </w:r>
      <w:r>
        <w:rPr>
          <w:rFonts w:hint="default" w:ascii="Times New Roman" w:hAnsi="Times New Roman" w:cs="Times New Roman"/>
          <w:b w:val="0"/>
          <w:bCs/>
          <w:color w:val="auto"/>
          <w:highlight w:val="none"/>
          <w:lang w:val="en-US" w:eastAsia="zh-CN"/>
        </w:rPr>
        <w:t>供货周期</w:t>
      </w:r>
      <w:r>
        <w:rPr>
          <w:rFonts w:hint="default" w:ascii="Times New Roman" w:hAnsi="Times New Roman" w:cs="Times New Roman"/>
          <w:b w:val="0"/>
          <w:bCs/>
          <w:color w:val="auto"/>
          <w:highlight w:val="none"/>
        </w:rPr>
        <w:t>为</w:t>
      </w:r>
      <w:r>
        <w:rPr>
          <w:rFonts w:hint="default" w:ascii="Times New Roman" w:hAnsi="Times New Roman" w:cs="Times New Roman"/>
          <w:b w:val="0"/>
          <w:bCs/>
          <w:color w:val="auto"/>
          <w:highlight w:val="none"/>
          <w:u w:val="single"/>
          <w:lang w:val="en-US" w:eastAsia="zh-CN"/>
        </w:rPr>
        <w:t xml:space="preserve">   </w:t>
      </w:r>
      <w:r>
        <w:rPr>
          <w:rFonts w:hint="default" w:ascii="Times New Roman" w:hAnsi="Times New Roman" w:cs="Times New Roman"/>
          <w:b/>
          <w:bCs w:val="0"/>
          <w:color w:val="auto"/>
          <w:highlight w:val="none"/>
          <w:u w:val="single"/>
        </w:rPr>
        <w:t xml:space="preserve"> </w:t>
      </w:r>
      <w:r>
        <w:rPr>
          <w:rFonts w:hint="default" w:ascii="Times New Roman" w:hAnsi="Times New Roman" w:cs="Times New Roman"/>
          <w:b w:val="0"/>
          <w:bCs/>
          <w:color w:val="auto"/>
          <w:highlight w:val="none"/>
          <w:u w:val="none"/>
          <w:lang w:val="en-US" w:eastAsia="zh-CN"/>
        </w:rPr>
        <w:t>日历天</w:t>
      </w:r>
      <w:r>
        <w:rPr>
          <w:rFonts w:hint="default" w:ascii="Times New Roman" w:hAnsi="Times New Roman" w:cs="Times New Roman"/>
          <w:b/>
          <w:bCs w:val="0"/>
          <w:color w:val="auto"/>
          <w:highlight w:val="none"/>
        </w:rPr>
        <w:t>，</w:t>
      </w:r>
      <w:r>
        <w:rPr>
          <w:rFonts w:hint="default" w:ascii="Times New Roman" w:hAnsi="Times New Roman" w:cs="Times New Roman"/>
          <w:color w:val="auto"/>
          <w:highlight w:val="none"/>
        </w:rPr>
        <w:t>磋商有效期为</w:t>
      </w:r>
      <w:r>
        <w:rPr>
          <w:rFonts w:hint="default" w:ascii="Times New Roman" w:hAnsi="Times New Roman" w:cs="Times New Roman"/>
          <w:color w:val="auto"/>
          <w:highlight w:val="none"/>
          <w:lang w:val="zh-CN"/>
        </w:rPr>
        <w:t>提交响应文件截止日起</w:t>
      </w:r>
      <w:r>
        <w:rPr>
          <w:rFonts w:hint="default" w:ascii="Times New Roman" w:hAnsi="Times New Roman" w:cs="Times New Roman"/>
          <w:color w:val="auto"/>
          <w:highlight w:val="none"/>
        </w:rPr>
        <w:t>90</w:t>
      </w:r>
      <w:r>
        <w:rPr>
          <w:rFonts w:hint="default" w:ascii="Times New Roman" w:hAnsi="Times New Roman" w:cs="Times New Roman"/>
          <w:color w:val="auto"/>
          <w:highlight w:val="none"/>
          <w:lang w:val="zh-CN"/>
        </w:rPr>
        <w:t>日历</w:t>
      </w:r>
      <w:r>
        <w:rPr>
          <w:rFonts w:hint="default" w:ascii="Times New Roman" w:hAnsi="Times New Roman" w:cs="Times New Roman"/>
          <w:color w:val="auto"/>
          <w:highlight w:val="none"/>
        </w:rPr>
        <w:t>天。</w:t>
      </w:r>
    </w:p>
    <w:p>
      <w:pPr>
        <w:pStyle w:val="9"/>
        <w:pageBreakBefore w:val="0"/>
        <w:kinsoku/>
        <w:wordWrap/>
        <w:overflowPunct/>
        <w:bidi w:val="0"/>
        <w:spacing w:line="360" w:lineRule="auto"/>
        <w:ind w:firstLine="420" w:firstLineChars="200"/>
        <w:textAlignment w:val="auto"/>
        <w:outlineLvl w:val="9"/>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三、我方承诺承诺除商务和技术偏差表列出的偏差外，我方响应磋商文件的全部要求。</w:t>
      </w:r>
    </w:p>
    <w:p>
      <w:pPr>
        <w:pStyle w:val="8"/>
        <w:pageBreakBefore w:val="0"/>
        <w:kinsoku/>
        <w:wordWrap/>
        <w:overflowPunct/>
        <w:bidi w:val="0"/>
        <w:adjustRightInd w:val="0"/>
        <w:snapToGrid w:val="0"/>
        <w:spacing w:line="360" w:lineRule="auto"/>
        <w:ind w:firstLine="420" w:firstLineChars="200"/>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四、我方愿意向贵方提供任何与本项采购有关的样品、数据、情况和技术资料。若贵方需要，我方愿意提供我方作出的一切承诺的证明材料。</w:t>
      </w:r>
    </w:p>
    <w:p>
      <w:pPr>
        <w:pStyle w:val="9"/>
        <w:pageBreakBefore w:val="0"/>
        <w:kinsoku/>
        <w:wordWrap/>
        <w:overflowPunct/>
        <w:bidi w:val="0"/>
        <w:spacing w:line="360" w:lineRule="auto"/>
        <w:ind w:firstLine="420" w:firstLineChars="200"/>
        <w:textAlignment w:val="auto"/>
        <w:outlineLvl w:val="9"/>
        <w:rPr>
          <w:rFonts w:hint="default" w:ascii="Times New Roman" w:hAnsi="Times New Roman" w:cs="Times New Roman"/>
          <w:bCs/>
          <w:color w:val="auto"/>
          <w:sz w:val="21"/>
          <w:szCs w:val="21"/>
          <w:highlight w:val="none"/>
        </w:rPr>
      </w:pPr>
      <w:r>
        <w:rPr>
          <w:rFonts w:hint="default" w:ascii="Times New Roman" w:hAnsi="Times New Roman" w:cs="Times New Roman"/>
          <w:color w:val="auto"/>
          <w:sz w:val="21"/>
          <w:szCs w:val="21"/>
          <w:highlight w:val="none"/>
        </w:rPr>
        <w:t>五、</w:t>
      </w:r>
      <w:r>
        <w:rPr>
          <w:rFonts w:hint="default" w:ascii="Times New Roman" w:hAnsi="Times New Roman" w:cs="Times New Roman"/>
          <w:bCs/>
          <w:color w:val="auto"/>
          <w:sz w:val="21"/>
          <w:szCs w:val="21"/>
          <w:highlight w:val="none"/>
        </w:rPr>
        <w:t>我方承诺在磋商文件规定的磋商有效期内不撤销响应文件。</w:t>
      </w:r>
    </w:p>
    <w:p>
      <w:pPr>
        <w:pStyle w:val="8"/>
        <w:pageBreakBefore w:val="0"/>
        <w:kinsoku/>
        <w:wordWrap/>
        <w:overflowPunct/>
        <w:bidi w:val="0"/>
        <w:adjustRightInd w:val="0"/>
        <w:snapToGrid w:val="0"/>
        <w:spacing w:line="360" w:lineRule="auto"/>
        <w:ind w:firstLine="420" w:firstLineChars="200"/>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六、我方承诺遵守《中华人民共和国政府采购法》及其实施条例等法律法规的有关规定，保证在获得成交资格后：</w:t>
      </w:r>
    </w:p>
    <w:p>
      <w:pPr>
        <w:pStyle w:val="9"/>
        <w:pageBreakBefore w:val="0"/>
        <w:kinsoku/>
        <w:wordWrap/>
        <w:overflowPunct/>
        <w:bidi w:val="0"/>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1.在收到成交通知书后，在成交通知书规定的期限内与采购人签订合同；</w:t>
      </w:r>
    </w:p>
    <w:p>
      <w:pPr>
        <w:pStyle w:val="9"/>
        <w:pageBreakBefore w:val="0"/>
        <w:kinsoku/>
        <w:wordWrap/>
        <w:overflowPunct/>
        <w:bidi w:val="0"/>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2.在签订合同时不向采购人提出附加条件；</w:t>
      </w:r>
    </w:p>
    <w:p>
      <w:pPr>
        <w:pStyle w:val="9"/>
        <w:pageBreakBefore w:val="0"/>
        <w:kinsoku/>
        <w:wordWrap/>
        <w:overflowPunct/>
        <w:bidi w:val="0"/>
        <w:spacing w:line="360" w:lineRule="auto"/>
        <w:ind w:firstLine="420" w:firstLineChars="200"/>
        <w:textAlignment w:val="auto"/>
        <w:outlineLvl w:val="9"/>
        <w:rPr>
          <w:rFonts w:hint="default" w:ascii="Times New Roman" w:hAnsi="Times New Roman" w:cs="Times New Roman"/>
          <w:bCs/>
          <w:color w:val="auto"/>
          <w:sz w:val="21"/>
          <w:szCs w:val="21"/>
          <w:highlight w:val="none"/>
        </w:rPr>
      </w:pPr>
      <w:r>
        <w:rPr>
          <w:rFonts w:hint="default" w:ascii="Times New Roman" w:hAnsi="Times New Roman" w:cs="Times New Roman"/>
          <w:color w:val="auto"/>
          <w:sz w:val="21"/>
          <w:szCs w:val="21"/>
          <w:highlight w:val="none"/>
        </w:rPr>
        <w:t>3.在合同规定期限内完成合同规定的全部义务；</w:t>
      </w:r>
      <w:r>
        <w:rPr>
          <w:rFonts w:hint="default" w:ascii="Times New Roman" w:hAnsi="Times New Roman" w:cs="Times New Roman"/>
          <w:bCs/>
          <w:color w:val="auto"/>
          <w:sz w:val="21"/>
          <w:szCs w:val="21"/>
          <w:highlight w:val="none"/>
        </w:rPr>
        <w:t xml:space="preserve"> </w:t>
      </w:r>
    </w:p>
    <w:p>
      <w:pPr>
        <w:pStyle w:val="8"/>
        <w:pageBreakBefore w:val="0"/>
        <w:kinsoku/>
        <w:wordWrap/>
        <w:overflowPunct/>
        <w:bidi w:val="0"/>
        <w:adjustRightInd w:val="0"/>
        <w:snapToGrid w:val="0"/>
        <w:spacing w:line="360" w:lineRule="auto"/>
        <w:ind w:firstLine="420" w:firstLineChars="200"/>
        <w:textAlignment w:val="auto"/>
        <w:outlineLvl w:val="9"/>
        <w:rPr>
          <w:rFonts w:hint="default" w:ascii="Times New Roman" w:hAnsi="Times New Roman" w:cs="Times New Roman"/>
          <w:bCs/>
          <w:color w:val="auto"/>
          <w:highlight w:val="none"/>
        </w:rPr>
      </w:pPr>
      <w:r>
        <w:rPr>
          <w:rFonts w:hint="default" w:ascii="Times New Roman" w:hAnsi="Times New Roman" w:cs="Times New Roman"/>
          <w:color w:val="auto"/>
          <w:highlight w:val="none"/>
        </w:rPr>
        <w:t>4.</w:t>
      </w:r>
      <w:r>
        <w:rPr>
          <w:rFonts w:hint="default" w:ascii="Times New Roman" w:hAnsi="Times New Roman" w:cs="Times New Roman"/>
          <w:bCs/>
          <w:color w:val="auto"/>
          <w:highlight w:val="none"/>
        </w:rPr>
        <w:t>按照磋商文件规定和标准向贵方交纳采购代理服务费；</w:t>
      </w:r>
    </w:p>
    <w:p>
      <w:pPr>
        <w:pStyle w:val="8"/>
        <w:pageBreakBefore w:val="0"/>
        <w:kinsoku/>
        <w:wordWrap/>
        <w:overflowPunct/>
        <w:bidi w:val="0"/>
        <w:adjustRightInd w:val="0"/>
        <w:snapToGrid w:val="0"/>
        <w:spacing w:line="360" w:lineRule="auto"/>
        <w:ind w:firstLine="420" w:firstLineChars="200"/>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5.按照磋商文件规定提交履约保证金。</w:t>
      </w:r>
    </w:p>
    <w:p>
      <w:pPr>
        <w:pStyle w:val="9"/>
        <w:pageBreakBefore w:val="0"/>
        <w:kinsoku/>
        <w:wordWrap/>
        <w:overflowPunct/>
        <w:bidi w:val="0"/>
        <w:spacing w:line="360" w:lineRule="auto"/>
        <w:ind w:firstLine="420" w:firstLineChars="200"/>
        <w:textAlignment w:val="auto"/>
        <w:outlineLvl w:val="9"/>
        <w:rPr>
          <w:rFonts w:hint="default" w:ascii="Times New Roman" w:hAnsi="Times New Roman" w:cs="Times New Roman"/>
          <w:bCs/>
          <w:color w:val="auto"/>
          <w:sz w:val="21"/>
          <w:szCs w:val="21"/>
          <w:highlight w:val="none"/>
        </w:rPr>
      </w:pPr>
      <w:r>
        <w:rPr>
          <w:rFonts w:hint="default" w:ascii="Times New Roman" w:hAnsi="Times New Roman" w:cs="Times New Roman"/>
          <w:color w:val="auto"/>
          <w:sz w:val="21"/>
          <w:szCs w:val="21"/>
          <w:highlight w:val="none"/>
          <w:lang w:eastAsia="zh-CN"/>
        </w:rPr>
        <w:t>七</w:t>
      </w:r>
      <w:r>
        <w:rPr>
          <w:rFonts w:hint="default" w:ascii="Times New Roman" w:hAnsi="Times New Roman" w:cs="Times New Roman"/>
          <w:color w:val="auto"/>
          <w:sz w:val="21"/>
          <w:szCs w:val="21"/>
          <w:highlight w:val="none"/>
        </w:rPr>
        <w:t>、</w:t>
      </w:r>
      <w:r>
        <w:rPr>
          <w:rFonts w:hint="default" w:ascii="Times New Roman" w:hAnsi="Times New Roman" w:cs="Times New Roman"/>
          <w:bCs/>
          <w:color w:val="auto"/>
          <w:sz w:val="21"/>
          <w:szCs w:val="21"/>
          <w:highlight w:val="none"/>
        </w:rPr>
        <w:t>我方完全理解最低报价不是成交的唯一条件，并尊重磋商小组的评审结论和成交结果。</w:t>
      </w:r>
    </w:p>
    <w:p>
      <w:pPr>
        <w:pStyle w:val="9"/>
        <w:pageBreakBefore w:val="0"/>
        <w:kinsoku/>
        <w:wordWrap/>
        <w:overflowPunct/>
        <w:bidi w:val="0"/>
        <w:spacing w:line="360" w:lineRule="auto"/>
        <w:ind w:firstLine="420" w:firstLineChars="200"/>
        <w:textAlignment w:val="auto"/>
        <w:outlineLvl w:val="9"/>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lang w:eastAsia="zh-CN"/>
        </w:rPr>
        <w:t>八</w:t>
      </w:r>
      <w:r>
        <w:rPr>
          <w:rFonts w:hint="default" w:ascii="Times New Roman" w:hAnsi="Times New Roman" w:cs="Times New Roman"/>
          <w:bCs/>
          <w:color w:val="auto"/>
          <w:sz w:val="21"/>
          <w:szCs w:val="21"/>
          <w:highlight w:val="none"/>
        </w:rPr>
        <w:t>、</w:t>
      </w:r>
      <w:r>
        <w:rPr>
          <w:rFonts w:hint="default" w:ascii="Times New Roman" w:hAnsi="Times New Roman" w:cs="Times New Roman"/>
          <w:color w:val="auto"/>
          <w:sz w:val="21"/>
          <w:szCs w:val="21"/>
          <w:highlight w:val="none"/>
        </w:rPr>
        <w:t>我方在此声明，所递交的响应文件及有关资料内容完整、真实和准确，且不存在第二章“供应商须知”第1.3.2条款规定的任何一种情形。否则，愿承担《中华人民共和国政府采购法》</w:t>
      </w:r>
      <w:r>
        <w:rPr>
          <w:rFonts w:hint="default" w:ascii="Times New Roman" w:hAnsi="Times New Roman" w:cs="Times New Roman"/>
          <w:bCs/>
          <w:color w:val="auto"/>
          <w:sz w:val="21"/>
          <w:szCs w:val="21"/>
          <w:highlight w:val="none"/>
        </w:rPr>
        <w:t>第七十七条规定的法律责任。</w:t>
      </w:r>
    </w:p>
    <w:p>
      <w:pPr>
        <w:pStyle w:val="9"/>
        <w:pageBreakBefore w:val="0"/>
        <w:kinsoku/>
        <w:wordWrap/>
        <w:overflowPunct/>
        <w:bidi w:val="0"/>
        <w:spacing w:line="360" w:lineRule="auto"/>
        <w:ind w:firstLine="420" w:firstLineChars="200"/>
        <w:textAlignment w:val="auto"/>
        <w:outlineLvl w:val="9"/>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lang w:eastAsia="zh-CN"/>
        </w:rPr>
        <w:t>九</w:t>
      </w:r>
      <w:r>
        <w:rPr>
          <w:rFonts w:hint="default" w:ascii="Times New Roman" w:hAnsi="Times New Roman" w:cs="Times New Roman"/>
          <w:bCs/>
          <w:color w:val="auto"/>
          <w:sz w:val="21"/>
          <w:szCs w:val="21"/>
          <w:highlight w:val="none"/>
        </w:rPr>
        <w:t>、</w:t>
      </w:r>
      <w:r>
        <w:rPr>
          <w:rFonts w:hint="default" w:ascii="Times New Roman" w:hAnsi="Times New Roman" w:cs="Times New Roman"/>
          <w:bCs/>
          <w:color w:val="auto"/>
          <w:sz w:val="21"/>
          <w:szCs w:val="21"/>
          <w:highlight w:val="none"/>
          <w:u w:val="single"/>
        </w:rPr>
        <w:t xml:space="preserve">                                      </w:t>
      </w:r>
      <w:r>
        <w:rPr>
          <w:rFonts w:hint="default" w:ascii="Times New Roman" w:hAnsi="Times New Roman" w:cs="Times New Roman"/>
          <w:bCs/>
          <w:color w:val="auto"/>
          <w:sz w:val="21"/>
          <w:szCs w:val="21"/>
          <w:highlight w:val="none"/>
        </w:rPr>
        <w:t>（其他补充说明）。</w:t>
      </w:r>
    </w:p>
    <w:p>
      <w:pPr>
        <w:pStyle w:val="9"/>
        <w:pageBreakBefore w:val="0"/>
        <w:kinsoku/>
        <w:wordWrap/>
        <w:overflowPunct/>
        <w:bidi w:val="0"/>
        <w:spacing w:line="360" w:lineRule="auto"/>
        <w:ind w:firstLine="420" w:firstLineChars="200"/>
        <w:textAlignment w:val="auto"/>
        <w:outlineLvl w:val="9"/>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十、有关本项目的所有函电，请按下列地址联系：</w:t>
      </w:r>
    </w:p>
    <w:p>
      <w:pPr>
        <w:pStyle w:val="9"/>
        <w:pageBreakBefore w:val="0"/>
        <w:kinsoku/>
        <w:wordWrap/>
        <w:overflowPunct/>
        <w:bidi w:val="0"/>
        <w:spacing w:line="360" w:lineRule="auto"/>
        <w:ind w:firstLine="0"/>
        <w:textAlignment w:val="auto"/>
        <w:outlineLvl w:val="9"/>
        <w:rPr>
          <w:rFonts w:hint="default" w:ascii="Times New Roman" w:hAnsi="Times New Roman" w:cs="Times New Roman"/>
          <w:bCs/>
          <w:color w:val="auto"/>
          <w:sz w:val="21"/>
          <w:szCs w:val="21"/>
          <w:highlight w:val="none"/>
        </w:rPr>
      </w:pPr>
    </w:p>
    <w:p>
      <w:pPr>
        <w:pStyle w:val="9"/>
        <w:pageBreakBefore w:val="0"/>
        <w:kinsoku/>
        <w:wordWrap/>
        <w:overflowPunct/>
        <w:bidi w:val="0"/>
        <w:spacing w:line="360" w:lineRule="auto"/>
        <w:ind w:firstLine="420" w:firstLineChars="200"/>
        <w:textAlignment w:val="auto"/>
        <w:outlineLvl w:val="9"/>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供  应   商：</w:t>
      </w:r>
      <w:r>
        <w:rPr>
          <w:rFonts w:hint="default" w:ascii="Times New Roman" w:hAnsi="Times New Roman" w:cs="Times New Roman"/>
          <w:bCs/>
          <w:color w:val="auto"/>
          <w:sz w:val="21"/>
          <w:szCs w:val="21"/>
          <w:highlight w:val="none"/>
          <w:u w:val="single"/>
        </w:rPr>
        <w:t xml:space="preserve">                                 </w:t>
      </w:r>
      <w:r>
        <w:rPr>
          <w:rFonts w:hint="default" w:ascii="Times New Roman" w:hAnsi="Times New Roman" w:cs="Times New Roman"/>
          <w:bCs/>
          <w:color w:val="auto"/>
          <w:sz w:val="21"/>
          <w:szCs w:val="21"/>
          <w:highlight w:val="none"/>
        </w:rPr>
        <w:t>（盖单位章）</w:t>
      </w:r>
    </w:p>
    <w:p>
      <w:pPr>
        <w:pStyle w:val="9"/>
        <w:pageBreakBefore w:val="0"/>
        <w:kinsoku/>
        <w:wordWrap/>
        <w:overflowPunct/>
        <w:bidi w:val="0"/>
        <w:spacing w:line="360" w:lineRule="auto"/>
        <w:ind w:firstLine="420" w:firstLineChars="200"/>
        <w:textAlignment w:val="auto"/>
        <w:outlineLvl w:val="9"/>
        <w:rPr>
          <w:rFonts w:hint="default" w:ascii="Times New Roman" w:hAnsi="Times New Roman" w:cs="Times New Roman"/>
          <w:bCs/>
          <w:color w:val="auto"/>
          <w:sz w:val="21"/>
          <w:szCs w:val="21"/>
          <w:highlight w:val="none"/>
        </w:rPr>
      </w:pPr>
    </w:p>
    <w:p>
      <w:pPr>
        <w:pStyle w:val="9"/>
        <w:pageBreakBefore w:val="0"/>
        <w:kinsoku/>
        <w:wordWrap/>
        <w:overflowPunct/>
        <w:bidi w:val="0"/>
        <w:spacing w:line="360" w:lineRule="auto"/>
        <w:ind w:firstLine="420" w:firstLineChars="200"/>
        <w:textAlignment w:val="auto"/>
        <w:outlineLvl w:val="9"/>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法定代表人或委托代理人：</w:t>
      </w:r>
      <w:r>
        <w:rPr>
          <w:rFonts w:hint="default" w:ascii="Times New Roman" w:hAnsi="Times New Roman" w:cs="Times New Roman"/>
          <w:bCs/>
          <w:color w:val="auto"/>
          <w:sz w:val="21"/>
          <w:szCs w:val="21"/>
          <w:highlight w:val="none"/>
          <w:u w:val="single"/>
        </w:rPr>
        <w:t xml:space="preserve">                   </w:t>
      </w:r>
      <w:r>
        <w:rPr>
          <w:rFonts w:hint="default" w:ascii="Times New Roman" w:hAnsi="Times New Roman" w:cs="Times New Roman"/>
          <w:bCs/>
          <w:color w:val="auto"/>
          <w:sz w:val="21"/>
          <w:szCs w:val="21"/>
          <w:highlight w:val="none"/>
        </w:rPr>
        <w:t>（签字）</w:t>
      </w:r>
    </w:p>
    <w:p>
      <w:pPr>
        <w:pageBreakBefore w:val="0"/>
        <w:kinsoku/>
        <w:wordWrap/>
        <w:overflowPunct/>
        <w:bidi w:val="0"/>
        <w:spacing w:line="400" w:lineRule="exact"/>
        <w:textAlignment w:val="auto"/>
        <w:outlineLvl w:val="9"/>
        <w:rPr>
          <w:rFonts w:hint="default" w:ascii="Times New Roman" w:hAnsi="Times New Roman" w:eastAsia="仿宋_GB2312" w:cs="Times New Roman"/>
          <w:b/>
          <w:color w:val="auto"/>
          <w:sz w:val="28"/>
          <w:szCs w:val="28"/>
          <w:highlight w:val="none"/>
        </w:rPr>
      </w:pPr>
    </w:p>
    <w:p>
      <w:pPr>
        <w:pStyle w:val="9"/>
        <w:pageBreakBefore w:val="0"/>
        <w:kinsoku/>
        <w:wordWrap/>
        <w:overflowPunct/>
        <w:bidi w:val="0"/>
        <w:spacing w:line="360" w:lineRule="auto"/>
        <w:ind w:firstLine="420" w:firstLineChars="200"/>
        <w:textAlignment w:val="auto"/>
        <w:outlineLvl w:val="9"/>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通讯地址：</w:t>
      </w:r>
    </w:p>
    <w:p>
      <w:pPr>
        <w:pStyle w:val="9"/>
        <w:pageBreakBefore w:val="0"/>
        <w:kinsoku/>
        <w:wordWrap/>
        <w:overflowPunct/>
        <w:bidi w:val="0"/>
        <w:spacing w:line="360" w:lineRule="auto"/>
        <w:ind w:firstLine="420" w:firstLineChars="200"/>
        <w:textAlignment w:val="auto"/>
        <w:outlineLvl w:val="9"/>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邮政编码：</w:t>
      </w:r>
    </w:p>
    <w:p>
      <w:pPr>
        <w:pStyle w:val="9"/>
        <w:pageBreakBefore w:val="0"/>
        <w:kinsoku/>
        <w:wordWrap/>
        <w:overflowPunct/>
        <w:bidi w:val="0"/>
        <w:spacing w:line="360" w:lineRule="auto"/>
        <w:ind w:firstLine="420" w:firstLineChars="200"/>
        <w:textAlignment w:val="auto"/>
        <w:outlineLvl w:val="9"/>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联系电话：</w:t>
      </w:r>
    </w:p>
    <w:p>
      <w:pPr>
        <w:pStyle w:val="9"/>
        <w:pageBreakBefore w:val="0"/>
        <w:kinsoku/>
        <w:wordWrap/>
        <w:overflowPunct/>
        <w:bidi w:val="0"/>
        <w:spacing w:line="360" w:lineRule="auto"/>
        <w:ind w:firstLine="420" w:firstLineChars="200"/>
        <w:textAlignment w:val="auto"/>
        <w:outlineLvl w:val="9"/>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联 系 人：</w:t>
      </w:r>
    </w:p>
    <w:p>
      <w:pPr>
        <w:pStyle w:val="9"/>
        <w:pageBreakBefore w:val="0"/>
        <w:kinsoku/>
        <w:wordWrap/>
        <w:overflowPunct/>
        <w:bidi w:val="0"/>
        <w:spacing w:line="360" w:lineRule="auto"/>
        <w:ind w:firstLine="420" w:firstLineChars="200"/>
        <w:textAlignment w:val="auto"/>
        <w:outlineLvl w:val="9"/>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传    真：</w:t>
      </w:r>
    </w:p>
    <w:p>
      <w:pPr>
        <w:pStyle w:val="9"/>
        <w:pageBreakBefore w:val="0"/>
        <w:kinsoku/>
        <w:wordWrap/>
        <w:overflowPunct/>
        <w:bidi w:val="0"/>
        <w:spacing w:line="360" w:lineRule="auto"/>
        <w:ind w:firstLine="420" w:firstLineChars="200"/>
        <w:textAlignment w:val="auto"/>
        <w:outlineLvl w:val="9"/>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电子邮件：</w:t>
      </w:r>
    </w:p>
    <w:p>
      <w:pPr>
        <w:pStyle w:val="9"/>
        <w:pageBreakBefore w:val="0"/>
        <w:kinsoku/>
        <w:wordWrap/>
        <w:overflowPunct/>
        <w:bidi w:val="0"/>
        <w:spacing w:line="360" w:lineRule="auto"/>
        <w:ind w:firstLine="420" w:firstLineChars="200"/>
        <w:textAlignment w:val="auto"/>
        <w:outlineLvl w:val="9"/>
        <w:rPr>
          <w:rFonts w:hint="eastAsia" w:ascii="Times New Roman" w:hAnsi="Times New Roman" w:eastAsia="宋体" w:cs="Times New Roman"/>
          <w:bCs/>
          <w:color w:val="auto"/>
          <w:sz w:val="21"/>
          <w:szCs w:val="21"/>
          <w:highlight w:val="none"/>
          <w:lang w:eastAsia="zh-CN"/>
        </w:rPr>
      </w:pPr>
      <w:r>
        <w:rPr>
          <w:rFonts w:hint="default" w:ascii="Times New Roman" w:hAnsi="Times New Roman" w:cs="Times New Roman"/>
          <w:bCs/>
          <w:color w:val="auto"/>
          <w:sz w:val="21"/>
          <w:szCs w:val="21"/>
          <w:highlight w:val="none"/>
        </w:rPr>
        <w:t>开户银行</w:t>
      </w:r>
      <w:r>
        <w:rPr>
          <w:rFonts w:hint="eastAsia" w:ascii="Times New Roman" w:hAnsi="Times New Roman" w:cs="Times New Roman"/>
          <w:bCs/>
          <w:color w:val="auto"/>
          <w:sz w:val="21"/>
          <w:szCs w:val="21"/>
          <w:highlight w:val="none"/>
          <w:lang w:eastAsia="zh-CN"/>
        </w:rPr>
        <w:t>：</w:t>
      </w:r>
    </w:p>
    <w:p>
      <w:pPr>
        <w:pStyle w:val="9"/>
        <w:pageBreakBefore w:val="0"/>
        <w:kinsoku/>
        <w:wordWrap/>
        <w:overflowPunct/>
        <w:bidi w:val="0"/>
        <w:spacing w:line="360" w:lineRule="auto"/>
        <w:ind w:firstLine="420" w:firstLineChars="200"/>
        <w:textAlignment w:val="auto"/>
        <w:outlineLvl w:val="9"/>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帐    号：</w:t>
      </w:r>
    </w:p>
    <w:p>
      <w:pPr>
        <w:pStyle w:val="9"/>
        <w:pageBreakBefore w:val="0"/>
        <w:kinsoku/>
        <w:wordWrap/>
        <w:overflowPunct/>
        <w:bidi w:val="0"/>
        <w:spacing w:line="360" w:lineRule="auto"/>
        <w:ind w:firstLine="420" w:firstLineChars="200"/>
        <w:textAlignment w:val="auto"/>
        <w:outlineLvl w:val="9"/>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日    期：20   年   月   日</w:t>
      </w:r>
    </w:p>
    <w:p>
      <w:pPr>
        <w:pageBreakBefore w:val="0"/>
        <w:kinsoku/>
        <w:wordWrap/>
        <w:overflowPunct/>
        <w:bidi w:val="0"/>
        <w:spacing w:line="400" w:lineRule="exact"/>
        <w:jc w:val="center"/>
        <w:textAlignment w:val="auto"/>
        <w:outlineLvl w:val="9"/>
        <w:rPr>
          <w:rFonts w:hint="default" w:ascii="Times New Roman" w:hAnsi="Times New Roman" w:cs="Times New Roman"/>
          <w:b/>
          <w:color w:val="auto"/>
          <w:sz w:val="32"/>
          <w:szCs w:val="32"/>
          <w:highlight w:val="none"/>
        </w:rPr>
      </w:pPr>
      <w:r>
        <w:rPr>
          <w:rFonts w:hint="default" w:ascii="Times New Roman" w:hAnsi="Times New Roman" w:cs="Times New Roman"/>
          <w:b/>
          <w:bCs/>
          <w:color w:val="auto"/>
          <w:sz w:val="32"/>
          <w:szCs w:val="32"/>
          <w:highlight w:val="none"/>
        </w:rPr>
        <w:br w:type="page"/>
      </w:r>
      <w:bookmarkStart w:id="117" w:name="_Toc14565"/>
      <w:r>
        <w:rPr>
          <w:rFonts w:hint="default" w:ascii="Times New Roman" w:hAnsi="Times New Roman" w:cs="Times New Roman"/>
          <w:b/>
          <w:bCs/>
          <w:color w:val="auto"/>
          <w:sz w:val="32"/>
          <w:szCs w:val="32"/>
          <w:highlight w:val="none"/>
        </w:rPr>
        <w:t>二、</w:t>
      </w:r>
      <w:r>
        <w:rPr>
          <w:rFonts w:hint="default" w:ascii="Times New Roman" w:hAnsi="Times New Roman" w:cs="Times New Roman"/>
          <w:b/>
          <w:color w:val="auto"/>
          <w:sz w:val="32"/>
          <w:szCs w:val="32"/>
          <w:highlight w:val="none"/>
        </w:rPr>
        <w:t>磋商报价一览表</w:t>
      </w:r>
      <w:bookmarkEnd w:id="117"/>
    </w:p>
    <w:p>
      <w:pPr>
        <w:pageBreakBefore w:val="0"/>
        <w:kinsoku/>
        <w:wordWrap/>
        <w:overflowPunct/>
        <w:bidi w:val="0"/>
        <w:spacing w:line="400" w:lineRule="exact"/>
        <w:jc w:val="center"/>
        <w:textAlignment w:val="auto"/>
        <w:outlineLvl w:val="9"/>
        <w:rPr>
          <w:rFonts w:hint="default" w:ascii="Times New Roman" w:hAnsi="Times New Roman" w:cs="Times New Roman"/>
          <w:b/>
          <w:color w:val="auto"/>
          <w:sz w:val="36"/>
          <w:szCs w:val="36"/>
          <w:highlight w:val="none"/>
        </w:rPr>
      </w:pPr>
    </w:p>
    <w:p>
      <w:pPr>
        <w:pageBreakBefore w:val="0"/>
        <w:kinsoku/>
        <w:wordWrap/>
        <w:overflowPunct/>
        <w:bidi w:val="0"/>
        <w:spacing w:after="120" w:afterLines="50" w:line="400" w:lineRule="exact"/>
        <w:ind w:firstLine="105" w:firstLineChars="50"/>
        <w:textAlignment w:val="auto"/>
        <w:outlineLvl w:val="9"/>
        <w:rPr>
          <w:rFonts w:hint="default" w:ascii="Times New Roman" w:hAnsi="Times New Roman" w:cs="Times New Roman"/>
          <w:color w:val="auto"/>
          <w:szCs w:val="21"/>
          <w:highlight w:val="none"/>
        </w:rPr>
      </w:pPr>
      <w:bookmarkStart w:id="118" w:name="_Toc8818"/>
      <w:r>
        <w:rPr>
          <w:rFonts w:hint="default" w:ascii="Times New Roman" w:hAnsi="Times New Roman" w:cs="Times New Roman"/>
          <w:color w:val="auto"/>
          <w:szCs w:val="21"/>
          <w:highlight w:val="none"/>
        </w:rPr>
        <w:t>采购项目编号：</w:t>
      </w:r>
      <w:bookmarkEnd w:id="118"/>
      <w:r>
        <w:rPr>
          <w:rFonts w:hint="default" w:ascii="Times New Roman" w:hAnsi="Times New Roman" w:cs="Times New Roman"/>
          <w:color w:val="auto"/>
          <w:szCs w:val="21"/>
          <w:highlight w:val="none"/>
        </w:rPr>
        <w:t xml:space="preserve">                                                      </w:t>
      </w:r>
    </w:p>
    <w:tbl>
      <w:tblPr>
        <w:tblStyle w:val="17"/>
        <w:tblW w:w="9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2871"/>
        <w:gridCol w:w="1684"/>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984" w:type="dxa"/>
            <w:noWrap w:val="0"/>
            <w:vAlign w:val="center"/>
          </w:tcPr>
          <w:p>
            <w:pPr>
              <w:pageBreakBefore w:val="0"/>
              <w:widowControl/>
              <w:kinsoku/>
              <w:wordWrap/>
              <w:overflowPunct/>
              <w:bidi w:val="0"/>
              <w:jc w:val="center"/>
              <w:textAlignment w:val="auto"/>
              <w:outlineLvl w:val="9"/>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项目名称</w:t>
            </w:r>
          </w:p>
        </w:tc>
        <w:tc>
          <w:tcPr>
            <w:tcW w:w="2871" w:type="dxa"/>
            <w:noWrap w:val="0"/>
            <w:vAlign w:val="center"/>
          </w:tcPr>
          <w:p>
            <w:pPr>
              <w:pageBreakBefore w:val="0"/>
              <w:widowControl/>
              <w:kinsoku/>
              <w:wordWrap/>
              <w:overflowPunct/>
              <w:bidi w:val="0"/>
              <w:jc w:val="center"/>
              <w:textAlignment w:val="auto"/>
              <w:outlineLvl w:val="9"/>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总报价</w:t>
            </w:r>
          </w:p>
          <w:p>
            <w:pPr>
              <w:pageBreakBefore w:val="0"/>
              <w:widowControl/>
              <w:kinsoku/>
              <w:wordWrap/>
              <w:overflowPunct/>
              <w:bidi w:val="0"/>
              <w:jc w:val="center"/>
              <w:textAlignment w:val="auto"/>
              <w:outlineLvl w:val="9"/>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（元）</w:t>
            </w:r>
          </w:p>
        </w:tc>
        <w:tc>
          <w:tcPr>
            <w:tcW w:w="1684" w:type="dxa"/>
            <w:noWrap w:val="0"/>
            <w:vAlign w:val="center"/>
          </w:tcPr>
          <w:p>
            <w:pPr>
              <w:pageBreakBefore w:val="0"/>
              <w:widowControl/>
              <w:kinsoku/>
              <w:wordWrap/>
              <w:overflowPunct/>
              <w:bidi w:val="0"/>
              <w:jc w:val="center"/>
              <w:textAlignment w:val="auto"/>
              <w:outlineLvl w:val="9"/>
              <w:rPr>
                <w:rFonts w:hint="default" w:ascii="Times New Roman" w:hAnsi="Times New Roman" w:cs="Times New Roman"/>
                <w:b/>
                <w:bCs/>
                <w:color w:val="auto"/>
                <w:kern w:val="0"/>
                <w:sz w:val="24"/>
                <w:highlight w:val="none"/>
                <w:lang w:val="en-US" w:eastAsia="zh-CN"/>
              </w:rPr>
            </w:pPr>
            <w:r>
              <w:rPr>
                <w:rFonts w:hint="default" w:ascii="Times New Roman" w:hAnsi="Times New Roman" w:cs="Times New Roman"/>
                <w:b/>
                <w:bCs/>
                <w:color w:val="auto"/>
                <w:kern w:val="0"/>
                <w:sz w:val="24"/>
                <w:highlight w:val="none"/>
                <w:lang w:val="en-US" w:eastAsia="zh-CN"/>
              </w:rPr>
              <w:t>供货周期</w:t>
            </w:r>
          </w:p>
        </w:tc>
        <w:tc>
          <w:tcPr>
            <w:tcW w:w="1684" w:type="dxa"/>
            <w:noWrap w:val="0"/>
            <w:vAlign w:val="center"/>
          </w:tcPr>
          <w:p>
            <w:pPr>
              <w:pageBreakBefore w:val="0"/>
              <w:widowControl/>
              <w:kinsoku/>
              <w:wordWrap/>
              <w:overflowPunct/>
              <w:bidi w:val="0"/>
              <w:jc w:val="center"/>
              <w:textAlignment w:val="auto"/>
              <w:outlineLvl w:val="9"/>
              <w:rPr>
                <w:rFonts w:hint="default" w:ascii="Times New Roman" w:hAnsi="Times New Roman" w:eastAsia="宋体" w:cs="Times New Roman"/>
                <w:b/>
                <w:bCs/>
                <w:color w:val="auto"/>
                <w:kern w:val="0"/>
                <w:sz w:val="24"/>
                <w:highlight w:val="none"/>
                <w:lang w:val="en-US" w:eastAsia="zh-CN"/>
              </w:rPr>
            </w:pPr>
            <w:r>
              <w:rPr>
                <w:rFonts w:hint="default" w:ascii="Times New Roman" w:hAnsi="Times New Roman" w:cs="Times New Roman"/>
                <w:b/>
                <w:bCs/>
                <w:color w:val="auto"/>
                <w:kern w:val="0"/>
                <w:sz w:val="24"/>
                <w:highlight w:val="none"/>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984" w:type="dxa"/>
            <w:noWrap w:val="0"/>
            <w:vAlign w:val="center"/>
          </w:tcPr>
          <w:p>
            <w:pPr>
              <w:pageBreakBefore w:val="0"/>
              <w:widowControl/>
              <w:kinsoku/>
              <w:wordWrap/>
              <w:overflowPunct/>
              <w:bidi w:val="0"/>
              <w:jc w:val="center"/>
              <w:textAlignment w:val="auto"/>
              <w:outlineLvl w:val="9"/>
              <w:rPr>
                <w:rFonts w:hint="default" w:ascii="Times New Roman" w:hAnsi="Times New Roman" w:cs="Times New Roman"/>
                <w:color w:val="auto"/>
                <w:kern w:val="0"/>
                <w:sz w:val="24"/>
                <w:highlight w:val="none"/>
              </w:rPr>
            </w:pPr>
          </w:p>
        </w:tc>
        <w:tc>
          <w:tcPr>
            <w:tcW w:w="2871" w:type="dxa"/>
            <w:noWrap w:val="0"/>
            <w:vAlign w:val="center"/>
          </w:tcPr>
          <w:p>
            <w:pPr>
              <w:pageBreakBefore w:val="0"/>
              <w:widowControl/>
              <w:kinsoku/>
              <w:wordWrap/>
              <w:overflowPunct/>
              <w:bidi w:val="0"/>
              <w:jc w:val="center"/>
              <w:textAlignment w:val="auto"/>
              <w:outlineLvl w:val="9"/>
              <w:rPr>
                <w:rFonts w:hint="default" w:ascii="Times New Roman" w:hAnsi="Times New Roman" w:cs="Times New Roman"/>
                <w:b/>
                <w:bCs/>
                <w:color w:val="auto"/>
                <w:kern w:val="0"/>
                <w:sz w:val="24"/>
                <w:highlight w:val="none"/>
              </w:rPr>
            </w:pPr>
          </w:p>
        </w:tc>
        <w:tc>
          <w:tcPr>
            <w:tcW w:w="1684" w:type="dxa"/>
            <w:noWrap w:val="0"/>
            <w:vAlign w:val="center"/>
          </w:tcPr>
          <w:p>
            <w:pPr>
              <w:pageBreakBefore w:val="0"/>
              <w:widowControl/>
              <w:kinsoku/>
              <w:wordWrap/>
              <w:overflowPunct/>
              <w:bidi w:val="0"/>
              <w:jc w:val="center"/>
              <w:textAlignment w:val="auto"/>
              <w:outlineLvl w:val="9"/>
              <w:rPr>
                <w:rFonts w:hint="default" w:ascii="Times New Roman" w:hAnsi="Times New Roman" w:cs="Times New Roman"/>
                <w:b/>
                <w:bCs/>
                <w:color w:val="auto"/>
                <w:kern w:val="0"/>
                <w:sz w:val="24"/>
                <w:highlight w:val="none"/>
              </w:rPr>
            </w:pPr>
          </w:p>
        </w:tc>
        <w:tc>
          <w:tcPr>
            <w:tcW w:w="1684" w:type="dxa"/>
            <w:noWrap w:val="0"/>
            <w:vAlign w:val="center"/>
          </w:tcPr>
          <w:p>
            <w:pPr>
              <w:pageBreakBefore w:val="0"/>
              <w:widowControl/>
              <w:kinsoku/>
              <w:wordWrap/>
              <w:overflowPunct/>
              <w:bidi w:val="0"/>
              <w:jc w:val="center"/>
              <w:textAlignment w:val="auto"/>
              <w:outlineLvl w:val="9"/>
              <w:rPr>
                <w:rFonts w:hint="default" w:ascii="Times New Roman" w:hAnsi="Times New Roman" w:cs="Times New Roman"/>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9223" w:type="dxa"/>
            <w:gridSpan w:val="4"/>
            <w:noWrap w:val="0"/>
            <w:vAlign w:val="center"/>
          </w:tcPr>
          <w:p>
            <w:pPr>
              <w:pageBreakBefore w:val="0"/>
              <w:widowControl/>
              <w:kinsoku/>
              <w:wordWrap/>
              <w:overflowPunct/>
              <w:bidi w:val="0"/>
              <w:jc w:val="left"/>
              <w:textAlignment w:val="auto"/>
              <w:outlineLvl w:val="9"/>
              <w:rPr>
                <w:rFonts w:hint="default" w:ascii="Times New Roman" w:hAnsi="Times New Roman" w:eastAsia="宋体" w:cs="Times New Roman"/>
                <w:b/>
                <w:bCs/>
                <w:color w:val="auto"/>
                <w:kern w:val="0"/>
                <w:sz w:val="24"/>
                <w:highlight w:val="none"/>
                <w:lang w:eastAsia="zh-CN"/>
              </w:rPr>
            </w:pPr>
            <w:r>
              <w:rPr>
                <w:rFonts w:hint="default" w:ascii="Times New Roman" w:hAnsi="Times New Roman" w:cs="Times New Roman"/>
                <w:b/>
                <w:bCs/>
                <w:color w:val="auto"/>
                <w:kern w:val="0"/>
                <w:sz w:val="24"/>
                <w:highlight w:val="none"/>
                <w:lang w:eastAsia="zh-CN"/>
              </w:rPr>
              <w:t>总报价（大写）：</w:t>
            </w:r>
          </w:p>
        </w:tc>
      </w:tr>
    </w:tbl>
    <w:p>
      <w:pPr>
        <w:pageBreakBefore w:val="0"/>
        <w:kinsoku/>
        <w:wordWrap/>
        <w:overflowPunct/>
        <w:bidi w:val="0"/>
        <w:spacing w:before="120" w:beforeLines="50" w:line="200" w:lineRule="exact"/>
        <w:ind w:left="413" w:hanging="413" w:hangingChars="196"/>
        <w:jc w:val="left"/>
        <w:textAlignment w:val="auto"/>
        <w:outlineLvl w:val="9"/>
        <w:rPr>
          <w:rFonts w:hint="default" w:ascii="Times New Roman" w:hAnsi="Times New Roman" w:eastAsia="仿宋_GB2312" w:cs="Times New Roman"/>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before="120" w:beforeLines="50" w:line="400" w:lineRule="exact"/>
        <w:ind w:left="752" w:leftChars="58" w:hanging="630" w:hangingChars="300"/>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说明</w:t>
      </w:r>
      <w:r>
        <w:rPr>
          <w:rFonts w:hint="default" w:ascii="Times New Roman" w:hAnsi="Times New Roman" w:eastAsia="楷体" w:cs="Times New Roman"/>
          <w:b/>
          <w:color w:val="auto"/>
          <w:szCs w:val="21"/>
          <w:highlight w:val="none"/>
        </w:rPr>
        <w:t>：</w:t>
      </w:r>
      <w:r>
        <w:rPr>
          <w:rFonts w:hint="default" w:ascii="Times New Roman" w:hAnsi="Times New Roman" w:eastAsia="楷体" w:cs="Times New Roman"/>
          <w:color w:val="auto"/>
          <w:szCs w:val="21"/>
          <w:highlight w:val="none"/>
        </w:rPr>
        <w:t xml:space="preserve"> </w:t>
      </w:r>
    </w:p>
    <w:p>
      <w:pPr>
        <w:keepNext w:val="0"/>
        <w:keepLines w:val="0"/>
        <w:pageBreakBefore w:val="0"/>
        <w:widowControl w:val="0"/>
        <w:kinsoku/>
        <w:wordWrap/>
        <w:overflowPunct/>
        <w:topLinePunct w:val="0"/>
        <w:autoSpaceDE/>
        <w:autoSpaceDN/>
        <w:bidi w:val="0"/>
        <w:spacing w:before="120" w:beforeLines="50" w:line="400" w:lineRule="exact"/>
        <w:ind w:left="412" w:leftChars="196" w:firstLine="315" w:firstLineChars="150"/>
        <w:jc w:val="left"/>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1.报价应按总报价填写，精确到小数点后两位，大小写不一致时，以大写为准；</w:t>
      </w:r>
    </w:p>
    <w:p>
      <w:pPr>
        <w:keepNext w:val="0"/>
        <w:keepLines w:val="0"/>
        <w:pageBreakBefore w:val="0"/>
        <w:widowControl w:val="0"/>
        <w:kinsoku/>
        <w:wordWrap/>
        <w:overflowPunct/>
        <w:topLinePunct w:val="0"/>
        <w:autoSpaceDE/>
        <w:autoSpaceDN/>
        <w:bidi w:val="0"/>
        <w:spacing w:before="120" w:beforeLines="50" w:line="400" w:lineRule="exact"/>
        <w:ind w:left="412" w:leftChars="196" w:firstLine="315" w:firstLineChars="150"/>
        <w:jc w:val="left"/>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2.“磋商报价一览表”以包为单位填写；</w:t>
      </w:r>
    </w:p>
    <w:p>
      <w:pPr>
        <w:keepNext w:val="0"/>
        <w:keepLines w:val="0"/>
        <w:pageBreakBefore w:val="0"/>
        <w:widowControl w:val="0"/>
        <w:kinsoku/>
        <w:wordWrap/>
        <w:overflowPunct/>
        <w:topLinePunct w:val="0"/>
        <w:autoSpaceDE/>
        <w:autoSpaceDN/>
        <w:bidi w:val="0"/>
        <w:spacing w:before="120" w:beforeLines="50" w:line="400" w:lineRule="exact"/>
        <w:ind w:firstLine="735" w:firstLineChars="350"/>
        <w:jc w:val="left"/>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3.有分包的，项目名称填写分包的项目名称，无分包的填写采购项目名称；</w:t>
      </w:r>
    </w:p>
    <w:p>
      <w:pPr>
        <w:pageBreakBefore w:val="0"/>
        <w:kinsoku/>
        <w:wordWrap/>
        <w:overflowPunct/>
        <w:bidi w:val="0"/>
        <w:adjustRightInd w:val="0"/>
        <w:spacing w:line="400" w:lineRule="exact"/>
        <w:jc w:val="left"/>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adjustRightInd w:val="0"/>
        <w:spacing w:line="400" w:lineRule="exact"/>
        <w:ind w:firstLine="105" w:firstLineChars="50"/>
        <w:jc w:val="left"/>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  应  商：</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（盖单位章）</w:t>
      </w:r>
    </w:p>
    <w:p>
      <w:pPr>
        <w:pageBreakBefore w:val="0"/>
        <w:kinsoku/>
        <w:wordWrap/>
        <w:overflowPunct/>
        <w:bidi w:val="0"/>
        <w:spacing w:line="400" w:lineRule="exact"/>
        <w:textAlignment w:val="auto"/>
        <w:outlineLvl w:val="9"/>
        <w:rPr>
          <w:rFonts w:hint="default" w:ascii="Times New Roman" w:hAnsi="Times New Roman" w:cs="Times New Roman"/>
          <w:color w:val="auto"/>
          <w:szCs w:val="21"/>
          <w:highlight w:val="none"/>
        </w:rPr>
      </w:pPr>
    </w:p>
    <w:p>
      <w:pPr>
        <w:pageBreakBefore w:val="0"/>
        <w:kinsoku/>
        <w:wordWrap/>
        <w:overflowPunct/>
        <w:bidi w:val="0"/>
        <w:spacing w:line="400" w:lineRule="exact"/>
        <w:ind w:firstLine="105" w:firstLineChars="50"/>
        <w:textAlignment w:val="auto"/>
        <w:outlineLvl w:val="9"/>
        <w:rPr>
          <w:rFonts w:hint="default" w:ascii="Times New Roman" w:hAnsi="Times New Roman" w:cs="Times New Roman"/>
          <w:color w:val="auto"/>
          <w:szCs w:val="21"/>
          <w:highlight w:val="none"/>
        </w:rPr>
      </w:pPr>
      <w:bookmarkStart w:id="119" w:name="_Toc6418"/>
      <w:r>
        <w:rPr>
          <w:rFonts w:hint="default" w:ascii="Times New Roman" w:hAnsi="Times New Roman" w:cs="Times New Roman"/>
          <w:color w:val="auto"/>
          <w:szCs w:val="21"/>
          <w:highlight w:val="none"/>
        </w:rPr>
        <w:t>法定代表人或委托代理人：</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（签字）</w:t>
      </w:r>
      <w:bookmarkEnd w:id="119"/>
    </w:p>
    <w:p>
      <w:pPr>
        <w:pageBreakBefore w:val="0"/>
        <w:kinsoku/>
        <w:wordWrap/>
        <w:overflowPunct/>
        <w:bidi w:val="0"/>
        <w:spacing w:line="400" w:lineRule="exact"/>
        <w:ind w:firstLine="105" w:firstLineChars="50"/>
        <w:textAlignment w:val="auto"/>
        <w:outlineLvl w:val="9"/>
        <w:rPr>
          <w:rFonts w:hint="default" w:ascii="Times New Roman" w:hAnsi="Times New Roman" w:eastAsia="仿宋_GB2312" w:cs="Times New Roman"/>
          <w:color w:val="auto"/>
          <w:szCs w:val="21"/>
          <w:highlight w:val="none"/>
        </w:rPr>
      </w:pPr>
    </w:p>
    <w:p>
      <w:pPr>
        <w:pageBreakBefore w:val="0"/>
        <w:kinsoku/>
        <w:wordWrap/>
        <w:overflowPunct/>
        <w:bidi w:val="0"/>
        <w:spacing w:line="400" w:lineRule="exact"/>
        <w:ind w:firstLine="105" w:firstLineChars="50"/>
        <w:textAlignment w:val="auto"/>
        <w:outlineLvl w:val="9"/>
        <w:rPr>
          <w:rFonts w:hint="default" w:ascii="Times New Roman" w:hAnsi="Times New Roman" w:eastAsia="仿宋_GB2312" w:cs="Times New Roman"/>
          <w:b/>
          <w:color w:val="auto"/>
          <w:szCs w:val="21"/>
          <w:highlight w:val="none"/>
        </w:rPr>
      </w:pPr>
      <w:bookmarkStart w:id="120" w:name="_Toc25225"/>
      <w:r>
        <w:rPr>
          <w:rFonts w:hint="default" w:ascii="Times New Roman" w:hAnsi="Times New Roman" w:cs="Times New Roman"/>
          <w:color w:val="auto"/>
          <w:szCs w:val="21"/>
          <w:highlight w:val="none"/>
        </w:rPr>
        <w:t>日    期：20    年   月   日</w:t>
      </w:r>
      <w:bookmarkEnd w:id="120"/>
    </w:p>
    <w:p>
      <w:pPr>
        <w:pStyle w:val="4"/>
        <w:pageBreakBefore w:val="0"/>
        <w:kinsoku/>
        <w:wordWrap/>
        <w:overflowPunct/>
        <w:bidi w:val="0"/>
        <w:spacing w:after="240" w:afterLines="100" w:line="360" w:lineRule="auto"/>
        <w:ind w:firstLine="0"/>
        <w:jc w:val="center"/>
        <w:textAlignment w:val="auto"/>
        <w:outlineLvl w:val="9"/>
        <w:rPr>
          <w:rFonts w:hint="default" w:ascii="Times New Roman" w:hAnsi="Times New Roman" w:eastAsia="宋体" w:cs="Times New Roman"/>
          <w:bCs/>
          <w:color w:val="auto"/>
          <w:sz w:val="36"/>
          <w:szCs w:val="36"/>
          <w:highlight w:val="none"/>
        </w:rPr>
        <w:sectPr>
          <w:headerReference r:id="rId9" w:type="default"/>
          <w:footerReference r:id="rId10" w:type="default"/>
          <w:pgSz w:w="11907" w:h="16840"/>
          <w:pgMar w:top="1440" w:right="1474" w:bottom="1440" w:left="1474" w:header="851" w:footer="992" w:gutter="0"/>
          <w:pgNumType w:fmt="decimal" w:start="1"/>
          <w:cols w:space="720" w:num="1"/>
          <w:docGrid w:linePitch="312" w:charSpace="0"/>
        </w:sectPr>
      </w:pPr>
      <w:bookmarkStart w:id="121" w:name="_Toc217446087"/>
      <w:bookmarkStart w:id="122" w:name="_Toc217446086"/>
    </w:p>
    <w:p>
      <w:pPr>
        <w:pStyle w:val="9"/>
        <w:pageBreakBefore w:val="0"/>
        <w:kinsoku/>
        <w:wordWrap/>
        <w:overflowPunct/>
        <w:bidi w:val="0"/>
        <w:spacing w:before="240" w:beforeLines="100" w:after="240" w:afterLines="100" w:line="360" w:lineRule="auto"/>
        <w:ind w:firstLine="0"/>
        <w:jc w:val="center"/>
        <w:textAlignment w:val="auto"/>
        <w:outlineLvl w:val="9"/>
        <w:rPr>
          <w:rFonts w:hint="default" w:ascii="Times New Roman" w:hAnsi="Times New Roman" w:cs="Times New Roman"/>
          <w:b/>
          <w:color w:val="auto"/>
          <w:szCs w:val="32"/>
          <w:highlight w:val="none"/>
        </w:rPr>
      </w:pPr>
      <w:bookmarkStart w:id="123" w:name="_Toc26765"/>
      <w:r>
        <w:rPr>
          <w:rFonts w:hint="default" w:ascii="Times New Roman" w:hAnsi="Times New Roman" w:cs="Times New Roman"/>
          <w:b/>
          <w:color w:val="auto"/>
          <w:szCs w:val="32"/>
          <w:highlight w:val="none"/>
        </w:rPr>
        <w:t>三、分项报价明细表</w:t>
      </w:r>
      <w:bookmarkEnd w:id="123"/>
    </w:p>
    <w:p>
      <w:pPr>
        <w:pStyle w:val="4"/>
        <w:pageBreakBefore w:val="0"/>
        <w:kinsoku/>
        <w:wordWrap/>
        <w:overflowPunct/>
        <w:bidi w:val="0"/>
        <w:spacing w:before="120" w:beforeLines="50" w:after="120" w:afterLines="50"/>
        <w:ind w:firstLine="0"/>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供应商名称：                                                                            采购项目编号：</w:t>
      </w:r>
    </w:p>
    <w:tbl>
      <w:tblPr>
        <w:tblStyle w:val="17"/>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453"/>
        <w:gridCol w:w="1726"/>
        <w:gridCol w:w="1335"/>
        <w:gridCol w:w="1615"/>
        <w:gridCol w:w="1545"/>
        <w:gridCol w:w="1494"/>
        <w:gridCol w:w="1800"/>
        <w:gridCol w:w="1494"/>
        <w:gridCol w:w="9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73" w:type="pct"/>
            <w:noWrap w:val="0"/>
            <w:vAlign w:val="center"/>
          </w:tcPr>
          <w:p>
            <w:pPr>
              <w:pageBreakBefore w:val="0"/>
              <w:kinsoku/>
              <w:wordWrap/>
              <w:overflowPunct/>
              <w:bidi w:val="0"/>
              <w:adjustRightInd w:val="0"/>
              <w:snapToGrid w:val="0"/>
              <w:jc w:val="center"/>
              <w:textAlignment w:val="auto"/>
              <w:outlineLvl w:val="9"/>
              <w:rPr>
                <w:rFonts w:hint="default" w:ascii="Times New Roman" w:hAnsi="Times New Roman" w:cs="Times New Roman"/>
                <w:b/>
                <w:szCs w:val="21"/>
                <w:highlight w:val="none"/>
              </w:rPr>
            </w:pPr>
            <w:r>
              <w:rPr>
                <w:rFonts w:hint="default" w:ascii="Times New Roman" w:hAnsi="Times New Roman" w:cs="Times New Roman"/>
                <w:b/>
                <w:szCs w:val="21"/>
                <w:highlight w:val="none"/>
              </w:rPr>
              <w:t>序号</w:t>
            </w:r>
          </w:p>
        </w:tc>
        <w:tc>
          <w:tcPr>
            <w:tcW w:w="512" w:type="pct"/>
            <w:noWrap w:val="0"/>
            <w:vAlign w:val="center"/>
          </w:tcPr>
          <w:p>
            <w:pPr>
              <w:pageBreakBefore w:val="0"/>
              <w:kinsoku/>
              <w:wordWrap/>
              <w:overflowPunct/>
              <w:bidi w:val="0"/>
              <w:adjustRightInd w:val="0"/>
              <w:snapToGrid w:val="0"/>
              <w:jc w:val="center"/>
              <w:textAlignment w:val="auto"/>
              <w:outlineLvl w:val="9"/>
              <w:rPr>
                <w:rFonts w:hint="default" w:ascii="Times New Roman" w:hAnsi="Times New Roman" w:cs="Times New Roman"/>
                <w:b/>
                <w:szCs w:val="21"/>
                <w:highlight w:val="none"/>
              </w:rPr>
            </w:pPr>
            <w:r>
              <w:rPr>
                <w:rFonts w:hint="default" w:ascii="Times New Roman" w:hAnsi="Times New Roman" w:cs="Times New Roman"/>
                <w:b/>
                <w:szCs w:val="21"/>
                <w:highlight w:val="none"/>
              </w:rPr>
              <w:t>名称</w:t>
            </w:r>
          </w:p>
        </w:tc>
        <w:tc>
          <w:tcPr>
            <w:tcW w:w="609" w:type="pct"/>
            <w:noWrap w:val="0"/>
            <w:vAlign w:val="center"/>
          </w:tcPr>
          <w:p>
            <w:pPr>
              <w:pageBreakBefore w:val="0"/>
              <w:kinsoku/>
              <w:wordWrap/>
              <w:overflowPunct/>
              <w:bidi w:val="0"/>
              <w:adjustRightInd w:val="0"/>
              <w:snapToGrid w:val="0"/>
              <w:jc w:val="center"/>
              <w:textAlignment w:val="auto"/>
              <w:outlineLvl w:val="9"/>
              <w:rPr>
                <w:rFonts w:hint="default" w:ascii="Times New Roman" w:hAnsi="Times New Roman" w:eastAsia="宋体" w:cs="Times New Roman"/>
                <w:b/>
                <w:szCs w:val="21"/>
                <w:highlight w:val="none"/>
                <w:lang w:val="en-US" w:eastAsia="zh-CN"/>
              </w:rPr>
            </w:pPr>
            <w:r>
              <w:rPr>
                <w:rFonts w:hint="default" w:ascii="Times New Roman" w:hAnsi="Times New Roman" w:cs="Times New Roman"/>
                <w:b/>
                <w:szCs w:val="21"/>
                <w:highlight w:val="none"/>
                <w:lang w:val="en-US" w:eastAsia="zh-CN"/>
              </w:rPr>
              <w:t>规格型号</w:t>
            </w:r>
          </w:p>
        </w:tc>
        <w:tc>
          <w:tcPr>
            <w:tcW w:w="471" w:type="pct"/>
            <w:noWrap w:val="0"/>
            <w:vAlign w:val="center"/>
          </w:tcPr>
          <w:p>
            <w:pPr>
              <w:pageBreakBefore w:val="0"/>
              <w:kinsoku/>
              <w:wordWrap/>
              <w:overflowPunct/>
              <w:bidi w:val="0"/>
              <w:adjustRightInd w:val="0"/>
              <w:snapToGrid w:val="0"/>
              <w:jc w:val="center"/>
              <w:textAlignment w:val="auto"/>
              <w:outlineLvl w:val="9"/>
              <w:rPr>
                <w:rFonts w:hint="default" w:ascii="Times New Roman" w:hAnsi="Times New Roman" w:eastAsia="宋体" w:cs="Times New Roman"/>
                <w:b/>
                <w:szCs w:val="21"/>
                <w:highlight w:val="none"/>
                <w:lang w:eastAsia="zh-CN"/>
              </w:rPr>
            </w:pPr>
            <w:r>
              <w:rPr>
                <w:rFonts w:hint="default" w:ascii="Times New Roman" w:hAnsi="Times New Roman" w:cs="Times New Roman"/>
                <w:b/>
                <w:szCs w:val="21"/>
                <w:highlight w:val="none"/>
                <w:lang w:val="en-US" w:eastAsia="zh-CN"/>
              </w:rPr>
              <w:t>品牌</w:t>
            </w:r>
          </w:p>
        </w:tc>
        <w:tc>
          <w:tcPr>
            <w:tcW w:w="570" w:type="pct"/>
            <w:noWrap w:val="0"/>
            <w:vAlign w:val="center"/>
          </w:tcPr>
          <w:p>
            <w:pPr>
              <w:pageBreakBefore w:val="0"/>
              <w:kinsoku/>
              <w:wordWrap/>
              <w:overflowPunct/>
              <w:bidi w:val="0"/>
              <w:adjustRightInd w:val="0"/>
              <w:snapToGrid w:val="0"/>
              <w:jc w:val="center"/>
              <w:textAlignment w:val="auto"/>
              <w:outlineLvl w:val="9"/>
              <w:rPr>
                <w:rFonts w:hint="default" w:ascii="Times New Roman" w:hAnsi="Times New Roman" w:cs="Times New Roman"/>
                <w:b/>
                <w:szCs w:val="21"/>
                <w:highlight w:val="none"/>
                <w:lang w:val="en-US" w:eastAsia="zh-CN"/>
              </w:rPr>
            </w:pPr>
            <w:r>
              <w:rPr>
                <w:rFonts w:hint="default" w:ascii="Times New Roman" w:hAnsi="Times New Roman" w:cs="Times New Roman"/>
                <w:b/>
                <w:szCs w:val="21"/>
                <w:highlight w:val="none"/>
                <w:lang w:val="en-US" w:eastAsia="zh-CN"/>
              </w:rPr>
              <w:t>制造商</w:t>
            </w:r>
          </w:p>
        </w:tc>
        <w:tc>
          <w:tcPr>
            <w:tcW w:w="545" w:type="pct"/>
            <w:noWrap w:val="0"/>
            <w:vAlign w:val="center"/>
          </w:tcPr>
          <w:p>
            <w:pPr>
              <w:pageBreakBefore w:val="0"/>
              <w:kinsoku/>
              <w:wordWrap/>
              <w:overflowPunct/>
              <w:bidi w:val="0"/>
              <w:adjustRightInd w:val="0"/>
              <w:snapToGrid w:val="0"/>
              <w:jc w:val="center"/>
              <w:textAlignment w:val="auto"/>
              <w:outlineLvl w:val="9"/>
              <w:rPr>
                <w:rFonts w:hint="default" w:ascii="Times New Roman" w:hAnsi="Times New Roman" w:eastAsia="宋体" w:cs="Times New Roman"/>
                <w:b/>
                <w:szCs w:val="21"/>
                <w:highlight w:val="none"/>
                <w:lang w:eastAsia="zh-CN"/>
              </w:rPr>
            </w:pPr>
            <w:r>
              <w:rPr>
                <w:rFonts w:hint="default" w:ascii="Times New Roman" w:hAnsi="Times New Roman" w:cs="Times New Roman"/>
                <w:b/>
                <w:szCs w:val="21"/>
                <w:highlight w:val="none"/>
              </w:rPr>
              <w:t>单价</w:t>
            </w:r>
            <w:r>
              <w:rPr>
                <w:rFonts w:hint="default" w:ascii="Times New Roman" w:hAnsi="Times New Roman" w:cs="Times New Roman"/>
                <w:b/>
                <w:szCs w:val="21"/>
                <w:highlight w:val="none"/>
                <w:lang w:eastAsia="zh-CN"/>
              </w:rPr>
              <w:t>（</w:t>
            </w:r>
            <w:r>
              <w:rPr>
                <w:rFonts w:hint="default" w:ascii="Times New Roman" w:hAnsi="Times New Roman" w:cs="Times New Roman"/>
                <w:b/>
                <w:szCs w:val="21"/>
                <w:highlight w:val="none"/>
                <w:lang w:val="en-US" w:eastAsia="zh-CN"/>
              </w:rPr>
              <w:t>元</w:t>
            </w:r>
            <w:r>
              <w:rPr>
                <w:rFonts w:hint="default" w:ascii="Times New Roman" w:hAnsi="Times New Roman" w:cs="Times New Roman"/>
                <w:b/>
                <w:szCs w:val="21"/>
                <w:highlight w:val="none"/>
                <w:lang w:eastAsia="zh-CN"/>
              </w:rPr>
              <w:t>）</w:t>
            </w:r>
          </w:p>
        </w:tc>
        <w:tc>
          <w:tcPr>
            <w:tcW w:w="527" w:type="pct"/>
            <w:noWrap w:val="0"/>
            <w:vAlign w:val="center"/>
          </w:tcPr>
          <w:p>
            <w:pPr>
              <w:pageBreakBefore w:val="0"/>
              <w:kinsoku/>
              <w:wordWrap/>
              <w:overflowPunct/>
              <w:bidi w:val="0"/>
              <w:adjustRightInd w:val="0"/>
              <w:snapToGrid w:val="0"/>
              <w:jc w:val="center"/>
              <w:textAlignment w:val="auto"/>
              <w:outlineLvl w:val="9"/>
              <w:rPr>
                <w:rFonts w:hint="default" w:ascii="Times New Roman" w:hAnsi="Times New Roman" w:cs="Times New Roman"/>
                <w:b/>
                <w:szCs w:val="21"/>
                <w:highlight w:val="none"/>
              </w:rPr>
            </w:pPr>
            <w:r>
              <w:rPr>
                <w:rFonts w:hint="default" w:ascii="Times New Roman" w:hAnsi="Times New Roman" w:cs="Times New Roman"/>
                <w:b/>
                <w:szCs w:val="21"/>
                <w:highlight w:val="none"/>
              </w:rPr>
              <w:t>数量</w:t>
            </w:r>
          </w:p>
        </w:tc>
        <w:tc>
          <w:tcPr>
            <w:tcW w:w="635" w:type="pct"/>
            <w:noWrap w:val="0"/>
            <w:vAlign w:val="center"/>
          </w:tcPr>
          <w:p>
            <w:pPr>
              <w:pageBreakBefore w:val="0"/>
              <w:kinsoku/>
              <w:wordWrap/>
              <w:overflowPunct/>
              <w:bidi w:val="0"/>
              <w:adjustRightInd w:val="0"/>
              <w:snapToGrid w:val="0"/>
              <w:jc w:val="center"/>
              <w:textAlignment w:val="auto"/>
              <w:outlineLvl w:val="9"/>
              <w:rPr>
                <w:rFonts w:hint="default" w:ascii="Times New Roman" w:hAnsi="Times New Roman" w:cs="Times New Roman"/>
                <w:b/>
                <w:szCs w:val="21"/>
                <w:highlight w:val="none"/>
              </w:rPr>
            </w:pPr>
            <w:r>
              <w:rPr>
                <w:rFonts w:hint="default" w:ascii="Times New Roman" w:hAnsi="Times New Roman" w:cs="Times New Roman"/>
                <w:b/>
                <w:szCs w:val="21"/>
                <w:highlight w:val="none"/>
              </w:rPr>
              <w:t>报价（元）</w:t>
            </w:r>
          </w:p>
        </w:tc>
        <w:tc>
          <w:tcPr>
            <w:tcW w:w="527" w:type="pct"/>
            <w:noWrap w:val="0"/>
            <w:vAlign w:val="center"/>
          </w:tcPr>
          <w:p>
            <w:pPr>
              <w:pageBreakBefore w:val="0"/>
              <w:kinsoku/>
              <w:wordWrap/>
              <w:overflowPunct/>
              <w:bidi w:val="0"/>
              <w:snapToGrid w:val="0"/>
              <w:jc w:val="center"/>
              <w:textAlignment w:val="auto"/>
              <w:outlineLvl w:val="9"/>
              <w:rPr>
                <w:rFonts w:hint="default" w:ascii="Times New Roman" w:hAnsi="Times New Roman" w:cs="Times New Roman"/>
                <w:b/>
                <w:szCs w:val="21"/>
                <w:highlight w:val="none"/>
              </w:rPr>
            </w:pPr>
            <w:r>
              <w:rPr>
                <w:rFonts w:hint="default" w:ascii="Times New Roman" w:hAnsi="Times New Roman" w:cs="Times New Roman"/>
                <w:b/>
                <w:szCs w:val="21"/>
                <w:highlight w:val="none"/>
              </w:rPr>
              <w:t>所属行业</w:t>
            </w:r>
          </w:p>
        </w:tc>
        <w:tc>
          <w:tcPr>
            <w:tcW w:w="327" w:type="pct"/>
            <w:noWrap w:val="0"/>
            <w:vAlign w:val="center"/>
          </w:tcPr>
          <w:p>
            <w:pPr>
              <w:pageBreakBefore w:val="0"/>
              <w:kinsoku/>
              <w:wordWrap/>
              <w:overflowPunct/>
              <w:bidi w:val="0"/>
              <w:snapToGrid w:val="0"/>
              <w:jc w:val="center"/>
              <w:textAlignment w:val="auto"/>
              <w:outlineLvl w:val="9"/>
              <w:rPr>
                <w:rFonts w:hint="default" w:ascii="Times New Roman" w:hAnsi="Times New Roman" w:eastAsia="宋体" w:cs="Times New Roman"/>
                <w:b/>
                <w:szCs w:val="21"/>
                <w:highlight w:val="none"/>
                <w:lang w:eastAsia="zh-CN"/>
              </w:rPr>
            </w:pPr>
            <w:r>
              <w:rPr>
                <w:rFonts w:hint="default" w:ascii="Times New Roman" w:hAnsi="Times New Roman" w:cs="Times New Roman"/>
                <w:b/>
                <w:szCs w:val="21"/>
                <w:highlight w:val="none"/>
                <w:lang w:eastAsia="zh-CN"/>
              </w:rPr>
              <w:t>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73"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12"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609" w:type="pct"/>
            <w:noWrap w:val="0"/>
            <w:vAlign w:val="top"/>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471" w:type="pct"/>
            <w:noWrap w:val="0"/>
            <w:vAlign w:val="top"/>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70"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45"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27"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635"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27"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327"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73"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12"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609" w:type="pct"/>
            <w:noWrap w:val="0"/>
            <w:vAlign w:val="top"/>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471" w:type="pct"/>
            <w:noWrap w:val="0"/>
            <w:vAlign w:val="top"/>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70"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45"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27"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635"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27"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327"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73"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12"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609" w:type="pct"/>
            <w:noWrap w:val="0"/>
            <w:vAlign w:val="top"/>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471" w:type="pct"/>
            <w:noWrap w:val="0"/>
            <w:vAlign w:val="top"/>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70"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45"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27"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635"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27"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327"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73"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12"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609" w:type="pct"/>
            <w:noWrap w:val="0"/>
            <w:vAlign w:val="top"/>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471" w:type="pct"/>
            <w:noWrap w:val="0"/>
            <w:vAlign w:val="top"/>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70"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45"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27"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635"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27"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327"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73"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12"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609" w:type="pct"/>
            <w:noWrap w:val="0"/>
            <w:vAlign w:val="top"/>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471" w:type="pct"/>
            <w:noWrap w:val="0"/>
            <w:vAlign w:val="top"/>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70"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45"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27"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635"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527"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c>
          <w:tcPr>
            <w:tcW w:w="327" w:type="pct"/>
            <w:noWrap w:val="0"/>
            <w:vAlign w:val="center"/>
          </w:tcPr>
          <w:p>
            <w:pPr>
              <w:pageBreakBefore w:val="0"/>
              <w:kinsoku/>
              <w:wordWrap/>
              <w:overflowPunct/>
              <w:bidi w:val="0"/>
              <w:adjustRightInd w:val="0"/>
              <w:snapToGrid w:val="0"/>
              <w:spacing w:line="360" w:lineRule="auto"/>
              <w:jc w:val="center"/>
              <w:textAlignment w:val="auto"/>
              <w:outlineLvl w:val="9"/>
              <w:rPr>
                <w:rFonts w:hint="default" w:ascii="Times New Roman" w:hAnsi="Times New Roman"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6" w:type="pct"/>
            <w:gridSpan w:val="2"/>
            <w:noWrap w:val="0"/>
            <w:vAlign w:val="center"/>
          </w:tcPr>
          <w:p>
            <w:pPr>
              <w:pageBreakBefore w:val="0"/>
              <w:kinsoku/>
              <w:wordWrap/>
              <w:overflowPunct/>
              <w:bidi w:val="0"/>
              <w:adjustRightInd w:val="0"/>
              <w:snapToGrid w:val="0"/>
              <w:jc w:val="center"/>
              <w:textAlignment w:val="auto"/>
              <w:outlineLvl w:val="9"/>
              <w:rPr>
                <w:rFonts w:hint="default" w:ascii="Times New Roman" w:hAnsi="Times New Roman" w:cs="Times New Roman"/>
                <w:szCs w:val="21"/>
                <w:highlight w:val="none"/>
              </w:rPr>
            </w:pPr>
            <w:r>
              <w:rPr>
                <w:rFonts w:hint="default" w:ascii="Times New Roman" w:hAnsi="Times New Roman" w:cs="Times New Roman"/>
                <w:szCs w:val="21"/>
                <w:highlight w:val="none"/>
              </w:rPr>
              <w:t>合计报价（大写）</w:t>
            </w:r>
          </w:p>
        </w:tc>
        <w:tc>
          <w:tcPr>
            <w:tcW w:w="2195" w:type="pct"/>
            <w:gridSpan w:val="4"/>
            <w:noWrap w:val="0"/>
            <w:vAlign w:val="center"/>
          </w:tcPr>
          <w:p>
            <w:pPr>
              <w:pageBreakBefore w:val="0"/>
              <w:kinsoku/>
              <w:wordWrap/>
              <w:overflowPunct/>
              <w:bidi w:val="0"/>
              <w:adjustRightInd w:val="0"/>
              <w:snapToGrid w:val="0"/>
              <w:textAlignment w:val="auto"/>
              <w:outlineLvl w:val="9"/>
              <w:rPr>
                <w:rFonts w:hint="default" w:ascii="Times New Roman" w:hAnsi="Times New Roman" w:cs="Times New Roman"/>
                <w:szCs w:val="21"/>
                <w:highlight w:val="none"/>
              </w:rPr>
            </w:pPr>
          </w:p>
        </w:tc>
        <w:tc>
          <w:tcPr>
            <w:tcW w:w="2017" w:type="pct"/>
            <w:gridSpan w:val="4"/>
            <w:noWrap w:val="0"/>
            <w:vAlign w:val="center"/>
          </w:tcPr>
          <w:p>
            <w:pPr>
              <w:pageBreakBefore w:val="0"/>
              <w:kinsoku/>
              <w:wordWrap/>
              <w:overflowPunct/>
              <w:bidi w:val="0"/>
              <w:adjustRightInd w:val="0"/>
              <w:snapToGrid w:val="0"/>
              <w:textAlignment w:val="auto"/>
              <w:outlineLvl w:val="9"/>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r>
    </w:tbl>
    <w:p>
      <w:pPr>
        <w:pStyle w:val="4"/>
        <w:pageBreakBefore w:val="0"/>
        <w:kinsoku/>
        <w:wordWrap/>
        <w:overflowPunct/>
        <w:bidi w:val="0"/>
        <w:spacing w:before="120" w:beforeLines="50" w:after="120" w:afterLines="50"/>
        <w:ind w:firstLine="0"/>
        <w:textAlignment w:val="auto"/>
        <w:outlineLvl w:val="9"/>
        <w:rPr>
          <w:rFonts w:hint="default" w:ascii="Times New Roman" w:hAnsi="Times New Roman" w:cs="Times New Roman"/>
          <w:color w:val="auto"/>
          <w:highlight w:val="none"/>
        </w:rPr>
      </w:pPr>
    </w:p>
    <w:p>
      <w:pPr>
        <w:pageBreakBefore w:val="0"/>
        <w:kinsoku/>
        <w:wordWrap/>
        <w:overflowPunct/>
        <w:bidi w:val="0"/>
        <w:adjustRightInd w:val="0"/>
        <w:snapToGrid w:val="0"/>
        <w:spacing w:before="120" w:beforeLines="50"/>
        <w:ind w:left="-88" w:leftChars="-42" w:firstLine="210" w:firstLineChars="100"/>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说明：1.供应商必须按本</w:t>
      </w:r>
      <w:r>
        <w:rPr>
          <w:rFonts w:hint="default" w:ascii="Times New Roman" w:hAnsi="Times New Roman" w:eastAsia="楷体" w:cs="Times New Roman"/>
          <w:bCs/>
          <w:color w:val="auto"/>
          <w:szCs w:val="21"/>
          <w:highlight w:val="none"/>
        </w:rPr>
        <w:t>表的格式</w:t>
      </w:r>
      <w:r>
        <w:rPr>
          <w:rFonts w:hint="default" w:ascii="Times New Roman" w:hAnsi="Times New Roman" w:eastAsia="楷体" w:cs="Times New Roman"/>
          <w:color w:val="auto"/>
          <w:szCs w:val="21"/>
          <w:highlight w:val="none"/>
        </w:rPr>
        <w:t>详细报出磋商总价的各个组成部分的报价，否则作无效响应文件处理；报价精确到小数点后两位；</w:t>
      </w:r>
    </w:p>
    <w:p>
      <w:pPr>
        <w:pageBreakBefore w:val="0"/>
        <w:kinsoku/>
        <w:wordWrap/>
        <w:overflowPunct/>
        <w:bidi w:val="0"/>
        <w:adjustRightInd w:val="0"/>
        <w:snapToGrid w:val="0"/>
        <w:ind w:left="-88" w:leftChars="-42" w:firstLine="840" w:firstLineChars="400"/>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2.本</w:t>
      </w:r>
      <w:r>
        <w:rPr>
          <w:rFonts w:hint="default" w:ascii="Times New Roman" w:hAnsi="Times New Roman" w:eastAsia="楷体" w:cs="Times New Roman"/>
          <w:bCs/>
          <w:color w:val="auto"/>
          <w:szCs w:val="21"/>
          <w:highlight w:val="none"/>
        </w:rPr>
        <w:t>表各分项报价合计应当与“磋商报价一览表”总报价相等；</w:t>
      </w:r>
      <w:r>
        <w:rPr>
          <w:rFonts w:hint="default" w:ascii="Times New Roman" w:hAnsi="Times New Roman" w:eastAsia="楷体" w:cs="Times New Roman"/>
          <w:color w:val="auto"/>
          <w:szCs w:val="21"/>
          <w:highlight w:val="none"/>
        </w:rPr>
        <w:t>如果按单价计算的结果与报价不一致时，以单价为准修正报价与合计报价；</w:t>
      </w:r>
    </w:p>
    <w:p>
      <w:pPr>
        <w:pageBreakBefore w:val="0"/>
        <w:kinsoku/>
        <w:wordWrap/>
        <w:overflowPunct/>
        <w:bidi w:val="0"/>
        <w:adjustRightInd w:val="0"/>
        <w:snapToGrid w:val="0"/>
        <w:ind w:left="-88" w:leftChars="-42" w:firstLine="840" w:firstLineChars="400"/>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lang w:val="en-US" w:eastAsia="zh-CN"/>
        </w:rPr>
        <w:t>3</w:t>
      </w:r>
      <w:r>
        <w:rPr>
          <w:rFonts w:hint="default" w:ascii="Times New Roman" w:hAnsi="Times New Roman" w:eastAsia="楷体" w:cs="Times New Roman"/>
          <w:color w:val="auto"/>
          <w:szCs w:val="21"/>
          <w:highlight w:val="none"/>
        </w:rPr>
        <w:t>.如本项目包括采购货物的，所供产品属于节能、环境标志产品不填报的，在评审时不予加分；</w:t>
      </w:r>
    </w:p>
    <w:p>
      <w:pPr>
        <w:pStyle w:val="4"/>
        <w:pageBreakBefore w:val="0"/>
        <w:kinsoku/>
        <w:wordWrap/>
        <w:overflowPunct/>
        <w:bidi w:val="0"/>
        <w:ind w:firstLine="735" w:firstLineChars="350"/>
        <w:textAlignment w:val="auto"/>
        <w:outlineLvl w:val="9"/>
        <w:rPr>
          <w:rFonts w:hint="default" w:ascii="Times New Roman" w:hAnsi="Times New Roman" w:eastAsia="楷体" w:cs="Times New Roman"/>
          <w:color w:val="auto"/>
          <w:highlight w:val="none"/>
        </w:rPr>
      </w:pPr>
      <w:r>
        <w:rPr>
          <w:rFonts w:hint="default" w:ascii="Times New Roman" w:hAnsi="Times New Roman" w:eastAsia="楷体" w:cs="Times New Roman"/>
          <w:color w:val="auto"/>
          <w:szCs w:val="21"/>
          <w:highlight w:val="none"/>
          <w:lang w:val="en-US" w:eastAsia="zh-CN"/>
        </w:rPr>
        <w:t>4</w:t>
      </w:r>
      <w:r>
        <w:rPr>
          <w:rFonts w:hint="default" w:ascii="Times New Roman" w:hAnsi="Times New Roman" w:eastAsia="楷体" w:cs="Times New Roman"/>
          <w:color w:val="auto"/>
          <w:szCs w:val="21"/>
          <w:highlight w:val="none"/>
        </w:rPr>
        <w:t>.</w:t>
      </w:r>
      <w:r>
        <w:rPr>
          <w:rFonts w:hint="default" w:ascii="Times New Roman" w:hAnsi="Times New Roman" w:eastAsia="楷体" w:cs="Times New Roman"/>
          <w:color w:val="auto"/>
          <w:highlight w:val="none"/>
        </w:rPr>
        <w:t>所属行业按磋商文件明确的行业填报；类型指小型、微型、中型、大型企业；</w:t>
      </w:r>
    </w:p>
    <w:p>
      <w:pPr>
        <w:pageBreakBefore w:val="0"/>
        <w:kinsoku/>
        <w:wordWrap/>
        <w:overflowPunct/>
        <w:bidi w:val="0"/>
        <w:adjustRightInd w:val="0"/>
        <w:snapToGrid w:val="0"/>
        <w:ind w:left="-88" w:leftChars="-42" w:firstLine="840" w:firstLineChars="400"/>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highlight w:val="none"/>
          <w:lang w:val="en-US" w:eastAsia="zh-CN"/>
        </w:rPr>
        <w:t>5</w:t>
      </w:r>
      <w:r>
        <w:rPr>
          <w:rFonts w:hint="default" w:ascii="Times New Roman" w:hAnsi="Times New Roman" w:eastAsia="楷体" w:cs="Times New Roman"/>
          <w:color w:val="auto"/>
          <w:highlight w:val="none"/>
        </w:rPr>
        <w:t>.供应商提供了《中小企业声明函》的，服务商所属行业和类型与其不一致的，以《中小企业声明函》为准。</w:t>
      </w:r>
    </w:p>
    <w:p>
      <w:pPr>
        <w:pageBreakBefore w:val="0"/>
        <w:kinsoku/>
        <w:wordWrap/>
        <w:overflowPunct/>
        <w:bidi w:val="0"/>
        <w:adjustRightInd w:val="0"/>
        <w:spacing w:before="480" w:beforeLines="200" w:line="360" w:lineRule="auto"/>
        <w:ind w:firstLine="420" w:firstLineChars="200"/>
        <w:jc w:val="left"/>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lang w:eastAsia="zh-CN"/>
        </w:rPr>
        <w:t>应</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lang w:eastAsia="zh-CN"/>
        </w:rPr>
        <w:t>商</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（盖单位章）</w:t>
      </w:r>
    </w:p>
    <w:p>
      <w:pPr>
        <w:pageBreakBefore w:val="0"/>
        <w:kinsoku/>
        <w:wordWrap/>
        <w:overflowPunct/>
        <w:bidi w:val="0"/>
        <w:adjustRightInd w:val="0"/>
        <w:spacing w:before="120" w:beforeLines="50" w:line="360" w:lineRule="auto"/>
        <w:ind w:firstLine="420" w:firstLineChars="200"/>
        <w:jc w:val="left"/>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法定代表人或委托代理人：</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（签字）</w:t>
      </w:r>
    </w:p>
    <w:p>
      <w:pPr>
        <w:pageBreakBefore w:val="0"/>
        <w:kinsoku/>
        <w:wordWrap/>
        <w:overflowPunct/>
        <w:bidi w:val="0"/>
        <w:adjustRightInd w:val="0"/>
        <w:spacing w:before="120" w:beforeLines="50" w:line="360" w:lineRule="auto"/>
        <w:ind w:firstLine="420" w:firstLineChars="200"/>
        <w:jc w:val="left"/>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  期：20     年   月   日</w:t>
      </w:r>
    </w:p>
    <w:p>
      <w:pPr>
        <w:pStyle w:val="4"/>
        <w:pageBreakBefore w:val="0"/>
        <w:kinsoku/>
        <w:wordWrap/>
        <w:overflowPunct/>
        <w:bidi w:val="0"/>
        <w:spacing w:after="240" w:afterLines="100" w:line="360" w:lineRule="auto"/>
        <w:ind w:firstLine="0"/>
        <w:jc w:val="center"/>
        <w:textAlignment w:val="auto"/>
        <w:outlineLvl w:val="9"/>
        <w:rPr>
          <w:rFonts w:hint="default" w:ascii="Times New Roman" w:hAnsi="Times New Roman" w:eastAsia="宋体" w:cs="Times New Roman"/>
          <w:bCs/>
          <w:color w:val="auto"/>
          <w:sz w:val="36"/>
          <w:szCs w:val="36"/>
          <w:highlight w:val="none"/>
        </w:rPr>
        <w:sectPr>
          <w:headerReference r:id="rId11" w:type="default"/>
          <w:footerReference r:id="rId12" w:type="default"/>
          <w:pgSz w:w="16840" w:h="11907" w:orient="landscape"/>
          <w:pgMar w:top="1474" w:right="1440" w:bottom="1474" w:left="1440" w:header="851" w:footer="992" w:gutter="0"/>
          <w:pgNumType w:fmt="decimal"/>
          <w:cols w:space="720" w:num="1"/>
          <w:docGrid w:linePitch="312" w:charSpace="0"/>
        </w:sectPr>
      </w:pPr>
    </w:p>
    <w:bookmarkEnd w:id="121"/>
    <w:bookmarkEnd w:id="122"/>
    <w:p>
      <w:pPr>
        <w:pStyle w:val="9"/>
        <w:pageBreakBefore w:val="0"/>
        <w:kinsoku/>
        <w:wordWrap/>
        <w:overflowPunct/>
        <w:bidi w:val="0"/>
        <w:spacing w:before="240" w:beforeLines="100" w:after="240" w:afterLines="100" w:line="360" w:lineRule="auto"/>
        <w:ind w:firstLine="0"/>
        <w:jc w:val="center"/>
        <w:textAlignment w:val="auto"/>
        <w:outlineLvl w:val="9"/>
        <w:rPr>
          <w:rFonts w:hint="default" w:ascii="Times New Roman" w:hAnsi="Times New Roman" w:cs="Times New Roman"/>
          <w:b/>
          <w:color w:val="auto"/>
          <w:szCs w:val="32"/>
          <w:highlight w:val="none"/>
        </w:rPr>
      </w:pPr>
      <w:bookmarkStart w:id="124" w:name="_Toc12280"/>
      <w:r>
        <w:rPr>
          <w:rFonts w:hint="default" w:ascii="Times New Roman" w:hAnsi="Times New Roman" w:cs="Times New Roman"/>
          <w:b/>
          <w:color w:val="auto"/>
          <w:szCs w:val="32"/>
          <w:highlight w:val="none"/>
          <w:lang w:eastAsia="zh-CN"/>
        </w:rPr>
        <w:t>四</w:t>
      </w:r>
      <w:r>
        <w:rPr>
          <w:rFonts w:hint="default" w:ascii="Times New Roman" w:hAnsi="Times New Roman" w:cs="Times New Roman"/>
          <w:b/>
          <w:color w:val="auto"/>
          <w:szCs w:val="32"/>
          <w:highlight w:val="none"/>
        </w:rPr>
        <w:t>、商务条款偏离表</w:t>
      </w:r>
      <w:bookmarkEnd w:id="124"/>
    </w:p>
    <w:p>
      <w:pPr>
        <w:pStyle w:val="4"/>
        <w:pageBreakBefore w:val="0"/>
        <w:kinsoku/>
        <w:wordWrap/>
        <w:overflowPunct/>
        <w:bidi w:val="0"/>
        <w:spacing w:after="120" w:afterLines="50"/>
        <w:ind w:firstLine="525" w:firstLineChars="250"/>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供应商名称：                      </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 xml:space="preserve">              采购项目编号：</w:t>
      </w:r>
    </w:p>
    <w:tbl>
      <w:tblPr>
        <w:tblStyle w:val="17"/>
        <w:tblW w:w="0" w:type="auto"/>
        <w:tblInd w:w="4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128"/>
        <w:gridCol w:w="2464"/>
        <w:gridCol w:w="1224"/>
        <w:gridCol w:w="18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73" w:type="dxa"/>
            <w:noWrap w:val="0"/>
            <w:vAlign w:val="center"/>
          </w:tcPr>
          <w:p>
            <w:pPr>
              <w:pageBreakBefore w:val="0"/>
              <w:kinsoku/>
              <w:wordWrap/>
              <w:overflowPunct/>
              <w:bidi w:val="0"/>
              <w:adjustRightInd w:val="0"/>
              <w:snapToGrid w:val="0"/>
              <w:ind w:right="23"/>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2128" w:type="dxa"/>
            <w:noWrap w:val="0"/>
            <w:vAlign w:val="center"/>
          </w:tcPr>
          <w:p>
            <w:pPr>
              <w:pageBreakBefore w:val="0"/>
              <w:kinsoku/>
              <w:wordWrap/>
              <w:overflowPunct/>
              <w:bidi w:val="0"/>
              <w:adjustRightInd w:val="0"/>
              <w:snapToGrid w:val="0"/>
              <w:ind w:right="23"/>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采购商务要求</w:t>
            </w:r>
          </w:p>
        </w:tc>
        <w:tc>
          <w:tcPr>
            <w:tcW w:w="2464" w:type="dxa"/>
            <w:noWrap w:val="0"/>
            <w:vAlign w:val="center"/>
          </w:tcPr>
          <w:p>
            <w:pPr>
              <w:pageBreakBefore w:val="0"/>
              <w:kinsoku/>
              <w:wordWrap/>
              <w:overflowPunct/>
              <w:bidi w:val="0"/>
              <w:adjustRightInd w:val="0"/>
              <w:snapToGrid w:val="0"/>
              <w:ind w:right="23"/>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响应文件商务响应</w:t>
            </w:r>
          </w:p>
        </w:tc>
        <w:tc>
          <w:tcPr>
            <w:tcW w:w="1224" w:type="dxa"/>
            <w:noWrap w:val="0"/>
            <w:vAlign w:val="center"/>
          </w:tcPr>
          <w:p>
            <w:pPr>
              <w:pageBreakBefore w:val="0"/>
              <w:kinsoku/>
              <w:wordWrap/>
              <w:overflowPunct/>
              <w:bidi w:val="0"/>
              <w:adjustRightInd w:val="0"/>
              <w:snapToGrid w:val="0"/>
              <w:ind w:right="23"/>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偏离</w:t>
            </w:r>
          </w:p>
        </w:tc>
        <w:tc>
          <w:tcPr>
            <w:tcW w:w="1883" w:type="dxa"/>
            <w:noWrap w:val="0"/>
            <w:vAlign w:val="center"/>
          </w:tcPr>
          <w:p>
            <w:pPr>
              <w:pageBreakBefore w:val="0"/>
              <w:kinsoku/>
              <w:wordWrap/>
              <w:overflowPunct/>
              <w:bidi w:val="0"/>
              <w:adjustRightInd w:val="0"/>
              <w:snapToGrid w:val="0"/>
              <w:ind w:right="23"/>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偏离及其影响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12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46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22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88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12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46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22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88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12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46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22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88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12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46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22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88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12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46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22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88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12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46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22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88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12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46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22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88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12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46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22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88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12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46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22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88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12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46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22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88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12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46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22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88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12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46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22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88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12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46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22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88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12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246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224"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c>
          <w:tcPr>
            <w:tcW w:w="1883"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eastAsia="黑体" w:cs="Times New Roman"/>
                <w:bCs/>
                <w:color w:val="auto"/>
                <w:sz w:val="24"/>
                <w:highlight w:val="none"/>
              </w:rPr>
            </w:pPr>
          </w:p>
        </w:tc>
      </w:tr>
    </w:tbl>
    <w:p>
      <w:pPr>
        <w:pageBreakBefore w:val="0"/>
        <w:kinsoku/>
        <w:wordWrap/>
        <w:overflowPunct/>
        <w:bidi w:val="0"/>
        <w:spacing w:before="120" w:beforeLines="50" w:line="400" w:lineRule="exact"/>
        <w:ind w:left="735" w:leftChars="50" w:hanging="630" w:hangingChars="300"/>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说明：</w:t>
      </w:r>
    </w:p>
    <w:p>
      <w:pPr>
        <w:pageBreakBefore w:val="0"/>
        <w:kinsoku/>
        <w:wordWrap/>
        <w:overflowPunct/>
        <w:bidi w:val="0"/>
        <w:spacing w:line="400" w:lineRule="exact"/>
        <w:ind w:left="141" w:leftChars="67" w:firstLine="592" w:firstLineChars="282"/>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1.本表只填写响应文件中与磋商文件有偏离（包括正偏离和负偏离）的内容，响应文件中商务响应与磋商文件要求完全一致的，不用在此表中列出，但必须提交空白表。</w:t>
      </w:r>
    </w:p>
    <w:p>
      <w:pPr>
        <w:pageBreakBefore w:val="0"/>
        <w:kinsoku/>
        <w:wordWrap/>
        <w:overflowPunct/>
        <w:bidi w:val="0"/>
        <w:spacing w:line="400" w:lineRule="exact"/>
        <w:ind w:left="141" w:leftChars="67" w:firstLine="630" w:firstLineChars="300"/>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2.供应商必须据实填写，不得虚假响应，否则将取消其磋商或成交资格，并按有关规定进处罚。</w:t>
      </w:r>
    </w:p>
    <w:p>
      <w:pPr>
        <w:pageBreakBefore w:val="0"/>
        <w:kinsoku/>
        <w:wordWrap/>
        <w:overflowPunct/>
        <w:bidi w:val="0"/>
        <w:adjustRightInd w:val="0"/>
        <w:spacing w:line="400" w:lineRule="exact"/>
        <w:ind w:firstLine="560" w:firstLineChars="200"/>
        <w:jc w:val="left"/>
        <w:textAlignment w:val="auto"/>
        <w:outlineLvl w:val="9"/>
        <w:rPr>
          <w:rFonts w:hint="default" w:ascii="Times New Roman" w:hAnsi="Times New Roman" w:eastAsia="仿宋_GB2312" w:cs="Times New Roman"/>
          <w:bCs/>
          <w:color w:val="auto"/>
          <w:sz w:val="28"/>
          <w:szCs w:val="28"/>
          <w:highlight w:val="none"/>
        </w:rPr>
      </w:pPr>
    </w:p>
    <w:p>
      <w:pPr>
        <w:pageBreakBefore w:val="0"/>
        <w:kinsoku/>
        <w:wordWrap/>
        <w:overflowPunct/>
        <w:bidi w:val="0"/>
        <w:adjustRightInd w:val="0"/>
        <w:spacing w:line="400" w:lineRule="exact"/>
        <w:ind w:firstLine="420" w:firstLineChars="200"/>
        <w:jc w:val="left"/>
        <w:textAlignment w:val="auto"/>
        <w:outlineLvl w:val="9"/>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供 应 商：</w:t>
      </w:r>
      <w:r>
        <w:rPr>
          <w:rFonts w:hint="default" w:ascii="Times New Roman" w:hAnsi="Times New Roman" w:cs="Times New Roman"/>
          <w:bCs/>
          <w:color w:val="auto"/>
          <w:szCs w:val="21"/>
          <w:highlight w:val="none"/>
          <w:u w:val="single"/>
        </w:rPr>
        <w:t xml:space="preserve">                          </w:t>
      </w:r>
      <w:r>
        <w:rPr>
          <w:rFonts w:hint="default" w:ascii="Times New Roman" w:hAnsi="Times New Roman" w:cs="Times New Roman"/>
          <w:bCs/>
          <w:color w:val="auto"/>
          <w:szCs w:val="21"/>
          <w:highlight w:val="none"/>
        </w:rPr>
        <w:t>（盖单位章）</w:t>
      </w:r>
    </w:p>
    <w:p>
      <w:pPr>
        <w:pageBreakBefore w:val="0"/>
        <w:kinsoku/>
        <w:wordWrap/>
        <w:overflowPunct/>
        <w:bidi w:val="0"/>
        <w:adjustRightInd w:val="0"/>
        <w:spacing w:before="240" w:beforeLines="100" w:line="360" w:lineRule="auto"/>
        <w:ind w:firstLine="420" w:firstLineChars="200"/>
        <w:jc w:val="left"/>
        <w:textAlignment w:val="auto"/>
        <w:outlineLvl w:val="9"/>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rPr>
        <w:t>法定代表人或授权代表：</w:t>
      </w:r>
      <w:r>
        <w:rPr>
          <w:rFonts w:hint="default" w:ascii="Times New Roman" w:hAnsi="Times New Roman" w:cs="Times New Roman"/>
          <w:sz w:val="21"/>
          <w:szCs w:val="21"/>
          <w:highlight w:val="none"/>
          <w:u w:val="single"/>
          <w:lang w:val="en-US" w:eastAsia="zh-CN"/>
        </w:rPr>
        <w:t xml:space="preserve">          </w:t>
      </w:r>
      <w:r>
        <w:rPr>
          <w:rFonts w:hint="default" w:ascii="Times New Roman" w:hAnsi="Times New Roman" w:cs="Times New Roman"/>
          <w:sz w:val="21"/>
          <w:szCs w:val="21"/>
          <w:highlight w:val="none"/>
        </w:rPr>
        <w:t>（签</w:t>
      </w:r>
      <w:r>
        <w:rPr>
          <w:rFonts w:hint="default" w:ascii="Times New Roman" w:hAnsi="Times New Roman" w:cs="Times New Roman"/>
          <w:sz w:val="21"/>
          <w:szCs w:val="21"/>
          <w:highlight w:val="none"/>
          <w:lang w:eastAsia="zh-CN"/>
        </w:rPr>
        <w:t>字</w:t>
      </w:r>
      <w:r>
        <w:rPr>
          <w:rFonts w:hint="default" w:ascii="Times New Roman" w:hAnsi="Times New Roman" w:cs="Times New Roman"/>
          <w:sz w:val="21"/>
          <w:szCs w:val="21"/>
          <w:highlight w:val="none"/>
        </w:rPr>
        <w:t>）</w:t>
      </w:r>
    </w:p>
    <w:p>
      <w:pPr>
        <w:pageBreakBefore w:val="0"/>
        <w:kinsoku/>
        <w:wordWrap/>
        <w:overflowPunct/>
        <w:bidi w:val="0"/>
        <w:adjustRightInd w:val="0"/>
        <w:spacing w:before="240" w:beforeLines="100" w:line="400" w:lineRule="exact"/>
        <w:ind w:firstLine="420" w:firstLineChars="200"/>
        <w:jc w:val="left"/>
        <w:textAlignment w:val="auto"/>
        <w:outlineLvl w:val="9"/>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日    期</w:t>
      </w:r>
      <w:r>
        <w:rPr>
          <w:rFonts w:hint="eastAsia" w:ascii="Times New Roman" w:hAnsi="Times New Roman" w:cs="Times New Roman"/>
          <w:bCs/>
          <w:color w:val="auto"/>
          <w:szCs w:val="21"/>
          <w:highlight w:val="none"/>
          <w:lang w:eastAsia="zh-CN"/>
        </w:rPr>
        <w:t>：</w:t>
      </w:r>
      <w:r>
        <w:rPr>
          <w:rFonts w:hint="default" w:ascii="Times New Roman" w:hAnsi="Times New Roman" w:cs="Times New Roman"/>
          <w:bCs/>
          <w:color w:val="auto"/>
          <w:szCs w:val="21"/>
          <w:highlight w:val="none"/>
        </w:rPr>
        <w:t xml:space="preserve"> 20</w:t>
      </w:r>
      <w:r>
        <w:rPr>
          <w:rFonts w:hint="default" w:ascii="Times New Roman" w:hAnsi="Times New Roman" w:cs="Times New Roman"/>
          <w:bCs/>
          <w:color w:val="auto"/>
          <w:szCs w:val="21"/>
          <w:highlight w:val="none"/>
          <w:u w:val="single"/>
        </w:rPr>
        <w:t xml:space="preserve">  </w:t>
      </w:r>
      <w:r>
        <w:rPr>
          <w:rFonts w:hint="default" w:ascii="Times New Roman" w:hAnsi="Times New Roman" w:cs="Times New Roman"/>
          <w:bCs/>
          <w:color w:val="auto"/>
          <w:szCs w:val="21"/>
          <w:highlight w:val="none"/>
        </w:rPr>
        <w:t>年</w:t>
      </w:r>
      <w:r>
        <w:rPr>
          <w:rFonts w:hint="default" w:ascii="Times New Roman" w:hAnsi="Times New Roman" w:cs="Times New Roman"/>
          <w:bCs/>
          <w:color w:val="auto"/>
          <w:szCs w:val="21"/>
          <w:highlight w:val="none"/>
          <w:u w:val="single"/>
        </w:rPr>
        <w:t xml:space="preserve">  </w:t>
      </w:r>
      <w:r>
        <w:rPr>
          <w:rFonts w:hint="default" w:ascii="Times New Roman" w:hAnsi="Times New Roman" w:cs="Times New Roman"/>
          <w:bCs/>
          <w:color w:val="auto"/>
          <w:szCs w:val="21"/>
          <w:highlight w:val="none"/>
        </w:rPr>
        <w:t>月</w:t>
      </w:r>
      <w:r>
        <w:rPr>
          <w:rFonts w:hint="default" w:ascii="Times New Roman" w:hAnsi="Times New Roman" w:cs="Times New Roman"/>
          <w:bCs/>
          <w:color w:val="auto"/>
          <w:szCs w:val="21"/>
          <w:highlight w:val="none"/>
          <w:u w:val="single"/>
        </w:rPr>
        <w:t xml:space="preserve">  </w:t>
      </w:r>
      <w:r>
        <w:rPr>
          <w:rFonts w:hint="default" w:ascii="Times New Roman" w:hAnsi="Times New Roman" w:cs="Times New Roman"/>
          <w:bCs/>
          <w:color w:val="auto"/>
          <w:szCs w:val="21"/>
          <w:highlight w:val="none"/>
        </w:rPr>
        <w:t>日</w:t>
      </w:r>
    </w:p>
    <w:p>
      <w:pPr>
        <w:pageBreakBefore w:val="0"/>
        <w:kinsoku/>
        <w:wordWrap/>
        <w:overflowPunct/>
        <w:bidi w:val="0"/>
        <w:adjustRightInd w:val="0"/>
        <w:spacing w:line="400" w:lineRule="exact"/>
        <w:jc w:val="center"/>
        <w:textAlignment w:val="auto"/>
        <w:outlineLvl w:val="9"/>
        <w:rPr>
          <w:rFonts w:hint="default" w:ascii="Times New Roman" w:hAnsi="Times New Roman" w:cs="Times New Roman"/>
          <w:b/>
          <w:color w:val="auto"/>
          <w:sz w:val="36"/>
          <w:szCs w:val="36"/>
          <w:highlight w:val="none"/>
        </w:rPr>
      </w:pPr>
    </w:p>
    <w:p>
      <w:pPr>
        <w:pageBreakBefore w:val="0"/>
        <w:kinsoku/>
        <w:wordWrap/>
        <w:overflowPunct/>
        <w:bidi w:val="0"/>
        <w:adjustRightInd w:val="0"/>
        <w:spacing w:line="400" w:lineRule="exact"/>
        <w:jc w:val="center"/>
        <w:textAlignment w:val="auto"/>
        <w:outlineLvl w:val="9"/>
        <w:rPr>
          <w:rFonts w:hint="default" w:ascii="Times New Roman" w:hAnsi="Times New Roman" w:cs="Times New Roman"/>
          <w:b/>
          <w:color w:val="auto"/>
          <w:sz w:val="32"/>
          <w:szCs w:val="32"/>
          <w:highlight w:val="none"/>
          <w:lang w:eastAsia="zh-CN"/>
        </w:rPr>
      </w:pPr>
      <w:bookmarkStart w:id="125" w:name="_Toc2884"/>
    </w:p>
    <w:p>
      <w:pPr>
        <w:pStyle w:val="9"/>
        <w:pageBreakBefore w:val="0"/>
        <w:kinsoku/>
        <w:wordWrap/>
        <w:overflowPunct/>
        <w:bidi w:val="0"/>
        <w:spacing w:before="240" w:beforeLines="100" w:after="240" w:afterLines="100" w:line="360" w:lineRule="auto"/>
        <w:ind w:firstLine="0"/>
        <w:jc w:val="center"/>
        <w:textAlignment w:val="auto"/>
        <w:outlineLvl w:val="9"/>
        <w:rPr>
          <w:rFonts w:hint="default" w:ascii="Times New Roman" w:hAnsi="Times New Roman" w:cs="Times New Roman"/>
          <w:b/>
          <w:color w:val="auto"/>
          <w:szCs w:val="32"/>
          <w:highlight w:val="none"/>
        </w:rPr>
      </w:pPr>
      <w:r>
        <w:rPr>
          <w:rFonts w:hint="default" w:ascii="Times New Roman" w:hAnsi="Times New Roman" w:cs="Times New Roman"/>
          <w:b/>
          <w:color w:val="auto"/>
          <w:szCs w:val="32"/>
          <w:highlight w:val="none"/>
          <w:lang w:eastAsia="zh-CN"/>
        </w:rPr>
        <w:t>五</w:t>
      </w:r>
      <w:r>
        <w:rPr>
          <w:rFonts w:hint="default" w:ascii="Times New Roman" w:hAnsi="Times New Roman" w:cs="Times New Roman"/>
          <w:b/>
          <w:color w:val="auto"/>
          <w:szCs w:val="32"/>
          <w:highlight w:val="none"/>
        </w:rPr>
        <w:t>、承诺文件</w:t>
      </w:r>
      <w:bookmarkEnd w:id="125"/>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cs="Times New Roman"/>
          <w:b/>
          <w:color w:val="auto"/>
          <w:sz w:val="36"/>
          <w:szCs w:val="36"/>
          <w:highlight w:val="none"/>
        </w:rPr>
        <w:t xml:space="preserve"> </w:t>
      </w:r>
      <w:r>
        <w:rPr>
          <w:rFonts w:hint="default" w:ascii="Times New Roman" w:hAnsi="Times New Roman" w:eastAsia="楷体" w:cs="Times New Roman"/>
          <w:color w:val="auto"/>
          <w:szCs w:val="21"/>
          <w:highlight w:val="none"/>
        </w:rPr>
        <w:t>说明：</w:t>
      </w:r>
    </w:p>
    <w:p>
      <w:pPr>
        <w:pageBreakBefore w:val="0"/>
        <w:kinsoku/>
        <w:wordWrap/>
        <w:overflowPunct/>
        <w:bidi w:val="0"/>
        <w:adjustRightInd w:val="0"/>
        <w:spacing w:line="400" w:lineRule="exact"/>
        <w:ind w:firstLine="630" w:firstLineChars="300"/>
        <w:jc w:val="left"/>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格式自定。供应商根据磋商文件要求和采购需求，作出</w:t>
      </w:r>
      <w:r>
        <w:rPr>
          <w:rFonts w:hint="default" w:ascii="Times New Roman" w:hAnsi="Times New Roman" w:eastAsia="楷体" w:cs="Times New Roman"/>
          <w:color w:val="auto"/>
          <w:szCs w:val="21"/>
          <w:highlight w:val="none"/>
          <w:lang w:eastAsia="zh-CN"/>
        </w:rPr>
        <w:t>履约能力</w:t>
      </w:r>
      <w:r>
        <w:rPr>
          <w:rFonts w:hint="default" w:ascii="Times New Roman" w:hAnsi="Times New Roman" w:eastAsia="楷体" w:cs="Times New Roman"/>
          <w:color w:val="auto"/>
          <w:szCs w:val="21"/>
          <w:highlight w:val="none"/>
        </w:rPr>
        <w:t>和</w:t>
      </w:r>
      <w:r>
        <w:rPr>
          <w:rFonts w:hint="default" w:ascii="Times New Roman" w:hAnsi="Times New Roman" w:eastAsia="楷体" w:cs="Times New Roman"/>
          <w:color w:val="auto"/>
          <w:szCs w:val="21"/>
          <w:highlight w:val="none"/>
          <w:lang w:eastAsia="zh-CN"/>
        </w:rPr>
        <w:t>售后</w:t>
      </w:r>
      <w:r>
        <w:rPr>
          <w:rFonts w:hint="default" w:ascii="Times New Roman" w:hAnsi="Times New Roman" w:eastAsia="楷体" w:cs="Times New Roman"/>
          <w:color w:val="auto"/>
          <w:szCs w:val="21"/>
          <w:highlight w:val="none"/>
        </w:rPr>
        <w:t>服务</w:t>
      </w:r>
      <w:r>
        <w:rPr>
          <w:rFonts w:hint="default" w:ascii="Times New Roman" w:hAnsi="Times New Roman" w:eastAsia="楷体" w:cs="Times New Roman"/>
          <w:color w:val="auto"/>
          <w:szCs w:val="21"/>
          <w:highlight w:val="none"/>
          <w:lang w:eastAsia="zh-CN"/>
        </w:rPr>
        <w:t>等相关承诺</w:t>
      </w:r>
      <w:r>
        <w:rPr>
          <w:rFonts w:hint="default" w:ascii="Times New Roman" w:hAnsi="Times New Roman" w:eastAsia="楷体" w:cs="Times New Roman"/>
          <w:color w:val="auto"/>
          <w:szCs w:val="21"/>
          <w:highlight w:val="none"/>
        </w:rPr>
        <w:t>。</w:t>
      </w: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bCs/>
          <w:color w:val="auto"/>
          <w:sz w:val="36"/>
          <w:szCs w:val="36"/>
          <w:highlight w:val="none"/>
        </w:rPr>
      </w:pPr>
    </w:p>
    <w:p>
      <w:pPr>
        <w:rPr>
          <w:rFonts w:hint="default" w:ascii="Times New Roman" w:hAnsi="Times New Roman" w:cs="Times New Roman"/>
          <w:b/>
          <w:color w:val="auto"/>
          <w:kern w:val="0"/>
          <w:sz w:val="36"/>
          <w:szCs w:val="36"/>
          <w:highlight w:val="none"/>
          <w:lang w:eastAsia="zh-CN"/>
        </w:rPr>
      </w:pPr>
      <w:bookmarkStart w:id="126" w:name="_Toc27371"/>
      <w:bookmarkStart w:id="127" w:name="_Toc217446088"/>
      <w:r>
        <w:rPr>
          <w:rFonts w:hint="default" w:ascii="Times New Roman" w:hAnsi="Times New Roman" w:cs="Times New Roman"/>
          <w:b/>
          <w:color w:val="auto"/>
          <w:kern w:val="0"/>
          <w:sz w:val="36"/>
          <w:szCs w:val="36"/>
          <w:highlight w:val="none"/>
          <w:lang w:eastAsia="zh-CN"/>
        </w:rPr>
        <w:br w:type="page"/>
      </w:r>
    </w:p>
    <w:bookmarkEnd w:id="126"/>
    <w:p>
      <w:pPr>
        <w:pageBreakBefore w:val="0"/>
        <w:kinsoku/>
        <w:wordWrap/>
        <w:overflowPunct/>
        <w:bidi w:val="0"/>
        <w:spacing w:before="240" w:beforeLines="100" w:after="120" w:afterLines="50"/>
        <w:jc w:val="both"/>
        <w:textAlignment w:val="auto"/>
        <w:outlineLvl w:val="9"/>
        <w:rPr>
          <w:rFonts w:hint="default" w:ascii="Times New Roman" w:hAnsi="Times New Roman" w:eastAsia="宋体" w:cs="Times New Roman"/>
          <w:b/>
          <w:color w:val="auto"/>
          <w:sz w:val="24"/>
          <w:szCs w:val="24"/>
          <w:highlight w:val="none"/>
          <w:lang w:eastAsia="zh-CN"/>
        </w:rPr>
      </w:pPr>
      <w:r>
        <w:rPr>
          <w:rFonts w:hint="default" w:ascii="Times New Roman" w:hAnsi="Times New Roman" w:cs="Times New Roman"/>
          <w:b/>
          <w:color w:val="auto"/>
          <w:sz w:val="24"/>
          <w:szCs w:val="24"/>
          <w:highlight w:val="none"/>
          <w:lang w:eastAsia="zh-CN"/>
        </w:rPr>
        <w:t>附件</w:t>
      </w:r>
    </w:p>
    <w:p>
      <w:pPr>
        <w:pageBreakBefore w:val="0"/>
        <w:kinsoku/>
        <w:wordWrap/>
        <w:overflowPunct/>
        <w:bidi w:val="0"/>
        <w:spacing w:before="240" w:beforeLines="100" w:after="120" w:afterLines="50"/>
        <w:jc w:val="center"/>
        <w:textAlignment w:val="auto"/>
        <w:outlineLvl w:val="9"/>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售后服务点联系表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080"/>
        <w:gridCol w:w="1260"/>
        <w:gridCol w:w="1516"/>
        <w:gridCol w:w="25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434"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服务机构名称</w:t>
            </w:r>
          </w:p>
        </w:tc>
        <w:tc>
          <w:tcPr>
            <w:tcW w:w="108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所在地</w:t>
            </w:r>
          </w:p>
        </w:tc>
        <w:tc>
          <w:tcPr>
            <w:tcW w:w="126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联系人</w:t>
            </w:r>
          </w:p>
        </w:tc>
        <w:tc>
          <w:tcPr>
            <w:tcW w:w="1516"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联系电话</w:t>
            </w:r>
          </w:p>
        </w:tc>
        <w:tc>
          <w:tcPr>
            <w:tcW w:w="2548"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地 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08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26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516"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2548"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08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26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516"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2548"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08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26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516"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2548"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08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26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516"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2548"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08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26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516"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2548"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08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26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516"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2548"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08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26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516"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2548"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08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26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516"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2548"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08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26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516"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2548"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08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26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516"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2548"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08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26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516"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2548"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08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26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516"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2548"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08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260"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1516"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c>
          <w:tcPr>
            <w:tcW w:w="2548" w:type="dxa"/>
            <w:noWrap w:val="0"/>
            <w:vAlign w:val="center"/>
          </w:tcPr>
          <w:p>
            <w:pPr>
              <w:pageBreakBefore w:val="0"/>
              <w:kinsoku/>
              <w:wordWrap/>
              <w:overflowPunct/>
              <w:bidi w:val="0"/>
              <w:spacing w:line="480" w:lineRule="exact"/>
              <w:jc w:val="center"/>
              <w:textAlignment w:val="auto"/>
              <w:outlineLvl w:val="9"/>
              <w:rPr>
                <w:rFonts w:hint="default" w:ascii="Times New Roman" w:hAnsi="Times New Roman" w:cs="Times New Roman"/>
                <w:color w:val="auto"/>
                <w:highlight w:val="none"/>
              </w:rPr>
            </w:pPr>
          </w:p>
        </w:tc>
      </w:tr>
    </w:tbl>
    <w:p>
      <w:pPr>
        <w:pageBreakBefore w:val="0"/>
        <w:kinsoku/>
        <w:wordWrap/>
        <w:overflowPunct/>
        <w:bidi w:val="0"/>
        <w:spacing w:before="240" w:beforeLines="100" w:line="360" w:lineRule="auto"/>
        <w:ind w:firstLine="409" w:firstLineChars="195"/>
        <w:textAlignment w:val="auto"/>
        <w:outlineLvl w:val="9"/>
        <w:rPr>
          <w:rFonts w:hint="default" w:ascii="Times New Roman" w:hAnsi="Times New Roman" w:eastAsia="楷体" w:cs="Times New Roman"/>
          <w:bCs/>
          <w:iCs/>
          <w:color w:val="auto"/>
          <w:highlight w:val="none"/>
        </w:rPr>
      </w:pPr>
      <w:r>
        <w:rPr>
          <w:rFonts w:hint="default" w:ascii="Times New Roman" w:hAnsi="Times New Roman" w:eastAsia="楷体" w:cs="Times New Roman"/>
          <w:bCs/>
          <w:iCs/>
          <w:color w:val="auto"/>
          <w:highlight w:val="none"/>
        </w:rPr>
        <w:t>注：采购人将核实成交供应商承诺的售后服务机构，如果不属实，则从扣除合同总额的2％作为违约处罚。</w:t>
      </w: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Cs/>
          <w:color w:val="auto"/>
          <w:sz w:val="24"/>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Cs/>
          <w:color w:val="auto"/>
          <w:sz w:val="24"/>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Cs/>
          <w:color w:val="auto"/>
          <w:sz w:val="24"/>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Cs/>
          <w:color w:val="auto"/>
          <w:sz w:val="24"/>
          <w:highlight w:val="none"/>
        </w:rPr>
      </w:pPr>
    </w:p>
    <w:p>
      <w:pPr>
        <w:pageBreakBefore w:val="0"/>
        <w:kinsoku/>
        <w:wordWrap/>
        <w:overflowPunct/>
        <w:bidi w:val="0"/>
        <w:spacing w:line="360" w:lineRule="auto"/>
        <w:jc w:val="center"/>
        <w:textAlignment w:val="auto"/>
        <w:outlineLvl w:val="9"/>
        <w:rPr>
          <w:rFonts w:hint="default" w:ascii="Times New Roman" w:hAnsi="Times New Roman" w:cs="Times New Roman"/>
          <w:b/>
          <w:color w:val="auto"/>
          <w:sz w:val="36"/>
          <w:szCs w:val="36"/>
          <w:highlight w:val="none"/>
        </w:rPr>
      </w:pPr>
    </w:p>
    <w:p>
      <w:pPr>
        <w:pageBreakBefore w:val="0"/>
        <w:kinsoku/>
        <w:wordWrap/>
        <w:overflowPunct/>
        <w:bidi w:val="0"/>
        <w:spacing w:line="360" w:lineRule="auto"/>
        <w:jc w:val="center"/>
        <w:textAlignment w:val="auto"/>
        <w:outlineLvl w:val="9"/>
        <w:rPr>
          <w:rFonts w:hint="default" w:ascii="Times New Roman" w:hAnsi="Times New Roman" w:cs="Times New Roman"/>
          <w:b/>
          <w:color w:val="auto"/>
          <w:sz w:val="36"/>
          <w:szCs w:val="36"/>
          <w:highlight w:val="none"/>
        </w:rPr>
      </w:pPr>
    </w:p>
    <w:p>
      <w:pPr>
        <w:rPr>
          <w:rFonts w:hint="default" w:ascii="Times New Roman" w:hAnsi="Times New Roman" w:cs="Times New Roman"/>
          <w:b/>
          <w:color w:val="auto"/>
          <w:sz w:val="36"/>
          <w:szCs w:val="36"/>
          <w:highlight w:val="none"/>
          <w:lang w:eastAsia="zh-CN"/>
        </w:rPr>
      </w:pPr>
      <w:bookmarkStart w:id="128" w:name="_Toc9407"/>
      <w:r>
        <w:rPr>
          <w:rFonts w:hint="default" w:ascii="Times New Roman" w:hAnsi="Times New Roman" w:cs="Times New Roman"/>
          <w:b/>
          <w:color w:val="auto"/>
          <w:sz w:val="36"/>
          <w:szCs w:val="36"/>
          <w:highlight w:val="none"/>
          <w:lang w:eastAsia="zh-CN"/>
        </w:rPr>
        <w:br w:type="page"/>
      </w:r>
    </w:p>
    <w:bookmarkEnd w:id="128"/>
    <w:p>
      <w:pPr>
        <w:pStyle w:val="9"/>
        <w:pageBreakBefore w:val="0"/>
        <w:kinsoku/>
        <w:wordWrap/>
        <w:overflowPunct/>
        <w:bidi w:val="0"/>
        <w:spacing w:before="240" w:beforeLines="100" w:after="240" w:afterLines="100" w:line="360" w:lineRule="auto"/>
        <w:ind w:firstLine="0"/>
        <w:jc w:val="center"/>
        <w:textAlignment w:val="auto"/>
        <w:outlineLvl w:val="9"/>
        <w:rPr>
          <w:rFonts w:hint="default" w:ascii="Times New Roman" w:hAnsi="Times New Roman" w:cs="Times New Roman"/>
          <w:b/>
          <w:color w:val="auto"/>
          <w:szCs w:val="32"/>
          <w:highlight w:val="none"/>
        </w:rPr>
      </w:pPr>
      <w:bookmarkStart w:id="129" w:name="_Toc9365"/>
      <w:r>
        <w:rPr>
          <w:rFonts w:hint="default" w:ascii="Times New Roman" w:hAnsi="Times New Roman" w:cs="Times New Roman"/>
          <w:b/>
          <w:color w:val="auto"/>
          <w:szCs w:val="32"/>
          <w:highlight w:val="none"/>
          <w:lang w:eastAsia="zh-CN"/>
        </w:rPr>
        <w:t>六</w:t>
      </w:r>
      <w:r>
        <w:rPr>
          <w:rFonts w:hint="default" w:ascii="Times New Roman" w:hAnsi="Times New Roman" w:cs="Times New Roman"/>
          <w:b/>
          <w:color w:val="auto"/>
          <w:szCs w:val="32"/>
          <w:highlight w:val="none"/>
        </w:rPr>
        <w:t>、其他证明材料</w:t>
      </w:r>
      <w:bookmarkEnd w:id="129"/>
    </w:p>
    <w:p>
      <w:pPr>
        <w:pageBreakBefore w:val="0"/>
        <w:kinsoku/>
        <w:wordWrap/>
        <w:overflowPunct/>
        <w:bidi w:val="0"/>
        <w:spacing w:before="240" w:beforeLines="100" w:line="360" w:lineRule="auto"/>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说明：</w:t>
      </w:r>
    </w:p>
    <w:p>
      <w:pPr>
        <w:pageBreakBefore w:val="0"/>
        <w:kinsoku/>
        <w:wordWrap/>
        <w:overflowPunct/>
        <w:bidi w:val="0"/>
        <w:spacing w:line="360" w:lineRule="auto"/>
        <w:ind w:firstLine="420" w:firstLineChars="200"/>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1.提供供应商近3年完成的类似业绩证明材料；</w:t>
      </w:r>
    </w:p>
    <w:p>
      <w:pPr>
        <w:pageBreakBefore w:val="0"/>
        <w:tabs>
          <w:tab w:val="left" w:pos="3600"/>
        </w:tabs>
        <w:kinsoku/>
        <w:wordWrap/>
        <w:overflowPunct/>
        <w:bidi w:val="0"/>
        <w:adjustRightInd w:val="0"/>
        <w:snapToGrid w:val="0"/>
        <w:spacing w:line="360" w:lineRule="auto"/>
        <w:ind w:firstLine="420" w:firstLineChars="200"/>
        <w:textAlignment w:val="auto"/>
        <w:outlineLvl w:val="9"/>
        <w:rPr>
          <w:rFonts w:hint="default" w:ascii="Times New Roman" w:hAnsi="Times New Roman" w:eastAsia="楷体" w:cs="Times New Roman"/>
          <w:bCs/>
          <w:color w:val="auto"/>
          <w:spacing w:val="6"/>
          <w:kern w:val="0"/>
          <w:szCs w:val="21"/>
          <w:highlight w:val="none"/>
        </w:rPr>
      </w:pPr>
      <w:r>
        <w:rPr>
          <w:rFonts w:hint="default" w:ascii="Times New Roman" w:hAnsi="Times New Roman" w:eastAsia="楷体" w:cs="Times New Roman"/>
          <w:color w:val="auto"/>
          <w:szCs w:val="21"/>
          <w:highlight w:val="none"/>
          <w:lang w:val="en-US" w:eastAsia="zh-CN"/>
        </w:rPr>
        <w:t>2</w:t>
      </w:r>
      <w:r>
        <w:rPr>
          <w:rFonts w:hint="default" w:ascii="Times New Roman" w:hAnsi="Times New Roman" w:eastAsia="楷体" w:cs="Times New Roman"/>
          <w:color w:val="auto"/>
          <w:szCs w:val="21"/>
          <w:highlight w:val="none"/>
        </w:rPr>
        <w:t>.</w:t>
      </w:r>
      <w:r>
        <w:rPr>
          <w:rFonts w:hint="default" w:ascii="Times New Roman" w:hAnsi="Times New Roman" w:eastAsia="楷体" w:cs="Times New Roman"/>
          <w:bCs/>
          <w:color w:val="auto"/>
          <w:spacing w:val="6"/>
          <w:kern w:val="0"/>
          <w:szCs w:val="21"/>
          <w:highlight w:val="none"/>
        </w:rPr>
        <w:t>其他证明材料，非供应商的必备证明材料，仅作为评审的因素。</w:t>
      </w: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
          <w:color w:val="auto"/>
          <w:sz w:val="36"/>
          <w:szCs w:val="36"/>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color w:val="auto"/>
          <w:kern w:val="0"/>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color w:val="auto"/>
          <w:kern w:val="0"/>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color w:val="auto"/>
          <w:kern w:val="0"/>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color w:val="auto"/>
          <w:kern w:val="0"/>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color w:val="auto"/>
          <w:kern w:val="0"/>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color w:val="auto"/>
          <w:kern w:val="0"/>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color w:val="auto"/>
          <w:kern w:val="0"/>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color w:val="auto"/>
          <w:kern w:val="0"/>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color w:val="auto"/>
          <w:kern w:val="0"/>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color w:val="auto"/>
          <w:kern w:val="0"/>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color w:val="auto"/>
          <w:kern w:val="0"/>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color w:val="auto"/>
          <w:kern w:val="0"/>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color w:val="auto"/>
          <w:kern w:val="0"/>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color w:val="auto"/>
          <w:kern w:val="0"/>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color w:val="auto"/>
          <w:kern w:val="0"/>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color w:val="auto"/>
          <w:kern w:val="0"/>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color w:val="auto"/>
          <w:kern w:val="0"/>
          <w:highlight w:val="none"/>
        </w:rPr>
      </w:pPr>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color w:val="auto"/>
          <w:kern w:val="0"/>
          <w:highlight w:val="none"/>
        </w:rPr>
      </w:pPr>
    </w:p>
    <w:p>
      <w:pPr>
        <w:pageBreakBefore w:val="0"/>
        <w:kinsoku/>
        <w:wordWrap/>
        <w:overflowPunct/>
        <w:bidi w:val="0"/>
        <w:spacing w:before="240" w:beforeLines="100" w:line="360" w:lineRule="auto"/>
        <w:ind w:firstLine="409" w:firstLineChars="195"/>
        <w:textAlignment w:val="auto"/>
        <w:outlineLvl w:val="9"/>
        <w:rPr>
          <w:rFonts w:hint="default" w:ascii="Times New Roman" w:hAnsi="Times New Roman" w:eastAsia="仿宋_GB2312" w:cs="Times New Roman"/>
          <w:bCs/>
          <w:iCs/>
          <w:color w:val="auto"/>
          <w:highlight w:val="none"/>
        </w:rPr>
      </w:pPr>
    </w:p>
    <w:p>
      <w:pPr>
        <w:pageBreakBefore w:val="0"/>
        <w:kinsoku/>
        <w:wordWrap/>
        <w:overflowPunct/>
        <w:bidi w:val="0"/>
        <w:adjustRightInd w:val="0"/>
        <w:snapToGrid w:val="0"/>
        <w:spacing w:after="120" w:afterLines="50" w:line="360" w:lineRule="auto"/>
        <w:jc w:val="center"/>
        <w:textAlignment w:val="auto"/>
        <w:outlineLvl w:val="9"/>
        <w:rPr>
          <w:rFonts w:hint="default" w:ascii="Times New Roman" w:hAnsi="Times New Roman" w:eastAsia="黑体" w:cs="Times New Roman"/>
          <w:bCs/>
          <w:color w:val="auto"/>
          <w:sz w:val="36"/>
          <w:szCs w:val="36"/>
          <w:highlight w:val="none"/>
        </w:rPr>
      </w:pPr>
      <w:r>
        <w:rPr>
          <w:rFonts w:hint="default" w:ascii="Times New Roman" w:hAnsi="Times New Roman" w:eastAsia="黑体" w:cs="Times New Roman"/>
          <w:bCs/>
          <w:color w:val="auto"/>
          <w:sz w:val="36"/>
          <w:szCs w:val="36"/>
          <w:highlight w:val="none"/>
        </w:rPr>
        <w:br w:type="page"/>
      </w:r>
      <w:r>
        <w:rPr>
          <w:rFonts w:hint="default" w:ascii="Times New Roman" w:hAnsi="Times New Roman" w:eastAsia="宋体" w:cs="Times New Roman"/>
          <w:b/>
          <w:color w:val="auto"/>
          <w:kern w:val="2"/>
          <w:sz w:val="32"/>
          <w:szCs w:val="32"/>
          <w:highlight w:val="none"/>
          <w:lang w:val="en-US" w:eastAsia="zh-CN" w:bidi="ar-SA"/>
        </w:rPr>
        <w:t>1.供应商近年完成的类似业绩证明材料</w:t>
      </w:r>
    </w:p>
    <w:p>
      <w:pPr>
        <w:pageBreakBefore w:val="0"/>
        <w:kinsoku/>
        <w:wordWrap/>
        <w:overflowPunct/>
        <w:bidi w:val="0"/>
        <w:spacing w:before="240" w:beforeLines="100" w:line="400" w:lineRule="exact"/>
        <w:jc w:val="center"/>
        <w:textAlignment w:val="auto"/>
        <w:outlineLvl w:val="9"/>
        <w:rPr>
          <w:rFonts w:hint="default" w:ascii="Times New Roman" w:hAnsi="Times New Roman" w:cs="Times New Roman"/>
          <w:b w:val="0"/>
          <w:bCs/>
          <w:color w:val="auto"/>
          <w:sz w:val="24"/>
          <w:szCs w:val="24"/>
          <w:highlight w:val="none"/>
        </w:rPr>
      </w:pPr>
      <w:bookmarkStart w:id="130" w:name="_Toc13839"/>
      <w:r>
        <w:rPr>
          <w:rFonts w:hint="default" w:ascii="Times New Roman" w:hAnsi="Times New Roman" w:cs="Times New Roman"/>
          <w:b w:val="0"/>
          <w:bCs/>
          <w:color w:val="auto"/>
          <w:sz w:val="24"/>
          <w:szCs w:val="24"/>
          <w:highlight w:val="none"/>
        </w:rPr>
        <w:t>近年类似项目业绩一览表</w:t>
      </w:r>
      <w:bookmarkEnd w:id="130"/>
    </w:p>
    <w:p>
      <w:pPr>
        <w:pageBreakBefore w:val="0"/>
        <w:kinsoku/>
        <w:wordWrap/>
        <w:overflowPunct/>
        <w:bidi w:val="0"/>
        <w:spacing w:after="120" w:line="400" w:lineRule="exact"/>
        <w:ind w:firstLine="210" w:firstLineChars="100"/>
        <w:textAlignment w:val="auto"/>
        <w:outlineLvl w:val="9"/>
        <w:rPr>
          <w:rFonts w:hint="default" w:ascii="Times New Roman" w:hAnsi="Times New Roman" w:eastAsia="宋体" w:cs="Times New Roman"/>
          <w:b w:val="0"/>
          <w:bCs/>
          <w:color w:val="auto"/>
          <w:sz w:val="21"/>
          <w:szCs w:val="21"/>
          <w:highlight w:val="none"/>
        </w:rPr>
      </w:pPr>
      <w:bookmarkStart w:id="131" w:name="_Toc17376"/>
      <w:r>
        <w:rPr>
          <w:rFonts w:hint="default" w:ascii="Times New Roman" w:hAnsi="Times New Roman" w:eastAsia="宋体" w:cs="Times New Roman"/>
          <w:b w:val="0"/>
          <w:bCs/>
          <w:color w:val="auto"/>
          <w:sz w:val="21"/>
          <w:szCs w:val="21"/>
          <w:highlight w:val="none"/>
        </w:rPr>
        <w:t>供应商名称：                                                  单位：万元</w:t>
      </w:r>
      <w:bookmarkEnd w:id="131"/>
    </w:p>
    <w:tbl>
      <w:tblPr>
        <w:tblStyle w:val="17"/>
        <w:tblW w:w="926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620"/>
        <w:gridCol w:w="1596"/>
        <w:gridCol w:w="1288"/>
        <w:gridCol w:w="1259"/>
        <w:gridCol w:w="1701"/>
        <w:gridCol w:w="9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noWrap w:val="0"/>
            <w:vAlign w:val="center"/>
          </w:tcPr>
          <w:p>
            <w:pPr>
              <w:pStyle w:val="4"/>
              <w:pageBreakBefore w:val="0"/>
              <w:kinsoku/>
              <w:wordWrap/>
              <w:overflowPunct/>
              <w:bidi w:val="0"/>
              <w:ind w:firstLine="0"/>
              <w:jc w:val="center"/>
              <w:textAlignment w:val="auto"/>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年份</w:t>
            </w:r>
          </w:p>
        </w:tc>
        <w:tc>
          <w:tcPr>
            <w:tcW w:w="1620" w:type="dxa"/>
            <w:noWrap w:val="0"/>
            <w:vAlign w:val="center"/>
          </w:tcPr>
          <w:p>
            <w:pPr>
              <w:pStyle w:val="4"/>
              <w:pageBreakBefore w:val="0"/>
              <w:kinsoku/>
              <w:wordWrap/>
              <w:overflowPunct/>
              <w:bidi w:val="0"/>
              <w:ind w:firstLine="0"/>
              <w:jc w:val="center"/>
              <w:textAlignment w:val="auto"/>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用户名称</w:t>
            </w:r>
          </w:p>
        </w:tc>
        <w:tc>
          <w:tcPr>
            <w:tcW w:w="1596" w:type="dxa"/>
            <w:noWrap w:val="0"/>
            <w:vAlign w:val="center"/>
          </w:tcPr>
          <w:p>
            <w:pPr>
              <w:pStyle w:val="4"/>
              <w:pageBreakBefore w:val="0"/>
              <w:kinsoku/>
              <w:wordWrap/>
              <w:overflowPunct/>
              <w:bidi w:val="0"/>
              <w:ind w:firstLine="0"/>
              <w:jc w:val="center"/>
              <w:textAlignment w:val="auto"/>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项目名称</w:t>
            </w:r>
          </w:p>
        </w:tc>
        <w:tc>
          <w:tcPr>
            <w:tcW w:w="1288" w:type="dxa"/>
            <w:noWrap w:val="0"/>
            <w:vAlign w:val="center"/>
          </w:tcPr>
          <w:p>
            <w:pPr>
              <w:pStyle w:val="4"/>
              <w:pageBreakBefore w:val="0"/>
              <w:kinsoku/>
              <w:wordWrap/>
              <w:overflowPunct/>
              <w:bidi w:val="0"/>
              <w:ind w:firstLine="0"/>
              <w:jc w:val="center"/>
              <w:textAlignment w:val="auto"/>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合同金额</w:t>
            </w:r>
          </w:p>
        </w:tc>
        <w:tc>
          <w:tcPr>
            <w:tcW w:w="1259" w:type="dxa"/>
            <w:noWrap w:val="0"/>
            <w:vAlign w:val="center"/>
          </w:tcPr>
          <w:p>
            <w:pPr>
              <w:pStyle w:val="4"/>
              <w:pageBreakBefore w:val="0"/>
              <w:kinsoku/>
              <w:wordWrap/>
              <w:overflowPunct/>
              <w:bidi w:val="0"/>
              <w:ind w:firstLine="0"/>
              <w:jc w:val="center"/>
              <w:textAlignment w:val="auto"/>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完成时间</w:t>
            </w:r>
          </w:p>
        </w:tc>
        <w:tc>
          <w:tcPr>
            <w:tcW w:w="1701" w:type="dxa"/>
            <w:noWrap w:val="0"/>
            <w:vAlign w:val="center"/>
          </w:tcPr>
          <w:p>
            <w:pPr>
              <w:pStyle w:val="4"/>
              <w:pageBreakBefore w:val="0"/>
              <w:kinsoku/>
              <w:wordWrap/>
              <w:overflowPunct/>
              <w:bidi w:val="0"/>
              <w:ind w:firstLine="0"/>
              <w:jc w:val="center"/>
              <w:textAlignment w:val="auto"/>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是否通过验收</w:t>
            </w:r>
          </w:p>
        </w:tc>
        <w:tc>
          <w:tcPr>
            <w:tcW w:w="904" w:type="dxa"/>
            <w:noWrap w:val="0"/>
            <w:vAlign w:val="center"/>
          </w:tcPr>
          <w:p>
            <w:pPr>
              <w:pStyle w:val="4"/>
              <w:pageBreakBefore w:val="0"/>
              <w:kinsoku/>
              <w:wordWrap/>
              <w:overflowPunct/>
              <w:bidi w:val="0"/>
              <w:ind w:firstLine="0"/>
              <w:jc w:val="center"/>
              <w:textAlignment w:val="auto"/>
              <w:outlineLvl w:val="9"/>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62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596"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88"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59"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701"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904"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4" w:hRule="atLeast"/>
        </w:trPr>
        <w:tc>
          <w:tcPr>
            <w:tcW w:w="90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62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596"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88"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59"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701"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904"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62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596"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88"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59"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701"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904"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62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596"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88"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59"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701"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904"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4" w:hRule="atLeast"/>
        </w:trPr>
        <w:tc>
          <w:tcPr>
            <w:tcW w:w="90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62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596"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88"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59"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701"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904"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62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596"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88"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59"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701"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904"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62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596"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88"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59"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701"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904"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4" w:hRule="atLeast"/>
        </w:trPr>
        <w:tc>
          <w:tcPr>
            <w:tcW w:w="90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62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596"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88"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59"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701"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904"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62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596"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88"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59"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701"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904"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62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596"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88"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59"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701"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904"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9" w:hRule="atLeast"/>
        </w:trPr>
        <w:tc>
          <w:tcPr>
            <w:tcW w:w="90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62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596"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88"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59"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701"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904"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620"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596"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88"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259"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1701"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c>
          <w:tcPr>
            <w:tcW w:w="904" w:type="dxa"/>
            <w:noWrap w:val="0"/>
            <w:vAlign w:val="top"/>
          </w:tcPr>
          <w:p>
            <w:pPr>
              <w:pStyle w:val="4"/>
              <w:pageBreakBefore w:val="0"/>
              <w:kinsoku/>
              <w:wordWrap/>
              <w:overflowPunct/>
              <w:bidi w:val="0"/>
              <w:ind w:firstLine="0"/>
              <w:textAlignment w:val="auto"/>
              <w:outlineLvl w:val="9"/>
              <w:rPr>
                <w:rFonts w:hint="default" w:ascii="Times New Roman" w:hAnsi="Times New Roman" w:cs="Times New Roman"/>
                <w:color w:val="auto"/>
                <w:sz w:val="24"/>
                <w:szCs w:val="24"/>
                <w:highlight w:val="none"/>
              </w:rPr>
            </w:pPr>
          </w:p>
        </w:tc>
      </w:tr>
    </w:tbl>
    <w:p>
      <w:pPr>
        <w:pStyle w:val="4"/>
        <w:pageBreakBefore w:val="0"/>
        <w:kinsoku/>
        <w:wordWrap/>
        <w:overflowPunct/>
        <w:bidi w:val="0"/>
        <w:textAlignment w:val="auto"/>
        <w:outlineLvl w:val="9"/>
        <w:rPr>
          <w:rFonts w:hint="default" w:ascii="Times New Roman" w:hAnsi="Times New Roman" w:cs="Times New Roman"/>
          <w:color w:val="auto"/>
          <w:highlight w:val="none"/>
        </w:rPr>
      </w:pPr>
    </w:p>
    <w:p>
      <w:pPr>
        <w:pageBreakBefore w:val="0"/>
        <w:kinsoku/>
        <w:wordWrap/>
        <w:overflowPunct/>
        <w:autoSpaceDE w:val="0"/>
        <w:autoSpaceDN w:val="0"/>
        <w:bidi w:val="0"/>
        <w:spacing w:line="360" w:lineRule="auto"/>
        <w:textAlignment w:val="auto"/>
        <w:outlineLvl w:val="9"/>
        <w:rPr>
          <w:rFonts w:hint="default" w:ascii="Times New Roman" w:hAnsi="Times New Roman" w:eastAsia="楷体" w:cs="Times New Roman"/>
          <w:color w:val="auto"/>
          <w:szCs w:val="21"/>
          <w:highlight w:val="none"/>
          <w:lang w:eastAsia="zh-CN"/>
        </w:rPr>
      </w:pPr>
      <w:r>
        <w:rPr>
          <w:rFonts w:hint="default" w:ascii="Times New Roman" w:hAnsi="Times New Roman" w:eastAsia="楷体" w:cs="Times New Roman"/>
          <w:color w:val="auto"/>
          <w:szCs w:val="21"/>
          <w:highlight w:val="none"/>
        </w:rPr>
        <w:t>说明：1.</w:t>
      </w:r>
      <w:r>
        <w:rPr>
          <w:rFonts w:hint="default" w:ascii="Times New Roman" w:hAnsi="Times New Roman" w:eastAsia="楷体" w:cs="Times New Roman"/>
          <w:color w:val="auto"/>
          <w:kern w:val="0"/>
          <w:highlight w:val="none"/>
          <w:lang w:val="zh-CN"/>
        </w:rPr>
        <w:t>提供自</w:t>
      </w:r>
      <w:r>
        <w:rPr>
          <w:rFonts w:hint="eastAsia" w:ascii="Times New Roman" w:hAnsi="Times New Roman" w:eastAsia="楷体" w:cs="Times New Roman"/>
          <w:color w:val="auto"/>
          <w:kern w:val="0"/>
          <w:highlight w:val="none"/>
          <w:u w:val="none"/>
          <w:lang w:val="en-US" w:eastAsia="zh-CN"/>
        </w:rPr>
        <w:t>2020</w:t>
      </w:r>
      <w:r>
        <w:rPr>
          <w:rFonts w:hint="default" w:ascii="Times New Roman" w:hAnsi="Times New Roman" w:eastAsia="楷体" w:cs="Times New Roman"/>
          <w:color w:val="auto"/>
          <w:kern w:val="0"/>
          <w:highlight w:val="none"/>
          <w:lang w:val="zh-CN"/>
        </w:rPr>
        <w:t>年以来的类似业绩证明材料。类似业绩是指与采购项目在服务类型、使用功能等方面相同或相近的项目</w:t>
      </w:r>
      <w:r>
        <w:rPr>
          <w:rFonts w:hint="default" w:ascii="Times New Roman" w:hAnsi="Times New Roman" w:eastAsia="楷体" w:cs="Times New Roman"/>
          <w:color w:val="auto"/>
          <w:szCs w:val="21"/>
          <w:highlight w:val="none"/>
          <w:lang w:eastAsia="zh-CN"/>
        </w:rPr>
        <w:t>；</w:t>
      </w:r>
    </w:p>
    <w:p>
      <w:pPr>
        <w:pageBreakBefore w:val="0"/>
        <w:kinsoku/>
        <w:wordWrap/>
        <w:overflowPunct/>
        <w:autoSpaceDE w:val="0"/>
        <w:autoSpaceDN w:val="0"/>
        <w:bidi w:val="0"/>
        <w:spacing w:line="360" w:lineRule="auto"/>
        <w:textAlignment w:val="auto"/>
        <w:outlineLvl w:val="9"/>
        <w:rPr>
          <w:rFonts w:hint="default" w:ascii="Times New Roman" w:hAnsi="Times New Roman" w:eastAsia="楷体" w:cs="Times New Roman"/>
          <w:bCs/>
          <w:color w:val="auto"/>
          <w:szCs w:val="21"/>
          <w:highlight w:val="none"/>
        </w:rPr>
      </w:pPr>
      <w:r>
        <w:rPr>
          <w:rFonts w:hint="default" w:ascii="Times New Roman" w:hAnsi="Times New Roman" w:eastAsia="楷体" w:cs="Times New Roman"/>
          <w:color w:val="auto"/>
          <w:szCs w:val="21"/>
          <w:highlight w:val="none"/>
          <w:lang w:val="en-US" w:eastAsia="zh-CN"/>
        </w:rPr>
        <w:t>2</w:t>
      </w:r>
      <w:r>
        <w:rPr>
          <w:rFonts w:hint="default" w:ascii="Times New Roman" w:hAnsi="Times New Roman" w:eastAsia="楷体" w:cs="Times New Roman"/>
          <w:color w:val="auto"/>
          <w:szCs w:val="21"/>
          <w:highlight w:val="none"/>
        </w:rPr>
        <w:t>.供应商人</w:t>
      </w:r>
      <w:r>
        <w:rPr>
          <w:rFonts w:hint="default" w:ascii="Times New Roman" w:hAnsi="Times New Roman" w:eastAsia="楷体" w:cs="Times New Roman"/>
          <w:bCs/>
          <w:color w:val="auto"/>
          <w:szCs w:val="21"/>
          <w:highlight w:val="none"/>
        </w:rPr>
        <w:t>未按上述要求提供、</w:t>
      </w:r>
      <w:r>
        <w:rPr>
          <w:rFonts w:hint="default" w:ascii="Times New Roman" w:hAnsi="Times New Roman" w:eastAsia="楷体" w:cs="Times New Roman"/>
          <w:color w:val="auto"/>
          <w:szCs w:val="21"/>
          <w:highlight w:val="none"/>
        </w:rPr>
        <w:t>填写</w:t>
      </w:r>
      <w:r>
        <w:rPr>
          <w:rFonts w:hint="default" w:ascii="Times New Roman" w:hAnsi="Times New Roman" w:eastAsia="楷体" w:cs="Times New Roman"/>
          <w:bCs/>
          <w:color w:val="auto"/>
          <w:szCs w:val="21"/>
          <w:highlight w:val="none"/>
        </w:rPr>
        <w:t>的，评审时不予加分。</w:t>
      </w:r>
    </w:p>
    <w:p>
      <w:pPr>
        <w:pageBreakBefore w:val="0"/>
        <w:kinsoku/>
        <w:wordWrap/>
        <w:overflowPunct/>
        <w:bidi w:val="0"/>
        <w:adjustRightInd w:val="0"/>
        <w:spacing w:before="360" w:beforeLines="150" w:line="360" w:lineRule="auto"/>
        <w:ind w:firstLine="105" w:firstLineChars="50"/>
        <w:jc w:val="left"/>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 应 商：</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（盖单位章）</w:t>
      </w:r>
    </w:p>
    <w:p>
      <w:pPr>
        <w:pStyle w:val="26"/>
        <w:pageBreakBefore w:val="0"/>
        <w:kinsoku/>
        <w:wordWrap/>
        <w:overflowPunct/>
        <w:bidi w:val="0"/>
        <w:spacing w:before="360" w:beforeLines="150" w:line="360" w:lineRule="auto"/>
        <w:ind w:firstLine="105" w:firstLineChars="50"/>
        <w:textAlignment w:val="auto"/>
        <w:outlineLvl w:val="9"/>
        <w:rPr>
          <w:rFonts w:hint="default" w:ascii="Times New Roman" w:hAnsi="Times New Roman" w:cs="Times New Roman"/>
          <w:bCs/>
          <w:color w:val="auto"/>
          <w:highlight w:val="none"/>
        </w:rPr>
      </w:pPr>
      <w:r>
        <w:rPr>
          <w:rFonts w:hint="default" w:ascii="Times New Roman" w:hAnsi="Times New Roman" w:cs="Times New Roman"/>
          <w:color w:val="auto"/>
          <w:highlight w:val="none"/>
        </w:rPr>
        <w:t>法定代表人或委托代理人：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（签字）</w:t>
      </w:r>
    </w:p>
    <w:p>
      <w:pPr>
        <w:pStyle w:val="26"/>
        <w:pageBreakBefore w:val="0"/>
        <w:kinsoku/>
        <w:wordWrap/>
        <w:overflowPunct/>
        <w:bidi w:val="0"/>
        <w:spacing w:before="360" w:beforeLines="150" w:line="360" w:lineRule="auto"/>
        <w:textAlignment w:val="auto"/>
        <w:outlineLvl w:val="9"/>
        <w:rPr>
          <w:rFonts w:hint="default" w:ascii="Times New Roman" w:hAnsi="Times New Roman" w:cs="Times New Roman"/>
          <w:b/>
          <w:bCs/>
          <w:color w:val="auto"/>
          <w:highlight w:val="none"/>
        </w:rPr>
      </w:pPr>
      <w:r>
        <w:rPr>
          <w:rFonts w:hint="default" w:ascii="Times New Roman" w:hAnsi="Times New Roman" w:cs="Times New Roman"/>
          <w:bCs/>
          <w:color w:val="auto"/>
          <w:highlight w:val="none"/>
        </w:rPr>
        <w:t xml:space="preserve"> 日    期</w:t>
      </w:r>
      <w:r>
        <w:rPr>
          <w:rFonts w:hint="eastAsia" w:ascii="Times New Roman" w:hAnsi="Times New Roman" w:cs="Times New Roman"/>
          <w:bCs/>
          <w:color w:val="auto"/>
          <w:highlight w:val="none"/>
          <w:lang w:eastAsia="zh-CN"/>
        </w:rPr>
        <w:t>：</w:t>
      </w:r>
      <w:r>
        <w:rPr>
          <w:rFonts w:hint="default" w:ascii="Times New Roman" w:hAnsi="Times New Roman" w:cs="Times New Roman"/>
          <w:bCs/>
          <w:color w:val="auto"/>
          <w:highlight w:val="none"/>
        </w:rPr>
        <w:t xml:space="preserve">  20</w:t>
      </w:r>
      <w:r>
        <w:rPr>
          <w:rFonts w:hint="default" w:ascii="Times New Roman" w:hAnsi="Times New Roman" w:cs="Times New Roman"/>
          <w:bCs/>
          <w:color w:val="auto"/>
          <w:highlight w:val="none"/>
          <w:u w:val="single"/>
        </w:rPr>
        <w:t xml:space="preserve">  </w:t>
      </w:r>
      <w:r>
        <w:rPr>
          <w:rFonts w:hint="default" w:ascii="Times New Roman" w:hAnsi="Times New Roman" w:cs="Times New Roman"/>
          <w:bCs/>
          <w:color w:val="auto"/>
          <w:highlight w:val="none"/>
        </w:rPr>
        <w:t xml:space="preserve"> 年</w:t>
      </w:r>
      <w:r>
        <w:rPr>
          <w:rFonts w:hint="default" w:ascii="Times New Roman" w:hAnsi="Times New Roman" w:cs="Times New Roman"/>
          <w:bCs/>
          <w:color w:val="auto"/>
          <w:highlight w:val="none"/>
          <w:u w:val="single"/>
        </w:rPr>
        <w:t xml:space="preserve">  </w:t>
      </w:r>
      <w:r>
        <w:rPr>
          <w:rFonts w:hint="default" w:ascii="Times New Roman" w:hAnsi="Times New Roman" w:cs="Times New Roman"/>
          <w:bCs/>
          <w:color w:val="auto"/>
          <w:highlight w:val="none"/>
        </w:rPr>
        <w:t>月</w:t>
      </w:r>
      <w:r>
        <w:rPr>
          <w:rFonts w:hint="default" w:ascii="Times New Roman" w:hAnsi="Times New Roman" w:cs="Times New Roman"/>
          <w:bCs/>
          <w:color w:val="auto"/>
          <w:highlight w:val="none"/>
          <w:u w:val="single"/>
        </w:rPr>
        <w:t xml:space="preserve">  </w:t>
      </w:r>
      <w:r>
        <w:rPr>
          <w:rFonts w:hint="default" w:ascii="Times New Roman" w:hAnsi="Times New Roman" w:cs="Times New Roman"/>
          <w:bCs/>
          <w:color w:val="auto"/>
          <w:highlight w:val="none"/>
        </w:rPr>
        <w:t xml:space="preserve">日   </w:t>
      </w:r>
    </w:p>
    <w:bookmarkEnd w:id="127"/>
    <w:p>
      <w:pPr>
        <w:pageBreakBefore w:val="0"/>
        <w:kinsoku/>
        <w:wordWrap/>
        <w:overflowPunct/>
        <w:bidi w:val="0"/>
        <w:adjustRightInd w:val="0"/>
        <w:spacing w:line="400" w:lineRule="exact"/>
        <w:jc w:val="center"/>
        <w:textAlignment w:val="auto"/>
        <w:outlineLvl w:val="9"/>
        <w:rPr>
          <w:rFonts w:hint="default" w:ascii="Times New Roman" w:hAnsi="Times New Roman" w:cs="Times New Roman"/>
          <w:b/>
          <w:bCs/>
          <w:color w:val="auto"/>
          <w:sz w:val="32"/>
          <w:szCs w:val="32"/>
          <w:highlight w:val="none"/>
          <w:lang w:eastAsia="zh-CN"/>
        </w:rPr>
      </w:pPr>
      <w:bookmarkStart w:id="132" w:name="_Toc217446089"/>
    </w:p>
    <w:p>
      <w:pPr>
        <w:pageBreakBefore w:val="0"/>
        <w:kinsoku/>
        <w:wordWrap/>
        <w:overflowPunct/>
        <w:bidi w:val="0"/>
        <w:adjustRightInd w:val="0"/>
        <w:spacing w:line="400" w:lineRule="exact"/>
        <w:jc w:val="center"/>
        <w:textAlignment w:val="auto"/>
        <w:outlineLvl w:val="9"/>
        <w:rPr>
          <w:rFonts w:hint="default" w:ascii="Times New Roman" w:hAnsi="Times New Roman" w:cs="Times New Roman"/>
          <w:b/>
          <w:bCs/>
          <w:color w:val="auto"/>
          <w:sz w:val="32"/>
          <w:szCs w:val="32"/>
          <w:highlight w:val="none"/>
          <w:lang w:eastAsia="zh-CN"/>
        </w:rPr>
      </w:pPr>
    </w:p>
    <w:p>
      <w:pPr>
        <w:rPr>
          <w:rFonts w:hint="default" w:ascii="Times New Roman" w:hAnsi="Times New Roman" w:cs="Times New Roman"/>
          <w:b/>
          <w:bCs/>
          <w:color w:val="auto"/>
          <w:sz w:val="32"/>
          <w:szCs w:val="32"/>
          <w:highlight w:val="none"/>
          <w:lang w:eastAsia="zh-CN"/>
        </w:rPr>
      </w:pPr>
      <w:bookmarkStart w:id="133" w:name="_Toc13348"/>
      <w:r>
        <w:rPr>
          <w:rFonts w:hint="default" w:ascii="Times New Roman" w:hAnsi="Times New Roman" w:cs="Times New Roman"/>
          <w:b/>
          <w:bCs/>
          <w:color w:val="auto"/>
          <w:sz w:val="32"/>
          <w:szCs w:val="32"/>
          <w:highlight w:val="none"/>
          <w:lang w:eastAsia="zh-CN"/>
        </w:rPr>
        <w:br w:type="page"/>
      </w:r>
    </w:p>
    <w:p>
      <w:pPr>
        <w:pStyle w:val="9"/>
        <w:pageBreakBefore w:val="0"/>
        <w:kinsoku/>
        <w:wordWrap/>
        <w:overflowPunct/>
        <w:bidi w:val="0"/>
        <w:spacing w:before="240" w:beforeLines="100" w:after="240" w:afterLines="100" w:line="360" w:lineRule="auto"/>
        <w:ind w:firstLine="0"/>
        <w:jc w:val="center"/>
        <w:textAlignment w:val="auto"/>
        <w:outlineLvl w:val="9"/>
        <w:rPr>
          <w:rFonts w:hint="default" w:ascii="Times New Roman" w:hAnsi="Times New Roman" w:cs="Times New Roman"/>
          <w:b/>
          <w:color w:val="auto"/>
          <w:szCs w:val="32"/>
          <w:highlight w:val="none"/>
        </w:rPr>
      </w:pPr>
      <w:r>
        <w:rPr>
          <w:rFonts w:hint="default" w:ascii="Times New Roman" w:hAnsi="Times New Roman" w:cs="Times New Roman"/>
          <w:b/>
          <w:color w:val="auto"/>
          <w:szCs w:val="32"/>
          <w:highlight w:val="none"/>
          <w:lang w:eastAsia="zh-CN"/>
        </w:rPr>
        <w:t>七</w:t>
      </w:r>
      <w:r>
        <w:rPr>
          <w:rFonts w:hint="default" w:ascii="Times New Roman" w:hAnsi="Times New Roman" w:cs="Times New Roman"/>
          <w:b/>
          <w:color w:val="auto"/>
          <w:szCs w:val="32"/>
          <w:highlight w:val="none"/>
        </w:rPr>
        <w:t>、技术文件</w:t>
      </w:r>
      <w:bookmarkEnd w:id="133"/>
    </w:p>
    <w:p>
      <w:pPr>
        <w:pageBreakBefore w:val="0"/>
        <w:kinsoku/>
        <w:wordWrap/>
        <w:overflowPunct/>
        <w:bidi w:val="0"/>
        <w:adjustRightInd w:val="0"/>
        <w:spacing w:line="400" w:lineRule="exact"/>
        <w:jc w:val="left"/>
        <w:textAlignment w:val="auto"/>
        <w:outlineLvl w:val="9"/>
        <w:rPr>
          <w:rFonts w:hint="default" w:ascii="Times New Roman" w:hAnsi="Times New Roman" w:cs="Times New Roman"/>
          <w:bCs/>
          <w:color w:val="auto"/>
          <w:sz w:val="24"/>
          <w:highlight w:val="none"/>
        </w:rPr>
      </w:pPr>
    </w:p>
    <w:p>
      <w:pPr>
        <w:pageBreakBefore w:val="0"/>
        <w:kinsoku/>
        <w:wordWrap/>
        <w:overflowPunct/>
        <w:bidi w:val="0"/>
        <w:spacing w:line="360" w:lineRule="auto"/>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说明：</w:t>
      </w:r>
    </w:p>
    <w:p>
      <w:pPr>
        <w:pageBreakBefore w:val="0"/>
        <w:kinsoku/>
        <w:wordWrap/>
        <w:overflowPunct/>
        <w:bidi w:val="0"/>
        <w:spacing w:line="360" w:lineRule="auto"/>
        <w:ind w:firstLine="420" w:firstLineChars="200"/>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格式自定。供应商根据磋商文件要求和采购需求，</w:t>
      </w:r>
      <w:r>
        <w:rPr>
          <w:rFonts w:hint="default" w:ascii="Times New Roman" w:hAnsi="Times New Roman" w:eastAsia="楷体" w:cs="Times New Roman"/>
          <w:color w:val="auto"/>
          <w:szCs w:val="21"/>
          <w:highlight w:val="none"/>
          <w:lang w:eastAsia="zh-CN"/>
        </w:rPr>
        <w:t>做出技术响应，</w:t>
      </w:r>
      <w:r>
        <w:rPr>
          <w:rFonts w:hint="default" w:ascii="Times New Roman" w:hAnsi="Times New Roman" w:eastAsia="楷体" w:cs="Times New Roman"/>
          <w:color w:val="auto"/>
          <w:szCs w:val="21"/>
          <w:highlight w:val="none"/>
        </w:rPr>
        <w:t>应当包括（但不限于）供应商须知第4.2.4条款规定的内容。</w:t>
      </w: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Style w:val="4"/>
        <w:pageBreakBefore w:val="0"/>
        <w:kinsoku/>
        <w:wordWrap/>
        <w:overflowPunct/>
        <w:bidi w:val="0"/>
        <w:ind w:firstLine="0"/>
        <w:textAlignment w:val="auto"/>
        <w:outlineLvl w:val="9"/>
        <w:rPr>
          <w:rFonts w:hint="default" w:ascii="Times New Roman" w:hAnsi="Times New Roman" w:cs="Times New Roman"/>
          <w:b/>
          <w:color w:val="auto"/>
          <w:sz w:val="36"/>
          <w:szCs w:val="36"/>
          <w:highlight w:val="none"/>
        </w:rPr>
      </w:pPr>
    </w:p>
    <w:p>
      <w:pPr>
        <w:pageBreakBefore w:val="0"/>
        <w:kinsoku/>
        <w:wordWrap/>
        <w:overflowPunct/>
        <w:bidi w:val="0"/>
        <w:textAlignment w:val="auto"/>
        <w:outlineLvl w:val="9"/>
        <w:rPr>
          <w:rFonts w:hint="default" w:ascii="Times New Roman" w:hAnsi="Times New Roman" w:eastAsia="仿宋_GB2312" w:cs="Times New Roman"/>
          <w:color w:val="auto"/>
          <w:sz w:val="28"/>
          <w:szCs w:val="28"/>
          <w:highlight w:val="none"/>
        </w:rPr>
      </w:pPr>
    </w:p>
    <w:p>
      <w:pPr>
        <w:pageBreakBefore w:val="0"/>
        <w:kinsoku/>
        <w:wordWrap/>
        <w:overflowPunct/>
        <w:bidi w:val="0"/>
        <w:spacing w:line="360" w:lineRule="auto"/>
        <w:textAlignment w:val="auto"/>
        <w:outlineLvl w:val="9"/>
        <w:rPr>
          <w:rFonts w:hint="default" w:ascii="Times New Roman" w:hAnsi="Times New Roman" w:eastAsia="仿宋_GB2312" w:cs="Times New Roman"/>
          <w:color w:val="auto"/>
          <w:highlight w:val="none"/>
        </w:rPr>
      </w:pPr>
    </w:p>
    <w:p>
      <w:pPr>
        <w:pageBreakBefore w:val="0"/>
        <w:kinsoku/>
        <w:wordWrap/>
        <w:overflowPunct/>
        <w:bidi w:val="0"/>
        <w:spacing w:line="360" w:lineRule="auto"/>
        <w:textAlignment w:val="auto"/>
        <w:outlineLvl w:val="9"/>
        <w:rPr>
          <w:rFonts w:hint="default" w:ascii="Times New Roman" w:hAnsi="Times New Roman" w:eastAsia="仿宋_GB2312" w:cs="Times New Roman"/>
          <w:color w:val="auto"/>
          <w:highlight w:val="none"/>
        </w:rPr>
      </w:pPr>
    </w:p>
    <w:bookmarkEnd w:id="132"/>
    <w:p>
      <w:pPr>
        <w:pageBreakBefore w:val="0"/>
        <w:kinsoku/>
        <w:wordWrap/>
        <w:overflowPunct/>
        <w:bidi w:val="0"/>
        <w:adjustRightInd w:val="0"/>
        <w:snapToGrid w:val="0"/>
        <w:spacing w:line="360" w:lineRule="auto"/>
        <w:textAlignment w:val="auto"/>
        <w:outlineLvl w:val="9"/>
        <w:rPr>
          <w:rFonts w:hint="default" w:ascii="Times New Roman" w:hAnsi="Times New Roman" w:cs="Times New Roman"/>
          <w:b/>
          <w:color w:val="auto"/>
          <w:sz w:val="36"/>
          <w:szCs w:val="36"/>
          <w:highlight w:val="none"/>
        </w:rPr>
      </w:pPr>
      <w:bookmarkStart w:id="134" w:name="_Toc217446092"/>
    </w:p>
    <w:p>
      <w:pPr>
        <w:pageBreakBefore w:val="0"/>
        <w:kinsoku/>
        <w:wordWrap/>
        <w:overflowPunct/>
        <w:bidi w:val="0"/>
        <w:spacing w:line="400" w:lineRule="atLeast"/>
        <w:textAlignment w:val="auto"/>
        <w:outlineLvl w:val="9"/>
        <w:rPr>
          <w:rFonts w:hint="default" w:ascii="Times New Roman" w:hAnsi="Times New Roman" w:eastAsia="仿宋_GB2312" w:cs="Times New Roman"/>
          <w:color w:val="auto"/>
          <w:sz w:val="28"/>
          <w:szCs w:val="28"/>
          <w:highlight w:val="none"/>
        </w:rPr>
      </w:pPr>
    </w:p>
    <w:bookmarkEnd w:id="134"/>
    <w:p>
      <w:pPr>
        <w:rPr>
          <w:rFonts w:hint="default" w:ascii="Times New Roman" w:hAnsi="Times New Roman" w:cs="Times New Roman"/>
          <w:b/>
          <w:color w:val="auto"/>
          <w:szCs w:val="32"/>
          <w:highlight w:val="none"/>
          <w:lang w:eastAsia="zh-CN"/>
        </w:rPr>
      </w:pPr>
      <w:bookmarkStart w:id="135" w:name="_Toc13536"/>
      <w:r>
        <w:rPr>
          <w:rFonts w:hint="default" w:ascii="Times New Roman" w:hAnsi="Times New Roman" w:cs="Times New Roman"/>
          <w:b/>
          <w:color w:val="auto"/>
          <w:szCs w:val="32"/>
          <w:highlight w:val="none"/>
          <w:lang w:eastAsia="zh-CN"/>
        </w:rPr>
        <w:br w:type="page"/>
      </w:r>
    </w:p>
    <w:p>
      <w:pPr>
        <w:pStyle w:val="9"/>
        <w:pageBreakBefore w:val="0"/>
        <w:kinsoku/>
        <w:wordWrap/>
        <w:overflowPunct/>
        <w:bidi w:val="0"/>
        <w:spacing w:before="240" w:beforeLines="100" w:after="240" w:afterLines="100" w:line="360" w:lineRule="auto"/>
        <w:ind w:firstLine="0"/>
        <w:jc w:val="center"/>
        <w:textAlignment w:val="auto"/>
        <w:outlineLvl w:val="9"/>
        <w:rPr>
          <w:rFonts w:hint="default" w:ascii="Times New Roman" w:hAnsi="Times New Roman" w:cs="Times New Roman"/>
          <w:b/>
          <w:color w:val="auto"/>
          <w:szCs w:val="32"/>
          <w:highlight w:val="none"/>
          <w:lang w:eastAsia="zh-CN"/>
        </w:rPr>
      </w:pPr>
      <w:r>
        <w:rPr>
          <w:rFonts w:hint="default" w:ascii="Times New Roman" w:hAnsi="Times New Roman" w:cs="Times New Roman"/>
          <w:b/>
          <w:color w:val="auto"/>
          <w:szCs w:val="32"/>
          <w:highlight w:val="none"/>
          <w:lang w:eastAsia="zh-CN"/>
        </w:rPr>
        <w:t>八、</w:t>
      </w:r>
      <w:r>
        <w:rPr>
          <w:rFonts w:hint="eastAsia" w:ascii="Times New Roman" w:hAnsi="Times New Roman" w:cs="Times New Roman"/>
          <w:b/>
          <w:color w:val="auto"/>
          <w:szCs w:val="32"/>
          <w:highlight w:val="none"/>
          <w:lang w:val="en-US" w:eastAsia="zh-CN"/>
        </w:rPr>
        <w:t>技术条款</w:t>
      </w:r>
      <w:r>
        <w:rPr>
          <w:rFonts w:hint="default" w:ascii="Times New Roman" w:hAnsi="Times New Roman" w:cs="Times New Roman"/>
          <w:b/>
          <w:color w:val="auto"/>
          <w:szCs w:val="32"/>
          <w:highlight w:val="none"/>
          <w:lang w:eastAsia="zh-CN"/>
        </w:rPr>
        <w:t>偏离表</w:t>
      </w:r>
      <w:bookmarkEnd w:id="135"/>
    </w:p>
    <w:p>
      <w:pPr>
        <w:pStyle w:val="4"/>
        <w:pageBreakBefore w:val="0"/>
        <w:kinsoku/>
        <w:wordWrap/>
        <w:overflowPunct/>
        <w:bidi w:val="0"/>
        <w:spacing w:before="120" w:beforeLines="50" w:after="120" w:afterLines="50"/>
        <w:ind w:firstLine="0"/>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供应商名称：                                        采购项目编号：</w:t>
      </w:r>
    </w:p>
    <w:tbl>
      <w:tblPr>
        <w:tblStyle w:val="17"/>
        <w:tblW w:w="0" w:type="auto"/>
        <w:tblInd w:w="19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342"/>
        <w:gridCol w:w="2418"/>
        <w:gridCol w:w="1026"/>
        <w:gridCol w:w="20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72" w:type="dxa"/>
            <w:noWrap w:val="0"/>
            <w:vAlign w:val="center"/>
          </w:tcPr>
          <w:p>
            <w:pPr>
              <w:pageBreakBefore w:val="0"/>
              <w:kinsoku/>
              <w:wordWrap/>
              <w:overflowPunct/>
              <w:bidi w:val="0"/>
              <w:adjustRightInd w:val="0"/>
              <w:snapToGrid w:val="0"/>
              <w:ind w:right="23"/>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2342" w:type="dxa"/>
            <w:noWrap w:val="0"/>
            <w:vAlign w:val="center"/>
          </w:tcPr>
          <w:p>
            <w:pPr>
              <w:pageBreakBefore w:val="0"/>
              <w:kinsoku/>
              <w:wordWrap/>
              <w:overflowPunct/>
              <w:bidi w:val="0"/>
              <w:adjustRightInd w:val="0"/>
              <w:snapToGrid w:val="0"/>
              <w:ind w:right="23"/>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color w:val="auto"/>
                <w:szCs w:val="21"/>
                <w:highlight w:val="none"/>
              </w:rPr>
              <w:t>采购</w:t>
            </w:r>
            <w:r>
              <w:rPr>
                <w:rFonts w:hint="eastAsia" w:ascii="Times New Roman" w:hAnsi="Times New Roman" w:cs="Times New Roman"/>
                <w:b/>
                <w:color w:val="auto"/>
                <w:szCs w:val="21"/>
                <w:highlight w:val="none"/>
                <w:lang w:val="en-US" w:eastAsia="zh-CN"/>
              </w:rPr>
              <w:t>技术</w:t>
            </w:r>
            <w:r>
              <w:rPr>
                <w:rFonts w:hint="default" w:ascii="Times New Roman" w:hAnsi="Times New Roman" w:cs="Times New Roman"/>
                <w:b/>
                <w:color w:val="auto"/>
                <w:szCs w:val="21"/>
                <w:highlight w:val="none"/>
              </w:rPr>
              <w:t>要求</w:t>
            </w:r>
          </w:p>
        </w:tc>
        <w:tc>
          <w:tcPr>
            <w:tcW w:w="2418" w:type="dxa"/>
            <w:noWrap w:val="0"/>
            <w:vAlign w:val="center"/>
          </w:tcPr>
          <w:p>
            <w:pPr>
              <w:pageBreakBefore w:val="0"/>
              <w:kinsoku/>
              <w:wordWrap/>
              <w:overflowPunct/>
              <w:bidi w:val="0"/>
              <w:adjustRightInd w:val="0"/>
              <w:snapToGrid w:val="0"/>
              <w:ind w:right="23"/>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color w:val="auto"/>
                <w:szCs w:val="21"/>
                <w:highlight w:val="none"/>
              </w:rPr>
              <w:t>响应文件应答</w:t>
            </w:r>
          </w:p>
        </w:tc>
        <w:tc>
          <w:tcPr>
            <w:tcW w:w="1026" w:type="dxa"/>
            <w:noWrap w:val="0"/>
            <w:vAlign w:val="center"/>
          </w:tcPr>
          <w:p>
            <w:pPr>
              <w:pageBreakBefore w:val="0"/>
              <w:kinsoku/>
              <w:wordWrap/>
              <w:overflowPunct/>
              <w:bidi w:val="0"/>
              <w:adjustRightInd w:val="0"/>
              <w:snapToGrid w:val="0"/>
              <w:ind w:right="23"/>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偏离</w:t>
            </w:r>
          </w:p>
        </w:tc>
        <w:tc>
          <w:tcPr>
            <w:tcW w:w="2051" w:type="dxa"/>
            <w:noWrap w:val="0"/>
            <w:vAlign w:val="center"/>
          </w:tcPr>
          <w:p>
            <w:pPr>
              <w:pageBreakBefore w:val="0"/>
              <w:kinsoku/>
              <w:wordWrap/>
              <w:overflowPunct/>
              <w:bidi w:val="0"/>
              <w:adjustRightInd w:val="0"/>
              <w:snapToGrid w:val="0"/>
              <w:ind w:right="23"/>
              <w:jc w:val="center"/>
              <w:textAlignment w:val="auto"/>
              <w:outlineLvl w:val="9"/>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偏离及其影响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34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41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1026"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051"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7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34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41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1026"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051"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34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41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1026"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051"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34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41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1026"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051"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34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41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1026"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051"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7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34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41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1026"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051"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34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41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1026"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051"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34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41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1026"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051"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34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41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1026"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051"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7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34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41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1026"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051"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34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41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1026"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051"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34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41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1026"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051"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34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41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1026"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051"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7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34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41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1026"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051"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342"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418"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1026"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c>
          <w:tcPr>
            <w:tcW w:w="2051" w:type="dxa"/>
            <w:noWrap w:val="0"/>
            <w:vAlign w:val="top"/>
          </w:tcPr>
          <w:p>
            <w:pPr>
              <w:pageBreakBefore w:val="0"/>
              <w:kinsoku/>
              <w:wordWrap/>
              <w:overflowPunct/>
              <w:bidi w:val="0"/>
              <w:adjustRightInd w:val="0"/>
              <w:snapToGrid w:val="0"/>
              <w:spacing w:line="360" w:lineRule="auto"/>
              <w:ind w:right="24"/>
              <w:textAlignment w:val="auto"/>
              <w:outlineLvl w:val="9"/>
              <w:rPr>
                <w:rFonts w:hint="default" w:ascii="Times New Roman" w:hAnsi="Times New Roman" w:cs="Times New Roman"/>
                <w:bCs/>
                <w:color w:val="auto"/>
                <w:sz w:val="24"/>
                <w:highlight w:val="none"/>
              </w:rPr>
            </w:pPr>
          </w:p>
        </w:tc>
      </w:tr>
    </w:tbl>
    <w:p>
      <w:pPr>
        <w:pageBreakBefore w:val="0"/>
        <w:kinsoku/>
        <w:wordWrap/>
        <w:overflowPunct/>
        <w:bidi w:val="0"/>
        <w:spacing w:line="400" w:lineRule="exact"/>
        <w:ind w:left="-141" w:leftChars="-67" w:firstLine="260" w:firstLineChars="124"/>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注：1.本表只填写响应文件中与磋商文件有偏离（包括正偏离和负偏离）的内容，响应文件中的指标响应与磋商文件要求完全一致的，不用在此表中列出，但必须提交空白表。</w:t>
      </w:r>
    </w:p>
    <w:p>
      <w:pPr>
        <w:pageBreakBefore w:val="0"/>
        <w:kinsoku/>
        <w:wordWrap/>
        <w:overflowPunct/>
        <w:bidi w:val="0"/>
        <w:spacing w:line="400" w:lineRule="exact"/>
        <w:ind w:left="-141" w:leftChars="-67" w:firstLine="260" w:firstLineChars="124"/>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2．供应商必须据实填写，不得虚假响应，否则将取消其磋商或成交资格，并按有关规定进行处罚。</w:t>
      </w:r>
    </w:p>
    <w:p>
      <w:pPr>
        <w:pageBreakBefore w:val="0"/>
        <w:kinsoku/>
        <w:wordWrap/>
        <w:overflowPunct/>
        <w:bidi w:val="0"/>
        <w:adjustRightInd w:val="0"/>
        <w:spacing w:line="400" w:lineRule="exact"/>
        <w:ind w:firstLine="367" w:firstLineChars="175"/>
        <w:jc w:val="left"/>
        <w:textAlignment w:val="auto"/>
        <w:outlineLvl w:val="9"/>
        <w:rPr>
          <w:rFonts w:hint="default" w:ascii="Times New Roman" w:hAnsi="Times New Roman" w:eastAsia="仿宋_GB2312" w:cs="Times New Roman"/>
          <w:bCs/>
          <w:color w:val="auto"/>
          <w:szCs w:val="21"/>
          <w:highlight w:val="none"/>
        </w:rPr>
      </w:pPr>
    </w:p>
    <w:p>
      <w:pPr>
        <w:pageBreakBefore w:val="0"/>
        <w:kinsoku/>
        <w:wordWrap/>
        <w:overflowPunct/>
        <w:bidi w:val="0"/>
        <w:adjustRightInd w:val="0"/>
        <w:spacing w:line="400" w:lineRule="exact"/>
        <w:ind w:firstLine="367" w:firstLineChars="175"/>
        <w:jc w:val="left"/>
        <w:textAlignment w:val="auto"/>
        <w:outlineLvl w:val="9"/>
        <w:rPr>
          <w:rFonts w:hint="default" w:ascii="Times New Roman" w:hAnsi="Times New Roman" w:eastAsia="仿宋_GB2312" w:cs="Times New Roman"/>
          <w:bCs/>
          <w:color w:val="auto"/>
          <w:szCs w:val="21"/>
          <w:highlight w:val="none"/>
        </w:rPr>
      </w:pPr>
    </w:p>
    <w:p>
      <w:pPr>
        <w:pageBreakBefore w:val="0"/>
        <w:kinsoku/>
        <w:wordWrap/>
        <w:overflowPunct/>
        <w:bidi w:val="0"/>
        <w:adjustRightInd w:val="0"/>
        <w:spacing w:after="240" w:afterLines="100" w:line="400" w:lineRule="exact"/>
        <w:ind w:firstLine="367" w:firstLineChars="175"/>
        <w:jc w:val="left"/>
        <w:textAlignment w:val="auto"/>
        <w:outlineLvl w:val="9"/>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供 应 商：</w:t>
      </w:r>
      <w:r>
        <w:rPr>
          <w:rFonts w:hint="default" w:ascii="Times New Roman" w:hAnsi="Times New Roman" w:cs="Times New Roman"/>
          <w:bCs/>
          <w:color w:val="auto"/>
          <w:szCs w:val="21"/>
          <w:highlight w:val="none"/>
          <w:u w:val="single"/>
        </w:rPr>
        <w:t xml:space="preserve">                     </w:t>
      </w:r>
      <w:r>
        <w:rPr>
          <w:rFonts w:hint="default" w:ascii="Times New Roman" w:hAnsi="Times New Roman" w:cs="Times New Roman"/>
          <w:bCs/>
          <w:color w:val="auto"/>
          <w:szCs w:val="21"/>
          <w:highlight w:val="none"/>
        </w:rPr>
        <w:t>（单位盖章）</w:t>
      </w:r>
    </w:p>
    <w:p>
      <w:pPr>
        <w:pageBreakBefore w:val="0"/>
        <w:kinsoku/>
        <w:wordWrap/>
        <w:overflowPunct/>
        <w:bidi w:val="0"/>
        <w:adjustRightInd w:val="0"/>
        <w:spacing w:before="360" w:beforeLines="150" w:line="360" w:lineRule="auto"/>
        <w:ind w:firstLine="367" w:firstLineChars="175"/>
        <w:jc w:val="left"/>
        <w:textAlignment w:val="auto"/>
        <w:outlineLvl w:val="9"/>
        <w:rPr>
          <w:rFonts w:hint="default" w:ascii="Times New Roman" w:hAnsi="Times New Roman" w:cs="Times New Roman"/>
          <w:bCs/>
          <w:color w:val="auto"/>
          <w:szCs w:val="21"/>
          <w:highlight w:val="none"/>
        </w:rPr>
      </w:pPr>
    </w:p>
    <w:p>
      <w:pPr>
        <w:pageBreakBefore w:val="0"/>
        <w:kinsoku/>
        <w:wordWrap/>
        <w:overflowPunct/>
        <w:bidi w:val="0"/>
        <w:adjustRightInd w:val="0"/>
        <w:spacing w:before="360" w:beforeLines="150" w:line="360" w:lineRule="auto"/>
        <w:ind w:firstLine="420" w:firstLineChars="200"/>
        <w:jc w:val="left"/>
        <w:textAlignment w:val="auto"/>
        <w:outlineLvl w:val="9"/>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日   期</w:t>
      </w:r>
      <w:r>
        <w:rPr>
          <w:rFonts w:hint="eastAsia" w:ascii="Times New Roman" w:hAnsi="Times New Roman" w:cs="Times New Roman"/>
          <w:bCs/>
          <w:color w:val="auto"/>
          <w:szCs w:val="21"/>
          <w:highlight w:val="none"/>
          <w:lang w:eastAsia="zh-CN"/>
        </w:rPr>
        <w:t>：</w:t>
      </w:r>
      <w:r>
        <w:rPr>
          <w:rFonts w:hint="default" w:ascii="Times New Roman" w:hAnsi="Times New Roman" w:cs="Times New Roman"/>
          <w:bCs/>
          <w:color w:val="auto"/>
          <w:szCs w:val="21"/>
          <w:highlight w:val="none"/>
        </w:rPr>
        <w:t>20   年  月  日</w:t>
      </w:r>
    </w:p>
    <w:p>
      <w:pPr>
        <w:pageBreakBefore w:val="0"/>
        <w:kinsoku/>
        <w:wordWrap/>
        <w:overflowPunct/>
        <w:bidi w:val="0"/>
        <w:adjustRightInd w:val="0"/>
        <w:spacing w:before="360" w:beforeLines="150" w:line="360" w:lineRule="auto"/>
        <w:ind w:firstLine="420" w:firstLineChars="200"/>
        <w:jc w:val="left"/>
        <w:textAlignment w:val="auto"/>
        <w:outlineLvl w:val="9"/>
        <w:rPr>
          <w:rFonts w:hint="default" w:ascii="Times New Roman" w:hAnsi="Times New Roman" w:cs="Times New Roman"/>
          <w:bCs/>
          <w:color w:val="auto"/>
          <w:szCs w:val="21"/>
          <w:highlight w:val="none"/>
        </w:rPr>
      </w:pPr>
    </w:p>
    <w:p>
      <w:pPr>
        <w:rPr>
          <w:rFonts w:hint="default" w:ascii="Times New Roman" w:hAnsi="Times New Roman" w:cs="Times New Roman"/>
          <w:b/>
          <w:color w:val="auto"/>
          <w:sz w:val="32"/>
          <w:szCs w:val="32"/>
          <w:highlight w:val="none"/>
          <w:lang w:eastAsia="zh-CN"/>
        </w:rPr>
      </w:pPr>
      <w:bookmarkStart w:id="136" w:name="_Toc8706"/>
      <w:r>
        <w:rPr>
          <w:rFonts w:hint="default" w:ascii="Times New Roman" w:hAnsi="Times New Roman" w:cs="Times New Roman"/>
          <w:b/>
          <w:color w:val="auto"/>
          <w:sz w:val="32"/>
          <w:szCs w:val="32"/>
          <w:highlight w:val="none"/>
          <w:lang w:eastAsia="zh-CN"/>
        </w:rPr>
        <w:br w:type="page"/>
      </w:r>
    </w:p>
    <w:p>
      <w:pPr>
        <w:pStyle w:val="26"/>
        <w:pageBreakBefore w:val="0"/>
        <w:kinsoku/>
        <w:wordWrap/>
        <w:overflowPunct/>
        <w:bidi w:val="0"/>
        <w:spacing w:line="400" w:lineRule="exact"/>
        <w:jc w:val="center"/>
        <w:textAlignment w:val="auto"/>
        <w:outlineLvl w:val="9"/>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lang w:eastAsia="zh-CN"/>
        </w:rPr>
        <w:t>九</w:t>
      </w:r>
      <w:r>
        <w:rPr>
          <w:rFonts w:hint="default" w:ascii="Times New Roman" w:hAnsi="Times New Roman" w:cs="Times New Roman"/>
          <w:b/>
          <w:color w:val="auto"/>
          <w:sz w:val="32"/>
          <w:szCs w:val="32"/>
          <w:highlight w:val="none"/>
        </w:rPr>
        <w:t>、供应商认为有必要补充说明的事项</w:t>
      </w:r>
      <w:bookmarkEnd w:id="136"/>
    </w:p>
    <w:p>
      <w:pPr>
        <w:pStyle w:val="26"/>
        <w:pageBreakBefore w:val="0"/>
        <w:kinsoku/>
        <w:wordWrap/>
        <w:overflowPunct/>
        <w:bidi w:val="0"/>
        <w:spacing w:line="400" w:lineRule="exact"/>
        <w:textAlignment w:val="auto"/>
        <w:outlineLvl w:val="9"/>
        <w:rPr>
          <w:rFonts w:hint="default" w:ascii="Times New Roman" w:hAnsi="Times New Roman" w:cs="Times New Roman"/>
          <w:color w:val="auto"/>
          <w:highlight w:val="none"/>
        </w:rPr>
      </w:pPr>
    </w:p>
    <w:p>
      <w:pPr>
        <w:pStyle w:val="26"/>
        <w:pageBreakBefore w:val="0"/>
        <w:kinsoku/>
        <w:wordWrap/>
        <w:overflowPunct/>
        <w:bidi w:val="0"/>
        <w:spacing w:line="400" w:lineRule="exact"/>
        <w:textAlignment w:val="auto"/>
        <w:outlineLvl w:val="9"/>
        <w:rPr>
          <w:rFonts w:hint="default" w:ascii="Times New Roman" w:hAnsi="Times New Roman" w:eastAsia="楷体" w:cs="Times New Roman"/>
          <w:color w:val="auto"/>
          <w:highlight w:val="none"/>
        </w:rPr>
      </w:pPr>
      <w:r>
        <w:rPr>
          <w:rFonts w:hint="default" w:ascii="Times New Roman" w:hAnsi="Times New Roman" w:eastAsia="楷体" w:cs="Times New Roman"/>
          <w:color w:val="auto"/>
          <w:highlight w:val="none"/>
        </w:rPr>
        <w:t>说明：</w:t>
      </w:r>
    </w:p>
    <w:p>
      <w:pPr>
        <w:pStyle w:val="26"/>
        <w:pageBreakBefore w:val="0"/>
        <w:kinsoku/>
        <w:wordWrap/>
        <w:overflowPunct/>
        <w:bidi w:val="0"/>
        <w:spacing w:line="400" w:lineRule="exact"/>
        <w:textAlignment w:val="auto"/>
        <w:outlineLvl w:val="9"/>
        <w:rPr>
          <w:rFonts w:hint="default" w:ascii="Times New Roman" w:hAnsi="Times New Roman" w:eastAsia="楷体" w:cs="Times New Roman"/>
          <w:color w:val="auto"/>
          <w:highlight w:val="none"/>
        </w:rPr>
      </w:pPr>
      <w:r>
        <w:rPr>
          <w:rFonts w:hint="default" w:ascii="Times New Roman" w:hAnsi="Times New Roman" w:eastAsia="楷体" w:cs="Times New Roman"/>
          <w:color w:val="auto"/>
          <w:highlight w:val="none"/>
        </w:rPr>
        <w:t xml:space="preserve">     格式自定。</w:t>
      </w:r>
    </w:p>
    <w:p>
      <w:pPr>
        <w:rPr>
          <w:rFonts w:hint="default" w:ascii="Times New Roman" w:hAnsi="Times New Roman" w:cs="Times New Roman"/>
          <w:highlight w:val="none"/>
        </w:rPr>
      </w:pPr>
    </w:p>
    <w:sectPr>
      <w:headerReference r:id="rId13" w:type="default"/>
      <w:footerReference r:id="rId14" w:type="default"/>
      <w:pgSz w:w="11907" w:h="16840"/>
      <w:pgMar w:top="1440" w:right="1474" w:bottom="1440" w:left="147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方正仿宋_GBK">
    <w:altName w:val="黑体"/>
    <w:panose1 w:val="03000509000000000000"/>
    <w:charset w:val="86"/>
    <w:family w:val="script"/>
    <w:pitch w:val="default"/>
    <w:sig w:usb0="00000000" w:usb1="00000000" w:usb2="00000010" w:usb3="00000000" w:csb0="00040000" w:csb1="00000000"/>
  </w:font>
  <w:font w:name="宋体 ( 正文 )">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rPr>
        <w:rFonts w:hint="eastAsia"/>
        <w:kern w:val="0"/>
        <w:szCs w:val="21"/>
      </w:rPr>
    </w:pPr>
    <w:r>
      <w:rPr>
        <w:rFonts w:hint="eastAsia"/>
        <w:kern w:val="0"/>
        <w:szCs w:val="21"/>
      </w:rPr>
      <w:t>-------------------------------------------------------------------------------------------------------------</w:t>
    </w:r>
  </w:p>
  <w:p>
    <w:pPr>
      <w:pStyle w:val="1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UrY8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3lK2P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kern w:val="0"/>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4HP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Bz2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121</w:t>
                    </w:r>
                    <w:r>
                      <w:fldChar w:fldCharType="end"/>
                    </w:r>
                  </w:p>
                </w:txbxContent>
              </v:textbox>
            </v:shape>
          </w:pict>
        </mc:Fallback>
      </mc:AlternateContent>
    </w:r>
    <w:r>
      <w:rPr>
        <w:rFonts w:hint="eastAsia"/>
        <w:kern w:val="0"/>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1" name="文本框 2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Egmo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dHo1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FRIJq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122</w:t>
                    </w:r>
                    <w:r>
                      <w:fldChar w:fldCharType="end"/>
                    </w:r>
                  </w:p>
                </w:txbxContent>
              </v:textbox>
            </v:shape>
          </w:pict>
        </mc:Fallback>
      </mc:AlternateContent>
    </w:r>
    <w:r>
      <w:rPr>
        <w:rFonts w:hint="eastAsia"/>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eastAsia="黑体"/>
        <w:lang w:eastAsia="zh-CN"/>
      </w:rPr>
    </w:pPr>
    <w:r>
      <w:rPr>
        <w:rFonts w:hint="eastAsia" w:eastAsia="黑体"/>
        <w:lang w:eastAsia="zh-CN"/>
      </w:rPr>
      <w:t>高新区第五十六幼儿园部室设备采购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rPr>
    </w:pPr>
    <w:r>
      <w:rPr>
        <w:rFonts w:hint="eastAsia" w:ascii="宋体" w:hAnsi="宋体" w:eastAsia="宋体" w:cs="宋体"/>
        <w:color w:val="auto"/>
        <w:sz w:val="18"/>
        <w:szCs w:val="18"/>
        <w:highlight w:val="none"/>
        <w:lang w:eastAsia="zh-CN"/>
      </w:rPr>
      <w:t>西安高新区第五十七幼儿园部室设备采购项目</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rPr>
    </w:pPr>
    <w:r>
      <w:rPr>
        <w:rFonts w:hint="eastAsia" w:ascii="宋体" w:hAnsi="宋体" w:eastAsia="宋体" w:cs="宋体"/>
        <w:i w:val="0"/>
        <w:iCs w:val="0"/>
        <w:color w:val="000000"/>
        <w:kern w:val="0"/>
        <w:szCs w:val="21"/>
        <w:lang w:eastAsia="zh-CN"/>
      </w:rPr>
      <w:t>西安高新区第五十七幼儿园部室设备采购项目</w:t>
    </w:r>
    <w:r>
      <w:rPr>
        <w:rFonts w:hint="eastAsia" w:ascii="黑体" w:hAnsi="黑体" w:eastAsia="黑体" w:cs="黑体"/>
        <w:i/>
        <w:iCs/>
      </w:rPr>
      <w:t xml:space="preserve"> </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49"/>
        <w:tab w:val="right" w:pos="11689"/>
      </w:tabs>
      <w:jc w:val="left"/>
      <w:rPr>
        <w:rFonts w:hint="eastAsia"/>
      </w:rPr>
    </w:pPr>
    <w:r>
      <w:rPr>
        <w:rFonts w:hint="eastAsia" w:ascii="宋体" w:hAnsi="宋体" w:eastAsia="宋体" w:cs="宋体"/>
        <w:i w:val="0"/>
        <w:iCs w:val="0"/>
        <w:color w:val="000000"/>
        <w:kern w:val="0"/>
        <w:szCs w:val="21"/>
        <w:lang w:eastAsia="zh-CN"/>
      </w:rPr>
      <w:t>西安高新区第五十七幼儿园部室设备采购项目</w:t>
    </w:r>
    <w:r>
      <w:rPr>
        <w:rFonts w:hint="eastAsia"/>
        <w:lang w:eastAsia="zh-CN"/>
      </w:rPr>
      <w:tab/>
    </w:r>
    <w:r>
      <w:rPr>
        <w:rFonts w:hint="eastAsia"/>
        <w:lang w:eastAsia="zh-CN"/>
      </w:rPr>
      <w:tab/>
    </w:r>
    <w:r>
      <w:rPr>
        <w:rFonts w:hint="eastAsia"/>
        <w:lang w:eastAsia="zh-CN"/>
      </w:rPr>
      <w:tab/>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7B6E3"/>
    <w:multiLevelType w:val="singleLevel"/>
    <w:tmpl w:val="9557B6E3"/>
    <w:lvl w:ilvl="0" w:tentative="0">
      <w:start w:val="1"/>
      <w:numFmt w:val="decimal"/>
      <w:lvlText w:val="%1."/>
      <w:lvlJc w:val="left"/>
      <w:pPr>
        <w:ind w:left="425" w:hanging="425"/>
      </w:pPr>
      <w:rPr>
        <w:rFonts w:hint="default"/>
      </w:rPr>
    </w:lvl>
  </w:abstractNum>
  <w:abstractNum w:abstractNumId="1">
    <w:nsid w:val="E57E7B80"/>
    <w:multiLevelType w:val="singleLevel"/>
    <w:tmpl w:val="E57E7B8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ODAwZjA2MGZmM2E1OGUyNzJmYjA2YmUxYzZiMjYifQ=="/>
  </w:docVars>
  <w:rsids>
    <w:rsidRoot w:val="00000000"/>
    <w:rsid w:val="02927F90"/>
    <w:rsid w:val="03292D90"/>
    <w:rsid w:val="0379139B"/>
    <w:rsid w:val="04D94BA4"/>
    <w:rsid w:val="07E36660"/>
    <w:rsid w:val="092771AA"/>
    <w:rsid w:val="0E8E0C4B"/>
    <w:rsid w:val="1BF14746"/>
    <w:rsid w:val="25920CD2"/>
    <w:rsid w:val="3CB95B2D"/>
    <w:rsid w:val="3F416580"/>
    <w:rsid w:val="410B06B4"/>
    <w:rsid w:val="42DE1FF2"/>
    <w:rsid w:val="44053BC3"/>
    <w:rsid w:val="44540CA8"/>
    <w:rsid w:val="46D56720"/>
    <w:rsid w:val="47CA5312"/>
    <w:rsid w:val="4E8B04EE"/>
    <w:rsid w:val="5E725046"/>
    <w:rsid w:val="5EB13026"/>
    <w:rsid w:val="66281081"/>
    <w:rsid w:val="6779618E"/>
    <w:rsid w:val="683D6BA6"/>
    <w:rsid w:val="6A5F63F6"/>
    <w:rsid w:val="6EC43458"/>
    <w:rsid w:val="710E28DA"/>
    <w:rsid w:val="722A3062"/>
    <w:rsid w:val="74E41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500" w:lineRule="exact"/>
      <w:outlineLvl w:val="1"/>
    </w:pPr>
    <w:rPr>
      <w:rFonts w:ascii="Arial" w:hAnsi="Arial" w:eastAsia="黑体"/>
      <w:b/>
      <w:sz w:val="28"/>
      <w:szCs w:val="20"/>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rPr>
      <w:rFonts w:ascii="Tahoma" w:hAnsi="Tahoma"/>
      <w:sz w:val="24"/>
      <w:szCs w:val="20"/>
    </w:rPr>
  </w:style>
  <w:style w:type="paragraph" w:styleId="4">
    <w:name w:val="Normal Indent"/>
    <w:basedOn w:val="1"/>
    <w:qFormat/>
    <w:uiPriority w:val="0"/>
    <w:pPr>
      <w:ind w:firstLine="420"/>
    </w:pPr>
    <w:rPr>
      <w:szCs w:val="20"/>
    </w:rPr>
  </w:style>
  <w:style w:type="paragraph" w:styleId="6">
    <w:name w:val="Body Text"/>
    <w:basedOn w:val="1"/>
    <w:next w:val="1"/>
    <w:qFormat/>
    <w:uiPriority w:val="0"/>
    <w:pPr>
      <w:spacing w:after="120" w:afterLines="0" w:afterAutospacing="0"/>
    </w:pPr>
  </w:style>
  <w:style w:type="paragraph" w:styleId="7">
    <w:name w:val="Body Text Indent"/>
    <w:basedOn w:val="1"/>
    <w:qFormat/>
    <w:uiPriority w:val="0"/>
    <w:pPr>
      <w:ind w:firstLine="630"/>
    </w:pPr>
    <w:rPr>
      <w:sz w:val="32"/>
      <w:szCs w:val="20"/>
    </w:rPr>
  </w:style>
  <w:style w:type="paragraph" w:styleId="8">
    <w:name w:val="Plain Text"/>
    <w:basedOn w:val="1"/>
    <w:qFormat/>
    <w:uiPriority w:val="0"/>
    <w:rPr>
      <w:rFonts w:ascii="宋体" w:hAnsi="Courier New" w:cs="Courier New"/>
      <w:szCs w:val="21"/>
    </w:rPr>
  </w:style>
  <w:style w:type="paragraph" w:styleId="9">
    <w:name w:val="Body Text Indent 2"/>
    <w:basedOn w:val="1"/>
    <w:qFormat/>
    <w:uiPriority w:val="0"/>
    <w:pPr>
      <w:ind w:firstLine="630"/>
    </w:pPr>
    <w:rPr>
      <w:sz w:val="32"/>
      <w:szCs w:val="20"/>
    </w:rPr>
  </w:style>
  <w:style w:type="paragraph" w:styleId="10">
    <w:name w:val="footer"/>
    <w:basedOn w:val="1"/>
    <w:qFormat/>
    <w:uiPriority w:val="0"/>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39"/>
    <w:pPr>
      <w:tabs>
        <w:tab w:val="right" w:leader="dot" w:pos="8949"/>
      </w:tabs>
    </w:pPr>
  </w:style>
  <w:style w:type="paragraph" w:styleId="13">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5">
    <w:name w:val="Body Text First Indent"/>
    <w:basedOn w:val="6"/>
    <w:qFormat/>
    <w:uiPriority w:val="0"/>
    <w:rPr>
      <w:rFonts w:hAnsi="宋体"/>
      <w:sz w:val="18"/>
      <w:szCs w:val="18"/>
    </w:rPr>
  </w:style>
  <w:style w:type="paragraph" w:styleId="16">
    <w:name w:val="Body Text First Indent 2"/>
    <w:basedOn w:val="7"/>
    <w:qFormat/>
    <w:uiPriority w:val="99"/>
    <w:pPr>
      <w:tabs>
        <w:tab w:val="left" w:pos="4900"/>
      </w:tabs>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p0"/>
    <w:basedOn w:val="1"/>
    <w:qFormat/>
    <w:uiPriority w:val="0"/>
    <w:pPr>
      <w:widowControl/>
    </w:pPr>
    <w:rPr>
      <w:kern w:val="0"/>
      <w:szCs w:val="21"/>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styleId="25">
    <w:name w:val="List Paragraph"/>
    <w:basedOn w:val="1"/>
    <w:qFormat/>
    <w:uiPriority w:val="0"/>
    <w:pPr>
      <w:ind w:firstLine="420" w:firstLineChars="200"/>
    </w:pPr>
    <w:rPr>
      <w:sz w:val="18"/>
      <w:szCs w:val="18"/>
    </w:rPr>
  </w:style>
  <w:style w:type="paragraph" w:customStyle="1" w:styleId="26">
    <w:name w:val="Char1"/>
    <w:basedOn w:val="1"/>
    <w:qFormat/>
    <w:uiPriority w:val="0"/>
    <w:rPr>
      <w:szCs w:val="21"/>
    </w:rPr>
  </w:style>
  <w:style w:type="paragraph" w:customStyle="1" w:styleId="27">
    <w:name w:val="正文缩进1"/>
    <w:basedOn w:val="1"/>
    <w:qFormat/>
    <w:uiPriority w:val="0"/>
    <w:pPr>
      <w:ind w:firstLine="420" w:firstLineChars="200"/>
    </w:pPr>
  </w:style>
  <w:style w:type="character" w:customStyle="1" w:styleId="28">
    <w:name w:val="font31"/>
    <w:basedOn w:val="19"/>
    <w:qFormat/>
    <w:uiPriority w:val="0"/>
    <w:rPr>
      <w:rFonts w:hint="eastAsia" w:ascii="宋体" w:hAnsi="宋体" w:eastAsia="宋体" w:cs="宋体"/>
      <w:color w:val="000000"/>
      <w:sz w:val="22"/>
      <w:szCs w:val="22"/>
      <w:u w:val="none"/>
    </w:rPr>
  </w:style>
  <w:style w:type="character" w:customStyle="1" w:styleId="29">
    <w:name w:val="font6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69856</Words>
  <Characters>77652</Characters>
  <Lines>0</Lines>
  <Paragraphs>0</Paragraphs>
  <TotalTime>2</TotalTime>
  <ScaleCrop>false</ScaleCrop>
  <LinksUpToDate>false</LinksUpToDate>
  <CharactersWithSpaces>80611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2022-06-21T02:07:00Z</dcterms:created>
  <dc:creator>Administrator</dc:creator>
  <cp:lastModifiedBy>简凡零微</cp:lastModifiedBy>
  <cp:lastPrinted>2022-06-22T04:03:00Z</cp:lastPrinted>
  <dcterms:modified xsi:type="dcterms:W3CDTF">2022-07-04T07:20:28Z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05F21EE4BDA14F66904BD18A00C98DBC</vt:lpwstr>
  </property>
</Properties>
</file>