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项目服务采购技术要求</w:t>
      </w:r>
    </w:p>
    <w:p>
      <w:pPr>
        <w:spacing w:line="560" w:lineRule="exact"/>
        <w:jc w:val="center"/>
        <w:rPr>
          <w:rFonts w:ascii="方正小标宋简体" w:hAnsi="仿宋" w:eastAsia="方正小标宋简体" w:cs="仿宋"/>
          <w:sz w:val="44"/>
          <w:szCs w:val="44"/>
        </w:rPr>
      </w:pPr>
    </w:p>
    <w:p>
      <w:pPr>
        <w:pStyle w:val="3"/>
      </w:pPr>
    </w:p>
    <w:p>
      <w:pPr>
        <w:rPr>
          <w:rFonts w:hint="default" w:ascii="黑体" w:hAnsi="黑体" w:eastAsia="黑体"/>
          <w:sz w:val="32"/>
          <w:szCs w:val="32"/>
          <w:lang w:val="en-US" w:eastAsia="zh-CN"/>
        </w:rPr>
      </w:pPr>
      <w:r>
        <w:rPr>
          <w:rFonts w:hint="eastAsia" w:ascii="黑体" w:hAnsi="黑体" w:eastAsia="黑体"/>
          <w:sz w:val="32"/>
          <w:szCs w:val="32"/>
          <w:lang w:val="en-US" w:eastAsia="zh-CN"/>
        </w:rPr>
        <w:t>一、</w:t>
      </w:r>
      <w:r>
        <w:rPr>
          <w:rFonts w:hint="eastAsia" w:ascii="黑体" w:hAnsi="黑体" w:eastAsia="黑体"/>
          <w:sz w:val="32"/>
          <w:szCs w:val="32"/>
        </w:rPr>
        <w:t>服务项目：</w:t>
      </w:r>
    </w:p>
    <w:p>
      <w:pPr>
        <w:numPr>
          <w:ilvl w:val="0"/>
          <w:numId w:val="0"/>
        </w:numPr>
        <w:spacing w:line="560" w:lineRule="exact"/>
        <w:ind w:firstLine="640" w:firstLineChars="200"/>
      </w:pPr>
      <w:r>
        <w:rPr>
          <w:rFonts w:hint="eastAsia" w:ascii="仿宋" w:hAnsi="仿宋" w:eastAsia="仿宋" w:cs="仿宋"/>
          <w:kern w:val="2"/>
          <w:sz w:val="32"/>
          <w:szCs w:val="32"/>
          <w:lang w:val="en-US" w:eastAsia="zh-CN" w:bidi="ar-SA"/>
        </w:rPr>
        <w:t>2023年西安高新区专利数据采集及加工分析可视化服务</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二、服务内容：</w:t>
      </w:r>
    </w:p>
    <w:p>
      <w:pPr>
        <w:numPr>
          <w:ilvl w:val="0"/>
          <w:numId w:val="0"/>
        </w:num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2023年西安高新区专利数据采集及加工分析可视化服务主要包含以下内容：</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（一）</w:t>
      </w:r>
      <w:r>
        <w:rPr>
          <w:rFonts w:hint="eastAsia" w:ascii="仿宋" w:hAnsi="仿宋" w:eastAsia="仿宋" w:cs="仿宋"/>
          <w:sz w:val="32"/>
          <w:szCs w:val="32"/>
          <w:lang w:val="en-US" w:eastAsia="zh-CN"/>
        </w:rPr>
        <w:t>高新区专利数据采集：</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（1）专利数据采集。根据高新区区域经纬度，圈定高新区在地图上的地域范围，结合所属企业、高校、科研院所等，采集西安高新区的专利数据。</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（2）专利数据清洗。对高新区专利原始数据内容进行自动化清理及人工清理，构造统一格式的标准数据，在此基础上标记可用数据、去除无用数据。</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（3）专利数据加工。根据业务需求、结合数据格式，对专利数据进行多角度的加工处理，分解数据类别、整合数据集成，构造可支撑各项数据业务需求的数据仓库。</w:t>
      </w:r>
    </w:p>
    <w:p>
      <w:pPr>
        <w:pStyle w:val="3"/>
        <w:numPr>
          <w:ilvl w:val="0"/>
          <w:numId w:val="0"/>
        </w:num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（二）高新区专利数据分析归类:</w:t>
      </w:r>
    </w:p>
    <w:p>
      <w:pPr>
        <w:pStyle w:val="3"/>
        <w:numPr>
          <w:ilvl w:val="0"/>
          <w:numId w:val="0"/>
        </w:num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重点产业专利归类分析</w:t>
      </w:r>
      <w:r>
        <w:rPr>
          <w:rFonts w:hint="eastAsia" w:ascii="仿宋" w:hAnsi="仿宋" w:eastAsia="仿宋" w:cs="仿宋"/>
          <w:kern w:val="2"/>
          <w:sz w:val="32"/>
          <w:szCs w:val="32"/>
          <w:lang w:val="en-US" w:eastAsia="zh-CN" w:bidi="ar-SA"/>
        </w:rPr>
        <w:t>。根据高新区重点产业，基于专利数据仓库，通过专利数据检索及数据处理专业人员进行专利数据归类分析加工处理，建设高新区重点产业数据集合，并按照高校、企业、科研院所及个人等申请人类型进行分类处理。</w:t>
      </w:r>
    </w:p>
    <w:p>
      <w:pPr>
        <w:pStyle w:val="3"/>
        <w:numPr>
          <w:ilvl w:val="0"/>
          <w:numId w:val="0"/>
        </w:num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r>
        <w:rPr>
          <w:rFonts w:hint="default" w:ascii="仿宋" w:hAnsi="仿宋" w:eastAsia="仿宋" w:cs="仿宋"/>
          <w:kern w:val="2"/>
          <w:sz w:val="32"/>
          <w:szCs w:val="32"/>
          <w:lang w:val="en-US" w:eastAsia="zh-CN" w:bidi="ar-SA"/>
        </w:rPr>
        <w:t>高价值专利归类分析</w:t>
      </w:r>
      <w:r>
        <w:rPr>
          <w:rFonts w:hint="eastAsia" w:ascii="仿宋" w:hAnsi="仿宋" w:eastAsia="仿宋" w:cs="仿宋"/>
          <w:kern w:val="2"/>
          <w:sz w:val="32"/>
          <w:szCs w:val="32"/>
          <w:lang w:val="en-US" w:eastAsia="zh-CN" w:bidi="ar-SA"/>
        </w:rPr>
        <w:t>。根据国家知识产权局关于高价值专利分类标准，基于高新区专利数据仓库，通过专利数据检索及数据处理专业人员对高新区高价值专利进行筛选归类，建立高新区高价值专利数据库。</w:t>
      </w:r>
    </w:p>
    <w:p>
      <w:pPr>
        <w:pStyle w:val="3"/>
        <w:numPr>
          <w:ilvl w:val="0"/>
          <w:numId w:val="0"/>
        </w:num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高新区重点园区专利归类分析</w:t>
      </w:r>
      <w:r>
        <w:rPr>
          <w:rFonts w:hint="eastAsia" w:ascii="仿宋" w:hAnsi="仿宋" w:eastAsia="仿宋" w:cs="仿宋"/>
          <w:kern w:val="2"/>
          <w:sz w:val="32"/>
          <w:szCs w:val="32"/>
          <w:lang w:val="en-US" w:eastAsia="zh-CN" w:bidi="ar-SA"/>
        </w:rPr>
        <w:t>。根据高新区重点产业园区发展规划，通过专利数据检索及数据处理专业人员摸底重点园区产业分布以及园区企业专利发展情况，建设高新区全领域重点产业园区专利数据库。</w:t>
      </w:r>
    </w:p>
    <w:p>
      <w:pPr>
        <w:pStyle w:val="3"/>
        <w:numPr>
          <w:ilvl w:val="0"/>
          <w:numId w:val="0"/>
        </w:num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（三）高新区专利可视化中台：</w:t>
      </w:r>
    </w:p>
    <w:p>
      <w:pPr>
        <w:pStyle w:val="3"/>
        <w:numPr>
          <w:ilvl w:val="0"/>
          <w:numId w:val="0"/>
        </w:numPr>
        <w:ind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（1）知识产权数据可视化系统。</w:t>
      </w:r>
      <w:r>
        <w:rPr>
          <w:rFonts w:hint="default" w:ascii="仿宋" w:hAnsi="仿宋" w:eastAsia="仿宋" w:cs="仿宋"/>
          <w:kern w:val="2"/>
          <w:sz w:val="32"/>
          <w:szCs w:val="32"/>
          <w:lang w:val="en-US" w:eastAsia="zh-CN" w:bidi="ar-SA"/>
        </w:rPr>
        <w:t>基于高新区专利数据库以及高新区重点产业、高价值专利、重点园区产业数据库，通过多维度、多视角，对知识产权数据进行数据挖掘、数据分析及可视化展示，满足多层次、多角度的统计分析需求</w:t>
      </w:r>
      <w:r>
        <w:rPr>
          <w:rFonts w:hint="eastAsia" w:ascii="仿宋" w:hAnsi="仿宋" w:eastAsia="仿宋" w:cs="仿宋"/>
          <w:kern w:val="2"/>
          <w:sz w:val="32"/>
          <w:szCs w:val="32"/>
          <w:lang w:val="en-US" w:eastAsia="zh-CN" w:bidi="ar-SA"/>
        </w:rPr>
        <w:t>。</w:t>
      </w:r>
    </w:p>
    <w:p>
      <w:pPr>
        <w:pStyle w:val="3"/>
        <w:numPr>
          <w:ilvl w:val="0"/>
          <w:numId w:val="0"/>
        </w:numPr>
        <w:ind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（2）高新区专利检索系统。</w:t>
      </w:r>
      <w:r>
        <w:rPr>
          <w:rFonts w:hint="default" w:ascii="仿宋" w:hAnsi="仿宋" w:eastAsia="仿宋" w:cs="仿宋"/>
          <w:kern w:val="2"/>
          <w:sz w:val="32"/>
          <w:szCs w:val="32"/>
          <w:lang w:val="en-US" w:eastAsia="zh-CN" w:bidi="ar-SA"/>
        </w:rPr>
        <w:t>基于高新区知识产权数据库，对数据进行加工标引处理，设置检索维度，建设高新区知识产权数据库基础检索工具，检索维度至少包含关键词、申请人、专利号等基础信息。</w:t>
      </w:r>
    </w:p>
    <w:p>
      <w:pPr>
        <w:pStyle w:val="3"/>
        <w:numPr>
          <w:ilvl w:val="0"/>
          <w:numId w:val="0"/>
        </w:numPr>
        <w:ind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（3）后台自动化数据更新系统。</w:t>
      </w:r>
      <w:r>
        <w:rPr>
          <w:rFonts w:hint="default" w:ascii="仿宋" w:hAnsi="仿宋" w:eastAsia="仿宋" w:cs="仿宋"/>
          <w:kern w:val="2"/>
          <w:sz w:val="32"/>
          <w:szCs w:val="32"/>
          <w:lang w:val="en-US" w:eastAsia="zh-CN" w:bidi="ar-SA"/>
        </w:rPr>
        <w:t>依据可视化中台的产品功能设计，设计包含使得可视化中台中的区域、产业库分类等模块功能可自定义修改、可视化中台数据实时更新或可自定义更新频率等功能。</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三、数据及验收要求</w:t>
      </w:r>
    </w:p>
    <w:p>
      <w:pPr>
        <w:spacing w:line="560" w:lineRule="exact"/>
        <w:ind w:firstLine="640" w:firstLineChars="200"/>
      </w:pPr>
      <w:r>
        <w:rPr>
          <w:rFonts w:hint="eastAsia" w:ascii="仿宋_GB2312" w:hAnsi="仿宋_GB2312" w:eastAsia="仿宋_GB2312" w:cs="仿宋_GB2312"/>
          <w:color w:val="000000"/>
          <w:sz w:val="32"/>
          <w:szCs w:val="32"/>
        </w:rPr>
        <w:t>（一）</w:t>
      </w:r>
      <w:r>
        <w:rPr>
          <w:rFonts w:hint="eastAsia" w:ascii="Times New Roman" w:hAnsi="Times New Roman" w:eastAsia="仿宋" w:cs="Times New Roman"/>
          <w:b w:val="0"/>
          <w:bCs w:val="0"/>
          <w:color w:val="auto"/>
          <w:sz w:val="32"/>
          <w:szCs w:val="32"/>
          <w:lang w:val="en-US" w:eastAsia="zh-CN"/>
        </w:rPr>
        <w:t>建设单位必须以全球</w:t>
      </w:r>
      <w:r>
        <w:rPr>
          <w:rFonts w:hint="eastAsia" w:ascii="Times New Roman" w:hAnsi="Times New Roman" w:eastAsia="仿宋" w:cs="Times New Roman"/>
          <w:color w:val="auto"/>
          <w:sz w:val="32"/>
          <w:szCs w:val="32"/>
          <w:lang w:val="en-US" w:eastAsia="zh-CN"/>
        </w:rPr>
        <w:t>知识产权专利数据为基础，围绕高新区内知识产权数据，</w:t>
      </w:r>
      <w:r>
        <w:rPr>
          <w:rFonts w:hint="eastAsia" w:ascii="Times New Roman" w:hAnsi="Times New Roman" w:eastAsia="仿宋" w:cs="Times New Roman"/>
          <w:b w:val="0"/>
          <w:bCs w:val="0"/>
          <w:color w:val="auto"/>
          <w:sz w:val="32"/>
          <w:szCs w:val="32"/>
          <w:lang w:val="en-US" w:eastAsia="zh-CN"/>
        </w:rPr>
        <w:t>可视化的展示高新区内专利大数据概况的总体视图，从高新区</w:t>
      </w:r>
      <w:r>
        <w:rPr>
          <w:rFonts w:hint="eastAsia" w:ascii="Times New Roman" w:hAnsi="Times New Roman" w:eastAsia="仿宋" w:cs="Times New Roman"/>
          <w:color w:val="auto"/>
          <w:sz w:val="32"/>
          <w:szCs w:val="32"/>
          <w:lang w:val="en-US" w:eastAsia="zh-CN"/>
        </w:rPr>
        <w:t>授权、有效、高价值以及不同类型专利权人等不少于5个方面的专利数据状况</w:t>
      </w:r>
      <w:r>
        <w:rPr>
          <w:rFonts w:hint="eastAsia" w:ascii="Times New Roman" w:hAnsi="Times New Roman" w:eastAsia="仿宋" w:cs="Times New Roman"/>
          <w:b w:val="0"/>
          <w:bCs w:val="0"/>
          <w:color w:val="auto"/>
          <w:sz w:val="32"/>
          <w:szCs w:val="32"/>
          <w:lang w:val="en-US" w:eastAsia="zh-CN"/>
        </w:rPr>
        <w:t>维度进行展示。</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（二）专利数据分析维度包含但不限于高新区重点产业、园区、高价值专利趋势、申请人、代理机构、运营情况（转让、许可、质押）、技术领域等不少于5个维度的数据进行分析展示。</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（三）后台</w:t>
      </w:r>
      <w:r>
        <w:rPr>
          <w:rFonts w:hint="eastAsia" w:ascii="Times New Roman" w:hAnsi="Times New Roman" w:eastAsia="仿宋" w:cs="Times New Roman"/>
          <w:color w:val="auto"/>
          <w:sz w:val="32"/>
          <w:szCs w:val="32"/>
          <w:lang w:val="en-US" w:eastAsia="zh-CN"/>
        </w:rPr>
        <w:t>能够满足专利统计分析范围、产业、区域等信息的创建、编辑、发布和基本运维功能</w:t>
      </w:r>
      <w:r>
        <w:rPr>
          <w:rFonts w:hint="eastAsia" w:ascii="Times New Roman" w:hAnsi="Times New Roman" w:eastAsia="仿宋" w:cs="Times New Roman"/>
          <w:b w:val="0"/>
          <w:bCs w:val="0"/>
          <w:color w:val="auto"/>
          <w:sz w:val="32"/>
          <w:szCs w:val="32"/>
          <w:lang w:val="en-US" w:eastAsia="zh-CN"/>
        </w:rPr>
        <w:t>。</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p>
    <w:p>
      <w:pPr>
        <w:rPr>
          <w:rFonts w:ascii="黑体" w:hAnsi="黑体" w:eastAsia="黑体"/>
          <w:sz w:val="32"/>
          <w:szCs w:val="32"/>
        </w:rPr>
      </w:pPr>
      <w:r>
        <w:rPr>
          <w:rFonts w:hint="eastAsia" w:ascii="黑体" w:hAnsi="黑体" w:eastAsia="黑体"/>
          <w:sz w:val="32"/>
          <w:szCs w:val="32"/>
        </w:rPr>
        <w:t>四、项目有效性、可靠性和完整性</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有效性：建设单位应在规定时间内完成项目服务。</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可靠性：根据项目要求以及政策文件及时</w:t>
      </w:r>
      <w:bookmarkStart w:id="0" w:name="_GoBack"/>
      <w:bookmarkEnd w:id="0"/>
      <w:r>
        <w:rPr>
          <w:rFonts w:hint="eastAsia" w:ascii="Times New Roman" w:hAnsi="Times New Roman" w:eastAsia="仿宋" w:cs="Times New Roman"/>
          <w:b w:val="0"/>
          <w:bCs w:val="0"/>
          <w:color w:val="auto"/>
          <w:sz w:val="32"/>
          <w:szCs w:val="32"/>
          <w:lang w:val="en-US" w:eastAsia="zh-CN"/>
        </w:rPr>
        <w:t>有效地为西安高新区提供技术服务。</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完整性：在组织指导工作、推介会、培训等项目活动期间，从活动筹备、活动执行到数据验收，做好相应的记录，并整理完整资料，保证项目的验收工作。</w:t>
      </w: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p>
    <w:p>
      <w:pPr>
        <w:spacing w:line="560" w:lineRule="exact"/>
        <w:ind w:firstLine="640" w:firstLineChars="200"/>
        <w:rPr>
          <w:rFonts w:hint="eastAsia" w:ascii="Times New Roman" w:hAnsi="Times New Roman" w:eastAsia="仿宋" w:cs="Times New Roman"/>
          <w:b w:val="0"/>
          <w:bCs w:val="0"/>
          <w:color w:val="auto"/>
          <w:sz w:val="32"/>
          <w:szCs w:val="32"/>
          <w:lang w:val="en-US" w:eastAsia="zh-CN"/>
        </w:rPr>
      </w:pPr>
    </w:p>
    <w:p>
      <w:pPr>
        <w:spacing w:line="560" w:lineRule="exact"/>
        <w:ind w:firstLine="640" w:firstLineChars="200"/>
        <w:jc w:val="right"/>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科技创新局</w:t>
      </w:r>
    </w:p>
    <w:p>
      <w:pPr>
        <w:spacing w:line="560" w:lineRule="exact"/>
        <w:ind w:firstLine="640" w:firstLineChars="200"/>
        <w:jc w:val="right"/>
        <w:rPr>
          <w:rFonts w:hint="eastAsia" w:ascii="Times New Roman" w:hAnsi="Times New Roman" w:eastAsia="仿宋" w:cs="Times New Roman"/>
          <w:b w:val="0"/>
          <w:bCs w:val="0"/>
          <w:color w:val="auto"/>
          <w:sz w:val="32"/>
          <w:szCs w:val="32"/>
          <w:lang w:val="en-US" w:eastAsia="zh-CN"/>
        </w:rPr>
      </w:pPr>
      <w:r>
        <w:rPr>
          <w:rFonts w:hint="eastAsia" w:ascii="Times New Roman" w:hAnsi="Times New Roman" w:eastAsia="仿宋" w:cs="Times New Roman"/>
          <w:b w:val="0"/>
          <w:bCs w:val="0"/>
          <w:color w:val="auto"/>
          <w:sz w:val="32"/>
          <w:szCs w:val="32"/>
          <w:lang w:val="en-US" w:eastAsia="zh-CN"/>
        </w:rPr>
        <w:t>2023年9月11日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EC48A6-C537-4C6C-B026-5B5D386FBD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F253A62-6597-441E-8FFD-BE1B82C327A4}"/>
  </w:font>
  <w:font w:name="仿宋">
    <w:panose1 w:val="02010609060101010101"/>
    <w:charset w:val="86"/>
    <w:family w:val="modern"/>
    <w:pitch w:val="default"/>
    <w:sig w:usb0="800002BF" w:usb1="38CF7CFA" w:usb2="00000016" w:usb3="00000000" w:csb0="00040001" w:csb1="00000000"/>
    <w:embedRegular r:id="rId3" w:fontKey="{A4E150D6-F67C-4799-842E-1A1AF3956B09}"/>
  </w:font>
  <w:font w:name="仿宋_GB2312">
    <w:panose1 w:val="02010609030101010101"/>
    <w:charset w:val="86"/>
    <w:family w:val="modern"/>
    <w:pitch w:val="default"/>
    <w:sig w:usb0="00000001" w:usb1="080E0000" w:usb2="00000000" w:usb3="00000000" w:csb0="00040000" w:csb1="00000000"/>
    <w:embedRegular r:id="rId4" w:fontKey="{DE47ACF6-C531-4C9A-B32F-F1D92EB61579}"/>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ODYyNTg3NWEwMjFhYzc1ZGVkMjQ5YTVlOTVkMmIifQ=="/>
  </w:docVars>
  <w:rsids>
    <w:rsidRoot w:val="000A549E"/>
    <w:rsid w:val="000A11C1"/>
    <w:rsid w:val="000A549E"/>
    <w:rsid w:val="000F12AC"/>
    <w:rsid w:val="001779C5"/>
    <w:rsid w:val="00234525"/>
    <w:rsid w:val="0025437F"/>
    <w:rsid w:val="006B59DA"/>
    <w:rsid w:val="007B675A"/>
    <w:rsid w:val="007E5F82"/>
    <w:rsid w:val="008E45FA"/>
    <w:rsid w:val="009F09DC"/>
    <w:rsid w:val="00AD599B"/>
    <w:rsid w:val="00D44E3A"/>
    <w:rsid w:val="00E21233"/>
    <w:rsid w:val="01E44FDB"/>
    <w:rsid w:val="026B1259"/>
    <w:rsid w:val="032C2237"/>
    <w:rsid w:val="03353615"/>
    <w:rsid w:val="04471852"/>
    <w:rsid w:val="04602913"/>
    <w:rsid w:val="04F217BD"/>
    <w:rsid w:val="0A173A74"/>
    <w:rsid w:val="0F5117D6"/>
    <w:rsid w:val="119A56B6"/>
    <w:rsid w:val="1695644C"/>
    <w:rsid w:val="16EB42BE"/>
    <w:rsid w:val="17DF339A"/>
    <w:rsid w:val="19537AAF"/>
    <w:rsid w:val="19D379B8"/>
    <w:rsid w:val="1D756D52"/>
    <w:rsid w:val="1E8C6387"/>
    <w:rsid w:val="1FBF453A"/>
    <w:rsid w:val="203767C6"/>
    <w:rsid w:val="20B65C39"/>
    <w:rsid w:val="23C5553B"/>
    <w:rsid w:val="23CE11F0"/>
    <w:rsid w:val="23ED5B1A"/>
    <w:rsid w:val="27B16E5E"/>
    <w:rsid w:val="296E3259"/>
    <w:rsid w:val="2ABE398D"/>
    <w:rsid w:val="2B125E66"/>
    <w:rsid w:val="2B446DDD"/>
    <w:rsid w:val="2B612949"/>
    <w:rsid w:val="2B7263F9"/>
    <w:rsid w:val="2D6E2A3E"/>
    <w:rsid w:val="2E0917A2"/>
    <w:rsid w:val="2E165C6D"/>
    <w:rsid w:val="2E4B3D50"/>
    <w:rsid w:val="2E887185"/>
    <w:rsid w:val="2E9F3EB4"/>
    <w:rsid w:val="315A2315"/>
    <w:rsid w:val="31B4440D"/>
    <w:rsid w:val="32B141B6"/>
    <w:rsid w:val="38B14456"/>
    <w:rsid w:val="3A152EF2"/>
    <w:rsid w:val="3E864749"/>
    <w:rsid w:val="3EEF22EE"/>
    <w:rsid w:val="455410FD"/>
    <w:rsid w:val="460348D1"/>
    <w:rsid w:val="4BBA3C84"/>
    <w:rsid w:val="4C83051A"/>
    <w:rsid w:val="4CEE1E37"/>
    <w:rsid w:val="4E7B76FB"/>
    <w:rsid w:val="555B2034"/>
    <w:rsid w:val="57B8376D"/>
    <w:rsid w:val="5A0F1A20"/>
    <w:rsid w:val="65164D65"/>
    <w:rsid w:val="655B398A"/>
    <w:rsid w:val="69004F74"/>
    <w:rsid w:val="69B74C1E"/>
    <w:rsid w:val="6D9F1E03"/>
    <w:rsid w:val="6DD93C1C"/>
    <w:rsid w:val="76157B85"/>
    <w:rsid w:val="7E274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jc w:val="left"/>
    </w:pPr>
    <w:rPr>
      <w:rFonts w:ascii="Copperplate Gothic Bold" w:hAnsi="Copperplate Gothic Bold"/>
      <w:kern w:val="0"/>
      <w:sz w:val="20"/>
      <w:szCs w:val="20"/>
    </w:rPr>
  </w:style>
  <w:style w:type="paragraph" w:styleId="3">
    <w:name w:val="Normal Indent"/>
    <w:basedOn w:val="1"/>
    <w:qFormat/>
    <w:uiPriority w:val="0"/>
    <w:pPr>
      <w:ind w:firstLine="420"/>
    </w:pPr>
  </w:style>
  <w:style w:type="paragraph" w:styleId="4">
    <w:name w:val="Title"/>
    <w:basedOn w:val="1"/>
    <w:next w:val="1"/>
    <w:link w:val="8"/>
    <w:qFormat/>
    <w:uiPriority w:val="0"/>
    <w:pPr>
      <w:spacing w:before="240" w:after="60"/>
      <w:jc w:val="center"/>
      <w:outlineLvl w:val="0"/>
    </w:pPr>
    <w:rPr>
      <w:rFonts w:asciiTheme="majorHAnsi" w:hAnsiTheme="majorHAnsi" w:eastAsiaTheme="majorEastAsia" w:cstheme="majorBidi"/>
      <w:b/>
      <w:bCs/>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字符"/>
    <w:basedOn w:val="7"/>
    <w:link w:val="4"/>
    <w:qFormat/>
    <w:uiPriority w:val="0"/>
    <w:rPr>
      <w:rFonts w:asciiTheme="majorHAnsi" w:hAnsiTheme="majorHAnsi" w:eastAsiaTheme="majorEastAsia" w:cstheme="majorBidi"/>
      <w:b/>
      <w:bCs/>
      <w:kern w:val="2"/>
      <w:sz w:val="32"/>
      <w:szCs w:val="32"/>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Words>
  <Characters>195</Characters>
  <Lines>1</Lines>
  <Paragraphs>1</Paragraphs>
  <TotalTime>194</TotalTime>
  <ScaleCrop>false</ScaleCrop>
  <LinksUpToDate>false</LinksUpToDate>
  <CharactersWithSpaces>228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2021-10-20T14:43:00Z</dcterms:created>
  <dc:creator>joe</dc:creator>
  <cp:lastModifiedBy>WPS_1694253682</cp:lastModifiedBy>
  <dcterms:modified xsi:type="dcterms:W3CDTF">2023-12-01T07:02:42Z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D3895312F9C84850B60B2F734E0A1955_13</vt:lpwstr>
  </property>
</Properties>
</file>