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ind w:firstLine="800" w:firstLineChars="200"/>
        <w:jc w:val="center"/>
        <w:rPr>
          <w:rFonts w:hint="eastAsia" w:ascii="楷体" w:hAnsi="楷体" w:eastAsia="楷体" w:cs="楷体"/>
          <w:color w:val="000000"/>
          <w:sz w:val="40"/>
          <w:szCs w:val="40"/>
          <w:highlight w:val="none"/>
          <w:lang w:val="en-US" w:eastAsia="zh-CN"/>
        </w:rPr>
      </w:pPr>
      <w:r>
        <w:rPr>
          <w:rFonts w:hint="eastAsia" w:ascii="楷体" w:hAnsi="楷体" w:eastAsia="楷体" w:cs="楷体"/>
          <w:color w:val="000000"/>
          <w:sz w:val="40"/>
          <w:szCs w:val="40"/>
          <w:highlight w:val="none"/>
          <w:lang w:val="en-US" w:eastAsia="zh-CN"/>
        </w:rPr>
        <w:t>采购需求</w:t>
      </w:r>
    </w:p>
    <w:p>
      <w:pPr>
        <w:ind w:firstLine="640" w:firstLineChars="200"/>
        <w:jc w:val="both"/>
        <w:rPr>
          <w:rFonts w:hint="eastAsia" w:ascii="楷体" w:hAnsi="楷体" w:eastAsia="楷体" w:cs="楷体"/>
          <w:color w:val="000000"/>
          <w:sz w:val="32"/>
          <w:szCs w:val="32"/>
          <w:highlight w:val="none"/>
        </w:rPr>
      </w:pPr>
      <w:r>
        <w:rPr>
          <w:rFonts w:hint="eastAsia" w:ascii="楷体" w:hAnsi="楷体" w:eastAsia="楷体" w:cs="楷体"/>
          <w:color w:val="000000"/>
          <w:sz w:val="32"/>
          <w:szCs w:val="32"/>
          <w:highlight w:val="none"/>
        </w:rPr>
        <w:t>2021年度变更调查的主要任务是：按照国家统一标准，在全国范围内利用卫星遥感、互联网、云计算等技术，统筹现有资料，利用2021年底卫星遥感影像数</w:t>
      </w:r>
      <w:bookmarkStart w:id="0" w:name="_GoBack"/>
      <w:bookmarkEnd w:id="0"/>
      <w:r>
        <w:rPr>
          <w:rFonts w:hint="eastAsia" w:ascii="楷体" w:hAnsi="楷体" w:eastAsia="楷体" w:cs="楷体"/>
          <w:color w:val="000000"/>
          <w:sz w:val="32"/>
          <w:szCs w:val="32"/>
          <w:highlight w:val="none"/>
        </w:rPr>
        <w:t>据，制作正射影像图，对照2020年度国土变更调查结果，提取国土利用变化信息，作为地方开展变更调查工作的指引，各地结合有关监测及相关自然资源管理信息，制作外业调查底图，并开展实地调查举证，全面掌握2021年度的地类、面积、属性及相关图层属性信息的变化情况，更新县级国土调查数据库，形成年度变更增量包，逐级报省级和国家级核查后，更新形成2021年度国家级国土调查数据库。通过调查、统计和分析，掌握2021年度永久基本农田变化，建设占用农用地、耕地非粮化、耕地非农化状况，设施农用地变化，25度和15度以上坡耕地变化，耕地资源质量分类变化情况，农村建房、临时用地、批而未用土地、退耕还林、围填海、足球场、高尔夫球场、光伏用地和农业结构调整以及难以或不宜长期稳定利用的耕地等变化状况，各类自然保护区及生态保护红线范围内的土地利用变化状况，土地整治、高标准农田、增减挂钩等项目的实施状况，空间规划的实施状况等有关情况。在此基础上，向国务院报告年度国土变更调查结果。</w:t>
      </w:r>
    </w:p>
    <w:p/>
    <w:sectPr>
      <w:pgSz w:w="11910" w:h="16838"/>
      <w:pgMar w:top="1440" w:right="1800" w:bottom="1440" w:left="1800" w:header="720" w:footer="720" w:gutter="0"/>
      <w:cols w:equalWidth="0" w:num="1">
        <w:col w:w="10890"/>
      </w:cols>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gutterAtTop/>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E4NTdjMjJhMDRmYmU2NGRlNTM3NjNkMGU3ZmEzYWUifQ=="/>
  </w:docVars>
  <w:rsids>
    <w:rsidRoot w:val="77A67C88"/>
    <w:rsid w:val="15517B7B"/>
    <w:rsid w:val="2FC04301"/>
    <w:rsid w:val="3EA274E5"/>
    <w:rsid w:val="77A67C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2022-11-02T06:52:00Z</dcterms:created>
  <dc:creator>沫小溪</dc:creator>
  <cp:lastModifiedBy>沫小溪</cp:lastModifiedBy>
  <dcterms:modified xsi:type="dcterms:W3CDTF">2022-11-02T06:53:33Z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1FCAF159BADF4CBEBAA163BF87A1F82B</vt:lpwstr>
  </property>
</Properties>
</file>