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ageBreakBefore w:val="0"/>
        <w:overflowPunct/>
        <w:bidi w:val="0"/>
        <w:spacing w:afterAutospacing="0" w:line="312" w:lineRule="auto"/>
        <w:ind w:right="720"/>
        <w:jc w:val="right"/>
        <w:rPr>
          <w:rFonts w:hint="eastAsia" w:ascii="仿宋" w:hAnsi="仿宋" w:eastAsia="仿宋" w:cs="仿宋"/>
          <w:b/>
          <w:sz w:val="32"/>
          <w:szCs w:val="32"/>
          <w:highlight w:val="none"/>
          <w:lang w:val="en-US" w:eastAsia="zh-CN"/>
        </w:rPr>
      </w:pPr>
      <w:bookmarkStart w:id="84" w:name="_GoBack"/>
      <w:bookmarkEnd w:id="84"/>
      <w:r>
        <w:rPr>
          <w:rFonts w:hint="eastAsia" w:ascii="仿宋" w:hAnsi="仿宋" w:eastAsia="仿宋" w:cs="仿宋"/>
          <w:b/>
          <w:sz w:val="32"/>
          <w:szCs w:val="32"/>
          <w:highlight w:val="none"/>
        </w:rPr>
        <w:t>项目编号:</w:t>
      </w:r>
      <w:r>
        <w:rPr>
          <w:rFonts w:hint="eastAsia" w:ascii="仿宋" w:hAnsi="仿宋" w:eastAsia="仿宋" w:cs="仿宋"/>
          <w:b/>
          <w:sz w:val="28"/>
          <w:szCs w:val="28"/>
          <w:highlight w:val="none"/>
          <w:lang w:val="en-US" w:eastAsia="zh-CN"/>
        </w:rPr>
        <w:t>TCC2022-1128Z</w:t>
      </w:r>
    </w:p>
    <w:p>
      <w:pPr>
        <w:pageBreakBefore w:val="0"/>
        <w:tabs>
          <w:tab w:val="left" w:pos="7080"/>
        </w:tabs>
        <w:overflowPunct/>
        <w:bidi w:val="0"/>
        <w:spacing w:afterAutospacing="0" w:line="312" w:lineRule="auto"/>
        <w:rPr>
          <w:rFonts w:hint="eastAsia" w:ascii="仿宋" w:hAnsi="仿宋" w:eastAsia="仿宋" w:cs="仿宋"/>
          <w:bCs/>
          <w:spacing w:val="20"/>
          <w:kern w:val="0"/>
          <w:sz w:val="32"/>
          <w:szCs w:val="32"/>
          <w:highlight w:val="none"/>
        </w:rPr>
      </w:pPr>
    </w:p>
    <w:p>
      <w:pPr>
        <w:pageBreakBefore w:val="0"/>
        <w:tabs>
          <w:tab w:val="left" w:pos="7080"/>
        </w:tabs>
        <w:overflowPunct/>
        <w:bidi w:val="0"/>
        <w:spacing w:afterAutospacing="0" w:line="312" w:lineRule="auto"/>
        <w:rPr>
          <w:rFonts w:hint="eastAsia" w:ascii="仿宋" w:hAnsi="仿宋" w:eastAsia="仿宋" w:cs="仿宋"/>
          <w:bCs/>
          <w:spacing w:val="20"/>
          <w:kern w:val="0"/>
          <w:sz w:val="32"/>
          <w:szCs w:val="32"/>
          <w:highlight w:val="none"/>
        </w:rPr>
      </w:pPr>
    </w:p>
    <w:p>
      <w:pPr>
        <w:pageBreakBefore w:val="0"/>
        <w:tabs>
          <w:tab w:val="left" w:pos="7080"/>
        </w:tabs>
        <w:overflowPunct/>
        <w:bidi w:val="0"/>
        <w:spacing w:afterAutospacing="0" w:line="312" w:lineRule="auto"/>
        <w:rPr>
          <w:rFonts w:hint="eastAsia" w:ascii="仿宋" w:hAnsi="仿宋" w:eastAsia="仿宋" w:cs="仿宋"/>
          <w:bCs/>
          <w:spacing w:val="20"/>
          <w:kern w:val="0"/>
          <w:sz w:val="32"/>
          <w:szCs w:val="32"/>
          <w:highlight w:val="none"/>
        </w:rPr>
      </w:pPr>
    </w:p>
    <w:p>
      <w:pPr>
        <w:pStyle w:val="26"/>
        <w:pageBreakBefore w:val="0"/>
        <w:overflowPunct/>
        <w:bidi w:val="0"/>
        <w:spacing w:line="312" w:lineRule="auto"/>
        <w:rPr>
          <w:rFonts w:hint="eastAsia" w:ascii="仿宋" w:hAnsi="仿宋" w:eastAsia="仿宋" w:cs="仿宋"/>
          <w:highlight w:val="none"/>
        </w:rPr>
      </w:pPr>
    </w:p>
    <w:p>
      <w:pPr>
        <w:pageBreakBefore w:val="0"/>
        <w:tabs>
          <w:tab w:val="left" w:pos="7080"/>
        </w:tabs>
        <w:overflowPunct/>
        <w:bidi w:val="0"/>
        <w:spacing w:afterAutospacing="0" w:line="312" w:lineRule="auto"/>
        <w:jc w:val="center"/>
        <w:rPr>
          <w:rFonts w:hint="eastAsia" w:ascii="仿宋" w:hAnsi="仿宋" w:eastAsia="仿宋" w:cs="仿宋"/>
          <w:b/>
          <w:bCs/>
          <w:sz w:val="44"/>
          <w:szCs w:val="44"/>
          <w:highlight w:val="none"/>
          <w:lang w:eastAsia="zh-CN"/>
        </w:rPr>
      </w:pPr>
      <w:r>
        <w:rPr>
          <w:rFonts w:hint="eastAsia" w:ascii="仿宋" w:hAnsi="仿宋" w:eastAsia="仿宋" w:cs="仿宋"/>
          <w:b/>
          <w:bCs/>
          <w:color w:val="auto"/>
          <w:spacing w:val="0"/>
          <w:w w:val="100"/>
          <w:kern w:val="0"/>
          <w:sz w:val="48"/>
          <w:szCs w:val="48"/>
          <w:highlight w:val="none"/>
          <w:lang w:val="en-US" w:eastAsia="zh-CN" w:bidi="ar-SA"/>
        </w:rPr>
        <w:t>铜川市妇幼保健院脱贫地区儿童营养改善项目</w:t>
      </w:r>
    </w:p>
    <w:p>
      <w:pPr>
        <w:pageBreakBefore w:val="0"/>
        <w:tabs>
          <w:tab w:val="left" w:pos="7080"/>
        </w:tabs>
        <w:overflowPunct/>
        <w:bidi w:val="0"/>
        <w:spacing w:afterAutospacing="0" w:line="312" w:lineRule="auto"/>
        <w:jc w:val="center"/>
        <w:rPr>
          <w:rFonts w:hint="eastAsia" w:ascii="仿宋" w:hAnsi="仿宋" w:eastAsia="仿宋" w:cs="仿宋"/>
          <w:b/>
          <w:bCs/>
          <w:sz w:val="40"/>
          <w:szCs w:val="40"/>
          <w:highlight w:val="none"/>
        </w:rPr>
      </w:pPr>
    </w:p>
    <w:p>
      <w:pPr>
        <w:pStyle w:val="26"/>
        <w:pageBreakBefore w:val="0"/>
        <w:overflowPunct/>
        <w:bidi w:val="0"/>
        <w:spacing w:line="312" w:lineRule="auto"/>
        <w:rPr>
          <w:rFonts w:hint="eastAsia" w:ascii="仿宋" w:hAnsi="仿宋" w:eastAsia="仿宋" w:cs="仿宋"/>
          <w:b/>
          <w:bCs/>
          <w:sz w:val="40"/>
          <w:szCs w:val="40"/>
          <w:highlight w:val="none"/>
        </w:rPr>
      </w:pPr>
    </w:p>
    <w:p>
      <w:pPr>
        <w:pStyle w:val="22"/>
        <w:pageBreakBefore w:val="0"/>
        <w:bidi w:val="0"/>
        <w:spacing w:line="312" w:lineRule="auto"/>
        <w:rPr>
          <w:rFonts w:hint="eastAsia" w:ascii="仿宋" w:hAnsi="仿宋" w:eastAsia="仿宋" w:cs="仿宋"/>
          <w:highlight w:val="none"/>
        </w:rPr>
      </w:pPr>
    </w:p>
    <w:p>
      <w:pPr>
        <w:pageBreakBefore w:val="0"/>
        <w:bidi w:val="0"/>
        <w:spacing w:line="312" w:lineRule="auto"/>
        <w:rPr>
          <w:rFonts w:hint="eastAsia" w:ascii="仿宋" w:hAnsi="仿宋" w:eastAsia="仿宋" w:cs="仿宋"/>
          <w:highlight w:val="none"/>
        </w:rPr>
      </w:pPr>
    </w:p>
    <w:p>
      <w:pPr>
        <w:pageBreakBefore w:val="0"/>
        <w:overflowPunct/>
        <w:bidi w:val="0"/>
        <w:spacing w:afterAutospacing="0" w:line="312" w:lineRule="auto"/>
        <w:jc w:val="center"/>
        <w:rPr>
          <w:rFonts w:hint="eastAsia" w:ascii="仿宋" w:hAnsi="仿宋" w:eastAsia="仿宋" w:cs="仿宋"/>
          <w:sz w:val="32"/>
          <w:szCs w:val="20"/>
          <w:highlight w:val="none"/>
        </w:rPr>
      </w:pPr>
      <w:r>
        <w:rPr>
          <w:rFonts w:hint="eastAsia" w:ascii="仿宋" w:hAnsi="仿宋" w:eastAsia="仿宋" w:cs="仿宋"/>
          <w:b/>
          <w:bCs/>
          <w:spacing w:val="20"/>
          <w:kern w:val="0"/>
          <w:sz w:val="84"/>
          <w:szCs w:val="84"/>
          <w:highlight w:val="none"/>
        </w:rPr>
        <w:t>竞争性磋商文件</w:t>
      </w:r>
    </w:p>
    <w:p>
      <w:pPr>
        <w:pageBreakBefore w:val="0"/>
        <w:overflowPunct/>
        <w:bidi w:val="0"/>
        <w:spacing w:afterAutospacing="0" w:line="312" w:lineRule="auto"/>
        <w:rPr>
          <w:rFonts w:hint="eastAsia" w:ascii="仿宋" w:hAnsi="仿宋" w:eastAsia="仿宋" w:cs="仿宋"/>
          <w:sz w:val="32"/>
          <w:szCs w:val="20"/>
          <w:highlight w:val="none"/>
        </w:rPr>
      </w:pPr>
    </w:p>
    <w:p>
      <w:pPr>
        <w:pageBreakBefore w:val="0"/>
        <w:tabs>
          <w:tab w:val="left" w:pos="2544"/>
        </w:tabs>
        <w:overflowPunct/>
        <w:bidi w:val="0"/>
        <w:spacing w:afterAutospacing="0" w:line="312" w:lineRule="auto"/>
        <w:rPr>
          <w:rFonts w:hint="eastAsia" w:ascii="仿宋" w:hAnsi="仿宋" w:eastAsia="仿宋" w:cs="仿宋"/>
          <w:sz w:val="32"/>
          <w:szCs w:val="20"/>
          <w:highlight w:val="none"/>
          <w:lang w:eastAsia="zh-CN"/>
        </w:rPr>
      </w:pPr>
      <w:r>
        <w:rPr>
          <w:rFonts w:hint="eastAsia" w:ascii="仿宋" w:hAnsi="仿宋" w:eastAsia="仿宋" w:cs="仿宋"/>
          <w:sz w:val="32"/>
          <w:szCs w:val="20"/>
          <w:highlight w:val="none"/>
          <w:lang w:eastAsia="zh-CN"/>
        </w:rPr>
        <w:tab/>
      </w:r>
    </w:p>
    <w:p>
      <w:pPr>
        <w:pStyle w:val="28"/>
        <w:pageBreakBefore w:val="0"/>
        <w:bidi w:val="0"/>
        <w:spacing w:line="312" w:lineRule="auto"/>
        <w:rPr>
          <w:rFonts w:hint="eastAsia" w:ascii="仿宋" w:hAnsi="仿宋" w:eastAsia="仿宋" w:cs="仿宋"/>
          <w:sz w:val="32"/>
          <w:szCs w:val="20"/>
          <w:highlight w:val="none"/>
          <w:lang w:eastAsia="zh-CN"/>
        </w:rPr>
      </w:pPr>
    </w:p>
    <w:p>
      <w:pPr>
        <w:pageBreakBefore w:val="0"/>
        <w:bidi w:val="0"/>
        <w:spacing w:line="312" w:lineRule="auto"/>
        <w:rPr>
          <w:rFonts w:hint="eastAsia" w:ascii="仿宋" w:hAnsi="仿宋" w:eastAsia="仿宋" w:cs="仿宋"/>
          <w:highlight w:val="none"/>
          <w:lang w:eastAsia="zh-CN"/>
        </w:rPr>
      </w:pPr>
    </w:p>
    <w:p>
      <w:pPr>
        <w:pStyle w:val="47"/>
        <w:pageBreakBefore w:val="0"/>
        <w:overflowPunct/>
        <w:bidi w:val="0"/>
        <w:spacing w:afterAutospacing="0" w:line="312" w:lineRule="auto"/>
        <w:ind w:left="0" w:leftChars="0" w:firstLine="0" w:firstLineChars="0"/>
        <w:rPr>
          <w:rFonts w:hint="eastAsia" w:ascii="仿宋" w:hAnsi="仿宋" w:eastAsia="仿宋" w:cs="仿宋"/>
          <w:sz w:val="18"/>
          <w:szCs w:val="18"/>
          <w:highlight w:val="none"/>
        </w:rPr>
      </w:pPr>
    </w:p>
    <w:p>
      <w:pPr>
        <w:pageBreakBefore w:val="0"/>
        <w:overflowPunct/>
        <w:bidi w:val="0"/>
        <w:spacing w:afterAutospacing="0" w:line="312" w:lineRule="auto"/>
        <w:rPr>
          <w:rFonts w:hint="eastAsia" w:ascii="仿宋" w:hAnsi="仿宋" w:eastAsia="仿宋" w:cs="仿宋"/>
          <w:sz w:val="18"/>
          <w:szCs w:val="18"/>
          <w:highlight w:val="none"/>
        </w:rPr>
      </w:pPr>
    </w:p>
    <w:p>
      <w:pPr>
        <w:keepNext w:val="0"/>
        <w:keepLines w:val="0"/>
        <w:pageBreakBefore w:val="0"/>
        <w:widowControl w:val="0"/>
        <w:kinsoku/>
        <w:wordWrap/>
        <w:overflowPunct/>
        <w:topLinePunct w:val="0"/>
        <w:autoSpaceDE/>
        <w:autoSpaceDN/>
        <w:bidi w:val="0"/>
        <w:adjustRightInd/>
        <w:snapToGrid/>
        <w:spacing w:afterAutospacing="0" w:line="312" w:lineRule="auto"/>
        <w:ind w:left="0" w:leftChars="0" w:firstLine="1687" w:firstLineChars="525"/>
        <w:jc w:val="both"/>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sz w:val="32"/>
          <w:szCs w:val="32"/>
          <w:highlight w:val="none"/>
          <w:lang w:eastAsia="zh-CN"/>
        </w:rPr>
        <w:t>采</w:t>
      </w:r>
      <w:r>
        <w:rPr>
          <w:rFonts w:hint="eastAsia" w:ascii="仿宋" w:hAnsi="仿宋" w:eastAsia="仿宋" w:cs="仿宋"/>
          <w:b/>
          <w:sz w:val="32"/>
          <w:szCs w:val="32"/>
          <w:highlight w:val="none"/>
          <w:lang w:val="en-US" w:eastAsia="zh-CN"/>
        </w:rPr>
        <w:t xml:space="preserve">    </w:t>
      </w:r>
      <w:r>
        <w:rPr>
          <w:rFonts w:hint="eastAsia" w:ascii="仿宋" w:hAnsi="仿宋" w:eastAsia="仿宋" w:cs="仿宋"/>
          <w:b/>
          <w:sz w:val="32"/>
          <w:szCs w:val="32"/>
          <w:highlight w:val="none"/>
          <w:lang w:eastAsia="zh-CN"/>
        </w:rPr>
        <w:t>购</w:t>
      </w:r>
      <w:r>
        <w:rPr>
          <w:rFonts w:hint="eastAsia" w:ascii="仿宋" w:hAnsi="仿宋" w:eastAsia="仿宋" w:cs="仿宋"/>
          <w:b/>
          <w:sz w:val="32"/>
          <w:szCs w:val="32"/>
          <w:highlight w:val="none"/>
        </w:rPr>
        <w:t xml:space="preserve">   人：</w:t>
      </w:r>
      <w:r>
        <w:rPr>
          <w:rFonts w:hint="eastAsia" w:ascii="仿宋" w:hAnsi="仿宋" w:eastAsia="仿宋" w:cs="仿宋"/>
          <w:b/>
          <w:bCs/>
          <w:color w:val="auto"/>
          <w:sz w:val="32"/>
          <w:szCs w:val="32"/>
          <w:highlight w:val="none"/>
          <w:lang w:val="en-US" w:eastAsia="zh-CN"/>
        </w:rPr>
        <w:t>铜川市妇幼保健院</w:t>
      </w:r>
    </w:p>
    <w:p>
      <w:pPr>
        <w:pageBreakBefore w:val="0"/>
        <w:overflowPunct/>
        <w:bidi w:val="0"/>
        <w:spacing w:afterAutospacing="0" w:line="312" w:lineRule="auto"/>
        <w:jc w:val="center"/>
        <w:rPr>
          <w:rFonts w:hint="eastAsia" w:ascii="仿宋" w:hAnsi="仿宋" w:eastAsia="仿宋" w:cs="仿宋"/>
          <w:b/>
          <w:sz w:val="32"/>
          <w:szCs w:val="32"/>
          <w:highlight w:val="none"/>
          <w:lang w:eastAsia="zh-CN"/>
        </w:rPr>
      </w:pPr>
    </w:p>
    <w:p>
      <w:pPr>
        <w:pageBreakBefore w:val="0"/>
        <w:overflowPunct/>
        <w:bidi w:val="0"/>
        <w:spacing w:afterAutospacing="0" w:line="312" w:lineRule="auto"/>
        <w:jc w:val="center"/>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lang w:eastAsia="zh-CN"/>
        </w:rPr>
        <w:t>采购</w:t>
      </w:r>
      <w:r>
        <w:rPr>
          <w:rFonts w:hint="eastAsia" w:ascii="仿宋" w:hAnsi="仿宋" w:eastAsia="仿宋" w:cs="仿宋"/>
          <w:b/>
          <w:sz w:val="32"/>
          <w:szCs w:val="32"/>
          <w:highlight w:val="none"/>
        </w:rPr>
        <w:t>代理机构：</w:t>
      </w:r>
      <w:r>
        <w:rPr>
          <w:rFonts w:hint="eastAsia" w:ascii="仿宋" w:hAnsi="仿宋" w:eastAsia="仿宋" w:cs="仿宋"/>
          <w:b/>
          <w:sz w:val="32"/>
          <w:szCs w:val="32"/>
          <w:highlight w:val="none"/>
          <w:lang w:eastAsia="zh-CN"/>
        </w:rPr>
        <w:t>陕西同昌成项目管理有限公司</w:t>
      </w:r>
    </w:p>
    <w:p>
      <w:pPr>
        <w:pageBreakBefore w:val="0"/>
        <w:overflowPunct/>
        <w:bidi w:val="0"/>
        <w:spacing w:afterAutospacing="0" w:line="312" w:lineRule="auto"/>
        <w:rPr>
          <w:rFonts w:hint="eastAsia" w:ascii="仿宋" w:hAnsi="仿宋" w:eastAsia="仿宋" w:cs="仿宋"/>
          <w:b/>
          <w:sz w:val="36"/>
          <w:szCs w:val="36"/>
          <w:highlight w:val="none"/>
        </w:rPr>
      </w:pPr>
    </w:p>
    <w:p>
      <w:pPr>
        <w:pageBreakBefore w:val="0"/>
        <w:overflowPunct/>
        <w:bidi w:val="0"/>
        <w:spacing w:afterAutospacing="0" w:line="312" w:lineRule="auto"/>
        <w:jc w:val="center"/>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lang w:eastAsia="zh-CN"/>
        </w:rPr>
        <w:t>二〇二</w:t>
      </w:r>
      <w:r>
        <w:rPr>
          <w:rFonts w:hint="eastAsia" w:ascii="仿宋" w:hAnsi="仿宋" w:eastAsia="仿宋" w:cs="仿宋"/>
          <w:b/>
          <w:sz w:val="32"/>
          <w:szCs w:val="32"/>
          <w:highlight w:val="none"/>
          <w:lang w:val="en-US" w:eastAsia="zh-CN"/>
        </w:rPr>
        <w:t>二</w:t>
      </w:r>
      <w:r>
        <w:rPr>
          <w:rFonts w:hint="eastAsia" w:ascii="仿宋" w:hAnsi="仿宋" w:eastAsia="仿宋" w:cs="仿宋"/>
          <w:b/>
          <w:sz w:val="32"/>
          <w:szCs w:val="32"/>
          <w:highlight w:val="none"/>
          <w:lang w:eastAsia="zh-CN"/>
        </w:rPr>
        <w:t>年</w:t>
      </w:r>
      <w:r>
        <w:rPr>
          <w:rFonts w:hint="eastAsia" w:ascii="仿宋" w:hAnsi="仿宋" w:eastAsia="仿宋" w:cs="仿宋"/>
          <w:b/>
          <w:sz w:val="32"/>
          <w:szCs w:val="32"/>
          <w:highlight w:val="none"/>
          <w:lang w:val="en-US" w:eastAsia="zh-CN"/>
        </w:rPr>
        <w:t>十一</w:t>
      </w:r>
      <w:r>
        <w:rPr>
          <w:rFonts w:hint="eastAsia" w:ascii="仿宋" w:hAnsi="仿宋" w:eastAsia="仿宋" w:cs="仿宋"/>
          <w:b/>
          <w:sz w:val="32"/>
          <w:szCs w:val="32"/>
          <w:highlight w:val="none"/>
          <w:lang w:eastAsia="zh-CN"/>
        </w:rPr>
        <w:t>月</w:t>
      </w:r>
    </w:p>
    <w:p>
      <w:pPr>
        <w:pageBreakBefore w:val="0"/>
        <w:overflowPunct/>
        <w:bidi w:val="0"/>
        <w:spacing w:afterAutospacing="0" w:line="312" w:lineRule="auto"/>
        <w:rPr>
          <w:rFonts w:hint="eastAsia" w:ascii="仿宋" w:hAnsi="仿宋" w:eastAsia="仿宋" w:cs="仿宋"/>
          <w:b/>
          <w:bCs/>
          <w:sz w:val="44"/>
          <w:szCs w:val="44"/>
          <w:highlight w:val="none"/>
        </w:rPr>
        <w:sectPr>
          <w:headerReference r:id="rId4" w:type="first"/>
          <w:footerReference r:id="rId5" w:type="first"/>
          <w:headerReference r:id="rId3"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ageBreakBefore w:val="0"/>
        <w:overflowPunct/>
        <w:bidi w:val="0"/>
        <w:spacing w:afterAutospacing="0" w:line="312" w:lineRule="auto"/>
        <w:ind w:left="0" w:leftChars="0" w:right="0" w:rightChars="0" w:firstLine="0" w:firstLineChars="0"/>
        <w:jc w:val="center"/>
        <w:rPr>
          <w:rFonts w:hint="eastAsia" w:ascii="仿宋" w:hAnsi="仿宋" w:eastAsia="仿宋" w:cs="仿宋"/>
          <w:kern w:val="2"/>
          <w:sz w:val="21"/>
          <w:szCs w:val="24"/>
          <w:highlight w:val="none"/>
          <w:lang w:val="en-US" w:eastAsia="zh-CN" w:bidi="ar-SA"/>
        </w:rPr>
      </w:pPr>
    </w:p>
    <w:sdt>
      <w:sdtPr>
        <w:rPr>
          <w:rFonts w:hint="eastAsia" w:ascii="仿宋" w:hAnsi="仿宋" w:eastAsia="仿宋" w:cs="仿宋"/>
          <w:kern w:val="2"/>
          <w:sz w:val="21"/>
          <w:szCs w:val="24"/>
          <w:highlight w:val="none"/>
          <w:lang w:val="en-US" w:eastAsia="zh-CN" w:bidi="ar-SA"/>
        </w:rPr>
        <w:id w:val="147475822"/>
        <w15:color w:val="DBDBDB"/>
        <w:docPartObj>
          <w:docPartGallery w:val="Table of Contents"/>
          <w:docPartUnique/>
        </w:docPartObj>
      </w:sdtPr>
      <w:sdtEndPr>
        <w:rPr>
          <w:rFonts w:hint="eastAsia" w:ascii="仿宋" w:hAnsi="仿宋" w:eastAsia="仿宋" w:cs="仿宋"/>
          <w:kern w:val="2"/>
          <w:sz w:val="21"/>
          <w:szCs w:val="32"/>
          <w:highlight w:val="none"/>
          <w:lang w:val="en-US" w:eastAsia="zh-CN" w:bidi="ar-SA"/>
        </w:rPr>
      </w:sdtEndPr>
      <w:sdtContent>
        <w:p>
          <w:pPr>
            <w:pageBreakBefore w:val="0"/>
            <w:overflowPunct/>
            <w:bidi w:val="0"/>
            <w:spacing w:afterAutospacing="0" w:line="312" w:lineRule="auto"/>
            <w:ind w:left="0" w:leftChars="0" w:right="0" w:rightChars="0" w:firstLine="0" w:firstLineChars="0"/>
            <w:jc w:val="center"/>
            <w:rPr>
              <w:rFonts w:hint="eastAsia" w:ascii="仿宋" w:hAnsi="仿宋" w:eastAsia="仿宋" w:cs="仿宋"/>
              <w:kern w:val="2"/>
              <w:sz w:val="21"/>
              <w:szCs w:val="24"/>
              <w:highlight w:val="none"/>
              <w:lang w:val="en-US" w:eastAsia="zh-CN" w:bidi="ar-SA"/>
            </w:rPr>
          </w:pPr>
        </w:p>
        <w:p>
          <w:pPr>
            <w:pageBreakBefore w:val="0"/>
            <w:overflowPunct/>
            <w:bidi w:val="0"/>
            <w:spacing w:afterAutospacing="0" w:line="312" w:lineRule="auto"/>
            <w:ind w:left="0" w:leftChars="0" w:right="0" w:rightChars="0" w:firstLine="0" w:firstLineChars="0"/>
            <w:jc w:val="center"/>
            <w:rPr>
              <w:rFonts w:hint="eastAsia" w:ascii="仿宋" w:hAnsi="仿宋" w:eastAsia="仿宋" w:cs="仿宋"/>
              <w:b/>
              <w:bCs/>
              <w:sz w:val="48"/>
              <w:szCs w:val="56"/>
              <w:highlight w:val="none"/>
            </w:rPr>
          </w:pPr>
          <w:r>
            <w:rPr>
              <w:rFonts w:hint="eastAsia" w:ascii="仿宋" w:hAnsi="仿宋" w:eastAsia="仿宋" w:cs="仿宋"/>
              <w:b/>
              <w:bCs/>
              <w:sz w:val="48"/>
              <w:szCs w:val="56"/>
              <w:highlight w:val="none"/>
            </w:rPr>
            <w:t>目</w:t>
          </w:r>
          <w:r>
            <w:rPr>
              <w:rFonts w:hint="eastAsia" w:ascii="仿宋" w:hAnsi="仿宋" w:eastAsia="仿宋" w:cs="仿宋"/>
              <w:b/>
              <w:bCs/>
              <w:sz w:val="48"/>
              <w:szCs w:val="56"/>
              <w:highlight w:val="none"/>
              <w:lang w:val="en-US" w:eastAsia="zh-CN"/>
            </w:rPr>
            <w:t xml:space="preserve">  </w:t>
          </w:r>
          <w:r>
            <w:rPr>
              <w:rFonts w:hint="eastAsia" w:ascii="仿宋" w:hAnsi="仿宋" w:eastAsia="仿宋" w:cs="仿宋"/>
              <w:b/>
              <w:bCs/>
              <w:sz w:val="48"/>
              <w:szCs w:val="56"/>
              <w:highlight w:val="none"/>
            </w:rPr>
            <w:t>录</w:t>
          </w:r>
        </w:p>
        <w:p>
          <w:pPr>
            <w:pStyle w:val="28"/>
            <w:pageBreakBefore w:val="0"/>
            <w:bidi w:val="0"/>
            <w:spacing w:line="312" w:lineRule="auto"/>
            <w:rPr>
              <w:rFonts w:hint="eastAsia" w:ascii="仿宋" w:hAnsi="仿宋" w:eastAsia="仿宋" w:cs="仿宋"/>
              <w:highlight w:val="none"/>
            </w:rPr>
          </w:pPr>
        </w:p>
        <w:p>
          <w:pPr>
            <w:pStyle w:val="2"/>
            <w:pageBreakBefore w:val="0"/>
            <w:overflowPunct/>
            <w:bidi w:val="0"/>
            <w:spacing w:after="0" w:afterAutospacing="0" w:line="312" w:lineRule="auto"/>
            <w:rPr>
              <w:rFonts w:hint="eastAsia" w:ascii="仿宋" w:hAnsi="仿宋" w:eastAsia="仿宋" w:cs="仿宋"/>
              <w:highlight w:val="none"/>
              <w:lang w:eastAsia="zh-CN"/>
            </w:rPr>
          </w:pPr>
        </w:p>
        <w:p>
          <w:pPr>
            <w:pStyle w:val="111"/>
            <w:pageBreakBefore w:val="0"/>
            <w:tabs>
              <w:tab w:val="right" w:leader="dot" w:pos="9361"/>
            </w:tabs>
            <w:overflowPunct/>
            <w:bidi w:val="0"/>
            <w:spacing w:afterAutospacing="0" w:line="312" w:lineRule="auto"/>
            <w:rPr>
              <w:rFonts w:hint="eastAsia" w:ascii="仿宋" w:hAnsi="仿宋" w:eastAsia="仿宋" w:cs="仿宋"/>
              <w:sz w:val="28"/>
              <w:szCs w:val="28"/>
              <w:highlight w:val="none"/>
            </w:rPr>
          </w:pP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TOC \o "1-1" \h \u </w:instrText>
          </w:r>
          <w:r>
            <w:rPr>
              <w:rFonts w:hint="eastAsia" w:ascii="仿宋" w:hAnsi="仿宋" w:eastAsia="仿宋" w:cs="仿宋"/>
              <w:sz w:val="32"/>
              <w:szCs w:val="32"/>
              <w:highlight w:val="none"/>
            </w:rPr>
            <w:fldChar w:fldCharType="separate"/>
          </w:r>
          <w:r>
            <w:rPr>
              <w:rFonts w:hint="eastAsia" w:ascii="仿宋" w:hAnsi="仿宋" w:eastAsia="仿宋" w:cs="仿宋"/>
              <w:sz w:val="28"/>
              <w:szCs w:val="48"/>
              <w:highlight w:val="none"/>
            </w:rPr>
            <w:fldChar w:fldCharType="begin"/>
          </w:r>
          <w:r>
            <w:rPr>
              <w:rFonts w:hint="eastAsia" w:ascii="仿宋" w:hAnsi="仿宋" w:eastAsia="仿宋" w:cs="仿宋"/>
              <w:sz w:val="28"/>
              <w:szCs w:val="48"/>
              <w:highlight w:val="none"/>
            </w:rPr>
            <w:instrText xml:space="preserve"> HYPERLINK \l _Toc24865 </w:instrText>
          </w:r>
          <w:r>
            <w:rPr>
              <w:rFonts w:hint="eastAsia" w:ascii="仿宋" w:hAnsi="仿宋" w:eastAsia="仿宋" w:cs="仿宋"/>
              <w:sz w:val="28"/>
              <w:szCs w:val="48"/>
              <w:highlight w:val="none"/>
            </w:rPr>
            <w:fldChar w:fldCharType="separate"/>
          </w:r>
          <w:r>
            <w:rPr>
              <w:rFonts w:hint="eastAsia" w:ascii="仿宋" w:hAnsi="仿宋" w:eastAsia="仿宋" w:cs="仿宋"/>
              <w:sz w:val="28"/>
              <w:szCs w:val="72"/>
              <w:highlight w:val="none"/>
            </w:rPr>
            <w:t>第一部分 竞争性磋商公告</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_Toc24865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w:t>
          </w:r>
          <w:r>
            <w:rPr>
              <w:rFonts w:hint="eastAsia" w:ascii="仿宋" w:hAnsi="仿宋" w:eastAsia="仿宋" w:cs="仿宋"/>
              <w:sz w:val="28"/>
              <w:szCs w:val="28"/>
              <w:highlight w:val="none"/>
            </w:rPr>
            <w:fldChar w:fldCharType="end"/>
          </w:r>
          <w:r>
            <w:rPr>
              <w:rFonts w:hint="eastAsia" w:ascii="仿宋" w:hAnsi="仿宋" w:eastAsia="仿宋" w:cs="仿宋"/>
              <w:sz w:val="28"/>
              <w:szCs w:val="48"/>
              <w:highlight w:val="none"/>
            </w:rPr>
            <w:fldChar w:fldCharType="end"/>
          </w:r>
        </w:p>
        <w:p>
          <w:pPr>
            <w:pStyle w:val="111"/>
            <w:pageBreakBefore w:val="0"/>
            <w:tabs>
              <w:tab w:val="right" w:leader="dot" w:pos="9361"/>
            </w:tabs>
            <w:overflowPunct/>
            <w:bidi w:val="0"/>
            <w:spacing w:afterAutospacing="0" w:line="312" w:lineRule="auto"/>
            <w:rPr>
              <w:rFonts w:hint="eastAsia" w:ascii="仿宋" w:hAnsi="仿宋" w:eastAsia="仿宋" w:cs="仿宋"/>
              <w:sz w:val="28"/>
              <w:szCs w:val="28"/>
              <w:highlight w:val="none"/>
            </w:rPr>
          </w:pPr>
          <w:r>
            <w:rPr>
              <w:rFonts w:hint="eastAsia" w:ascii="仿宋" w:hAnsi="仿宋" w:eastAsia="仿宋" w:cs="仿宋"/>
              <w:sz w:val="28"/>
              <w:szCs w:val="48"/>
              <w:highlight w:val="none"/>
            </w:rPr>
            <w:fldChar w:fldCharType="begin"/>
          </w:r>
          <w:r>
            <w:rPr>
              <w:rFonts w:hint="eastAsia" w:ascii="仿宋" w:hAnsi="仿宋" w:eastAsia="仿宋" w:cs="仿宋"/>
              <w:sz w:val="28"/>
              <w:szCs w:val="48"/>
              <w:highlight w:val="none"/>
            </w:rPr>
            <w:instrText xml:space="preserve"> HYPERLINK \l _Toc5731 </w:instrText>
          </w:r>
          <w:r>
            <w:rPr>
              <w:rFonts w:hint="eastAsia" w:ascii="仿宋" w:hAnsi="仿宋" w:eastAsia="仿宋" w:cs="仿宋"/>
              <w:sz w:val="28"/>
              <w:szCs w:val="48"/>
              <w:highlight w:val="none"/>
            </w:rPr>
            <w:fldChar w:fldCharType="separate"/>
          </w:r>
          <w:r>
            <w:rPr>
              <w:rFonts w:hint="eastAsia" w:ascii="仿宋" w:hAnsi="仿宋" w:eastAsia="仿宋" w:cs="仿宋"/>
              <w:sz w:val="28"/>
              <w:szCs w:val="72"/>
              <w:highlight w:val="none"/>
            </w:rPr>
            <w:t>第二部分 供应商须知</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_Toc5731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7</w:t>
          </w:r>
          <w:r>
            <w:rPr>
              <w:rFonts w:hint="eastAsia" w:ascii="仿宋" w:hAnsi="仿宋" w:eastAsia="仿宋" w:cs="仿宋"/>
              <w:sz w:val="28"/>
              <w:szCs w:val="28"/>
              <w:highlight w:val="none"/>
            </w:rPr>
            <w:fldChar w:fldCharType="end"/>
          </w:r>
          <w:r>
            <w:rPr>
              <w:rFonts w:hint="eastAsia" w:ascii="仿宋" w:hAnsi="仿宋" w:eastAsia="仿宋" w:cs="仿宋"/>
              <w:sz w:val="28"/>
              <w:szCs w:val="48"/>
              <w:highlight w:val="none"/>
            </w:rPr>
            <w:fldChar w:fldCharType="end"/>
          </w:r>
        </w:p>
        <w:p>
          <w:pPr>
            <w:pStyle w:val="111"/>
            <w:pageBreakBefore w:val="0"/>
            <w:tabs>
              <w:tab w:val="right" w:leader="dot" w:pos="9361"/>
            </w:tabs>
            <w:overflowPunct/>
            <w:bidi w:val="0"/>
            <w:spacing w:afterAutospacing="0" w:line="312" w:lineRule="auto"/>
            <w:rPr>
              <w:rFonts w:hint="eastAsia" w:ascii="仿宋" w:hAnsi="仿宋" w:eastAsia="仿宋" w:cs="仿宋"/>
              <w:sz w:val="28"/>
              <w:szCs w:val="28"/>
              <w:highlight w:val="none"/>
            </w:rPr>
          </w:pPr>
          <w:r>
            <w:rPr>
              <w:rFonts w:hint="eastAsia" w:ascii="仿宋" w:hAnsi="仿宋" w:eastAsia="仿宋" w:cs="仿宋"/>
              <w:sz w:val="28"/>
              <w:szCs w:val="48"/>
              <w:highlight w:val="none"/>
            </w:rPr>
            <w:fldChar w:fldCharType="begin"/>
          </w:r>
          <w:r>
            <w:rPr>
              <w:rFonts w:hint="eastAsia" w:ascii="仿宋" w:hAnsi="仿宋" w:eastAsia="仿宋" w:cs="仿宋"/>
              <w:sz w:val="28"/>
              <w:szCs w:val="48"/>
              <w:highlight w:val="none"/>
            </w:rPr>
            <w:instrText xml:space="preserve"> HYPERLINK \l _Toc16607 </w:instrText>
          </w:r>
          <w:r>
            <w:rPr>
              <w:rFonts w:hint="eastAsia" w:ascii="仿宋" w:hAnsi="仿宋" w:eastAsia="仿宋" w:cs="仿宋"/>
              <w:sz w:val="28"/>
              <w:szCs w:val="48"/>
              <w:highlight w:val="none"/>
            </w:rPr>
            <w:fldChar w:fldCharType="separate"/>
          </w:r>
          <w:r>
            <w:rPr>
              <w:rFonts w:hint="eastAsia" w:ascii="仿宋" w:hAnsi="仿宋" w:eastAsia="仿宋" w:cs="仿宋"/>
              <w:sz w:val="28"/>
              <w:szCs w:val="72"/>
              <w:highlight w:val="none"/>
            </w:rPr>
            <w:t>第三部分 合同条款及格式</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_Toc16607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23</w:t>
          </w:r>
          <w:r>
            <w:rPr>
              <w:rFonts w:hint="eastAsia" w:ascii="仿宋" w:hAnsi="仿宋" w:eastAsia="仿宋" w:cs="仿宋"/>
              <w:sz w:val="28"/>
              <w:szCs w:val="28"/>
              <w:highlight w:val="none"/>
            </w:rPr>
            <w:fldChar w:fldCharType="end"/>
          </w:r>
          <w:r>
            <w:rPr>
              <w:rFonts w:hint="eastAsia" w:ascii="仿宋" w:hAnsi="仿宋" w:eastAsia="仿宋" w:cs="仿宋"/>
              <w:sz w:val="28"/>
              <w:szCs w:val="48"/>
              <w:highlight w:val="none"/>
            </w:rPr>
            <w:fldChar w:fldCharType="end"/>
          </w:r>
        </w:p>
        <w:p>
          <w:pPr>
            <w:pStyle w:val="111"/>
            <w:pageBreakBefore w:val="0"/>
            <w:tabs>
              <w:tab w:val="right" w:leader="dot" w:pos="9361"/>
            </w:tabs>
            <w:overflowPunct/>
            <w:bidi w:val="0"/>
            <w:spacing w:afterAutospacing="0" w:line="312" w:lineRule="auto"/>
            <w:rPr>
              <w:rFonts w:hint="eastAsia" w:ascii="仿宋" w:hAnsi="仿宋" w:eastAsia="仿宋" w:cs="仿宋"/>
              <w:sz w:val="28"/>
              <w:szCs w:val="28"/>
              <w:highlight w:val="none"/>
            </w:rPr>
          </w:pPr>
          <w:r>
            <w:rPr>
              <w:rFonts w:hint="eastAsia" w:ascii="仿宋" w:hAnsi="仿宋" w:eastAsia="仿宋" w:cs="仿宋"/>
              <w:sz w:val="28"/>
              <w:szCs w:val="48"/>
              <w:highlight w:val="none"/>
            </w:rPr>
            <w:fldChar w:fldCharType="begin"/>
          </w:r>
          <w:r>
            <w:rPr>
              <w:rFonts w:hint="eastAsia" w:ascii="仿宋" w:hAnsi="仿宋" w:eastAsia="仿宋" w:cs="仿宋"/>
              <w:sz w:val="28"/>
              <w:szCs w:val="48"/>
              <w:highlight w:val="none"/>
            </w:rPr>
            <w:instrText xml:space="preserve"> HYPERLINK \l _Toc17296 </w:instrText>
          </w:r>
          <w:r>
            <w:rPr>
              <w:rFonts w:hint="eastAsia" w:ascii="仿宋" w:hAnsi="仿宋" w:eastAsia="仿宋" w:cs="仿宋"/>
              <w:sz w:val="28"/>
              <w:szCs w:val="48"/>
              <w:highlight w:val="none"/>
            </w:rPr>
            <w:fldChar w:fldCharType="separate"/>
          </w:r>
          <w:r>
            <w:rPr>
              <w:rFonts w:hint="eastAsia" w:ascii="仿宋" w:hAnsi="仿宋" w:eastAsia="仿宋" w:cs="仿宋"/>
              <w:bCs/>
              <w:kern w:val="0"/>
              <w:sz w:val="28"/>
              <w:szCs w:val="72"/>
              <w:highlight w:val="none"/>
              <w:lang w:eastAsia="zh-CN"/>
            </w:rPr>
            <w:t xml:space="preserve">第四部分 </w:t>
          </w:r>
          <w:r>
            <w:rPr>
              <w:rFonts w:hint="eastAsia" w:ascii="仿宋" w:hAnsi="仿宋" w:eastAsia="仿宋" w:cs="仿宋"/>
              <w:bCs/>
              <w:kern w:val="0"/>
              <w:sz w:val="28"/>
              <w:szCs w:val="72"/>
              <w:highlight w:val="none"/>
              <w:lang w:val="en-US" w:eastAsia="zh-CN"/>
            </w:rPr>
            <w:t>采购</w:t>
          </w:r>
          <w:r>
            <w:rPr>
              <w:rFonts w:hint="eastAsia" w:ascii="仿宋" w:hAnsi="仿宋" w:eastAsia="仿宋" w:cs="仿宋"/>
              <w:sz w:val="28"/>
              <w:szCs w:val="72"/>
              <w:highlight w:val="none"/>
            </w:rPr>
            <w:t>内容</w:t>
          </w:r>
          <w:r>
            <w:rPr>
              <w:rFonts w:hint="eastAsia" w:ascii="仿宋" w:hAnsi="仿宋" w:eastAsia="仿宋" w:cs="仿宋"/>
              <w:sz w:val="28"/>
              <w:szCs w:val="72"/>
              <w:highlight w:val="none"/>
              <w:lang w:eastAsia="zh-CN"/>
            </w:rPr>
            <w:t>及商务要求</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_Toc17296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31</w:t>
          </w:r>
          <w:r>
            <w:rPr>
              <w:rFonts w:hint="eastAsia" w:ascii="仿宋" w:hAnsi="仿宋" w:eastAsia="仿宋" w:cs="仿宋"/>
              <w:sz w:val="28"/>
              <w:szCs w:val="28"/>
              <w:highlight w:val="none"/>
            </w:rPr>
            <w:fldChar w:fldCharType="end"/>
          </w:r>
          <w:r>
            <w:rPr>
              <w:rFonts w:hint="eastAsia" w:ascii="仿宋" w:hAnsi="仿宋" w:eastAsia="仿宋" w:cs="仿宋"/>
              <w:sz w:val="28"/>
              <w:szCs w:val="48"/>
              <w:highlight w:val="none"/>
            </w:rPr>
            <w:fldChar w:fldCharType="end"/>
          </w:r>
        </w:p>
        <w:p>
          <w:pPr>
            <w:pStyle w:val="111"/>
            <w:pageBreakBefore w:val="0"/>
            <w:tabs>
              <w:tab w:val="right" w:leader="dot" w:pos="9361"/>
            </w:tabs>
            <w:overflowPunct/>
            <w:bidi w:val="0"/>
            <w:spacing w:afterAutospacing="0" w:line="312" w:lineRule="auto"/>
            <w:rPr>
              <w:rFonts w:hint="eastAsia" w:ascii="仿宋" w:hAnsi="仿宋" w:eastAsia="仿宋" w:cs="仿宋"/>
              <w:sz w:val="28"/>
              <w:szCs w:val="28"/>
              <w:highlight w:val="none"/>
            </w:rPr>
          </w:pPr>
          <w:r>
            <w:rPr>
              <w:rFonts w:hint="eastAsia" w:ascii="仿宋" w:hAnsi="仿宋" w:eastAsia="仿宋" w:cs="仿宋"/>
              <w:sz w:val="28"/>
              <w:szCs w:val="48"/>
              <w:highlight w:val="none"/>
            </w:rPr>
            <w:fldChar w:fldCharType="begin"/>
          </w:r>
          <w:r>
            <w:rPr>
              <w:rFonts w:hint="eastAsia" w:ascii="仿宋" w:hAnsi="仿宋" w:eastAsia="仿宋" w:cs="仿宋"/>
              <w:sz w:val="28"/>
              <w:szCs w:val="48"/>
              <w:highlight w:val="none"/>
            </w:rPr>
            <w:instrText xml:space="preserve"> HYPERLINK \l _Toc21054 </w:instrText>
          </w:r>
          <w:r>
            <w:rPr>
              <w:rFonts w:hint="eastAsia" w:ascii="仿宋" w:hAnsi="仿宋" w:eastAsia="仿宋" w:cs="仿宋"/>
              <w:sz w:val="28"/>
              <w:szCs w:val="48"/>
              <w:highlight w:val="none"/>
            </w:rPr>
            <w:fldChar w:fldCharType="separate"/>
          </w:r>
          <w:r>
            <w:rPr>
              <w:rFonts w:hint="eastAsia" w:ascii="仿宋" w:hAnsi="仿宋" w:eastAsia="仿宋" w:cs="仿宋"/>
              <w:sz w:val="28"/>
              <w:szCs w:val="72"/>
              <w:highlight w:val="none"/>
            </w:rPr>
            <w:t>第</w:t>
          </w:r>
          <w:r>
            <w:rPr>
              <w:rFonts w:hint="eastAsia" w:ascii="仿宋" w:hAnsi="仿宋" w:eastAsia="仿宋" w:cs="仿宋"/>
              <w:sz w:val="28"/>
              <w:szCs w:val="72"/>
              <w:highlight w:val="none"/>
              <w:lang w:eastAsia="zh-CN"/>
            </w:rPr>
            <w:t>五</w:t>
          </w:r>
          <w:r>
            <w:rPr>
              <w:rFonts w:hint="eastAsia" w:ascii="仿宋" w:hAnsi="仿宋" w:eastAsia="仿宋" w:cs="仿宋"/>
              <w:sz w:val="28"/>
              <w:szCs w:val="72"/>
              <w:highlight w:val="none"/>
            </w:rPr>
            <w:t>部分 评审办法及标准</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_Toc21054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38</w:t>
          </w:r>
          <w:r>
            <w:rPr>
              <w:rFonts w:hint="eastAsia" w:ascii="仿宋" w:hAnsi="仿宋" w:eastAsia="仿宋" w:cs="仿宋"/>
              <w:sz w:val="28"/>
              <w:szCs w:val="28"/>
              <w:highlight w:val="none"/>
            </w:rPr>
            <w:fldChar w:fldCharType="end"/>
          </w:r>
          <w:r>
            <w:rPr>
              <w:rFonts w:hint="eastAsia" w:ascii="仿宋" w:hAnsi="仿宋" w:eastAsia="仿宋" w:cs="仿宋"/>
              <w:sz w:val="28"/>
              <w:szCs w:val="48"/>
              <w:highlight w:val="none"/>
            </w:rPr>
            <w:fldChar w:fldCharType="end"/>
          </w:r>
        </w:p>
        <w:p>
          <w:pPr>
            <w:pStyle w:val="111"/>
            <w:pageBreakBefore w:val="0"/>
            <w:tabs>
              <w:tab w:val="right" w:leader="dot" w:pos="9361"/>
            </w:tabs>
            <w:overflowPunct/>
            <w:bidi w:val="0"/>
            <w:spacing w:afterAutospacing="0" w:line="312" w:lineRule="auto"/>
            <w:rPr>
              <w:rFonts w:hint="eastAsia" w:ascii="仿宋" w:hAnsi="仿宋" w:eastAsia="仿宋" w:cs="仿宋"/>
              <w:highlight w:val="none"/>
            </w:rPr>
          </w:pPr>
          <w:r>
            <w:rPr>
              <w:rFonts w:hint="eastAsia" w:ascii="仿宋" w:hAnsi="仿宋" w:eastAsia="仿宋" w:cs="仿宋"/>
              <w:sz w:val="28"/>
              <w:szCs w:val="48"/>
              <w:highlight w:val="none"/>
            </w:rPr>
            <w:fldChar w:fldCharType="begin"/>
          </w:r>
          <w:r>
            <w:rPr>
              <w:rFonts w:hint="eastAsia" w:ascii="仿宋" w:hAnsi="仿宋" w:eastAsia="仿宋" w:cs="仿宋"/>
              <w:sz w:val="28"/>
              <w:szCs w:val="48"/>
              <w:highlight w:val="none"/>
            </w:rPr>
            <w:instrText xml:space="preserve"> HYPERLINK \l _Toc19046 </w:instrText>
          </w:r>
          <w:r>
            <w:rPr>
              <w:rFonts w:hint="eastAsia" w:ascii="仿宋" w:hAnsi="仿宋" w:eastAsia="仿宋" w:cs="仿宋"/>
              <w:sz w:val="28"/>
              <w:szCs w:val="48"/>
              <w:highlight w:val="none"/>
            </w:rPr>
            <w:fldChar w:fldCharType="separate"/>
          </w:r>
          <w:r>
            <w:rPr>
              <w:rFonts w:hint="eastAsia" w:ascii="仿宋" w:hAnsi="仿宋" w:eastAsia="仿宋" w:cs="仿宋"/>
              <w:sz w:val="28"/>
              <w:szCs w:val="72"/>
              <w:highlight w:val="none"/>
            </w:rPr>
            <w:t>第</w:t>
          </w:r>
          <w:r>
            <w:rPr>
              <w:rFonts w:hint="eastAsia" w:ascii="仿宋" w:hAnsi="仿宋" w:eastAsia="仿宋" w:cs="仿宋"/>
              <w:sz w:val="28"/>
              <w:szCs w:val="72"/>
              <w:highlight w:val="none"/>
              <w:lang w:eastAsia="zh-CN"/>
            </w:rPr>
            <w:t>六</w:t>
          </w:r>
          <w:r>
            <w:rPr>
              <w:rFonts w:hint="eastAsia" w:ascii="仿宋" w:hAnsi="仿宋" w:eastAsia="仿宋" w:cs="仿宋"/>
              <w:sz w:val="28"/>
              <w:szCs w:val="72"/>
              <w:highlight w:val="none"/>
            </w:rPr>
            <w:t>部分 响应文件格式</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_Toc19046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49</w:t>
          </w:r>
          <w:r>
            <w:rPr>
              <w:rFonts w:hint="eastAsia" w:ascii="仿宋" w:hAnsi="仿宋" w:eastAsia="仿宋" w:cs="仿宋"/>
              <w:sz w:val="28"/>
              <w:szCs w:val="28"/>
              <w:highlight w:val="none"/>
            </w:rPr>
            <w:fldChar w:fldCharType="end"/>
          </w:r>
          <w:r>
            <w:rPr>
              <w:rFonts w:hint="eastAsia" w:ascii="仿宋" w:hAnsi="仿宋" w:eastAsia="仿宋" w:cs="仿宋"/>
              <w:sz w:val="28"/>
              <w:szCs w:val="48"/>
              <w:highlight w:val="none"/>
            </w:rPr>
            <w:fldChar w:fldCharType="end"/>
          </w:r>
        </w:p>
        <w:p>
          <w:pPr>
            <w:pageBreakBefore w:val="0"/>
            <w:overflowPunct/>
            <w:bidi w:val="0"/>
            <w:spacing w:afterAutospacing="0" w:line="312" w:lineRule="auto"/>
            <w:ind w:firstLine="420" w:firstLineChars="200"/>
            <w:jc w:val="center"/>
            <w:rPr>
              <w:rFonts w:hint="eastAsia" w:ascii="仿宋" w:hAnsi="仿宋" w:eastAsia="仿宋" w:cs="仿宋"/>
              <w:sz w:val="32"/>
              <w:szCs w:val="32"/>
              <w:highlight w:val="none"/>
            </w:rPr>
          </w:pPr>
          <w:r>
            <w:rPr>
              <w:rFonts w:hint="eastAsia" w:ascii="仿宋" w:hAnsi="仿宋" w:eastAsia="仿宋" w:cs="仿宋"/>
              <w:szCs w:val="32"/>
              <w:highlight w:val="none"/>
            </w:rPr>
            <w:fldChar w:fldCharType="end"/>
          </w:r>
        </w:p>
      </w:sdtContent>
    </w:sdt>
    <w:p>
      <w:pPr>
        <w:pageBreakBefore w:val="0"/>
        <w:overflowPunct/>
        <w:bidi w:val="0"/>
        <w:spacing w:afterAutospacing="0" w:line="312" w:lineRule="auto"/>
        <w:ind w:firstLine="640" w:firstLineChars="200"/>
        <w:rPr>
          <w:rFonts w:hint="eastAsia" w:ascii="仿宋" w:hAnsi="仿宋" w:eastAsia="仿宋" w:cs="仿宋"/>
          <w:sz w:val="32"/>
          <w:szCs w:val="32"/>
          <w:highlight w:val="none"/>
        </w:rPr>
      </w:pPr>
    </w:p>
    <w:p>
      <w:pPr>
        <w:pageBreakBefore w:val="0"/>
        <w:overflowPunct/>
        <w:bidi w:val="0"/>
        <w:spacing w:afterAutospacing="0" w:line="312" w:lineRule="auto"/>
        <w:ind w:firstLine="560" w:firstLineChars="200"/>
        <w:rPr>
          <w:rFonts w:hint="eastAsia" w:ascii="仿宋" w:hAnsi="仿宋" w:eastAsia="仿宋" w:cs="仿宋"/>
          <w:sz w:val="28"/>
          <w:szCs w:val="28"/>
          <w:highlight w:val="none"/>
        </w:rPr>
      </w:pPr>
    </w:p>
    <w:p>
      <w:pPr>
        <w:pageBreakBefore w:val="0"/>
        <w:overflowPunct/>
        <w:bidi w:val="0"/>
        <w:spacing w:afterAutospacing="0" w:line="312" w:lineRule="auto"/>
        <w:outlineLvl w:val="9"/>
        <w:rPr>
          <w:rFonts w:hint="eastAsia" w:ascii="仿宋" w:hAnsi="仿宋" w:eastAsia="仿宋" w:cs="仿宋"/>
          <w:kern w:val="2"/>
          <w:sz w:val="21"/>
          <w:szCs w:val="24"/>
          <w:lang w:val="en-US" w:eastAsia="zh-CN" w:bidi="ar-SA"/>
        </w:rPr>
      </w:pPr>
      <w:bookmarkStart w:id="0" w:name="_Toc10276"/>
      <w:bookmarkStart w:id="1" w:name="_Toc25707"/>
      <w:bookmarkStart w:id="2" w:name="_Toc32697"/>
      <w:bookmarkStart w:id="3" w:name="_Toc2612"/>
      <w:r>
        <w:rPr>
          <w:rFonts w:hint="eastAsia" w:ascii="仿宋" w:hAnsi="仿宋" w:eastAsia="仿宋" w:cs="仿宋"/>
          <w:b/>
          <w:sz w:val="44"/>
          <w:szCs w:val="44"/>
          <w:highlight w:val="none"/>
        </w:rPr>
        <w:br w:type="page"/>
      </w:r>
    </w:p>
    <w:bookmarkEnd w:id="0"/>
    <w:bookmarkEnd w:id="1"/>
    <w:bookmarkEnd w:id="2"/>
    <w:bookmarkEnd w:id="3"/>
    <w:p>
      <w:pPr>
        <w:pageBreakBefore w:val="0"/>
        <w:numPr>
          <w:ilvl w:val="0"/>
          <w:numId w:val="2"/>
        </w:numPr>
        <w:overflowPunct/>
        <w:bidi w:val="0"/>
        <w:spacing w:afterAutospacing="0" w:line="312" w:lineRule="auto"/>
        <w:jc w:val="center"/>
        <w:outlineLvl w:val="0"/>
        <w:rPr>
          <w:rFonts w:hint="eastAsia" w:ascii="仿宋" w:hAnsi="仿宋" w:eastAsia="仿宋" w:cs="仿宋"/>
          <w:b/>
          <w:sz w:val="44"/>
          <w:szCs w:val="44"/>
          <w:highlight w:val="none"/>
        </w:rPr>
      </w:pPr>
      <w:bookmarkStart w:id="4" w:name="_Toc24865"/>
      <w:r>
        <w:rPr>
          <w:rFonts w:hint="eastAsia" w:ascii="仿宋" w:hAnsi="仿宋" w:eastAsia="仿宋" w:cs="仿宋"/>
          <w:b/>
          <w:sz w:val="44"/>
          <w:szCs w:val="44"/>
          <w:highlight w:val="none"/>
        </w:rPr>
        <w:t>竞争性磋商公告</w:t>
      </w:r>
      <w:bookmarkEnd w:id="4"/>
    </w:p>
    <w:p>
      <w:pPr>
        <w:pStyle w:val="2"/>
        <w:pageBreakBefore w:val="0"/>
        <w:numPr>
          <w:ilvl w:val="0"/>
          <w:numId w:val="0"/>
        </w:numPr>
        <w:overflowPunct/>
        <w:bidi w:val="0"/>
        <w:spacing w:line="312" w:lineRule="auto"/>
        <w:rPr>
          <w:rFonts w:hint="eastAsia" w:ascii="仿宋" w:hAnsi="仿宋" w:eastAsia="仿宋" w:cs="仿宋"/>
          <w:highlight w:val="none"/>
        </w:rPr>
      </w:pPr>
    </w:p>
    <w:p>
      <w:pPr>
        <w:pStyle w:val="9"/>
        <w:pageBreakBefore w:val="0"/>
        <w:kinsoku/>
        <w:overflowPunct/>
        <w:topLinePunct w:val="0"/>
        <w:autoSpaceDE/>
        <w:autoSpaceDN/>
        <w:bidi w:val="0"/>
        <w:spacing w:before="0" w:beforeLines="0" w:after="0" w:afterLines="0" w:afterAutospacing="0" w:line="312" w:lineRule="auto"/>
        <w:ind w:firstLine="482" w:firstLineChars="200"/>
        <w:rPr>
          <w:rFonts w:hint="eastAsia" w:ascii="仿宋" w:hAnsi="仿宋" w:eastAsia="仿宋" w:cs="仿宋"/>
          <w:b/>
          <w:bCs w:val="0"/>
          <w:sz w:val="24"/>
          <w:szCs w:val="24"/>
          <w:highlight w:val="none"/>
          <w:lang w:eastAsia="zh-CN"/>
        </w:rPr>
      </w:pPr>
      <w:r>
        <w:rPr>
          <w:rFonts w:hint="eastAsia" w:ascii="仿宋" w:hAnsi="仿宋" w:eastAsia="仿宋" w:cs="仿宋"/>
          <w:i w:val="0"/>
          <w:caps w:val="0"/>
          <w:color w:val="auto"/>
          <w:spacing w:val="0"/>
          <w:sz w:val="24"/>
          <w:szCs w:val="24"/>
          <w:highlight w:val="none"/>
          <w:shd w:val="clear" w:color="auto" w:fill="FFFFFF"/>
          <w:lang w:eastAsia="zh-CN"/>
        </w:rPr>
        <w:t>铜川市妇幼保健院脱贫地区儿童营养改善项目的潜在供应商应在</w:t>
      </w:r>
      <w:r>
        <w:rPr>
          <w:rFonts w:hint="eastAsia" w:ascii="仿宋" w:hAnsi="仿宋" w:eastAsia="仿宋" w:cs="仿宋"/>
          <w:i w:val="0"/>
          <w:caps w:val="0"/>
          <w:color w:val="auto"/>
          <w:spacing w:val="0"/>
          <w:sz w:val="24"/>
          <w:szCs w:val="24"/>
          <w:highlight w:val="none"/>
          <w:shd w:val="clear" w:color="auto" w:fill="FFFFFF"/>
          <w:lang w:val="en-US" w:eastAsia="zh-CN"/>
        </w:rPr>
        <w:t>陕西省铜川市新区金谟西路40号</w:t>
      </w:r>
      <w:r>
        <w:rPr>
          <w:rFonts w:hint="eastAsia" w:ascii="仿宋" w:hAnsi="仿宋" w:eastAsia="仿宋" w:cs="仿宋"/>
          <w:i w:val="0"/>
          <w:caps w:val="0"/>
          <w:color w:val="auto"/>
          <w:spacing w:val="0"/>
          <w:sz w:val="24"/>
          <w:szCs w:val="24"/>
          <w:highlight w:val="none"/>
          <w:shd w:val="clear" w:color="auto" w:fill="FFFFFF"/>
          <w:lang w:eastAsia="zh-CN"/>
        </w:rPr>
        <w:t>获取采</w:t>
      </w:r>
      <w:r>
        <w:rPr>
          <w:rFonts w:hint="eastAsia" w:ascii="仿宋" w:hAnsi="仿宋" w:eastAsia="仿宋" w:cs="仿宋"/>
          <w:i w:val="0"/>
          <w:caps w:val="0"/>
          <w:color w:val="auto"/>
          <w:spacing w:val="0"/>
          <w:sz w:val="24"/>
          <w:szCs w:val="24"/>
          <w:highlight w:val="none"/>
          <w:shd w:val="clear" w:color="auto" w:fill="FFFFFF"/>
        </w:rPr>
        <w:t>购文件，并于</w:t>
      </w:r>
      <w:r>
        <w:rPr>
          <w:rFonts w:hint="eastAsia" w:ascii="仿宋" w:hAnsi="仿宋" w:eastAsia="仿宋" w:cs="仿宋"/>
          <w:i w:val="0"/>
          <w:caps w:val="0"/>
          <w:color w:val="auto"/>
          <w:spacing w:val="0"/>
          <w:sz w:val="24"/>
          <w:szCs w:val="24"/>
          <w:highlight w:val="none"/>
          <w:shd w:val="clear" w:color="auto" w:fill="FFFFFF"/>
          <w:vertAlign w:val="baseline"/>
          <w:lang w:eastAsia="zh-CN"/>
        </w:rPr>
        <w:t>2022年</w:t>
      </w:r>
      <w:r>
        <w:rPr>
          <w:rFonts w:hint="eastAsia" w:ascii="仿宋" w:hAnsi="仿宋" w:eastAsia="仿宋" w:cs="仿宋"/>
          <w:i w:val="0"/>
          <w:caps w:val="0"/>
          <w:color w:val="auto"/>
          <w:spacing w:val="0"/>
          <w:sz w:val="24"/>
          <w:szCs w:val="24"/>
          <w:highlight w:val="none"/>
          <w:shd w:val="clear" w:color="auto" w:fill="FFFFFF"/>
          <w:lang w:val="en-US" w:eastAsia="zh-CN"/>
        </w:rPr>
        <w:t>12</w:t>
      </w:r>
      <w:r>
        <w:rPr>
          <w:rFonts w:hint="eastAsia" w:ascii="仿宋" w:hAnsi="仿宋" w:eastAsia="仿宋" w:cs="仿宋"/>
          <w:i w:val="0"/>
          <w:caps w:val="0"/>
          <w:color w:val="auto"/>
          <w:spacing w:val="0"/>
          <w:sz w:val="24"/>
          <w:szCs w:val="24"/>
          <w:highlight w:val="none"/>
          <w:shd w:val="clear" w:color="auto" w:fill="FFFFFF"/>
          <w:lang w:eastAsia="zh-CN"/>
        </w:rPr>
        <w:t>月</w:t>
      </w:r>
      <w:r>
        <w:rPr>
          <w:rFonts w:hint="eastAsia" w:ascii="仿宋" w:hAnsi="仿宋" w:eastAsia="仿宋" w:cs="仿宋"/>
          <w:i w:val="0"/>
          <w:caps w:val="0"/>
          <w:color w:val="auto"/>
          <w:spacing w:val="0"/>
          <w:sz w:val="24"/>
          <w:szCs w:val="24"/>
          <w:highlight w:val="none"/>
          <w:shd w:val="clear" w:color="auto" w:fill="FFFFFF"/>
          <w:lang w:val="en-US" w:eastAsia="zh-CN"/>
        </w:rPr>
        <w:t>14</w:t>
      </w:r>
      <w:r>
        <w:rPr>
          <w:rFonts w:hint="eastAsia" w:ascii="仿宋" w:hAnsi="仿宋" w:eastAsia="仿宋" w:cs="仿宋"/>
          <w:i w:val="0"/>
          <w:caps w:val="0"/>
          <w:color w:val="auto"/>
          <w:spacing w:val="0"/>
          <w:sz w:val="24"/>
          <w:szCs w:val="24"/>
          <w:highlight w:val="none"/>
          <w:shd w:val="clear" w:color="auto" w:fill="FFFFFF"/>
          <w:lang w:eastAsia="zh-CN"/>
        </w:rPr>
        <w:t>日1</w:t>
      </w:r>
      <w:r>
        <w:rPr>
          <w:rFonts w:hint="eastAsia" w:ascii="仿宋" w:hAnsi="仿宋" w:eastAsia="仿宋" w:cs="仿宋"/>
          <w:i w:val="0"/>
          <w:caps w:val="0"/>
          <w:color w:val="auto"/>
          <w:spacing w:val="0"/>
          <w:sz w:val="24"/>
          <w:szCs w:val="24"/>
          <w:highlight w:val="none"/>
          <w:shd w:val="clear" w:color="auto" w:fill="FFFFFF"/>
          <w:lang w:val="en-US" w:eastAsia="zh-CN"/>
        </w:rPr>
        <w:t>4</w:t>
      </w:r>
      <w:r>
        <w:rPr>
          <w:rFonts w:hint="eastAsia" w:ascii="仿宋" w:hAnsi="仿宋" w:eastAsia="仿宋" w:cs="仿宋"/>
          <w:i w:val="0"/>
          <w:caps w:val="0"/>
          <w:color w:val="auto"/>
          <w:spacing w:val="0"/>
          <w:sz w:val="24"/>
          <w:szCs w:val="24"/>
          <w:highlight w:val="none"/>
          <w:shd w:val="clear" w:color="auto" w:fill="FFFFFF"/>
          <w:lang w:eastAsia="zh-CN"/>
        </w:rPr>
        <w:t>时</w:t>
      </w:r>
      <w:r>
        <w:rPr>
          <w:rFonts w:hint="eastAsia" w:ascii="仿宋" w:hAnsi="仿宋" w:eastAsia="仿宋" w:cs="仿宋"/>
          <w:i w:val="0"/>
          <w:caps w:val="0"/>
          <w:color w:val="auto"/>
          <w:spacing w:val="0"/>
          <w:sz w:val="24"/>
          <w:szCs w:val="24"/>
          <w:highlight w:val="none"/>
          <w:shd w:val="clear" w:color="auto" w:fill="FFFFFF"/>
          <w:vertAlign w:val="baseline"/>
          <w:lang w:val="en-US" w:eastAsia="zh-CN"/>
        </w:rPr>
        <w:t>30</w:t>
      </w:r>
      <w:r>
        <w:rPr>
          <w:rFonts w:hint="eastAsia" w:ascii="仿宋" w:hAnsi="仿宋" w:eastAsia="仿宋" w:cs="仿宋"/>
          <w:i w:val="0"/>
          <w:caps w:val="0"/>
          <w:color w:val="auto"/>
          <w:spacing w:val="0"/>
          <w:sz w:val="24"/>
          <w:szCs w:val="24"/>
          <w:highlight w:val="none"/>
          <w:shd w:val="clear" w:color="auto" w:fill="FFFFFF"/>
          <w:vertAlign w:val="baseline"/>
        </w:rPr>
        <w:t>分</w:t>
      </w:r>
      <w:r>
        <w:rPr>
          <w:rFonts w:hint="eastAsia" w:ascii="仿宋" w:hAnsi="仿宋" w:eastAsia="仿宋" w:cs="仿宋"/>
          <w:i w:val="0"/>
          <w:caps w:val="0"/>
          <w:color w:val="auto"/>
          <w:spacing w:val="0"/>
          <w:sz w:val="24"/>
          <w:szCs w:val="24"/>
          <w:highlight w:val="none"/>
          <w:shd w:val="clear" w:color="auto" w:fill="FFFFFF"/>
        </w:rPr>
        <w:t>（北京时间）前提交响应文件。</w:t>
      </w:r>
    </w:p>
    <w:p>
      <w:pPr>
        <w:pStyle w:val="9"/>
        <w:pageBreakBefore w:val="0"/>
        <w:numPr>
          <w:ilvl w:val="0"/>
          <w:numId w:val="3"/>
        </w:numPr>
        <w:kinsoku/>
        <w:overflowPunct/>
        <w:topLinePunct w:val="0"/>
        <w:autoSpaceDE/>
        <w:autoSpaceDN/>
        <w:bidi w:val="0"/>
        <w:spacing w:before="0" w:beforeLines="0" w:after="0" w:afterLines="0" w:afterAutospacing="0" w:line="312" w:lineRule="auto"/>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项目基本情况</w:t>
      </w:r>
    </w:p>
    <w:p>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312" w:lineRule="auto"/>
        <w:ind w:left="0" w:right="0" w:firstLine="480"/>
        <w:jc w:val="both"/>
        <w:textAlignment w:val="baseline"/>
        <w:rPr>
          <w:rFonts w:hint="eastAsia" w:ascii="仿宋" w:hAnsi="仿宋" w:eastAsia="仿宋" w:cs="仿宋"/>
          <w:i w:val="0"/>
          <w:caps w:val="0"/>
          <w:color w:val="auto"/>
          <w:spacing w:val="0"/>
          <w:sz w:val="24"/>
          <w:szCs w:val="24"/>
          <w:highlight w:val="none"/>
          <w:shd w:val="clear" w:color="auto" w:fill="FFFFFF"/>
          <w:vertAlign w:val="baseline"/>
          <w:lang w:val="en-US"/>
        </w:rPr>
      </w:pPr>
      <w:r>
        <w:rPr>
          <w:rFonts w:hint="eastAsia" w:ascii="仿宋" w:hAnsi="仿宋" w:eastAsia="仿宋" w:cs="仿宋"/>
          <w:i w:val="0"/>
          <w:caps w:val="0"/>
          <w:color w:val="auto"/>
          <w:spacing w:val="0"/>
          <w:sz w:val="24"/>
          <w:szCs w:val="24"/>
          <w:highlight w:val="none"/>
          <w:shd w:val="clear" w:color="auto" w:fill="FFFFFF"/>
          <w:vertAlign w:val="baseline"/>
          <w:lang w:val="en-US" w:eastAsia="zh-CN"/>
        </w:rPr>
        <w:t>项目编号：TCC2022-1128Z</w:t>
      </w:r>
    </w:p>
    <w:p>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312" w:lineRule="auto"/>
        <w:ind w:left="0" w:right="0" w:firstLine="480"/>
        <w:jc w:val="both"/>
        <w:textAlignment w:val="baseline"/>
        <w:rPr>
          <w:rFonts w:hint="eastAsia" w:ascii="仿宋" w:hAnsi="仿宋" w:eastAsia="仿宋" w:cs="仿宋"/>
          <w:i w:val="0"/>
          <w:caps w:val="0"/>
          <w:color w:val="auto"/>
          <w:spacing w:val="0"/>
          <w:sz w:val="24"/>
          <w:szCs w:val="24"/>
          <w:highlight w:val="none"/>
        </w:rPr>
      </w:pPr>
      <w:r>
        <w:rPr>
          <w:rFonts w:hint="eastAsia" w:ascii="仿宋" w:hAnsi="仿宋" w:eastAsia="仿宋" w:cs="仿宋"/>
          <w:i w:val="0"/>
          <w:caps w:val="0"/>
          <w:color w:val="auto"/>
          <w:spacing w:val="0"/>
          <w:sz w:val="24"/>
          <w:szCs w:val="24"/>
          <w:highlight w:val="none"/>
          <w:shd w:val="clear" w:color="auto" w:fill="FFFFFF"/>
          <w:vertAlign w:val="baseline"/>
        </w:rPr>
        <w:t>项目名称：</w:t>
      </w:r>
      <w:r>
        <w:rPr>
          <w:rFonts w:hint="eastAsia" w:ascii="仿宋" w:hAnsi="仿宋" w:eastAsia="仿宋" w:cs="仿宋"/>
          <w:i w:val="0"/>
          <w:caps w:val="0"/>
          <w:color w:val="auto"/>
          <w:spacing w:val="0"/>
          <w:sz w:val="24"/>
          <w:szCs w:val="24"/>
          <w:highlight w:val="none"/>
          <w:shd w:val="clear" w:color="auto" w:fill="FFFFFF"/>
          <w:lang w:eastAsia="zh-CN"/>
        </w:rPr>
        <w:t>铜川市妇幼保健院脱贫地区儿童营养改善项目</w:t>
      </w:r>
    </w:p>
    <w:p>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312" w:lineRule="auto"/>
        <w:ind w:left="0" w:right="0" w:firstLine="480"/>
        <w:jc w:val="both"/>
        <w:textAlignment w:val="baseline"/>
        <w:rPr>
          <w:rFonts w:hint="eastAsia" w:ascii="仿宋" w:hAnsi="仿宋" w:eastAsia="仿宋" w:cs="仿宋"/>
          <w:i w:val="0"/>
          <w:caps w:val="0"/>
          <w:color w:val="auto"/>
          <w:spacing w:val="0"/>
          <w:sz w:val="24"/>
          <w:szCs w:val="24"/>
          <w:highlight w:val="none"/>
          <w:lang w:eastAsia="zh-CN"/>
        </w:rPr>
      </w:pPr>
      <w:r>
        <w:rPr>
          <w:rFonts w:hint="eastAsia" w:ascii="仿宋" w:hAnsi="仿宋" w:eastAsia="仿宋" w:cs="仿宋"/>
          <w:i w:val="0"/>
          <w:caps w:val="0"/>
          <w:color w:val="auto"/>
          <w:spacing w:val="0"/>
          <w:sz w:val="24"/>
          <w:szCs w:val="24"/>
          <w:highlight w:val="none"/>
          <w:shd w:val="clear" w:color="auto" w:fill="FFFFFF"/>
          <w:vertAlign w:val="baseline"/>
        </w:rPr>
        <w:t>采购方式：竞争性</w:t>
      </w:r>
      <w:r>
        <w:rPr>
          <w:rFonts w:hint="eastAsia" w:ascii="仿宋" w:hAnsi="仿宋" w:eastAsia="仿宋" w:cs="仿宋"/>
          <w:i w:val="0"/>
          <w:caps w:val="0"/>
          <w:color w:val="auto"/>
          <w:spacing w:val="0"/>
          <w:sz w:val="24"/>
          <w:szCs w:val="24"/>
          <w:highlight w:val="none"/>
          <w:shd w:val="clear" w:color="auto" w:fill="FFFFFF"/>
          <w:vertAlign w:val="baseline"/>
          <w:lang w:eastAsia="zh-CN"/>
        </w:rPr>
        <w:t>磋商</w:t>
      </w:r>
    </w:p>
    <w:p>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312" w:lineRule="auto"/>
        <w:ind w:left="0" w:right="0" w:firstLine="480"/>
        <w:jc w:val="both"/>
        <w:textAlignment w:val="baseline"/>
        <w:rPr>
          <w:rFonts w:hint="eastAsia" w:ascii="仿宋" w:hAnsi="仿宋" w:eastAsia="仿宋" w:cs="仿宋"/>
          <w:i w:val="0"/>
          <w:caps w:val="0"/>
          <w:color w:val="auto"/>
          <w:spacing w:val="0"/>
          <w:sz w:val="24"/>
          <w:szCs w:val="24"/>
          <w:highlight w:val="none"/>
        </w:rPr>
      </w:pPr>
      <w:r>
        <w:rPr>
          <w:rFonts w:hint="eastAsia" w:ascii="仿宋" w:hAnsi="仿宋" w:eastAsia="仿宋" w:cs="仿宋"/>
          <w:i w:val="0"/>
          <w:caps w:val="0"/>
          <w:color w:val="auto"/>
          <w:spacing w:val="0"/>
          <w:sz w:val="24"/>
          <w:szCs w:val="24"/>
          <w:highlight w:val="none"/>
          <w:shd w:val="clear" w:color="auto" w:fill="FFFFFF"/>
          <w:vertAlign w:val="baseline"/>
        </w:rPr>
        <w:t>采购需求：</w:t>
      </w:r>
    </w:p>
    <w:tbl>
      <w:tblPr>
        <w:tblStyle w:val="38"/>
        <w:tblpPr w:leftFromText="180" w:rightFromText="180" w:vertAnchor="text" w:horzAnchor="page" w:tblpX="996" w:tblpY="252"/>
        <w:tblOverlap w:val="never"/>
        <w:tblW w:w="103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833"/>
        <w:gridCol w:w="2466"/>
        <w:gridCol w:w="1790"/>
        <w:gridCol w:w="1427"/>
        <w:gridCol w:w="1562"/>
        <w:gridCol w:w="22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089" w:hRule="atLeast"/>
          <w:tblHeader/>
        </w:trPr>
        <w:tc>
          <w:tcPr>
            <w:tcW w:w="833" w:type="dxa"/>
            <w:tcBorders>
              <w:top w:val="single" w:color="333333" w:sz="6" w:space="0"/>
              <w:left w:val="single" w:color="333333" w:sz="6" w:space="0"/>
              <w:bottom w:val="single" w:color="333333" w:sz="6" w:space="0"/>
              <w:right w:val="single" w:color="333333" w:sz="6" w:space="0"/>
            </w:tcBorders>
            <w:shd w:val="clear" w:color="auto" w:fill="FFFFFF"/>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spacing w:beforeAutospacing="0" w:afterAutospacing="0" w:line="312" w:lineRule="auto"/>
              <w:ind w:left="0" w:leftChars="0" w:right="0" w:rightChars="0"/>
              <w:jc w:val="center"/>
              <w:textAlignment w:val="center"/>
              <w:rPr>
                <w:rFonts w:hint="eastAsia" w:ascii="仿宋" w:hAnsi="仿宋" w:eastAsia="仿宋" w:cs="仿宋"/>
                <w:b/>
                <w:bCs w:val="0"/>
                <w:i w:val="0"/>
                <w:caps w:val="0"/>
                <w:color w:val="auto"/>
                <w:spacing w:val="0"/>
                <w:sz w:val="24"/>
                <w:szCs w:val="24"/>
                <w:highlight w:val="none"/>
              </w:rPr>
            </w:pPr>
            <w:r>
              <w:rPr>
                <w:rFonts w:hint="eastAsia" w:ascii="仿宋" w:hAnsi="仿宋" w:eastAsia="仿宋" w:cs="仿宋"/>
                <w:b/>
                <w:i w:val="0"/>
                <w:caps w:val="0"/>
                <w:color w:val="auto"/>
                <w:spacing w:val="0"/>
                <w:sz w:val="24"/>
                <w:szCs w:val="24"/>
                <w:highlight w:val="none"/>
                <w:shd w:val="clear" w:color="auto" w:fill="FFFFFF"/>
              </w:rPr>
              <w:t>合同包号</w:t>
            </w:r>
          </w:p>
        </w:tc>
        <w:tc>
          <w:tcPr>
            <w:tcW w:w="2466" w:type="dxa"/>
            <w:tcBorders>
              <w:top w:val="single" w:color="333333" w:sz="6" w:space="0"/>
              <w:left w:val="single" w:color="333333" w:sz="6" w:space="0"/>
              <w:bottom w:val="single" w:color="333333" w:sz="6" w:space="0"/>
              <w:right w:val="single" w:color="333333" w:sz="6" w:space="0"/>
            </w:tcBorders>
            <w:shd w:val="clear" w:color="auto" w:fill="FFFFFF"/>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spacing w:beforeAutospacing="0" w:afterAutospacing="0" w:line="312" w:lineRule="auto"/>
              <w:ind w:left="0" w:leftChars="0" w:right="0" w:rightChars="0"/>
              <w:jc w:val="center"/>
              <w:textAlignment w:val="center"/>
              <w:rPr>
                <w:rFonts w:hint="eastAsia" w:ascii="仿宋" w:hAnsi="仿宋" w:eastAsia="仿宋" w:cs="仿宋"/>
                <w:b/>
                <w:bCs w:val="0"/>
                <w:i w:val="0"/>
                <w:caps w:val="0"/>
                <w:color w:val="auto"/>
                <w:spacing w:val="0"/>
                <w:sz w:val="24"/>
                <w:szCs w:val="24"/>
                <w:highlight w:val="none"/>
              </w:rPr>
            </w:pPr>
            <w:r>
              <w:rPr>
                <w:rFonts w:hint="eastAsia" w:ascii="仿宋" w:hAnsi="仿宋" w:eastAsia="仿宋" w:cs="仿宋"/>
                <w:b/>
                <w:i w:val="0"/>
                <w:caps w:val="0"/>
                <w:color w:val="auto"/>
                <w:spacing w:val="0"/>
                <w:kern w:val="0"/>
                <w:sz w:val="24"/>
                <w:szCs w:val="24"/>
                <w:highlight w:val="none"/>
                <w:lang w:val="en-US" w:eastAsia="zh-CN" w:bidi="ar"/>
              </w:rPr>
              <w:t>合同包名称</w:t>
            </w:r>
          </w:p>
        </w:tc>
        <w:tc>
          <w:tcPr>
            <w:tcW w:w="1790" w:type="dxa"/>
            <w:tcBorders>
              <w:top w:val="single" w:color="333333" w:sz="6" w:space="0"/>
              <w:left w:val="single" w:color="333333" w:sz="6" w:space="0"/>
              <w:bottom w:val="single" w:color="333333" w:sz="6" w:space="0"/>
              <w:right w:val="single" w:color="333333" w:sz="6" w:space="0"/>
            </w:tcBorders>
            <w:shd w:val="clear" w:color="auto" w:fill="FFFFFF"/>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spacing w:beforeAutospacing="0" w:afterAutospacing="0" w:line="312" w:lineRule="auto"/>
              <w:ind w:left="0" w:leftChars="0" w:right="0" w:rightChars="0"/>
              <w:jc w:val="center"/>
              <w:textAlignment w:val="center"/>
              <w:rPr>
                <w:rFonts w:hint="eastAsia" w:ascii="仿宋" w:hAnsi="仿宋" w:eastAsia="仿宋" w:cs="仿宋"/>
                <w:b/>
                <w:bCs w:val="0"/>
                <w:i w:val="0"/>
                <w:caps w:val="0"/>
                <w:color w:val="auto"/>
                <w:spacing w:val="0"/>
                <w:sz w:val="24"/>
                <w:szCs w:val="24"/>
                <w:highlight w:val="none"/>
              </w:rPr>
            </w:pPr>
            <w:r>
              <w:rPr>
                <w:rFonts w:hint="eastAsia" w:ascii="仿宋" w:hAnsi="仿宋" w:eastAsia="仿宋" w:cs="仿宋"/>
                <w:b/>
                <w:i w:val="0"/>
                <w:caps w:val="0"/>
                <w:color w:val="auto"/>
                <w:spacing w:val="0"/>
                <w:kern w:val="0"/>
                <w:sz w:val="24"/>
                <w:szCs w:val="24"/>
                <w:highlight w:val="none"/>
                <w:lang w:val="en-US" w:eastAsia="zh-CN" w:bidi="ar"/>
              </w:rPr>
              <w:t>技术规格、参数及要求</w:t>
            </w:r>
          </w:p>
        </w:tc>
        <w:tc>
          <w:tcPr>
            <w:tcW w:w="1427" w:type="dxa"/>
            <w:tcBorders>
              <w:top w:val="single" w:color="333333" w:sz="6" w:space="0"/>
              <w:left w:val="single" w:color="333333" w:sz="6" w:space="0"/>
              <w:bottom w:val="single" w:color="auto" w:sz="4" w:space="0"/>
              <w:right w:val="single" w:color="333333" w:sz="6" w:space="0"/>
            </w:tcBorders>
            <w:shd w:val="clear" w:color="auto" w:fill="FFFFFF"/>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spacing w:beforeAutospacing="0" w:afterAutospacing="0" w:line="312" w:lineRule="auto"/>
              <w:ind w:left="0" w:leftChars="0" w:right="0" w:rightChars="0"/>
              <w:jc w:val="center"/>
              <w:textAlignment w:val="center"/>
              <w:rPr>
                <w:rFonts w:hint="eastAsia" w:ascii="仿宋" w:hAnsi="仿宋" w:eastAsia="仿宋" w:cs="仿宋"/>
                <w:b/>
                <w:bCs w:val="0"/>
                <w:i w:val="0"/>
                <w:caps w:val="0"/>
                <w:color w:val="auto"/>
                <w:spacing w:val="0"/>
                <w:sz w:val="24"/>
                <w:szCs w:val="24"/>
                <w:highlight w:val="none"/>
              </w:rPr>
            </w:pPr>
            <w:r>
              <w:rPr>
                <w:rFonts w:hint="eastAsia" w:ascii="仿宋" w:hAnsi="仿宋" w:eastAsia="仿宋" w:cs="仿宋"/>
                <w:b/>
                <w:i w:val="0"/>
                <w:caps w:val="0"/>
                <w:color w:val="auto"/>
                <w:spacing w:val="0"/>
                <w:kern w:val="0"/>
                <w:sz w:val="24"/>
                <w:szCs w:val="24"/>
                <w:highlight w:val="none"/>
                <w:lang w:val="en-US" w:eastAsia="zh-CN" w:bidi="ar"/>
              </w:rPr>
              <w:t>预算金额（元）</w:t>
            </w:r>
          </w:p>
        </w:tc>
        <w:tc>
          <w:tcPr>
            <w:tcW w:w="1562" w:type="dxa"/>
            <w:tcBorders>
              <w:top w:val="single" w:color="333333" w:sz="6" w:space="0"/>
              <w:left w:val="single" w:color="333333" w:sz="6" w:space="0"/>
              <w:bottom w:val="single" w:color="auto" w:sz="4" w:space="0"/>
              <w:right w:val="single" w:color="333333" w:sz="6" w:space="0"/>
            </w:tcBorders>
            <w:shd w:val="clear" w:color="auto" w:fill="FFFFFF"/>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spacing w:beforeAutospacing="0" w:afterAutospacing="0" w:line="312" w:lineRule="auto"/>
              <w:ind w:left="0" w:leftChars="0" w:right="0" w:rightChars="0"/>
              <w:jc w:val="center"/>
              <w:textAlignment w:val="center"/>
              <w:rPr>
                <w:rFonts w:hint="eastAsia" w:ascii="仿宋" w:hAnsi="仿宋" w:eastAsia="仿宋" w:cs="仿宋"/>
                <w:b/>
                <w:bCs w:val="0"/>
                <w:i w:val="0"/>
                <w:caps w:val="0"/>
                <w:color w:val="auto"/>
                <w:spacing w:val="0"/>
                <w:sz w:val="24"/>
                <w:szCs w:val="24"/>
                <w:highlight w:val="none"/>
              </w:rPr>
            </w:pPr>
            <w:r>
              <w:rPr>
                <w:rFonts w:hint="eastAsia" w:ascii="仿宋" w:hAnsi="仿宋" w:eastAsia="仿宋" w:cs="仿宋"/>
                <w:b/>
                <w:i w:val="0"/>
                <w:caps w:val="0"/>
                <w:color w:val="auto"/>
                <w:spacing w:val="0"/>
                <w:kern w:val="0"/>
                <w:sz w:val="24"/>
                <w:szCs w:val="24"/>
                <w:highlight w:val="none"/>
                <w:lang w:val="en-US" w:eastAsia="zh-CN" w:bidi="ar"/>
              </w:rPr>
              <w:t>是否接受联合体</w:t>
            </w:r>
          </w:p>
        </w:tc>
        <w:tc>
          <w:tcPr>
            <w:tcW w:w="2239" w:type="dxa"/>
            <w:tcBorders>
              <w:top w:val="single" w:color="333333" w:sz="6" w:space="0"/>
              <w:left w:val="single" w:color="333333" w:sz="6" w:space="0"/>
              <w:bottom w:val="single" w:color="auto" w:sz="4" w:space="0"/>
              <w:right w:val="single" w:color="333333" w:sz="6" w:space="0"/>
            </w:tcBorders>
            <w:shd w:val="clear" w:color="auto" w:fill="FFFFFF"/>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spacing w:beforeAutospacing="0" w:afterAutospacing="0" w:line="312" w:lineRule="auto"/>
              <w:ind w:left="0" w:leftChars="0" w:right="0" w:rightChars="0"/>
              <w:jc w:val="center"/>
              <w:textAlignment w:val="center"/>
              <w:rPr>
                <w:rFonts w:hint="eastAsia" w:ascii="仿宋" w:hAnsi="仿宋" w:eastAsia="仿宋" w:cs="仿宋"/>
                <w:b/>
                <w:bCs w:val="0"/>
                <w:i w:val="0"/>
                <w:caps w:val="0"/>
                <w:color w:val="auto"/>
                <w:spacing w:val="0"/>
                <w:sz w:val="24"/>
                <w:szCs w:val="24"/>
                <w:highlight w:val="none"/>
              </w:rPr>
            </w:pPr>
            <w:r>
              <w:rPr>
                <w:rFonts w:hint="eastAsia" w:ascii="仿宋" w:hAnsi="仿宋" w:eastAsia="仿宋" w:cs="仿宋"/>
                <w:b/>
                <w:i w:val="0"/>
                <w:caps w:val="0"/>
                <w:color w:val="auto"/>
                <w:spacing w:val="0"/>
                <w:kern w:val="0"/>
                <w:sz w:val="24"/>
                <w:szCs w:val="24"/>
                <w:highlight w:val="none"/>
                <w:lang w:val="en-US" w:eastAsia="zh-CN" w:bidi="ar"/>
              </w:rPr>
              <w:t>合同履行期限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77" w:hRule="atLeast"/>
        </w:trPr>
        <w:tc>
          <w:tcPr>
            <w:tcW w:w="833" w:type="dxa"/>
            <w:tcBorders>
              <w:top w:val="single" w:color="333333" w:sz="6" w:space="0"/>
              <w:left w:val="single" w:color="333333" w:sz="6" w:space="0"/>
              <w:bottom w:val="single" w:color="333333" w:sz="6" w:space="0"/>
              <w:right w:val="single" w:color="333333" w:sz="6" w:space="0"/>
            </w:tcBorders>
            <w:shd w:val="clear" w:color="auto" w:fill="FFFFFF"/>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spacing w:beforeAutospacing="0" w:afterAutospacing="0" w:line="312" w:lineRule="auto"/>
              <w:ind w:left="0" w:right="0" w:firstLine="0"/>
              <w:jc w:val="center"/>
              <w:textAlignment w:val="center"/>
              <w:rPr>
                <w:rFonts w:hint="eastAsia" w:ascii="仿宋" w:hAnsi="仿宋" w:eastAsia="仿宋" w:cs="仿宋"/>
                <w:b w:val="0"/>
                <w:bCs/>
                <w:i w:val="0"/>
                <w:caps w:val="0"/>
                <w:color w:val="auto"/>
                <w:spacing w:val="0"/>
                <w:sz w:val="24"/>
                <w:szCs w:val="24"/>
                <w:highlight w:val="none"/>
              </w:rPr>
            </w:pPr>
            <w:r>
              <w:rPr>
                <w:rFonts w:hint="eastAsia" w:ascii="仿宋" w:hAnsi="仿宋" w:eastAsia="仿宋" w:cs="仿宋"/>
                <w:b w:val="0"/>
                <w:bCs/>
                <w:i w:val="0"/>
                <w:caps w:val="0"/>
                <w:color w:val="auto"/>
                <w:spacing w:val="0"/>
                <w:kern w:val="0"/>
                <w:sz w:val="24"/>
                <w:szCs w:val="24"/>
                <w:highlight w:val="none"/>
                <w:lang w:val="en-US" w:eastAsia="zh-CN" w:bidi="ar"/>
              </w:rPr>
              <w:t>1</w:t>
            </w:r>
          </w:p>
        </w:tc>
        <w:tc>
          <w:tcPr>
            <w:tcW w:w="2466" w:type="dxa"/>
            <w:tcBorders>
              <w:top w:val="single" w:color="333333" w:sz="6" w:space="0"/>
              <w:left w:val="single" w:color="333333" w:sz="6" w:space="0"/>
              <w:bottom w:val="single" w:color="333333" w:sz="6" w:space="0"/>
              <w:right w:val="single" w:color="333333" w:sz="6" w:space="0"/>
            </w:tcBorders>
            <w:shd w:val="clear" w:color="auto" w:fill="FFFFFF"/>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spacing w:beforeAutospacing="0" w:afterAutospacing="0" w:line="312" w:lineRule="auto"/>
              <w:ind w:left="0" w:leftChars="0" w:right="0" w:rightChars="0"/>
              <w:jc w:val="center"/>
              <w:textAlignment w:val="center"/>
              <w:rPr>
                <w:rFonts w:hint="eastAsia" w:ascii="仿宋" w:hAnsi="仿宋" w:eastAsia="仿宋" w:cs="仿宋"/>
                <w:b w:val="0"/>
                <w:bCs/>
                <w:i w:val="0"/>
                <w:caps w:val="0"/>
                <w:color w:val="auto"/>
                <w:spacing w:val="0"/>
                <w:sz w:val="24"/>
                <w:szCs w:val="24"/>
                <w:highlight w:val="none"/>
              </w:rPr>
            </w:pPr>
            <w:r>
              <w:rPr>
                <w:rFonts w:hint="eastAsia" w:ascii="仿宋" w:hAnsi="仿宋" w:eastAsia="仿宋" w:cs="仿宋"/>
                <w:i w:val="0"/>
                <w:caps w:val="0"/>
                <w:color w:val="auto"/>
                <w:spacing w:val="0"/>
                <w:sz w:val="24"/>
                <w:szCs w:val="24"/>
                <w:highlight w:val="none"/>
                <w:shd w:val="clear" w:color="auto" w:fill="FFFFFF"/>
                <w:lang w:eastAsia="zh-CN"/>
              </w:rPr>
              <w:t>铜川市妇幼保健院脱贫地区儿童营养改善项目</w:t>
            </w:r>
          </w:p>
        </w:tc>
        <w:tc>
          <w:tcPr>
            <w:tcW w:w="1790" w:type="dxa"/>
            <w:tcBorders>
              <w:top w:val="single" w:color="333333" w:sz="6" w:space="0"/>
              <w:left w:val="single" w:color="333333" w:sz="6" w:space="0"/>
              <w:bottom w:val="single" w:color="333333" w:sz="6" w:space="0"/>
              <w:right w:val="single" w:color="auto" w:sz="4" w:space="0"/>
            </w:tcBorders>
            <w:shd w:val="clear" w:color="auto" w:fill="FFFFFF"/>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spacing w:beforeAutospacing="0" w:afterAutospacing="0" w:line="312" w:lineRule="auto"/>
              <w:ind w:left="0" w:leftChars="0" w:right="0" w:rightChars="0"/>
              <w:jc w:val="center"/>
              <w:textAlignment w:val="center"/>
              <w:rPr>
                <w:rFonts w:hint="eastAsia" w:ascii="仿宋" w:hAnsi="仿宋" w:eastAsia="仿宋" w:cs="仿宋"/>
                <w:b w:val="0"/>
                <w:bCs/>
                <w:i w:val="0"/>
                <w:caps w:val="0"/>
                <w:color w:val="auto"/>
                <w:spacing w:val="0"/>
                <w:sz w:val="24"/>
                <w:szCs w:val="24"/>
                <w:highlight w:val="none"/>
              </w:rPr>
            </w:pPr>
            <w:r>
              <w:rPr>
                <w:rFonts w:hint="eastAsia" w:ascii="仿宋" w:hAnsi="仿宋" w:eastAsia="仿宋" w:cs="仿宋"/>
                <w:i w:val="0"/>
                <w:caps w:val="0"/>
                <w:color w:val="auto"/>
                <w:spacing w:val="0"/>
                <w:kern w:val="0"/>
                <w:sz w:val="24"/>
                <w:szCs w:val="24"/>
                <w:highlight w:val="none"/>
                <w:lang w:val="en-US" w:eastAsia="zh-CN" w:bidi="ar"/>
              </w:rPr>
              <w:t>详见采购文件</w:t>
            </w:r>
          </w:p>
        </w:tc>
        <w:tc>
          <w:tcPr>
            <w:tcW w:w="1427" w:type="dxa"/>
            <w:tcBorders>
              <w:top w:val="single" w:color="auto" w:sz="4" w:space="0"/>
              <w:left w:val="single" w:color="auto" w:sz="4" w:space="0"/>
              <w:bottom w:val="single" w:color="auto" w:sz="4" w:space="0"/>
              <w:right w:val="single" w:color="auto" w:sz="4" w:space="0"/>
            </w:tcBorders>
            <w:shd w:val="clear" w:color="auto" w:fill="FFFFFF"/>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spacing w:beforeAutospacing="0" w:afterAutospacing="0" w:line="312" w:lineRule="auto"/>
              <w:ind w:left="0" w:leftChars="0" w:right="0" w:rightChars="0"/>
              <w:jc w:val="center"/>
              <w:textAlignment w:val="center"/>
              <w:rPr>
                <w:rFonts w:hint="eastAsia" w:ascii="仿宋" w:hAnsi="仿宋" w:eastAsia="仿宋" w:cs="仿宋"/>
                <w:i w:val="0"/>
                <w:caps w:val="0"/>
                <w:color w:val="auto"/>
                <w:spacing w:val="0"/>
                <w:kern w:val="0"/>
                <w:sz w:val="24"/>
                <w:szCs w:val="24"/>
                <w:highlight w:val="none"/>
                <w:lang w:val="en-US" w:eastAsia="zh-CN" w:bidi="ar"/>
              </w:rPr>
            </w:pPr>
            <w:r>
              <w:rPr>
                <w:rFonts w:hint="eastAsia" w:ascii="仿宋" w:hAnsi="仿宋" w:eastAsia="仿宋" w:cs="仿宋"/>
                <w:i w:val="0"/>
                <w:caps w:val="0"/>
                <w:color w:val="auto"/>
                <w:spacing w:val="0"/>
                <w:kern w:val="0"/>
                <w:sz w:val="24"/>
                <w:szCs w:val="24"/>
                <w:highlight w:val="none"/>
                <w:lang w:val="en-US" w:eastAsia="zh-CN" w:bidi="ar"/>
              </w:rPr>
              <w:t>533400.00</w:t>
            </w:r>
          </w:p>
        </w:tc>
        <w:tc>
          <w:tcPr>
            <w:tcW w:w="1562" w:type="dxa"/>
            <w:tcBorders>
              <w:top w:val="single" w:color="auto" w:sz="4" w:space="0"/>
              <w:left w:val="single" w:color="auto" w:sz="4" w:space="0"/>
              <w:bottom w:val="single" w:color="auto" w:sz="4" w:space="0"/>
              <w:right w:val="single" w:color="auto" w:sz="4" w:space="0"/>
            </w:tcBorders>
            <w:shd w:val="clear" w:color="auto" w:fill="FFFFFF"/>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spacing w:beforeAutospacing="0" w:afterAutospacing="0" w:line="312" w:lineRule="auto"/>
              <w:ind w:left="0" w:leftChars="0" w:right="0" w:rightChars="0"/>
              <w:jc w:val="center"/>
              <w:textAlignment w:val="center"/>
              <w:rPr>
                <w:rFonts w:hint="eastAsia" w:ascii="仿宋" w:hAnsi="仿宋" w:eastAsia="仿宋" w:cs="仿宋"/>
                <w:b w:val="0"/>
                <w:bCs/>
                <w:i w:val="0"/>
                <w:caps w:val="0"/>
                <w:color w:val="auto"/>
                <w:spacing w:val="0"/>
                <w:sz w:val="24"/>
                <w:szCs w:val="24"/>
                <w:highlight w:val="none"/>
              </w:rPr>
            </w:pPr>
            <w:r>
              <w:rPr>
                <w:rFonts w:hint="eastAsia" w:ascii="仿宋" w:hAnsi="仿宋" w:eastAsia="仿宋" w:cs="仿宋"/>
                <w:i w:val="0"/>
                <w:caps w:val="0"/>
                <w:color w:val="auto"/>
                <w:spacing w:val="0"/>
                <w:kern w:val="0"/>
                <w:sz w:val="24"/>
                <w:szCs w:val="24"/>
                <w:highlight w:val="none"/>
                <w:lang w:val="en-US" w:eastAsia="zh-CN" w:bidi="ar"/>
              </w:rPr>
              <w:t>否</w:t>
            </w:r>
          </w:p>
        </w:tc>
        <w:tc>
          <w:tcPr>
            <w:tcW w:w="2239" w:type="dxa"/>
            <w:tcBorders>
              <w:top w:val="single" w:color="auto" w:sz="4" w:space="0"/>
              <w:left w:val="single" w:color="auto" w:sz="4" w:space="0"/>
              <w:bottom w:val="single" w:color="auto" w:sz="4" w:space="0"/>
              <w:right w:val="single" w:color="auto" w:sz="4" w:space="0"/>
            </w:tcBorders>
            <w:shd w:val="clear" w:color="auto" w:fill="FFFFFF"/>
            <w:noWrap w:val="0"/>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spacing w:beforeAutospacing="0" w:afterAutospacing="0" w:line="312" w:lineRule="auto"/>
              <w:ind w:left="0" w:leftChars="0" w:right="0" w:rightChars="0"/>
              <w:jc w:val="center"/>
              <w:textAlignment w:val="center"/>
              <w:rPr>
                <w:rFonts w:hint="eastAsia" w:ascii="仿宋" w:hAnsi="仿宋" w:eastAsia="仿宋" w:cs="仿宋"/>
                <w:b w:val="0"/>
                <w:bCs/>
                <w:i w:val="0"/>
                <w:caps w:val="0"/>
                <w:color w:val="auto"/>
                <w:spacing w:val="0"/>
                <w:sz w:val="24"/>
                <w:szCs w:val="24"/>
                <w:highlight w:val="none"/>
              </w:rPr>
            </w:pPr>
            <w:r>
              <w:rPr>
                <w:rFonts w:hint="eastAsia" w:ascii="仿宋" w:hAnsi="仿宋" w:eastAsia="仿宋" w:cs="仿宋"/>
                <w:i w:val="0"/>
                <w:caps w:val="0"/>
                <w:color w:val="auto"/>
                <w:spacing w:val="0"/>
                <w:kern w:val="0"/>
                <w:sz w:val="24"/>
                <w:szCs w:val="24"/>
                <w:highlight w:val="none"/>
                <w:lang w:val="en-US" w:eastAsia="zh-CN" w:bidi="ar"/>
              </w:rPr>
              <w:t>2022年12月20日至2022年12月30日（具体服务起止日期可随合同签订时间相应顺延）</w:t>
            </w:r>
          </w:p>
        </w:tc>
      </w:tr>
    </w:tbl>
    <w:p>
      <w:pPr>
        <w:pStyle w:val="11"/>
        <w:pageBreakBefore w:val="0"/>
        <w:kinsoku/>
        <w:overflowPunct/>
        <w:topLinePunct w:val="0"/>
        <w:autoSpaceDE/>
        <w:autoSpaceDN/>
        <w:bidi w:val="0"/>
        <w:spacing w:afterAutospacing="0" w:line="312" w:lineRule="auto"/>
        <w:ind w:left="0" w:leftChars="0" w:firstLine="0" w:firstLineChars="0"/>
        <w:rPr>
          <w:rFonts w:hint="eastAsia" w:ascii="仿宋" w:hAnsi="仿宋" w:eastAsia="仿宋" w:cs="仿宋"/>
          <w:sz w:val="24"/>
          <w:szCs w:val="24"/>
          <w:highlight w:val="none"/>
          <w:lang w:eastAsia="zh-CN"/>
        </w:rPr>
      </w:pPr>
    </w:p>
    <w:p>
      <w:pPr>
        <w:pStyle w:val="9"/>
        <w:pageBreakBefore w:val="0"/>
        <w:numPr>
          <w:ilvl w:val="0"/>
          <w:numId w:val="3"/>
        </w:numPr>
        <w:kinsoku/>
        <w:overflowPunct/>
        <w:topLinePunct w:val="0"/>
        <w:autoSpaceDE/>
        <w:autoSpaceDN/>
        <w:bidi w:val="0"/>
        <w:spacing w:before="0" w:beforeLines="0" w:after="0" w:afterLines="0" w:afterAutospacing="0" w:line="312" w:lineRule="auto"/>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申请人的资格要求</w:t>
      </w:r>
    </w:p>
    <w:p>
      <w:pPr>
        <w:pStyle w:val="9"/>
        <w:keepNext/>
        <w:keepLines/>
        <w:pageBreakBefore w:val="0"/>
        <w:widowControl w:val="0"/>
        <w:numPr>
          <w:ilvl w:val="0"/>
          <w:numId w:val="4"/>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23" w:leftChars="0" w:firstLine="381" w:firstLineChars="158"/>
        <w:textAlignment w:val="auto"/>
        <w:rPr>
          <w:rFonts w:hint="eastAsia" w:ascii="仿宋" w:hAnsi="仿宋" w:eastAsia="仿宋" w:cs="仿宋"/>
          <w:b/>
          <w:bCs/>
          <w:i w:val="0"/>
          <w:caps w:val="0"/>
          <w:color w:val="auto"/>
          <w:spacing w:val="0"/>
          <w:sz w:val="24"/>
          <w:szCs w:val="24"/>
          <w:highlight w:val="none"/>
          <w:shd w:val="clear" w:color="auto" w:fill="FFFFFF"/>
          <w:vertAlign w:val="baseline"/>
          <w:lang w:val="en-US" w:eastAsia="zh-CN"/>
        </w:rPr>
      </w:pPr>
      <w:r>
        <w:rPr>
          <w:rFonts w:hint="eastAsia" w:ascii="仿宋" w:hAnsi="仿宋" w:eastAsia="仿宋" w:cs="仿宋"/>
          <w:b/>
          <w:bCs/>
          <w:i w:val="0"/>
          <w:caps w:val="0"/>
          <w:color w:val="auto"/>
          <w:spacing w:val="0"/>
          <w:sz w:val="24"/>
          <w:szCs w:val="24"/>
          <w:highlight w:val="none"/>
          <w:shd w:val="clear" w:color="auto" w:fill="FFFFFF"/>
          <w:vertAlign w:val="baseline"/>
        </w:rPr>
        <w:t>满足《</w:t>
      </w:r>
      <w:r>
        <w:rPr>
          <w:rFonts w:hint="eastAsia" w:ascii="仿宋" w:hAnsi="仿宋" w:eastAsia="仿宋" w:cs="仿宋"/>
          <w:b/>
          <w:bCs/>
          <w:i w:val="0"/>
          <w:caps w:val="0"/>
          <w:color w:val="auto"/>
          <w:spacing w:val="0"/>
          <w:sz w:val="24"/>
          <w:szCs w:val="24"/>
          <w:highlight w:val="none"/>
          <w:shd w:val="clear" w:color="auto" w:fill="FFFFFF"/>
          <w:vertAlign w:val="baseline"/>
          <w:lang w:eastAsia="zh-CN"/>
        </w:rPr>
        <w:t>中华人民共和国政府采购法</w:t>
      </w:r>
      <w:r>
        <w:rPr>
          <w:rFonts w:hint="eastAsia" w:ascii="仿宋" w:hAnsi="仿宋" w:eastAsia="仿宋" w:cs="仿宋"/>
          <w:b/>
          <w:bCs/>
          <w:i w:val="0"/>
          <w:caps w:val="0"/>
          <w:color w:val="auto"/>
          <w:spacing w:val="0"/>
          <w:sz w:val="24"/>
          <w:szCs w:val="24"/>
          <w:highlight w:val="none"/>
          <w:shd w:val="clear" w:color="auto" w:fill="FFFFFF"/>
          <w:vertAlign w:val="baseline"/>
        </w:rPr>
        <w:t>》第二十二条规定;</w:t>
      </w:r>
    </w:p>
    <w:p>
      <w:pPr>
        <w:pStyle w:val="9"/>
        <w:keepNext/>
        <w:keepLines/>
        <w:pageBreakBefore w:val="0"/>
        <w:widowControl w:val="0"/>
        <w:numPr>
          <w:ilvl w:val="0"/>
          <w:numId w:val="4"/>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23" w:leftChars="0" w:firstLine="381" w:firstLineChars="158"/>
        <w:textAlignment w:val="auto"/>
        <w:rPr>
          <w:rFonts w:hint="eastAsia" w:ascii="仿宋" w:hAnsi="仿宋" w:eastAsia="仿宋" w:cs="仿宋"/>
          <w:b/>
          <w:bCs/>
          <w:i w:val="0"/>
          <w:caps w:val="0"/>
          <w:color w:val="auto"/>
          <w:spacing w:val="0"/>
          <w:sz w:val="24"/>
          <w:szCs w:val="24"/>
          <w:highlight w:val="none"/>
          <w:shd w:val="clear" w:color="auto" w:fill="FFFFFF"/>
          <w:vertAlign w:val="baseline"/>
          <w:lang w:val="en-US" w:eastAsia="zh-CN"/>
        </w:rPr>
      </w:pPr>
      <w:r>
        <w:rPr>
          <w:rFonts w:hint="eastAsia" w:ascii="仿宋" w:hAnsi="仿宋" w:eastAsia="仿宋" w:cs="仿宋"/>
          <w:b/>
          <w:bCs/>
          <w:i w:val="0"/>
          <w:caps w:val="0"/>
          <w:color w:val="auto"/>
          <w:spacing w:val="0"/>
          <w:sz w:val="24"/>
          <w:szCs w:val="24"/>
          <w:highlight w:val="none"/>
          <w:shd w:val="clear" w:color="auto" w:fill="FFFFFF"/>
          <w:vertAlign w:val="baseline"/>
          <w:lang w:val="en-US" w:eastAsia="zh-CN"/>
        </w:rPr>
        <w:t>落实政府采购政策需满足的资格要求：</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《节能产品政府采购实施意见》（财库[2004]185号）；</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《环境标志产品政府采购实施的意见》（财库[2006]90号）；</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《国务院办公厅关于建立政府强制采购节能产品制度的通知》（国办发〔2007〕51号）；</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《财政部司法部关于政府采购支持监狱企业发展有关问题的通知》（财库〔2014〕68号）；</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《财政部民政部中国残疾人联合会关于促进残疾人就业政府采购政策的通知》（财库〔2017〕141号）；</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陕西省财政厅关于印发《陕西省中小企业政府采购信用融资办法》（陕财办采〔2018〕23号）；</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《财政部发展改革委生态环境部市场监管总局关于调整优化节能产品、环境标志产品政府采购执行机制的通知》（财库〔2019〕9号）；</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《关于印发环境标志产品政府采购品目清单的通知》（财库〔2019〕18号）；</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《关于印发节能产品政府采购品目清单的通知》（财库〔2019〕19号）；</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《陕西省财政厅关于加快推进我省中小企业政府采购信用融资工作的通知》（陕财办采〔2020〕15号）；</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《政府采购促进中小企业发展管理办法》（财库〔2020〕46号）；</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《财政部农业农村部国家乡村振兴局关于运用政府采购政策支持乡村产业振兴的通知》（财库〔2021〕19号）；</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《关于进一步加大政府采购支持中小企业力度的通知》（财库〔2022〕19号）；</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《陕西省财政厅关于进一步加大政府采购支持中小企业力度的通知》（陕财办采〔2022〕5号）；</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《陕西省财政厅关于落实政府采购支持中小企业政策有关事项的通知》（陕财办采函〔2022〕10号）；</w:t>
      </w:r>
    </w:p>
    <w:p>
      <w:pPr>
        <w:pStyle w:val="9"/>
        <w:keepNext/>
        <w:keepLines/>
        <w:pageBreakBefore w:val="0"/>
        <w:widowControl w:val="0"/>
        <w:numPr>
          <w:ilvl w:val="0"/>
          <w:numId w:val="5"/>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397" w:leftChars="0" w:firstLine="379" w:firstLineChars="158"/>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如有最新颁布的政府采购政策，按最新的文件执行。</w:t>
      </w:r>
    </w:p>
    <w:p>
      <w:pPr>
        <w:pStyle w:val="9"/>
        <w:keepNext/>
        <w:keepLines/>
        <w:pageBreakBefore w:val="0"/>
        <w:widowControl w:val="0"/>
        <w:numPr>
          <w:ilvl w:val="0"/>
          <w:numId w:val="0"/>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Chars="158" w:firstLine="480" w:firstLineChars="200"/>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本项目专门面向中小企业采购。</w:t>
      </w:r>
    </w:p>
    <w:p>
      <w:pPr>
        <w:pStyle w:val="9"/>
        <w:keepNext/>
        <w:keepLines/>
        <w:pageBreakBefore w:val="0"/>
        <w:widowControl w:val="0"/>
        <w:numPr>
          <w:ilvl w:val="0"/>
          <w:numId w:val="4"/>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23" w:leftChars="0" w:firstLine="381" w:firstLineChars="158"/>
        <w:textAlignment w:val="auto"/>
        <w:rPr>
          <w:rFonts w:hint="eastAsia" w:ascii="仿宋" w:hAnsi="仿宋" w:eastAsia="仿宋" w:cs="仿宋"/>
          <w:b/>
          <w:bCs/>
          <w:i w:val="0"/>
          <w:caps w:val="0"/>
          <w:color w:val="auto"/>
          <w:spacing w:val="0"/>
          <w:sz w:val="24"/>
          <w:szCs w:val="24"/>
          <w:highlight w:val="none"/>
          <w:shd w:val="clear" w:color="auto" w:fill="FFFFFF"/>
          <w:vertAlign w:val="baseline"/>
          <w:lang w:val="en-US" w:eastAsia="zh-CN"/>
        </w:rPr>
      </w:pPr>
      <w:r>
        <w:rPr>
          <w:rFonts w:hint="eastAsia" w:ascii="仿宋" w:hAnsi="仿宋" w:eastAsia="仿宋" w:cs="仿宋"/>
          <w:b/>
          <w:bCs/>
          <w:i w:val="0"/>
          <w:caps w:val="0"/>
          <w:color w:val="auto"/>
          <w:spacing w:val="0"/>
          <w:sz w:val="24"/>
          <w:szCs w:val="24"/>
          <w:highlight w:val="none"/>
          <w:shd w:val="clear" w:color="auto" w:fill="FFFFFF"/>
          <w:vertAlign w:val="baseline"/>
          <w:lang w:val="en-US" w:eastAsia="zh-CN"/>
        </w:rPr>
        <w:t>本项目的特定资格要求：</w:t>
      </w:r>
    </w:p>
    <w:p>
      <w:pPr>
        <w:pStyle w:val="9"/>
        <w:keepNext/>
        <w:keepLines/>
        <w:pageBreakBefore w:val="0"/>
        <w:widowControl w:val="0"/>
        <w:numPr>
          <w:ilvl w:val="0"/>
          <w:numId w:val="6"/>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428" w:leftChars="0" w:firstLine="372" w:firstLineChars="0"/>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pStyle w:val="9"/>
        <w:keepNext/>
        <w:keepLines/>
        <w:pageBreakBefore w:val="0"/>
        <w:widowControl w:val="0"/>
        <w:numPr>
          <w:ilvl w:val="0"/>
          <w:numId w:val="6"/>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428" w:leftChars="0" w:firstLine="372" w:firstLineChars="0"/>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《法定代表人/事业法人授权书》附法定代表人/事业法人身份证及被授权人身份证复印件并加盖公章；法定代表人/事业法人直接参加的则须提交《法定代表人/事业法人证明书》和身份证复印件并加盖公章；</w:t>
      </w:r>
    </w:p>
    <w:p>
      <w:pPr>
        <w:pStyle w:val="9"/>
        <w:keepNext/>
        <w:keepLines/>
        <w:pageBreakBefore w:val="0"/>
        <w:widowControl w:val="0"/>
        <w:numPr>
          <w:ilvl w:val="0"/>
          <w:numId w:val="6"/>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428" w:leftChars="0" w:firstLine="372" w:firstLineChars="0"/>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供应商具备市场监管部门颁发的营养包相关食品生产许可证，副本（或副页）中载明辅食营养补充品（或辅食营养素补充食品）生产明细，且在有效期内；</w:t>
      </w:r>
    </w:p>
    <w:p>
      <w:pPr>
        <w:pStyle w:val="9"/>
        <w:keepNext/>
        <w:keepLines/>
        <w:pageBreakBefore w:val="0"/>
        <w:widowControl w:val="0"/>
        <w:numPr>
          <w:ilvl w:val="0"/>
          <w:numId w:val="6"/>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428" w:leftChars="0" w:firstLine="372" w:firstLineChars="0"/>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供应商具备食品安全管理体系（ISO22000或GB/T22000或HACCP）和质量管理体系（ISO9001或GB/T19001）认证；</w:t>
      </w:r>
    </w:p>
    <w:p>
      <w:pPr>
        <w:pStyle w:val="9"/>
        <w:keepNext/>
        <w:keepLines/>
        <w:pageBreakBefore w:val="0"/>
        <w:widowControl w:val="0"/>
        <w:numPr>
          <w:ilvl w:val="0"/>
          <w:numId w:val="6"/>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428" w:leftChars="0" w:firstLine="372" w:firstLineChars="0"/>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供应商在投标截止日前一年内，在同类营养包项目供货过程中因存在食品安全问题导致产品一级召回或二级召回的不得参与本次投标。供应商需提供1年内在同类营养包项目供货过程中没有因食品安全问题导致产品一级召回或二级召回的书面声明；</w:t>
      </w:r>
    </w:p>
    <w:p>
      <w:pPr>
        <w:pStyle w:val="9"/>
        <w:keepNext/>
        <w:keepLines/>
        <w:pageBreakBefore w:val="0"/>
        <w:widowControl w:val="0"/>
        <w:numPr>
          <w:ilvl w:val="0"/>
          <w:numId w:val="6"/>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428" w:leftChars="0" w:firstLine="372" w:firstLineChars="0"/>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财务状况报告：须提供近3年任意一年度的财务报表或具有财务审计资质的单位出具的财务报告（至少包括资产负债表和利润表，成立时间至提交竞争性磋商响应文件截止时间不足一年的可提供成立后任意时段的资产负债表），或银行出具的资信证明；</w:t>
      </w:r>
    </w:p>
    <w:p>
      <w:pPr>
        <w:pStyle w:val="9"/>
        <w:keepNext/>
        <w:keepLines/>
        <w:pageBreakBefore w:val="0"/>
        <w:widowControl w:val="0"/>
        <w:numPr>
          <w:ilvl w:val="0"/>
          <w:numId w:val="6"/>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428" w:leftChars="0" w:firstLine="372" w:firstLineChars="0"/>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税收缴纳证明：提供响应文件截止时间前1年内任意1个月的纳税证明或完税证明，依法免税的供应商应提供相关文件证明；</w:t>
      </w:r>
    </w:p>
    <w:p>
      <w:pPr>
        <w:pStyle w:val="9"/>
        <w:keepNext/>
        <w:keepLines/>
        <w:pageBreakBefore w:val="0"/>
        <w:widowControl w:val="0"/>
        <w:numPr>
          <w:ilvl w:val="0"/>
          <w:numId w:val="6"/>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428" w:leftChars="0" w:firstLine="372" w:firstLineChars="0"/>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社会保障资金缴纳证明：提供响应文件截止时间前1年内任意1个月的有效社会保障资金缴纳证明。依法不需要缴纳社会保障资金的供应商应提供相关文件证明；</w:t>
      </w:r>
    </w:p>
    <w:p>
      <w:pPr>
        <w:pStyle w:val="9"/>
        <w:keepNext/>
        <w:keepLines/>
        <w:pageBreakBefore w:val="0"/>
        <w:widowControl w:val="0"/>
        <w:numPr>
          <w:ilvl w:val="0"/>
          <w:numId w:val="6"/>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428" w:leftChars="0" w:firstLine="372" w:firstLineChars="0"/>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供应商需具备履行合同所必需的设备和专业技术能力，须提供书面承诺书；</w:t>
      </w:r>
    </w:p>
    <w:p>
      <w:pPr>
        <w:pStyle w:val="9"/>
        <w:keepNext/>
        <w:keepLines/>
        <w:pageBreakBefore w:val="0"/>
        <w:widowControl w:val="0"/>
        <w:numPr>
          <w:ilvl w:val="0"/>
          <w:numId w:val="6"/>
        </w:numPr>
        <w:tabs>
          <w:tab w:val="left" w:pos="840"/>
          <w:tab w:val="left" w:pos="1050"/>
          <w:tab w:val="left" w:pos="1260"/>
          <w:tab w:val="left" w:pos="1470"/>
        </w:tabs>
        <w:kinsoku/>
        <w:wordWrap/>
        <w:overflowPunct/>
        <w:topLinePunct w:val="0"/>
        <w:autoSpaceDE/>
        <w:autoSpaceDN/>
        <w:bidi w:val="0"/>
        <w:adjustRightInd w:val="0"/>
        <w:snapToGrid w:val="0"/>
        <w:spacing w:before="0" w:beforeLines="0" w:after="0" w:afterLines="0" w:afterAutospacing="0" w:line="312" w:lineRule="auto"/>
        <w:ind w:left="428" w:leftChars="0" w:firstLine="372" w:firstLineChars="0"/>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供应商参加采购活动近3年内经营活动中无重大违法记录声明；</w:t>
      </w:r>
    </w:p>
    <w:p>
      <w:pPr>
        <w:pStyle w:val="9"/>
        <w:keepNext/>
        <w:keepLines/>
        <w:pageBreakBefore w:val="0"/>
        <w:widowControl w:val="0"/>
        <w:numPr>
          <w:ilvl w:val="0"/>
          <w:numId w:val="6"/>
        </w:numPr>
        <w:tabs>
          <w:tab w:val="left" w:pos="1050"/>
          <w:tab w:val="left" w:pos="1260"/>
          <w:tab w:val="left" w:pos="1470"/>
        </w:tabs>
        <w:kinsoku/>
        <w:wordWrap/>
        <w:overflowPunct/>
        <w:topLinePunct w:val="0"/>
        <w:autoSpaceDE/>
        <w:autoSpaceDN/>
        <w:bidi w:val="0"/>
        <w:adjustRightInd w:val="0"/>
        <w:snapToGrid w:val="0"/>
        <w:spacing w:before="0" w:beforeLines="0" w:after="0" w:afterLines="0" w:afterAutospacing="0" w:line="312" w:lineRule="auto"/>
        <w:ind w:left="428" w:leftChars="0" w:firstLine="372" w:firstLineChars="0"/>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供应商信誉要求：“信用中国”网站（www.creditchina.gov.cn）和“中国政府采购网”（www.ccgp.gov.cn）为供应商信用信息查询渠道，如果供应商被查实在投标截止时间前已列入失信被执行人、重大税收违法案件当事人名单、政府采购严重违法失信行为记录名单中被财政部门禁止参加政府采购活动的供应商其投标为无效；（提供查询结果网页截图并加盖供应商公章）；</w:t>
      </w:r>
    </w:p>
    <w:p>
      <w:pPr>
        <w:pStyle w:val="9"/>
        <w:keepNext/>
        <w:keepLines/>
        <w:pageBreakBefore w:val="0"/>
        <w:widowControl w:val="0"/>
        <w:numPr>
          <w:ilvl w:val="0"/>
          <w:numId w:val="6"/>
        </w:numPr>
        <w:tabs>
          <w:tab w:val="left" w:pos="1050"/>
          <w:tab w:val="left" w:pos="1260"/>
          <w:tab w:val="left" w:pos="1470"/>
        </w:tabs>
        <w:kinsoku/>
        <w:wordWrap/>
        <w:overflowPunct/>
        <w:topLinePunct w:val="0"/>
        <w:autoSpaceDE/>
        <w:autoSpaceDN/>
        <w:bidi w:val="0"/>
        <w:adjustRightInd w:val="0"/>
        <w:snapToGrid w:val="0"/>
        <w:spacing w:before="0" w:beforeLines="0" w:after="0" w:afterLines="0" w:afterAutospacing="0" w:line="312" w:lineRule="auto"/>
        <w:ind w:left="428" w:leftChars="0" w:firstLine="372" w:firstLineChars="0"/>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单位负责人为同一人或者存在直接控股、管理关系的不同供应商，不得参加同一合同项下的政府采购活动。</w:t>
      </w:r>
    </w:p>
    <w:p>
      <w:pPr>
        <w:pStyle w:val="9"/>
        <w:keepNext/>
        <w:keepLines/>
        <w:pageBreakBefore w:val="0"/>
        <w:widowControl w:val="0"/>
        <w:numPr>
          <w:ilvl w:val="0"/>
          <w:numId w:val="0"/>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firstLine="720" w:firstLineChars="300"/>
        <w:textAlignment w:val="auto"/>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本项目不接受联合体投标。</w:t>
      </w:r>
    </w:p>
    <w:p>
      <w:pPr>
        <w:pStyle w:val="9"/>
        <w:pageBreakBefore w:val="0"/>
        <w:numPr>
          <w:ilvl w:val="0"/>
          <w:numId w:val="3"/>
        </w:numPr>
        <w:kinsoku/>
        <w:overflowPunct/>
        <w:topLinePunct w:val="0"/>
        <w:autoSpaceDE/>
        <w:autoSpaceDN/>
        <w:bidi w:val="0"/>
        <w:spacing w:before="0" w:beforeLines="0" w:after="0" w:afterLines="0" w:afterAutospacing="0" w:line="312" w:lineRule="auto"/>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获取磋商文件</w:t>
      </w:r>
    </w:p>
    <w:p>
      <w:pPr>
        <w:pStyle w:val="9"/>
        <w:keepNext/>
        <w:keepLines/>
        <w:pageBreakBefore w:val="0"/>
        <w:widowControl w:val="0"/>
        <w:numPr>
          <w:ilvl w:val="0"/>
          <w:numId w:val="0"/>
        </w:numPr>
        <w:tabs>
          <w:tab w:val="left" w:pos="21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231" w:leftChars="110" w:firstLine="324" w:firstLineChars="135"/>
        <w:textAlignment w:val="auto"/>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时</w:t>
      </w:r>
      <w:r>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t>间：2022年11月28日至2022年12月5日，每天上午09:00:00至12:00:00，下午14:00:00至17:00:00（北京时间,法定节假日除外）；</w:t>
      </w:r>
    </w:p>
    <w:p>
      <w:pPr>
        <w:pStyle w:val="9"/>
        <w:keepNext/>
        <w:keepLines/>
        <w:pageBreakBefore w:val="0"/>
        <w:widowControl w:val="0"/>
        <w:numPr>
          <w:ilvl w:val="0"/>
          <w:numId w:val="0"/>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Chars="158" w:firstLine="240" w:firstLineChars="100"/>
        <w:textAlignment w:val="auto"/>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pPr>
      <w:r>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t>地点：陕西省铜川市新区金谟西路40号；</w:t>
      </w:r>
    </w:p>
    <w:p>
      <w:pPr>
        <w:pStyle w:val="9"/>
        <w:keepNext/>
        <w:keepLines/>
        <w:pageBreakBefore w:val="0"/>
        <w:widowControl w:val="0"/>
        <w:numPr>
          <w:ilvl w:val="0"/>
          <w:numId w:val="0"/>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Chars="158" w:firstLine="240" w:firstLineChars="100"/>
        <w:textAlignment w:val="auto"/>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pPr>
      <w:r>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t>方式：现场获取；</w:t>
      </w:r>
    </w:p>
    <w:p>
      <w:pPr>
        <w:pStyle w:val="9"/>
        <w:keepNext/>
        <w:keepLines/>
        <w:pageBreakBefore w:val="0"/>
        <w:widowControl w:val="0"/>
        <w:numPr>
          <w:ilvl w:val="0"/>
          <w:numId w:val="0"/>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Chars="158" w:firstLine="240" w:firstLineChars="100"/>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t>售价：免</w:t>
      </w:r>
      <w:r>
        <w:rPr>
          <w:rFonts w:hint="eastAsia" w:ascii="仿宋" w:hAnsi="仿宋" w:eastAsia="仿宋" w:cs="仿宋"/>
          <w:b w:val="0"/>
          <w:bCs/>
          <w:color w:val="auto"/>
          <w:sz w:val="24"/>
          <w:szCs w:val="24"/>
          <w:highlight w:val="none"/>
          <w:lang w:eastAsia="zh-CN"/>
        </w:rPr>
        <w:t>费赠送。</w:t>
      </w:r>
    </w:p>
    <w:p>
      <w:pPr>
        <w:pStyle w:val="9"/>
        <w:pageBreakBefore w:val="0"/>
        <w:numPr>
          <w:ilvl w:val="0"/>
          <w:numId w:val="3"/>
        </w:numPr>
        <w:kinsoku/>
        <w:overflowPunct/>
        <w:topLinePunct w:val="0"/>
        <w:autoSpaceDE/>
        <w:autoSpaceDN/>
        <w:bidi w:val="0"/>
        <w:spacing w:before="0" w:beforeLines="0" w:after="0" w:afterLines="0" w:afterAutospacing="0" w:line="312" w:lineRule="auto"/>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响应文件提交</w:t>
      </w:r>
    </w:p>
    <w:p>
      <w:pPr>
        <w:pStyle w:val="9"/>
        <w:keepNext/>
        <w:keepLines/>
        <w:pageBreakBefore w:val="0"/>
        <w:widowControl w:val="0"/>
        <w:numPr>
          <w:ilvl w:val="0"/>
          <w:numId w:val="0"/>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firstLine="480" w:firstLineChars="200"/>
        <w:textAlignment w:val="auto"/>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截止时间：</w:t>
      </w:r>
      <w:r>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t>2022年12月14日14时30分00秒（北京时间）；</w:t>
      </w:r>
    </w:p>
    <w:p>
      <w:pPr>
        <w:pStyle w:val="9"/>
        <w:keepNext/>
        <w:keepLines/>
        <w:pageBreakBefore w:val="0"/>
        <w:widowControl w:val="0"/>
        <w:numPr>
          <w:ilvl w:val="0"/>
          <w:numId w:val="0"/>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firstLine="480" w:firstLineChars="200"/>
        <w:textAlignment w:val="auto"/>
        <w:rPr>
          <w:rFonts w:hint="eastAsia" w:ascii="仿宋" w:hAnsi="仿宋" w:eastAsia="仿宋" w:cs="仿宋"/>
          <w:b w:val="0"/>
          <w:bCs/>
          <w:i w:val="0"/>
          <w:caps w:val="0"/>
          <w:color w:val="auto"/>
          <w:spacing w:val="0"/>
          <w:sz w:val="24"/>
          <w:szCs w:val="24"/>
          <w:highlight w:val="none"/>
          <w:shd w:val="clear" w:color="auto" w:fill="FFFFFF"/>
          <w:vertAlign w:val="baseline"/>
          <w:lang w:val="en-US" w:eastAsia="zh-CN"/>
        </w:rPr>
      </w:pPr>
      <w:r>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t>地点：铜川</w:t>
      </w:r>
      <w:r>
        <w:rPr>
          <w:rFonts w:hint="eastAsia" w:ascii="仿宋" w:hAnsi="仿宋" w:eastAsia="仿宋" w:cs="仿宋"/>
          <w:b w:val="0"/>
          <w:bCs/>
          <w:i w:val="0"/>
          <w:caps w:val="0"/>
          <w:color w:val="auto"/>
          <w:spacing w:val="0"/>
          <w:sz w:val="24"/>
          <w:szCs w:val="24"/>
          <w:highlight w:val="none"/>
          <w:shd w:val="clear" w:color="auto" w:fill="FFFFFF"/>
          <w:vertAlign w:val="baseline"/>
        </w:rPr>
        <w:t>市新区斯正街枫林湾酒店6楼会议室</w:t>
      </w:r>
      <w:r>
        <w:rPr>
          <w:rFonts w:hint="eastAsia" w:ascii="仿宋" w:hAnsi="仿宋" w:eastAsia="仿宋" w:cs="仿宋"/>
          <w:b w:val="0"/>
          <w:bCs/>
          <w:i w:val="0"/>
          <w:caps w:val="0"/>
          <w:color w:val="auto"/>
          <w:spacing w:val="0"/>
          <w:sz w:val="24"/>
          <w:szCs w:val="24"/>
          <w:highlight w:val="none"/>
          <w:shd w:val="clear" w:color="auto" w:fill="FFFFFF"/>
          <w:vertAlign w:val="baseline"/>
          <w:lang w:eastAsia="zh-CN"/>
        </w:rPr>
        <w:t>（如有变动，另行通知）</w:t>
      </w:r>
      <w:r>
        <w:rPr>
          <w:rFonts w:hint="eastAsia" w:ascii="仿宋" w:hAnsi="仿宋" w:eastAsia="仿宋" w:cs="仿宋"/>
          <w:b w:val="0"/>
          <w:bCs/>
          <w:i w:val="0"/>
          <w:caps w:val="0"/>
          <w:color w:val="auto"/>
          <w:spacing w:val="0"/>
          <w:sz w:val="24"/>
          <w:szCs w:val="24"/>
          <w:highlight w:val="none"/>
          <w:shd w:val="clear" w:color="auto" w:fill="FFFFFF"/>
          <w:vertAlign w:val="baseline"/>
        </w:rPr>
        <w:t>。</w:t>
      </w:r>
    </w:p>
    <w:p>
      <w:pPr>
        <w:pStyle w:val="9"/>
        <w:pageBreakBefore w:val="0"/>
        <w:numPr>
          <w:ilvl w:val="0"/>
          <w:numId w:val="3"/>
        </w:numPr>
        <w:kinsoku/>
        <w:overflowPunct/>
        <w:topLinePunct w:val="0"/>
        <w:autoSpaceDE/>
        <w:autoSpaceDN/>
        <w:bidi w:val="0"/>
        <w:spacing w:before="0" w:beforeLines="0" w:after="0" w:afterLines="0" w:afterAutospacing="0" w:line="312" w:lineRule="auto"/>
        <w:ind w:left="0" w:leftChars="0" w:firstLine="0" w:firstLineChars="0"/>
        <w:rPr>
          <w:rFonts w:hint="eastAsia" w:ascii="仿宋" w:hAnsi="仿宋" w:eastAsia="仿宋" w:cs="仿宋"/>
          <w:i w:val="0"/>
          <w:caps w:val="0"/>
          <w:color w:val="auto"/>
          <w:spacing w:val="0"/>
          <w:sz w:val="24"/>
          <w:szCs w:val="24"/>
          <w:highlight w:val="none"/>
          <w:shd w:val="clear" w:color="auto" w:fill="FFFFFF"/>
          <w:vertAlign w:val="baseline"/>
        </w:rPr>
      </w:pPr>
      <w:r>
        <w:rPr>
          <w:rFonts w:hint="eastAsia" w:ascii="仿宋" w:hAnsi="仿宋" w:eastAsia="仿宋" w:cs="仿宋"/>
          <w:color w:val="auto"/>
          <w:sz w:val="24"/>
          <w:szCs w:val="24"/>
          <w:highlight w:val="none"/>
          <w:lang w:val="en-US" w:eastAsia="zh-CN"/>
        </w:rPr>
        <w:t>公告期限</w:t>
      </w:r>
    </w:p>
    <w:p>
      <w:pPr>
        <w:pStyle w:val="9"/>
        <w:pageBreakBefore w:val="0"/>
        <w:numPr>
          <w:ilvl w:val="0"/>
          <w:numId w:val="0"/>
        </w:numPr>
        <w:kinsoku/>
        <w:overflowPunct/>
        <w:topLinePunct w:val="0"/>
        <w:autoSpaceDE/>
        <w:autoSpaceDN/>
        <w:bidi w:val="0"/>
        <w:spacing w:before="0" w:beforeLines="0" w:after="0" w:afterLines="0" w:afterAutospacing="0" w:line="312" w:lineRule="auto"/>
        <w:ind w:leftChars="0" w:firstLine="480" w:firstLineChars="200"/>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sz w:val="24"/>
          <w:szCs w:val="24"/>
          <w:highlight w:val="none"/>
        </w:rPr>
        <w:t>自本公告发布之日起</w:t>
      </w:r>
      <w:r>
        <w:rPr>
          <w:rFonts w:hint="eastAsia" w:ascii="仿宋" w:hAnsi="仿宋" w:eastAsia="仿宋" w:cs="仿宋"/>
          <w:b w:val="0"/>
          <w:bCs/>
          <w:sz w:val="24"/>
          <w:szCs w:val="24"/>
          <w:highlight w:val="none"/>
          <w:lang w:val="en-US" w:eastAsia="zh-CN"/>
        </w:rPr>
        <w:t>3</w:t>
      </w:r>
      <w:r>
        <w:rPr>
          <w:rFonts w:hint="eastAsia" w:ascii="仿宋" w:hAnsi="仿宋" w:eastAsia="仿宋" w:cs="仿宋"/>
          <w:b w:val="0"/>
          <w:bCs/>
          <w:sz w:val="24"/>
          <w:szCs w:val="24"/>
          <w:highlight w:val="none"/>
        </w:rPr>
        <w:t>个工作日</w:t>
      </w:r>
      <w:r>
        <w:rPr>
          <w:rFonts w:hint="eastAsia" w:ascii="仿宋" w:hAnsi="仿宋" w:eastAsia="仿宋" w:cs="仿宋"/>
          <w:b w:val="0"/>
          <w:bCs/>
          <w:i w:val="0"/>
          <w:caps w:val="0"/>
          <w:color w:val="auto"/>
          <w:spacing w:val="0"/>
          <w:sz w:val="24"/>
          <w:szCs w:val="24"/>
          <w:highlight w:val="none"/>
          <w:shd w:val="clear" w:color="auto" w:fill="FFFFFF"/>
          <w:vertAlign w:val="baseline"/>
        </w:rPr>
        <w:t>。</w:t>
      </w:r>
    </w:p>
    <w:p>
      <w:pPr>
        <w:pStyle w:val="9"/>
        <w:pageBreakBefore w:val="0"/>
        <w:numPr>
          <w:ilvl w:val="0"/>
          <w:numId w:val="3"/>
        </w:numPr>
        <w:kinsoku/>
        <w:overflowPunct/>
        <w:topLinePunct w:val="0"/>
        <w:autoSpaceDE/>
        <w:autoSpaceDN/>
        <w:bidi w:val="0"/>
        <w:spacing w:before="0" w:beforeLines="0" w:after="0" w:afterLines="0" w:afterAutospacing="0" w:line="312" w:lineRule="auto"/>
        <w:ind w:left="0" w:leftChars="0" w:firstLine="0" w:firstLineChars="0"/>
        <w:rPr>
          <w:rFonts w:hint="eastAsia" w:ascii="仿宋" w:hAnsi="仿宋" w:eastAsia="仿宋" w:cs="仿宋"/>
          <w:b/>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color w:val="auto"/>
          <w:kern w:val="2"/>
          <w:sz w:val="24"/>
          <w:szCs w:val="24"/>
          <w:highlight w:val="none"/>
          <w:lang w:val="en-US" w:eastAsia="zh-CN" w:bidi="ar-SA"/>
        </w:rPr>
        <w:t>其他补充事宜</w:t>
      </w:r>
    </w:p>
    <w:p>
      <w:pPr>
        <w:pStyle w:val="9"/>
        <w:pageBreakBefore w:val="0"/>
        <w:numPr>
          <w:ilvl w:val="0"/>
          <w:numId w:val="0"/>
        </w:numPr>
        <w:kinsoku/>
        <w:overflowPunct/>
        <w:topLinePunct w:val="0"/>
        <w:autoSpaceDE/>
        <w:autoSpaceDN/>
        <w:bidi w:val="0"/>
        <w:spacing w:before="0" w:beforeLines="0" w:after="0" w:afterLines="0" w:afterAutospacing="0" w:line="312" w:lineRule="auto"/>
        <w:ind w:leftChars="0" w:firstLine="482" w:firstLineChars="200"/>
        <w:rPr>
          <w:rFonts w:hint="eastAsia" w:ascii="仿宋" w:hAnsi="仿宋" w:eastAsia="仿宋" w:cs="仿宋"/>
          <w:b/>
          <w:bCs/>
          <w:i w:val="0"/>
          <w:caps w:val="0"/>
          <w:color w:val="auto"/>
          <w:spacing w:val="0"/>
          <w:sz w:val="24"/>
          <w:szCs w:val="24"/>
          <w:highlight w:val="none"/>
          <w:shd w:val="clear" w:color="auto" w:fill="FFFFFF"/>
          <w:vertAlign w:val="baseline"/>
          <w:lang w:val="en-US" w:eastAsia="zh-CN"/>
        </w:rPr>
      </w:pPr>
      <w:r>
        <w:rPr>
          <w:rFonts w:hint="eastAsia" w:ascii="仿宋" w:hAnsi="仿宋" w:eastAsia="仿宋" w:cs="仿宋"/>
          <w:b/>
          <w:bCs/>
          <w:i w:val="0"/>
          <w:caps w:val="0"/>
          <w:color w:val="auto"/>
          <w:spacing w:val="0"/>
          <w:kern w:val="2"/>
          <w:sz w:val="24"/>
          <w:szCs w:val="24"/>
          <w:highlight w:val="none"/>
          <w:shd w:val="clear" w:color="auto" w:fill="FFFFFF"/>
          <w:vertAlign w:val="baseline"/>
          <w:lang w:val="en-US" w:eastAsia="zh-CN" w:bidi="ar-SA"/>
        </w:rPr>
        <w:t>1</w:t>
      </w:r>
      <w:r>
        <w:rPr>
          <w:rFonts w:hint="eastAsia" w:ascii="仿宋" w:hAnsi="仿宋" w:eastAsia="仿宋" w:cs="仿宋"/>
          <w:b/>
          <w:bCs/>
          <w:i w:val="0"/>
          <w:caps w:val="0"/>
          <w:color w:val="auto"/>
          <w:spacing w:val="0"/>
          <w:sz w:val="24"/>
          <w:szCs w:val="24"/>
          <w:highlight w:val="none"/>
          <w:shd w:val="clear" w:color="auto" w:fill="FFFFFF"/>
          <w:vertAlign w:val="baseline"/>
          <w:lang w:val="en-US" w:eastAsia="zh-CN"/>
        </w:rPr>
        <w:t>.获取竞争性磋商文件时须携带介绍信以及本人身份证原件及加盖公章的复印件，谢绝邮寄;</w:t>
      </w:r>
    </w:p>
    <w:p>
      <w:pPr>
        <w:pStyle w:val="9"/>
        <w:pageBreakBefore w:val="0"/>
        <w:numPr>
          <w:ilvl w:val="0"/>
          <w:numId w:val="0"/>
        </w:numPr>
        <w:kinsoku/>
        <w:overflowPunct/>
        <w:topLinePunct w:val="0"/>
        <w:autoSpaceDE/>
        <w:autoSpaceDN/>
        <w:bidi w:val="0"/>
        <w:spacing w:before="0" w:beforeLines="0" w:after="0" w:afterLines="0" w:afterAutospacing="0" w:line="312" w:lineRule="auto"/>
        <w:ind w:leftChars="0" w:firstLine="482" w:firstLineChars="200"/>
        <w:rPr>
          <w:rFonts w:hint="eastAsia" w:ascii="仿宋" w:hAnsi="仿宋" w:eastAsia="仿宋" w:cs="仿宋"/>
          <w:b/>
          <w:bCs/>
          <w:i w:val="0"/>
          <w:caps w:val="0"/>
          <w:color w:val="auto"/>
          <w:spacing w:val="0"/>
          <w:sz w:val="24"/>
          <w:szCs w:val="24"/>
          <w:highlight w:val="none"/>
          <w:shd w:val="clear" w:color="auto" w:fill="FFFFFF"/>
          <w:vertAlign w:val="baseline"/>
          <w:lang w:val="en-US" w:eastAsia="zh-CN"/>
        </w:rPr>
      </w:pPr>
      <w:r>
        <w:rPr>
          <w:rFonts w:hint="eastAsia" w:ascii="仿宋" w:hAnsi="仿宋" w:eastAsia="仿宋" w:cs="仿宋"/>
          <w:b/>
          <w:bCs/>
          <w:i w:val="0"/>
          <w:caps w:val="0"/>
          <w:color w:val="auto"/>
          <w:spacing w:val="0"/>
          <w:sz w:val="24"/>
          <w:szCs w:val="24"/>
          <w:highlight w:val="none"/>
          <w:shd w:val="clear" w:color="auto" w:fill="FFFFFF"/>
          <w:vertAlign w:val="baseline"/>
          <w:lang w:val="en-US" w:eastAsia="zh-CN"/>
        </w:rPr>
        <w:t>2.请供应商按照陕西省财政厅《关于政府采购供应商注册登记有关事项的通知》中的要求，通过陕西省政府采购网（http://ww</w:t>
      </w:r>
      <w:r>
        <w:rPr>
          <w:rFonts w:hint="eastAsia" w:ascii="仿宋" w:hAnsi="仿宋" w:eastAsia="仿宋" w:cs="仿宋"/>
          <w:b/>
          <w:bCs/>
          <w:i w:val="0"/>
          <w:caps w:val="0"/>
          <w:color w:val="auto"/>
          <w:spacing w:val="0"/>
          <w:kern w:val="2"/>
          <w:sz w:val="24"/>
          <w:szCs w:val="24"/>
          <w:highlight w:val="none"/>
          <w:shd w:val="clear" w:color="auto" w:fill="FFFFFF"/>
          <w:vertAlign w:val="baseline"/>
          <w:lang w:val="en-US" w:eastAsia="zh-CN" w:bidi="ar-SA"/>
        </w:rPr>
        <w:t>w.ccgp-shaanxi.gov.cn/）注册登记加入陕西省政府采购供应商库。</w:t>
      </w:r>
    </w:p>
    <w:p>
      <w:pPr>
        <w:pStyle w:val="9"/>
        <w:pageBreakBefore w:val="0"/>
        <w:numPr>
          <w:ilvl w:val="0"/>
          <w:numId w:val="3"/>
        </w:numPr>
        <w:kinsoku/>
        <w:overflowPunct/>
        <w:topLinePunct w:val="0"/>
        <w:autoSpaceDE/>
        <w:autoSpaceDN/>
        <w:bidi w:val="0"/>
        <w:spacing w:before="0" w:beforeLines="0" w:after="0" w:afterLines="0" w:afterAutospacing="0" w:line="312" w:lineRule="auto"/>
        <w:ind w:left="0" w:leftChars="0" w:firstLine="0" w:firstLineChars="0"/>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凡对本次资格预审提出询问，请按以下方式联系</w:t>
      </w:r>
    </w:p>
    <w:p>
      <w:pPr>
        <w:pStyle w:val="9"/>
        <w:keepNext/>
        <w:keepLines/>
        <w:pageBreakBefore w:val="0"/>
        <w:widowControl w:val="0"/>
        <w:numPr>
          <w:ilvl w:val="0"/>
          <w:numId w:val="7"/>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23" w:leftChars="0" w:firstLine="379" w:firstLineChars="158"/>
        <w:textAlignment w:val="auto"/>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pPr>
      <w:r>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t>采购人信息</w:t>
      </w:r>
    </w:p>
    <w:p>
      <w:pPr>
        <w:pStyle w:val="9"/>
        <w:pageBreakBefore w:val="0"/>
        <w:numPr>
          <w:ilvl w:val="0"/>
          <w:numId w:val="0"/>
        </w:numPr>
        <w:tabs>
          <w:tab w:val="left" w:pos="1050"/>
        </w:tabs>
        <w:kinsoku/>
        <w:overflowPunct/>
        <w:topLinePunct w:val="0"/>
        <w:autoSpaceDE/>
        <w:autoSpaceDN/>
        <w:bidi w:val="0"/>
        <w:spacing w:before="0" w:beforeLines="0" w:after="0" w:afterLines="0" w:afterAutospacing="0" w:line="312" w:lineRule="auto"/>
        <w:ind w:left="397" w:leftChars="0" w:firstLine="480" w:firstLineChars="200"/>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名称：铜川市妇幼保健院</w:t>
      </w:r>
    </w:p>
    <w:p>
      <w:pPr>
        <w:pStyle w:val="9"/>
        <w:pageBreakBefore w:val="0"/>
        <w:numPr>
          <w:ilvl w:val="0"/>
          <w:numId w:val="0"/>
        </w:numPr>
        <w:tabs>
          <w:tab w:val="left" w:pos="1050"/>
        </w:tabs>
        <w:kinsoku/>
        <w:overflowPunct/>
        <w:topLinePunct w:val="0"/>
        <w:autoSpaceDE/>
        <w:autoSpaceDN/>
        <w:bidi w:val="0"/>
        <w:spacing w:before="0" w:beforeLines="0" w:after="0" w:afterLines="0" w:afterAutospacing="0" w:line="312" w:lineRule="auto"/>
        <w:ind w:left="397" w:leftChars="0" w:firstLine="480" w:firstLineChars="200"/>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地址：铜川市印台区频阳路55号</w:t>
      </w:r>
    </w:p>
    <w:p>
      <w:pPr>
        <w:pStyle w:val="9"/>
        <w:pageBreakBefore w:val="0"/>
        <w:numPr>
          <w:ilvl w:val="0"/>
          <w:numId w:val="0"/>
        </w:numPr>
        <w:tabs>
          <w:tab w:val="left" w:pos="1050"/>
        </w:tabs>
        <w:kinsoku/>
        <w:overflowPunct/>
        <w:topLinePunct w:val="0"/>
        <w:autoSpaceDE/>
        <w:autoSpaceDN/>
        <w:bidi w:val="0"/>
        <w:spacing w:before="0" w:beforeLines="0" w:after="0" w:afterLines="0" w:afterAutospacing="0" w:line="312" w:lineRule="auto"/>
        <w:ind w:left="397" w:leftChars="0" w:firstLine="480" w:firstLineChars="200"/>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联系方式：0919-4181027</w:t>
      </w:r>
    </w:p>
    <w:p>
      <w:pPr>
        <w:pStyle w:val="9"/>
        <w:keepNext/>
        <w:keepLines/>
        <w:pageBreakBefore w:val="0"/>
        <w:widowControl w:val="0"/>
        <w:numPr>
          <w:ilvl w:val="0"/>
          <w:numId w:val="7"/>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23" w:leftChars="0" w:firstLine="379" w:firstLineChars="158"/>
        <w:textAlignment w:val="auto"/>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pPr>
      <w:r>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t>采购代理机构信息</w:t>
      </w:r>
    </w:p>
    <w:p>
      <w:pPr>
        <w:pStyle w:val="9"/>
        <w:pageBreakBefore w:val="0"/>
        <w:numPr>
          <w:ilvl w:val="0"/>
          <w:numId w:val="0"/>
        </w:numPr>
        <w:tabs>
          <w:tab w:val="left" w:pos="1050"/>
        </w:tabs>
        <w:kinsoku/>
        <w:overflowPunct/>
        <w:topLinePunct w:val="0"/>
        <w:autoSpaceDE/>
        <w:autoSpaceDN/>
        <w:bidi w:val="0"/>
        <w:spacing w:before="0" w:beforeLines="0" w:after="0" w:afterLines="0" w:afterAutospacing="0" w:line="312" w:lineRule="auto"/>
        <w:ind w:left="397" w:leftChars="0" w:firstLine="480" w:firstLineChars="200"/>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名称：陕西同昌成项目管理有限公司</w:t>
      </w:r>
    </w:p>
    <w:p>
      <w:pPr>
        <w:pStyle w:val="9"/>
        <w:pageBreakBefore w:val="0"/>
        <w:numPr>
          <w:ilvl w:val="0"/>
          <w:numId w:val="0"/>
        </w:numPr>
        <w:tabs>
          <w:tab w:val="left" w:pos="1050"/>
        </w:tabs>
        <w:kinsoku/>
        <w:overflowPunct/>
        <w:topLinePunct w:val="0"/>
        <w:autoSpaceDE/>
        <w:autoSpaceDN/>
        <w:bidi w:val="0"/>
        <w:spacing w:before="0" w:beforeLines="0" w:after="0" w:afterLines="0" w:afterAutospacing="0" w:line="312" w:lineRule="auto"/>
        <w:ind w:left="397"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b w:val="0"/>
          <w:bCs w:val="0"/>
          <w:kern w:val="2"/>
          <w:sz w:val="24"/>
          <w:szCs w:val="24"/>
          <w:highlight w:val="none"/>
          <w:lang w:val="en-US" w:eastAsia="zh-CN" w:bidi="ar-SA"/>
        </w:rPr>
        <w:t>地址：陕西省西安市雁塔区翠华路佳和中心A座702室</w:t>
      </w:r>
    </w:p>
    <w:p>
      <w:pPr>
        <w:pStyle w:val="9"/>
        <w:pageBreakBefore w:val="0"/>
        <w:numPr>
          <w:ilvl w:val="0"/>
          <w:numId w:val="0"/>
        </w:numPr>
        <w:tabs>
          <w:tab w:val="left" w:pos="1050"/>
        </w:tabs>
        <w:kinsoku/>
        <w:overflowPunct/>
        <w:topLinePunct w:val="0"/>
        <w:autoSpaceDE/>
        <w:autoSpaceDN/>
        <w:bidi w:val="0"/>
        <w:spacing w:before="0" w:beforeLines="0" w:after="0" w:afterLines="0" w:afterAutospacing="0" w:line="312" w:lineRule="auto"/>
        <w:ind w:left="397" w:leftChars="0" w:firstLine="480" w:firstLineChars="200"/>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联系方式：18189276056</w:t>
      </w:r>
    </w:p>
    <w:p>
      <w:pPr>
        <w:pStyle w:val="9"/>
        <w:keepNext/>
        <w:keepLines/>
        <w:pageBreakBefore w:val="0"/>
        <w:widowControl w:val="0"/>
        <w:numPr>
          <w:ilvl w:val="0"/>
          <w:numId w:val="7"/>
        </w:numPr>
        <w:tabs>
          <w:tab w:val="left" w:pos="210"/>
          <w:tab w:val="left" w:pos="420"/>
          <w:tab w:val="left" w:pos="630"/>
          <w:tab w:val="left" w:pos="840"/>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ind w:left="-23" w:leftChars="0" w:firstLine="379" w:firstLineChars="158"/>
        <w:textAlignment w:val="auto"/>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pPr>
      <w:r>
        <w:rPr>
          <w:rFonts w:hint="eastAsia" w:ascii="仿宋" w:hAnsi="仿宋" w:eastAsia="仿宋" w:cs="仿宋"/>
          <w:b w:val="0"/>
          <w:bCs w:val="0"/>
          <w:i w:val="0"/>
          <w:caps w:val="0"/>
          <w:color w:val="auto"/>
          <w:spacing w:val="0"/>
          <w:sz w:val="24"/>
          <w:szCs w:val="24"/>
          <w:highlight w:val="none"/>
          <w:shd w:val="clear" w:color="auto" w:fill="FFFFFF"/>
          <w:vertAlign w:val="baseline"/>
          <w:lang w:val="en-US" w:eastAsia="zh-CN"/>
        </w:rPr>
        <w:t>项目联系方式</w:t>
      </w:r>
    </w:p>
    <w:p>
      <w:pPr>
        <w:pStyle w:val="9"/>
        <w:pageBreakBefore w:val="0"/>
        <w:numPr>
          <w:ilvl w:val="0"/>
          <w:numId w:val="0"/>
        </w:numPr>
        <w:tabs>
          <w:tab w:val="left" w:pos="1050"/>
        </w:tabs>
        <w:kinsoku/>
        <w:overflowPunct/>
        <w:topLinePunct w:val="0"/>
        <w:autoSpaceDE/>
        <w:autoSpaceDN/>
        <w:bidi w:val="0"/>
        <w:spacing w:before="0" w:beforeLines="0" w:after="0" w:afterLines="0" w:afterAutospacing="0" w:line="312" w:lineRule="auto"/>
        <w:ind w:left="397" w:leftChars="0" w:firstLine="480" w:firstLineChars="200"/>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项目联系人：高女士</w:t>
      </w:r>
    </w:p>
    <w:p>
      <w:pPr>
        <w:pStyle w:val="9"/>
        <w:pageBreakBefore w:val="0"/>
        <w:numPr>
          <w:ilvl w:val="0"/>
          <w:numId w:val="0"/>
        </w:numPr>
        <w:tabs>
          <w:tab w:val="left" w:pos="1050"/>
        </w:tabs>
        <w:kinsoku/>
        <w:overflowPunct/>
        <w:topLinePunct w:val="0"/>
        <w:autoSpaceDE/>
        <w:autoSpaceDN/>
        <w:bidi w:val="0"/>
        <w:spacing w:before="0" w:beforeLines="0" w:after="0" w:afterLines="0" w:afterAutospacing="0" w:line="312" w:lineRule="auto"/>
        <w:ind w:left="397" w:leftChars="0" w:firstLine="480" w:firstLineChars="200"/>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电话：18189276056</w:t>
      </w:r>
    </w:p>
    <w:p>
      <w:pPr>
        <w:pageBreakBefore w:val="0"/>
        <w:bidi w:val="0"/>
        <w:spacing w:line="312" w:lineRule="auto"/>
        <w:rPr>
          <w:rFonts w:hint="eastAsia" w:ascii="仿宋" w:hAnsi="仿宋" w:eastAsia="仿宋" w:cs="仿宋"/>
          <w:b w:val="0"/>
          <w:bCs w:val="0"/>
          <w:kern w:val="2"/>
          <w:sz w:val="24"/>
          <w:szCs w:val="24"/>
          <w:highlight w:val="none"/>
          <w:lang w:val="en-US" w:eastAsia="zh-CN" w:bidi="ar-SA"/>
        </w:rPr>
      </w:pPr>
    </w:p>
    <w:p>
      <w:pPr>
        <w:pStyle w:val="2"/>
        <w:pageBreakBefore w:val="0"/>
        <w:bidi w:val="0"/>
        <w:spacing w:line="312" w:lineRule="auto"/>
        <w:rPr>
          <w:rFonts w:hint="eastAsia" w:ascii="仿宋" w:hAnsi="仿宋" w:eastAsia="仿宋" w:cs="仿宋"/>
          <w:b w:val="0"/>
          <w:bCs w:val="0"/>
          <w:kern w:val="2"/>
          <w:sz w:val="24"/>
          <w:szCs w:val="24"/>
          <w:highlight w:val="none"/>
          <w:lang w:val="en-US" w:eastAsia="zh-CN" w:bidi="ar-SA"/>
        </w:rPr>
      </w:pPr>
    </w:p>
    <w:p>
      <w:pPr>
        <w:pageBreakBefore w:val="0"/>
        <w:bidi w:val="0"/>
        <w:spacing w:line="312" w:lineRule="auto"/>
        <w:rPr>
          <w:rFonts w:hint="eastAsia" w:ascii="仿宋" w:hAnsi="仿宋" w:eastAsia="仿宋" w:cs="仿宋"/>
          <w:lang w:val="zh-CN" w:eastAsia="zh-CN"/>
        </w:rPr>
      </w:pPr>
    </w:p>
    <w:p>
      <w:pPr>
        <w:pageBreakBefore w:val="0"/>
        <w:overflowPunct/>
        <w:bidi w:val="0"/>
        <w:spacing w:afterAutospacing="0" w:line="312" w:lineRule="auto"/>
        <w:rPr>
          <w:rFonts w:hint="eastAsia" w:ascii="仿宋" w:hAnsi="仿宋" w:eastAsia="仿宋" w:cs="仿宋"/>
          <w:b/>
          <w:sz w:val="44"/>
          <w:szCs w:val="44"/>
          <w:highlight w:val="none"/>
        </w:rPr>
      </w:pPr>
      <w:bookmarkStart w:id="5" w:name="_Toc31674"/>
      <w:bookmarkStart w:id="6" w:name="_Toc16408"/>
      <w:bookmarkStart w:id="7" w:name="_Toc3046"/>
      <w:bookmarkStart w:id="8" w:name="_Toc21004"/>
      <w:r>
        <w:rPr>
          <w:rFonts w:hint="eastAsia" w:ascii="仿宋" w:hAnsi="仿宋" w:eastAsia="仿宋" w:cs="仿宋"/>
          <w:sz w:val="28"/>
          <w:szCs w:val="28"/>
          <w:highlight w:val="none"/>
          <w:lang w:val="zh-CN"/>
        </w:rPr>
        <mc:AlternateContent>
          <mc:Choice Requires="wps">
            <w:drawing>
              <wp:anchor distT="0" distB="0" distL="114300" distR="114300" simplePos="0" relativeHeight="251659264" behindDoc="0" locked="0" layoutInCell="1" allowOverlap="1">
                <wp:simplePos x="0" y="0"/>
                <wp:positionH relativeFrom="column">
                  <wp:posOffset>24130</wp:posOffset>
                </wp:positionH>
                <wp:positionV relativeFrom="paragraph">
                  <wp:posOffset>128270</wp:posOffset>
                </wp:positionV>
                <wp:extent cx="5769610" cy="893445"/>
                <wp:effectExtent l="4445" t="4445" r="17145" b="16510"/>
                <wp:wrapNone/>
                <wp:docPr id="2" name="Text Box 3"/>
                <wp:cNvGraphicFramePr/>
                <a:graphic xmlns:a="http://schemas.openxmlformats.org/drawingml/2006/main">
                  <a:graphicData uri="http://schemas.microsoft.com/office/word/2010/wordprocessingShape">
                    <wps:wsp>
                      <wps:cNvSpPr txBox="1"/>
                      <wps:spPr>
                        <a:xfrm>
                          <a:off x="0" y="0"/>
                          <a:ext cx="5769610" cy="893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b/>
                                <w:sz w:val="28"/>
                                <w:szCs w:val="28"/>
                              </w:rPr>
                            </w:pPr>
                            <w:r>
                              <w:rPr>
                                <w:rFonts w:hint="eastAsia" w:ascii="仿宋_GB2312" w:eastAsia="仿宋_GB2312"/>
                                <w:b/>
                                <w:sz w:val="28"/>
                                <w:szCs w:val="28"/>
                              </w:rPr>
                              <w:t>温馨提示：</w:t>
                            </w:r>
                            <w:r>
                              <w:rPr>
                                <w:rFonts w:hint="eastAsia" w:ascii="仿宋_GB2312" w:eastAsia="仿宋_GB2312"/>
                                <w:b/>
                                <w:sz w:val="28"/>
                                <w:szCs w:val="28"/>
                                <w:lang w:eastAsia="zh-CN"/>
                              </w:rPr>
                              <w:t>获取</w:t>
                            </w:r>
                            <w:r>
                              <w:rPr>
                                <w:rFonts w:hint="eastAsia" w:ascii="仿宋_GB2312" w:eastAsia="仿宋_GB2312"/>
                                <w:b/>
                                <w:sz w:val="28"/>
                                <w:szCs w:val="28"/>
                              </w:rPr>
                              <w:t>竞争性磋商文件后，请仔细阅读，特别注意粗体及划线部分，如有疑问请来电咨询。</w:t>
                            </w:r>
                          </w:p>
                        </w:txbxContent>
                      </wps:txbx>
                      <wps:bodyPr wrap="none" upright="1">
                        <a:spAutoFit/>
                      </wps:bodyPr>
                    </wps:wsp>
                  </a:graphicData>
                </a:graphic>
              </wp:anchor>
            </w:drawing>
          </mc:Choice>
          <mc:Fallback>
            <w:pict>
              <v:shape id="Text Box 3" o:spid="_x0000_s1026" o:spt="202" type="#_x0000_t202" style="position:absolute;left:0pt;margin-left:1.9pt;margin-top:10.1pt;height:70.35pt;width:454.3pt;mso-wrap-style:none;z-index:251659264;mso-width-relative:page;mso-height-relative:page;" fillcolor="#FFFFFF" filled="t" stroked="t" coordsize="21600,21600" o:gfxdata="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CApRtkAAAAIAQAADwAAAAAAAAABACAA&#10;AAAiAAAAZHJzL2Rvd25yZXYueG1sUEsBAhQAFAAAAAgAh07iQNiTsTAMAgAAWwQAAA4AAAAAAAAA&#10;AQAgAAAAKAEAAGRycy9lMm9Eb2MueG1sUEsFBgAAAAAGAAYAWQEAAKYFAAAAAA==&#10;">
                <v:fill on="t" focussize="0,0"/>
                <v:stroke color="#000000" joinstyle="miter"/>
                <v:imagedata o:title=""/>
                <o:lock v:ext="edit" aspectratio="f"/>
                <v:textbox style="mso-fit-shape-to-text:t;">
                  <w:txbxContent>
                    <w:p>
                      <w:pPr>
                        <w:rPr>
                          <w:rFonts w:ascii="仿宋_GB2312" w:eastAsia="仿宋_GB2312"/>
                          <w:b/>
                          <w:sz w:val="28"/>
                          <w:szCs w:val="28"/>
                        </w:rPr>
                      </w:pPr>
                      <w:r>
                        <w:rPr>
                          <w:rFonts w:hint="eastAsia" w:ascii="仿宋_GB2312" w:eastAsia="仿宋_GB2312"/>
                          <w:b/>
                          <w:sz w:val="28"/>
                          <w:szCs w:val="28"/>
                        </w:rPr>
                        <w:t>温馨提示：</w:t>
                      </w:r>
                      <w:r>
                        <w:rPr>
                          <w:rFonts w:hint="eastAsia" w:ascii="仿宋_GB2312" w:eastAsia="仿宋_GB2312"/>
                          <w:b/>
                          <w:sz w:val="28"/>
                          <w:szCs w:val="28"/>
                          <w:lang w:eastAsia="zh-CN"/>
                        </w:rPr>
                        <w:t>获取</w:t>
                      </w:r>
                      <w:r>
                        <w:rPr>
                          <w:rFonts w:hint="eastAsia" w:ascii="仿宋_GB2312" w:eastAsia="仿宋_GB2312"/>
                          <w:b/>
                          <w:sz w:val="28"/>
                          <w:szCs w:val="28"/>
                        </w:rPr>
                        <w:t>竞争性磋商文件后，请仔细阅读，特别注意粗体及划线部分，如有疑问请来电咨询。</w:t>
                      </w:r>
                    </w:p>
                  </w:txbxContent>
                </v:textbox>
              </v:shape>
            </w:pict>
          </mc:Fallback>
        </mc:AlternateContent>
      </w:r>
      <w:r>
        <w:rPr>
          <w:rFonts w:hint="eastAsia" w:ascii="仿宋" w:hAnsi="仿宋" w:eastAsia="仿宋" w:cs="仿宋"/>
          <w:b/>
          <w:sz w:val="44"/>
          <w:szCs w:val="44"/>
          <w:highlight w:val="none"/>
        </w:rPr>
        <w:br w:type="page"/>
      </w:r>
    </w:p>
    <w:p>
      <w:pPr>
        <w:pageBreakBefore w:val="0"/>
        <w:numPr>
          <w:ilvl w:val="0"/>
          <w:numId w:val="8"/>
        </w:numPr>
        <w:overflowPunct/>
        <w:bidi w:val="0"/>
        <w:spacing w:afterAutospacing="0" w:line="312" w:lineRule="auto"/>
        <w:jc w:val="center"/>
        <w:outlineLvl w:val="0"/>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bookmarkStart w:id="9" w:name="_Toc5731"/>
      <w:r>
        <w:rPr>
          <w:rFonts w:hint="eastAsia" w:ascii="仿宋" w:hAnsi="仿宋" w:eastAsia="仿宋" w:cs="仿宋"/>
          <w:b/>
          <w:sz w:val="44"/>
          <w:szCs w:val="44"/>
          <w:highlight w:val="none"/>
        </w:rPr>
        <w:t>供应商须知</w:t>
      </w:r>
      <w:bookmarkEnd w:id="5"/>
      <w:bookmarkEnd w:id="6"/>
      <w:bookmarkEnd w:id="7"/>
      <w:bookmarkEnd w:id="8"/>
      <w:bookmarkEnd w:id="9"/>
    </w:p>
    <w:p>
      <w:pPr>
        <w:pStyle w:val="2"/>
        <w:pageBreakBefore w:val="0"/>
        <w:numPr>
          <w:ilvl w:val="0"/>
          <w:numId w:val="0"/>
        </w:numPr>
        <w:overflowPunct/>
        <w:bidi w:val="0"/>
        <w:spacing w:after="0" w:afterAutospacing="0" w:line="312" w:lineRule="auto"/>
        <w:jc w:val="center"/>
        <w:rPr>
          <w:rFonts w:hint="eastAsia" w:ascii="仿宋" w:hAnsi="仿宋" w:eastAsia="仿宋" w:cs="仿宋"/>
          <w:highlight w:val="none"/>
        </w:rPr>
      </w:pPr>
      <w:bookmarkStart w:id="10" w:name="_Toc721"/>
      <w:r>
        <w:rPr>
          <w:rFonts w:hint="eastAsia" w:ascii="仿宋" w:hAnsi="仿宋" w:eastAsia="仿宋" w:cs="仿宋"/>
          <w:b/>
          <w:kern w:val="44"/>
          <w:sz w:val="28"/>
          <w:szCs w:val="28"/>
          <w:highlight w:val="none"/>
        </w:rPr>
        <w:t>供应商须知前附表</w:t>
      </w:r>
      <w:bookmarkEnd w:id="10"/>
    </w:p>
    <w:tbl>
      <w:tblPr>
        <w:tblStyle w:val="38"/>
        <w:tblW w:w="9665"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2093"/>
        <w:gridCol w:w="6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Style w:val="15"/>
              <w:pageBreakBefore w:val="0"/>
              <w:kinsoku/>
              <w:overflowPunct/>
              <w:topLinePunct/>
              <w:bidi w:val="0"/>
              <w:spacing w:after="0" w:afterAutospacing="0" w:line="312" w:lineRule="auto"/>
              <w:jc w:val="center"/>
              <w:rPr>
                <w:rFonts w:hint="eastAsia" w:ascii="仿宋" w:hAnsi="仿宋" w:eastAsia="仿宋" w:cs="仿宋"/>
                <w:b/>
                <w:sz w:val="21"/>
                <w:szCs w:val="21"/>
                <w:highlight w:val="none"/>
              </w:rPr>
            </w:pPr>
            <w:r>
              <w:rPr>
                <w:rFonts w:hint="eastAsia" w:ascii="仿宋" w:hAnsi="仿宋" w:eastAsia="仿宋" w:cs="仿宋"/>
                <w:b/>
                <w:bCs/>
                <w:kern w:val="0"/>
                <w:sz w:val="21"/>
                <w:szCs w:val="21"/>
                <w:highlight w:val="none"/>
                <w:lang w:val="en-US" w:eastAsia="zh-CN"/>
              </w:rPr>
              <w:t>序号</w:t>
            </w:r>
          </w:p>
        </w:tc>
        <w:tc>
          <w:tcPr>
            <w:tcW w:w="2093" w:type="dxa"/>
            <w:vAlign w:val="center"/>
          </w:tcPr>
          <w:p>
            <w:pPr>
              <w:pStyle w:val="15"/>
              <w:pageBreakBefore w:val="0"/>
              <w:kinsoku/>
              <w:overflowPunct/>
              <w:topLinePunct/>
              <w:bidi w:val="0"/>
              <w:spacing w:after="0" w:afterAutospacing="0" w:line="312" w:lineRule="auto"/>
              <w:jc w:val="center"/>
              <w:rPr>
                <w:rFonts w:hint="eastAsia" w:ascii="仿宋" w:hAnsi="仿宋" w:eastAsia="仿宋" w:cs="仿宋"/>
                <w:b/>
                <w:sz w:val="21"/>
                <w:szCs w:val="21"/>
                <w:highlight w:val="none"/>
              </w:rPr>
            </w:pPr>
            <w:r>
              <w:rPr>
                <w:rFonts w:hint="eastAsia" w:ascii="仿宋" w:hAnsi="仿宋" w:eastAsia="仿宋" w:cs="仿宋"/>
                <w:b/>
                <w:bCs/>
                <w:kern w:val="0"/>
                <w:sz w:val="21"/>
                <w:szCs w:val="21"/>
                <w:highlight w:val="none"/>
                <w:lang w:val="en-US" w:eastAsia="zh-CN"/>
              </w:rPr>
              <w:t>条 款 名 称</w:t>
            </w:r>
          </w:p>
        </w:tc>
        <w:tc>
          <w:tcPr>
            <w:tcW w:w="6657" w:type="dxa"/>
            <w:vAlign w:val="center"/>
          </w:tcPr>
          <w:p>
            <w:pPr>
              <w:pStyle w:val="15"/>
              <w:pageBreakBefore w:val="0"/>
              <w:kinsoku/>
              <w:overflowPunct/>
              <w:topLinePunct/>
              <w:bidi w:val="0"/>
              <w:spacing w:after="0" w:afterAutospacing="0" w:line="312" w:lineRule="auto"/>
              <w:jc w:val="center"/>
              <w:rPr>
                <w:rFonts w:hint="eastAsia" w:ascii="仿宋" w:hAnsi="仿宋" w:eastAsia="仿宋" w:cs="仿宋"/>
                <w:b/>
                <w:sz w:val="21"/>
                <w:szCs w:val="21"/>
                <w:highlight w:val="none"/>
              </w:rPr>
            </w:pPr>
            <w:r>
              <w:rPr>
                <w:rFonts w:hint="eastAsia" w:ascii="仿宋" w:hAnsi="仿宋" w:eastAsia="仿宋" w:cs="仿宋"/>
                <w:b/>
                <w:bCs/>
                <w:kern w:val="0"/>
                <w:sz w:val="21"/>
                <w:szCs w:val="21"/>
                <w:highlight w:val="none"/>
                <w:lang w:val="en-US" w:eastAsia="zh-CN"/>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.1.2</w:t>
            </w:r>
          </w:p>
        </w:tc>
        <w:tc>
          <w:tcPr>
            <w:tcW w:w="2093" w:type="dxa"/>
            <w:vAlign w:val="center"/>
          </w:tcPr>
          <w:p>
            <w:pPr>
              <w:pageBreakBefore w:val="0"/>
              <w:kinsoku/>
              <w:overflowPunct/>
              <w:bidi w:val="0"/>
              <w:adjustRightInd w:val="0"/>
              <w:snapToGrid w:val="0"/>
              <w:spacing w:afterAutospacing="0" w:line="312" w:lineRule="auto"/>
              <w:jc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val="en-US" w:eastAsia="zh-CN" w:bidi="ar-SA"/>
              </w:rPr>
              <w:t>采购人</w:t>
            </w:r>
          </w:p>
        </w:tc>
        <w:tc>
          <w:tcPr>
            <w:tcW w:w="6657" w:type="dxa"/>
            <w:vAlign w:val="center"/>
          </w:tcPr>
          <w:p>
            <w:pPr>
              <w:pStyle w:val="9"/>
              <w:pageBreakBefore w:val="0"/>
              <w:numPr>
                <w:ilvl w:val="0"/>
                <w:numId w:val="0"/>
              </w:numPr>
              <w:tabs>
                <w:tab w:val="left" w:pos="1050"/>
              </w:tabs>
              <w:overflowPunct/>
              <w:bidi w:val="0"/>
              <w:spacing w:before="0" w:beforeLines="0" w:after="0" w:afterLines="0" w:afterAutospacing="0" w:line="312" w:lineRule="auto"/>
              <w:jc w:val="left"/>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kern w:val="2"/>
                <w:sz w:val="21"/>
                <w:szCs w:val="21"/>
                <w:highlight w:val="none"/>
                <w:lang w:val="en-US" w:eastAsia="zh-CN" w:bidi="ar-SA"/>
              </w:rPr>
              <w:t>名称：铜川市妇幼保健院</w:t>
            </w:r>
          </w:p>
          <w:p>
            <w:pPr>
              <w:pStyle w:val="9"/>
              <w:pageBreakBefore w:val="0"/>
              <w:numPr>
                <w:ilvl w:val="0"/>
                <w:numId w:val="0"/>
              </w:numPr>
              <w:tabs>
                <w:tab w:val="left" w:pos="1050"/>
              </w:tabs>
              <w:overflowPunct/>
              <w:bidi w:val="0"/>
              <w:spacing w:before="0" w:beforeLines="0" w:after="0" w:afterLines="0" w:afterAutospacing="0" w:line="312" w:lineRule="auto"/>
              <w:jc w:val="left"/>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kern w:val="2"/>
                <w:sz w:val="21"/>
                <w:szCs w:val="21"/>
                <w:highlight w:val="none"/>
                <w:lang w:val="en-US" w:eastAsia="zh-CN" w:bidi="ar-SA"/>
              </w:rPr>
              <w:t>地址：铜川市印台区频阳路55号</w:t>
            </w:r>
          </w:p>
          <w:p>
            <w:pPr>
              <w:pStyle w:val="9"/>
              <w:pageBreakBefore w:val="0"/>
              <w:numPr>
                <w:ilvl w:val="0"/>
                <w:numId w:val="0"/>
              </w:numPr>
              <w:tabs>
                <w:tab w:val="left" w:pos="1050"/>
              </w:tabs>
              <w:overflowPunct/>
              <w:bidi w:val="0"/>
              <w:spacing w:before="0" w:beforeLines="0" w:after="0" w:afterLines="0" w:afterAutospacing="0" w:line="312" w:lineRule="auto"/>
              <w:jc w:val="left"/>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kern w:val="2"/>
                <w:sz w:val="21"/>
                <w:szCs w:val="21"/>
                <w:highlight w:val="none"/>
                <w:lang w:val="en-US" w:eastAsia="zh-CN" w:bidi="ar-SA"/>
              </w:rPr>
              <w:t>联系方式：0919-4181027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1.1.3</w:t>
            </w:r>
          </w:p>
        </w:tc>
        <w:tc>
          <w:tcPr>
            <w:tcW w:w="2093" w:type="dxa"/>
            <w:vAlign w:val="center"/>
          </w:tcPr>
          <w:p>
            <w:pPr>
              <w:pageBreakBefore w:val="0"/>
              <w:kinsoku/>
              <w:overflowPunct/>
              <w:bidi w:val="0"/>
              <w:adjustRightInd w:val="0"/>
              <w:snapToGrid w:val="0"/>
              <w:spacing w:afterAutospacing="0" w:line="312" w:lineRule="auto"/>
              <w:jc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val="en-US" w:eastAsia="zh-CN" w:bidi="ar-SA"/>
              </w:rPr>
              <w:t>采购代理机构</w:t>
            </w:r>
          </w:p>
        </w:tc>
        <w:tc>
          <w:tcPr>
            <w:tcW w:w="6657" w:type="dxa"/>
            <w:vAlign w:val="center"/>
          </w:tcPr>
          <w:p>
            <w:pPr>
              <w:pStyle w:val="9"/>
              <w:pageBreakBefore w:val="0"/>
              <w:numPr>
                <w:ilvl w:val="0"/>
                <w:numId w:val="0"/>
              </w:numPr>
              <w:tabs>
                <w:tab w:val="left" w:pos="1050"/>
              </w:tabs>
              <w:overflowPunct/>
              <w:bidi w:val="0"/>
              <w:spacing w:before="0" w:beforeLines="0" w:after="0" w:afterLines="0" w:afterAutospacing="0" w:line="312" w:lineRule="auto"/>
              <w:jc w:val="left"/>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kern w:val="2"/>
                <w:sz w:val="21"/>
                <w:szCs w:val="21"/>
                <w:highlight w:val="none"/>
                <w:lang w:val="en-US" w:eastAsia="zh-CN" w:bidi="ar-SA"/>
              </w:rPr>
              <w:t>名称：陕西同昌成项目管理有限公司</w:t>
            </w:r>
          </w:p>
          <w:p>
            <w:pPr>
              <w:pStyle w:val="9"/>
              <w:pageBreakBefore w:val="0"/>
              <w:numPr>
                <w:ilvl w:val="0"/>
                <w:numId w:val="0"/>
              </w:numPr>
              <w:tabs>
                <w:tab w:val="left" w:pos="1050"/>
              </w:tabs>
              <w:overflowPunct/>
              <w:bidi w:val="0"/>
              <w:spacing w:before="0" w:beforeLines="0" w:after="0" w:afterLines="0" w:afterAutospacing="0" w:line="312" w:lineRule="auto"/>
              <w:jc w:val="left"/>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kern w:val="2"/>
                <w:sz w:val="21"/>
                <w:szCs w:val="21"/>
                <w:highlight w:val="none"/>
                <w:lang w:val="en-US" w:eastAsia="zh-CN" w:bidi="ar-SA"/>
              </w:rPr>
              <w:t>地址：陕西省西安市雁塔区翠华路佳和中心A座702室</w:t>
            </w:r>
          </w:p>
          <w:p>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12" w:lineRule="auto"/>
              <w:ind w:right="0"/>
              <w:jc w:val="left"/>
              <w:textAlignment w:val="baseline"/>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kern w:val="2"/>
                <w:sz w:val="21"/>
                <w:szCs w:val="21"/>
                <w:highlight w:val="none"/>
                <w:lang w:val="en-US" w:eastAsia="zh-CN" w:bidi="ar-SA"/>
              </w:rPr>
              <w:t>联系方式：18189276056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1.1.4</w:t>
            </w:r>
          </w:p>
        </w:tc>
        <w:tc>
          <w:tcPr>
            <w:tcW w:w="2093" w:type="dxa"/>
            <w:vAlign w:val="center"/>
          </w:tcPr>
          <w:p>
            <w:pPr>
              <w:pageBreakBefore w:val="0"/>
              <w:overflowPunct/>
              <w:bidi w:val="0"/>
              <w:spacing w:afterAutospacing="0" w:line="312" w:lineRule="auto"/>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项目名称</w:t>
            </w:r>
          </w:p>
        </w:tc>
        <w:tc>
          <w:tcPr>
            <w:tcW w:w="6657" w:type="dxa"/>
            <w:vAlign w:val="center"/>
          </w:tcPr>
          <w:p>
            <w:pPr>
              <w:pageBreakBefore w:val="0"/>
              <w:overflowPunct/>
              <w:bidi w:val="0"/>
              <w:spacing w:afterAutospacing="0" w:line="312" w:lineRule="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val="0"/>
                <w:bCs/>
                <w:color w:val="000000" w:themeColor="text1"/>
                <w:sz w:val="21"/>
                <w:szCs w:val="21"/>
                <w:highlight w:val="none"/>
                <w:lang w:eastAsia="zh-CN"/>
                <w14:textFill>
                  <w14:solidFill>
                    <w14:schemeClr w14:val="tx1"/>
                  </w14:solidFill>
                </w14:textFill>
              </w:rPr>
              <w:t>铜川市妇幼保健院脱贫地区儿童营养改善项目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1.2.1</w:t>
            </w:r>
          </w:p>
        </w:tc>
        <w:tc>
          <w:tcPr>
            <w:tcW w:w="2093" w:type="dxa"/>
            <w:vAlign w:val="center"/>
          </w:tcPr>
          <w:p>
            <w:pPr>
              <w:pageBreakBefore w:val="0"/>
              <w:overflowPunct/>
              <w:bidi w:val="0"/>
              <w:spacing w:afterAutospacing="0" w:line="312" w:lineRule="auto"/>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资金性质</w:t>
            </w:r>
          </w:p>
        </w:tc>
        <w:tc>
          <w:tcPr>
            <w:tcW w:w="6657" w:type="dxa"/>
            <w:vAlign w:val="center"/>
          </w:tcPr>
          <w:p>
            <w:pPr>
              <w:pageBreakBefore w:val="0"/>
              <w:overflowPunct/>
              <w:bidi w:val="0"/>
              <w:spacing w:afterAutospacing="0" w:line="312" w:lineRule="auto"/>
              <w:jc w:val="both"/>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其他财政资金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1.2.2</w:t>
            </w:r>
          </w:p>
        </w:tc>
        <w:tc>
          <w:tcPr>
            <w:tcW w:w="2093" w:type="dxa"/>
            <w:vAlign w:val="center"/>
          </w:tcPr>
          <w:p>
            <w:pPr>
              <w:pageBreakBefore w:val="0"/>
              <w:overflowPunct/>
              <w:bidi w:val="0"/>
              <w:spacing w:afterAutospacing="0" w:line="312" w:lineRule="auto"/>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预算金额</w:t>
            </w:r>
          </w:p>
        </w:tc>
        <w:tc>
          <w:tcPr>
            <w:tcW w:w="6657" w:type="dxa"/>
            <w:vAlign w:val="center"/>
          </w:tcPr>
          <w:p>
            <w:pPr>
              <w:pageBreakBefore w:val="0"/>
              <w:overflowPunct/>
              <w:bidi w:val="0"/>
              <w:spacing w:afterAutospacing="0" w:line="312" w:lineRule="auto"/>
              <w:jc w:val="both"/>
              <w:rPr>
                <w:rFonts w:hint="eastAsia" w:ascii="仿宋" w:hAnsi="仿宋" w:eastAsia="仿宋" w:cs="仿宋"/>
                <w:b w:val="0"/>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533400.00元</w:t>
            </w: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（备注：若投标单项报价高于或低于采购单项预算，投标总价高于总预算的均按无效文件处理。）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1.3.1</w:t>
            </w:r>
          </w:p>
        </w:tc>
        <w:tc>
          <w:tcPr>
            <w:tcW w:w="2093" w:type="dxa"/>
            <w:vAlign w:val="center"/>
          </w:tcPr>
          <w:p>
            <w:pPr>
              <w:pageBreakBefore w:val="0"/>
              <w:overflowPunct/>
              <w:bidi w:val="0"/>
              <w:spacing w:afterAutospacing="0" w:line="312" w:lineRule="auto"/>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zh-CN" w:eastAsia="zh-CN"/>
                <w14:textFill>
                  <w14:solidFill>
                    <w14:schemeClr w14:val="tx1"/>
                  </w14:solidFill>
                </w14:textFill>
              </w:rPr>
              <w:t>采购要求</w:t>
            </w:r>
          </w:p>
        </w:tc>
        <w:tc>
          <w:tcPr>
            <w:tcW w:w="6657" w:type="dxa"/>
            <w:vAlign w:val="center"/>
          </w:tcPr>
          <w:p>
            <w:pPr>
              <w:pageBreakBefore w:val="0"/>
              <w:kinsoku/>
              <w:overflowPunct/>
              <w:bidi w:val="0"/>
              <w:adjustRightInd w:val="0"/>
              <w:snapToGrid w:val="0"/>
              <w:spacing w:afterAutospacing="0" w:line="312" w:lineRule="auto"/>
              <w:jc w:val="both"/>
              <w:rPr>
                <w:rFonts w:hint="eastAsia" w:ascii="仿宋" w:hAnsi="仿宋" w:eastAsia="仿宋" w:cs="仿宋"/>
                <w:b w:val="0"/>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 w:val="0"/>
                <w:bCs/>
                <w:color w:val="000000" w:themeColor="text1"/>
                <w:sz w:val="21"/>
                <w:szCs w:val="21"/>
                <w:highlight w:val="none"/>
                <w:lang w:val="zh-CN" w:eastAsia="zh-CN"/>
                <w14:textFill>
                  <w14:solidFill>
                    <w14:schemeClr w14:val="tx1"/>
                  </w14:solidFill>
                </w14:textFill>
              </w:rPr>
              <w:t>详见竞争性磋商文件“第四部分</w:t>
            </w:r>
            <w:r>
              <w:rPr>
                <w:rFonts w:hint="eastAsia" w:ascii="仿宋" w:hAnsi="仿宋" w:eastAsia="仿宋" w:cs="仿宋"/>
                <w:b w:val="0"/>
                <w:bCs/>
                <w:color w:val="000000" w:themeColor="text1"/>
                <w:sz w:val="21"/>
                <w:szCs w:val="21"/>
                <w:highlight w:val="none"/>
                <w:lang w:val="en-US" w:eastAsia="zh-CN"/>
                <w14:textFill>
                  <w14:solidFill>
                    <w14:schemeClr w14:val="tx1"/>
                  </w14:solidFill>
                </w14:textFill>
              </w:rPr>
              <w:t xml:space="preserve"> 采购</w:t>
            </w:r>
            <w:r>
              <w:rPr>
                <w:rFonts w:hint="eastAsia" w:ascii="仿宋" w:hAnsi="仿宋" w:eastAsia="仿宋" w:cs="仿宋"/>
                <w:b w:val="0"/>
                <w:bCs/>
                <w:color w:val="000000" w:themeColor="text1"/>
                <w:sz w:val="21"/>
                <w:szCs w:val="21"/>
                <w:highlight w:val="none"/>
                <w:lang w:val="zh-CN" w:eastAsia="zh-CN"/>
                <w14:textFill>
                  <w14:solidFill>
                    <w14:schemeClr w14:val="tx1"/>
                  </w14:solidFill>
                </w14:textFill>
              </w:rPr>
              <w:t>内容及商务要求”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1.3.2</w:t>
            </w:r>
          </w:p>
        </w:tc>
        <w:tc>
          <w:tcPr>
            <w:tcW w:w="2093" w:type="dxa"/>
            <w:vAlign w:val="center"/>
          </w:tcPr>
          <w:p>
            <w:pPr>
              <w:pageBreakBefore w:val="0"/>
              <w:overflowPunct/>
              <w:bidi w:val="0"/>
              <w:spacing w:afterAutospacing="0" w:line="312" w:lineRule="auto"/>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交货期</w:t>
            </w:r>
          </w:p>
        </w:tc>
        <w:tc>
          <w:tcPr>
            <w:tcW w:w="6657" w:type="dxa"/>
            <w:vAlign w:val="center"/>
          </w:tcPr>
          <w:p>
            <w:pPr>
              <w:pageBreakBefore w:val="0"/>
              <w:overflowPunct/>
              <w:bidi w:val="0"/>
              <w:spacing w:afterAutospacing="0" w:line="312" w:lineRule="auto"/>
              <w:rPr>
                <w:rFonts w:hint="eastAsia" w:ascii="仿宋" w:hAnsi="仿宋" w:eastAsia="仿宋" w:cs="仿宋"/>
                <w:b/>
                <w:color w:val="000000" w:themeColor="text1"/>
                <w:sz w:val="21"/>
                <w:szCs w:val="21"/>
                <w:highlight w:val="none"/>
                <w:lang w:val="en-US" w:eastAsia="zh-CN"/>
                <w14:textFill>
                  <w14:solidFill>
                    <w14:schemeClr w14:val="tx1"/>
                  </w14:solidFill>
                </w14:textFill>
              </w:rPr>
            </w:pPr>
            <w:r>
              <w:rPr>
                <w:rFonts w:hint="eastAsia" w:ascii="仿宋" w:hAnsi="仿宋" w:eastAsia="仿宋" w:cs="仿宋"/>
                <w:b w:val="0"/>
                <w:bCs/>
                <w:color w:val="000000" w:themeColor="text1"/>
                <w:sz w:val="21"/>
                <w:szCs w:val="21"/>
                <w:highlight w:val="none"/>
                <w:lang w:val="en-US" w:eastAsia="zh-CN"/>
                <w14:textFill>
                  <w14:solidFill>
                    <w14:schemeClr w14:val="tx1"/>
                  </w14:solidFill>
                </w14:textFill>
              </w:rPr>
              <w:t>10个日历日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1.3.3</w:t>
            </w:r>
          </w:p>
        </w:tc>
        <w:tc>
          <w:tcPr>
            <w:tcW w:w="2093" w:type="dxa"/>
            <w:vAlign w:val="center"/>
          </w:tcPr>
          <w:p>
            <w:pPr>
              <w:pageBreakBefore w:val="0"/>
              <w:overflowPunct/>
              <w:bidi w:val="0"/>
              <w:spacing w:afterAutospacing="0" w:line="312" w:lineRule="auto"/>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保质期</w:t>
            </w:r>
          </w:p>
        </w:tc>
        <w:tc>
          <w:tcPr>
            <w:tcW w:w="6657" w:type="dxa"/>
            <w:vAlign w:val="center"/>
          </w:tcPr>
          <w:p>
            <w:pPr>
              <w:pageBreakBefore w:val="0"/>
              <w:overflowPunct/>
              <w:bidi w:val="0"/>
              <w:spacing w:afterAutospacing="0" w:line="312" w:lineRule="auto"/>
              <w:jc w:val="left"/>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24个月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1.3.4</w:t>
            </w:r>
          </w:p>
        </w:tc>
        <w:tc>
          <w:tcPr>
            <w:tcW w:w="2093" w:type="dxa"/>
            <w:vAlign w:val="center"/>
          </w:tcPr>
          <w:p>
            <w:pPr>
              <w:pageBreakBefore w:val="0"/>
              <w:overflowPunct/>
              <w:bidi w:val="0"/>
              <w:spacing w:afterAutospacing="0" w:line="312" w:lineRule="auto"/>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质量要求</w:t>
            </w:r>
          </w:p>
          <w:p>
            <w:pPr>
              <w:pageBreakBefore w:val="0"/>
              <w:overflowPunct/>
              <w:bidi w:val="0"/>
              <w:spacing w:afterAutospacing="0" w:line="312" w:lineRule="auto"/>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及验收标准</w:t>
            </w:r>
          </w:p>
        </w:tc>
        <w:tc>
          <w:tcPr>
            <w:tcW w:w="6657" w:type="dxa"/>
            <w:vAlign w:val="center"/>
          </w:tcPr>
          <w:p>
            <w:pPr>
              <w:pageBreakBefore w:val="0"/>
              <w:overflowPunct/>
              <w:bidi w:val="0"/>
              <w:spacing w:afterAutospacing="0" w:line="312" w:lineRule="auto"/>
              <w:rPr>
                <w:rFonts w:hint="eastAsia" w:ascii="仿宋" w:hAnsi="仿宋" w:eastAsia="仿宋" w:cs="仿宋"/>
                <w:color w:val="000000" w:themeColor="text1"/>
                <w:spacing w:val="-11"/>
                <w:sz w:val="21"/>
                <w:szCs w:val="21"/>
                <w:highlight w:val="none"/>
                <w:lang w:val="en-US" w:eastAsia="zh-CN"/>
                <w14:textFill>
                  <w14:solidFill>
                    <w14:schemeClr w14:val="tx1"/>
                  </w14:solidFill>
                </w14:textFill>
              </w:rPr>
            </w:pPr>
            <w:r>
              <w:rPr>
                <w:rFonts w:hint="eastAsia" w:ascii="仿宋" w:hAnsi="仿宋" w:eastAsia="仿宋" w:cs="仿宋"/>
                <w:color w:val="000000" w:themeColor="text1"/>
                <w:spacing w:val="-11"/>
                <w:sz w:val="21"/>
                <w:szCs w:val="21"/>
                <w:highlight w:val="none"/>
                <w:lang w:val="en-US" w:eastAsia="zh-CN"/>
                <w14:textFill>
                  <w14:solidFill>
                    <w14:schemeClr w14:val="tx1"/>
                  </w14:solidFill>
                </w14:textFill>
              </w:rPr>
              <w:t>质量要求：达到国家现行技术标准及采购人要求</w:t>
            </w:r>
          </w:p>
          <w:p>
            <w:pPr>
              <w:pageBreakBefore w:val="0"/>
              <w:overflowPunct/>
              <w:bidi w:val="0"/>
              <w:spacing w:afterAutospacing="0" w:line="312" w:lineRule="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pacing w:val="-11"/>
                <w:sz w:val="21"/>
                <w:szCs w:val="21"/>
                <w:highlight w:val="none"/>
                <w:lang w:val="en-US" w:eastAsia="zh-CN"/>
                <w14:textFill>
                  <w14:solidFill>
                    <w14:schemeClr w14:val="tx1"/>
                  </w14:solidFill>
                </w14:textFill>
              </w:rPr>
              <w:t>验收标准：国家标准、行业标准及采购人要求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1.4</w:t>
            </w:r>
          </w:p>
        </w:tc>
        <w:tc>
          <w:tcPr>
            <w:tcW w:w="2093" w:type="dxa"/>
            <w:vAlign w:val="center"/>
          </w:tcPr>
          <w:p>
            <w:pPr>
              <w:pageBreakBefore w:val="0"/>
              <w:overflowPunct/>
              <w:bidi w:val="0"/>
              <w:spacing w:afterAutospacing="0" w:line="312" w:lineRule="auto"/>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资格要求</w:t>
            </w:r>
          </w:p>
        </w:tc>
        <w:tc>
          <w:tcPr>
            <w:tcW w:w="6657" w:type="dxa"/>
            <w:vAlign w:val="center"/>
          </w:tcPr>
          <w:p>
            <w:pPr>
              <w:pageBreakBefore w:val="0"/>
              <w:numPr>
                <w:ilvl w:val="0"/>
                <w:numId w:val="9"/>
              </w:numPr>
              <w:overflowPunct/>
              <w:bidi w:val="0"/>
              <w:spacing w:afterAutospacing="0" w:line="312" w:lineRule="auto"/>
              <w:jc w:val="left"/>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t>供应商应符合《中华人民共和国政府采购法》第二十二条中的规定;</w:t>
            </w:r>
          </w:p>
          <w:p>
            <w:pPr>
              <w:pageBreakBefore w:val="0"/>
              <w:numPr>
                <w:ilvl w:val="0"/>
                <w:numId w:val="9"/>
              </w:numPr>
              <w:overflowPunct/>
              <w:bidi w:val="0"/>
              <w:spacing w:afterAutospacing="0" w:line="312" w:lineRule="auto"/>
              <w:jc w:val="left"/>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t>特定资格要求:</w:t>
            </w:r>
          </w:p>
          <w:p>
            <w:pPr>
              <w:pStyle w:val="9"/>
              <w:keepNext/>
              <w:keepLines/>
              <w:pageBreakBefore w:val="0"/>
              <w:widowControl w:val="0"/>
              <w:numPr>
                <w:ilvl w:val="0"/>
                <w:numId w:val="10"/>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textAlignment w:val="auto"/>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t>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pStyle w:val="9"/>
              <w:keepNext/>
              <w:keepLines/>
              <w:pageBreakBefore w:val="0"/>
              <w:widowControl w:val="0"/>
              <w:numPr>
                <w:ilvl w:val="0"/>
                <w:numId w:val="10"/>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textAlignment w:val="auto"/>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t>《法定代表人/事业法人授权书》附法定代表人/事业法人身份证及被授权人身份证复印件并加盖公章；法定代表人/事业法人直接参加的则须提交《法定代表人/事业法人证明书》和身份证复印件并加盖公章；</w:t>
            </w:r>
          </w:p>
          <w:p>
            <w:pPr>
              <w:pStyle w:val="9"/>
              <w:keepNext/>
              <w:keepLines/>
              <w:pageBreakBefore w:val="0"/>
              <w:widowControl w:val="0"/>
              <w:numPr>
                <w:ilvl w:val="0"/>
                <w:numId w:val="10"/>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textAlignment w:val="auto"/>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t>供应商具备市场监管部门颁发的营养包相关食品生产许可证，副本（或副页）中载明辅食营养补充品（或辅食营养素补充食品）生产明细，且在有效期内；</w:t>
            </w:r>
          </w:p>
          <w:p>
            <w:pPr>
              <w:pStyle w:val="9"/>
              <w:keepNext/>
              <w:keepLines/>
              <w:pageBreakBefore w:val="0"/>
              <w:widowControl w:val="0"/>
              <w:numPr>
                <w:ilvl w:val="0"/>
                <w:numId w:val="10"/>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textAlignment w:val="auto"/>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t>供应商具备食品安全管理体系（ISO22000或GB/T22000或HACCP）和质量管理体系（ISO9001或GB/T19001）认证；</w:t>
            </w:r>
          </w:p>
          <w:p>
            <w:pPr>
              <w:pStyle w:val="9"/>
              <w:keepNext/>
              <w:keepLines/>
              <w:pageBreakBefore w:val="0"/>
              <w:widowControl w:val="0"/>
              <w:numPr>
                <w:ilvl w:val="0"/>
                <w:numId w:val="10"/>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textAlignment w:val="auto"/>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t>供应商在投标截止日前一年内，在同类营养包项目供货过程中因存在食品安全问题导致产品一级召回或二级召回的不得参与本次投标。供应商需提供1年内在同类营养包项目供货过程中没有因食品安全问题导致产品一级召回或二级召回的书面声明；</w:t>
            </w:r>
          </w:p>
          <w:p>
            <w:pPr>
              <w:pStyle w:val="9"/>
              <w:keepNext/>
              <w:keepLines/>
              <w:pageBreakBefore w:val="0"/>
              <w:widowControl w:val="0"/>
              <w:numPr>
                <w:ilvl w:val="0"/>
                <w:numId w:val="10"/>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textAlignment w:val="auto"/>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t>财务状况报告：须提供近3年任意一年度的财务报表或具有财务审计资质的单位出具的财务报告（至少包括资产负债表和利润表，成立时间至提交竞争性磋商响应文件截止时间不足一年的可提供成立后任意时段的资产负债表），或银行出具的资信证明；</w:t>
            </w:r>
          </w:p>
          <w:p>
            <w:pPr>
              <w:pStyle w:val="9"/>
              <w:keepNext/>
              <w:keepLines/>
              <w:pageBreakBefore w:val="0"/>
              <w:widowControl w:val="0"/>
              <w:numPr>
                <w:ilvl w:val="0"/>
                <w:numId w:val="10"/>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textAlignment w:val="auto"/>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t>税收缴纳证明：提供响应文件截止时间前1年内任意1个月的纳税证明或完税证明，依法免税的供应商应提供相关文件证明；</w:t>
            </w:r>
          </w:p>
          <w:p>
            <w:pPr>
              <w:pStyle w:val="9"/>
              <w:keepNext/>
              <w:keepLines/>
              <w:pageBreakBefore w:val="0"/>
              <w:widowControl w:val="0"/>
              <w:numPr>
                <w:ilvl w:val="0"/>
                <w:numId w:val="10"/>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textAlignment w:val="auto"/>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t>社会保障资金缴纳证明：提供响应文件截止时间前1年内任意1个月的有效社会保障资金缴纳证明。依法不需要缴纳社会保障资金的供应商应提供相关文件证明；</w:t>
            </w:r>
          </w:p>
          <w:p>
            <w:pPr>
              <w:pStyle w:val="9"/>
              <w:keepNext/>
              <w:keepLines/>
              <w:pageBreakBefore w:val="0"/>
              <w:widowControl w:val="0"/>
              <w:numPr>
                <w:ilvl w:val="0"/>
                <w:numId w:val="10"/>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textAlignment w:val="auto"/>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t>供应商需具备履行合同所必需的设备和专业技术能力，须提供书面承诺书；</w:t>
            </w:r>
          </w:p>
          <w:p>
            <w:pPr>
              <w:pStyle w:val="9"/>
              <w:keepNext/>
              <w:keepLines/>
              <w:pageBreakBefore w:val="0"/>
              <w:widowControl w:val="0"/>
              <w:numPr>
                <w:ilvl w:val="0"/>
                <w:numId w:val="10"/>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textAlignment w:val="auto"/>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t>供应商参加采购活动近3年内经营活动中无重大违法记录声明；</w:t>
            </w:r>
          </w:p>
          <w:p>
            <w:pPr>
              <w:pStyle w:val="9"/>
              <w:keepNext/>
              <w:keepLines/>
              <w:pageBreakBefore w:val="0"/>
              <w:widowControl w:val="0"/>
              <w:numPr>
                <w:ilvl w:val="0"/>
                <w:numId w:val="10"/>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textAlignment w:val="auto"/>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t>供应商信誉要求：“信用中国”网站（www.creditchina.gov.cn）和“中国政府采购网”（www.ccgp.gov.cn）为供应商信用信息查询渠道，如果供应商被查实在投标截止时间前已列入失信被执行人、重大税收违法案件当事人名单、政府采购严重违法失信行为记录名单中被财政部门禁止参加政府采购活动的供应商其投标为无效；（提供查询结果网页截图并加盖供应商公章）；</w:t>
            </w:r>
          </w:p>
          <w:p>
            <w:pPr>
              <w:pStyle w:val="9"/>
              <w:keepNext/>
              <w:keepLines/>
              <w:pageBreakBefore w:val="0"/>
              <w:widowControl w:val="0"/>
              <w:numPr>
                <w:ilvl w:val="0"/>
                <w:numId w:val="10"/>
              </w:numPr>
              <w:tabs>
                <w:tab w:val="left" w:pos="1050"/>
                <w:tab w:val="left" w:pos="1260"/>
              </w:tabs>
              <w:kinsoku/>
              <w:wordWrap/>
              <w:overflowPunct/>
              <w:topLinePunct w:val="0"/>
              <w:autoSpaceDE/>
              <w:autoSpaceDN/>
              <w:bidi w:val="0"/>
              <w:adjustRightInd w:val="0"/>
              <w:snapToGrid w:val="0"/>
              <w:spacing w:before="0" w:beforeLines="0" w:after="0" w:afterLines="0" w:afterAutospacing="0" w:line="312" w:lineRule="auto"/>
              <w:textAlignment w:val="auto"/>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color w:val="000000" w:themeColor="text1"/>
                <w:kern w:val="2"/>
                <w:sz w:val="21"/>
                <w:szCs w:val="21"/>
                <w:highlight w:val="none"/>
                <w:lang w:val="en-US" w:eastAsia="zh-CN" w:bidi="ar-SA"/>
                <w14:textFill>
                  <w14:solidFill>
                    <w14:schemeClr w14:val="tx1"/>
                  </w14:solidFill>
                </w14:textFill>
              </w:rPr>
              <w:t>单位负责人为同一人或者存在直接控股、管理关系的不同供应商，不得参加同一合同项下的政府采购活动。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1.4.3</w:t>
            </w:r>
          </w:p>
        </w:tc>
        <w:tc>
          <w:tcPr>
            <w:tcW w:w="2093"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是否接受联合体</w:t>
            </w:r>
          </w:p>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磋商</w:t>
            </w:r>
          </w:p>
        </w:tc>
        <w:tc>
          <w:tcPr>
            <w:tcW w:w="6657" w:type="dxa"/>
            <w:vAlign w:val="center"/>
          </w:tcPr>
          <w:p>
            <w:pPr>
              <w:pageBreakBefore w:val="0"/>
              <w:overflowPunct/>
              <w:bidi w:val="0"/>
              <w:spacing w:afterAutospacing="0" w:line="312"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1.9</w:t>
            </w:r>
          </w:p>
        </w:tc>
        <w:tc>
          <w:tcPr>
            <w:tcW w:w="2093"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踏勘现场</w:t>
            </w:r>
          </w:p>
        </w:tc>
        <w:tc>
          <w:tcPr>
            <w:tcW w:w="6657" w:type="dxa"/>
            <w:vAlign w:val="center"/>
          </w:tcPr>
          <w:p>
            <w:pPr>
              <w:pageBreakBefore w:val="0"/>
              <w:overflowPunct/>
              <w:bidi w:val="0"/>
              <w:spacing w:afterAutospacing="0" w:line="312"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2.2</w:t>
            </w:r>
          </w:p>
        </w:tc>
        <w:tc>
          <w:tcPr>
            <w:tcW w:w="2093"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zh-CN" w:eastAsia="zh-CN"/>
              </w:rPr>
            </w:pPr>
            <w:r>
              <w:rPr>
                <w:rFonts w:hint="eastAsia" w:ascii="仿宋" w:hAnsi="仿宋" w:eastAsia="仿宋" w:cs="仿宋"/>
                <w:b/>
                <w:bCs/>
                <w:sz w:val="21"/>
                <w:szCs w:val="21"/>
                <w:highlight w:val="none"/>
                <w:lang w:val="en-US" w:eastAsia="zh-CN"/>
              </w:rPr>
              <w:t>本项目是否专门面向中小企业采购</w:t>
            </w:r>
          </w:p>
        </w:tc>
        <w:tc>
          <w:tcPr>
            <w:tcW w:w="6657" w:type="dxa"/>
            <w:vAlign w:val="center"/>
          </w:tcPr>
          <w:p>
            <w:pPr>
              <w:pageBreakBefore w:val="0"/>
              <w:overflowPunct/>
              <w:bidi w:val="0"/>
              <w:spacing w:afterAutospacing="0" w:line="312" w:lineRule="auto"/>
              <w:jc w:val="left"/>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rPr>
              <w:sym w:font="Wingdings" w:char="00FE"/>
            </w:r>
            <w:r>
              <w:rPr>
                <w:rFonts w:hint="eastAsia" w:ascii="仿宋" w:hAnsi="仿宋" w:eastAsia="仿宋" w:cs="仿宋"/>
                <w:b/>
                <w:bCs/>
                <w:sz w:val="21"/>
                <w:szCs w:val="21"/>
                <w:highlight w:val="none"/>
              </w:rPr>
              <w:t>是</w:t>
            </w:r>
          </w:p>
          <w:p>
            <w:pPr>
              <w:pageBreakBefore w:val="0"/>
              <w:overflowPunct/>
              <w:bidi w:val="0"/>
              <w:spacing w:afterAutospacing="0" w:line="312" w:lineRule="auto"/>
              <w:jc w:val="left"/>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sym w:font="Wingdings" w:char="00A8"/>
            </w:r>
            <w:r>
              <w:rPr>
                <w:rFonts w:hint="eastAsia" w:ascii="仿宋" w:hAnsi="仿宋" w:eastAsia="仿宋" w:cs="仿宋"/>
                <w:b/>
                <w:bCs/>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3.1.3</w:t>
            </w:r>
          </w:p>
        </w:tc>
        <w:tc>
          <w:tcPr>
            <w:tcW w:w="2093"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是否允许递交</w:t>
            </w:r>
          </w:p>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备选方案</w:t>
            </w:r>
          </w:p>
        </w:tc>
        <w:tc>
          <w:tcPr>
            <w:tcW w:w="6657" w:type="dxa"/>
            <w:vAlign w:val="center"/>
          </w:tcPr>
          <w:p>
            <w:pPr>
              <w:pageBreakBefore w:val="0"/>
              <w:overflowPunct/>
              <w:bidi w:val="0"/>
              <w:spacing w:afterAutospacing="0" w:line="312"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3.3</w:t>
            </w:r>
          </w:p>
        </w:tc>
        <w:tc>
          <w:tcPr>
            <w:tcW w:w="2093"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eastAsia="zh-CN"/>
              </w:rPr>
              <w:t>磋商</w:t>
            </w:r>
            <w:r>
              <w:rPr>
                <w:rFonts w:hint="eastAsia" w:ascii="仿宋" w:hAnsi="仿宋" w:eastAsia="仿宋" w:cs="仿宋"/>
                <w:sz w:val="21"/>
                <w:szCs w:val="21"/>
                <w:highlight w:val="none"/>
              </w:rPr>
              <w:t>有效期</w:t>
            </w:r>
          </w:p>
        </w:tc>
        <w:tc>
          <w:tcPr>
            <w:tcW w:w="6657" w:type="dxa"/>
            <w:vAlign w:val="center"/>
          </w:tcPr>
          <w:p>
            <w:pPr>
              <w:pageBreakBefore w:val="0"/>
              <w:overflowPunct/>
              <w:bidi w:val="0"/>
              <w:spacing w:afterAutospacing="0" w:line="312"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递交响应文件截止之日起90日历天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3.5.1</w:t>
            </w:r>
          </w:p>
        </w:tc>
        <w:tc>
          <w:tcPr>
            <w:tcW w:w="2093"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响应文件份数</w:t>
            </w:r>
          </w:p>
        </w:tc>
        <w:tc>
          <w:tcPr>
            <w:tcW w:w="6657" w:type="dxa"/>
            <w:vAlign w:val="center"/>
          </w:tcPr>
          <w:p>
            <w:pPr>
              <w:pageBreakBefore w:val="0"/>
              <w:overflowPunct/>
              <w:bidi w:val="0"/>
              <w:spacing w:afterAutospacing="0" w:line="312" w:lineRule="auto"/>
              <w:jc w:val="left"/>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正本一份，副本二份，电子文件一份</w:t>
            </w:r>
            <w:r>
              <w:rPr>
                <w:rFonts w:hint="eastAsia" w:ascii="仿宋" w:hAnsi="仿宋" w:eastAsia="仿宋" w:cs="仿宋"/>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3.5.2</w:t>
            </w:r>
          </w:p>
        </w:tc>
        <w:tc>
          <w:tcPr>
            <w:tcW w:w="2093"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响应文件装订要求</w:t>
            </w:r>
          </w:p>
        </w:tc>
        <w:tc>
          <w:tcPr>
            <w:tcW w:w="6657" w:type="dxa"/>
            <w:vAlign w:val="center"/>
          </w:tcPr>
          <w:p>
            <w:pPr>
              <w:pageBreakBefore w:val="0"/>
              <w:overflowPunct/>
              <w:bidi w:val="0"/>
              <w:spacing w:afterAutospacing="0" w:line="312"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在响应文件的右上角分别标明“正本”和“副本”字样，正本与副本不一致时以正本为准。响应文件正、副本均须用A4纸装订（个别较大的图表可用A3纸编制），并逐页标注页码，不得采用活页装订。同时提交响应文件电子版，电子版包括所有响应文件内容，内容应与正本相符，且应保证能正常打开，否则视为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3.5.3</w:t>
            </w:r>
          </w:p>
        </w:tc>
        <w:tc>
          <w:tcPr>
            <w:tcW w:w="2093"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响应文件的</w:t>
            </w:r>
          </w:p>
          <w:p>
            <w:pPr>
              <w:pageBreakBefore w:val="0"/>
              <w:overflowPunct/>
              <w:bidi w:val="0"/>
              <w:spacing w:afterAutospacing="0" w:line="312"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密封要求</w:t>
            </w:r>
          </w:p>
        </w:tc>
        <w:tc>
          <w:tcPr>
            <w:tcW w:w="6657" w:type="dxa"/>
            <w:vAlign w:val="center"/>
          </w:tcPr>
          <w:p>
            <w:pPr>
              <w:pageBreakBefore w:val="0"/>
              <w:overflowPunct/>
              <w:bidi w:val="0"/>
              <w:spacing w:afterAutospacing="0" w:line="312" w:lineRule="auto"/>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供应商应自行将磋商响应文件密封完好，加贴封条，并在封套的封口处加盖供应商公章及法定代表人/负责人或被授权人（印章）。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3.5.4</w:t>
            </w:r>
          </w:p>
        </w:tc>
        <w:tc>
          <w:tcPr>
            <w:tcW w:w="2093"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响应文件签字和</w:t>
            </w:r>
          </w:p>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盖章要求</w:t>
            </w:r>
          </w:p>
        </w:tc>
        <w:tc>
          <w:tcPr>
            <w:tcW w:w="6657" w:type="dxa"/>
            <w:vAlign w:val="center"/>
          </w:tcPr>
          <w:p>
            <w:pPr>
              <w:pageBreakBefore w:val="0"/>
              <w:overflowPunct/>
              <w:bidi w:val="0"/>
              <w:spacing w:afterAutospacing="0" w:line="312"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响应文件的正本应使用打印或不易褪色的蓝黑墨水笔书写，在规定的位置必须由法定代表人</w:t>
            </w:r>
            <w:r>
              <w:rPr>
                <w:rFonts w:hint="eastAsia" w:ascii="仿宋" w:hAnsi="仿宋" w:eastAsia="仿宋" w:cs="仿宋"/>
                <w:sz w:val="21"/>
                <w:szCs w:val="21"/>
                <w:highlight w:val="none"/>
                <w:lang w:val="en-US" w:eastAsia="zh-CN"/>
              </w:rPr>
              <w:t>/负责人</w:t>
            </w:r>
            <w:r>
              <w:rPr>
                <w:rFonts w:hint="eastAsia" w:ascii="仿宋" w:hAnsi="仿宋" w:eastAsia="仿宋" w:cs="仿宋"/>
                <w:sz w:val="21"/>
                <w:szCs w:val="21"/>
                <w:highlight w:val="none"/>
              </w:rPr>
              <w:t>或授权代表人签名（或盖章），并加盖单位公章；响应文件每页均应盖单位公章。副本可复印，除供应商对错误处必须修改外，全套响应文件应无涂改或行间插字和增删。如有修改，修改处应由法定代表人</w:t>
            </w:r>
            <w:r>
              <w:rPr>
                <w:rFonts w:hint="eastAsia" w:ascii="仿宋" w:hAnsi="仿宋" w:eastAsia="仿宋" w:cs="仿宋"/>
                <w:sz w:val="21"/>
                <w:szCs w:val="21"/>
                <w:highlight w:val="none"/>
                <w:lang w:val="en-US" w:eastAsia="zh-CN"/>
              </w:rPr>
              <w:t>/负责人</w:t>
            </w:r>
            <w:r>
              <w:rPr>
                <w:rFonts w:hint="eastAsia" w:ascii="仿宋" w:hAnsi="仿宋" w:eastAsia="仿宋" w:cs="仿宋"/>
                <w:sz w:val="21"/>
                <w:szCs w:val="21"/>
                <w:highlight w:val="none"/>
              </w:rPr>
              <w:t>签字并加盖供应商单位公章。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3.6.2</w:t>
            </w:r>
          </w:p>
        </w:tc>
        <w:tc>
          <w:tcPr>
            <w:tcW w:w="2093" w:type="dxa"/>
            <w:vAlign w:val="center"/>
          </w:tcPr>
          <w:p>
            <w:pPr>
              <w:pageBreakBefore w:val="0"/>
              <w:overflowPunct/>
              <w:bidi w:val="0"/>
              <w:spacing w:afterAutospacing="0" w:line="312" w:lineRule="auto"/>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eastAsia="zh-CN"/>
              </w:rPr>
              <w:t>现场携带原件</w:t>
            </w:r>
          </w:p>
        </w:tc>
        <w:tc>
          <w:tcPr>
            <w:tcW w:w="6657" w:type="dxa"/>
            <w:vAlign w:val="center"/>
          </w:tcPr>
          <w:p>
            <w:pPr>
              <w:pageBreakBefore w:val="0"/>
              <w:overflowPunct/>
              <w:bidi w:val="0"/>
              <w:spacing w:afterAutospacing="0" w:line="312" w:lineRule="auto"/>
              <w:jc w:val="left"/>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《法定代表人/负责人授权书》附法定代表人/负责人身份证及被授权人身份证复印件并加盖公章；法定代表人/负责人直接参加的则须提交《法定代表人/负责人证明书》和身份证复印件并加盖公章。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3.6.3</w:t>
            </w:r>
          </w:p>
        </w:tc>
        <w:tc>
          <w:tcPr>
            <w:tcW w:w="2093"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递交磋商响应文件</w:t>
            </w:r>
          </w:p>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时间和地址</w:t>
            </w:r>
          </w:p>
        </w:tc>
        <w:tc>
          <w:tcPr>
            <w:tcW w:w="6657" w:type="dxa"/>
            <w:vAlign w:val="center"/>
          </w:tcPr>
          <w:p>
            <w:pPr>
              <w:pageBreakBefore w:val="0"/>
              <w:overflowPunct/>
              <w:bidi w:val="0"/>
              <w:spacing w:afterAutospacing="0" w:line="312" w:lineRule="auto"/>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2022年12月14日14时30分00秒（北京时间）</w:t>
            </w:r>
          </w:p>
          <w:p>
            <w:pPr>
              <w:pageBreakBefore w:val="0"/>
              <w:overflowPunct/>
              <w:bidi w:val="0"/>
              <w:spacing w:afterAutospacing="0" w:line="312"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铜川市新区斯正街枫林湾酒店6楼会议室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3.6.4</w:t>
            </w:r>
          </w:p>
        </w:tc>
        <w:tc>
          <w:tcPr>
            <w:tcW w:w="2093"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是否退还响应文件</w:t>
            </w:r>
          </w:p>
        </w:tc>
        <w:tc>
          <w:tcPr>
            <w:tcW w:w="6657" w:type="dxa"/>
            <w:vAlign w:val="center"/>
          </w:tcPr>
          <w:p>
            <w:pPr>
              <w:pageBreakBefore w:val="0"/>
              <w:overflowPunct/>
              <w:bidi w:val="0"/>
              <w:spacing w:afterAutospacing="0" w:line="312"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5"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4.1.1</w:t>
            </w:r>
          </w:p>
        </w:tc>
        <w:tc>
          <w:tcPr>
            <w:tcW w:w="2093" w:type="dxa"/>
            <w:vAlign w:val="center"/>
          </w:tcPr>
          <w:p>
            <w:pPr>
              <w:pageBreakBefore w:val="0"/>
              <w:overflowPunct/>
              <w:bidi w:val="0"/>
              <w:spacing w:afterAutospacing="0" w:line="312"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评标委员会的组建</w:t>
            </w:r>
          </w:p>
        </w:tc>
        <w:tc>
          <w:tcPr>
            <w:tcW w:w="6657" w:type="dxa"/>
            <w:vAlign w:val="center"/>
          </w:tcPr>
          <w:p>
            <w:pPr>
              <w:pageBreakBefore w:val="0"/>
              <w:overflowPunct/>
              <w:bidi w:val="0"/>
              <w:spacing w:afterAutospacing="0" w:line="312"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评标委员会构成3人。其中采购人代表1人，专家2人。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08" w:type="dxa"/>
            <w:gridSpan w:val="2"/>
            <w:vAlign w:val="center"/>
          </w:tcPr>
          <w:p>
            <w:pPr>
              <w:keepNext w:val="0"/>
              <w:keepLines w:val="0"/>
              <w:pageBreakBefore w:val="0"/>
              <w:kinsoku/>
              <w:wordWrap/>
              <w:overflowPunct/>
              <w:topLinePunct w:val="0"/>
              <w:autoSpaceDE/>
              <w:autoSpaceDN/>
              <w:bidi w:val="0"/>
              <w:adjustRightInd/>
              <w:snapToGrid/>
              <w:spacing w:line="312" w:lineRule="auto"/>
              <w:jc w:val="center"/>
              <w:textAlignment w:val="auto"/>
              <w:outlineLvl w:val="9"/>
              <w:rPr>
                <w:rFonts w:hint="eastAsia" w:ascii="仿宋" w:hAnsi="仿宋" w:eastAsia="仿宋" w:cs="仿宋"/>
                <w:sz w:val="21"/>
                <w:szCs w:val="21"/>
                <w:highlight w:val="none"/>
                <w:lang w:val="en-US" w:eastAsia="zh-CN"/>
              </w:rPr>
            </w:pPr>
            <w:bookmarkStart w:id="11" w:name="_Toc30334"/>
            <w:bookmarkStart w:id="12" w:name="_Toc10246"/>
            <w:bookmarkStart w:id="13" w:name="_Toc7145"/>
            <w:bookmarkStart w:id="14" w:name="_Toc17812"/>
            <w:r>
              <w:rPr>
                <w:rFonts w:hint="eastAsia" w:ascii="仿宋" w:hAnsi="仿宋" w:eastAsia="仿宋" w:cs="仿宋"/>
                <w:b/>
                <w:bCs/>
                <w:sz w:val="21"/>
                <w:szCs w:val="21"/>
                <w:highlight w:val="none"/>
                <w:lang w:val="en-US" w:eastAsia="zh-CN"/>
              </w:rPr>
              <w:t>招标内容的实质性响应要求</w:t>
            </w:r>
          </w:p>
        </w:tc>
        <w:tc>
          <w:tcPr>
            <w:tcW w:w="6657" w:type="dxa"/>
            <w:vAlign w:val="center"/>
          </w:tcPr>
          <w:p>
            <w:pPr>
              <w:pageBreakBefore w:val="0"/>
              <w:overflowPunct/>
              <w:bidi w:val="0"/>
              <w:spacing w:afterAutospacing="0" w:line="312" w:lineRule="auto"/>
              <w:jc w:val="left"/>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磋商</w:t>
            </w:r>
            <w:r>
              <w:rPr>
                <w:rFonts w:hint="eastAsia" w:ascii="仿宋" w:hAnsi="仿宋" w:eastAsia="仿宋" w:cs="仿宋"/>
                <w:b/>
                <w:bCs/>
                <w:sz w:val="21"/>
                <w:szCs w:val="21"/>
                <w:highlight w:val="none"/>
                <w:lang w:eastAsia="zh-CN"/>
              </w:rPr>
              <w:t>文件“第</w:t>
            </w:r>
            <w:r>
              <w:rPr>
                <w:rFonts w:hint="eastAsia" w:ascii="仿宋" w:hAnsi="仿宋" w:eastAsia="仿宋" w:cs="仿宋"/>
                <w:b/>
                <w:bCs/>
                <w:sz w:val="21"/>
                <w:szCs w:val="21"/>
                <w:highlight w:val="none"/>
                <w:lang w:val="en-US" w:eastAsia="zh-CN"/>
              </w:rPr>
              <w:t xml:space="preserve">三部分 </w:t>
            </w:r>
            <w:r>
              <w:rPr>
                <w:rFonts w:hint="eastAsia" w:ascii="仿宋" w:hAnsi="仿宋" w:eastAsia="仿宋" w:cs="仿宋"/>
                <w:b/>
                <w:bCs/>
                <w:sz w:val="21"/>
                <w:szCs w:val="21"/>
                <w:highlight w:val="none"/>
                <w:lang w:eastAsia="zh-CN"/>
              </w:rPr>
              <w:t>合同条款</w:t>
            </w:r>
            <w:r>
              <w:rPr>
                <w:rFonts w:hint="eastAsia" w:ascii="仿宋" w:hAnsi="仿宋" w:eastAsia="仿宋" w:cs="仿宋"/>
                <w:b/>
                <w:bCs/>
                <w:sz w:val="21"/>
                <w:szCs w:val="21"/>
                <w:highlight w:val="none"/>
                <w:lang w:val="en-US" w:eastAsia="zh-CN"/>
              </w:rPr>
              <w:t>及格式</w:t>
            </w:r>
            <w:r>
              <w:rPr>
                <w:rFonts w:hint="eastAsia" w:ascii="仿宋" w:hAnsi="仿宋" w:eastAsia="仿宋" w:cs="仿宋"/>
                <w:b/>
                <w:bCs/>
                <w:sz w:val="21"/>
                <w:szCs w:val="21"/>
                <w:highlight w:val="none"/>
                <w:lang w:eastAsia="zh-CN"/>
              </w:rPr>
              <w:t>”和“</w:t>
            </w:r>
            <w:r>
              <w:rPr>
                <w:rFonts w:hint="eastAsia" w:ascii="仿宋" w:hAnsi="仿宋" w:eastAsia="仿宋" w:cs="仿宋"/>
                <w:b/>
                <w:bCs/>
                <w:sz w:val="21"/>
                <w:szCs w:val="21"/>
                <w:highlight w:val="none"/>
                <w:lang w:val="zh-CN" w:eastAsia="zh-CN"/>
              </w:rPr>
              <w:t>第四部分</w:t>
            </w:r>
            <w:r>
              <w:rPr>
                <w:rFonts w:hint="eastAsia" w:ascii="仿宋" w:hAnsi="仿宋" w:eastAsia="仿宋" w:cs="仿宋"/>
                <w:b/>
                <w:bCs/>
                <w:sz w:val="21"/>
                <w:szCs w:val="21"/>
                <w:highlight w:val="none"/>
                <w:lang w:val="en-US" w:eastAsia="zh-CN"/>
              </w:rPr>
              <w:t xml:space="preserve"> 采购</w:t>
            </w:r>
            <w:r>
              <w:rPr>
                <w:rFonts w:hint="eastAsia" w:ascii="仿宋" w:hAnsi="仿宋" w:eastAsia="仿宋" w:cs="仿宋"/>
                <w:b/>
                <w:bCs/>
                <w:sz w:val="21"/>
                <w:szCs w:val="21"/>
                <w:highlight w:val="none"/>
                <w:lang w:val="zh-CN" w:eastAsia="zh-CN"/>
              </w:rPr>
              <w:t>内容及商务要求</w:t>
            </w:r>
            <w:r>
              <w:rPr>
                <w:rFonts w:hint="eastAsia" w:ascii="仿宋" w:hAnsi="仿宋" w:eastAsia="仿宋" w:cs="仿宋"/>
                <w:b/>
                <w:bCs/>
                <w:sz w:val="21"/>
                <w:szCs w:val="21"/>
                <w:highlight w:val="none"/>
                <w:lang w:eastAsia="zh-CN"/>
              </w:rPr>
              <w:t>”中以“★”号标记的条款为不允许偏离的技术和商务的实质性要求和条件，不满足实质性要求和条件的投标为无效投标。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08" w:type="dxa"/>
            <w:gridSpan w:val="2"/>
            <w:vAlign w:val="center"/>
          </w:tcPr>
          <w:p>
            <w:pPr>
              <w:pageBreakBefore w:val="0"/>
              <w:overflowPunct/>
              <w:bidi w:val="0"/>
              <w:spacing w:afterAutospacing="0" w:line="312" w:lineRule="auto"/>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核心产品</w:t>
            </w:r>
          </w:p>
        </w:tc>
        <w:tc>
          <w:tcPr>
            <w:tcW w:w="6657" w:type="dxa"/>
            <w:vAlign w:val="center"/>
          </w:tcPr>
          <w:p>
            <w:pPr>
              <w:pageBreakBefore w:val="0"/>
              <w:overflowPunct/>
              <w:bidi w:val="0"/>
              <w:spacing w:afterAutospacing="0" w:line="312" w:lineRule="auto"/>
              <w:jc w:val="left"/>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eastAsia="zh-CN"/>
              </w:rPr>
              <w:t>婴幼儿辅食营养包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08"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afterLines="0" w:line="312" w:lineRule="auto"/>
              <w:jc w:val="center"/>
              <w:textAlignment w:val="auto"/>
              <w:outlineLvl w:val="9"/>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kern w:val="2"/>
                <w:sz w:val="21"/>
                <w:szCs w:val="21"/>
                <w:highlight w:val="none"/>
                <w:lang w:val="en-US" w:eastAsia="zh-CN" w:bidi="ar-SA"/>
              </w:rPr>
              <w:t>进口产品</w:t>
            </w:r>
          </w:p>
        </w:tc>
        <w:tc>
          <w:tcPr>
            <w:tcW w:w="6657"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312" w:lineRule="auto"/>
              <w:jc w:val="both"/>
              <w:textAlignment w:val="auto"/>
              <w:outlineLvl w:val="9"/>
              <w:rPr>
                <w:rFonts w:hint="eastAsia" w:ascii="仿宋" w:hAnsi="仿宋" w:eastAsia="仿宋" w:cs="仿宋"/>
                <w:b w:val="0"/>
                <w:bCs w:val="0"/>
                <w:sz w:val="21"/>
                <w:szCs w:val="21"/>
                <w:highlight w:val="none"/>
                <w:lang w:eastAsia="zh-CN"/>
              </w:rPr>
            </w:pPr>
            <w:r>
              <w:rPr>
                <w:rFonts w:hint="eastAsia" w:ascii="仿宋" w:hAnsi="仿宋" w:eastAsia="仿宋" w:cs="仿宋"/>
                <w:b w:val="0"/>
                <w:bCs w:val="0"/>
                <w:kern w:val="2"/>
                <w:sz w:val="21"/>
                <w:szCs w:val="21"/>
                <w:highlight w:val="none"/>
                <w:lang w:val="en-US" w:eastAsia="zh-CN" w:bidi="ar-SA"/>
              </w:rPr>
              <w:t>本采购项目拒绝进口产品参加投标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08" w:type="dxa"/>
            <w:gridSpan w:val="2"/>
            <w:vAlign w:val="center"/>
          </w:tcPr>
          <w:p>
            <w:pPr>
              <w:pageBreakBefore w:val="0"/>
              <w:overflowPunct/>
              <w:bidi w:val="0"/>
              <w:spacing w:afterAutospacing="0" w:line="312" w:lineRule="auto"/>
              <w:jc w:val="center"/>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sz w:val="21"/>
                <w:szCs w:val="21"/>
                <w:highlight w:val="none"/>
                <w:lang w:val="en-US" w:eastAsia="zh-CN"/>
              </w:rPr>
              <w:t>磋商保证金</w:t>
            </w:r>
          </w:p>
        </w:tc>
        <w:tc>
          <w:tcPr>
            <w:tcW w:w="6657" w:type="dxa"/>
            <w:vAlign w:val="center"/>
          </w:tcPr>
          <w:p>
            <w:pPr>
              <w:pageBreakBefore w:val="0"/>
              <w:overflowPunct/>
              <w:bidi w:val="0"/>
              <w:spacing w:afterAutospacing="0" w:line="312" w:lineRule="auto"/>
              <w:jc w:val="left"/>
              <w:rPr>
                <w:rFonts w:hint="eastAsia" w:ascii="仿宋" w:hAnsi="仿宋" w:eastAsia="仿宋" w:cs="仿宋"/>
                <w:b w:val="0"/>
                <w:bCs w:val="0"/>
                <w:sz w:val="21"/>
                <w:szCs w:val="21"/>
                <w:highlight w:val="none"/>
                <w:lang w:eastAsia="zh-CN"/>
              </w:rPr>
            </w:pPr>
            <w:r>
              <w:rPr>
                <w:rFonts w:hint="eastAsia" w:ascii="仿宋" w:hAnsi="仿宋" w:eastAsia="仿宋" w:cs="仿宋"/>
                <w:b w:val="0"/>
                <w:bCs w:val="0"/>
                <w:sz w:val="21"/>
                <w:szCs w:val="21"/>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08" w:type="dxa"/>
            <w:gridSpan w:val="2"/>
            <w:vAlign w:val="center"/>
          </w:tcPr>
          <w:p>
            <w:pPr>
              <w:pageBreakBefore w:val="0"/>
              <w:overflowPunct/>
              <w:bidi w:val="0"/>
              <w:spacing w:afterAutospacing="0" w:line="312" w:lineRule="auto"/>
              <w:jc w:val="center"/>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sz w:val="21"/>
                <w:szCs w:val="21"/>
                <w:highlight w:val="none"/>
                <w:lang w:val="en-US" w:eastAsia="zh-CN"/>
              </w:rPr>
              <w:t>履约保证金</w:t>
            </w:r>
          </w:p>
        </w:tc>
        <w:tc>
          <w:tcPr>
            <w:tcW w:w="6657" w:type="dxa"/>
            <w:vAlign w:val="center"/>
          </w:tcPr>
          <w:p>
            <w:pPr>
              <w:pageBreakBefore w:val="0"/>
              <w:overflowPunct/>
              <w:bidi w:val="0"/>
              <w:spacing w:afterAutospacing="0" w:line="312" w:lineRule="auto"/>
              <w:jc w:val="left"/>
              <w:rPr>
                <w:rFonts w:hint="eastAsia" w:ascii="仿宋" w:hAnsi="仿宋" w:eastAsia="仿宋" w:cs="仿宋"/>
                <w:b w:val="0"/>
                <w:bCs w:val="0"/>
                <w:sz w:val="21"/>
                <w:szCs w:val="21"/>
                <w:highlight w:val="none"/>
                <w:lang w:eastAsia="zh-CN"/>
              </w:rPr>
            </w:pPr>
            <w:r>
              <w:rPr>
                <w:rFonts w:hint="eastAsia" w:ascii="仿宋" w:hAnsi="仿宋" w:eastAsia="仿宋" w:cs="仿宋"/>
                <w:b w:val="0"/>
                <w:bCs w:val="0"/>
                <w:sz w:val="21"/>
                <w:szCs w:val="21"/>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08" w:type="dxa"/>
            <w:gridSpan w:val="2"/>
            <w:vAlign w:val="center"/>
          </w:tcPr>
          <w:p>
            <w:pPr>
              <w:pageBreakBefore w:val="0"/>
              <w:overflowPunct/>
              <w:bidi w:val="0"/>
              <w:spacing w:afterAutospacing="0" w:line="312" w:lineRule="auto"/>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磋商确认函</w:t>
            </w:r>
          </w:p>
        </w:tc>
        <w:tc>
          <w:tcPr>
            <w:tcW w:w="6657" w:type="dxa"/>
            <w:vAlign w:val="center"/>
          </w:tcPr>
          <w:p>
            <w:pPr>
              <w:pageBreakBefore w:val="0"/>
              <w:overflowPunct/>
              <w:bidi w:val="0"/>
              <w:spacing w:afterAutospacing="0" w:line="312" w:lineRule="auto"/>
              <w:jc w:val="left"/>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rPr>
              <w:t>供应商登记免费领取采购文件的,如不参与项目投标,应在递交响应文件截止时间前一日以书面形式告知采购代理机构。否则,采购代理机构可以向财政部门反映情况并提供相应的佐证。供应商一年内累计出现三次该情形,将被监管部门记录为失信行为。</w:t>
            </w:r>
          </w:p>
        </w:tc>
      </w:tr>
    </w:tbl>
    <w:p>
      <w:pPr>
        <w:pageBreakBefore w:val="0"/>
        <w:overflowPunct/>
        <w:bidi w:val="0"/>
        <w:spacing w:afterAutospacing="0" w:line="312" w:lineRule="auto"/>
        <w:outlineLvl w:val="9"/>
        <w:rPr>
          <w:rFonts w:hint="eastAsia" w:ascii="仿宋" w:hAnsi="仿宋" w:eastAsia="仿宋" w:cs="仿宋"/>
          <w:b/>
          <w:sz w:val="44"/>
          <w:szCs w:val="44"/>
          <w:highlight w:val="none"/>
        </w:rPr>
      </w:pPr>
      <w:r>
        <w:rPr>
          <w:rFonts w:hint="eastAsia" w:ascii="仿宋" w:hAnsi="仿宋" w:eastAsia="仿宋" w:cs="仿宋"/>
          <w:b/>
          <w:sz w:val="44"/>
          <w:szCs w:val="44"/>
          <w:highlight w:val="none"/>
        </w:rPr>
        <w:br w:type="page"/>
      </w:r>
    </w:p>
    <w:p>
      <w:pPr>
        <w:pageBreakBefore w:val="0"/>
        <w:numPr>
          <w:ilvl w:val="0"/>
          <w:numId w:val="11"/>
        </w:numPr>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总则</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项目概况</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rPr>
      </w:pPr>
      <w:r>
        <w:rPr>
          <w:rFonts w:hint="eastAsia" w:ascii="仿宋" w:hAnsi="仿宋" w:eastAsia="仿宋" w:cs="仿宋"/>
          <w:sz w:val="24"/>
          <w:highlight w:val="none"/>
        </w:rPr>
        <w:t>本竞争性磋商文件仅适用于本次竞争性磋商（以下简称磋商）所叙述的相关服务项目的采购活动。</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rPr>
        <w:t>本项目采购人：见供应商须知前附表；</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rPr>
        <w:t>本项目采购代理机构：见供应商须知前附表；</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rPr>
        <w:t>本项目项目名称：见供应商须知前附表。</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资金性质及预算金额</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rPr>
        <w:t>本项目的资金性质：见供应商须知前附表；</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highlight w:val="none"/>
        </w:rPr>
      </w:pPr>
      <w:r>
        <w:rPr>
          <w:rFonts w:hint="eastAsia" w:ascii="仿宋" w:hAnsi="仿宋" w:eastAsia="仿宋" w:cs="仿宋"/>
          <w:sz w:val="24"/>
          <w:highlight w:val="none"/>
        </w:rPr>
        <w:t>本项目的预算金额：见供应商须知前附表。</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lang w:eastAsia="zh-CN"/>
        </w:rPr>
        <w:t>采购要求</w:t>
      </w:r>
      <w:r>
        <w:rPr>
          <w:rFonts w:hint="eastAsia" w:ascii="仿宋" w:hAnsi="仿宋" w:eastAsia="仿宋" w:cs="仿宋"/>
          <w:b/>
          <w:bCs/>
          <w:sz w:val="24"/>
          <w:highlight w:val="none"/>
        </w:rPr>
        <w:t>、</w:t>
      </w:r>
      <w:r>
        <w:rPr>
          <w:rFonts w:hint="eastAsia" w:ascii="仿宋" w:hAnsi="仿宋" w:eastAsia="仿宋" w:cs="仿宋"/>
          <w:b/>
          <w:bCs/>
          <w:sz w:val="24"/>
          <w:highlight w:val="none"/>
          <w:lang w:val="en-US" w:eastAsia="zh-CN"/>
        </w:rPr>
        <w:t>交货期、保质期、服务质量及验收标准</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rPr>
        <w:t>本项目</w:t>
      </w:r>
      <w:r>
        <w:rPr>
          <w:rFonts w:hint="eastAsia" w:ascii="仿宋" w:hAnsi="仿宋" w:eastAsia="仿宋" w:cs="仿宋"/>
          <w:sz w:val="24"/>
          <w:highlight w:val="none"/>
          <w:lang w:eastAsia="zh-CN"/>
        </w:rPr>
        <w:t>采购要求</w:t>
      </w:r>
      <w:r>
        <w:rPr>
          <w:rFonts w:hint="eastAsia" w:ascii="仿宋" w:hAnsi="仿宋" w:eastAsia="仿宋" w:cs="仿宋"/>
          <w:sz w:val="24"/>
          <w:highlight w:val="none"/>
        </w:rPr>
        <w:t>：见供应商须知前附表；</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rPr>
        <w:t>本项目</w:t>
      </w:r>
      <w:r>
        <w:rPr>
          <w:rFonts w:hint="eastAsia" w:ascii="仿宋" w:hAnsi="仿宋" w:eastAsia="仿宋" w:cs="仿宋"/>
          <w:sz w:val="24"/>
          <w:highlight w:val="none"/>
          <w:lang w:val="en-US" w:eastAsia="zh-CN"/>
        </w:rPr>
        <w:t>交货期</w:t>
      </w:r>
      <w:r>
        <w:rPr>
          <w:rFonts w:hint="eastAsia" w:ascii="仿宋" w:hAnsi="仿宋" w:eastAsia="仿宋" w:cs="仿宋"/>
          <w:sz w:val="24"/>
          <w:highlight w:val="none"/>
        </w:rPr>
        <w:t>：见供应商须知前附表</w:t>
      </w:r>
      <w:r>
        <w:rPr>
          <w:rFonts w:hint="eastAsia" w:ascii="仿宋" w:hAnsi="仿宋" w:eastAsia="仿宋" w:cs="仿宋"/>
          <w:sz w:val="24"/>
          <w:highlight w:val="none"/>
          <w:lang w:eastAsia="zh-CN"/>
        </w:rPr>
        <w:t>；</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rPr>
        <w:t>本项目</w:t>
      </w:r>
      <w:r>
        <w:rPr>
          <w:rFonts w:hint="eastAsia" w:ascii="仿宋" w:hAnsi="仿宋" w:eastAsia="仿宋" w:cs="仿宋"/>
          <w:sz w:val="24"/>
          <w:highlight w:val="none"/>
          <w:lang w:val="en-US" w:eastAsia="zh-CN"/>
        </w:rPr>
        <w:t>保质期</w:t>
      </w:r>
      <w:r>
        <w:rPr>
          <w:rFonts w:hint="eastAsia" w:ascii="仿宋" w:hAnsi="仿宋" w:eastAsia="仿宋" w:cs="仿宋"/>
          <w:sz w:val="24"/>
          <w:highlight w:val="none"/>
        </w:rPr>
        <w:t>：见供应商须知前附表</w:t>
      </w:r>
      <w:r>
        <w:rPr>
          <w:rFonts w:hint="eastAsia" w:ascii="仿宋" w:hAnsi="仿宋" w:eastAsia="仿宋" w:cs="仿宋"/>
          <w:sz w:val="24"/>
          <w:highlight w:val="none"/>
          <w:lang w:eastAsia="zh-CN"/>
        </w:rPr>
        <w:t>；</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rPr>
        <w:t>本项目</w:t>
      </w:r>
      <w:r>
        <w:rPr>
          <w:rFonts w:hint="eastAsia" w:ascii="仿宋" w:hAnsi="仿宋" w:eastAsia="仿宋" w:cs="仿宋"/>
          <w:sz w:val="24"/>
          <w:highlight w:val="none"/>
          <w:lang w:val="en-US" w:eastAsia="zh-CN"/>
        </w:rPr>
        <w:t>服务质量及验收标准</w:t>
      </w:r>
      <w:r>
        <w:rPr>
          <w:rFonts w:hint="eastAsia" w:ascii="仿宋" w:hAnsi="仿宋" w:eastAsia="仿宋" w:cs="仿宋"/>
          <w:sz w:val="24"/>
          <w:highlight w:val="none"/>
        </w:rPr>
        <w:t>：见供应商须知前附表</w:t>
      </w:r>
      <w:r>
        <w:rPr>
          <w:rFonts w:hint="eastAsia" w:ascii="仿宋" w:hAnsi="仿宋" w:eastAsia="仿宋" w:cs="仿宋"/>
          <w:sz w:val="24"/>
          <w:highlight w:val="none"/>
          <w:lang w:eastAsia="zh-CN"/>
        </w:rPr>
        <w:t>。</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供应商资格要求</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rPr>
      </w:pPr>
      <w:r>
        <w:rPr>
          <w:rFonts w:hint="eastAsia" w:ascii="仿宋" w:hAnsi="仿宋" w:eastAsia="仿宋" w:cs="仿宋"/>
          <w:sz w:val="24"/>
          <w:highlight w:val="none"/>
        </w:rPr>
        <w:t>供应商须提供磋商文件供应商须知前附表第</w:t>
      </w:r>
      <w:r>
        <w:rPr>
          <w:rFonts w:hint="eastAsia" w:ascii="仿宋" w:hAnsi="仿宋" w:eastAsia="仿宋" w:cs="仿宋"/>
          <w:sz w:val="24"/>
          <w:highlight w:val="none"/>
          <w:lang w:val="en-US" w:eastAsia="zh-CN"/>
        </w:rPr>
        <w:t>1.4</w:t>
      </w:r>
      <w:r>
        <w:rPr>
          <w:rFonts w:hint="eastAsia" w:ascii="仿宋" w:hAnsi="仿宋" w:eastAsia="仿宋" w:cs="仿宋"/>
          <w:sz w:val="24"/>
          <w:highlight w:val="none"/>
        </w:rPr>
        <w:t>条要求的资格证明文件，如资格证明文件不全或不合格的，其磋商投标按照无效响应处理；</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rPr>
      </w:pPr>
      <w:r>
        <w:rPr>
          <w:rFonts w:hint="eastAsia" w:ascii="仿宋" w:hAnsi="仿宋" w:eastAsia="仿宋" w:cs="仿宋"/>
          <w:sz w:val="24"/>
          <w:highlight w:val="none"/>
        </w:rPr>
        <w:t>如果磋商须知前附表有要求，投标供应商还应按照要求提交证明文件的原件。如果未能提供原件或者提供原件不全的，其磋商投标按照无效响应处理</w:t>
      </w:r>
      <w:r>
        <w:rPr>
          <w:rFonts w:hint="eastAsia" w:ascii="仿宋" w:hAnsi="仿宋" w:eastAsia="仿宋" w:cs="仿宋"/>
          <w:sz w:val="24"/>
          <w:highlight w:val="none"/>
          <w:lang w:eastAsia="zh-CN"/>
        </w:rPr>
        <w:t>；</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是否接受联合体磋商</w:t>
      </w:r>
      <w:r>
        <w:rPr>
          <w:rFonts w:hint="eastAsia" w:ascii="仿宋" w:hAnsi="仿宋" w:eastAsia="仿宋" w:cs="仿宋"/>
          <w:sz w:val="24"/>
          <w:highlight w:val="none"/>
        </w:rPr>
        <w:t>：见供应商须知前附表</w:t>
      </w:r>
      <w:r>
        <w:rPr>
          <w:rFonts w:hint="eastAsia" w:ascii="仿宋" w:hAnsi="仿宋" w:eastAsia="仿宋" w:cs="仿宋"/>
          <w:sz w:val="24"/>
          <w:highlight w:val="none"/>
          <w:lang w:eastAsia="zh-CN"/>
        </w:rPr>
        <w:t>。</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费用承担</w:t>
      </w:r>
    </w:p>
    <w:p>
      <w:pPr>
        <w:pageBreakBefore w:val="0"/>
        <w:kinsoku/>
        <w:overflowPunct/>
        <w:bidi w:val="0"/>
        <w:spacing w:afterAutospacing="0"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en-US" w:eastAsia="zh-CN"/>
        </w:rPr>
        <w:t>供应商应自行承担其编制与递交响应文件所涉及的一切费用不论磋商结果如何，采购代理机构对上述费用不负任何责任</w:t>
      </w:r>
      <w:r>
        <w:rPr>
          <w:rFonts w:hint="eastAsia" w:ascii="仿宋" w:hAnsi="仿宋" w:eastAsia="仿宋" w:cs="仿宋"/>
          <w:sz w:val="24"/>
          <w:highlight w:val="none"/>
          <w:lang w:val="zh-CN"/>
        </w:rPr>
        <w:t>。</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保密</w:t>
      </w:r>
    </w:p>
    <w:p>
      <w:pPr>
        <w:pageBreakBefore w:val="0"/>
        <w:kinsoku/>
        <w:overflowPunct/>
        <w:bidi w:val="0"/>
        <w:spacing w:afterAutospacing="0" w:line="312"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参与采购活动的当事人应对响应文件和响应文件中的商业秘密、技术秘密和个人隐私等保密，违者应对由此造成的后果承担法律责任</w:t>
      </w:r>
      <w:r>
        <w:rPr>
          <w:rFonts w:hint="eastAsia" w:ascii="仿宋" w:hAnsi="仿宋" w:eastAsia="仿宋" w:cs="仿宋"/>
          <w:sz w:val="24"/>
          <w:highlight w:val="none"/>
        </w:rPr>
        <w:t>。</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语言文字</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响应文件使用的语言为中文。专用术语使用外文的，应附有中文注释；</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响应文件中如附有外文资料，必须逐一对应翻译成中文并加盖供应商单位公章后附在相关外文资料后面，否则，供应商的响应文件将作为无效响应文件处理；</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中翻译的中文资料与外文资料如果出现差异和矛盾时，以中文为准。但不能故意错误翻译，否则，供应商的响应文件将作为无效响应文件处理。必要时采购人可以要求供应商提供附有关证书的中文翻译文件或者与原版文件签章相一致的中文翻译文件。</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计量单位</w:t>
      </w:r>
    </w:p>
    <w:p>
      <w:pPr>
        <w:pageBreakBefore w:val="0"/>
        <w:kinsoku/>
        <w:overflowPunct/>
        <w:bidi w:val="0"/>
        <w:spacing w:afterAutospacing="0" w:line="312"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所有计量均采用中华人民共和国法定计量单位。</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踏勘现场</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供应商须知前附表规定组织踏勘现场的，采购人按供应商须知前附表规定的时间、地点组织供应商踏勘项目现场；供应商踏勘现场发生的费用自理；</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除供应商的原因外，供应商自行负责在踏勘现场中所发生的人员伤亡和财产损失；</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sz w:val="24"/>
          <w:highlight w:val="none"/>
          <w:lang w:val="zh-CN" w:eastAsia="zh-CN"/>
        </w:rPr>
        <w:t>采购人向</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lang w:val="zh-CN" w:eastAsia="zh-CN"/>
        </w:rPr>
        <w:t>提供的有关现场的资料和数据，是采购人现有的能被</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lang w:val="zh-CN" w:eastAsia="zh-CN"/>
        </w:rPr>
        <w:t>利用的资料；采购人对</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lang w:val="zh-CN" w:eastAsia="zh-CN"/>
        </w:rPr>
        <w:t>由此所做出的推论、理解和结论不负责任</w:t>
      </w:r>
      <w:r>
        <w:rPr>
          <w:rFonts w:hint="eastAsia" w:ascii="仿宋" w:hAnsi="仿宋" w:eastAsia="仿宋" w:cs="仿宋"/>
          <w:sz w:val="24"/>
          <w:highlight w:val="none"/>
          <w:lang w:val="en-US" w:eastAsia="zh-CN"/>
        </w:rPr>
        <w:t>。</w:t>
      </w:r>
    </w:p>
    <w:p>
      <w:pPr>
        <w:pageBreakBefore w:val="0"/>
        <w:numPr>
          <w:ilvl w:val="0"/>
          <w:numId w:val="11"/>
        </w:numPr>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磋商文件</w:t>
      </w:r>
    </w:p>
    <w:p>
      <w:pPr>
        <w:pageBreakBefore w:val="0"/>
        <w:numPr>
          <w:ilvl w:val="1"/>
          <w:numId w:val="11"/>
        </w:numPr>
        <w:tabs>
          <w:tab w:val="left" w:pos="840"/>
          <w:tab w:val="left" w:pos="1050"/>
        </w:tabs>
        <w:kinsoku/>
        <w:overflowPunct/>
        <w:bidi w:val="0"/>
        <w:spacing w:afterAutospacing="0" w:line="312" w:lineRule="auto"/>
        <w:ind w:left="10" w:leftChars="0" w:firstLine="387" w:firstLineChars="0"/>
        <w:jc w:val="left"/>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rPr>
        <w:t>本项目磋商文件依据《中华人民共和国政府采购法》及《中华人民共和国政府采购法实施条例》等相关法律法规进行编写。</w:t>
      </w:r>
    </w:p>
    <w:p>
      <w:pPr>
        <w:pageBreakBefore w:val="0"/>
        <w:numPr>
          <w:ilvl w:val="1"/>
          <w:numId w:val="11"/>
        </w:numPr>
        <w:tabs>
          <w:tab w:val="left" w:pos="840"/>
          <w:tab w:val="left" w:pos="1050"/>
        </w:tabs>
        <w:kinsoku/>
        <w:overflowPunct/>
        <w:bidi w:val="0"/>
        <w:spacing w:afterAutospacing="0" w:line="312" w:lineRule="auto"/>
        <w:ind w:left="10" w:leftChars="0" w:firstLine="387" w:firstLineChars="0"/>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eastAsia="zh-CN"/>
        </w:rPr>
        <w:t>落实政府采购政策需满足的资格要求：</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《节能产品政府采购实施意见》（财库[2004]185号）；</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《环境标志产品政府采购实施的意见》（财库[2006]90号）；</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《国务院办公厅关于建立政府强制采购节能产品制度的通知》（国办发〔2007〕51号）；</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《财政部司法部关于政府采购支持监狱企业发展有关问题的通知》（财库〔2014〕68号）；</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《财政部民政部中国残疾人联合会关于促进残疾人就业政府采购政策的通知》（财库〔2017〕141号）；</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陕西省财政厅关于印发《陕西省中小企业政府采购信用融资办法》（陕财办采〔2018〕23号）；</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《财政部发展改革委生态环境部市场监管总局关于调整优化节能产品、环境标志产品政府采购执行机制的通知》（财库〔2019〕9号）；</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《关于印发环境标志产品政府采购品目清单的通知》（财库〔2019〕18号）；</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《关于印发节能产品政府采购品目清单的通知》（财库〔2019〕19号）；</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《陕西省财政厅关于加快推进我省中小企业政府采购信用融资工作的通知》（陕财办采〔2020〕15号）；</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《政府采购促进中小企业发展管理办法》（财库〔2020〕46号）；</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《财政部农业农村部国家乡村振兴局关于运用政府采购政策支持乡村产业振兴的通知》（财库〔2021〕19号）；</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《关于进一步加大政府采购支持中小企业力度的通知》（财库〔2022〕19号）；</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《陕西省财政厅关于进一步加大政府采购支持中小企业力度的通知》（陕财办采〔2022〕5号）；</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《陕西省财政厅关于落实政府采购支持中小企业政策有关事项的通知》（陕财办采函〔2022〕10号）；</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kern w:val="2"/>
          <w:sz w:val="24"/>
          <w:szCs w:val="24"/>
          <w:highlight w:val="no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如有最新颁布的政府采购政策，按最新的文件执行；</w:t>
      </w:r>
    </w:p>
    <w:p>
      <w:pPr>
        <w:pageBreakBefore w:val="0"/>
        <w:numPr>
          <w:ilvl w:val="2"/>
          <w:numId w:val="11"/>
        </w:numPr>
        <w:tabs>
          <w:tab w:val="left" w:pos="840"/>
          <w:tab w:val="left" w:pos="1050"/>
        </w:tabs>
        <w:kinsoku/>
        <w:overflowPunct/>
        <w:bidi w:val="0"/>
        <w:spacing w:afterAutospacing="0" w:line="312" w:lineRule="auto"/>
        <w:ind w:left="430" w:leftChars="0" w:firstLine="387" w:firstLineChars="0"/>
        <w:jc w:val="left"/>
        <w:rPr>
          <w:rFonts w:hint="eastAsia" w:ascii="仿宋" w:hAnsi="仿宋" w:eastAsia="仿宋" w:cs="仿宋"/>
          <w:b w:val="0"/>
          <w:kern w:val="2"/>
          <w:sz w:val="24"/>
          <w:szCs w:val="24"/>
          <w:highlight w:val="none"/>
          <w:lang w:val="en-US" w:eastAsia="zh-CN" w:bidi="ar-SA"/>
        </w:rPr>
      </w:pPr>
      <w:r>
        <w:rPr>
          <w:rFonts w:hint="eastAsia" w:ascii="仿宋" w:hAnsi="仿宋" w:eastAsia="仿宋" w:cs="仿宋"/>
          <w:b w:val="0"/>
          <w:bCs/>
          <w:i w:val="0"/>
          <w:caps w:val="0"/>
          <w:color w:val="auto"/>
          <w:spacing w:val="0"/>
          <w:kern w:val="2"/>
          <w:sz w:val="24"/>
          <w:szCs w:val="24"/>
          <w:highlight w:val="none"/>
          <w:shd w:val="clear" w:color="auto" w:fill="FFFFFF"/>
          <w:vertAlign w:val="baseline"/>
          <w:lang w:val="en-US" w:eastAsia="zh-CN" w:bidi="ar-SA"/>
        </w:rPr>
        <w:t>本项目专门面向中小企业采购。</w:t>
      </w:r>
    </w:p>
    <w:p>
      <w:pPr>
        <w:pageBreakBefore w:val="0"/>
        <w:numPr>
          <w:ilvl w:val="1"/>
          <w:numId w:val="11"/>
        </w:numPr>
        <w:tabs>
          <w:tab w:val="left" w:pos="840"/>
          <w:tab w:val="left" w:pos="1050"/>
        </w:tabs>
        <w:kinsoku/>
        <w:overflowPunct/>
        <w:bidi w:val="0"/>
        <w:spacing w:afterAutospacing="0" w:line="312" w:lineRule="auto"/>
        <w:ind w:left="10" w:leftChars="0" w:firstLine="387" w:firstLineChars="0"/>
        <w:jc w:val="left"/>
        <w:rPr>
          <w:rFonts w:hint="eastAsia" w:ascii="仿宋" w:hAnsi="仿宋" w:eastAsia="仿宋" w:cs="仿宋"/>
          <w:b/>
          <w:bCs/>
          <w:sz w:val="24"/>
          <w:highlight w:val="none"/>
          <w:lang w:val="zh-CN" w:eastAsia="zh-CN"/>
        </w:rPr>
      </w:pPr>
      <w:r>
        <w:rPr>
          <w:rFonts w:hint="eastAsia" w:ascii="仿宋" w:hAnsi="仿宋" w:eastAsia="仿宋" w:cs="仿宋"/>
          <w:b/>
          <w:bCs/>
          <w:sz w:val="24"/>
          <w:highlight w:val="none"/>
          <w:lang w:val="zh-CN" w:eastAsia="zh-CN"/>
        </w:rPr>
        <w:t>投标企业政府采购政策</w:t>
      </w:r>
    </w:p>
    <w:p>
      <w:pPr>
        <w:pageBreakBefore w:val="0"/>
        <w:numPr>
          <w:ilvl w:val="2"/>
          <w:numId w:val="11"/>
        </w:numPr>
        <w:tabs>
          <w:tab w:val="left" w:pos="840"/>
          <w:tab w:val="left" w:pos="1050"/>
          <w:tab w:val="left" w:pos="1260"/>
        </w:tabs>
        <w:kinsoku/>
        <w:overflowPunct/>
        <w:bidi w:val="0"/>
        <w:spacing w:afterAutospacing="0" w:line="312" w:lineRule="auto"/>
        <w:ind w:left="0" w:firstLine="420" w:firstLineChars="17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rPr>
        <w:t>《政府采购促</w:t>
      </w:r>
      <w:r>
        <w:rPr>
          <w:rFonts w:hint="eastAsia" w:ascii="仿宋" w:hAnsi="仿宋" w:eastAsia="仿宋" w:cs="仿宋"/>
          <w:sz w:val="24"/>
          <w:highlight w:val="none"/>
          <w:lang w:val="zh-CN" w:eastAsia="zh-CN"/>
        </w:rPr>
        <w:t>进中小企业发展管理办法》（财库〔2020〕46号），按照文件要求提供相关证明资料；</w:t>
      </w:r>
    </w:p>
    <w:p>
      <w:pPr>
        <w:pageBreakBefore w:val="0"/>
        <w:numPr>
          <w:ilvl w:val="2"/>
          <w:numId w:val="11"/>
        </w:numPr>
        <w:tabs>
          <w:tab w:val="left" w:pos="840"/>
          <w:tab w:val="left" w:pos="1050"/>
          <w:tab w:val="left" w:pos="1260"/>
        </w:tabs>
        <w:kinsoku/>
        <w:overflowPunct/>
        <w:bidi w:val="0"/>
        <w:spacing w:afterAutospacing="0" w:line="312" w:lineRule="auto"/>
        <w:ind w:left="0" w:firstLine="420" w:firstLineChars="17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eastAsia="zh-CN"/>
        </w:rPr>
        <w:t>监狱和戒毒企业应符合《财政部司法部关于政府采购支持监狱企业发展有关问题的通知》--财库〔2014〕68号，并提供由省级以上监狱管理局、戒毒管理局(含新疆生产建设兵团)出具的属于监狱企业的证明；</w:t>
      </w:r>
    </w:p>
    <w:p>
      <w:pPr>
        <w:pageBreakBefore w:val="0"/>
        <w:numPr>
          <w:ilvl w:val="2"/>
          <w:numId w:val="11"/>
        </w:numPr>
        <w:tabs>
          <w:tab w:val="left" w:pos="840"/>
          <w:tab w:val="left" w:pos="1050"/>
          <w:tab w:val="left" w:pos="1260"/>
        </w:tabs>
        <w:kinsoku/>
        <w:overflowPunct/>
        <w:bidi w:val="0"/>
        <w:spacing w:afterAutospacing="0" w:line="312" w:lineRule="auto"/>
        <w:ind w:left="0" w:firstLine="420" w:firstLineChars="17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eastAsia="zh-CN"/>
        </w:rPr>
        <w:t>残疾人福利性单位应符合《财政部、民政部、中国残疾人联合会关于促进残疾人就业政府采购政策的通知》（财库[2017]141号）文件规定，并提供《残疾人福利性单位声明函》；</w:t>
      </w:r>
    </w:p>
    <w:p>
      <w:pPr>
        <w:pageBreakBefore w:val="0"/>
        <w:numPr>
          <w:ilvl w:val="2"/>
          <w:numId w:val="11"/>
        </w:numPr>
        <w:tabs>
          <w:tab w:val="left" w:pos="840"/>
          <w:tab w:val="left" w:pos="1050"/>
          <w:tab w:val="left" w:pos="1260"/>
        </w:tabs>
        <w:kinsoku/>
        <w:overflowPunct/>
        <w:bidi w:val="0"/>
        <w:spacing w:afterAutospacing="0" w:line="312" w:lineRule="auto"/>
        <w:ind w:left="0" w:firstLine="420" w:firstLineChars="17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eastAsia="zh-CN"/>
        </w:rPr>
        <w:t>残疾人福利性单位属于小型、微型企业的，不重复享受政策；</w:t>
      </w:r>
    </w:p>
    <w:p>
      <w:pPr>
        <w:pageBreakBefore w:val="0"/>
        <w:numPr>
          <w:ilvl w:val="2"/>
          <w:numId w:val="11"/>
        </w:numPr>
        <w:tabs>
          <w:tab w:val="left" w:pos="840"/>
          <w:tab w:val="left" w:pos="1050"/>
          <w:tab w:val="left" w:pos="126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eastAsia="zh-CN"/>
        </w:rPr>
        <w:t>投标供应商应如实</w:t>
      </w:r>
      <w:r>
        <w:rPr>
          <w:rFonts w:hint="eastAsia" w:ascii="仿宋" w:hAnsi="仿宋" w:eastAsia="仿宋" w:cs="仿宋"/>
          <w:sz w:val="24"/>
          <w:highlight w:val="none"/>
          <w:lang w:val="zh-CN"/>
        </w:rPr>
        <w:t>提供以上证明文件，如存在虚假应标，将取消其投标资格。</w:t>
      </w:r>
    </w:p>
    <w:p>
      <w:pPr>
        <w:pageBreakBefore w:val="0"/>
        <w:numPr>
          <w:ilvl w:val="1"/>
          <w:numId w:val="11"/>
        </w:numPr>
        <w:tabs>
          <w:tab w:val="left" w:pos="840"/>
          <w:tab w:val="left" w:pos="1050"/>
        </w:tabs>
        <w:kinsoku/>
        <w:overflowPunct/>
        <w:bidi w:val="0"/>
        <w:spacing w:afterAutospacing="0" w:line="312" w:lineRule="auto"/>
        <w:ind w:left="10" w:leftChars="0" w:firstLine="387" w:firstLineChars="0"/>
        <w:jc w:val="left"/>
        <w:rPr>
          <w:rFonts w:hint="eastAsia" w:ascii="仿宋" w:hAnsi="仿宋" w:eastAsia="仿宋" w:cs="仿宋"/>
          <w:b/>
          <w:bCs/>
          <w:sz w:val="24"/>
          <w:highlight w:val="none"/>
          <w:lang w:val="zh-CN" w:eastAsia="zh-CN"/>
        </w:rPr>
      </w:pPr>
      <w:r>
        <w:rPr>
          <w:rFonts w:hint="eastAsia" w:ascii="仿宋" w:hAnsi="仿宋" w:eastAsia="仿宋" w:cs="仿宋"/>
          <w:b/>
          <w:bCs/>
          <w:sz w:val="24"/>
          <w:highlight w:val="none"/>
          <w:lang w:val="zh-CN" w:eastAsia="zh-CN"/>
        </w:rPr>
        <w:t>投标产品政府采购政策</w:t>
      </w:r>
    </w:p>
    <w:p>
      <w:pPr>
        <w:pageBreakBefore w:val="0"/>
        <w:numPr>
          <w:ilvl w:val="2"/>
          <w:numId w:val="11"/>
        </w:numPr>
        <w:tabs>
          <w:tab w:val="left" w:pos="840"/>
          <w:tab w:val="left" w:pos="1050"/>
          <w:tab w:val="left" w:pos="1260"/>
        </w:tabs>
        <w:kinsoku/>
        <w:overflowPunct/>
        <w:bidi w:val="0"/>
        <w:spacing w:afterAutospacing="0" w:line="312" w:lineRule="auto"/>
        <w:ind w:left="0" w:firstLine="420" w:firstLineChars="17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rPr>
        <w:t>节能产品</w:t>
      </w:r>
      <w:r>
        <w:rPr>
          <w:rFonts w:hint="eastAsia" w:ascii="仿宋" w:hAnsi="仿宋" w:eastAsia="仿宋" w:cs="仿宋"/>
          <w:sz w:val="24"/>
          <w:highlight w:val="none"/>
          <w:lang w:val="zh-CN" w:eastAsia="zh-CN"/>
        </w:rPr>
        <w:t>根据《国务院办公厅关于建立政府强制采购节能产品制度的通知》（国办发〔２００７〕５１号）的规定，以中国政府采购网（http://www.ccgp.gov.cn/）公布的最新一期节能产品政府采购清单为准；</w:t>
      </w:r>
    </w:p>
    <w:p>
      <w:pPr>
        <w:pageBreakBefore w:val="0"/>
        <w:numPr>
          <w:ilvl w:val="2"/>
          <w:numId w:val="11"/>
        </w:numPr>
        <w:tabs>
          <w:tab w:val="left" w:pos="840"/>
          <w:tab w:val="left" w:pos="1050"/>
          <w:tab w:val="left" w:pos="1260"/>
        </w:tabs>
        <w:kinsoku/>
        <w:overflowPunct/>
        <w:bidi w:val="0"/>
        <w:spacing w:afterAutospacing="0" w:line="312" w:lineRule="auto"/>
        <w:ind w:left="0" w:firstLine="420" w:firstLineChars="17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eastAsia="zh-CN"/>
        </w:rPr>
        <w:t>环境标志产品根据《环境标志产品政府采购实施的意见》（财库[2006]90号）的规定，以中国政府采购网（http://www.ccgp.gov.cn/）公布的最新一期环境标志产品政府采购清单为准；</w:t>
      </w:r>
    </w:p>
    <w:p>
      <w:pPr>
        <w:pageBreakBefore w:val="0"/>
        <w:numPr>
          <w:ilvl w:val="2"/>
          <w:numId w:val="11"/>
        </w:numPr>
        <w:tabs>
          <w:tab w:val="left" w:pos="840"/>
          <w:tab w:val="left" w:pos="1050"/>
          <w:tab w:val="left" w:pos="1260"/>
        </w:tabs>
        <w:kinsoku/>
        <w:overflowPunct/>
        <w:bidi w:val="0"/>
        <w:spacing w:afterAutospacing="0" w:line="312" w:lineRule="auto"/>
        <w:ind w:left="0" w:firstLine="420" w:firstLineChars="17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eastAsia="zh-CN"/>
        </w:rPr>
        <w:t>投标供应商在响应文件中对所投标产品为节能、环保、环境标志产品清单中的产品，在投标报价时必须对此类产品单独分项报价，计算出小计及占投标报价总金额的百分比，并提供属于清单内产品的证明资料（从中国政府采购网上下载的网页公告等），未提供节能、环保、环境标志产品计分明细表及属于清单内产品的证明资料的不给予计分；</w:t>
      </w:r>
    </w:p>
    <w:p>
      <w:pPr>
        <w:pageBreakBefore w:val="0"/>
        <w:numPr>
          <w:ilvl w:val="2"/>
          <w:numId w:val="11"/>
        </w:numPr>
        <w:tabs>
          <w:tab w:val="left" w:pos="840"/>
          <w:tab w:val="left" w:pos="1050"/>
          <w:tab w:val="left" w:pos="126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eastAsia="zh-CN"/>
        </w:rPr>
        <w:t>若节能、环保、环境标</w:t>
      </w:r>
      <w:r>
        <w:rPr>
          <w:rFonts w:hint="eastAsia" w:ascii="仿宋" w:hAnsi="仿宋" w:eastAsia="仿宋" w:cs="仿宋"/>
          <w:sz w:val="24"/>
          <w:highlight w:val="none"/>
          <w:lang w:val="zh-CN"/>
        </w:rPr>
        <w:t>志清单内的产品仅是构成投标产品的部件、组件或零件的，则该投标产品不享受鼓励优惠政策；</w:t>
      </w:r>
    </w:p>
    <w:p>
      <w:pPr>
        <w:pageBreakBefore w:val="0"/>
        <w:numPr>
          <w:ilvl w:val="2"/>
          <w:numId w:val="11"/>
        </w:numPr>
        <w:tabs>
          <w:tab w:val="left" w:pos="840"/>
          <w:tab w:val="left" w:pos="1050"/>
          <w:tab w:val="left" w:pos="1260"/>
        </w:tabs>
        <w:kinsoku/>
        <w:overflowPunct/>
        <w:bidi w:val="0"/>
        <w:spacing w:afterAutospacing="0" w:line="312" w:lineRule="auto"/>
        <w:ind w:left="0" w:firstLine="420" w:firstLineChars="17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rPr>
        <w:t>同一标段的节</w:t>
      </w:r>
      <w:r>
        <w:rPr>
          <w:rFonts w:hint="eastAsia" w:ascii="仿宋" w:hAnsi="仿宋" w:eastAsia="仿宋" w:cs="仿宋"/>
          <w:sz w:val="24"/>
          <w:highlight w:val="none"/>
          <w:lang w:val="zh-CN" w:eastAsia="zh-CN"/>
        </w:rPr>
        <w:t>能、环保、环境标志产品部分计分只对属于清单内的非强制类产品进行计分，强制类产品不给予计分；</w:t>
      </w:r>
    </w:p>
    <w:p>
      <w:pPr>
        <w:pageBreakBefore w:val="0"/>
        <w:numPr>
          <w:ilvl w:val="2"/>
          <w:numId w:val="11"/>
        </w:numPr>
        <w:tabs>
          <w:tab w:val="left" w:pos="840"/>
          <w:tab w:val="left" w:pos="1050"/>
          <w:tab w:val="left" w:pos="1260"/>
        </w:tabs>
        <w:kinsoku/>
        <w:overflowPunct/>
        <w:bidi w:val="0"/>
        <w:spacing w:afterAutospacing="0" w:line="312" w:lineRule="auto"/>
        <w:ind w:left="0" w:firstLine="420" w:firstLineChars="17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eastAsia="zh-CN"/>
        </w:rPr>
        <w:t>节能、环保、环境标志产品不重复计分；同时列入国家级清单和省级清单的产品不重复计分；</w:t>
      </w:r>
    </w:p>
    <w:p>
      <w:pPr>
        <w:pageBreakBefore w:val="0"/>
        <w:numPr>
          <w:ilvl w:val="2"/>
          <w:numId w:val="11"/>
        </w:numPr>
        <w:tabs>
          <w:tab w:val="left" w:pos="840"/>
          <w:tab w:val="left" w:pos="1050"/>
          <w:tab w:val="left" w:pos="1260"/>
        </w:tabs>
        <w:kinsoku/>
        <w:overflowPunct/>
        <w:bidi w:val="0"/>
        <w:spacing w:afterAutospacing="0" w:line="312" w:lineRule="auto"/>
        <w:ind w:left="0" w:firstLine="420" w:firstLineChars="17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eastAsia="zh-CN"/>
        </w:rPr>
        <w:t>获得上述认证的产品在投标时应提供有效证明材料。</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磋商文件的组成</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rPr>
        <w:t>磋商文件包括下列内容：</w:t>
      </w:r>
    </w:p>
    <w:p>
      <w:pPr>
        <w:pageBreakBefore w:val="0"/>
        <w:numPr>
          <w:ilvl w:val="0"/>
          <w:numId w:val="12"/>
        </w:numPr>
        <w:tabs>
          <w:tab w:val="left" w:pos="315"/>
          <w:tab w:val="left" w:pos="784"/>
          <w:tab w:val="left" w:pos="966"/>
          <w:tab w:val="left" w:pos="1050"/>
        </w:tabs>
        <w:kinsoku/>
        <w:overflowPunct/>
        <w:bidi w:val="0"/>
        <w:spacing w:afterAutospacing="0" w:line="312" w:lineRule="auto"/>
        <w:ind w:firstLine="215"/>
        <w:rPr>
          <w:rFonts w:hint="eastAsia" w:ascii="仿宋" w:hAnsi="仿宋" w:eastAsia="仿宋" w:cs="仿宋"/>
          <w:sz w:val="24"/>
          <w:highlight w:val="none"/>
        </w:rPr>
      </w:pPr>
      <w:r>
        <w:rPr>
          <w:rFonts w:hint="eastAsia" w:ascii="仿宋" w:hAnsi="仿宋" w:eastAsia="仿宋" w:cs="仿宋"/>
          <w:sz w:val="24"/>
          <w:highlight w:val="none"/>
        </w:rPr>
        <w:t>竞争性磋商公告；</w:t>
      </w:r>
    </w:p>
    <w:p>
      <w:pPr>
        <w:pageBreakBefore w:val="0"/>
        <w:numPr>
          <w:ilvl w:val="0"/>
          <w:numId w:val="12"/>
        </w:numPr>
        <w:tabs>
          <w:tab w:val="left" w:pos="315"/>
          <w:tab w:val="left" w:pos="784"/>
          <w:tab w:val="left" w:pos="966"/>
          <w:tab w:val="left" w:pos="1050"/>
        </w:tabs>
        <w:kinsoku/>
        <w:overflowPunct/>
        <w:bidi w:val="0"/>
        <w:spacing w:afterAutospacing="0" w:line="312" w:lineRule="auto"/>
        <w:ind w:firstLine="215"/>
        <w:rPr>
          <w:rFonts w:hint="eastAsia" w:ascii="仿宋" w:hAnsi="仿宋" w:eastAsia="仿宋" w:cs="仿宋"/>
          <w:sz w:val="24"/>
          <w:highlight w:val="none"/>
        </w:rPr>
      </w:pPr>
      <w:r>
        <w:rPr>
          <w:rFonts w:hint="eastAsia" w:ascii="仿宋" w:hAnsi="仿宋" w:eastAsia="仿宋" w:cs="仿宋"/>
          <w:sz w:val="24"/>
          <w:highlight w:val="none"/>
        </w:rPr>
        <w:t>供应商须知；</w:t>
      </w:r>
    </w:p>
    <w:p>
      <w:pPr>
        <w:pageBreakBefore w:val="0"/>
        <w:numPr>
          <w:ilvl w:val="0"/>
          <w:numId w:val="12"/>
        </w:numPr>
        <w:tabs>
          <w:tab w:val="left" w:pos="315"/>
          <w:tab w:val="left" w:pos="784"/>
          <w:tab w:val="left" w:pos="966"/>
          <w:tab w:val="left" w:pos="1050"/>
        </w:tabs>
        <w:kinsoku/>
        <w:overflowPunct/>
        <w:bidi w:val="0"/>
        <w:spacing w:afterAutospacing="0" w:line="312" w:lineRule="auto"/>
        <w:ind w:firstLine="215"/>
        <w:rPr>
          <w:rFonts w:hint="eastAsia" w:ascii="仿宋" w:hAnsi="仿宋" w:eastAsia="仿宋" w:cs="仿宋"/>
          <w:sz w:val="24"/>
          <w:highlight w:val="none"/>
        </w:rPr>
      </w:pPr>
      <w:r>
        <w:rPr>
          <w:rFonts w:hint="eastAsia" w:ascii="仿宋" w:hAnsi="仿宋" w:eastAsia="仿宋" w:cs="仿宋"/>
          <w:sz w:val="24"/>
          <w:highlight w:val="none"/>
        </w:rPr>
        <w:t>合同条款及格式；</w:t>
      </w:r>
    </w:p>
    <w:p>
      <w:pPr>
        <w:pageBreakBefore w:val="0"/>
        <w:numPr>
          <w:ilvl w:val="0"/>
          <w:numId w:val="12"/>
        </w:numPr>
        <w:tabs>
          <w:tab w:val="left" w:pos="315"/>
          <w:tab w:val="left" w:pos="784"/>
          <w:tab w:val="left" w:pos="966"/>
          <w:tab w:val="left" w:pos="1050"/>
        </w:tabs>
        <w:kinsoku/>
        <w:overflowPunct/>
        <w:bidi w:val="0"/>
        <w:spacing w:afterAutospacing="0" w:line="312" w:lineRule="auto"/>
        <w:ind w:firstLine="215"/>
        <w:rPr>
          <w:rFonts w:hint="eastAsia" w:ascii="仿宋" w:hAnsi="仿宋" w:eastAsia="仿宋" w:cs="仿宋"/>
          <w:sz w:val="24"/>
          <w:highlight w:val="none"/>
        </w:rPr>
      </w:pP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内容</w:t>
      </w:r>
      <w:r>
        <w:rPr>
          <w:rFonts w:hint="eastAsia" w:ascii="仿宋" w:hAnsi="仿宋" w:eastAsia="仿宋" w:cs="仿宋"/>
          <w:sz w:val="24"/>
          <w:highlight w:val="none"/>
          <w:lang w:eastAsia="zh-CN"/>
        </w:rPr>
        <w:t>及商务要求</w:t>
      </w:r>
      <w:r>
        <w:rPr>
          <w:rFonts w:hint="eastAsia" w:ascii="仿宋" w:hAnsi="仿宋" w:eastAsia="仿宋" w:cs="仿宋"/>
          <w:sz w:val="24"/>
          <w:highlight w:val="none"/>
        </w:rPr>
        <w:t>；</w:t>
      </w:r>
    </w:p>
    <w:p>
      <w:pPr>
        <w:pageBreakBefore w:val="0"/>
        <w:numPr>
          <w:ilvl w:val="0"/>
          <w:numId w:val="12"/>
        </w:numPr>
        <w:tabs>
          <w:tab w:val="left" w:pos="315"/>
          <w:tab w:val="left" w:pos="784"/>
          <w:tab w:val="left" w:pos="966"/>
          <w:tab w:val="left" w:pos="1050"/>
        </w:tabs>
        <w:kinsoku/>
        <w:overflowPunct/>
        <w:bidi w:val="0"/>
        <w:spacing w:afterAutospacing="0" w:line="312" w:lineRule="auto"/>
        <w:ind w:firstLine="215"/>
        <w:rPr>
          <w:rFonts w:hint="eastAsia" w:ascii="仿宋" w:hAnsi="仿宋" w:eastAsia="仿宋" w:cs="仿宋"/>
          <w:sz w:val="24"/>
          <w:highlight w:val="none"/>
        </w:rPr>
      </w:pPr>
      <w:r>
        <w:rPr>
          <w:rFonts w:hint="eastAsia" w:ascii="仿宋" w:hAnsi="仿宋" w:eastAsia="仿宋" w:cs="仿宋"/>
          <w:sz w:val="24"/>
          <w:highlight w:val="none"/>
        </w:rPr>
        <w:t>评审办法及标准；</w:t>
      </w:r>
    </w:p>
    <w:p>
      <w:pPr>
        <w:pageBreakBefore w:val="0"/>
        <w:numPr>
          <w:ilvl w:val="0"/>
          <w:numId w:val="12"/>
        </w:numPr>
        <w:tabs>
          <w:tab w:val="left" w:pos="315"/>
          <w:tab w:val="left" w:pos="784"/>
          <w:tab w:val="left" w:pos="966"/>
          <w:tab w:val="left" w:pos="1050"/>
        </w:tabs>
        <w:kinsoku/>
        <w:overflowPunct/>
        <w:bidi w:val="0"/>
        <w:spacing w:afterAutospacing="0" w:line="312" w:lineRule="auto"/>
        <w:ind w:firstLine="215"/>
        <w:rPr>
          <w:rFonts w:hint="eastAsia" w:ascii="仿宋" w:hAnsi="仿宋" w:eastAsia="仿宋" w:cs="仿宋"/>
          <w:sz w:val="24"/>
          <w:highlight w:val="none"/>
        </w:rPr>
      </w:pPr>
      <w:r>
        <w:rPr>
          <w:rFonts w:hint="eastAsia" w:ascii="仿宋" w:hAnsi="仿宋" w:eastAsia="仿宋" w:cs="仿宋"/>
          <w:sz w:val="24"/>
          <w:highlight w:val="none"/>
        </w:rPr>
        <w:t>响应文件格式。</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磋商文件的澄清及修改</w:t>
      </w:r>
    </w:p>
    <w:p>
      <w:pPr>
        <w:pageBreakBefore w:val="0"/>
        <w:numPr>
          <w:ilvl w:val="2"/>
          <w:numId w:val="11"/>
        </w:numPr>
        <w:tabs>
          <w:tab w:val="left" w:pos="840"/>
          <w:tab w:val="left" w:pos="1050"/>
        </w:tabs>
        <w:kinsoku/>
        <w:overflowPunct/>
        <w:bidi w:val="0"/>
        <w:spacing w:afterAutospacing="0" w:line="312" w:lineRule="auto"/>
        <w:ind w:left="420"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采购人、采购代理机构可以对已发出的响应文件进行必要的澄清或者修改，澄清或修改内容做为磋商文件的组成部分，澄清或修改的内容可能影响响应文件编制的，采购人、采购代理机构应当在响应文件递交截止时间至少5日前，以书面形式通知所有购买磋商文件的供应商；不足5日的，采购人、采购代理机构应当顺延递交响应文件的截止时间；</w:t>
      </w:r>
    </w:p>
    <w:p>
      <w:pPr>
        <w:pageBreakBefore w:val="0"/>
        <w:numPr>
          <w:ilvl w:val="2"/>
          <w:numId w:val="11"/>
        </w:numPr>
        <w:tabs>
          <w:tab w:val="left" w:pos="840"/>
          <w:tab w:val="left" w:pos="1050"/>
        </w:tabs>
        <w:kinsoku/>
        <w:overflowPunct/>
        <w:bidi w:val="0"/>
        <w:spacing w:afterAutospacing="0" w:line="312" w:lineRule="auto"/>
        <w:ind w:left="420"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应仔细阅读和检查磋商文件的全部内容。如发现缺页或附件不全，应及时向采购代理机构提出，以便补齐。如需对磋商文件（除质疑外）需要询问或澄清的，或认为有必要与采购代理机构进行技术交流的，均应在提交首次响应文件截止时间3日前按磋商文件中的联系方式，以书面形式向采购代理机构提出，采购代理机构应当在2日内，以书面形式予以答复（答复中不包括问题的来源），或认为有必要召开答疑会。超过该时间收到的询问或需要澄清的内容，采购代理机构有权不予答复；</w:t>
      </w:r>
    </w:p>
    <w:p>
      <w:pPr>
        <w:pageBreakBefore w:val="0"/>
        <w:numPr>
          <w:ilvl w:val="2"/>
          <w:numId w:val="11"/>
        </w:numPr>
        <w:tabs>
          <w:tab w:val="left" w:pos="840"/>
          <w:tab w:val="left" w:pos="1050"/>
        </w:tabs>
        <w:kinsoku/>
        <w:overflowPunct/>
        <w:bidi w:val="0"/>
        <w:spacing w:afterAutospacing="0" w:line="312" w:lineRule="auto"/>
        <w:ind w:left="420"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在提交首次响应文件截止时间前，采购代理机构可以视采购具体情况，延长提交首次响应文件截止时间，并将变更时间以书面形式通知所有获取了磋商文件的供应商；</w:t>
      </w:r>
    </w:p>
    <w:p>
      <w:pPr>
        <w:pageBreakBefore w:val="0"/>
        <w:numPr>
          <w:ilvl w:val="2"/>
          <w:numId w:val="11"/>
        </w:numPr>
        <w:tabs>
          <w:tab w:val="left" w:pos="840"/>
          <w:tab w:val="left" w:pos="1050"/>
        </w:tabs>
        <w:kinsoku/>
        <w:overflowPunct/>
        <w:bidi w:val="0"/>
        <w:spacing w:afterAutospacing="0" w:line="312" w:lineRule="auto"/>
        <w:ind w:left="420"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当磋商文件的澄清、答疑、修改或补充通知与磋商文件就同一内容表述不一致时，以最后发出的书面文件内容为准。</w:t>
      </w:r>
    </w:p>
    <w:p>
      <w:pPr>
        <w:pageBreakBefore w:val="0"/>
        <w:numPr>
          <w:ilvl w:val="0"/>
          <w:numId w:val="11"/>
        </w:numPr>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响应文件</w:t>
      </w:r>
    </w:p>
    <w:p>
      <w:pPr>
        <w:pageBreakBefore w:val="0"/>
        <w:numPr>
          <w:ilvl w:val="1"/>
          <w:numId w:val="11"/>
        </w:numPr>
        <w:tabs>
          <w:tab w:val="left" w:pos="0"/>
          <w:tab w:val="left" w:pos="1050"/>
        </w:tabs>
        <w:kinsoku/>
        <w:overflowPunct/>
        <w:bidi w:val="0"/>
        <w:spacing w:afterAutospacing="0" w:line="312" w:lineRule="auto"/>
        <w:ind w:left="10" w:firstLine="387"/>
        <w:jc w:val="left"/>
        <w:rPr>
          <w:rFonts w:hint="eastAsia" w:ascii="仿宋" w:hAnsi="仿宋" w:eastAsia="仿宋" w:cs="仿宋"/>
          <w:b/>
          <w:sz w:val="24"/>
          <w:highlight w:val="none"/>
          <w:lang w:val="zh-CN"/>
        </w:rPr>
      </w:pPr>
      <w:r>
        <w:rPr>
          <w:rFonts w:hint="eastAsia" w:ascii="仿宋" w:hAnsi="仿宋" w:eastAsia="仿宋" w:cs="仿宋"/>
          <w:b/>
          <w:sz w:val="24"/>
          <w:highlight w:val="none"/>
        </w:rPr>
        <w:t>磋商响应文件的组成</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供应商须按磋商文件的要求编写响应文件，对磋商文件提出的要求和条件做出实质性响应。</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rPr>
        <w:t>电子文档</w:t>
      </w:r>
    </w:p>
    <w:p>
      <w:pPr>
        <w:pageBreakBefore w:val="0"/>
        <w:tabs>
          <w:tab w:val="left" w:pos="840"/>
          <w:tab w:val="left" w:pos="1050"/>
        </w:tabs>
        <w:kinsoku/>
        <w:overflowPunct/>
        <w:bidi w:val="0"/>
        <w:spacing w:afterAutospacing="0" w:line="312"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电子文档应包含所有响应文件内容。</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是否允许递交备选方案：</w:t>
      </w:r>
      <w:r>
        <w:rPr>
          <w:rFonts w:hint="eastAsia" w:ascii="仿宋" w:hAnsi="仿宋" w:eastAsia="仿宋" w:cs="仿宋"/>
          <w:b w:val="0"/>
          <w:bCs/>
          <w:kern w:val="2"/>
          <w:sz w:val="24"/>
          <w:szCs w:val="24"/>
          <w:highlight w:val="none"/>
          <w:lang w:val="en-US" w:eastAsia="zh-CN" w:bidi="ar-SA"/>
        </w:rPr>
        <w:t>见供应商须知前附表。</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磋商报价</w:t>
      </w:r>
    </w:p>
    <w:p>
      <w:pPr>
        <w:pageBreakBefore w:val="0"/>
        <w:numPr>
          <w:ilvl w:val="2"/>
          <w:numId w:val="11"/>
        </w:numPr>
        <w:tabs>
          <w:tab w:val="left" w:pos="840"/>
          <w:tab w:val="left" w:pos="1050"/>
        </w:tabs>
        <w:kinsoku/>
        <w:overflowPunct/>
        <w:bidi w:val="0"/>
        <w:spacing w:afterAutospacing="0" w:line="312" w:lineRule="auto"/>
        <w:ind w:left="0" w:firstLine="422" w:firstLineChars="175"/>
        <w:jc w:val="left"/>
        <w:rPr>
          <w:rFonts w:hint="eastAsia" w:ascii="仿宋" w:hAnsi="仿宋" w:eastAsia="仿宋" w:cs="仿宋"/>
          <w:b/>
          <w:bCs/>
          <w:sz w:val="24"/>
          <w:lang w:val="zh-CN"/>
        </w:rPr>
      </w:pPr>
      <w:r>
        <w:rPr>
          <w:rFonts w:hint="eastAsia" w:ascii="仿宋" w:hAnsi="仿宋" w:eastAsia="仿宋" w:cs="仿宋"/>
          <w:b/>
          <w:bCs/>
          <w:sz w:val="24"/>
          <w:lang w:val="zh-CN" w:eastAsia="zh-CN"/>
        </w:rPr>
        <w:t>供应商应在报价表中标明完成本次</w:t>
      </w:r>
      <w:r>
        <w:rPr>
          <w:rFonts w:hint="eastAsia" w:ascii="仿宋" w:hAnsi="仿宋" w:eastAsia="仿宋" w:cs="仿宋"/>
          <w:b/>
          <w:bCs/>
          <w:sz w:val="24"/>
          <w:lang w:val="en-US" w:eastAsia="zh-CN"/>
        </w:rPr>
        <w:t>磋商</w:t>
      </w:r>
      <w:r>
        <w:rPr>
          <w:rFonts w:hint="eastAsia" w:ascii="仿宋" w:hAnsi="仿宋" w:eastAsia="仿宋" w:cs="仿宋"/>
          <w:b/>
          <w:bCs/>
          <w:sz w:val="24"/>
          <w:lang w:val="zh-CN" w:eastAsia="zh-CN"/>
        </w:rPr>
        <w:t>所要求的货物、服务且验收合格的所有费用，包括但不限于包括婴幼儿辅食营养包（含包装及标示等服务）、运输（含到达采购人指定地点）、装卸搬运、验收、培训、招标代理服务费、税金等其他一切相关费用。供应商所报的价格应考虑到可能发生的所有与完成本项目相关服务及履行合同义务有关的一切费用，任何有选择的报价将不予接受，其响应文件按无效投标处理。</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lang w:val="zh-CN"/>
        </w:rPr>
      </w:pPr>
      <w:r>
        <w:rPr>
          <w:rFonts w:hint="eastAsia" w:ascii="仿宋" w:hAnsi="仿宋" w:eastAsia="仿宋" w:cs="仿宋"/>
          <w:sz w:val="24"/>
          <w:lang w:val="zh-CN"/>
        </w:rPr>
        <w:t>供应商应当按照磋商文件确定的采购范围内全部工作内容进行磋商报价，并充分了解本项目的总体情况以及影响磋商报价的其他要素；</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lang w:val="zh-CN"/>
        </w:rPr>
      </w:pPr>
      <w:r>
        <w:rPr>
          <w:rFonts w:hint="eastAsia" w:ascii="仿宋" w:hAnsi="仿宋" w:eastAsia="仿宋" w:cs="仿宋"/>
          <w:sz w:val="24"/>
          <w:lang w:val="zh-CN"/>
        </w:rPr>
        <w:t>本项目将根据磋商的具体情况来确定磋商轮次，最终一轮磋商报价为最后报价；</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lang w:val="zh-CN"/>
        </w:rPr>
      </w:pPr>
      <w:r>
        <w:rPr>
          <w:rFonts w:hint="eastAsia" w:ascii="仿宋" w:hAnsi="仿宋" w:eastAsia="仿宋" w:cs="仿宋"/>
          <w:sz w:val="24"/>
          <w:lang w:val="zh-CN"/>
        </w:rPr>
        <w:t>供应商的各轮次磋商报价不得超过供应商须知前附表规定的预算金额，否则，作为不实质性响应文件，按无效响应文件处理；供应商须知前附表设定了最高限价的，供应商的各轮次磋商报价也不得超过最高限价，否则，作为不实质性响应响应文件，按无效响应文件处理；</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lang w:val="zh-CN"/>
        </w:rPr>
      </w:pPr>
      <w:r>
        <w:rPr>
          <w:rFonts w:hint="eastAsia" w:ascii="仿宋" w:hAnsi="仿宋" w:eastAsia="仿宋" w:cs="仿宋"/>
          <w:sz w:val="24"/>
          <w:lang w:val="zh-CN"/>
        </w:rPr>
        <w:t>供应商首次提交的响应文件，应按“</w:t>
      </w:r>
      <w:r>
        <w:rPr>
          <w:rFonts w:hint="eastAsia" w:ascii="仿宋" w:hAnsi="仿宋" w:eastAsia="仿宋" w:cs="仿宋"/>
          <w:sz w:val="24"/>
          <w:lang w:val="zh-CN" w:eastAsia="zh-CN"/>
        </w:rPr>
        <w:t>首次</w:t>
      </w:r>
      <w:r>
        <w:rPr>
          <w:rFonts w:hint="eastAsia" w:ascii="仿宋" w:hAnsi="仿宋" w:eastAsia="仿宋" w:cs="仿宋"/>
          <w:sz w:val="24"/>
          <w:lang w:val="zh-CN"/>
        </w:rPr>
        <w:t>磋商报价表”的内容和格式要求自主报价。填写的项目编号、项目名称必须与磋商文件提供的一致；磋商报价中不得包含磋商文件要求以外的内容，否则，在评审时不予核减；</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lang w:val="zh-CN"/>
        </w:rPr>
      </w:pPr>
      <w:r>
        <w:rPr>
          <w:rFonts w:hint="eastAsia" w:ascii="仿宋" w:hAnsi="仿宋" w:eastAsia="仿宋" w:cs="仿宋"/>
          <w:sz w:val="24"/>
          <w:lang w:val="zh-CN"/>
        </w:rPr>
        <w:t>其余轮次的报价，由供应商法定代表人或者委托代理人签字确认。</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lang w:val="zh-CN"/>
        </w:rPr>
      </w:pPr>
      <w:r>
        <w:rPr>
          <w:rFonts w:hint="eastAsia" w:ascii="仿宋" w:hAnsi="仿宋" w:eastAsia="仿宋" w:cs="仿宋"/>
          <w:sz w:val="24"/>
          <w:lang w:val="zh-CN"/>
        </w:rPr>
        <w:t>在合同执行过程中，最后报价是固定不变的，不得以任何理由予以变更。任何有选择或可调整的报价将不予接受，并按无效响应文件处理；</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lang w:val="zh-CN"/>
        </w:rPr>
      </w:pPr>
      <w:r>
        <w:rPr>
          <w:rFonts w:hint="eastAsia" w:ascii="仿宋" w:hAnsi="仿宋" w:eastAsia="仿宋" w:cs="仿宋"/>
          <w:sz w:val="24"/>
          <w:lang w:val="zh-CN"/>
        </w:rPr>
        <w:t>成交后供应商不得擅自改变服务范围内容、质量要求和</w:t>
      </w:r>
      <w:r>
        <w:rPr>
          <w:rFonts w:hint="eastAsia" w:ascii="仿宋" w:hAnsi="仿宋" w:eastAsia="仿宋" w:cs="仿宋"/>
          <w:sz w:val="24"/>
          <w:lang w:val="en-US" w:eastAsia="zh-CN"/>
        </w:rPr>
        <w:t>交货期</w:t>
      </w:r>
      <w:r>
        <w:rPr>
          <w:rFonts w:hint="eastAsia" w:ascii="仿宋" w:hAnsi="仿宋" w:eastAsia="仿宋" w:cs="仿宋"/>
          <w:sz w:val="24"/>
          <w:lang w:val="zh-CN"/>
        </w:rPr>
        <w:t>；</w:t>
      </w:r>
    </w:p>
    <w:p>
      <w:pPr>
        <w:pageBreakBefore w:val="0"/>
        <w:numPr>
          <w:ilvl w:val="2"/>
          <w:numId w:val="11"/>
        </w:numPr>
        <w:tabs>
          <w:tab w:val="left" w:pos="840"/>
          <w:tab w:val="left" w:pos="1050"/>
          <w:tab w:val="left" w:pos="1260"/>
        </w:tabs>
        <w:kinsoku/>
        <w:overflowPunct/>
        <w:bidi w:val="0"/>
        <w:spacing w:afterAutospacing="0" w:line="312" w:lineRule="auto"/>
        <w:ind w:left="0" w:firstLine="420" w:firstLineChars="175"/>
        <w:jc w:val="left"/>
        <w:rPr>
          <w:rFonts w:hint="eastAsia" w:ascii="仿宋" w:hAnsi="仿宋" w:eastAsia="仿宋" w:cs="仿宋"/>
          <w:sz w:val="24"/>
        </w:rPr>
      </w:pPr>
      <w:r>
        <w:rPr>
          <w:rFonts w:hint="eastAsia" w:ascii="仿宋" w:hAnsi="仿宋" w:eastAsia="仿宋" w:cs="仿宋"/>
          <w:sz w:val="24"/>
        </w:rPr>
        <w:t>最低报价不作为中标的唯一条件；</w:t>
      </w:r>
    </w:p>
    <w:p>
      <w:pPr>
        <w:pageBreakBefore w:val="0"/>
        <w:numPr>
          <w:ilvl w:val="2"/>
          <w:numId w:val="11"/>
        </w:numPr>
        <w:tabs>
          <w:tab w:val="left" w:pos="840"/>
          <w:tab w:val="left" w:pos="1050"/>
          <w:tab w:val="left" w:pos="1260"/>
          <w:tab w:val="left" w:pos="147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rPr>
        <w:t>报价货币：人民币；单位：元。</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磋商有效期</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磋商有效期见供应商须知前附表。在此期间响应文件对供应商具有法律约束力，从供应商须知前附表规定的递交首次响应文件截止时间之日起计算。响应文件中必须载明磋商有效期，载明的磋商有效期可以长于磋商文件规定的期限，但不得短于磋商文件规定的期限，否则，属于非实质性响应，将按无效响应文件处理；</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出现特殊情况需要延长磋商有效期的，采购代理机构或采购人可于磋商有效期满之前，以书面形式通知所有供应商延长磋商有效期。供应商应予书面答复，同意延长的，不得要求或被允许修改其响应文件；供应商拒绝延长的，其响应文件失效；</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在磋商有效期内，供应商撤销响应文件的，应承担磋商文件和法律规定的责任；</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成交供应商的磋商有效期自动延长至合同终止为止。</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响应文件的编写原则和要求</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响应文件应按第六部分“响应文件格式”进行编写，如有必要，可以增加附页，作为响应文件的组成部分；</w:t>
      </w:r>
    </w:p>
    <w:p>
      <w:pPr>
        <w:pageBreakBefore w:val="0"/>
        <w:numPr>
          <w:ilvl w:val="2"/>
          <w:numId w:val="11"/>
        </w:numPr>
        <w:tabs>
          <w:tab w:val="left" w:pos="840"/>
          <w:tab w:val="left" w:pos="1050"/>
        </w:tabs>
        <w:kinsoku/>
        <w:overflowPunct/>
        <w:bidi w:val="0"/>
        <w:spacing w:afterAutospacing="0" w:line="312" w:lineRule="auto"/>
        <w:ind w:left="848" w:hanging="428"/>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真实性原则</w:t>
      </w:r>
    </w:p>
    <w:p>
      <w:pPr>
        <w:pageBreakBefore w:val="0"/>
        <w:tabs>
          <w:tab w:val="left" w:pos="630"/>
          <w:tab w:val="left" w:pos="840"/>
          <w:tab w:val="left" w:pos="1050"/>
          <w:tab w:val="left" w:pos="1260"/>
          <w:tab w:val="left" w:pos="1470"/>
        </w:tabs>
        <w:kinsoku/>
        <w:overflowPunct/>
        <w:bidi w:val="0"/>
        <w:spacing w:afterAutospacing="0" w:line="312" w:lineRule="auto"/>
        <w:ind w:left="368" w:left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w:t>
      </w:r>
      <w:r>
        <w:rPr>
          <w:rFonts w:hint="eastAsia" w:ascii="仿宋" w:hAnsi="仿宋" w:eastAsia="仿宋" w:cs="仿宋"/>
          <w:sz w:val="24"/>
          <w:highlight w:val="none"/>
        </w:rPr>
        <w:t>1</w:t>
      </w:r>
      <w:r>
        <w:rPr>
          <w:rFonts w:hint="eastAsia" w:ascii="仿宋" w:hAnsi="仿宋" w:eastAsia="仿宋" w:cs="仿宋"/>
          <w:sz w:val="24"/>
          <w:highlight w:val="none"/>
          <w:lang w:val="zh-CN"/>
        </w:rPr>
        <w:t>）供应商应保证所提供的响应文件和所有资料的真实性、准确性和完整性；</w:t>
      </w:r>
    </w:p>
    <w:p>
      <w:pPr>
        <w:pageBreakBefore w:val="0"/>
        <w:tabs>
          <w:tab w:val="left" w:pos="210"/>
          <w:tab w:val="left" w:pos="840"/>
          <w:tab w:val="left" w:pos="1050"/>
        </w:tabs>
        <w:kinsoku/>
        <w:overflowPunct/>
        <w:bidi w:val="0"/>
        <w:spacing w:afterAutospacing="0" w:line="312" w:lineRule="auto"/>
        <w:ind w:left="8" w:firstLine="360" w:firstLineChars="15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w:t>
      </w:r>
      <w:r>
        <w:rPr>
          <w:rFonts w:hint="eastAsia" w:ascii="仿宋" w:hAnsi="仿宋" w:eastAsia="仿宋" w:cs="仿宋"/>
          <w:sz w:val="24"/>
          <w:highlight w:val="none"/>
        </w:rPr>
        <w:t>2</w:t>
      </w:r>
      <w:r>
        <w:rPr>
          <w:rFonts w:hint="eastAsia" w:ascii="仿宋" w:hAnsi="仿宋" w:eastAsia="仿宋" w:cs="仿宋"/>
          <w:sz w:val="24"/>
          <w:highlight w:val="none"/>
          <w:lang w:val="zh-CN"/>
        </w:rPr>
        <w:t>）供应商被认定为在本次磋商中提供不真实材料的，无论其材料是否重要，采购人均有权拒绝，并取消其磋商或成交资格，供应商需承担相应的法律后果。</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响应文件应当对磋商文件中，关于</w:t>
      </w:r>
      <w:r>
        <w:rPr>
          <w:rFonts w:hint="eastAsia" w:ascii="仿宋" w:hAnsi="仿宋" w:eastAsia="仿宋" w:cs="仿宋"/>
          <w:sz w:val="24"/>
          <w:highlight w:val="none"/>
          <w:lang w:val="en-US" w:eastAsia="zh-CN"/>
        </w:rPr>
        <w:t>交货期</w:t>
      </w:r>
      <w:r>
        <w:rPr>
          <w:rFonts w:hint="eastAsia" w:ascii="仿宋" w:hAnsi="仿宋" w:eastAsia="仿宋" w:cs="仿宋"/>
          <w:sz w:val="24"/>
          <w:highlight w:val="none"/>
          <w:lang w:val="zh-CN"/>
        </w:rPr>
        <w:t>、竞争性磋商有效期等实质性内容作出响应；</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响应文件的正本应使用打印或不易褪色的蓝黑墨水笔书写，在规定的位置必须由法定代表人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lang w:val="zh-CN"/>
        </w:rPr>
        <w:t>或授权代表签名（或盖章），并加盖单位公章；响应文件每页均应盖单位公章。副本可复印，除供应商对错误处必须修改外，全套响应文件应无涂改或行间插字和增删。如有修改，修改处应由法定代表人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lang w:val="zh-CN"/>
        </w:rPr>
        <w:t>签字并加盖供应商单位公章；</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响应文件的正本与副本应分别装订成册，具体装订要求见供应商须知前附表规定。</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响应文件的装订、密封和标记</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rPr>
        <w:t>响应文件的份数：见供应商须知前附表；</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rPr>
        <w:t>响应文件装订要求：见供应商须知前附表；</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rPr>
        <w:t>响应文件的密封要求：见供应商须知前附表；</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rPr>
        <w:t>响应文件签字和盖章要求：见供应商须知前附表；</w:t>
      </w:r>
    </w:p>
    <w:p>
      <w:pPr>
        <w:pageBreakBefore w:val="0"/>
        <w:numPr>
          <w:ilvl w:val="2"/>
          <w:numId w:val="11"/>
        </w:numPr>
        <w:tabs>
          <w:tab w:val="left" w:pos="840"/>
          <w:tab w:val="left" w:pos="1050"/>
        </w:tabs>
        <w:kinsoku/>
        <w:overflowPunct/>
        <w:bidi w:val="0"/>
        <w:spacing w:afterAutospacing="0" w:line="312" w:lineRule="auto"/>
        <w:ind w:left="420" w:firstLine="0"/>
        <w:jc w:val="left"/>
        <w:rPr>
          <w:rFonts w:hint="eastAsia" w:ascii="仿宋" w:hAnsi="仿宋" w:eastAsia="仿宋" w:cs="仿宋"/>
          <w:sz w:val="24"/>
          <w:highlight w:val="none"/>
        </w:rPr>
      </w:pPr>
      <w:r>
        <w:rPr>
          <w:rFonts w:hint="eastAsia" w:ascii="仿宋" w:hAnsi="仿宋" w:eastAsia="仿宋" w:cs="仿宋"/>
          <w:sz w:val="24"/>
          <w:highlight w:val="none"/>
        </w:rPr>
        <w:t>磋商响应文件密封袋上的标记格式：</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3" w:hRule="atLeast"/>
          <w:jc w:val="center"/>
        </w:trPr>
        <w:tc>
          <w:tcPr>
            <w:tcW w:w="9060" w:type="dxa"/>
            <w:noWrap w:val="0"/>
            <w:vAlign w:val="top"/>
          </w:tcPr>
          <w:p>
            <w:pPr>
              <w:pageBreakBefore w:val="0"/>
              <w:kinsoku/>
              <w:overflowPunct/>
              <w:bidi w:val="0"/>
              <w:spacing w:line="312" w:lineRule="auto"/>
              <w:ind w:firstLine="480" w:firstLineChars="200"/>
              <w:rPr>
                <w:rFonts w:hint="eastAsia" w:ascii="仿宋" w:hAnsi="仿宋" w:eastAsia="仿宋" w:cs="仿宋"/>
                <w:bCs/>
                <w:color w:val="000000"/>
                <w:position w:val="4"/>
                <w:sz w:val="24"/>
                <w:highlight w:val="none"/>
              </w:rPr>
            </w:pPr>
          </w:p>
          <w:p>
            <w:pPr>
              <w:pageBreakBefore w:val="0"/>
              <w:kinsoku/>
              <w:overflowPunct/>
              <w:bidi w:val="0"/>
              <w:spacing w:line="312" w:lineRule="auto"/>
              <w:ind w:firstLine="480" w:firstLineChars="200"/>
              <w:rPr>
                <w:rFonts w:hint="eastAsia" w:ascii="仿宋" w:hAnsi="仿宋" w:eastAsia="仿宋" w:cs="仿宋"/>
                <w:bCs/>
                <w:color w:val="000000"/>
                <w:position w:val="4"/>
                <w:sz w:val="24"/>
                <w:highlight w:val="none"/>
              </w:rPr>
            </w:pPr>
            <w:r>
              <w:rPr>
                <w:rFonts w:hint="eastAsia" w:ascii="仿宋" w:hAnsi="仿宋" w:eastAsia="仿宋" w:cs="仿宋"/>
                <w:bCs/>
                <w:color w:val="000000"/>
                <w:position w:val="4"/>
                <w:sz w:val="24"/>
                <w:highlight w:val="none"/>
              </w:rPr>
              <w:t>项目名称：</w:t>
            </w:r>
            <w:r>
              <w:rPr>
                <w:rFonts w:hint="eastAsia" w:ascii="仿宋" w:hAnsi="仿宋" w:eastAsia="仿宋" w:cs="仿宋"/>
                <w:bCs/>
                <w:color w:val="000000"/>
                <w:position w:val="4"/>
                <w:sz w:val="24"/>
                <w:highlight w:val="none"/>
                <w:u w:val="single" w:color="auto"/>
              </w:rPr>
              <w:t xml:space="preserve">                                </w:t>
            </w:r>
            <w:r>
              <w:rPr>
                <w:rFonts w:hint="eastAsia" w:ascii="仿宋" w:hAnsi="仿宋" w:eastAsia="仿宋" w:cs="仿宋"/>
                <w:bCs/>
                <w:color w:val="000000"/>
                <w:position w:val="4"/>
                <w:sz w:val="24"/>
                <w:highlight w:val="none"/>
                <w:u w:val="single" w:color="auto"/>
                <w:lang w:val="en-US" w:eastAsia="zh-CN"/>
              </w:rPr>
              <w:t xml:space="preserve">    </w:t>
            </w:r>
            <w:r>
              <w:rPr>
                <w:rFonts w:hint="eastAsia" w:ascii="仿宋" w:hAnsi="仿宋" w:eastAsia="仿宋" w:cs="仿宋"/>
                <w:bCs/>
                <w:color w:val="000000"/>
                <w:position w:val="4"/>
                <w:sz w:val="24"/>
                <w:highlight w:val="none"/>
                <w:u w:val="single" w:color="auto"/>
              </w:rPr>
              <w:t xml:space="preserve">   </w:t>
            </w:r>
            <w:r>
              <w:rPr>
                <w:rFonts w:hint="eastAsia" w:ascii="仿宋" w:hAnsi="仿宋" w:eastAsia="仿宋" w:cs="仿宋"/>
                <w:bCs/>
                <w:color w:val="000000"/>
                <w:position w:val="4"/>
                <w:sz w:val="24"/>
                <w:highlight w:val="none"/>
                <w:u w:val="single"/>
              </w:rPr>
              <w:t xml:space="preserve"> </w:t>
            </w:r>
          </w:p>
          <w:p>
            <w:pPr>
              <w:pageBreakBefore w:val="0"/>
              <w:kinsoku/>
              <w:overflowPunct/>
              <w:bidi w:val="0"/>
              <w:spacing w:line="312" w:lineRule="auto"/>
              <w:ind w:firstLine="480" w:firstLineChars="200"/>
              <w:rPr>
                <w:rFonts w:hint="eastAsia" w:ascii="仿宋" w:hAnsi="仿宋" w:eastAsia="仿宋" w:cs="仿宋"/>
                <w:bCs/>
                <w:color w:val="000000"/>
                <w:position w:val="4"/>
                <w:sz w:val="24"/>
                <w:highlight w:val="none"/>
              </w:rPr>
            </w:pPr>
            <w:r>
              <w:rPr>
                <w:rFonts w:hint="eastAsia" w:ascii="仿宋" w:hAnsi="仿宋" w:eastAsia="仿宋" w:cs="仿宋"/>
                <w:bCs/>
                <w:color w:val="000000"/>
                <w:position w:val="4"/>
                <w:sz w:val="24"/>
                <w:highlight w:val="none"/>
              </w:rPr>
              <w:t>项目编号</w:t>
            </w:r>
            <w:r>
              <w:rPr>
                <w:rFonts w:hint="eastAsia" w:ascii="仿宋" w:hAnsi="仿宋" w:eastAsia="仿宋" w:cs="仿宋"/>
                <w:bCs/>
                <w:color w:val="000000"/>
                <w:position w:val="4"/>
                <w:sz w:val="24"/>
                <w:highlight w:val="none"/>
                <w:u w:val="none"/>
              </w:rPr>
              <w:t>：</w:t>
            </w:r>
            <w:r>
              <w:rPr>
                <w:rFonts w:hint="eastAsia" w:ascii="仿宋" w:hAnsi="仿宋" w:eastAsia="仿宋" w:cs="仿宋"/>
                <w:bCs/>
                <w:color w:val="000000"/>
                <w:position w:val="4"/>
                <w:sz w:val="24"/>
                <w:highlight w:val="none"/>
                <w:u w:val="single"/>
                <w:lang w:val="en-US" w:eastAsia="zh-CN"/>
              </w:rPr>
              <w:t xml:space="preserve">         </w:t>
            </w:r>
            <w:r>
              <w:rPr>
                <w:rFonts w:hint="eastAsia" w:ascii="仿宋" w:hAnsi="仿宋" w:eastAsia="仿宋" w:cs="仿宋"/>
                <w:bCs/>
                <w:color w:val="000000"/>
                <w:position w:val="4"/>
                <w:sz w:val="24"/>
                <w:highlight w:val="none"/>
                <w:u w:val="single"/>
              </w:rPr>
              <w:t xml:space="preserve">                         </w:t>
            </w:r>
            <w:r>
              <w:rPr>
                <w:rFonts w:hint="eastAsia" w:ascii="仿宋" w:hAnsi="仿宋" w:eastAsia="仿宋" w:cs="仿宋"/>
                <w:bCs/>
                <w:color w:val="000000"/>
                <w:position w:val="4"/>
                <w:sz w:val="24"/>
                <w:highlight w:val="none"/>
                <w:u w:val="single"/>
                <w:lang w:val="en-US" w:eastAsia="zh-CN"/>
              </w:rPr>
              <w:t xml:space="preserve">    </w:t>
            </w:r>
            <w:r>
              <w:rPr>
                <w:rFonts w:hint="eastAsia" w:ascii="仿宋" w:hAnsi="仿宋" w:eastAsia="仿宋" w:cs="仿宋"/>
                <w:bCs/>
                <w:color w:val="000000"/>
                <w:position w:val="4"/>
                <w:sz w:val="24"/>
                <w:highlight w:val="none"/>
                <w:u w:val="single"/>
              </w:rPr>
              <w:t xml:space="preserve">  </w:t>
            </w:r>
          </w:p>
          <w:p>
            <w:pPr>
              <w:pageBreakBefore w:val="0"/>
              <w:kinsoku/>
              <w:overflowPunct/>
              <w:bidi w:val="0"/>
              <w:spacing w:line="312" w:lineRule="auto"/>
              <w:ind w:firstLine="480" w:firstLineChars="200"/>
              <w:rPr>
                <w:rFonts w:hint="eastAsia" w:ascii="仿宋" w:hAnsi="仿宋" w:eastAsia="仿宋" w:cs="仿宋"/>
                <w:bCs/>
                <w:color w:val="000000"/>
                <w:position w:val="4"/>
                <w:sz w:val="24"/>
                <w:highlight w:val="none"/>
                <w:u w:val="single"/>
              </w:rPr>
            </w:pPr>
            <w:r>
              <w:rPr>
                <w:rFonts w:hint="eastAsia" w:ascii="仿宋" w:hAnsi="仿宋" w:eastAsia="仿宋" w:cs="仿宋"/>
                <w:bCs/>
                <w:color w:val="000000"/>
                <w:position w:val="4"/>
                <w:sz w:val="24"/>
                <w:highlight w:val="none"/>
              </w:rPr>
              <w:t>供应商名称：</w:t>
            </w:r>
            <w:r>
              <w:rPr>
                <w:rFonts w:hint="eastAsia" w:ascii="仿宋" w:hAnsi="仿宋" w:eastAsia="仿宋" w:cs="仿宋"/>
                <w:bCs/>
                <w:color w:val="000000"/>
                <w:position w:val="4"/>
                <w:sz w:val="24"/>
                <w:highlight w:val="none"/>
                <w:u w:val="single"/>
                <w:lang w:val="en-US" w:eastAsia="zh-CN"/>
              </w:rPr>
              <w:t xml:space="preserve">           </w:t>
            </w:r>
            <w:r>
              <w:rPr>
                <w:rFonts w:hint="eastAsia" w:ascii="仿宋" w:hAnsi="仿宋" w:eastAsia="仿宋" w:cs="仿宋"/>
                <w:bCs/>
                <w:color w:val="000000"/>
                <w:position w:val="4"/>
                <w:sz w:val="24"/>
                <w:highlight w:val="none"/>
                <w:u w:val="single"/>
              </w:rPr>
              <w:t>（加盖供应商公章）</w:t>
            </w:r>
            <w:r>
              <w:rPr>
                <w:rFonts w:hint="eastAsia" w:ascii="仿宋" w:hAnsi="仿宋" w:eastAsia="仿宋" w:cs="仿宋"/>
                <w:bCs/>
                <w:color w:val="000000"/>
                <w:position w:val="4"/>
                <w:sz w:val="24"/>
                <w:highlight w:val="none"/>
                <w:u w:val="single"/>
                <w:lang w:val="en-US" w:eastAsia="zh-CN"/>
              </w:rPr>
              <w:t xml:space="preserve">       </w:t>
            </w:r>
            <w:r>
              <w:rPr>
                <w:rFonts w:hint="eastAsia" w:ascii="仿宋" w:hAnsi="仿宋" w:eastAsia="仿宋" w:cs="仿宋"/>
                <w:bCs/>
                <w:color w:val="000000"/>
                <w:position w:val="4"/>
                <w:sz w:val="24"/>
                <w:highlight w:val="none"/>
                <w:u w:val="single"/>
              </w:rPr>
              <w:t xml:space="preserve">  </w:t>
            </w:r>
          </w:p>
          <w:p>
            <w:pPr>
              <w:pageBreakBefore w:val="0"/>
              <w:kinsoku/>
              <w:overflowPunct/>
              <w:bidi w:val="0"/>
              <w:spacing w:line="312" w:lineRule="auto"/>
              <w:ind w:firstLine="480" w:firstLineChars="200"/>
              <w:rPr>
                <w:rFonts w:hint="eastAsia" w:ascii="仿宋" w:hAnsi="仿宋" w:eastAsia="仿宋" w:cs="仿宋"/>
                <w:bCs/>
                <w:color w:val="000000"/>
                <w:position w:val="4"/>
                <w:sz w:val="24"/>
                <w:highlight w:val="none"/>
                <w:u w:val="single"/>
                <w:lang w:val="en-US" w:eastAsia="zh-CN"/>
              </w:rPr>
            </w:pPr>
            <w:r>
              <w:rPr>
                <w:rFonts w:hint="eastAsia" w:ascii="仿宋" w:hAnsi="仿宋" w:eastAsia="仿宋" w:cs="仿宋"/>
                <w:bCs/>
                <w:color w:val="000000"/>
                <w:position w:val="4"/>
                <w:sz w:val="24"/>
                <w:highlight w:val="none"/>
                <w:lang w:val="zh-CN"/>
              </w:rPr>
              <w:t>法定代表人</w:t>
            </w:r>
            <w:r>
              <w:rPr>
                <w:rFonts w:hint="eastAsia" w:ascii="仿宋" w:hAnsi="仿宋" w:eastAsia="仿宋" w:cs="仿宋"/>
                <w:bCs/>
                <w:color w:val="000000"/>
                <w:position w:val="4"/>
                <w:sz w:val="24"/>
                <w:highlight w:val="none"/>
                <w:lang w:val="en-US" w:eastAsia="zh-CN"/>
              </w:rPr>
              <w:t>/负责人</w:t>
            </w:r>
            <w:r>
              <w:rPr>
                <w:rFonts w:hint="eastAsia" w:ascii="仿宋" w:hAnsi="仿宋" w:eastAsia="仿宋" w:cs="仿宋"/>
                <w:bCs/>
                <w:color w:val="000000"/>
                <w:position w:val="4"/>
                <w:sz w:val="24"/>
                <w:highlight w:val="none"/>
                <w:lang w:val="zh-CN"/>
              </w:rPr>
              <w:t>或委托代理人</w:t>
            </w:r>
            <w:r>
              <w:rPr>
                <w:rFonts w:hint="eastAsia" w:ascii="仿宋" w:hAnsi="仿宋" w:eastAsia="仿宋" w:cs="仿宋"/>
                <w:bCs/>
                <w:color w:val="000000"/>
                <w:position w:val="4"/>
                <w:sz w:val="24"/>
                <w:highlight w:val="none"/>
                <w:u w:val="none"/>
                <w:lang w:val="zh-CN"/>
              </w:rPr>
              <w:t>：</w:t>
            </w:r>
            <w:r>
              <w:rPr>
                <w:rFonts w:hint="eastAsia" w:ascii="仿宋" w:hAnsi="仿宋" w:eastAsia="仿宋" w:cs="仿宋"/>
                <w:bCs/>
                <w:color w:val="000000"/>
                <w:position w:val="4"/>
                <w:sz w:val="24"/>
                <w:highlight w:val="none"/>
                <w:u w:val="single"/>
                <w:lang w:val="zh-CN"/>
              </w:rPr>
              <w:t xml:space="preserve">  </w:t>
            </w:r>
            <w:r>
              <w:rPr>
                <w:rFonts w:hint="eastAsia" w:ascii="仿宋" w:hAnsi="仿宋" w:eastAsia="仿宋" w:cs="仿宋"/>
                <w:bCs/>
                <w:color w:val="000000"/>
                <w:position w:val="4"/>
                <w:sz w:val="24"/>
                <w:highlight w:val="none"/>
                <w:u w:val="single"/>
                <w:lang w:val="en-US" w:eastAsia="zh-CN"/>
              </w:rPr>
              <w:t xml:space="preserve">   </w:t>
            </w:r>
            <w:r>
              <w:rPr>
                <w:rFonts w:hint="eastAsia" w:ascii="仿宋" w:hAnsi="仿宋" w:eastAsia="仿宋" w:cs="仿宋"/>
                <w:bCs/>
                <w:color w:val="000000"/>
                <w:position w:val="4"/>
                <w:sz w:val="24"/>
                <w:highlight w:val="none"/>
                <w:u w:val="single"/>
                <w:lang w:val="zh-CN"/>
              </w:rPr>
              <w:t>（</w:t>
            </w:r>
            <w:r>
              <w:rPr>
                <w:rFonts w:hint="eastAsia" w:ascii="仿宋" w:hAnsi="仿宋" w:eastAsia="仿宋" w:cs="仿宋"/>
                <w:bCs/>
                <w:color w:val="000000"/>
                <w:position w:val="4"/>
                <w:sz w:val="24"/>
                <w:highlight w:val="none"/>
                <w:u w:val="single"/>
                <w:lang w:val="en-US" w:eastAsia="zh-CN"/>
              </w:rPr>
              <w:t>印章</w:t>
            </w:r>
            <w:r>
              <w:rPr>
                <w:rFonts w:hint="eastAsia" w:ascii="仿宋" w:hAnsi="仿宋" w:eastAsia="仿宋" w:cs="仿宋"/>
                <w:bCs/>
                <w:color w:val="000000"/>
                <w:position w:val="4"/>
                <w:sz w:val="24"/>
                <w:highlight w:val="none"/>
                <w:u w:val="single"/>
                <w:lang w:val="zh-CN"/>
              </w:rPr>
              <w:t>）</w:t>
            </w:r>
            <w:r>
              <w:rPr>
                <w:rFonts w:hint="eastAsia" w:ascii="仿宋" w:hAnsi="仿宋" w:eastAsia="仿宋" w:cs="仿宋"/>
                <w:bCs/>
                <w:color w:val="000000"/>
                <w:position w:val="4"/>
                <w:sz w:val="24"/>
                <w:highlight w:val="none"/>
                <w:u w:val="single"/>
                <w:lang w:val="en-US" w:eastAsia="zh-CN"/>
              </w:rPr>
              <w:t xml:space="preserve">      </w:t>
            </w:r>
          </w:p>
          <w:p>
            <w:pPr>
              <w:pageBreakBefore w:val="0"/>
              <w:kinsoku/>
              <w:overflowPunct/>
              <w:bidi w:val="0"/>
              <w:spacing w:afterAutospacing="0" w:line="312" w:lineRule="auto"/>
              <w:ind w:firstLine="480" w:firstLineChars="200"/>
              <w:rPr>
                <w:rFonts w:hint="eastAsia" w:ascii="仿宋" w:hAnsi="仿宋" w:eastAsia="仿宋" w:cs="仿宋"/>
                <w:color w:val="000000"/>
                <w:position w:val="4"/>
                <w:sz w:val="24"/>
                <w:highlight w:val="none"/>
              </w:rPr>
            </w:pPr>
            <w:r>
              <w:rPr>
                <w:rFonts w:hint="eastAsia" w:ascii="仿宋" w:hAnsi="仿宋" w:eastAsia="仿宋" w:cs="仿宋"/>
                <w:bCs/>
                <w:color w:val="000000"/>
                <w:position w:val="4"/>
                <w:sz w:val="24"/>
                <w:highlight w:val="none"/>
              </w:rPr>
              <w:t>响应文件在   年   月   日   时（注：规定的开标日期和时间）前不得启</w:t>
            </w:r>
            <w:r>
              <w:rPr>
                <w:rFonts w:hint="eastAsia" w:ascii="仿宋" w:hAnsi="仿宋" w:eastAsia="仿宋" w:cs="仿宋"/>
                <w:color w:val="000000"/>
                <w:position w:val="4"/>
                <w:sz w:val="24"/>
                <w:highlight w:val="none"/>
              </w:rPr>
              <w:t>封</w:t>
            </w:r>
          </w:p>
        </w:tc>
      </w:tr>
    </w:tbl>
    <w:p>
      <w:pPr>
        <w:pStyle w:val="2"/>
        <w:pageBreakBefore w:val="0"/>
        <w:kinsoku/>
        <w:overflowPunct/>
        <w:bidi w:val="0"/>
        <w:spacing w:after="0" w:afterAutospacing="0" w:line="312" w:lineRule="auto"/>
        <w:rPr>
          <w:rFonts w:hint="eastAsia" w:ascii="仿宋" w:hAnsi="仿宋" w:eastAsia="仿宋" w:cs="仿宋"/>
          <w:highlight w:val="none"/>
        </w:rPr>
      </w:pP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rPr>
      </w:pPr>
      <w:r>
        <w:rPr>
          <w:rFonts w:hint="eastAsia" w:ascii="仿宋" w:hAnsi="仿宋" w:eastAsia="仿宋" w:cs="仿宋"/>
          <w:kern w:val="2"/>
          <w:sz w:val="24"/>
          <w:szCs w:val="24"/>
          <w:highlight w:val="none"/>
          <w:lang w:val="en-US" w:eastAsia="zh-CN" w:bidi="ar"/>
        </w:rPr>
        <w:t>如果供应商未按上述要求密封及加写标记的磋商响应文件、误投或过早启封的磋商响应文件，采购代理机构将拒绝接收，并退回投标单位。采购代理机构对磋商响应文件的误投和提前启封概不负责</w:t>
      </w:r>
      <w:r>
        <w:rPr>
          <w:rFonts w:hint="eastAsia" w:ascii="仿宋" w:hAnsi="仿宋" w:eastAsia="仿宋" w:cs="仿宋"/>
          <w:sz w:val="24"/>
          <w:highlight w:val="none"/>
        </w:rPr>
        <w:t>。</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响应文件的递交</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rPr>
      </w:pPr>
      <w:r>
        <w:rPr>
          <w:rFonts w:hint="eastAsia" w:ascii="仿宋" w:hAnsi="仿宋" w:eastAsia="仿宋" w:cs="仿宋"/>
          <w:sz w:val="24"/>
          <w:highlight w:val="none"/>
        </w:rPr>
        <w:t>供应商应在供应商须知前附表规定的竞争性磋商截止时间前递交响应文件；</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rPr>
      </w:pPr>
      <w:r>
        <w:rPr>
          <w:rFonts w:hint="eastAsia" w:ascii="仿宋" w:hAnsi="仿宋" w:eastAsia="仿宋" w:cs="仿宋"/>
          <w:sz w:val="24"/>
          <w:highlight w:val="none"/>
          <w:lang w:eastAsia="zh-CN"/>
        </w:rPr>
        <w:t>递交</w:t>
      </w:r>
      <w:r>
        <w:rPr>
          <w:rFonts w:hint="eastAsia" w:ascii="仿宋" w:hAnsi="仿宋" w:eastAsia="仿宋" w:cs="仿宋"/>
          <w:sz w:val="24"/>
          <w:highlight w:val="none"/>
        </w:rPr>
        <w:t>磋商</w:t>
      </w:r>
      <w:r>
        <w:rPr>
          <w:rFonts w:hint="eastAsia" w:ascii="仿宋" w:hAnsi="仿宋" w:eastAsia="仿宋" w:cs="仿宋"/>
          <w:sz w:val="24"/>
          <w:highlight w:val="none"/>
          <w:lang w:eastAsia="zh-CN"/>
        </w:rPr>
        <w:t>文件时</w:t>
      </w:r>
      <w:r>
        <w:rPr>
          <w:rFonts w:hint="eastAsia" w:ascii="仿宋" w:hAnsi="仿宋" w:eastAsia="仿宋" w:cs="仿宋"/>
          <w:sz w:val="24"/>
          <w:highlight w:val="none"/>
        </w:rPr>
        <w:t>应携带的原件：见供应商须知前附表；</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递交磋商响应文件时间和地址</w:t>
      </w:r>
      <w:r>
        <w:rPr>
          <w:rFonts w:hint="eastAsia" w:ascii="仿宋" w:hAnsi="仿宋" w:eastAsia="仿宋" w:cs="仿宋"/>
          <w:sz w:val="24"/>
          <w:highlight w:val="none"/>
        </w:rPr>
        <w:t>：见供应商须知前附表；</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rPr>
      </w:pPr>
      <w:r>
        <w:rPr>
          <w:rFonts w:hint="eastAsia" w:ascii="仿宋" w:hAnsi="仿宋" w:eastAsia="仿宋" w:cs="仿宋"/>
          <w:sz w:val="24"/>
          <w:highlight w:val="none"/>
        </w:rPr>
        <w:t>是否退还响应文件：见供应商须知前附表；</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rPr>
      </w:pPr>
      <w:r>
        <w:rPr>
          <w:rFonts w:hint="eastAsia" w:ascii="仿宋" w:hAnsi="仿宋" w:eastAsia="仿宋" w:cs="仿宋"/>
          <w:sz w:val="24"/>
          <w:highlight w:val="none"/>
        </w:rPr>
        <w:t>除供应商须知前附表另有规定外，供应商所递交的响应文件不予退还</w:t>
      </w:r>
      <w:r>
        <w:rPr>
          <w:rFonts w:hint="eastAsia" w:ascii="仿宋" w:hAnsi="仿宋" w:eastAsia="仿宋" w:cs="仿宋"/>
          <w:sz w:val="24"/>
          <w:highlight w:val="none"/>
          <w:lang w:eastAsia="zh-CN"/>
        </w:rPr>
        <w:t>；</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逾期送达或者未送达指定地点的响应文件，采购人不予受理</w:t>
      </w:r>
      <w:r>
        <w:rPr>
          <w:rFonts w:hint="eastAsia" w:ascii="仿宋" w:hAnsi="仿宋" w:eastAsia="仿宋" w:cs="仿宋"/>
          <w:sz w:val="24"/>
          <w:highlight w:val="none"/>
        </w:rPr>
        <w:t>。</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响应文件的修改与撤回</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rPr>
      </w:pPr>
      <w:r>
        <w:rPr>
          <w:rFonts w:hint="eastAsia" w:ascii="仿宋" w:hAnsi="仿宋" w:eastAsia="仿宋" w:cs="仿宋"/>
          <w:sz w:val="24"/>
          <w:highlight w:val="none"/>
        </w:rPr>
        <w:t>在供应商须知前附表规定的竞争性磋商截止时间前，供应商可以修改或撤回已递交的响应文件，但应以书面形式通知采购代理机构。修改的内容为响应文件的组成部分；</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rPr>
      </w:pPr>
      <w:r>
        <w:rPr>
          <w:rFonts w:hint="eastAsia" w:ascii="仿宋" w:hAnsi="仿宋" w:eastAsia="仿宋" w:cs="仿宋"/>
          <w:sz w:val="24"/>
          <w:highlight w:val="none"/>
          <w:lang w:val="zh-CN"/>
        </w:rPr>
        <w:t>在提交响应文件截止时间之后，供应商不得对其提交的响应文件做任何补充、修改或者撤销响应文件</w:t>
      </w:r>
      <w:r>
        <w:rPr>
          <w:rFonts w:hint="eastAsia" w:ascii="仿宋" w:hAnsi="仿宋" w:eastAsia="仿宋" w:cs="仿宋"/>
          <w:sz w:val="24"/>
          <w:highlight w:val="none"/>
        </w:rPr>
        <w:t>。</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rPr>
        <w:t>合格的货物（产品）和服务</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提供的所有货物和服务，必须是合法生产、合法来源（提供产品来源渠道合法的证明文件：包括但不限于销售协议、代理协议、原厂授权等），符合国家有关标准要求，并满足磋商文件规定的规格、参数、质量、价格、有效期、售后服务及供应商须承担的运输、安装、技术支持、培训和磋商文件规定的其它伴随服务等要求。</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采购人有权拒绝</w:t>
      </w:r>
      <w:r>
        <w:rPr>
          <w:rFonts w:hint="eastAsia" w:ascii="仿宋" w:hAnsi="仿宋" w:eastAsia="仿宋" w:cs="仿宋"/>
          <w:kern w:val="2"/>
          <w:sz w:val="24"/>
          <w:szCs w:val="24"/>
          <w:highlight w:val="none"/>
          <w:lang w:val="en-US" w:eastAsia="zh-CN" w:bidi="ar-SA"/>
        </w:rPr>
        <w:t>接受任何不合格的产品和服务，由此产生的费用及相关后果均由供应商自行承担。</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证明货物（含伴随服务）符合</w:t>
      </w:r>
      <w:r>
        <w:rPr>
          <w:rFonts w:hint="eastAsia" w:ascii="仿宋" w:hAnsi="仿宋" w:eastAsia="仿宋" w:cs="仿宋"/>
          <w:b/>
          <w:bCs/>
          <w:sz w:val="24"/>
          <w:highlight w:val="none"/>
          <w:lang w:eastAsia="zh-CN"/>
        </w:rPr>
        <w:t>磋商文件</w:t>
      </w:r>
      <w:r>
        <w:rPr>
          <w:rFonts w:hint="eastAsia" w:ascii="仿宋" w:hAnsi="仿宋" w:eastAsia="仿宋" w:cs="仿宋"/>
          <w:b/>
          <w:bCs/>
          <w:sz w:val="24"/>
          <w:highlight w:val="none"/>
        </w:rPr>
        <w:t>规定的文件</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应在响应文件中提交产品和服务满足磋商文件要求并符合国家法律法规、行业管理部门要求的其他强制性标准的证明文件。缺少证明文件或证明文件不合格的投标，与磋商文件要求有重大偏离的投标，不符合国家法律法规、行业管理部门要求的其他强制性标准的投标将按无效投标处理。</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上述证明</w:t>
      </w:r>
      <w:r>
        <w:rPr>
          <w:rFonts w:hint="eastAsia" w:ascii="仿宋" w:hAnsi="仿宋" w:eastAsia="仿宋" w:cs="仿宋"/>
          <w:kern w:val="2"/>
          <w:sz w:val="24"/>
          <w:szCs w:val="24"/>
          <w:highlight w:val="none"/>
          <w:lang w:val="en-US" w:eastAsia="zh-CN" w:bidi="ar-SA"/>
        </w:rPr>
        <w:t>文件可以是文字资料、图纸、图片、数据、宣传彩页等，所有证明文件表达意思必须统一（如需供应商提供样品，样品必须与响应文件的表述完全符合）。包括：</w:t>
      </w:r>
    </w:p>
    <w:p>
      <w:pPr>
        <w:pageBreakBefore w:val="0"/>
        <w:numPr>
          <w:ilvl w:val="0"/>
          <w:numId w:val="13"/>
        </w:numPr>
        <w:tabs>
          <w:tab w:val="left" w:pos="630"/>
          <w:tab w:val="left" w:pos="840"/>
          <w:tab w:val="left" w:pos="1050"/>
          <w:tab w:val="left" w:pos="1260"/>
          <w:tab w:val="left" w:pos="1470"/>
        </w:tabs>
        <w:kinsoku/>
        <w:overflowPunct/>
        <w:bidi w:val="0"/>
        <w:spacing w:afterAutospacing="0" w:line="312" w:lineRule="auto"/>
        <w:ind w:left="425" w:leftChars="0" w:firstLine="215" w:firstLineChars="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产品主要技术指标和性能的详细说明；</w:t>
      </w:r>
    </w:p>
    <w:p>
      <w:pPr>
        <w:pageBreakBefore w:val="0"/>
        <w:numPr>
          <w:ilvl w:val="0"/>
          <w:numId w:val="13"/>
        </w:numPr>
        <w:tabs>
          <w:tab w:val="left" w:pos="630"/>
          <w:tab w:val="left" w:pos="840"/>
          <w:tab w:val="left" w:pos="1050"/>
          <w:tab w:val="left" w:pos="1260"/>
          <w:tab w:val="left" w:pos="1470"/>
        </w:tabs>
        <w:kinsoku/>
        <w:overflowPunct/>
        <w:bidi w:val="0"/>
        <w:spacing w:afterAutospacing="0" w:line="312" w:lineRule="auto"/>
        <w:ind w:left="425" w:leftChars="0" w:firstLine="215" w:firstLineChars="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生产厂家出具的、相应的产品功能证明材料（包括但不限于测试报告、官网和功能截图等）；</w:t>
      </w:r>
    </w:p>
    <w:p>
      <w:pPr>
        <w:pageBreakBefore w:val="0"/>
        <w:numPr>
          <w:ilvl w:val="0"/>
          <w:numId w:val="13"/>
        </w:numPr>
        <w:tabs>
          <w:tab w:val="left" w:pos="630"/>
          <w:tab w:val="left" w:pos="840"/>
          <w:tab w:val="left" w:pos="1050"/>
          <w:tab w:val="left" w:pos="1260"/>
          <w:tab w:val="left" w:pos="1470"/>
        </w:tabs>
        <w:kinsoku/>
        <w:overflowPunct/>
        <w:bidi w:val="0"/>
        <w:spacing w:afterAutospacing="0" w:line="312" w:lineRule="auto"/>
        <w:ind w:left="425" w:leftChars="0" w:firstLine="215" w:firstLineChars="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逐条对磋商文件提出的技术要求和商务要求进行应答，说明所提供的产品和服务对招标的技术和商务要求是否做出了实质性响应并提供支持文件。</w:t>
      </w:r>
    </w:p>
    <w:p>
      <w:pPr>
        <w:pageBreakBefore w:val="0"/>
        <w:numPr>
          <w:ilvl w:val="0"/>
          <w:numId w:val="13"/>
        </w:numPr>
        <w:tabs>
          <w:tab w:val="left" w:pos="630"/>
          <w:tab w:val="left" w:pos="840"/>
          <w:tab w:val="left" w:pos="1050"/>
          <w:tab w:val="left" w:pos="1260"/>
          <w:tab w:val="left" w:pos="1470"/>
        </w:tabs>
        <w:kinsoku/>
        <w:overflowPunct/>
        <w:bidi w:val="0"/>
        <w:spacing w:afterAutospacing="0" w:line="312" w:lineRule="auto"/>
        <w:ind w:left="425" w:leftChars="0" w:firstLine="215" w:firstLineChars="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供货范围和采购内容的详细说明。</w:t>
      </w:r>
    </w:p>
    <w:p>
      <w:pPr>
        <w:pageBreakBefore w:val="0"/>
        <w:numPr>
          <w:ilvl w:val="0"/>
          <w:numId w:val="11"/>
        </w:numPr>
        <w:kinsoku/>
        <w:overflowPunct/>
        <w:bidi w:val="0"/>
        <w:spacing w:afterAutospacing="0" w:line="312" w:lineRule="auto"/>
        <w:jc w:val="left"/>
        <w:rPr>
          <w:rFonts w:hint="eastAsia" w:ascii="仿宋" w:hAnsi="仿宋" w:eastAsia="仿宋" w:cs="仿宋"/>
          <w:b/>
          <w:bCs/>
          <w:sz w:val="24"/>
          <w:highlight w:val="none"/>
        </w:rPr>
      </w:pPr>
      <w:bookmarkStart w:id="15" w:name="_Toc31336"/>
      <w:r>
        <w:rPr>
          <w:rFonts w:hint="eastAsia" w:ascii="仿宋" w:hAnsi="仿宋" w:eastAsia="仿宋" w:cs="仿宋"/>
          <w:b/>
          <w:bCs/>
          <w:sz w:val="24"/>
          <w:highlight w:val="none"/>
        </w:rPr>
        <w:t>磋商程序及原则</w:t>
      </w:r>
      <w:bookmarkEnd w:id="15"/>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磋商小组的组成</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磋商小组由有关技术、经济等方面的专家组成。磋商小组成员人数见供应商须知前附表；</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磋商小组成员到位后，推荐一名评审专家担任磋商小组组长，并由磋商小组组长牵头组织本项目磋商工作。采购人代表，不得担任磋商小组组长；</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磋商小组成员有下列情形之一的，应当回避：</w:t>
      </w:r>
    </w:p>
    <w:p>
      <w:pPr>
        <w:pageBreakBefore w:val="0"/>
        <w:numPr>
          <w:ilvl w:val="0"/>
          <w:numId w:val="14"/>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采购人或供应商的主要负责人的近亲属；</w:t>
      </w:r>
    </w:p>
    <w:p>
      <w:pPr>
        <w:pageBreakBefore w:val="0"/>
        <w:numPr>
          <w:ilvl w:val="0"/>
          <w:numId w:val="14"/>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与供应商有经济利益关系，可能影响对响应文件公正评审的；</w:t>
      </w:r>
    </w:p>
    <w:p>
      <w:pPr>
        <w:pageBreakBefore w:val="0"/>
        <w:numPr>
          <w:ilvl w:val="0"/>
          <w:numId w:val="14"/>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曾因在招标、评审以及其他与招标投标有关活动中从事违法行为而受过行政处罚或刑事处罚的。</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磋商过程中，因磋商小组成员缺席、回避或者健康等特殊原因导致磋商小组组成不符合规定的，采购代理机构应当依法补足后继续磋商。被更换的磋商小组成员所作出的评审意见无效。无法及时补足磋商小组成员的，采购代理机构应当停止磋商活动，封存所有响应文件和开起响应文件、磋商和评审资料，依法重新组建磋商小组进行磋商。原磋商小组所作出的评审意见无效。采购代理机构应当将变更、重新组建磋商小组的情况予以记录，并随采购文件一并存档；</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磋商小组成员名单在成交结果公告前，应当保密；</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磋商小组及其成员，在磋商中不得有下列行为：</w:t>
      </w:r>
    </w:p>
    <w:p>
      <w:pPr>
        <w:pageBreakBefore w:val="0"/>
        <w:numPr>
          <w:ilvl w:val="0"/>
          <w:numId w:val="15"/>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确定参与磋商至磋商结束前私自接触供应商；</w:t>
      </w:r>
    </w:p>
    <w:p>
      <w:pPr>
        <w:pageBreakBefore w:val="0"/>
        <w:numPr>
          <w:ilvl w:val="0"/>
          <w:numId w:val="15"/>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接受供应商提出的与响应文件不一致的澄清和说明；</w:t>
      </w:r>
    </w:p>
    <w:p>
      <w:pPr>
        <w:pageBreakBefore w:val="0"/>
        <w:numPr>
          <w:ilvl w:val="0"/>
          <w:numId w:val="15"/>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征询采购人的倾向性意见；</w:t>
      </w:r>
    </w:p>
    <w:p>
      <w:pPr>
        <w:pageBreakBefore w:val="0"/>
        <w:numPr>
          <w:ilvl w:val="0"/>
          <w:numId w:val="15"/>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对主观评审因素协商评分；</w:t>
      </w:r>
    </w:p>
    <w:p>
      <w:pPr>
        <w:pageBreakBefore w:val="0"/>
        <w:numPr>
          <w:ilvl w:val="0"/>
          <w:numId w:val="15"/>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对客观评审因素评分不一致；</w:t>
      </w:r>
    </w:p>
    <w:p>
      <w:pPr>
        <w:pageBreakBefore w:val="0"/>
        <w:numPr>
          <w:ilvl w:val="0"/>
          <w:numId w:val="15"/>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在磋商过程中擅离职守，影响磋商程序正常进行的；</w:t>
      </w:r>
    </w:p>
    <w:p>
      <w:pPr>
        <w:pageBreakBefore w:val="0"/>
        <w:numPr>
          <w:ilvl w:val="0"/>
          <w:numId w:val="15"/>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记录、复制或带走任何评审资料；</w:t>
      </w:r>
    </w:p>
    <w:p>
      <w:pPr>
        <w:pageBreakBefore w:val="0"/>
        <w:numPr>
          <w:ilvl w:val="0"/>
          <w:numId w:val="15"/>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其他不遵守评审纪律的行为。</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磋商小组成员有前款第一至四项行为之一的，其评审意见无效，并不得获取评审劳务报酬和报销异地评审差旅费。</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开启响应文件程序</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根据财政部《政府采购竞争性磋商采购方式管理暂行办法》（财库[2014]214号）第五条和《陕西省财政厅关于政府采购有关问题的通知》（陕财办采资[2016]53号）文件第六条规定。</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开启响应文件由采购代理机构主持。主持人按照磋商文件规定的时间开启响应文件，并按下列程序进行（但不限于）：</w:t>
      </w:r>
    </w:p>
    <w:p>
      <w:pPr>
        <w:pageBreakBefore w:val="0"/>
        <w:numPr>
          <w:ilvl w:val="0"/>
          <w:numId w:val="16"/>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由工作人员开启录音录像设备；</w:t>
      </w:r>
    </w:p>
    <w:p>
      <w:pPr>
        <w:pageBreakBefore w:val="0"/>
        <w:numPr>
          <w:ilvl w:val="0"/>
          <w:numId w:val="16"/>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介绍本项目基本情况；</w:t>
      </w:r>
    </w:p>
    <w:p>
      <w:pPr>
        <w:pageBreakBefore w:val="0"/>
        <w:numPr>
          <w:ilvl w:val="0"/>
          <w:numId w:val="16"/>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宣布本次磋商会议工作纪律；</w:t>
      </w:r>
    </w:p>
    <w:p>
      <w:pPr>
        <w:pageBreakBefore w:val="0"/>
        <w:numPr>
          <w:ilvl w:val="0"/>
          <w:numId w:val="16"/>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介绍参加本次磋商会议的领导及来宾；</w:t>
      </w:r>
    </w:p>
    <w:p>
      <w:pPr>
        <w:pageBreakBefore w:val="0"/>
        <w:numPr>
          <w:ilvl w:val="0"/>
          <w:numId w:val="16"/>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宣布</w:t>
      </w:r>
      <w:r>
        <w:rPr>
          <w:rFonts w:hint="eastAsia" w:ascii="仿宋" w:hAnsi="仿宋" w:eastAsia="仿宋" w:cs="仿宋"/>
          <w:sz w:val="24"/>
          <w:highlight w:val="none"/>
          <w:lang w:val="en-US" w:eastAsia="zh-CN"/>
        </w:rPr>
        <w:t>磋商小组的组成</w:t>
      </w:r>
      <w:r>
        <w:rPr>
          <w:rFonts w:hint="eastAsia" w:ascii="仿宋" w:hAnsi="仿宋" w:eastAsia="仿宋" w:cs="仿宋"/>
          <w:sz w:val="24"/>
          <w:highlight w:val="none"/>
          <w:lang w:val="zh-CN"/>
        </w:rPr>
        <w:t>；</w:t>
      </w:r>
    </w:p>
    <w:p>
      <w:pPr>
        <w:pageBreakBefore w:val="0"/>
        <w:numPr>
          <w:ilvl w:val="0"/>
          <w:numId w:val="16"/>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介绍参加本次磋商会议的供应商名单</w:t>
      </w:r>
      <w:r>
        <w:rPr>
          <w:rFonts w:hint="eastAsia" w:ascii="仿宋" w:hAnsi="仿宋" w:eastAsia="仿宋" w:cs="仿宋"/>
          <w:sz w:val="24"/>
          <w:highlight w:val="none"/>
          <w:lang w:val="zh-CN" w:eastAsia="zh-CN"/>
        </w:rPr>
        <w:t>；</w:t>
      </w:r>
    </w:p>
    <w:p>
      <w:pPr>
        <w:pageBreakBefore w:val="0"/>
        <w:numPr>
          <w:ilvl w:val="0"/>
          <w:numId w:val="16"/>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en-US" w:eastAsia="zh-CN"/>
        </w:rPr>
        <w:t>宣布本次会议工作人员名单</w:t>
      </w:r>
      <w:r>
        <w:rPr>
          <w:rFonts w:hint="eastAsia" w:ascii="仿宋" w:hAnsi="仿宋" w:eastAsia="仿宋" w:cs="仿宋"/>
          <w:sz w:val="24"/>
          <w:highlight w:val="none"/>
          <w:lang w:val="zh-CN"/>
        </w:rPr>
        <w:t>；</w:t>
      </w:r>
    </w:p>
    <w:p>
      <w:pPr>
        <w:pageBreakBefore w:val="0"/>
        <w:numPr>
          <w:ilvl w:val="0"/>
          <w:numId w:val="16"/>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由采购人、采购代理机构及供应商代表共同签署《拒绝商业贿赂承诺书》;</w:t>
      </w:r>
    </w:p>
    <w:p>
      <w:pPr>
        <w:pageBreakBefore w:val="0"/>
        <w:numPr>
          <w:ilvl w:val="0"/>
          <w:numId w:val="16"/>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集中查验磋商响应文件密封情况</w:t>
      </w:r>
      <w:r>
        <w:rPr>
          <w:rFonts w:hint="eastAsia" w:ascii="仿宋" w:hAnsi="仿宋" w:eastAsia="仿宋" w:cs="仿宋"/>
          <w:sz w:val="24"/>
          <w:highlight w:val="none"/>
          <w:lang w:val="zh-CN" w:eastAsia="zh-CN"/>
        </w:rPr>
        <w:t>；</w:t>
      </w:r>
    </w:p>
    <w:p>
      <w:pPr>
        <w:pageBreakBefore w:val="0"/>
        <w:numPr>
          <w:ilvl w:val="0"/>
          <w:numId w:val="16"/>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磋商响应文件开启</w:t>
      </w:r>
      <w:r>
        <w:rPr>
          <w:rFonts w:hint="eastAsia" w:ascii="仿宋" w:hAnsi="仿宋" w:eastAsia="仿宋" w:cs="仿宋"/>
          <w:sz w:val="24"/>
          <w:highlight w:val="none"/>
          <w:lang w:val="zh-CN" w:eastAsia="zh-CN"/>
        </w:rPr>
        <w:t>；</w:t>
      </w:r>
    </w:p>
    <w:p>
      <w:pPr>
        <w:pageBreakBefore w:val="0"/>
        <w:numPr>
          <w:ilvl w:val="0"/>
          <w:numId w:val="16"/>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由监标人宣读监标词</w:t>
      </w:r>
      <w:r>
        <w:rPr>
          <w:rFonts w:hint="eastAsia" w:ascii="仿宋" w:hAnsi="仿宋" w:eastAsia="仿宋" w:cs="仿宋"/>
          <w:sz w:val="24"/>
          <w:highlight w:val="none"/>
          <w:lang w:val="zh-CN" w:eastAsia="zh-CN"/>
        </w:rPr>
        <w:t>；</w:t>
      </w:r>
    </w:p>
    <w:p>
      <w:pPr>
        <w:pageBreakBefore w:val="0"/>
        <w:numPr>
          <w:ilvl w:val="0"/>
          <w:numId w:val="16"/>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开标过程确认</w:t>
      </w:r>
      <w:r>
        <w:rPr>
          <w:rFonts w:hint="eastAsia" w:ascii="仿宋" w:hAnsi="仿宋" w:eastAsia="仿宋" w:cs="仿宋"/>
          <w:sz w:val="24"/>
          <w:highlight w:val="none"/>
          <w:lang w:val="zh-CN" w:eastAsia="zh-CN"/>
        </w:rPr>
        <w:t>；</w:t>
      </w:r>
    </w:p>
    <w:p>
      <w:pPr>
        <w:pageBreakBefore w:val="0"/>
        <w:numPr>
          <w:ilvl w:val="0"/>
          <w:numId w:val="16"/>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进入评标阶段</w:t>
      </w:r>
      <w:r>
        <w:rPr>
          <w:rFonts w:hint="eastAsia" w:ascii="仿宋" w:hAnsi="仿宋" w:eastAsia="仿宋" w:cs="仿宋"/>
          <w:sz w:val="24"/>
          <w:highlight w:val="none"/>
          <w:lang w:val="zh-CN" w:eastAsia="zh-CN"/>
        </w:rPr>
        <w:t>；</w:t>
      </w:r>
    </w:p>
    <w:p>
      <w:pPr>
        <w:pageBreakBefore w:val="0"/>
        <w:numPr>
          <w:ilvl w:val="0"/>
          <w:numId w:val="16"/>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eastAsia="zh-CN"/>
        </w:rPr>
      </w:pPr>
      <w:r>
        <w:rPr>
          <w:rFonts w:hint="eastAsia" w:ascii="仿宋" w:hAnsi="仿宋" w:eastAsia="仿宋" w:cs="仿宋"/>
          <w:sz w:val="24"/>
          <w:highlight w:val="none"/>
          <w:lang w:val="zh-CN" w:eastAsia="zh-CN"/>
        </w:rPr>
        <w:t>开启响应文件结束。</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所有提交了响应文件的供应商在退场后，不要远离会场并保持通讯设备的畅通，以方便后续磋商和在评审过程中磋商小组要求供应商对响应文件的必要澄清；</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检查响应文件密封情况是指，由供应商或者其推选的代表检查其自己提交的响应文件的密封情况，经检查无误后，签字确认；</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rPr>
      </w:pPr>
      <w:r>
        <w:rPr>
          <w:rFonts w:hint="eastAsia" w:ascii="仿宋" w:hAnsi="仿宋" w:eastAsia="仿宋" w:cs="仿宋"/>
          <w:sz w:val="24"/>
          <w:highlight w:val="none"/>
          <w:lang w:val="zh-CN"/>
        </w:rPr>
        <w:t>供应商认为采购人、采购代理机构相关工作人员有需要回避情形的，应当场提出询问或者回避申请。采购人、采购代理机构对供应商提出的询问或者回避申请应当及时处理，并制作记录。</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磋商原则</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“客观、公正、审慎”为本次磋商的基本原则，磋商小组按照这一原则的要求，公正、平等地对待各供应商。同时，在磋商中恪守以下原则：</w:t>
      </w:r>
    </w:p>
    <w:p>
      <w:pPr>
        <w:pageBreakBefore w:val="0"/>
        <w:numPr>
          <w:ilvl w:val="0"/>
          <w:numId w:val="17"/>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统一性原则：磋商小组将按照统一的磋商原则和方法，用统一标准进行评审；</w:t>
      </w:r>
    </w:p>
    <w:p>
      <w:pPr>
        <w:pageBreakBefore w:val="0"/>
        <w:numPr>
          <w:ilvl w:val="0"/>
          <w:numId w:val="17"/>
        </w:numPr>
        <w:tabs>
          <w:tab w:val="left" w:pos="840"/>
          <w:tab w:val="left" w:pos="1050"/>
        </w:tabs>
        <w:kinsoku/>
        <w:overflowPunct/>
        <w:bidi w:val="0"/>
        <w:spacing w:afterAutospacing="0" w:line="312" w:lineRule="auto"/>
        <w:ind w:left="225" w:firstLine="4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独立性原则：磋商工作在磋商小组内部独立进行，不受外界任何因素的干扰和影响。磋商小组成员对其出具的意见承担个人责任。供应商试图影响或干预评审的任何行为，将导致其丧失磋商的资格，并承担相应的法律责任；</w:t>
      </w:r>
    </w:p>
    <w:p>
      <w:pPr>
        <w:pageBreakBefore w:val="0"/>
        <w:numPr>
          <w:ilvl w:val="0"/>
          <w:numId w:val="17"/>
        </w:numPr>
        <w:tabs>
          <w:tab w:val="left" w:pos="840"/>
          <w:tab w:val="left" w:pos="1050"/>
        </w:tabs>
        <w:kinsoku/>
        <w:overflowPunct/>
        <w:bidi w:val="0"/>
        <w:spacing w:afterAutospacing="0" w:line="312" w:lineRule="auto"/>
        <w:ind w:left="225" w:firstLine="4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物有所值原则：通过首轮的磋商报价，激发供应商展开竞争，进一步优化方案，并使报价符合预期目标；</w:t>
      </w:r>
    </w:p>
    <w:p>
      <w:pPr>
        <w:pageBreakBefore w:val="0"/>
        <w:numPr>
          <w:ilvl w:val="0"/>
          <w:numId w:val="17"/>
        </w:numPr>
        <w:tabs>
          <w:tab w:val="left" w:pos="840"/>
          <w:tab w:val="left" w:pos="1050"/>
        </w:tabs>
        <w:kinsoku/>
        <w:overflowPunct/>
        <w:bidi w:val="0"/>
        <w:spacing w:afterAutospacing="0" w:line="312" w:lineRule="auto"/>
        <w:ind w:left="225" w:firstLine="4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客观性原则：磋商小组将严格按照响应文件要求，对供应商的响应文件进行认真评审；磋商小组对响应文件的评审仅依据响应文件本身，而不依据响应文件以外的任何因素；</w:t>
      </w:r>
    </w:p>
    <w:p>
      <w:pPr>
        <w:pageBreakBefore w:val="0"/>
        <w:numPr>
          <w:ilvl w:val="0"/>
          <w:numId w:val="17"/>
        </w:numPr>
        <w:tabs>
          <w:tab w:val="left" w:pos="840"/>
          <w:tab w:val="left" w:pos="1050"/>
        </w:tabs>
        <w:kinsoku/>
        <w:overflowPunct/>
        <w:bidi w:val="0"/>
        <w:spacing w:afterAutospacing="0" w:line="312" w:lineRule="auto"/>
        <w:ind w:left="225" w:firstLine="4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保密性原则：采购代理机构应当采取必要的措施，保证评审在严格保密情况下进行；</w:t>
      </w:r>
    </w:p>
    <w:p>
      <w:pPr>
        <w:pageBreakBefore w:val="0"/>
        <w:numPr>
          <w:ilvl w:val="0"/>
          <w:numId w:val="17"/>
        </w:numPr>
        <w:tabs>
          <w:tab w:val="left" w:pos="840"/>
          <w:tab w:val="left" w:pos="1050"/>
        </w:tabs>
        <w:kinsoku/>
        <w:overflowPunct/>
        <w:bidi w:val="0"/>
        <w:spacing w:afterAutospacing="0" w:line="312" w:lineRule="auto"/>
        <w:ind w:left="225" w:firstLine="4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综合性原则:磋商小组将综合分析、评审供应商的各项指标，而不以单项指标的优劣评定出成交供应商。</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磋商小组有权对整个磋商和评审过程中出现的所有问题，可根据《中华人民共和国政府采购法》及实施条例和《政府采购竞争性磋商采购方式管理暂行办法》等相关规定进行处理；</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根据磋商文件第五部分“评审办法及标准”规定的方法、评审因素和标准，在与单一供应商进行反复磋商的基础上，对其响应文件进行评审。第五部分“评审办法及标准”没有规定的方法、评审因素和标准，不作为评审依据。</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磋商小组负责具体磋商事务，并独立履行下列职责：</w:t>
      </w:r>
    </w:p>
    <w:p>
      <w:pPr>
        <w:pageBreakBefore w:val="0"/>
        <w:numPr>
          <w:ilvl w:val="0"/>
          <w:numId w:val="18"/>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审查、评价响应文件是否符合响应文件的实质性要求；</w:t>
      </w:r>
    </w:p>
    <w:p>
      <w:pPr>
        <w:pageBreakBefore w:val="0"/>
        <w:numPr>
          <w:ilvl w:val="0"/>
          <w:numId w:val="18"/>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要求供应商对响应文件有关事项作出澄清或者说明；</w:t>
      </w:r>
    </w:p>
    <w:p>
      <w:pPr>
        <w:pageBreakBefore w:val="0"/>
        <w:numPr>
          <w:ilvl w:val="0"/>
          <w:numId w:val="18"/>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对响应文件进行比较和评价；</w:t>
      </w:r>
    </w:p>
    <w:p>
      <w:pPr>
        <w:pageBreakBefore w:val="0"/>
        <w:numPr>
          <w:ilvl w:val="0"/>
          <w:numId w:val="18"/>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推荐成交候选人名单，或者根据采购人委托直接确定成交供应商；</w:t>
      </w:r>
    </w:p>
    <w:p>
      <w:pPr>
        <w:pageBreakBefore w:val="0"/>
        <w:numPr>
          <w:ilvl w:val="0"/>
          <w:numId w:val="18"/>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向采购人、采购代理机构或者有关部门报告非法干预磋商工作的行为。</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磋商小组成员应当履行下列义务：</w:t>
      </w:r>
    </w:p>
    <w:p>
      <w:pPr>
        <w:pageBreakBefore w:val="0"/>
        <w:numPr>
          <w:ilvl w:val="0"/>
          <w:numId w:val="19"/>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遵纪守法，客观、公正、廉洁地履行职责；</w:t>
      </w:r>
    </w:p>
    <w:p>
      <w:pPr>
        <w:pageBreakBefore w:val="0"/>
        <w:numPr>
          <w:ilvl w:val="0"/>
          <w:numId w:val="19"/>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根据采购文件的规定独立进行评审，对个人的评审意见承担法律责任；</w:t>
      </w:r>
    </w:p>
    <w:p>
      <w:pPr>
        <w:pageBreakBefore w:val="0"/>
        <w:numPr>
          <w:ilvl w:val="0"/>
          <w:numId w:val="19"/>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参与评审报告的起草；</w:t>
      </w:r>
    </w:p>
    <w:p>
      <w:pPr>
        <w:pageBreakBefore w:val="0"/>
        <w:numPr>
          <w:ilvl w:val="0"/>
          <w:numId w:val="19"/>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配合采购人、采购代理机构答复供应商提出的质疑；</w:t>
      </w:r>
    </w:p>
    <w:p>
      <w:pPr>
        <w:pageBreakBefore w:val="0"/>
        <w:numPr>
          <w:ilvl w:val="0"/>
          <w:numId w:val="19"/>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配合财政部门的投诉处理和监督检查工作。</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采购代理机构负责组织磋商工作并履行下列职责：</w:t>
      </w:r>
    </w:p>
    <w:p>
      <w:pPr>
        <w:pageBreakBefore w:val="0"/>
        <w:numPr>
          <w:ilvl w:val="0"/>
          <w:numId w:val="20"/>
        </w:numPr>
        <w:tabs>
          <w:tab w:val="left" w:pos="840"/>
          <w:tab w:val="left" w:pos="1050"/>
        </w:tabs>
        <w:kinsoku/>
        <w:overflowPunct/>
        <w:bidi w:val="0"/>
        <w:spacing w:afterAutospacing="0" w:line="312" w:lineRule="auto"/>
        <w:ind w:left="225" w:firstLine="4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核对评审专家身份，对评审专家在政府采购活动中的职责履行情况予以记录，并及时将有关违法违规行为向财政部门报告；</w:t>
      </w:r>
    </w:p>
    <w:p>
      <w:pPr>
        <w:pageBreakBefore w:val="0"/>
        <w:numPr>
          <w:ilvl w:val="0"/>
          <w:numId w:val="20"/>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组织磋商小组成员推选磋商小组组长，采购人代表不得担任组长；</w:t>
      </w:r>
    </w:p>
    <w:p>
      <w:pPr>
        <w:pageBreakBefore w:val="0"/>
        <w:numPr>
          <w:ilvl w:val="0"/>
          <w:numId w:val="20"/>
        </w:numPr>
        <w:tabs>
          <w:tab w:val="left" w:pos="840"/>
          <w:tab w:val="left" w:pos="1050"/>
        </w:tabs>
        <w:kinsoku/>
        <w:overflowPunct/>
        <w:bidi w:val="0"/>
        <w:spacing w:afterAutospacing="0" w:line="312" w:lineRule="auto"/>
        <w:ind w:left="225" w:firstLine="4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在磋商期间采取必要的通讯管理措施，保证磋商活动不受外界干扰；</w:t>
      </w:r>
    </w:p>
    <w:p>
      <w:pPr>
        <w:pageBreakBefore w:val="0"/>
        <w:numPr>
          <w:ilvl w:val="0"/>
          <w:numId w:val="20"/>
        </w:numPr>
        <w:tabs>
          <w:tab w:val="left" w:pos="840"/>
          <w:tab w:val="left" w:pos="1050"/>
        </w:tabs>
        <w:kinsoku/>
        <w:overflowPunct/>
        <w:bidi w:val="0"/>
        <w:spacing w:afterAutospacing="0" w:line="312" w:lineRule="auto"/>
        <w:ind w:left="225" w:firstLine="4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根据磋商小组的要求介绍政府采购相关政策法规、响应文件；</w:t>
      </w:r>
    </w:p>
    <w:p>
      <w:pPr>
        <w:pageBreakBefore w:val="0"/>
        <w:numPr>
          <w:ilvl w:val="0"/>
          <w:numId w:val="20"/>
        </w:numPr>
        <w:tabs>
          <w:tab w:val="left" w:pos="840"/>
          <w:tab w:val="left" w:pos="1050"/>
        </w:tabs>
        <w:kinsoku/>
        <w:overflowPunct/>
        <w:bidi w:val="0"/>
        <w:spacing w:afterAutospacing="0" w:line="312" w:lineRule="auto"/>
        <w:ind w:left="225" w:firstLine="4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维护磋商秩序，监督磋商小组依照磋商文件规定的磋商程序、评审方法和标准进行独立评审，对采购人代表、磋商小组成员的倾向性言论或违法违规行为及时制止和纠正；</w:t>
      </w:r>
    </w:p>
    <w:p>
      <w:pPr>
        <w:pageBreakBefore w:val="0"/>
        <w:numPr>
          <w:ilvl w:val="0"/>
          <w:numId w:val="20"/>
        </w:numPr>
        <w:tabs>
          <w:tab w:val="left" w:pos="840"/>
          <w:tab w:val="left" w:pos="1050"/>
        </w:tabs>
        <w:kinsoku/>
        <w:overflowPunct/>
        <w:bidi w:val="0"/>
        <w:spacing w:afterAutospacing="0" w:line="312" w:lineRule="auto"/>
        <w:ind w:left="225" w:firstLine="4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处理与磋商有关的其他事项。</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磋商过程的保密</w:t>
      </w:r>
    </w:p>
    <w:p>
      <w:pPr>
        <w:pageBreakBefore w:val="0"/>
        <w:numPr>
          <w:ilvl w:val="0"/>
          <w:numId w:val="21"/>
        </w:numPr>
        <w:tabs>
          <w:tab w:val="left" w:pos="840"/>
          <w:tab w:val="left" w:pos="1050"/>
        </w:tabs>
        <w:kinsoku/>
        <w:overflowPunct/>
        <w:bidi w:val="0"/>
        <w:spacing w:afterAutospacing="0" w:line="312" w:lineRule="auto"/>
        <w:ind w:left="225" w:firstLine="4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采购人、采购代理机构应当采取必要措施，保证磋商在严格保密的情况下进行。除采购人代表、磋商现场组织人员外，采购人的其他工作人员以及与磋商工作无关的人员不得进入磋商现场；</w:t>
      </w:r>
    </w:p>
    <w:p>
      <w:pPr>
        <w:pageBreakBefore w:val="0"/>
        <w:numPr>
          <w:ilvl w:val="0"/>
          <w:numId w:val="21"/>
        </w:numPr>
        <w:tabs>
          <w:tab w:val="left" w:pos="840"/>
          <w:tab w:val="left" w:pos="1050"/>
        </w:tabs>
        <w:kinsoku/>
        <w:overflowPunct/>
        <w:bidi w:val="0"/>
        <w:spacing w:afterAutospacing="0" w:line="312" w:lineRule="auto"/>
        <w:ind w:left="225" w:firstLine="4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有关人员对磋商情况以及在磋商过程中获悉的国家秘密、商业秘密负有保密责任。开启响应文件后，直至授予成交供应商合同为止，凡属于对响应文件的审查、澄清、评价和比较的有关资料以及成交候选人的推荐情况，与磋商有关的其他任何情况均严格保密。</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供应商对磋商小组的磋商过程或合同授予决定施加影响的任何行为都可能导致其响应文件无效；</w:t>
      </w:r>
    </w:p>
    <w:p>
      <w:pPr>
        <w:pageBreakBefore w:val="0"/>
        <w:numPr>
          <w:ilvl w:val="2"/>
          <w:numId w:val="11"/>
        </w:numPr>
        <w:tabs>
          <w:tab w:val="left" w:pos="840"/>
          <w:tab w:val="left" w:pos="1050"/>
        </w:tabs>
        <w:kinsoku/>
        <w:overflowPunct/>
        <w:bidi w:val="0"/>
        <w:spacing w:afterAutospacing="0" w:line="312" w:lineRule="auto"/>
        <w:ind w:left="0" w:firstLine="420" w:firstLineChars="17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磋商完成后，磋商小组应当向采购人提交书面评审报告，并由采购代理机构转送。</w:t>
      </w:r>
    </w:p>
    <w:p>
      <w:pPr>
        <w:pageBreakBefore w:val="0"/>
        <w:numPr>
          <w:ilvl w:val="0"/>
          <w:numId w:val="11"/>
        </w:numPr>
        <w:kinsoku/>
        <w:overflowPunct/>
        <w:bidi w:val="0"/>
        <w:spacing w:afterAutospacing="0" w:line="312" w:lineRule="auto"/>
        <w:jc w:val="left"/>
        <w:rPr>
          <w:rFonts w:hint="eastAsia" w:ascii="仿宋" w:hAnsi="仿宋" w:eastAsia="仿宋" w:cs="仿宋"/>
          <w:b/>
          <w:bCs/>
          <w:sz w:val="24"/>
          <w:highlight w:val="none"/>
        </w:rPr>
      </w:pPr>
      <w:bookmarkStart w:id="16" w:name="_Toc21762"/>
      <w:r>
        <w:rPr>
          <w:rFonts w:hint="eastAsia" w:ascii="仿宋" w:hAnsi="仿宋" w:eastAsia="仿宋" w:cs="仿宋"/>
          <w:b/>
          <w:bCs/>
          <w:sz w:val="24"/>
          <w:highlight w:val="none"/>
        </w:rPr>
        <w:t>响应文件的无效性</w:t>
      </w:r>
      <w:bookmarkEnd w:id="16"/>
    </w:p>
    <w:p>
      <w:pPr>
        <w:pageBreakBefore w:val="0"/>
        <w:tabs>
          <w:tab w:val="left" w:pos="840"/>
          <w:tab w:val="left" w:pos="1050"/>
        </w:tabs>
        <w:kinsoku/>
        <w:overflowPunct/>
        <w:bidi w:val="0"/>
        <w:spacing w:afterAutospacing="0" w:line="312"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响应文件有下列情况之一者，应当作为无效响应文件，不得进入评标：</w:t>
      </w:r>
    </w:p>
    <w:p>
      <w:pPr>
        <w:pageBreakBefore w:val="0"/>
        <w:numPr>
          <w:ilvl w:val="0"/>
          <w:numId w:val="22"/>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响应文件份数不够的；</w:t>
      </w:r>
    </w:p>
    <w:p>
      <w:pPr>
        <w:pageBreakBefore w:val="0"/>
        <w:numPr>
          <w:ilvl w:val="0"/>
          <w:numId w:val="22"/>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响应文件未按照供应商须知前附表要求装订、密封和标记的；</w:t>
      </w:r>
    </w:p>
    <w:p>
      <w:pPr>
        <w:pageBreakBefore w:val="0"/>
        <w:numPr>
          <w:ilvl w:val="0"/>
          <w:numId w:val="22"/>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响应文件有关内容未按规定加盖供应商印章和未经法定代表人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lang w:val="zh-CN"/>
        </w:rPr>
        <w:t>签字盖章或委托代理人签字盖章的；</w:t>
      </w:r>
    </w:p>
    <w:p>
      <w:pPr>
        <w:pageBreakBefore w:val="0"/>
        <w:numPr>
          <w:ilvl w:val="0"/>
          <w:numId w:val="22"/>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响应文件的关键内容字迹模糊、无法辨认的；</w:t>
      </w:r>
    </w:p>
    <w:p>
      <w:pPr>
        <w:pageBreakBefore w:val="0"/>
        <w:numPr>
          <w:ilvl w:val="0"/>
          <w:numId w:val="22"/>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供应商提交的是可选择报价的；</w:t>
      </w:r>
    </w:p>
    <w:p>
      <w:pPr>
        <w:pageBreakBefore w:val="0"/>
        <w:numPr>
          <w:ilvl w:val="0"/>
          <w:numId w:val="22"/>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供应商的提交的报价超过预算的；</w:t>
      </w:r>
    </w:p>
    <w:p>
      <w:pPr>
        <w:pageBreakBefore w:val="0"/>
        <w:numPr>
          <w:ilvl w:val="0"/>
          <w:numId w:val="22"/>
        </w:numPr>
        <w:tabs>
          <w:tab w:val="left" w:pos="840"/>
          <w:tab w:val="left" w:pos="1050"/>
        </w:tabs>
        <w:kinsoku/>
        <w:overflowPunct/>
        <w:bidi w:val="0"/>
        <w:spacing w:afterAutospacing="0" w:line="312" w:lineRule="auto"/>
        <w:ind w:firstLine="215"/>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响应文件中提供虚假或失实资料的。</w:t>
      </w:r>
    </w:p>
    <w:p>
      <w:pPr>
        <w:pageBreakBefore w:val="0"/>
        <w:numPr>
          <w:ilvl w:val="0"/>
          <w:numId w:val="11"/>
        </w:numPr>
        <w:kinsoku/>
        <w:overflowPunct/>
        <w:bidi w:val="0"/>
        <w:spacing w:afterAutospacing="0" w:line="312" w:lineRule="auto"/>
        <w:jc w:val="left"/>
        <w:rPr>
          <w:rFonts w:hint="eastAsia" w:ascii="仿宋" w:hAnsi="仿宋" w:eastAsia="仿宋" w:cs="仿宋"/>
          <w:b/>
          <w:bCs/>
          <w:sz w:val="24"/>
          <w:highlight w:val="none"/>
          <w:lang w:val="zh-CN"/>
        </w:rPr>
      </w:pPr>
      <w:bookmarkStart w:id="17" w:name="_Toc5074"/>
      <w:r>
        <w:rPr>
          <w:rFonts w:hint="eastAsia" w:ascii="仿宋" w:hAnsi="仿宋" w:eastAsia="仿宋" w:cs="仿宋"/>
          <w:b/>
          <w:bCs/>
          <w:sz w:val="24"/>
          <w:highlight w:val="none"/>
          <w:lang w:val="zh-CN"/>
        </w:rPr>
        <w:t>终止竞争性磋商采购活动</w:t>
      </w:r>
      <w:bookmarkEnd w:id="17"/>
    </w:p>
    <w:p>
      <w:pPr>
        <w:pageBreakBefore w:val="0"/>
        <w:tabs>
          <w:tab w:val="left" w:pos="840"/>
          <w:tab w:val="left" w:pos="1050"/>
        </w:tabs>
        <w:kinsoku/>
        <w:overflowPunct/>
        <w:bidi w:val="0"/>
        <w:spacing w:afterAutospacing="0" w:line="312"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出现下列情形之一的，采购人或者采购代理机构应当终止竞争性磋商采购活动，发布项目终止公告并说明原因，重新开展采购活动：</w:t>
      </w:r>
    </w:p>
    <w:p>
      <w:pPr>
        <w:pStyle w:val="105"/>
        <w:pageBreakBefore w:val="0"/>
        <w:numPr>
          <w:ilvl w:val="0"/>
          <w:numId w:val="23"/>
        </w:numPr>
        <w:tabs>
          <w:tab w:val="left" w:pos="420"/>
          <w:tab w:val="left" w:pos="630"/>
          <w:tab w:val="left" w:pos="840"/>
          <w:tab w:val="left" w:pos="1050"/>
          <w:tab w:val="left" w:pos="1260"/>
          <w:tab w:val="left" w:pos="1361"/>
        </w:tabs>
        <w:kinsoku/>
        <w:overflowPunct/>
        <w:bidi w:val="0"/>
        <w:adjustRightInd w:val="0"/>
        <w:snapToGrid w:val="0"/>
        <w:spacing w:afterAutospacing="0" w:line="312" w:lineRule="auto"/>
        <w:ind w:left="420" w:leftChars="200" w:firstLine="240" w:firstLineChars="100"/>
        <w:jc w:val="lef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因情况变化，不再符合规定的竞争性磋商采购方式适用情形的；</w:t>
      </w:r>
    </w:p>
    <w:p>
      <w:pPr>
        <w:pStyle w:val="105"/>
        <w:pageBreakBefore w:val="0"/>
        <w:numPr>
          <w:ilvl w:val="0"/>
          <w:numId w:val="23"/>
        </w:numPr>
        <w:tabs>
          <w:tab w:val="left" w:pos="420"/>
          <w:tab w:val="left" w:pos="630"/>
          <w:tab w:val="left" w:pos="840"/>
          <w:tab w:val="left" w:pos="1050"/>
          <w:tab w:val="left" w:pos="1260"/>
          <w:tab w:val="left" w:pos="1361"/>
        </w:tabs>
        <w:kinsoku/>
        <w:overflowPunct/>
        <w:bidi w:val="0"/>
        <w:adjustRightInd w:val="0"/>
        <w:snapToGrid w:val="0"/>
        <w:spacing w:afterAutospacing="0" w:line="312" w:lineRule="auto"/>
        <w:ind w:left="420" w:leftChars="200" w:firstLine="240" w:firstLineChars="100"/>
        <w:jc w:val="lef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出现影响采购公正的违法、违规行为的；</w:t>
      </w:r>
    </w:p>
    <w:p>
      <w:pPr>
        <w:pStyle w:val="105"/>
        <w:pageBreakBefore w:val="0"/>
        <w:numPr>
          <w:ilvl w:val="0"/>
          <w:numId w:val="23"/>
        </w:numPr>
        <w:tabs>
          <w:tab w:val="left" w:pos="420"/>
          <w:tab w:val="left" w:pos="630"/>
          <w:tab w:val="left" w:pos="840"/>
          <w:tab w:val="left" w:pos="1050"/>
          <w:tab w:val="left" w:pos="1260"/>
          <w:tab w:val="left" w:pos="1361"/>
        </w:tabs>
        <w:kinsoku/>
        <w:overflowPunct/>
        <w:bidi w:val="0"/>
        <w:adjustRightInd w:val="0"/>
        <w:snapToGrid w:val="0"/>
        <w:spacing w:afterAutospacing="0" w:line="312" w:lineRule="auto"/>
        <w:ind w:left="420" w:leftChars="200" w:firstLine="240" w:firstLineChars="100"/>
        <w:jc w:val="lef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在采购过程中符合竞争要求的响应人或者报价未超过采购预算的响应人不足3家的。</w:t>
      </w:r>
    </w:p>
    <w:p>
      <w:pPr>
        <w:pageBreakBefore w:val="0"/>
        <w:numPr>
          <w:ilvl w:val="0"/>
          <w:numId w:val="11"/>
        </w:numPr>
        <w:kinsoku/>
        <w:overflowPunct/>
        <w:bidi w:val="0"/>
        <w:spacing w:afterAutospacing="0" w:line="312" w:lineRule="auto"/>
        <w:jc w:val="left"/>
        <w:rPr>
          <w:rFonts w:hint="eastAsia" w:ascii="仿宋" w:hAnsi="仿宋" w:eastAsia="仿宋" w:cs="仿宋"/>
          <w:b/>
          <w:bCs/>
          <w:sz w:val="24"/>
          <w:highlight w:val="none"/>
          <w:lang w:val="zh-CN"/>
        </w:rPr>
      </w:pPr>
      <w:bookmarkStart w:id="18" w:name="_Toc21437"/>
      <w:r>
        <w:rPr>
          <w:rFonts w:hint="eastAsia" w:ascii="仿宋" w:hAnsi="仿宋" w:eastAsia="仿宋" w:cs="仿宋"/>
          <w:b/>
          <w:bCs/>
          <w:sz w:val="24"/>
          <w:highlight w:val="none"/>
          <w:lang w:val="zh-CN"/>
        </w:rPr>
        <w:t>确定成交供应商</w:t>
      </w:r>
      <w:bookmarkEnd w:id="18"/>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确定成交供应商原则</w:t>
      </w:r>
    </w:p>
    <w:p>
      <w:pPr>
        <w:pageBreakBefore w:val="0"/>
        <w:tabs>
          <w:tab w:val="left" w:pos="7665"/>
        </w:tabs>
        <w:kinsoku/>
        <w:overflowPunct/>
        <w:bidi w:val="0"/>
        <w:adjustRightInd w:val="0"/>
        <w:snapToGrid w:val="0"/>
        <w:spacing w:afterAutospacing="0" w:line="312"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采购人按照</w:t>
      </w:r>
      <w:r>
        <w:rPr>
          <w:rFonts w:hint="eastAsia" w:ascii="仿宋" w:hAnsi="仿宋" w:eastAsia="仿宋" w:cs="仿宋"/>
          <w:sz w:val="24"/>
          <w:highlight w:val="none"/>
          <w:lang w:val="zh-CN"/>
        </w:rPr>
        <w:t>磋商小组</w:t>
      </w:r>
      <w:r>
        <w:rPr>
          <w:rFonts w:hint="eastAsia" w:ascii="仿宋" w:hAnsi="仿宋" w:eastAsia="仿宋" w:cs="仿宋"/>
          <w:sz w:val="24"/>
          <w:highlight w:val="none"/>
        </w:rPr>
        <w:t>推荐的成交候选人排序先后确定成交供应商，采购人不得在</w:t>
      </w:r>
      <w:r>
        <w:rPr>
          <w:rFonts w:hint="eastAsia" w:ascii="仿宋" w:hAnsi="仿宋" w:eastAsia="仿宋" w:cs="仿宋"/>
          <w:sz w:val="24"/>
          <w:highlight w:val="none"/>
          <w:lang w:val="zh-CN"/>
        </w:rPr>
        <w:t>磋商小组</w:t>
      </w:r>
      <w:r>
        <w:rPr>
          <w:rFonts w:hint="eastAsia" w:ascii="仿宋" w:hAnsi="仿宋" w:eastAsia="仿宋" w:cs="仿宋"/>
          <w:sz w:val="24"/>
          <w:highlight w:val="none"/>
        </w:rPr>
        <w:t>推荐的成交候选人之外确定成交供应商。</w:t>
      </w:r>
    </w:p>
    <w:p>
      <w:pPr>
        <w:pageBreakBefore w:val="0"/>
        <w:tabs>
          <w:tab w:val="left" w:pos="7665"/>
        </w:tabs>
        <w:kinsoku/>
        <w:overflowPunct/>
        <w:bidi w:val="0"/>
        <w:adjustRightInd w:val="0"/>
        <w:snapToGrid w:val="0"/>
        <w:spacing w:afterAutospacing="0" w:line="312" w:lineRule="auto"/>
        <w:ind w:firstLine="482" w:firstLineChars="200"/>
        <w:rPr>
          <w:rFonts w:hint="eastAsia" w:ascii="仿宋" w:hAnsi="仿宋" w:eastAsia="仿宋" w:cs="仿宋"/>
          <w:highlight w:val="none"/>
          <w:lang w:val="zh-CN"/>
        </w:rPr>
      </w:pPr>
      <w:r>
        <w:rPr>
          <w:rFonts w:hint="eastAsia" w:ascii="仿宋" w:hAnsi="仿宋" w:eastAsia="仿宋" w:cs="仿宋"/>
          <w:b/>
          <w:bCs/>
          <w:sz w:val="24"/>
          <w:highlight w:val="none"/>
          <w:u w:val="single"/>
        </w:rPr>
        <w:t>本项目投标单位可以多个标段</w:t>
      </w:r>
      <w:r>
        <w:rPr>
          <w:rFonts w:hint="eastAsia" w:ascii="仿宋" w:hAnsi="仿宋" w:eastAsia="仿宋" w:cs="仿宋"/>
          <w:b/>
          <w:bCs/>
          <w:sz w:val="24"/>
          <w:highlight w:val="none"/>
          <w:u w:val="single"/>
          <w:lang w:eastAsia="zh-CN"/>
        </w:rPr>
        <w:t>（如有）</w:t>
      </w:r>
      <w:r>
        <w:rPr>
          <w:rFonts w:hint="eastAsia" w:ascii="仿宋" w:hAnsi="仿宋" w:eastAsia="仿宋" w:cs="仿宋"/>
          <w:b/>
          <w:bCs/>
          <w:sz w:val="24"/>
          <w:highlight w:val="none"/>
          <w:u w:val="single"/>
        </w:rPr>
        <w:t>报名投标，但只允许中标一个标段</w:t>
      </w:r>
      <w:r>
        <w:rPr>
          <w:rFonts w:hint="eastAsia" w:ascii="仿宋" w:hAnsi="仿宋" w:eastAsia="仿宋" w:cs="仿宋"/>
          <w:b/>
          <w:bCs/>
          <w:sz w:val="24"/>
          <w:highlight w:val="none"/>
          <w:u w:val="single"/>
          <w:lang w:eastAsia="zh-CN"/>
        </w:rPr>
        <w:t>。</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确定成交供应商程序</w:t>
      </w:r>
    </w:p>
    <w:p>
      <w:pPr>
        <w:pStyle w:val="105"/>
        <w:pageBreakBefore w:val="0"/>
        <w:numPr>
          <w:ilvl w:val="0"/>
          <w:numId w:val="24"/>
        </w:numPr>
        <w:tabs>
          <w:tab w:val="left" w:pos="220"/>
          <w:tab w:val="left" w:pos="630"/>
          <w:tab w:val="left" w:pos="840"/>
          <w:tab w:val="left" w:pos="1050"/>
          <w:tab w:val="left" w:pos="1260"/>
          <w:tab w:val="left" w:pos="1361"/>
        </w:tabs>
        <w:kinsoku/>
        <w:overflowPunct/>
        <w:bidi w:val="0"/>
        <w:adjustRightInd w:val="0"/>
        <w:snapToGrid w:val="0"/>
        <w:spacing w:afterAutospacing="0" w:line="312" w:lineRule="auto"/>
        <w:ind w:left="218" w:leftChars="104" w:firstLine="439" w:firstLineChars="183"/>
        <w:jc w:val="lef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磋商小组将评审情况写出书面报告，推荐3个成交候选人，并按照综合得分高低标明排列顺序。得分相同的，按照最后报价由低到高顺序排列；得分且最后报价相同的按照技术指标优劣顺序排列；</w:t>
      </w:r>
    </w:p>
    <w:p>
      <w:pPr>
        <w:pStyle w:val="105"/>
        <w:pageBreakBefore w:val="0"/>
        <w:numPr>
          <w:ilvl w:val="0"/>
          <w:numId w:val="24"/>
        </w:numPr>
        <w:tabs>
          <w:tab w:val="left" w:pos="220"/>
          <w:tab w:val="left" w:pos="630"/>
          <w:tab w:val="left" w:pos="840"/>
          <w:tab w:val="left" w:pos="1050"/>
          <w:tab w:val="left" w:pos="1260"/>
          <w:tab w:val="left" w:pos="1361"/>
        </w:tabs>
        <w:kinsoku/>
        <w:overflowPunct/>
        <w:bidi w:val="0"/>
        <w:adjustRightInd w:val="0"/>
        <w:snapToGrid w:val="0"/>
        <w:spacing w:afterAutospacing="0" w:line="312" w:lineRule="auto"/>
        <w:ind w:left="218" w:leftChars="104" w:firstLine="439" w:firstLineChars="183"/>
        <w:jc w:val="lef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采购代理机构在评审结束后2个工作日内将评审报告送采购人确认；</w:t>
      </w:r>
    </w:p>
    <w:p>
      <w:pPr>
        <w:pStyle w:val="105"/>
        <w:pageBreakBefore w:val="0"/>
        <w:numPr>
          <w:ilvl w:val="0"/>
          <w:numId w:val="24"/>
        </w:numPr>
        <w:tabs>
          <w:tab w:val="left" w:pos="220"/>
          <w:tab w:val="left" w:pos="630"/>
          <w:tab w:val="left" w:pos="840"/>
          <w:tab w:val="left" w:pos="1050"/>
          <w:tab w:val="left" w:pos="1260"/>
          <w:tab w:val="left" w:pos="1361"/>
        </w:tabs>
        <w:kinsoku/>
        <w:overflowPunct/>
        <w:bidi w:val="0"/>
        <w:adjustRightInd w:val="0"/>
        <w:snapToGrid w:val="0"/>
        <w:spacing w:afterAutospacing="0" w:line="312" w:lineRule="auto"/>
        <w:ind w:left="218" w:leftChars="104" w:firstLine="439" w:firstLineChars="183"/>
        <w:jc w:val="lef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采购人应当在收到评审报告后5个工作日内，按照评审报告中推荐的成交候选人中，按照顺序由高到低确定成交供应商。同时，将确定成交供应商的结果复函至采购代理机构；</w:t>
      </w:r>
    </w:p>
    <w:p>
      <w:pPr>
        <w:pStyle w:val="105"/>
        <w:pageBreakBefore w:val="0"/>
        <w:numPr>
          <w:ilvl w:val="0"/>
          <w:numId w:val="24"/>
        </w:numPr>
        <w:tabs>
          <w:tab w:val="left" w:pos="220"/>
          <w:tab w:val="left" w:pos="630"/>
          <w:tab w:val="left" w:pos="840"/>
          <w:tab w:val="left" w:pos="1050"/>
          <w:tab w:val="left" w:pos="1260"/>
          <w:tab w:val="left" w:pos="1361"/>
        </w:tabs>
        <w:kinsoku/>
        <w:overflowPunct/>
        <w:bidi w:val="0"/>
        <w:adjustRightInd w:val="0"/>
        <w:snapToGrid w:val="0"/>
        <w:spacing w:afterAutospacing="0" w:line="312" w:lineRule="auto"/>
        <w:ind w:left="218" w:leftChars="104" w:firstLine="439" w:firstLineChars="183"/>
        <w:jc w:val="lef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采购人在收到评审报告5个工作日内未按评审报告推荐的成交候选人中顺序确定成交供应商，又不能说明合法理由的，视同按照评审报告推荐的顺序确定排名第一的成交候选人为成交供应商。</w:t>
      </w:r>
    </w:p>
    <w:p>
      <w:pPr>
        <w:pageBreakBefore w:val="0"/>
        <w:numPr>
          <w:ilvl w:val="0"/>
          <w:numId w:val="11"/>
        </w:numPr>
        <w:kinsoku/>
        <w:overflowPunct/>
        <w:bidi w:val="0"/>
        <w:spacing w:afterAutospacing="0" w:line="312" w:lineRule="auto"/>
        <w:jc w:val="left"/>
        <w:rPr>
          <w:rFonts w:hint="eastAsia" w:ascii="仿宋" w:hAnsi="仿宋" w:eastAsia="仿宋" w:cs="仿宋"/>
          <w:b/>
          <w:bCs/>
          <w:sz w:val="24"/>
          <w:highlight w:val="none"/>
          <w:lang w:val="zh-CN"/>
        </w:rPr>
      </w:pPr>
      <w:bookmarkStart w:id="19" w:name="_Toc9817"/>
      <w:r>
        <w:rPr>
          <w:rFonts w:hint="eastAsia" w:ascii="仿宋" w:hAnsi="仿宋" w:eastAsia="仿宋" w:cs="仿宋"/>
          <w:b/>
          <w:bCs/>
          <w:sz w:val="24"/>
          <w:highlight w:val="none"/>
          <w:lang w:val="zh-CN"/>
        </w:rPr>
        <w:t>成交通知书</w:t>
      </w:r>
      <w:bookmarkEnd w:id="19"/>
    </w:p>
    <w:p>
      <w:pPr>
        <w:pageBreakBefore w:val="0"/>
        <w:numPr>
          <w:ilvl w:val="1"/>
          <w:numId w:val="11"/>
        </w:numPr>
        <w:tabs>
          <w:tab w:val="left" w:pos="630"/>
          <w:tab w:val="left" w:pos="840"/>
          <w:tab w:val="left" w:pos="1050"/>
          <w:tab w:val="left" w:pos="1260"/>
        </w:tabs>
        <w:kinsoku/>
        <w:overflowPunct/>
        <w:bidi w:val="0"/>
        <w:spacing w:afterAutospacing="0" w:line="312" w:lineRule="auto"/>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成交通知书为签订政府采购合同的依据之一，是合同的有效组成部分；</w:t>
      </w:r>
    </w:p>
    <w:p>
      <w:pPr>
        <w:pageBreakBefore w:val="0"/>
        <w:numPr>
          <w:ilvl w:val="1"/>
          <w:numId w:val="11"/>
        </w:numPr>
        <w:tabs>
          <w:tab w:val="left" w:pos="0"/>
          <w:tab w:val="left" w:pos="1050"/>
        </w:tabs>
        <w:kinsoku/>
        <w:overflowPunct/>
        <w:bidi w:val="0"/>
        <w:spacing w:afterAutospacing="0" w:line="312" w:lineRule="auto"/>
        <w:ind w:left="10" w:firstLine="387"/>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成交通知书对采购人和成交供应商均具有法律效力。成交通知书发出后，采购人不得违法改变成交结果，成交供应商无正当理由不得放弃成交资格。否则，应当承担相应的法律责任；</w:t>
      </w:r>
    </w:p>
    <w:p>
      <w:pPr>
        <w:pageBreakBefore w:val="0"/>
        <w:numPr>
          <w:ilvl w:val="1"/>
          <w:numId w:val="11"/>
        </w:numPr>
        <w:tabs>
          <w:tab w:val="left" w:pos="0"/>
          <w:tab w:val="left" w:pos="1050"/>
        </w:tabs>
        <w:kinsoku/>
        <w:overflowPunct/>
        <w:bidi w:val="0"/>
        <w:spacing w:afterAutospacing="0" w:line="312" w:lineRule="auto"/>
        <w:ind w:left="10" w:firstLine="387"/>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成交供应商应当在接到采购代理机构通知之日起2个工作日内领取《成交通知书》；</w:t>
      </w:r>
    </w:p>
    <w:p>
      <w:pPr>
        <w:pageBreakBefore w:val="0"/>
        <w:numPr>
          <w:ilvl w:val="1"/>
          <w:numId w:val="11"/>
        </w:numPr>
        <w:tabs>
          <w:tab w:val="left" w:pos="0"/>
          <w:tab w:val="left" w:pos="1050"/>
        </w:tabs>
        <w:kinsoku/>
        <w:overflowPunct/>
        <w:bidi w:val="0"/>
        <w:spacing w:afterAutospacing="0" w:line="312" w:lineRule="auto"/>
        <w:ind w:left="10" w:firstLine="387"/>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在《成交通知书》发出后，发现成交供应商有政府采购法律法规规章制度规定的成交无效情形的，采购代理机构应当宣布发出的成交通知书无效，并收回已发出的成交通知书（成交供应商也应当交回），依法重新确定成交供应商或者重新开展采购活动，同时向同级财政部门报告。</w:t>
      </w:r>
    </w:p>
    <w:p>
      <w:pPr>
        <w:pageBreakBefore w:val="0"/>
        <w:numPr>
          <w:ilvl w:val="0"/>
          <w:numId w:val="11"/>
        </w:numPr>
        <w:kinsoku/>
        <w:overflowPunct/>
        <w:bidi w:val="0"/>
        <w:spacing w:afterAutospacing="0" w:line="312" w:lineRule="auto"/>
        <w:jc w:val="left"/>
        <w:rPr>
          <w:rFonts w:hint="eastAsia" w:ascii="仿宋" w:hAnsi="仿宋" w:eastAsia="仿宋" w:cs="仿宋"/>
          <w:b/>
          <w:bCs/>
          <w:sz w:val="24"/>
          <w:highlight w:val="none"/>
          <w:lang w:val="zh-CN"/>
        </w:rPr>
      </w:pPr>
      <w:bookmarkStart w:id="20" w:name="_Toc7176"/>
      <w:r>
        <w:rPr>
          <w:rFonts w:hint="eastAsia" w:ascii="仿宋" w:hAnsi="仿宋" w:eastAsia="仿宋" w:cs="仿宋"/>
          <w:b/>
          <w:bCs/>
          <w:sz w:val="24"/>
          <w:highlight w:val="none"/>
          <w:lang w:val="zh-CN"/>
        </w:rPr>
        <w:t>签订合同</w:t>
      </w:r>
      <w:bookmarkEnd w:id="20"/>
    </w:p>
    <w:p>
      <w:pPr>
        <w:pageBreakBefore w:val="0"/>
        <w:numPr>
          <w:ilvl w:val="1"/>
          <w:numId w:val="11"/>
        </w:numPr>
        <w:tabs>
          <w:tab w:val="left" w:pos="0"/>
          <w:tab w:val="left" w:pos="630"/>
          <w:tab w:val="left" w:pos="840"/>
          <w:tab w:val="left" w:pos="1050"/>
          <w:tab w:val="left" w:pos="1260"/>
          <w:tab w:val="left" w:pos="1470"/>
        </w:tabs>
        <w:kinsoku/>
        <w:overflowPunct/>
        <w:bidi w:val="0"/>
        <w:spacing w:afterAutospacing="0" w:line="312" w:lineRule="auto"/>
        <w:ind w:left="10" w:firstLine="387"/>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采购人应当自《成交通知书》发出之日起</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val="zh-CN"/>
        </w:rPr>
        <w:t>日内，按照磋商文件和成交供应商响应文件的规定，与成交供应商签订书面合同。成交供应商无正当理由拒签合同，或者在签订合同时向采购人提出附件条件，采购人有权取消其成交资格，给采购人造成损失的，成交供应商应当予以赔偿。采购人可以按照评审报告推荐的成交候选人名单排序确定下一候选人为成交供应商，并签订合同，或者重新开展采购活动。拒绝签订合同的成交供应商不得参加对该项目重新开展的采购活动；</w:t>
      </w:r>
    </w:p>
    <w:p>
      <w:pPr>
        <w:pageBreakBefore w:val="0"/>
        <w:numPr>
          <w:ilvl w:val="1"/>
          <w:numId w:val="11"/>
        </w:numPr>
        <w:tabs>
          <w:tab w:val="left" w:pos="0"/>
          <w:tab w:val="left" w:pos="1050"/>
        </w:tabs>
        <w:kinsoku/>
        <w:overflowPunct/>
        <w:bidi w:val="0"/>
        <w:spacing w:afterAutospacing="0" w:line="312" w:lineRule="auto"/>
        <w:ind w:left="10" w:firstLine="387"/>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发出成交通知书后，采购人不得向成交供应商提出任何不合理要求，作为签订合同的条件，不得与成交供应商私下订立背离合同实质性内容的任何协议，所签订的合同不得对响应文件确定的事项和成交供应商响应文件做实质性修改。</w:t>
      </w:r>
    </w:p>
    <w:p>
      <w:pPr>
        <w:pageBreakBefore w:val="0"/>
        <w:numPr>
          <w:ilvl w:val="0"/>
          <w:numId w:val="11"/>
        </w:numPr>
        <w:kinsoku/>
        <w:overflowPunct/>
        <w:bidi w:val="0"/>
        <w:spacing w:afterAutospacing="0" w:line="312" w:lineRule="auto"/>
        <w:jc w:val="left"/>
        <w:rPr>
          <w:rFonts w:hint="eastAsia" w:ascii="仿宋" w:hAnsi="仿宋" w:eastAsia="仿宋" w:cs="仿宋"/>
          <w:b/>
          <w:bCs/>
          <w:sz w:val="24"/>
          <w:highlight w:val="none"/>
          <w:lang w:val="zh-CN"/>
        </w:rPr>
      </w:pPr>
      <w:bookmarkStart w:id="21" w:name="_Toc24788"/>
      <w:r>
        <w:rPr>
          <w:rFonts w:hint="eastAsia" w:ascii="仿宋" w:hAnsi="仿宋" w:eastAsia="仿宋" w:cs="仿宋"/>
          <w:b/>
          <w:bCs/>
          <w:sz w:val="24"/>
          <w:highlight w:val="none"/>
          <w:lang w:val="zh-CN"/>
        </w:rPr>
        <w:t>纪律和监督</w:t>
      </w:r>
      <w:bookmarkEnd w:id="21"/>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对采购人的纪律要求</w:t>
      </w:r>
    </w:p>
    <w:p>
      <w:pPr>
        <w:pageBreakBefore w:val="0"/>
        <w:tabs>
          <w:tab w:val="left" w:pos="7665"/>
        </w:tabs>
        <w:kinsoku/>
        <w:overflowPunct/>
        <w:bidi w:val="0"/>
        <w:adjustRightInd w:val="0"/>
        <w:snapToGrid w:val="0"/>
        <w:spacing w:afterAutospacing="0"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采购人不得泄漏采购竞争性磋商活动中应当保密的情况和资料，不得与供应商串通损害国家利益、社会公共利益或者他人合法权益。</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对供应商的纪律要求</w:t>
      </w:r>
    </w:p>
    <w:p>
      <w:pPr>
        <w:pageBreakBefore w:val="0"/>
        <w:tabs>
          <w:tab w:val="left" w:pos="7665"/>
        </w:tabs>
        <w:kinsoku/>
        <w:overflowPunct/>
        <w:bidi w:val="0"/>
        <w:adjustRightInd w:val="0"/>
        <w:snapToGrid w:val="0"/>
        <w:spacing w:afterAutospacing="0"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不得相互串通竞争性磋商或者与采购人串通竞争性磋商，不得向采购人或者竞争性磋商小组成员行贿谋取中标，不得以他人名义竞争性磋商或者以其他方式弄虚作假骗取中标；供应商不得以任何方式干扰、影响竞争性磋商工作。</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对竞争性磋商小组成员的纪律要求</w:t>
      </w:r>
    </w:p>
    <w:p>
      <w:pPr>
        <w:pageBreakBefore w:val="0"/>
        <w:tabs>
          <w:tab w:val="left" w:pos="7665"/>
        </w:tabs>
        <w:kinsoku/>
        <w:overflowPunct/>
        <w:bidi w:val="0"/>
        <w:adjustRightInd w:val="0"/>
        <w:snapToGrid w:val="0"/>
        <w:spacing w:afterAutospacing="0"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竞争性磋商小组成员不得收受他人的财物或者其他好处，不得向他人透漏对响应文件的评审和比较、成交候选人的推荐情况以及竞争性磋商有关的其他情况。在竞争性磋商活动中，磋商小组成员不得擅离职守，影响竞争性磋商程序正常进行，不得使用第五部分“评审办法及标准”没有规定的评审因素和标准进行竞争性磋商。</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对与竞争性磋商活动有关的工作人员的纪律要求</w:t>
      </w:r>
    </w:p>
    <w:p>
      <w:pPr>
        <w:pageBreakBefore w:val="0"/>
        <w:tabs>
          <w:tab w:val="left" w:pos="0"/>
          <w:tab w:val="left" w:pos="210"/>
          <w:tab w:val="left" w:pos="630"/>
          <w:tab w:val="left" w:pos="840"/>
          <w:tab w:val="left" w:pos="1050"/>
        </w:tabs>
        <w:kinsoku/>
        <w:overflowPunct/>
        <w:bidi w:val="0"/>
        <w:adjustRightInd w:val="0"/>
        <w:snapToGrid w:val="0"/>
        <w:spacing w:afterAutospacing="0" w:line="312"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与竞争性磋商活动有关的工作人员不得收受他人的财物或者其他好处，不得向他人透漏对响应文件的评审和比较、成交候选人的推荐情况以及竞争性磋商有关的其他情况。在竞争性磋商活动中，与竞争性磋商活动有关的工作人员不得擅离职守，影响竞争性磋商程序正常进行。</w:t>
      </w:r>
    </w:p>
    <w:p>
      <w:pPr>
        <w:pageBreakBefore w:val="0"/>
        <w:numPr>
          <w:ilvl w:val="0"/>
          <w:numId w:val="11"/>
        </w:numPr>
        <w:kinsoku/>
        <w:overflowPunct/>
        <w:bidi w:val="0"/>
        <w:spacing w:afterAutospacing="0" w:line="312" w:lineRule="auto"/>
        <w:jc w:val="left"/>
        <w:rPr>
          <w:rFonts w:hint="eastAsia" w:ascii="仿宋" w:hAnsi="仿宋" w:eastAsia="仿宋" w:cs="仿宋"/>
          <w:b/>
          <w:bCs/>
          <w:sz w:val="24"/>
          <w:highlight w:val="none"/>
          <w:lang w:val="zh-CN"/>
        </w:rPr>
      </w:pPr>
      <w:bookmarkStart w:id="22" w:name="_Toc19492"/>
      <w:r>
        <w:rPr>
          <w:rFonts w:hint="eastAsia" w:ascii="仿宋" w:hAnsi="仿宋" w:eastAsia="仿宋" w:cs="仿宋"/>
          <w:b/>
          <w:bCs/>
          <w:sz w:val="24"/>
          <w:highlight w:val="none"/>
          <w:lang w:val="zh-CN"/>
        </w:rPr>
        <w:t>质疑与投诉</w:t>
      </w:r>
      <w:bookmarkEnd w:id="22"/>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质疑</w:t>
      </w:r>
    </w:p>
    <w:p>
      <w:pPr>
        <w:pageBreakBefore w:val="0"/>
        <w:tabs>
          <w:tab w:val="left" w:pos="0"/>
          <w:tab w:val="left" w:pos="210"/>
          <w:tab w:val="left" w:pos="630"/>
          <w:tab w:val="left" w:pos="840"/>
          <w:tab w:val="left" w:pos="1050"/>
        </w:tabs>
        <w:kinsoku/>
        <w:overflowPunct/>
        <w:bidi w:val="0"/>
        <w:adjustRightInd w:val="0"/>
        <w:snapToGrid w:val="0"/>
        <w:spacing w:afterAutospacing="0" w:line="312"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供应商对评标结果有异议的，可向采购人或采购代理机构提出质疑，质疑必须在国家相关法律、法规规定的时间内以书面形式递交。供应商应保证提出的质疑内容和相应证明材料的真实性及来源的合法性，并承担相应的法律责任。采购人或采购代理机构将按国家有关规定予以答复。</w:t>
      </w:r>
    </w:p>
    <w:p>
      <w:pPr>
        <w:pageBreakBefore w:val="0"/>
        <w:numPr>
          <w:ilvl w:val="1"/>
          <w:numId w:val="11"/>
        </w:numPr>
        <w:tabs>
          <w:tab w:val="left" w:pos="840"/>
          <w:tab w:val="left" w:pos="1050"/>
        </w:tabs>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投诉</w:t>
      </w:r>
    </w:p>
    <w:p>
      <w:pPr>
        <w:pageBreakBefore w:val="0"/>
        <w:tabs>
          <w:tab w:val="left" w:pos="0"/>
          <w:tab w:val="left" w:pos="210"/>
          <w:tab w:val="left" w:pos="630"/>
          <w:tab w:val="left" w:pos="840"/>
          <w:tab w:val="left" w:pos="1050"/>
        </w:tabs>
        <w:kinsoku/>
        <w:overflowPunct/>
        <w:bidi w:val="0"/>
        <w:adjustRightInd w:val="0"/>
        <w:snapToGrid w:val="0"/>
        <w:spacing w:afterAutospacing="0"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和其他利害关系人认为本次采购活动违反法律、法规和规章规定的，有权向采购人纪检监察部门投诉、必须实名举报。供应商应保证提出的投诉内容和相应证明材料的真实性及来源的合法性，并承担相应的法律责任。监督机构将按国家有关规定予以答复。</w:t>
      </w:r>
    </w:p>
    <w:p>
      <w:pPr>
        <w:pageBreakBefore w:val="0"/>
        <w:numPr>
          <w:ilvl w:val="0"/>
          <w:numId w:val="11"/>
        </w:numPr>
        <w:kinsoku/>
        <w:overflowPunct/>
        <w:bidi w:val="0"/>
        <w:spacing w:afterAutospacing="0" w:line="312" w:lineRule="auto"/>
        <w:jc w:val="left"/>
        <w:rPr>
          <w:rFonts w:hint="eastAsia" w:ascii="仿宋" w:hAnsi="仿宋" w:eastAsia="仿宋" w:cs="仿宋"/>
          <w:b/>
          <w:bCs/>
          <w:sz w:val="24"/>
          <w:highlight w:val="none"/>
          <w:lang w:val="zh-CN"/>
        </w:rPr>
      </w:pPr>
      <w:bookmarkStart w:id="23" w:name="_Toc3527"/>
      <w:r>
        <w:rPr>
          <w:rFonts w:hint="eastAsia" w:ascii="仿宋" w:hAnsi="仿宋" w:eastAsia="仿宋" w:cs="仿宋"/>
          <w:b/>
          <w:bCs/>
          <w:sz w:val="24"/>
          <w:highlight w:val="none"/>
          <w:lang w:val="en-US" w:eastAsia="zh-CN"/>
        </w:rPr>
        <w:t>拒绝商业贿赂</w:t>
      </w:r>
    </w:p>
    <w:p>
      <w:pPr>
        <w:pageBreakBefore w:val="0"/>
        <w:numPr>
          <w:ilvl w:val="0"/>
          <w:numId w:val="0"/>
        </w:numPr>
        <w:tabs>
          <w:tab w:val="left" w:pos="1050"/>
        </w:tabs>
        <w:kinsoku/>
        <w:overflowPunct/>
        <w:bidi w:val="0"/>
        <w:spacing w:afterAutospacing="0" w:line="312" w:lineRule="auto"/>
        <w:ind w:firstLine="480" w:firstLineChars="200"/>
        <w:jc w:val="left"/>
        <w:rPr>
          <w:rFonts w:hint="eastAsia" w:ascii="仿宋" w:hAnsi="仿宋" w:eastAsia="仿宋" w:cs="仿宋"/>
          <w:highlight w:val="none"/>
          <w:lang w:val="zh-CN"/>
        </w:rPr>
      </w:pPr>
      <w:r>
        <w:rPr>
          <w:rFonts w:hint="eastAsia" w:ascii="仿宋" w:hAnsi="仿宋" w:eastAsia="仿宋" w:cs="仿宋"/>
          <w:sz w:val="24"/>
          <w:highlight w:val="none"/>
        </w:rPr>
        <w:t>遵照陕西省财政厅的规定，采购人、采购代理机构、</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和磋商小组在磋商活动中，都要签订相应的《拒绝政府采购领域商业贿赂承诺书》，并对违反承诺的行为承担全部责任。</w:t>
      </w:r>
    </w:p>
    <w:p>
      <w:pPr>
        <w:pageBreakBefore w:val="0"/>
        <w:numPr>
          <w:ilvl w:val="0"/>
          <w:numId w:val="11"/>
        </w:numPr>
        <w:kinsoku/>
        <w:overflowPunct/>
        <w:bidi w:val="0"/>
        <w:spacing w:afterAutospacing="0" w:line="312" w:lineRule="auto"/>
        <w:jc w:val="left"/>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采购代理服务费</w:t>
      </w:r>
      <w:bookmarkEnd w:id="23"/>
    </w:p>
    <w:p>
      <w:pPr>
        <w:pageBreakBefore w:val="0"/>
        <w:numPr>
          <w:ilvl w:val="1"/>
          <w:numId w:val="11"/>
        </w:numPr>
        <w:tabs>
          <w:tab w:val="left" w:pos="1050"/>
        </w:tabs>
        <w:kinsoku/>
        <w:overflowPunct/>
        <w:bidi w:val="0"/>
        <w:spacing w:afterAutospacing="0" w:line="312" w:lineRule="auto"/>
        <w:ind w:left="10" w:firstLine="387"/>
        <w:jc w:val="left"/>
        <w:rPr>
          <w:rFonts w:hint="eastAsia" w:ascii="仿宋" w:hAnsi="仿宋" w:eastAsia="仿宋" w:cs="仿宋"/>
          <w:sz w:val="24"/>
          <w:highlight w:val="none"/>
        </w:rPr>
      </w:pPr>
      <w:r>
        <w:rPr>
          <w:rFonts w:hint="eastAsia" w:ascii="仿宋" w:hAnsi="仿宋" w:eastAsia="仿宋" w:cs="仿宋"/>
          <w:sz w:val="24"/>
          <w:highlight w:val="none"/>
        </w:rPr>
        <w:t>供应商应承担其编制响应文件与递交响应文件所涉及的一切费用，不管磋商结果如何，采购人对上述费用不负任何责任。</w:t>
      </w:r>
    </w:p>
    <w:p>
      <w:pPr>
        <w:pageBreakBefore w:val="0"/>
        <w:numPr>
          <w:ilvl w:val="1"/>
          <w:numId w:val="11"/>
        </w:numPr>
        <w:tabs>
          <w:tab w:val="left" w:pos="1050"/>
        </w:tabs>
        <w:kinsoku/>
        <w:overflowPunct/>
        <w:bidi w:val="0"/>
        <w:spacing w:afterAutospacing="0" w:line="312" w:lineRule="auto"/>
        <w:ind w:left="10" w:firstLine="387"/>
        <w:jc w:val="left"/>
        <w:rPr>
          <w:rFonts w:hint="eastAsia" w:ascii="仿宋" w:hAnsi="仿宋" w:eastAsia="仿宋" w:cs="仿宋"/>
          <w:sz w:val="24"/>
          <w:highlight w:val="none"/>
        </w:rPr>
      </w:pPr>
      <w:r>
        <w:rPr>
          <w:rFonts w:hint="eastAsia" w:ascii="仿宋" w:hAnsi="仿宋" w:eastAsia="仿宋" w:cs="仿宋"/>
          <w:sz w:val="24"/>
          <w:highlight w:val="none"/>
        </w:rPr>
        <w:t>招标服务费指定银行账户</w:t>
      </w:r>
      <w:r>
        <w:rPr>
          <w:rFonts w:hint="eastAsia" w:ascii="仿宋" w:hAnsi="仿宋" w:eastAsia="仿宋" w:cs="仿宋"/>
          <w:sz w:val="24"/>
          <w:highlight w:val="none"/>
          <w:lang w:eastAsia="zh-CN"/>
        </w:rPr>
        <w:t>：</w:t>
      </w:r>
    </w:p>
    <w:tbl>
      <w:tblPr>
        <w:tblStyle w:val="38"/>
        <w:tblpPr w:leftFromText="180" w:rightFromText="180" w:vertAnchor="text" w:horzAnchor="margin" w:tblpXSpec="center" w:tblpY="178"/>
        <w:tblW w:w="8495" w:type="dxa"/>
        <w:tblInd w:w="0" w:type="dxa"/>
        <w:tblBorders>
          <w:top w:val="triple" w:color="auto" w:sz="4" w:space="0"/>
          <w:left w:val="triple" w:color="auto" w:sz="4" w:space="0"/>
          <w:bottom w:val="triple" w:color="auto" w:sz="4" w:space="0"/>
          <w:right w:val="triple" w:color="auto" w:sz="4" w:space="0"/>
          <w:insideH w:val="triple" w:color="auto" w:sz="4" w:space="0"/>
          <w:insideV w:val="triple" w:color="auto" w:sz="4" w:space="0"/>
        </w:tblBorders>
        <w:tblLayout w:type="fixed"/>
        <w:tblCellMar>
          <w:top w:w="0" w:type="dxa"/>
          <w:left w:w="108" w:type="dxa"/>
          <w:bottom w:w="0" w:type="dxa"/>
          <w:right w:w="108" w:type="dxa"/>
        </w:tblCellMar>
      </w:tblPr>
      <w:tblGrid>
        <w:gridCol w:w="8495"/>
      </w:tblGrid>
      <w:tr>
        <w:tblPrEx>
          <w:tblBorders>
            <w:top w:val="triple" w:color="auto" w:sz="4" w:space="0"/>
            <w:left w:val="triple" w:color="auto" w:sz="4" w:space="0"/>
            <w:bottom w:val="triple" w:color="auto" w:sz="4" w:space="0"/>
            <w:right w:val="triple" w:color="auto" w:sz="4" w:space="0"/>
            <w:insideH w:val="triple" w:color="auto" w:sz="4" w:space="0"/>
            <w:insideV w:val="triple" w:color="auto" w:sz="4" w:space="0"/>
          </w:tblBorders>
          <w:tblCellMar>
            <w:top w:w="0" w:type="dxa"/>
            <w:left w:w="108" w:type="dxa"/>
            <w:bottom w:w="0" w:type="dxa"/>
            <w:right w:w="108" w:type="dxa"/>
          </w:tblCellMar>
        </w:tblPrEx>
        <w:trPr>
          <w:trHeight w:val="596" w:hRule="atLeast"/>
        </w:trPr>
        <w:tc>
          <w:tcPr>
            <w:tcW w:w="8495" w:type="dxa"/>
            <w:tcBorders>
              <w:top w:val="triple" w:color="auto" w:sz="4" w:space="0"/>
              <w:left w:val="triple" w:color="auto" w:sz="4" w:space="0"/>
              <w:bottom w:val="dotted" w:color="auto" w:sz="4" w:space="0"/>
              <w:right w:val="triple" w:color="auto" w:sz="4" w:space="0"/>
            </w:tcBorders>
            <w:vAlign w:val="center"/>
          </w:tcPr>
          <w:p>
            <w:pPr>
              <w:pageBreakBefore w:val="0"/>
              <w:kinsoku/>
              <w:wordWrap/>
              <w:overflowPunct/>
              <w:topLinePunct w:val="0"/>
              <w:bidi w:val="0"/>
              <w:spacing w:line="312" w:lineRule="auto"/>
              <w:ind w:firstLine="573"/>
              <w:rPr>
                <w:rFonts w:hint="eastAsia" w:ascii="仿宋" w:hAnsi="仿宋" w:eastAsia="仿宋" w:cs="仿宋"/>
                <w:b/>
                <w:sz w:val="28"/>
                <w:szCs w:val="28"/>
                <w:highlight w:val="none"/>
              </w:rPr>
            </w:pPr>
            <w:r>
              <w:rPr>
                <w:rFonts w:hint="eastAsia" w:ascii="仿宋" w:hAnsi="仿宋" w:eastAsia="仿宋" w:cs="仿宋"/>
                <w:b/>
                <w:sz w:val="28"/>
                <w:szCs w:val="28"/>
                <w:highlight w:val="none"/>
              </w:rPr>
              <w:t>中国银行：招标服务费</w:t>
            </w:r>
          </w:p>
        </w:tc>
      </w:tr>
      <w:tr>
        <w:tblPrEx>
          <w:tblBorders>
            <w:top w:val="triple" w:color="auto" w:sz="4" w:space="0"/>
            <w:left w:val="triple" w:color="auto" w:sz="4" w:space="0"/>
            <w:bottom w:val="triple" w:color="auto" w:sz="4" w:space="0"/>
            <w:right w:val="triple" w:color="auto" w:sz="4" w:space="0"/>
            <w:insideH w:val="triple" w:color="auto" w:sz="4" w:space="0"/>
            <w:insideV w:val="triple" w:color="auto" w:sz="4" w:space="0"/>
          </w:tblBorders>
          <w:tblCellMar>
            <w:top w:w="0" w:type="dxa"/>
            <w:left w:w="108" w:type="dxa"/>
            <w:bottom w:w="0" w:type="dxa"/>
            <w:right w:w="108" w:type="dxa"/>
          </w:tblCellMar>
        </w:tblPrEx>
        <w:trPr>
          <w:trHeight w:val="1675" w:hRule="atLeast"/>
        </w:trPr>
        <w:tc>
          <w:tcPr>
            <w:tcW w:w="8495" w:type="dxa"/>
            <w:tcBorders>
              <w:top w:val="dotted" w:color="auto" w:sz="4" w:space="0"/>
              <w:left w:val="triple" w:color="auto" w:sz="4" w:space="0"/>
              <w:bottom w:val="triple" w:color="auto" w:sz="4" w:space="0"/>
              <w:right w:val="triple" w:color="auto" w:sz="4" w:space="0"/>
            </w:tcBorders>
            <w:vAlign w:val="center"/>
          </w:tcPr>
          <w:p>
            <w:pPr>
              <w:pageBreakBefore w:val="0"/>
              <w:kinsoku/>
              <w:wordWrap/>
              <w:overflowPunct/>
              <w:topLinePunct w:val="0"/>
              <w:bidi w:val="0"/>
              <w:spacing w:line="312" w:lineRule="auto"/>
              <w:ind w:firstLine="573"/>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lang w:eastAsia="zh-CN"/>
              </w:rPr>
              <w:t>名  称：陕西同昌成项目管理有限公司</w:t>
            </w:r>
          </w:p>
          <w:p>
            <w:pPr>
              <w:pageBreakBefore w:val="0"/>
              <w:kinsoku/>
              <w:wordWrap/>
              <w:overflowPunct/>
              <w:topLinePunct w:val="0"/>
              <w:bidi w:val="0"/>
              <w:spacing w:line="312" w:lineRule="auto"/>
              <w:ind w:firstLine="573"/>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lang w:eastAsia="zh-CN"/>
              </w:rPr>
              <w:t>开户行：中信银行股份有限公司西安东大街支行</w:t>
            </w:r>
          </w:p>
          <w:p>
            <w:pPr>
              <w:pageBreakBefore w:val="0"/>
              <w:kinsoku/>
              <w:wordWrap/>
              <w:overflowPunct/>
              <w:topLinePunct w:val="0"/>
              <w:bidi w:val="0"/>
              <w:spacing w:line="312" w:lineRule="auto"/>
              <w:ind w:firstLine="573"/>
              <w:rPr>
                <w:rFonts w:hint="eastAsia" w:ascii="仿宋" w:hAnsi="仿宋" w:eastAsia="仿宋" w:cs="仿宋"/>
                <w:b/>
                <w:sz w:val="28"/>
                <w:szCs w:val="28"/>
                <w:highlight w:val="none"/>
              </w:rPr>
            </w:pPr>
            <w:r>
              <w:rPr>
                <w:rFonts w:hint="eastAsia" w:ascii="仿宋" w:hAnsi="仿宋" w:eastAsia="仿宋" w:cs="仿宋"/>
                <w:b/>
                <w:sz w:val="28"/>
                <w:szCs w:val="28"/>
                <w:highlight w:val="none"/>
                <w:lang w:eastAsia="zh-CN"/>
              </w:rPr>
              <w:t>账  号：8111701012800662830</w:t>
            </w:r>
          </w:p>
        </w:tc>
      </w:tr>
    </w:tbl>
    <w:p>
      <w:pPr>
        <w:pStyle w:val="45"/>
        <w:pageBreakBefore w:val="0"/>
        <w:bidi w:val="0"/>
        <w:spacing w:line="312" w:lineRule="auto"/>
        <w:rPr>
          <w:rFonts w:hint="eastAsia" w:ascii="仿宋" w:hAnsi="仿宋" w:eastAsia="仿宋" w:cs="仿宋"/>
          <w:highlight w:val="none"/>
          <w:lang w:val="zh-CN"/>
        </w:rPr>
      </w:pPr>
    </w:p>
    <w:p>
      <w:pPr>
        <w:pageBreakBefore w:val="0"/>
        <w:numPr>
          <w:ilvl w:val="0"/>
          <w:numId w:val="11"/>
        </w:numPr>
        <w:kinsoku/>
        <w:overflowPunct/>
        <w:bidi w:val="0"/>
        <w:spacing w:afterAutospacing="0" w:line="312" w:lineRule="auto"/>
        <w:jc w:val="left"/>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关于加快推进我省中小企业政府采购信用融资工作的通知</w:t>
      </w:r>
    </w:p>
    <w:p>
      <w:pPr>
        <w:pageBreakBefore w:val="0"/>
        <w:numPr>
          <w:ilvl w:val="0"/>
          <w:numId w:val="0"/>
        </w:numPr>
        <w:kinsoku/>
        <w:overflowPunct/>
        <w:bidi w:val="0"/>
        <w:spacing w:afterAutospacing="0" w:line="312" w:lineRule="auto"/>
        <w:ind w:leftChars="0" w:firstLine="480" w:firstLineChars="20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暂行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http://www.ccgp-shaanxi.gov.cn/zcdservice/zcd/shanxi/）在线申请，依法参加政府采购信用融资活动。</w:t>
      </w:r>
    </w:p>
    <w:p>
      <w:pPr>
        <w:pageBreakBefore w:val="0"/>
        <w:numPr>
          <w:ilvl w:val="0"/>
          <w:numId w:val="11"/>
        </w:numPr>
        <w:kinsoku/>
        <w:overflowPunct/>
        <w:bidi w:val="0"/>
        <w:spacing w:afterAutospacing="0" w:line="312" w:lineRule="auto"/>
        <w:jc w:val="left"/>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信用担保：关于陕西省政府采购信用担保的说明</w:t>
      </w:r>
    </w:p>
    <w:p>
      <w:pPr>
        <w:pageBreakBefore w:val="0"/>
        <w:numPr>
          <w:ilvl w:val="1"/>
          <w:numId w:val="11"/>
        </w:numPr>
        <w:tabs>
          <w:tab w:val="left" w:pos="1050"/>
        </w:tabs>
        <w:kinsoku/>
        <w:overflowPunct/>
        <w:bidi w:val="0"/>
        <w:spacing w:afterAutospacing="0" w:line="312" w:lineRule="auto"/>
        <w:ind w:left="10" w:firstLine="387"/>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供应商在投标、履约、融资等环节可自愿选择采取信用担保的形式。</w:t>
      </w:r>
    </w:p>
    <w:p>
      <w:pPr>
        <w:pageBreakBefore w:val="0"/>
        <w:numPr>
          <w:ilvl w:val="1"/>
          <w:numId w:val="11"/>
        </w:numPr>
        <w:tabs>
          <w:tab w:val="left" w:pos="1050"/>
        </w:tabs>
        <w:kinsoku/>
        <w:overflowPunct/>
        <w:bidi w:val="0"/>
        <w:spacing w:afterAutospacing="0" w:line="312" w:lineRule="auto"/>
        <w:ind w:left="10" w:firstLine="387"/>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供应商可以自愿选择是否采取担保函的形式交纳谈判保证金，也可以自愿选择是否采取履约担保函的形式交纳履约保证金。</w:t>
      </w:r>
    </w:p>
    <w:p>
      <w:pPr>
        <w:pageBreakBefore w:val="0"/>
        <w:numPr>
          <w:ilvl w:val="1"/>
          <w:numId w:val="11"/>
        </w:numPr>
        <w:tabs>
          <w:tab w:val="left" w:pos="1050"/>
        </w:tabs>
        <w:kinsoku/>
        <w:overflowPunct/>
        <w:bidi w:val="0"/>
        <w:spacing w:afterAutospacing="0" w:line="312" w:lineRule="auto"/>
        <w:ind w:left="10" w:firstLine="387"/>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担保机构选择参考陕西省政府采购网公示的担保机构名单。</w:t>
      </w:r>
    </w:p>
    <w:p>
      <w:pPr>
        <w:pageBreakBefore w:val="0"/>
        <w:numPr>
          <w:ilvl w:val="0"/>
          <w:numId w:val="11"/>
        </w:numPr>
        <w:kinsoku/>
        <w:overflowPunct/>
        <w:bidi w:val="0"/>
        <w:spacing w:afterAutospacing="0" w:line="312" w:lineRule="auto"/>
        <w:jc w:val="left"/>
        <w:rPr>
          <w:rFonts w:hint="eastAsia" w:ascii="仿宋" w:hAnsi="仿宋" w:eastAsia="仿宋" w:cs="仿宋"/>
          <w:b/>
          <w:bCs/>
          <w:sz w:val="24"/>
          <w:highlight w:val="none"/>
        </w:rPr>
      </w:pPr>
      <w:r>
        <w:rPr>
          <w:rFonts w:hint="eastAsia" w:ascii="仿宋" w:hAnsi="仿宋" w:eastAsia="仿宋" w:cs="仿宋"/>
          <w:b/>
          <w:bCs/>
          <w:sz w:val="24"/>
          <w:highlight w:val="none"/>
        </w:rPr>
        <w:t>附则</w:t>
      </w:r>
    </w:p>
    <w:p>
      <w:pPr>
        <w:pStyle w:val="2"/>
        <w:pageBreakBefore w:val="0"/>
        <w:overflowPunct/>
        <w:bidi w:val="0"/>
        <w:spacing w:after="0" w:afterAutospacing="0" w:line="312" w:lineRule="auto"/>
        <w:ind w:firstLine="480" w:firstLineChars="200"/>
        <w:rPr>
          <w:rFonts w:hint="eastAsia" w:ascii="仿宋" w:hAnsi="仿宋" w:eastAsia="仿宋" w:cs="仿宋"/>
          <w:highlight w:val="none"/>
        </w:rPr>
      </w:pPr>
      <w:r>
        <w:rPr>
          <w:rFonts w:hint="eastAsia" w:ascii="仿宋" w:hAnsi="仿宋" w:eastAsia="仿宋" w:cs="仿宋"/>
          <w:sz w:val="24"/>
          <w:highlight w:val="none"/>
        </w:rPr>
        <w:t>磋商文件未提及事宜，参照现行法律、法规执行。</w:t>
      </w:r>
    </w:p>
    <w:bookmarkEnd w:id="11"/>
    <w:bookmarkEnd w:id="12"/>
    <w:bookmarkEnd w:id="13"/>
    <w:bookmarkEnd w:id="14"/>
    <w:p>
      <w:pPr>
        <w:pageBreakBefore w:val="0"/>
        <w:numPr>
          <w:ilvl w:val="0"/>
          <w:numId w:val="25"/>
        </w:numPr>
        <w:overflowPunct/>
        <w:bidi w:val="0"/>
        <w:spacing w:afterAutospacing="0" w:line="312" w:lineRule="auto"/>
        <w:jc w:val="center"/>
        <w:outlineLvl w:val="0"/>
        <w:rPr>
          <w:rFonts w:hint="eastAsia" w:ascii="仿宋" w:hAnsi="仿宋" w:eastAsia="仿宋" w:cs="仿宋"/>
          <w:b/>
          <w:sz w:val="44"/>
          <w:szCs w:val="44"/>
          <w:highlight w:val="none"/>
        </w:rPr>
      </w:pPr>
      <w:bookmarkStart w:id="24" w:name="_Toc16607"/>
      <w:r>
        <w:rPr>
          <w:rFonts w:hint="eastAsia" w:ascii="仿宋" w:hAnsi="仿宋" w:eastAsia="仿宋" w:cs="仿宋"/>
          <w:b/>
          <w:sz w:val="44"/>
          <w:szCs w:val="44"/>
          <w:highlight w:val="none"/>
        </w:rPr>
        <w:t>合同条款及格式</w:t>
      </w:r>
      <w:bookmarkEnd w:id="24"/>
    </w:p>
    <w:p>
      <w:pPr>
        <w:keepNext w:val="0"/>
        <w:keepLines w:val="0"/>
        <w:pageBreakBefore w:val="0"/>
        <w:widowControl w:val="0"/>
        <w:wordWrap/>
        <w:overflowPunct/>
        <w:topLinePunct w:val="0"/>
        <w:autoSpaceDE/>
        <w:autoSpaceDN/>
        <w:bidi w:val="0"/>
        <w:adjustRightInd w:val="0"/>
        <w:snapToGrid w:val="0"/>
        <w:spacing w:line="312" w:lineRule="auto"/>
        <w:textAlignment w:val="auto"/>
        <w:rPr>
          <w:rFonts w:hint="eastAsia" w:ascii="仿宋" w:hAnsi="仿宋" w:eastAsia="仿宋" w:cs="仿宋"/>
          <w:b/>
          <w:sz w:val="28"/>
          <w:szCs w:val="28"/>
        </w:rPr>
      </w:pPr>
    </w:p>
    <w:p>
      <w:pPr>
        <w:pStyle w:val="26"/>
        <w:pageBreakBefore w:val="0"/>
        <w:bidi w:val="0"/>
        <w:spacing w:line="312" w:lineRule="auto"/>
        <w:jc w:val="center"/>
        <w:rPr>
          <w:rFonts w:hint="eastAsia" w:ascii="仿宋" w:hAnsi="仿宋" w:eastAsia="仿宋" w:cs="仿宋"/>
          <w:b/>
          <w:bCs/>
          <w:kern w:val="0"/>
          <w:sz w:val="44"/>
          <w:szCs w:val="44"/>
          <w:highlight w:val="none"/>
          <w:lang w:val="en-US" w:eastAsia="zh-CN"/>
        </w:rPr>
      </w:pPr>
      <w:bookmarkStart w:id="25" w:name="_Toc365610865"/>
      <w:r>
        <w:rPr>
          <w:rFonts w:hint="eastAsia" w:ascii="仿宋" w:hAnsi="仿宋" w:eastAsia="仿宋" w:cs="仿宋"/>
          <w:b/>
          <w:bCs/>
          <w:kern w:val="0"/>
          <w:sz w:val="44"/>
          <w:szCs w:val="44"/>
          <w:highlight w:val="none"/>
          <w:lang w:val="en-US" w:eastAsia="zh-CN"/>
        </w:rPr>
        <w:t>合同前附表</w:t>
      </w:r>
    </w:p>
    <w:p>
      <w:pPr>
        <w:pStyle w:val="22"/>
        <w:pageBreakBefore w:val="0"/>
        <w:bidi w:val="0"/>
        <w:spacing w:line="312" w:lineRule="auto"/>
        <w:ind w:left="0" w:leftChars="0" w:firstLine="480" w:firstLineChars="200"/>
        <w:rPr>
          <w:rFonts w:hint="eastAsia" w:ascii="仿宋" w:hAnsi="仿宋" w:eastAsia="仿宋" w:cs="仿宋"/>
          <w:sz w:val="24"/>
          <w:szCs w:val="32"/>
          <w:highlight w:val="none"/>
          <w:lang w:eastAsia="zh-CN"/>
        </w:rPr>
      </w:pPr>
      <w:r>
        <w:rPr>
          <w:rFonts w:hint="eastAsia" w:ascii="仿宋" w:hAnsi="仿宋" w:eastAsia="仿宋" w:cs="仿宋"/>
          <w:sz w:val="24"/>
          <w:szCs w:val="32"/>
          <w:highlight w:val="none"/>
        </w:rPr>
        <w:t>本表是对合同条款的具体补充和修改，如有矛盾，应以本资料表为准</w:t>
      </w:r>
      <w:r>
        <w:rPr>
          <w:rFonts w:hint="eastAsia" w:ascii="仿宋" w:hAnsi="仿宋" w:eastAsia="仿宋" w:cs="仿宋"/>
          <w:sz w:val="24"/>
          <w:szCs w:val="32"/>
          <w:highlight w:val="none"/>
          <w:lang w:eastAsia="zh-CN"/>
        </w:rPr>
        <w:t>。</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8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Align w:val="center"/>
          </w:tcPr>
          <w:p>
            <w:pPr>
              <w:pageBreakBefore w:val="0"/>
              <w:bidi w:val="0"/>
              <w:spacing w:line="312"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序号</w:t>
            </w:r>
          </w:p>
        </w:tc>
        <w:tc>
          <w:tcPr>
            <w:tcW w:w="8913" w:type="dxa"/>
            <w:vAlign w:val="center"/>
          </w:tcPr>
          <w:p>
            <w:pPr>
              <w:pageBreakBefore w:val="0"/>
              <w:bidi w:val="0"/>
              <w:spacing w:line="312"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Align w:val="center"/>
          </w:tcPr>
          <w:p>
            <w:pPr>
              <w:pageBreakBefore w:val="0"/>
              <w:bidi w:val="0"/>
              <w:spacing w:line="312"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8913" w:type="dxa"/>
            <w:vAlign w:val="center"/>
          </w:tcPr>
          <w:p>
            <w:pPr>
              <w:pageBreakBefore w:val="0"/>
              <w:bidi w:val="0"/>
              <w:spacing w:line="312"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采购人名称：</w:t>
            </w:r>
            <w:r>
              <w:rPr>
                <w:rFonts w:hint="eastAsia" w:ascii="仿宋" w:hAnsi="仿宋" w:eastAsia="仿宋" w:cs="仿宋"/>
                <w:b w:val="0"/>
                <w:bCs/>
                <w:color w:val="auto"/>
                <w:kern w:val="2"/>
                <w:sz w:val="21"/>
                <w:szCs w:val="21"/>
                <w:highlight w:val="none"/>
                <w:lang w:val="en-US" w:eastAsia="zh-CN" w:bidi="ar-SA"/>
              </w:rPr>
              <w:t>铜川市妇幼保健院</w:t>
            </w:r>
          </w:p>
          <w:p>
            <w:pPr>
              <w:pageBreakBefore w:val="0"/>
              <w:bidi w:val="0"/>
              <w:spacing w:line="312" w:lineRule="auto"/>
              <w:jc w:val="left"/>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地    址：</w:t>
            </w:r>
            <w:r>
              <w:rPr>
                <w:rFonts w:hint="eastAsia" w:ascii="仿宋" w:hAnsi="仿宋" w:eastAsia="仿宋" w:cs="仿宋"/>
                <w:b w:val="0"/>
                <w:bCs/>
                <w:color w:val="auto"/>
                <w:kern w:val="2"/>
                <w:sz w:val="21"/>
                <w:szCs w:val="21"/>
                <w:highlight w:val="none"/>
                <w:lang w:val="en-US" w:eastAsia="zh-CN" w:bidi="ar-SA"/>
              </w:rPr>
              <w:t>铜川市印台区频阳路55号</w:t>
            </w:r>
          </w:p>
          <w:p>
            <w:pPr>
              <w:pageBreakBefore w:val="0"/>
              <w:bidi w:val="0"/>
              <w:spacing w:line="312" w:lineRule="auto"/>
              <w:jc w:val="left"/>
              <w:rPr>
                <w:rFonts w:hint="eastAsia" w:ascii="仿宋" w:hAnsi="仿宋" w:eastAsia="仿宋" w:cs="仿宋"/>
                <w:sz w:val="21"/>
                <w:szCs w:val="21"/>
                <w:highlight w:val="none"/>
              </w:rPr>
            </w:pPr>
            <w:r>
              <w:rPr>
                <w:rFonts w:hint="eastAsia" w:ascii="仿宋" w:hAnsi="仿宋" w:eastAsia="仿宋" w:cs="仿宋"/>
                <w:color w:val="000000"/>
                <w:sz w:val="21"/>
                <w:szCs w:val="21"/>
                <w:highlight w:val="none"/>
              </w:rPr>
              <w:t>项目名称：</w:t>
            </w:r>
            <w:r>
              <w:rPr>
                <w:rFonts w:hint="eastAsia" w:ascii="仿宋" w:hAnsi="仿宋" w:eastAsia="仿宋" w:cs="仿宋"/>
                <w:b w:val="0"/>
                <w:bCs/>
                <w:color w:val="auto"/>
                <w:sz w:val="21"/>
                <w:szCs w:val="21"/>
                <w:highlight w:val="none"/>
                <w:lang w:eastAsia="zh-CN"/>
              </w:rPr>
              <w:t>铜川市妇幼保健院脱贫地区儿童营养改善项目</w:t>
            </w:r>
          </w:p>
          <w:p>
            <w:pPr>
              <w:pageBreakBefore w:val="0"/>
              <w:bidi w:val="0"/>
              <w:spacing w:line="312" w:lineRule="auto"/>
              <w:jc w:val="left"/>
              <w:rPr>
                <w:rFonts w:hint="eastAsia" w:ascii="仿宋" w:hAnsi="仿宋" w:eastAsia="仿宋" w:cs="仿宋"/>
                <w:sz w:val="21"/>
                <w:szCs w:val="21"/>
                <w:vertAlign w:val="baseline"/>
                <w:lang w:val="en-US" w:eastAsia="zh-CN"/>
              </w:rPr>
            </w:pPr>
            <w:r>
              <w:rPr>
                <w:rFonts w:hint="eastAsia" w:ascii="仿宋" w:hAnsi="仿宋" w:eastAsia="仿宋" w:cs="仿宋"/>
                <w:sz w:val="21"/>
                <w:szCs w:val="21"/>
                <w:highlight w:val="none"/>
              </w:rPr>
              <w:t>资金来源：</w:t>
            </w:r>
            <w:r>
              <w:rPr>
                <w:rFonts w:hint="eastAsia" w:ascii="仿宋" w:hAnsi="仿宋" w:eastAsia="仿宋" w:cs="仿宋"/>
                <w:sz w:val="21"/>
                <w:szCs w:val="21"/>
                <w:highlight w:val="none"/>
                <w:lang w:eastAsia="zh-CN"/>
              </w:rPr>
              <w:t>其他财政资金</w:t>
            </w:r>
            <w:r>
              <w:rPr>
                <w:rFonts w:hint="eastAsia" w:ascii="仿宋" w:hAnsi="仿宋" w:eastAsia="仿宋" w:cs="仿宋"/>
                <w:color w:val="000000"/>
                <w:sz w:val="21"/>
                <w:szCs w:val="21"/>
                <w:highlight w:val="none"/>
              </w:rPr>
              <w:t>，资金已落实</w:t>
            </w:r>
            <w:r>
              <w:rPr>
                <w:rFonts w:hint="eastAsia" w:ascii="仿宋" w:hAnsi="仿宋" w:eastAsia="仿宋" w:cs="仿宋"/>
                <w:color w:val="00000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Align w:val="center"/>
          </w:tcPr>
          <w:p>
            <w:pPr>
              <w:pageBreakBefore w:val="0"/>
              <w:bidi w:val="0"/>
              <w:spacing w:line="312"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w:t>
            </w:r>
          </w:p>
        </w:tc>
        <w:tc>
          <w:tcPr>
            <w:tcW w:w="8913" w:type="dxa"/>
            <w:vAlign w:val="center"/>
          </w:tcPr>
          <w:p>
            <w:pPr>
              <w:pageBreakBefore w:val="0"/>
              <w:bidi w:val="0"/>
              <w:spacing w:line="312" w:lineRule="auto"/>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highlight w:val="none"/>
                <w:lang w:val="en-US" w:eastAsia="zh-CN"/>
              </w:rPr>
              <w:t>交货地点：采购方指定收货点（为保障营养包安全有效，营养包生产后应在3个月内配送）。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Align w:val="center"/>
          </w:tcPr>
          <w:p>
            <w:pPr>
              <w:pageBreakBefore w:val="0"/>
              <w:bidi w:val="0"/>
              <w:spacing w:line="312"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w:t>
            </w:r>
          </w:p>
        </w:tc>
        <w:tc>
          <w:tcPr>
            <w:tcW w:w="8913" w:type="dxa"/>
            <w:vAlign w:val="center"/>
          </w:tcPr>
          <w:p>
            <w:pPr>
              <w:pStyle w:val="14"/>
              <w:pageBreakBefore w:val="0"/>
              <w:bidi w:val="0"/>
              <w:spacing w:line="312" w:lineRule="auto"/>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highlight w:val="none"/>
              </w:rPr>
              <w:t>★交货期：</w:t>
            </w:r>
            <w:r>
              <w:rPr>
                <w:rFonts w:hint="eastAsia" w:ascii="仿宋" w:hAnsi="仿宋" w:eastAsia="仿宋" w:cs="仿宋"/>
                <w:color w:val="auto"/>
                <w:kern w:val="2"/>
                <w:sz w:val="21"/>
                <w:szCs w:val="21"/>
                <w:highlight w:val="none"/>
                <w:lang w:eastAsia="zh-CN"/>
              </w:rPr>
              <w:t>接到采购方通知之日起</w:t>
            </w:r>
            <w:r>
              <w:rPr>
                <w:rFonts w:hint="eastAsia" w:ascii="仿宋" w:hAnsi="仿宋" w:eastAsia="仿宋" w:cs="仿宋"/>
                <w:color w:val="auto"/>
                <w:kern w:val="2"/>
                <w:sz w:val="21"/>
                <w:szCs w:val="21"/>
                <w:highlight w:val="none"/>
                <w:lang w:val="en-US" w:eastAsia="zh-CN"/>
              </w:rPr>
              <w:t>10个日历日内供货，</w:t>
            </w:r>
            <w:r>
              <w:rPr>
                <w:rFonts w:hint="eastAsia" w:ascii="仿宋" w:hAnsi="仿宋" w:eastAsia="仿宋" w:cs="仿宋"/>
                <w:b w:val="0"/>
                <w:bCs w:val="0"/>
                <w:i w:val="0"/>
                <w:caps w:val="0"/>
                <w:color w:val="auto"/>
                <w:spacing w:val="0"/>
                <w:sz w:val="21"/>
                <w:szCs w:val="21"/>
                <w:highlight w:val="none"/>
                <w:shd w:val="clear" w:color="auto" w:fill="auto"/>
                <w:lang w:eastAsia="zh-CN"/>
              </w:rPr>
              <w:t>按采购方要求</w:t>
            </w:r>
            <w:r>
              <w:rPr>
                <w:rFonts w:hint="eastAsia" w:ascii="仿宋" w:hAnsi="仿宋" w:eastAsia="仿宋" w:cs="仿宋"/>
                <w:color w:val="auto"/>
                <w:kern w:val="2"/>
                <w:sz w:val="21"/>
                <w:szCs w:val="21"/>
                <w:highlight w:val="none"/>
                <w:lang w:val="en-US" w:eastAsia="zh-CN"/>
              </w:rPr>
              <w:t>分批完成供货任务。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Align w:val="center"/>
          </w:tcPr>
          <w:p>
            <w:pPr>
              <w:pageBreakBefore w:val="0"/>
              <w:bidi w:val="0"/>
              <w:spacing w:line="312"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w:t>
            </w:r>
          </w:p>
        </w:tc>
        <w:tc>
          <w:tcPr>
            <w:tcW w:w="8913" w:type="dxa"/>
            <w:vAlign w:val="center"/>
          </w:tcPr>
          <w:p>
            <w:pPr>
              <w:pageBreakBefore w:val="0"/>
              <w:bidi w:val="0"/>
              <w:spacing w:line="312" w:lineRule="auto"/>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保质期：24个月；</w:t>
            </w:r>
            <w:r>
              <w:rPr>
                <w:rFonts w:hint="eastAsia" w:ascii="仿宋" w:hAnsi="仿宋" w:eastAsia="仿宋" w:cs="仿宋"/>
                <w:color w:val="auto"/>
                <w:sz w:val="21"/>
                <w:szCs w:val="21"/>
                <w:highlight w:val="none"/>
              </w:rPr>
              <w:t>质保期：</w:t>
            </w:r>
            <w:r>
              <w:rPr>
                <w:rFonts w:hint="eastAsia" w:ascii="仿宋" w:hAnsi="仿宋" w:eastAsia="仿宋" w:cs="仿宋"/>
                <w:color w:val="auto"/>
                <w:sz w:val="21"/>
                <w:szCs w:val="21"/>
                <w:highlight w:val="none"/>
                <w:lang w:val="en-US" w:eastAsia="zh-CN"/>
              </w:rPr>
              <w:t>不少于</w:t>
            </w:r>
            <w:r>
              <w:rPr>
                <w:rFonts w:hint="eastAsia" w:ascii="仿宋" w:hAnsi="仿宋" w:eastAsia="仿宋" w:cs="仿宋"/>
                <w:color w:val="auto"/>
                <w:sz w:val="21"/>
                <w:szCs w:val="21"/>
                <w:highlight w:val="none"/>
                <w:lang w:eastAsia="zh-CN"/>
              </w:rPr>
              <w:t>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Align w:val="center"/>
          </w:tcPr>
          <w:p>
            <w:pPr>
              <w:pageBreakBefore w:val="0"/>
              <w:bidi w:val="0"/>
              <w:spacing w:line="312"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w:t>
            </w:r>
          </w:p>
        </w:tc>
        <w:tc>
          <w:tcPr>
            <w:tcW w:w="8913" w:type="dxa"/>
            <w:vAlign w:val="center"/>
          </w:tcPr>
          <w:p>
            <w:pPr>
              <w:pageBreakBefore w:val="0"/>
              <w:bidi w:val="0"/>
              <w:spacing w:line="312"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合同总价即中标价，为一次性报价，不受市场价变化或实际工作量变化的影响。</w:t>
            </w:r>
          </w:p>
          <w:p>
            <w:pPr>
              <w:pageBreakBefore w:val="0"/>
              <w:bidi w:val="0"/>
              <w:spacing w:line="312"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付款方式和程序：</w:t>
            </w:r>
          </w:p>
          <w:p>
            <w:pPr>
              <w:pageBreakBefore w:val="0"/>
              <w:bidi w:val="0"/>
              <w:spacing w:line="312"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1）付款方式：</w:t>
            </w:r>
            <w:r>
              <w:rPr>
                <w:rFonts w:hint="eastAsia" w:ascii="仿宋" w:hAnsi="仿宋" w:eastAsia="仿宋" w:cs="仿宋"/>
                <w:color w:val="auto"/>
                <w:sz w:val="21"/>
                <w:szCs w:val="21"/>
                <w:highlight w:val="none"/>
                <w:lang w:eastAsia="zh-CN"/>
              </w:rPr>
              <w:t>按季度供货，一年四次，每季度货到验收合格后付款，分4次付款，每次付25％。</w:t>
            </w:r>
          </w:p>
          <w:p>
            <w:pPr>
              <w:pageBreakBefore w:val="0"/>
              <w:bidi w:val="0"/>
              <w:spacing w:line="312" w:lineRule="auto"/>
              <w:jc w:val="left"/>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）在付款前，</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应开</w:t>
            </w:r>
            <w:r>
              <w:rPr>
                <w:rFonts w:hint="eastAsia" w:ascii="仿宋" w:hAnsi="仿宋" w:eastAsia="仿宋" w:cs="仿宋"/>
                <w:color w:val="auto"/>
                <w:sz w:val="21"/>
                <w:szCs w:val="21"/>
                <w:highlight w:val="none"/>
                <w:lang w:eastAsia="zh-CN"/>
              </w:rPr>
              <w:t>具</w:t>
            </w:r>
            <w:r>
              <w:rPr>
                <w:rFonts w:hint="eastAsia" w:ascii="仿宋" w:hAnsi="仿宋" w:eastAsia="仿宋" w:cs="仿宋"/>
                <w:color w:val="auto"/>
                <w:sz w:val="21"/>
                <w:szCs w:val="21"/>
                <w:highlight w:val="none"/>
              </w:rPr>
              <w:t>支付金额的发票给</w:t>
            </w:r>
            <w:r>
              <w:rPr>
                <w:rFonts w:hint="eastAsia" w:ascii="仿宋" w:hAnsi="仿宋" w:eastAsia="仿宋" w:cs="仿宋"/>
                <w:color w:val="auto"/>
                <w:sz w:val="21"/>
                <w:szCs w:val="21"/>
                <w:highlight w:val="none"/>
                <w:lang w:eastAsia="zh-CN"/>
              </w:rPr>
              <w:t>采购方</w:t>
            </w:r>
            <w:r>
              <w:rPr>
                <w:rFonts w:hint="eastAsia" w:ascii="仿宋" w:hAnsi="仿宋" w:eastAsia="仿宋" w:cs="仿宋"/>
                <w:color w:val="auto"/>
                <w:sz w:val="21"/>
                <w:szCs w:val="21"/>
                <w:highlight w:val="none"/>
              </w:rPr>
              <w:t>，并提供</w:t>
            </w:r>
            <w:r>
              <w:rPr>
                <w:rFonts w:hint="eastAsia" w:ascii="仿宋" w:hAnsi="仿宋" w:eastAsia="仿宋" w:cs="仿宋"/>
                <w:color w:val="auto"/>
                <w:sz w:val="21"/>
                <w:szCs w:val="21"/>
                <w:highlight w:val="none"/>
                <w:lang w:val="en-US" w:eastAsia="zh-CN"/>
              </w:rPr>
              <w:t>供货</w:t>
            </w:r>
            <w:r>
              <w:rPr>
                <w:rFonts w:hint="eastAsia" w:ascii="仿宋" w:hAnsi="仿宋" w:eastAsia="仿宋" w:cs="仿宋"/>
                <w:color w:val="auto"/>
                <w:sz w:val="21"/>
                <w:szCs w:val="21"/>
                <w:highlight w:val="none"/>
              </w:rPr>
              <w:t>货物</w:t>
            </w:r>
            <w:r>
              <w:rPr>
                <w:rFonts w:hint="eastAsia" w:ascii="仿宋" w:hAnsi="仿宋" w:eastAsia="仿宋" w:cs="仿宋"/>
                <w:color w:val="auto"/>
                <w:sz w:val="21"/>
                <w:szCs w:val="21"/>
                <w:highlight w:val="none"/>
                <w:lang w:val="en-US" w:eastAsia="zh-CN"/>
              </w:rPr>
              <w:t>的</w:t>
            </w:r>
            <w:r>
              <w:rPr>
                <w:rFonts w:hint="eastAsia" w:ascii="仿宋" w:hAnsi="仿宋" w:eastAsia="仿宋" w:cs="仿宋"/>
                <w:color w:val="auto"/>
                <w:sz w:val="21"/>
                <w:szCs w:val="21"/>
                <w:highlight w:val="none"/>
              </w:rPr>
              <w:t>装箱单、</w:t>
            </w:r>
            <w:r>
              <w:rPr>
                <w:rFonts w:hint="eastAsia" w:ascii="仿宋" w:hAnsi="仿宋" w:eastAsia="仿宋" w:cs="仿宋"/>
                <w:color w:val="auto"/>
                <w:sz w:val="21"/>
                <w:szCs w:val="21"/>
                <w:highlight w:val="none"/>
                <w:lang w:eastAsia="zh-CN"/>
              </w:rPr>
              <w:t>生产</w:t>
            </w:r>
            <w:r>
              <w:rPr>
                <w:rFonts w:hint="eastAsia" w:ascii="仿宋" w:hAnsi="仿宋" w:eastAsia="仿宋" w:cs="仿宋"/>
                <w:color w:val="auto"/>
                <w:sz w:val="21"/>
                <w:szCs w:val="21"/>
                <w:highlight w:val="none"/>
              </w:rPr>
              <w:t>厂家出具的质量检验证书等厂家随</w:t>
            </w:r>
            <w:r>
              <w:rPr>
                <w:rFonts w:hint="eastAsia" w:ascii="仿宋" w:hAnsi="仿宋" w:eastAsia="仿宋" w:cs="仿宋"/>
                <w:color w:val="auto"/>
                <w:sz w:val="21"/>
                <w:szCs w:val="21"/>
                <w:highlight w:val="none"/>
                <w:lang w:eastAsia="zh-CN"/>
              </w:rPr>
              <w:t>产品</w:t>
            </w:r>
            <w:r>
              <w:rPr>
                <w:rFonts w:hint="eastAsia" w:ascii="仿宋" w:hAnsi="仿宋" w:eastAsia="仿宋" w:cs="仿宋"/>
                <w:color w:val="auto"/>
                <w:sz w:val="21"/>
                <w:szCs w:val="21"/>
                <w:highlight w:val="none"/>
              </w:rPr>
              <w:t>包装的手续和项目点辅食营养包收货单。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Align w:val="center"/>
          </w:tcPr>
          <w:p>
            <w:pPr>
              <w:pageBreakBefore w:val="0"/>
              <w:bidi w:val="0"/>
              <w:spacing w:line="312"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w:t>
            </w:r>
          </w:p>
        </w:tc>
        <w:tc>
          <w:tcPr>
            <w:tcW w:w="8913" w:type="dxa"/>
            <w:vAlign w:val="center"/>
          </w:tcPr>
          <w:p>
            <w:pPr>
              <w:pageBreakBefore w:val="0"/>
              <w:numPr>
                <w:ilvl w:val="0"/>
                <w:numId w:val="0"/>
              </w:numPr>
              <w:bidi w:val="0"/>
              <w:spacing w:line="312" w:lineRule="auto"/>
              <w:ind w:leftChars="0"/>
              <w:jc w:val="left"/>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质量保证：</w:t>
            </w:r>
          </w:p>
          <w:p>
            <w:pPr>
              <w:pageBreakBefore w:val="0"/>
              <w:numPr>
                <w:ilvl w:val="0"/>
                <w:numId w:val="0"/>
              </w:numPr>
              <w:bidi w:val="0"/>
              <w:spacing w:line="312" w:lineRule="auto"/>
              <w:jc w:val="lef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供应商提供的产品及材料必须保证质量可靠、保证所供货物的来源渠道正常，产品是全新的、未使用过的、且完全符合合同规定的质量、规格、技术指标等要求，并在质保期内，应对由于产品设计、工艺或材料的缺陷产生的质量问题负责。</w:t>
            </w:r>
          </w:p>
          <w:p>
            <w:pPr>
              <w:pageBreakBefore w:val="0"/>
              <w:numPr>
                <w:ilvl w:val="0"/>
                <w:numId w:val="0"/>
              </w:numPr>
              <w:bidi w:val="0"/>
              <w:spacing w:line="312" w:lineRule="auto"/>
              <w:jc w:val="lef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2.供应商应保证在质保期内，如果发现货物的质量、规格、技术指标等存在与合同中任何一项不符，采购人应在最短时间内，以书面形式向成交供应商提出索赔。同时通告采购代理机构。</w:t>
            </w:r>
          </w:p>
          <w:p>
            <w:pPr>
              <w:pageBreakBefore w:val="0"/>
              <w:numPr>
                <w:ilvl w:val="0"/>
                <w:numId w:val="0"/>
              </w:numPr>
              <w:bidi w:val="0"/>
              <w:spacing w:line="312" w:lineRule="auto"/>
              <w:jc w:val="lef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3.供应商应保证所有产品的完好无损包括配套包装，如有缺漏、损坏，由供应商负责调换、补齐或赔偿。</w:t>
            </w:r>
          </w:p>
          <w:p>
            <w:pPr>
              <w:pageBreakBefore w:val="0"/>
              <w:numPr>
                <w:ilvl w:val="0"/>
                <w:numId w:val="0"/>
              </w:numPr>
              <w:bidi w:val="0"/>
              <w:spacing w:line="312" w:lineRule="auto"/>
              <w:jc w:val="lef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4.采购人使用产品过程中因产品质量、产品缺陷等造成人身伤亡、财产损失的，由供应商负责解决并承担全部责任。</w:t>
            </w:r>
          </w:p>
          <w:p>
            <w:pPr>
              <w:pageBreakBefore w:val="0"/>
              <w:numPr>
                <w:ilvl w:val="0"/>
                <w:numId w:val="0"/>
              </w:numPr>
              <w:bidi w:val="0"/>
              <w:spacing w:line="312" w:lineRule="auto"/>
              <w:jc w:val="left"/>
              <w:rPr>
                <w:rFonts w:hint="eastAsia" w:ascii="仿宋" w:hAnsi="仿宋" w:eastAsia="仿宋" w:cs="仿宋"/>
                <w:sz w:val="21"/>
                <w:szCs w:val="21"/>
                <w:vertAlign w:val="baseline"/>
                <w:lang w:val="en-US" w:eastAsia="zh-CN"/>
              </w:rPr>
            </w:pPr>
            <w:r>
              <w:rPr>
                <w:rFonts w:hint="eastAsia" w:ascii="仿宋" w:hAnsi="仿宋" w:eastAsia="仿宋" w:cs="仿宋"/>
                <w:kern w:val="2"/>
                <w:sz w:val="21"/>
                <w:szCs w:val="21"/>
                <w:lang w:val="en-US" w:eastAsia="zh-CN" w:bidi="ar-SA"/>
              </w:rPr>
              <w:t>5.成交供应商在供货过程中，营养包出现包装破损、标签不清、污损等问题，应当无条件退货。在质保期内，营养包出现感官等质量问题，接收方有权要求退货，原则上终止供货合同。若判定为不安全食品，应按国家相关法规处置，予以召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Align w:val="center"/>
          </w:tcPr>
          <w:p>
            <w:pPr>
              <w:pageBreakBefore w:val="0"/>
              <w:bidi w:val="0"/>
              <w:spacing w:line="312"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7</w:t>
            </w:r>
          </w:p>
        </w:tc>
        <w:tc>
          <w:tcPr>
            <w:tcW w:w="8913" w:type="dxa"/>
            <w:vAlign w:val="center"/>
          </w:tcPr>
          <w:p>
            <w:pPr>
              <w:pStyle w:val="14"/>
              <w:pageBreakBefore w:val="0"/>
              <w:bidi w:val="0"/>
              <w:spacing w:line="312" w:lineRule="auto"/>
              <w:jc w:val="left"/>
              <w:rPr>
                <w:rFonts w:hint="eastAsia" w:ascii="仿宋" w:hAnsi="仿宋" w:eastAsia="仿宋" w:cs="仿宋"/>
                <w:b/>
                <w:bCs/>
                <w:kern w:val="0"/>
                <w:sz w:val="21"/>
                <w:szCs w:val="21"/>
                <w:highlight w:val="none"/>
                <w:lang w:eastAsia="zh-CN"/>
              </w:rPr>
            </w:pPr>
            <w:r>
              <w:rPr>
                <w:rFonts w:hint="eastAsia" w:ascii="仿宋" w:hAnsi="仿宋" w:eastAsia="仿宋" w:cs="仿宋"/>
                <w:b/>
                <w:bCs/>
                <w:kern w:val="0"/>
                <w:sz w:val="21"/>
                <w:szCs w:val="21"/>
                <w:highlight w:val="none"/>
              </w:rPr>
              <w:t>运输、</w:t>
            </w:r>
            <w:r>
              <w:rPr>
                <w:rFonts w:hint="eastAsia" w:ascii="仿宋" w:hAnsi="仿宋" w:eastAsia="仿宋" w:cs="仿宋"/>
                <w:b/>
                <w:bCs/>
                <w:kern w:val="0"/>
                <w:sz w:val="21"/>
                <w:szCs w:val="21"/>
                <w:highlight w:val="none"/>
                <w:lang w:eastAsia="zh-CN"/>
              </w:rPr>
              <w:t>交付</w:t>
            </w:r>
            <w:r>
              <w:rPr>
                <w:rFonts w:hint="eastAsia" w:ascii="仿宋" w:hAnsi="仿宋" w:eastAsia="仿宋" w:cs="仿宋"/>
                <w:b/>
                <w:bCs/>
                <w:kern w:val="0"/>
                <w:sz w:val="21"/>
                <w:szCs w:val="21"/>
                <w:highlight w:val="none"/>
              </w:rPr>
              <w:t>要求</w:t>
            </w:r>
            <w:r>
              <w:rPr>
                <w:rFonts w:hint="eastAsia" w:ascii="仿宋" w:hAnsi="仿宋" w:eastAsia="仿宋" w:cs="仿宋"/>
                <w:b/>
                <w:bCs/>
                <w:kern w:val="0"/>
                <w:sz w:val="21"/>
                <w:szCs w:val="21"/>
                <w:highlight w:val="none"/>
                <w:lang w:eastAsia="zh-CN"/>
              </w:rPr>
              <w:t>：</w:t>
            </w:r>
          </w:p>
          <w:p>
            <w:pPr>
              <w:pStyle w:val="14"/>
              <w:pageBreakBefore w:val="0"/>
              <w:numPr>
                <w:ilvl w:val="0"/>
                <w:numId w:val="26"/>
              </w:numPr>
              <w:bidi w:val="0"/>
              <w:spacing w:line="312"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供应商根据产品特性，自行选择运输方式，承担一切运输费用，包括从生产厂到采购人指定交货地点所需的装卸、运输（含保险费）及其他一切费用。</w:t>
            </w:r>
          </w:p>
          <w:p>
            <w:pPr>
              <w:pStyle w:val="14"/>
              <w:pageBreakBefore w:val="0"/>
              <w:numPr>
                <w:ilvl w:val="0"/>
                <w:numId w:val="26"/>
              </w:numPr>
              <w:bidi w:val="0"/>
              <w:spacing w:line="312"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由供应商</w:t>
            </w:r>
            <w:r>
              <w:rPr>
                <w:rFonts w:hint="eastAsia" w:ascii="仿宋" w:hAnsi="仿宋" w:eastAsia="仿宋" w:cs="仿宋"/>
                <w:sz w:val="21"/>
                <w:szCs w:val="21"/>
                <w:highlight w:val="none"/>
                <w:lang w:eastAsia="zh-CN"/>
              </w:rPr>
              <w:t>根据采购需求制定</w:t>
            </w:r>
            <w:r>
              <w:rPr>
                <w:rFonts w:hint="eastAsia" w:ascii="仿宋" w:hAnsi="仿宋" w:eastAsia="仿宋" w:cs="仿宋"/>
                <w:sz w:val="21"/>
                <w:szCs w:val="21"/>
                <w:highlight w:val="none"/>
              </w:rPr>
              <w:t>运输、交付的进度计划表。</w:t>
            </w:r>
          </w:p>
          <w:p>
            <w:pPr>
              <w:pageBreakBefore w:val="0"/>
              <w:bidi w:val="0"/>
              <w:spacing w:line="312" w:lineRule="auto"/>
              <w:jc w:val="left"/>
              <w:rPr>
                <w:rFonts w:hint="eastAsia" w:ascii="仿宋" w:hAnsi="仿宋" w:eastAsia="仿宋" w:cs="仿宋"/>
                <w:sz w:val="21"/>
                <w:szCs w:val="21"/>
                <w:vertAlign w:val="baseline"/>
                <w:lang w:val="en-US" w:eastAsia="zh-CN"/>
              </w:rPr>
            </w:pPr>
            <w:r>
              <w:rPr>
                <w:rFonts w:hint="eastAsia" w:ascii="仿宋" w:hAnsi="仿宋" w:eastAsia="仿宋" w:cs="仿宋"/>
                <w:sz w:val="21"/>
                <w:szCs w:val="21"/>
                <w:highlight w:val="none"/>
                <w:lang w:eastAsia="zh-CN"/>
              </w:rPr>
              <w:t>3</w:t>
            </w: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lang w:eastAsia="zh-CN"/>
              </w:rPr>
              <w:t>供应商</w:t>
            </w:r>
            <w:r>
              <w:rPr>
                <w:rFonts w:hint="eastAsia" w:ascii="仿宋" w:hAnsi="仿宋" w:eastAsia="仿宋" w:cs="仿宋"/>
                <w:sz w:val="21"/>
                <w:szCs w:val="21"/>
                <w:highlight w:val="none"/>
              </w:rPr>
              <w:t>应按照</w:t>
            </w:r>
            <w:r>
              <w:rPr>
                <w:rFonts w:hint="eastAsia" w:ascii="仿宋" w:hAnsi="仿宋" w:eastAsia="仿宋" w:cs="仿宋"/>
                <w:sz w:val="21"/>
                <w:szCs w:val="21"/>
                <w:highlight w:val="none"/>
                <w:lang w:eastAsia="zh-CN"/>
              </w:rPr>
              <w:t>合同</w:t>
            </w:r>
            <w:r>
              <w:rPr>
                <w:rFonts w:hint="eastAsia" w:ascii="仿宋" w:hAnsi="仿宋" w:eastAsia="仿宋" w:cs="仿宋"/>
                <w:sz w:val="21"/>
                <w:szCs w:val="21"/>
                <w:highlight w:val="none"/>
              </w:rPr>
              <w:t>规定的时间交货和提供</w:t>
            </w:r>
            <w:r>
              <w:rPr>
                <w:rFonts w:hint="eastAsia" w:ascii="仿宋" w:hAnsi="仿宋" w:eastAsia="仿宋" w:cs="仿宋"/>
                <w:sz w:val="21"/>
                <w:szCs w:val="21"/>
                <w:highlight w:val="none"/>
                <w:lang w:eastAsia="zh-CN"/>
              </w:rPr>
              <w:t>配送</w:t>
            </w:r>
            <w:r>
              <w:rPr>
                <w:rFonts w:hint="eastAsia" w:ascii="仿宋" w:hAnsi="仿宋" w:eastAsia="仿宋" w:cs="仿宋"/>
                <w:sz w:val="21"/>
                <w:szCs w:val="21"/>
                <w:highlight w:val="none"/>
              </w:rPr>
              <w:t>服务。如</w:t>
            </w:r>
            <w:r>
              <w:rPr>
                <w:rFonts w:hint="eastAsia" w:ascii="仿宋" w:hAnsi="仿宋" w:eastAsia="仿宋" w:cs="仿宋"/>
                <w:sz w:val="21"/>
                <w:szCs w:val="21"/>
                <w:highlight w:val="none"/>
                <w:lang w:eastAsia="zh-CN"/>
              </w:rPr>
              <w:t>供应商</w:t>
            </w:r>
            <w:r>
              <w:rPr>
                <w:rFonts w:hint="eastAsia" w:ascii="仿宋" w:hAnsi="仿宋" w:eastAsia="仿宋" w:cs="仿宋"/>
                <w:sz w:val="21"/>
                <w:szCs w:val="21"/>
                <w:highlight w:val="none"/>
              </w:rPr>
              <w:t>无正当理由拖延交货，</w:t>
            </w:r>
            <w:r>
              <w:rPr>
                <w:rFonts w:hint="eastAsia" w:ascii="仿宋" w:hAnsi="仿宋" w:eastAsia="仿宋" w:cs="仿宋"/>
                <w:kern w:val="0"/>
                <w:sz w:val="21"/>
                <w:szCs w:val="21"/>
                <w:highlight w:val="none"/>
                <w:lang w:eastAsia="zh-CN"/>
              </w:rPr>
              <w:t>采购人</w:t>
            </w:r>
            <w:r>
              <w:rPr>
                <w:rFonts w:hint="eastAsia" w:ascii="仿宋" w:hAnsi="仿宋" w:eastAsia="仿宋" w:cs="仿宋"/>
                <w:kern w:val="0"/>
                <w:sz w:val="21"/>
                <w:szCs w:val="21"/>
                <w:highlight w:val="none"/>
              </w:rPr>
              <w:t>有权从货款中扣除违约赔偿费而不影响合同项下的其他补救方法。每延迟一天，赔偿费按合同总价款的1%计收，最高赔偿限额为合同总价的5%。如达到最高限额，</w:t>
            </w:r>
            <w:r>
              <w:rPr>
                <w:rFonts w:hint="eastAsia" w:ascii="仿宋" w:hAnsi="仿宋" w:eastAsia="仿宋" w:cs="仿宋"/>
                <w:kern w:val="0"/>
                <w:sz w:val="21"/>
                <w:szCs w:val="21"/>
                <w:highlight w:val="none"/>
                <w:lang w:eastAsia="zh-CN"/>
              </w:rPr>
              <w:t>采购人</w:t>
            </w:r>
            <w:r>
              <w:rPr>
                <w:rFonts w:hint="eastAsia" w:ascii="仿宋" w:hAnsi="仿宋" w:eastAsia="仿宋" w:cs="仿宋"/>
                <w:kern w:val="0"/>
                <w:sz w:val="21"/>
                <w:szCs w:val="21"/>
                <w:highlight w:val="none"/>
              </w:rPr>
              <w:t>有权终止合同并告知省财政厅政府采购处。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Align w:val="center"/>
          </w:tcPr>
          <w:p>
            <w:pPr>
              <w:pageBreakBefore w:val="0"/>
              <w:bidi w:val="0"/>
              <w:spacing w:line="312"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8</w:t>
            </w:r>
          </w:p>
        </w:tc>
        <w:tc>
          <w:tcPr>
            <w:tcW w:w="8913" w:type="dxa"/>
            <w:vAlign w:val="center"/>
          </w:tcPr>
          <w:p>
            <w:pPr>
              <w:pageBreakBefore w:val="0"/>
              <w:bidi w:val="0"/>
              <w:spacing w:line="312" w:lineRule="auto"/>
              <w:jc w:val="left"/>
              <w:rPr>
                <w:rFonts w:hint="eastAsia" w:ascii="仿宋" w:hAnsi="仿宋" w:eastAsia="仿宋" w:cs="仿宋"/>
                <w:b/>
                <w:sz w:val="21"/>
                <w:szCs w:val="21"/>
                <w:highlight w:val="none"/>
              </w:rPr>
            </w:pPr>
            <w:r>
              <w:rPr>
                <w:rFonts w:hint="eastAsia" w:ascii="仿宋" w:hAnsi="仿宋" w:eastAsia="仿宋" w:cs="仿宋"/>
                <w:b/>
                <w:sz w:val="21"/>
                <w:szCs w:val="21"/>
                <w:highlight w:val="none"/>
              </w:rPr>
              <w:t>验收：</w:t>
            </w:r>
          </w:p>
          <w:p>
            <w:pPr>
              <w:pageBreakBefore w:val="0"/>
              <w:bidi w:val="0"/>
              <w:spacing w:line="312"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由采购人对项目进行整体验收，供应商协助配合。</w:t>
            </w:r>
          </w:p>
          <w:p>
            <w:pPr>
              <w:keepNext w:val="0"/>
              <w:keepLines w:val="0"/>
              <w:pageBreakBefore w:val="0"/>
              <w:kinsoku/>
              <w:wordWrap/>
              <w:overflowPunct/>
              <w:topLinePunct w:val="0"/>
              <w:bidi w:val="0"/>
              <w:adjustRightInd w:val="0"/>
              <w:snapToGrid w:val="0"/>
              <w:spacing w:before="93" w:beforeLines="30" w:after="93" w:afterLines="30" w:line="312" w:lineRule="auto"/>
              <w:outlineLvl w:val="9"/>
              <w:rPr>
                <w:rFonts w:hint="eastAsia" w:ascii="仿宋" w:hAnsi="仿宋" w:eastAsia="仿宋" w:cs="仿宋"/>
                <w:sz w:val="21"/>
                <w:szCs w:val="21"/>
                <w:vertAlign w:val="baseline"/>
                <w:lang w:val="en-US" w:eastAsia="zh-CN"/>
              </w:rPr>
            </w:pP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验收标准：按《食品安全国家标准 辅食营养补充品》（GB 22570-2014）和</w:t>
            </w:r>
            <w:r>
              <w:rPr>
                <w:rFonts w:hint="eastAsia" w:ascii="仿宋" w:hAnsi="仿宋" w:eastAsia="仿宋" w:cs="仿宋"/>
                <w:sz w:val="21"/>
                <w:szCs w:val="21"/>
                <w:highlight w:val="none"/>
                <w:lang w:eastAsia="zh-CN"/>
              </w:rPr>
              <w:t>中标产品的企业标准进行验收</w:t>
            </w:r>
            <w:r>
              <w:rPr>
                <w:rFonts w:hint="eastAsia" w:ascii="仿宋" w:hAnsi="仿宋" w:eastAsia="仿宋" w:cs="仿宋"/>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Align w:val="center"/>
          </w:tcPr>
          <w:p>
            <w:pPr>
              <w:pageBreakBefore w:val="0"/>
              <w:bidi w:val="0"/>
              <w:spacing w:line="312"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9</w:t>
            </w:r>
          </w:p>
        </w:tc>
        <w:tc>
          <w:tcPr>
            <w:tcW w:w="8913" w:type="dxa"/>
            <w:vAlign w:val="center"/>
          </w:tcPr>
          <w:p>
            <w:pPr>
              <w:pageBreakBefore w:val="0"/>
              <w:bidi w:val="0"/>
              <w:spacing w:line="312" w:lineRule="auto"/>
              <w:jc w:val="left"/>
              <w:rPr>
                <w:rFonts w:hint="eastAsia" w:ascii="仿宋" w:hAnsi="仿宋" w:eastAsia="仿宋" w:cs="仿宋"/>
                <w:b/>
                <w:sz w:val="21"/>
                <w:szCs w:val="21"/>
                <w:highlight w:val="none"/>
              </w:rPr>
            </w:pPr>
            <w:r>
              <w:rPr>
                <w:rFonts w:hint="eastAsia" w:ascii="仿宋" w:hAnsi="仿宋" w:eastAsia="仿宋" w:cs="仿宋"/>
                <w:b/>
                <w:sz w:val="21"/>
                <w:szCs w:val="21"/>
                <w:highlight w:val="none"/>
              </w:rPr>
              <w:t>违约责任：</w:t>
            </w:r>
          </w:p>
          <w:p>
            <w:pPr>
              <w:pageBreakBefore w:val="0"/>
              <w:tabs>
                <w:tab w:val="left" w:pos="152"/>
              </w:tabs>
              <w:bidi w:val="0"/>
              <w:spacing w:line="312" w:lineRule="auto"/>
              <w:jc w:val="left"/>
              <w:rPr>
                <w:rFonts w:hint="eastAsia" w:ascii="仿宋" w:hAnsi="仿宋" w:eastAsia="仿宋" w:cs="仿宋"/>
                <w:sz w:val="21"/>
                <w:szCs w:val="21"/>
                <w:vertAlign w:val="baseline"/>
                <w:lang w:val="en-US" w:eastAsia="zh-CN"/>
              </w:rPr>
            </w:pPr>
            <w:r>
              <w:rPr>
                <w:rFonts w:hint="eastAsia" w:ascii="仿宋" w:hAnsi="仿宋" w:eastAsia="仿宋" w:cs="仿宋"/>
                <w:sz w:val="21"/>
                <w:szCs w:val="21"/>
                <w:highlight w:val="none"/>
              </w:rPr>
              <w:t>依据《中华人民共和国</w:t>
            </w:r>
            <w:r>
              <w:rPr>
                <w:rFonts w:hint="eastAsia" w:ascii="仿宋" w:hAnsi="仿宋" w:eastAsia="仿宋" w:cs="仿宋"/>
                <w:sz w:val="21"/>
                <w:szCs w:val="21"/>
                <w:highlight w:val="none"/>
                <w:lang w:eastAsia="zh-CN"/>
              </w:rPr>
              <w:t>民法典</w:t>
            </w:r>
            <w:r>
              <w:rPr>
                <w:rFonts w:hint="eastAsia" w:ascii="仿宋" w:hAnsi="仿宋" w:eastAsia="仿宋" w:cs="仿宋"/>
                <w:sz w:val="21"/>
                <w:szCs w:val="21"/>
                <w:highlight w:val="none"/>
              </w:rPr>
              <w:t>》、《中华人民共和国政府采购法》、《中华人民共和国政府采购法实施条例》的相关条款和本合同约定，</w:t>
            </w:r>
            <w:r>
              <w:rPr>
                <w:rFonts w:hint="eastAsia" w:ascii="仿宋" w:hAnsi="仿宋" w:eastAsia="仿宋" w:cs="仿宋"/>
                <w:sz w:val="21"/>
                <w:szCs w:val="21"/>
                <w:highlight w:val="none"/>
                <w:lang w:val="en-US" w:eastAsia="zh-CN"/>
              </w:rPr>
              <w:t>成交</w:t>
            </w:r>
            <w:r>
              <w:rPr>
                <w:rFonts w:hint="eastAsia" w:ascii="仿宋" w:hAnsi="仿宋" w:eastAsia="仿宋" w:cs="仿宋"/>
                <w:sz w:val="21"/>
                <w:szCs w:val="21"/>
                <w:highlight w:val="none"/>
              </w:rPr>
              <w:t>供应商未全面履行合同义务或者发生违约，采购单位会同采购代理机构有权终止合同，依法向</w:t>
            </w:r>
            <w:r>
              <w:rPr>
                <w:rFonts w:hint="eastAsia" w:ascii="仿宋" w:hAnsi="仿宋" w:eastAsia="仿宋" w:cs="仿宋"/>
                <w:sz w:val="21"/>
                <w:szCs w:val="21"/>
                <w:highlight w:val="none"/>
                <w:lang w:val="en-US" w:eastAsia="zh-CN"/>
              </w:rPr>
              <w:t>成交</w:t>
            </w:r>
            <w:r>
              <w:rPr>
                <w:rFonts w:hint="eastAsia" w:ascii="仿宋" w:hAnsi="仿宋" w:eastAsia="仿宋" w:cs="仿宋"/>
                <w:sz w:val="21"/>
                <w:szCs w:val="21"/>
                <w:highlight w:val="none"/>
              </w:rPr>
              <w:t>供应商进行经济索赔，并报请政府采购监督管理机关进行相应的行政处罚。采购单位违约的，应当赔偿给</w:t>
            </w:r>
            <w:r>
              <w:rPr>
                <w:rFonts w:hint="eastAsia" w:ascii="仿宋" w:hAnsi="仿宋" w:eastAsia="仿宋" w:cs="仿宋"/>
                <w:sz w:val="21"/>
                <w:szCs w:val="21"/>
                <w:highlight w:val="none"/>
                <w:lang w:val="en-US" w:eastAsia="zh-CN"/>
              </w:rPr>
              <w:t>成交</w:t>
            </w:r>
            <w:r>
              <w:rPr>
                <w:rFonts w:hint="eastAsia" w:ascii="仿宋" w:hAnsi="仿宋" w:eastAsia="仿宋" w:cs="仿宋"/>
                <w:sz w:val="21"/>
                <w:szCs w:val="21"/>
                <w:highlight w:val="none"/>
              </w:rPr>
              <w:t>供应商造成的经济损失。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Align w:val="center"/>
          </w:tcPr>
          <w:p>
            <w:pPr>
              <w:pageBreakBefore w:val="0"/>
              <w:bidi w:val="0"/>
              <w:spacing w:line="312" w:lineRule="auto"/>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w:t>
            </w:r>
          </w:p>
        </w:tc>
        <w:tc>
          <w:tcPr>
            <w:tcW w:w="8913" w:type="dxa"/>
            <w:vAlign w:val="center"/>
          </w:tcPr>
          <w:p>
            <w:pPr>
              <w:pageBreakBefore w:val="0"/>
              <w:tabs>
                <w:tab w:val="left" w:pos="152"/>
              </w:tabs>
              <w:bidi w:val="0"/>
              <w:spacing w:line="312" w:lineRule="auto"/>
              <w:jc w:val="left"/>
              <w:rPr>
                <w:rFonts w:hint="eastAsia" w:ascii="仿宋" w:hAnsi="仿宋" w:eastAsia="仿宋" w:cs="仿宋"/>
                <w:b w:val="0"/>
                <w:bCs w:val="0"/>
                <w:color w:val="000000"/>
                <w:sz w:val="21"/>
                <w:szCs w:val="21"/>
                <w:highlight w:val="none"/>
                <w:lang w:eastAsia="zh-CN"/>
              </w:rPr>
            </w:pPr>
            <w:r>
              <w:rPr>
                <w:rFonts w:hint="eastAsia" w:ascii="仿宋" w:hAnsi="仿宋" w:eastAsia="仿宋" w:cs="仿宋"/>
                <w:b/>
                <w:bCs/>
                <w:sz w:val="21"/>
                <w:szCs w:val="21"/>
                <w:highlight w:val="none"/>
                <w:lang w:eastAsia="zh-CN"/>
              </w:rPr>
              <w:t>采购数量：</w:t>
            </w:r>
          </w:p>
          <w:p>
            <w:pPr>
              <w:pageBreakBefore w:val="0"/>
              <w:tabs>
                <w:tab w:val="left" w:pos="152"/>
              </w:tabs>
              <w:bidi w:val="0"/>
              <w:spacing w:line="312" w:lineRule="auto"/>
              <w:jc w:val="left"/>
              <w:rPr>
                <w:rFonts w:hint="eastAsia" w:ascii="仿宋" w:hAnsi="仿宋" w:eastAsia="仿宋" w:cs="仿宋"/>
                <w:sz w:val="21"/>
                <w:szCs w:val="21"/>
                <w:vertAlign w:val="baseline"/>
                <w:lang w:val="en-US" w:eastAsia="zh-CN"/>
              </w:rPr>
            </w:pPr>
            <w:r>
              <w:rPr>
                <w:rFonts w:hint="eastAsia" w:ascii="仿宋" w:hAnsi="仿宋" w:eastAsia="仿宋" w:cs="仿宋"/>
                <w:sz w:val="21"/>
                <w:szCs w:val="21"/>
                <w:highlight w:val="none"/>
                <w:lang w:val="en-US" w:eastAsia="zh-CN"/>
              </w:rPr>
              <w:t>53.34万元全部用于营养包项目采购，采购数量不低于43980盒，结算数量以实际采购数量为准。供应商须按照“</w:t>
            </w:r>
            <w:r>
              <w:rPr>
                <w:rFonts w:hint="eastAsia" w:ascii="仿宋" w:hAnsi="仿宋" w:eastAsia="仿宋" w:cs="仿宋"/>
                <w:sz w:val="21"/>
                <w:szCs w:val="21"/>
                <w:highlight w:val="none"/>
                <w:lang w:val="zh-CN" w:eastAsia="zh-CN"/>
              </w:rPr>
              <w:t>第四部分</w:t>
            </w:r>
            <w:r>
              <w:rPr>
                <w:rFonts w:hint="eastAsia" w:ascii="仿宋" w:hAnsi="仿宋" w:eastAsia="仿宋" w:cs="仿宋"/>
                <w:sz w:val="21"/>
                <w:szCs w:val="21"/>
                <w:highlight w:val="none"/>
                <w:lang w:val="en-US" w:eastAsia="zh-CN"/>
              </w:rPr>
              <w:t xml:space="preserve"> 采购</w:t>
            </w:r>
            <w:r>
              <w:rPr>
                <w:rFonts w:hint="eastAsia" w:ascii="仿宋" w:hAnsi="仿宋" w:eastAsia="仿宋" w:cs="仿宋"/>
                <w:sz w:val="21"/>
                <w:szCs w:val="21"/>
                <w:highlight w:val="none"/>
                <w:lang w:val="zh-CN" w:eastAsia="zh-CN"/>
              </w:rPr>
              <w:t>内容及商务要求</w:t>
            </w:r>
            <w:r>
              <w:rPr>
                <w:rFonts w:hint="eastAsia" w:ascii="仿宋" w:hAnsi="仿宋" w:eastAsia="仿宋" w:cs="仿宋"/>
                <w:sz w:val="21"/>
                <w:szCs w:val="21"/>
                <w:highlight w:val="none"/>
                <w:lang w:val="en-US" w:eastAsia="zh-CN"/>
              </w:rPr>
              <w:t>”中的规格对婴幼儿辅食营养包（包括相关营养包使用说明的宣传资料）进行投标报价。</w:t>
            </w:r>
          </w:p>
        </w:tc>
      </w:tr>
    </w:tbl>
    <w:p>
      <w:pPr>
        <w:pageBreakBefore w:val="0"/>
        <w:bidi w:val="0"/>
        <w:spacing w:line="312" w:lineRule="auto"/>
        <w:rPr>
          <w:rFonts w:hint="eastAsia" w:ascii="仿宋" w:hAnsi="仿宋" w:eastAsia="仿宋" w:cs="仿宋"/>
          <w:lang w:val="en-US" w:eastAsia="zh-CN"/>
        </w:rPr>
      </w:pPr>
    </w:p>
    <w:p>
      <w:pPr>
        <w:pageBreakBefore w:val="0"/>
        <w:widowControl/>
        <w:overflowPunct/>
        <w:bidi w:val="0"/>
        <w:spacing w:afterAutospacing="0" w:line="312" w:lineRule="auto"/>
        <w:ind w:firstLine="1316" w:firstLineChars="298"/>
        <w:outlineLvl w:val="9"/>
        <w:rPr>
          <w:rFonts w:hint="eastAsia" w:ascii="仿宋" w:hAnsi="仿宋" w:eastAsia="仿宋" w:cs="仿宋"/>
          <w:b/>
          <w:bCs/>
          <w:kern w:val="0"/>
          <w:sz w:val="44"/>
          <w:szCs w:val="44"/>
          <w:highlight w:val="none"/>
        </w:rPr>
      </w:pPr>
      <w:r>
        <w:rPr>
          <w:rFonts w:hint="eastAsia" w:ascii="仿宋" w:hAnsi="仿宋" w:eastAsia="仿宋" w:cs="仿宋"/>
          <w:b/>
          <w:bCs/>
          <w:kern w:val="0"/>
          <w:sz w:val="44"/>
          <w:szCs w:val="44"/>
          <w:highlight w:val="none"/>
        </w:rPr>
        <w:br w:type="page"/>
      </w:r>
    </w:p>
    <w:p>
      <w:pPr>
        <w:pageBreakBefore w:val="0"/>
        <w:widowControl/>
        <w:autoSpaceDE w:val="0"/>
        <w:autoSpaceDN w:val="0"/>
        <w:bidi w:val="0"/>
        <w:spacing w:line="312" w:lineRule="auto"/>
        <w:ind w:right="-26"/>
        <w:textAlignment w:val="bottom"/>
        <w:rPr>
          <w:rFonts w:hint="eastAsia" w:ascii="仿宋" w:hAnsi="仿宋" w:eastAsia="仿宋" w:cs="仿宋"/>
          <w:b/>
          <w:kern w:val="2"/>
          <w:sz w:val="28"/>
          <w:szCs w:val="28"/>
          <w:highlight w:val="none"/>
        </w:rPr>
      </w:pPr>
      <w:r>
        <w:rPr>
          <w:rFonts w:hint="eastAsia" w:ascii="仿宋" w:hAnsi="仿宋" w:eastAsia="仿宋" w:cs="仿宋"/>
          <w:b/>
          <w:kern w:val="2"/>
          <w:sz w:val="28"/>
          <w:szCs w:val="28"/>
          <w:highlight w:val="none"/>
        </w:rPr>
        <w:t>合同号：</w:t>
      </w:r>
    </w:p>
    <w:p>
      <w:pPr>
        <w:pageBreakBefore w:val="0"/>
        <w:widowControl/>
        <w:autoSpaceDE w:val="0"/>
        <w:autoSpaceDN w:val="0"/>
        <w:bidi w:val="0"/>
        <w:spacing w:line="312" w:lineRule="auto"/>
        <w:ind w:right="-26"/>
        <w:textAlignment w:val="bottom"/>
        <w:rPr>
          <w:rFonts w:hint="eastAsia" w:ascii="仿宋" w:hAnsi="仿宋" w:eastAsia="仿宋" w:cs="仿宋"/>
          <w:b/>
          <w:kern w:val="2"/>
          <w:sz w:val="24"/>
          <w:szCs w:val="24"/>
          <w:highlight w:val="none"/>
        </w:rPr>
      </w:pPr>
    </w:p>
    <w:p>
      <w:pPr>
        <w:pageBreakBefore w:val="0"/>
        <w:widowControl/>
        <w:autoSpaceDE w:val="0"/>
        <w:autoSpaceDN w:val="0"/>
        <w:bidi w:val="0"/>
        <w:spacing w:line="312" w:lineRule="auto"/>
        <w:ind w:right="-26"/>
        <w:textAlignment w:val="bottom"/>
        <w:rPr>
          <w:rFonts w:hint="eastAsia" w:ascii="仿宋" w:hAnsi="仿宋" w:eastAsia="仿宋" w:cs="仿宋"/>
          <w:b/>
          <w:kern w:val="2"/>
          <w:sz w:val="24"/>
          <w:szCs w:val="24"/>
          <w:highlight w:val="none"/>
        </w:rPr>
      </w:pPr>
    </w:p>
    <w:p>
      <w:pPr>
        <w:pageBreakBefore w:val="0"/>
        <w:widowControl/>
        <w:autoSpaceDE w:val="0"/>
        <w:autoSpaceDN w:val="0"/>
        <w:bidi w:val="0"/>
        <w:spacing w:line="312" w:lineRule="auto"/>
        <w:ind w:right="-26"/>
        <w:textAlignment w:val="bottom"/>
        <w:rPr>
          <w:rFonts w:hint="eastAsia" w:ascii="仿宋" w:hAnsi="仿宋" w:eastAsia="仿宋" w:cs="仿宋"/>
          <w:b/>
          <w:kern w:val="2"/>
          <w:sz w:val="24"/>
          <w:szCs w:val="24"/>
          <w:highlight w:val="none"/>
        </w:rPr>
      </w:pPr>
    </w:p>
    <w:p>
      <w:pPr>
        <w:pStyle w:val="2"/>
        <w:pageBreakBefore w:val="0"/>
        <w:bidi w:val="0"/>
        <w:spacing w:line="312" w:lineRule="auto"/>
        <w:rPr>
          <w:rFonts w:hint="eastAsia" w:ascii="仿宋" w:hAnsi="仿宋" w:eastAsia="仿宋" w:cs="仿宋"/>
        </w:rPr>
      </w:pPr>
    </w:p>
    <w:p>
      <w:pPr>
        <w:keepNext w:val="0"/>
        <w:keepLines w:val="0"/>
        <w:pageBreakBefore w:val="0"/>
        <w:widowControl/>
        <w:kinsoku/>
        <w:wordWrap/>
        <w:overflowPunct/>
        <w:topLinePunct w:val="0"/>
        <w:autoSpaceDE w:val="0"/>
        <w:autoSpaceDN w:val="0"/>
        <w:bidi w:val="0"/>
        <w:spacing w:line="312" w:lineRule="auto"/>
        <w:ind w:right="-26"/>
        <w:jc w:val="center"/>
        <w:textAlignment w:val="bottom"/>
        <w:outlineLvl w:val="9"/>
        <w:rPr>
          <w:rFonts w:hint="eastAsia" w:ascii="仿宋" w:hAnsi="仿宋" w:eastAsia="仿宋" w:cs="仿宋"/>
          <w:b/>
          <w:kern w:val="2"/>
          <w:sz w:val="44"/>
          <w:szCs w:val="44"/>
          <w:highlight w:val="none"/>
        </w:rPr>
      </w:pPr>
      <w:r>
        <w:rPr>
          <w:rFonts w:hint="eastAsia" w:ascii="仿宋" w:hAnsi="仿宋" w:eastAsia="仿宋" w:cs="仿宋"/>
          <w:b/>
          <w:kern w:val="2"/>
          <w:sz w:val="44"/>
          <w:szCs w:val="44"/>
          <w:highlight w:val="none"/>
          <w:lang w:eastAsia="zh-CN"/>
        </w:rPr>
        <w:t>铜川市妇幼保健院脱贫地区儿童营养改善项目</w:t>
      </w:r>
    </w:p>
    <w:p>
      <w:pPr>
        <w:keepNext w:val="0"/>
        <w:keepLines w:val="0"/>
        <w:pageBreakBefore w:val="0"/>
        <w:widowControl/>
        <w:kinsoku/>
        <w:wordWrap/>
        <w:overflowPunct/>
        <w:topLinePunct w:val="0"/>
        <w:autoSpaceDE w:val="0"/>
        <w:autoSpaceDN w:val="0"/>
        <w:bidi w:val="0"/>
        <w:spacing w:line="312" w:lineRule="auto"/>
        <w:ind w:right="-26"/>
        <w:jc w:val="center"/>
        <w:textAlignment w:val="bottom"/>
        <w:outlineLvl w:val="9"/>
        <w:rPr>
          <w:rFonts w:hint="eastAsia" w:ascii="仿宋" w:hAnsi="仿宋" w:eastAsia="仿宋" w:cs="仿宋"/>
          <w:b/>
          <w:kern w:val="2"/>
          <w:sz w:val="32"/>
          <w:szCs w:val="32"/>
          <w:highlight w:val="none"/>
        </w:rPr>
      </w:pPr>
    </w:p>
    <w:p>
      <w:pPr>
        <w:keepNext w:val="0"/>
        <w:keepLines w:val="0"/>
        <w:pageBreakBefore w:val="0"/>
        <w:widowControl/>
        <w:kinsoku/>
        <w:wordWrap/>
        <w:overflowPunct/>
        <w:topLinePunct w:val="0"/>
        <w:autoSpaceDE w:val="0"/>
        <w:autoSpaceDN w:val="0"/>
        <w:bidi w:val="0"/>
        <w:spacing w:line="312" w:lineRule="auto"/>
        <w:ind w:right="-26"/>
        <w:jc w:val="center"/>
        <w:textAlignment w:val="bottom"/>
        <w:outlineLvl w:val="9"/>
        <w:rPr>
          <w:rFonts w:hint="eastAsia" w:ascii="仿宋" w:hAnsi="仿宋" w:eastAsia="仿宋" w:cs="仿宋"/>
          <w:b/>
          <w:kern w:val="2"/>
          <w:sz w:val="52"/>
          <w:szCs w:val="52"/>
          <w:highlight w:val="none"/>
        </w:rPr>
      </w:pPr>
      <w:r>
        <w:rPr>
          <w:rFonts w:hint="eastAsia" w:ascii="仿宋" w:hAnsi="仿宋" w:eastAsia="仿宋" w:cs="仿宋"/>
          <w:b/>
          <w:kern w:val="2"/>
          <w:sz w:val="52"/>
          <w:szCs w:val="52"/>
          <w:highlight w:val="none"/>
        </w:rPr>
        <w:t>供</w:t>
      </w:r>
      <w:r>
        <w:rPr>
          <w:rFonts w:hint="eastAsia" w:ascii="仿宋" w:hAnsi="仿宋" w:eastAsia="仿宋" w:cs="仿宋"/>
          <w:b/>
          <w:kern w:val="2"/>
          <w:sz w:val="52"/>
          <w:szCs w:val="52"/>
          <w:highlight w:val="none"/>
          <w:lang w:val="en-US" w:eastAsia="zh-CN"/>
        </w:rPr>
        <w:t xml:space="preserve"> </w:t>
      </w:r>
      <w:r>
        <w:rPr>
          <w:rFonts w:hint="eastAsia" w:ascii="仿宋" w:hAnsi="仿宋" w:eastAsia="仿宋" w:cs="仿宋"/>
          <w:b/>
          <w:kern w:val="2"/>
          <w:sz w:val="52"/>
          <w:szCs w:val="52"/>
          <w:highlight w:val="none"/>
        </w:rPr>
        <w:t>货</w:t>
      </w:r>
      <w:r>
        <w:rPr>
          <w:rFonts w:hint="eastAsia" w:ascii="仿宋" w:hAnsi="仿宋" w:eastAsia="仿宋" w:cs="仿宋"/>
          <w:b/>
          <w:kern w:val="2"/>
          <w:sz w:val="52"/>
          <w:szCs w:val="52"/>
          <w:highlight w:val="none"/>
          <w:lang w:val="en-US" w:eastAsia="zh-CN"/>
        </w:rPr>
        <w:t xml:space="preserve"> </w:t>
      </w:r>
      <w:r>
        <w:rPr>
          <w:rFonts w:hint="eastAsia" w:ascii="仿宋" w:hAnsi="仿宋" w:eastAsia="仿宋" w:cs="仿宋"/>
          <w:b/>
          <w:kern w:val="2"/>
          <w:sz w:val="52"/>
          <w:szCs w:val="52"/>
          <w:highlight w:val="none"/>
        </w:rPr>
        <w:t>合</w:t>
      </w:r>
      <w:r>
        <w:rPr>
          <w:rFonts w:hint="eastAsia" w:ascii="仿宋" w:hAnsi="仿宋" w:eastAsia="仿宋" w:cs="仿宋"/>
          <w:b/>
          <w:kern w:val="2"/>
          <w:sz w:val="52"/>
          <w:szCs w:val="52"/>
          <w:highlight w:val="none"/>
          <w:lang w:val="en-US" w:eastAsia="zh-CN"/>
        </w:rPr>
        <w:t xml:space="preserve"> </w:t>
      </w:r>
      <w:r>
        <w:rPr>
          <w:rFonts w:hint="eastAsia" w:ascii="仿宋" w:hAnsi="仿宋" w:eastAsia="仿宋" w:cs="仿宋"/>
          <w:b/>
          <w:kern w:val="2"/>
          <w:sz w:val="52"/>
          <w:szCs w:val="52"/>
          <w:highlight w:val="none"/>
        </w:rPr>
        <w:t>同</w:t>
      </w:r>
    </w:p>
    <w:p>
      <w:pPr>
        <w:keepNext w:val="0"/>
        <w:keepLines w:val="0"/>
        <w:pageBreakBefore w:val="0"/>
        <w:widowControl/>
        <w:kinsoku/>
        <w:wordWrap/>
        <w:overflowPunct/>
        <w:topLinePunct w:val="0"/>
        <w:autoSpaceDE w:val="0"/>
        <w:autoSpaceDN w:val="0"/>
        <w:bidi w:val="0"/>
        <w:spacing w:line="312" w:lineRule="auto"/>
        <w:ind w:right="-26"/>
        <w:textAlignment w:val="bottom"/>
        <w:outlineLvl w:val="9"/>
        <w:rPr>
          <w:rFonts w:hint="eastAsia" w:ascii="仿宋" w:hAnsi="仿宋" w:eastAsia="仿宋" w:cs="仿宋"/>
          <w:b/>
          <w:kern w:val="2"/>
          <w:sz w:val="32"/>
          <w:szCs w:val="32"/>
          <w:highlight w:val="none"/>
        </w:rPr>
      </w:pPr>
    </w:p>
    <w:p>
      <w:pPr>
        <w:keepNext w:val="0"/>
        <w:keepLines w:val="0"/>
        <w:pageBreakBefore w:val="0"/>
        <w:widowControl/>
        <w:kinsoku/>
        <w:wordWrap/>
        <w:overflowPunct/>
        <w:topLinePunct w:val="0"/>
        <w:autoSpaceDE w:val="0"/>
        <w:autoSpaceDN w:val="0"/>
        <w:bidi w:val="0"/>
        <w:spacing w:line="312" w:lineRule="auto"/>
        <w:ind w:right="-26"/>
        <w:textAlignment w:val="bottom"/>
        <w:outlineLvl w:val="9"/>
        <w:rPr>
          <w:rFonts w:hint="eastAsia" w:ascii="仿宋" w:hAnsi="仿宋" w:eastAsia="仿宋" w:cs="仿宋"/>
          <w:b/>
          <w:kern w:val="2"/>
          <w:sz w:val="28"/>
          <w:szCs w:val="28"/>
          <w:highlight w:val="none"/>
        </w:rPr>
      </w:pPr>
    </w:p>
    <w:p>
      <w:pPr>
        <w:keepNext w:val="0"/>
        <w:keepLines w:val="0"/>
        <w:pageBreakBefore w:val="0"/>
        <w:widowControl/>
        <w:kinsoku/>
        <w:wordWrap/>
        <w:overflowPunct/>
        <w:topLinePunct w:val="0"/>
        <w:autoSpaceDE w:val="0"/>
        <w:autoSpaceDN w:val="0"/>
        <w:bidi w:val="0"/>
        <w:spacing w:line="312" w:lineRule="auto"/>
        <w:ind w:right="-26" w:firstLine="3092" w:firstLineChars="1100"/>
        <w:textAlignment w:val="bottom"/>
        <w:outlineLvl w:val="9"/>
        <w:rPr>
          <w:rFonts w:hint="eastAsia" w:ascii="仿宋" w:hAnsi="仿宋" w:eastAsia="仿宋" w:cs="仿宋"/>
          <w:b/>
          <w:kern w:val="2"/>
          <w:sz w:val="28"/>
          <w:szCs w:val="28"/>
          <w:highlight w:val="none"/>
        </w:rPr>
      </w:pPr>
      <w:r>
        <w:rPr>
          <w:rFonts w:hint="eastAsia" w:ascii="仿宋" w:hAnsi="仿宋" w:eastAsia="仿宋" w:cs="仿宋"/>
          <w:b/>
          <w:kern w:val="2"/>
          <w:sz w:val="28"/>
          <w:szCs w:val="28"/>
          <w:highlight w:val="none"/>
        </w:rPr>
        <w:t>项目编号：</w:t>
      </w:r>
    </w:p>
    <w:p>
      <w:pPr>
        <w:keepNext w:val="0"/>
        <w:keepLines w:val="0"/>
        <w:pageBreakBefore w:val="0"/>
        <w:widowControl/>
        <w:kinsoku/>
        <w:wordWrap/>
        <w:overflowPunct/>
        <w:topLinePunct w:val="0"/>
        <w:autoSpaceDE w:val="0"/>
        <w:autoSpaceDN w:val="0"/>
        <w:bidi w:val="0"/>
        <w:spacing w:line="312" w:lineRule="auto"/>
        <w:ind w:right="-26"/>
        <w:jc w:val="center"/>
        <w:textAlignment w:val="bottom"/>
        <w:outlineLvl w:val="9"/>
        <w:rPr>
          <w:rFonts w:hint="eastAsia" w:ascii="仿宋" w:hAnsi="仿宋" w:eastAsia="仿宋" w:cs="仿宋"/>
          <w:b/>
          <w:bCs/>
          <w:kern w:val="2"/>
          <w:sz w:val="28"/>
          <w:szCs w:val="28"/>
          <w:highlight w:val="none"/>
        </w:rPr>
      </w:pPr>
      <w:r>
        <w:rPr>
          <w:rFonts w:hint="eastAsia" w:ascii="仿宋" w:hAnsi="仿宋" w:eastAsia="仿宋" w:cs="仿宋"/>
          <w:b/>
          <w:kern w:val="2"/>
          <w:sz w:val="28"/>
          <w:szCs w:val="28"/>
          <w:highlight w:val="none"/>
        </w:rPr>
        <w:t>货物名称：</w:t>
      </w:r>
      <w:r>
        <w:rPr>
          <w:rFonts w:hint="eastAsia" w:ascii="仿宋" w:hAnsi="仿宋" w:eastAsia="仿宋" w:cs="仿宋"/>
          <w:b/>
          <w:bCs/>
          <w:kern w:val="2"/>
          <w:sz w:val="28"/>
          <w:szCs w:val="28"/>
          <w:highlight w:val="none"/>
        </w:rPr>
        <w:t>婴幼儿辅食营养包</w:t>
      </w:r>
    </w:p>
    <w:p>
      <w:pPr>
        <w:keepNext w:val="0"/>
        <w:keepLines w:val="0"/>
        <w:pageBreakBefore w:val="0"/>
        <w:widowControl/>
        <w:kinsoku/>
        <w:wordWrap/>
        <w:overflowPunct/>
        <w:topLinePunct w:val="0"/>
        <w:autoSpaceDE w:val="0"/>
        <w:autoSpaceDN w:val="0"/>
        <w:bidi w:val="0"/>
        <w:spacing w:line="312" w:lineRule="auto"/>
        <w:ind w:right="-26" w:firstLine="3092" w:firstLineChars="1100"/>
        <w:jc w:val="both"/>
        <w:textAlignment w:val="bottom"/>
        <w:outlineLvl w:val="9"/>
        <w:rPr>
          <w:rFonts w:hint="eastAsia" w:ascii="仿宋" w:hAnsi="仿宋" w:eastAsia="仿宋" w:cs="仿宋"/>
          <w:b/>
          <w:kern w:val="2"/>
          <w:sz w:val="28"/>
          <w:szCs w:val="28"/>
          <w:highlight w:val="none"/>
        </w:rPr>
      </w:pPr>
    </w:p>
    <w:p>
      <w:pPr>
        <w:keepNext w:val="0"/>
        <w:keepLines w:val="0"/>
        <w:pageBreakBefore w:val="0"/>
        <w:widowControl/>
        <w:kinsoku/>
        <w:wordWrap/>
        <w:overflowPunct/>
        <w:topLinePunct w:val="0"/>
        <w:autoSpaceDE w:val="0"/>
        <w:autoSpaceDN w:val="0"/>
        <w:bidi w:val="0"/>
        <w:spacing w:line="312" w:lineRule="auto"/>
        <w:ind w:right="-26" w:firstLine="3092" w:firstLineChars="1100"/>
        <w:jc w:val="both"/>
        <w:textAlignment w:val="bottom"/>
        <w:outlineLvl w:val="9"/>
        <w:rPr>
          <w:rFonts w:hint="eastAsia" w:ascii="仿宋" w:hAnsi="仿宋" w:eastAsia="仿宋" w:cs="仿宋"/>
          <w:b/>
          <w:kern w:val="2"/>
          <w:sz w:val="28"/>
          <w:szCs w:val="28"/>
          <w:highlight w:val="none"/>
        </w:rPr>
      </w:pPr>
    </w:p>
    <w:p>
      <w:pPr>
        <w:keepNext w:val="0"/>
        <w:keepLines w:val="0"/>
        <w:pageBreakBefore w:val="0"/>
        <w:widowControl/>
        <w:kinsoku/>
        <w:wordWrap/>
        <w:overflowPunct/>
        <w:topLinePunct w:val="0"/>
        <w:autoSpaceDE w:val="0"/>
        <w:autoSpaceDN w:val="0"/>
        <w:bidi w:val="0"/>
        <w:spacing w:line="312" w:lineRule="auto"/>
        <w:ind w:right="-26"/>
        <w:jc w:val="both"/>
        <w:textAlignment w:val="bottom"/>
        <w:outlineLvl w:val="9"/>
        <w:rPr>
          <w:rFonts w:hint="eastAsia" w:ascii="仿宋" w:hAnsi="仿宋" w:eastAsia="仿宋" w:cs="仿宋"/>
          <w:b/>
          <w:kern w:val="2"/>
          <w:sz w:val="28"/>
          <w:szCs w:val="28"/>
          <w:highlight w:val="none"/>
        </w:rPr>
      </w:pPr>
    </w:p>
    <w:p>
      <w:pPr>
        <w:keepNext w:val="0"/>
        <w:keepLines w:val="0"/>
        <w:pageBreakBefore w:val="0"/>
        <w:widowControl/>
        <w:kinsoku/>
        <w:wordWrap/>
        <w:overflowPunct/>
        <w:topLinePunct w:val="0"/>
        <w:autoSpaceDE w:val="0"/>
        <w:autoSpaceDN w:val="0"/>
        <w:bidi w:val="0"/>
        <w:spacing w:line="312" w:lineRule="auto"/>
        <w:ind w:right="-26" w:firstLine="3092" w:firstLineChars="1100"/>
        <w:jc w:val="both"/>
        <w:textAlignment w:val="bottom"/>
        <w:outlineLvl w:val="9"/>
        <w:rPr>
          <w:rFonts w:hint="eastAsia" w:ascii="仿宋" w:hAnsi="仿宋" w:eastAsia="仿宋" w:cs="仿宋"/>
          <w:b/>
          <w:kern w:val="2"/>
          <w:sz w:val="28"/>
          <w:szCs w:val="28"/>
          <w:highlight w:val="none"/>
        </w:rPr>
      </w:pPr>
    </w:p>
    <w:p>
      <w:pPr>
        <w:pStyle w:val="2"/>
        <w:pageBreakBefore w:val="0"/>
        <w:bidi w:val="0"/>
        <w:spacing w:line="312" w:lineRule="auto"/>
        <w:rPr>
          <w:rFonts w:hint="eastAsia" w:ascii="仿宋" w:hAnsi="仿宋" w:eastAsia="仿宋" w:cs="仿宋"/>
        </w:rPr>
      </w:pPr>
    </w:p>
    <w:p>
      <w:pPr>
        <w:pStyle w:val="2"/>
        <w:pageBreakBefore w:val="0"/>
        <w:bidi w:val="0"/>
        <w:spacing w:line="312" w:lineRule="auto"/>
        <w:rPr>
          <w:rFonts w:hint="eastAsia" w:ascii="仿宋" w:hAnsi="仿宋" w:eastAsia="仿宋" w:cs="仿宋"/>
        </w:rPr>
      </w:pPr>
    </w:p>
    <w:p>
      <w:pPr>
        <w:keepNext w:val="0"/>
        <w:keepLines w:val="0"/>
        <w:pageBreakBefore w:val="0"/>
        <w:widowControl/>
        <w:kinsoku/>
        <w:wordWrap/>
        <w:overflowPunct/>
        <w:topLinePunct w:val="0"/>
        <w:autoSpaceDE w:val="0"/>
        <w:autoSpaceDN w:val="0"/>
        <w:bidi w:val="0"/>
        <w:spacing w:line="312" w:lineRule="auto"/>
        <w:ind w:right="-26" w:firstLine="3092" w:firstLineChars="1100"/>
        <w:jc w:val="both"/>
        <w:textAlignment w:val="bottom"/>
        <w:outlineLvl w:val="9"/>
        <w:rPr>
          <w:rFonts w:hint="eastAsia" w:ascii="仿宋" w:hAnsi="仿宋" w:eastAsia="仿宋" w:cs="仿宋"/>
          <w:b/>
          <w:kern w:val="2"/>
          <w:sz w:val="28"/>
          <w:szCs w:val="28"/>
          <w:highlight w:val="none"/>
        </w:rPr>
      </w:pPr>
      <w:r>
        <w:rPr>
          <w:rFonts w:hint="eastAsia" w:ascii="仿宋" w:hAnsi="仿宋" w:eastAsia="仿宋" w:cs="仿宋"/>
          <w:b/>
          <w:kern w:val="2"/>
          <w:sz w:val="28"/>
          <w:szCs w:val="28"/>
          <w:highlight w:val="none"/>
          <w:lang w:eastAsia="zh-CN"/>
        </w:rPr>
        <w:t>采购方</w:t>
      </w:r>
      <w:r>
        <w:rPr>
          <w:rFonts w:hint="eastAsia" w:ascii="仿宋" w:hAnsi="仿宋" w:eastAsia="仿宋" w:cs="仿宋"/>
          <w:b/>
          <w:kern w:val="2"/>
          <w:sz w:val="28"/>
          <w:szCs w:val="28"/>
          <w:highlight w:val="none"/>
        </w:rPr>
        <w:t>：</w:t>
      </w:r>
      <w:r>
        <w:rPr>
          <w:rFonts w:hint="eastAsia" w:ascii="仿宋" w:hAnsi="仿宋" w:eastAsia="仿宋" w:cs="仿宋"/>
          <w:b/>
          <w:kern w:val="2"/>
          <w:sz w:val="28"/>
          <w:szCs w:val="28"/>
          <w:highlight w:val="none"/>
          <w:lang w:val="en-US" w:eastAsia="zh-CN"/>
        </w:rPr>
        <w:t>铜川市妇幼保健院</w:t>
      </w:r>
    </w:p>
    <w:p>
      <w:pPr>
        <w:keepNext w:val="0"/>
        <w:keepLines w:val="0"/>
        <w:pageBreakBefore w:val="0"/>
        <w:widowControl/>
        <w:kinsoku/>
        <w:wordWrap/>
        <w:overflowPunct/>
        <w:topLinePunct w:val="0"/>
        <w:autoSpaceDE w:val="0"/>
        <w:autoSpaceDN w:val="0"/>
        <w:bidi w:val="0"/>
        <w:spacing w:line="312" w:lineRule="auto"/>
        <w:ind w:right="-26" w:firstLine="3092" w:firstLineChars="1100"/>
        <w:textAlignment w:val="bottom"/>
        <w:outlineLvl w:val="9"/>
        <w:rPr>
          <w:rFonts w:hint="eastAsia" w:ascii="仿宋" w:hAnsi="仿宋" w:eastAsia="仿宋" w:cs="仿宋"/>
          <w:b/>
          <w:kern w:val="2"/>
          <w:sz w:val="28"/>
          <w:szCs w:val="28"/>
          <w:highlight w:val="none"/>
        </w:rPr>
      </w:pPr>
      <w:r>
        <w:rPr>
          <w:rFonts w:hint="eastAsia" w:ascii="仿宋" w:hAnsi="仿宋" w:eastAsia="仿宋" w:cs="仿宋"/>
          <w:b/>
          <w:kern w:val="2"/>
          <w:sz w:val="28"/>
          <w:szCs w:val="28"/>
          <w:highlight w:val="none"/>
          <w:lang w:eastAsia="zh-CN"/>
        </w:rPr>
        <w:t>供应商</w:t>
      </w:r>
      <w:r>
        <w:rPr>
          <w:rFonts w:hint="eastAsia" w:ascii="仿宋" w:hAnsi="仿宋" w:eastAsia="仿宋" w:cs="仿宋"/>
          <w:b/>
          <w:kern w:val="2"/>
          <w:sz w:val="28"/>
          <w:szCs w:val="28"/>
          <w:highlight w:val="none"/>
        </w:rPr>
        <w:t>：</w:t>
      </w:r>
    </w:p>
    <w:p>
      <w:pPr>
        <w:keepNext w:val="0"/>
        <w:keepLines w:val="0"/>
        <w:pageBreakBefore w:val="0"/>
        <w:widowControl/>
        <w:kinsoku/>
        <w:wordWrap/>
        <w:overflowPunct/>
        <w:topLinePunct w:val="0"/>
        <w:autoSpaceDE w:val="0"/>
        <w:autoSpaceDN w:val="0"/>
        <w:bidi w:val="0"/>
        <w:spacing w:line="312" w:lineRule="auto"/>
        <w:ind w:right="-26" w:firstLine="3092" w:firstLineChars="1100"/>
        <w:textAlignment w:val="bottom"/>
        <w:outlineLvl w:val="9"/>
        <w:rPr>
          <w:rFonts w:hint="eastAsia" w:ascii="仿宋" w:hAnsi="仿宋" w:eastAsia="仿宋" w:cs="仿宋"/>
          <w:b/>
          <w:kern w:val="2"/>
          <w:sz w:val="28"/>
          <w:szCs w:val="28"/>
          <w:highlight w:val="none"/>
          <w:lang w:val="en-US" w:eastAsia="zh-CN"/>
        </w:rPr>
      </w:pPr>
      <w:r>
        <w:rPr>
          <w:rFonts w:hint="eastAsia" w:ascii="仿宋" w:hAnsi="仿宋" w:eastAsia="仿宋" w:cs="仿宋"/>
          <w:b/>
          <w:kern w:val="2"/>
          <w:sz w:val="28"/>
          <w:szCs w:val="28"/>
          <w:highlight w:val="none"/>
          <w:lang w:val="en-US" w:eastAsia="zh-CN"/>
        </w:rPr>
        <w:t>日  期</w:t>
      </w:r>
      <w:r>
        <w:rPr>
          <w:rFonts w:hint="eastAsia" w:ascii="仿宋" w:hAnsi="仿宋" w:eastAsia="仿宋" w:cs="仿宋"/>
          <w:b/>
          <w:kern w:val="2"/>
          <w:sz w:val="28"/>
          <w:szCs w:val="28"/>
          <w:highlight w:val="none"/>
        </w:rPr>
        <w:t>：</w:t>
      </w:r>
      <w:r>
        <w:rPr>
          <w:rFonts w:hint="eastAsia" w:ascii="仿宋" w:hAnsi="仿宋" w:eastAsia="仿宋" w:cs="仿宋"/>
          <w:b/>
          <w:kern w:val="2"/>
          <w:sz w:val="28"/>
          <w:szCs w:val="28"/>
          <w:highlight w:val="none"/>
          <w:lang w:val="en-US" w:eastAsia="zh-CN"/>
        </w:rPr>
        <w:t xml:space="preserve">   </w:t>
      </w:r>
      <w:r>
        <w:rPr>
          <w:rFonts w:hint="eastAsia" w:ascii="仿宋" w:hAnsi="仿宋" w:eastAsia="仿宋" w:cs="仿宋"/>
          <w:b/>
          <w:kern w:val="2"/>
          <w:sz w:val="28"/>
          <w:szCs w:val="28"/>
          <w:highlight w:val="none"/>
        </w:rPr>
        <w:t>年</w:t>
      </w:r>
      <w:r>
        <w:rPr>
          <w:rFonts w:hint="eastAsia" w:ascii="仿宋" w:hAnsi="仿宋" w:eastAsia="仿宋" w:cs="仿宋"/>
          <w:b/>
          <w:kern w:val="2"/>
          <w:sz w:val="28"/>
          <w:szCs w:val="28"/>
          <w:highlight w:val="none"/>
          <w:lang w:val="en-US" w:eastAsia="zh-CN"/>
        </w:rPr>
        <w:t xml:space="preserve">  </w:t>
      </w:r>
      <w:r>
        <w:rPr>
          <w:rFonts w:hint="eastAsia" w:ascii="仿宋" w:hAnsi="仿宋" w:eastAsia="仿宋" w:cs="仿宋"/>
          <w:b/>
          <w:kern w:val="2"/>
          <w:sz w:val="28"/>
          <w:szCs w:val="28"/>
          <w:highlight w:val="none"/>
        </w:rPr>
        <w:t xml:space="preserve"> 月</w:t>
      </w:r>
      <w:r>
        <w:rPr>
          <w:rFonts w:hint="eastAsia" w:ascii="仿宋" w:hAnsi="仿宋" w:eastAsia="仿宋" w:cs="仿宋"/>
          <w:b/>
          <w:kern w:val="2"/>
          <w:sz w:val="28"/>
          <w:szCs w:val="28"/>
          <w:highlight w:val="none"/>
          <w:lang w:val="en-US" w:eastAsia="zh-CN"/>
        </w:rPr>
        <w:t xml:space="preserve">   日</w:t>
      </w:r>
    </w:p>
    <w:p>
      <w:pPr>
        <w:keepNext w:val="0"/>
        <w:keepLines w:val="0"/>
        <w:pageBreakBefore w:val="0"/>
        <w:widowControl/>
        <w:kinsoku/>
        <w:wordWrap/>
        <w:overflowPunct/>
        <w:topLinePunct w:val="0"/>
        <w:autoSpaceDE w:val="0"/>
        <w:autoSpaceDN w:val="0"/>
        <w:bidi w:val="0"/>
        <w:adjustRightInd/>
        <w:snapToGrid/>
        <w:spacing w:before="313" w:beforeLines="100" w:line="312" w:lineRule="auto"/>
        <w:ind w:right="-28"/>
        <w:jc w:val="center"/>
        <w:textAlignment w:val="bottom"/>
        <w:outlineLvl w:val="9"/>
        <w:rPr>
          <w:rFonts w:hint="eastAsia" w:ascii="仿宋" w:hAnsi="仿宋" w:eastAsia="仿宋" w:cs="仿宋"/>
          <w:b/>
          <w:kern w:val="2"/>
          <w:sz w:val="36"/>
          <w:szCs w:val="36"/>
          <w:highlight w:val="none"/>
        </w:rPr>
      </w:pPr>
      <w:r>
        <w:rPr>
          <w:rFonts w:hint="eastAsia" w:ascii="仿宋" w:hAnsi="仿宋" w:eastAsia="仿宋" w:cs="仿宋"/>
          <w:b/>
          <w:kern w:val="2"/>
          <w:sz w:val="36"/>
          <w:szCs w:val="36"/>
          <w:highlight w:val="none"/>
        </w:rPr>
        <w:br w:type="page"/>
      </w:r>
      <w:r>
        <w:rPr>
          <w:rFonts w:hint="eastAsia" w:ascii="仿宋" w:hAnsi="仿宋" w:eastAsia="仿宋" w:cs="仿宋"/>
          <w:b/>
          <w:kern w:val="2"/>
          <w:sz w:val="36"/>
          <w:szCs w:val="36"/>
          <w:highlight w:val="none"/>
        </w:rPr>
        <w:t>供</w:t>
      </w:r>
      <w:r>
        <w:rPr>
          <w:rFonts w:hint="eastAsia" w:ascii="仿宋" w:hAnsi="仿宋" w:eastAsia="仿宋" w:cs="仿宋"/>
          <w:b/>
          <w:kern w:val="2"/>
          <w:sz w:val="36"/>
          <w:szCs w:val="36"/>
          <w:highlight w:val="none"/>
          <w:lang w:val="en-US" w:eastAsia="zh-CN"/>
        </w:rPr>
        <w:t xml:space="preserve"> </w:t>
      </w:r>
      <w:r>
        <w:rPr>
          <w:rFonts w:hint="eastAsia" w:ascii="仿宋" w:hAnsi="仿宋" w:eastAsia="仿宋" w:cs="仿宋"/>
          <w:b/>
          <w:kern w:val="2"/>
          <w:sz w:val="36"/>
          <w:szCs w:val="36"/>
          <w:highlight w:val="none"/>
        </w:rPr>
        <w:t>货</w:t>
      </w:r>
      <w:r>
        <w:rPr>
          <w:rFonts w:hint="eastAsia" w:ascii="仿宋" w:hAnsi="仿宋" w:eastAsia="仿宋" w:cs="仿宋"/>
          <w:b/>
          <w:kern w:val="2"/>
          <w:sz w:val="36"/>
          <w:szCs w:val="36"/>
          <w:highlight w:val="none"/>
          <w:lang w:val="en-US" w:eastAsia="zh-CN"/>
        </w:rPr>
        <w:t xml:space="preserve"> </w:t>
      </w:r>
      <w:r>
        <w:rPr>
          <w:rFonts w:hint="eastAsia" w:ascii="仿宋" w:hAnsi="仿宋" w:eastAsia="仿宋" w:cs="仿宋"/>
          <w:b/>
          <w:kern w:val="2"/>
          <w:sz w:val="36"/>
          <w:szCs w:val="36"/>
          <w:highlight w:val="none"/>
        </w:rPr>
        <w:t>合</w:t>
      </w:r>
      <w:r>
        <w:rPr>
          <w:rFonts w:hint="eastAsia" w:ascii="仿宋" w:hAnsi="仿宋" w:eastAsia="仿宋" w:cs="仿宋"/>
          <w:b/>
          <w:kern w:val="2"/>
          <w:sz w:val="36"/>
          <w:szCs w:val="36"/>
          <w:highlight w:val="none"/>
          <w:lang w:val="en-US" w:eastAsia="zh-CN"/>
        </w:rPr>
        <w:t xml:space="preserve"> </w:t>
      </w:r>
      <w:r>
        <w:rPr>
          <w:rFonts w:hint="eastAsia" w:ascii="仿宋" w:hAnsi="仿宋" w:eastAsia="仿宋" w:cs="仿宋"/>
          <w:b/>
          <w:kern w:val="2"/>
          <w:sz w:val="36"/>
          <w:szCs w:val="36"/>
          <w:highlight w:val="none"/>
        </w:rPr>
        <w:t>同</w:t>
      </w:r>
    </w:p>
    <w:p>
      <w:pPr>
        <w:keepNext w:val="0"/>
        <w:keepLines w:val="0"/>
        <w:pageBreakBefore w:val="0"/>
        <w:widowControl/>
        <w:kinsoku/>
        <w:wordWrap/>
        <w:overflowPunct/>
        <w:topLinePunct w:val="0"/>
        <w:autoSpaceDE w:val="0"/>
        <w:autoSpaceDN w:val="0"/>
        <w:bidi w:val="0"/>
        <w:spacing w:line="312" w:lineRule="auto"/>
        <w:ind w:right="-28"/>
        <w:jc w:val="center"/>
        <w:textAlignment w:val="bottom"/>
        <w:outlineLvl w:val="9"/>
        <w:rPr>
          <w:rFonts w:hint="eastAsia" w:ascii="仿宋" w:hAnsi="仿宋" w:eastAsia="仿宋" w:cs="仿宋"/>
          <w:b/>
          <w:spacing w:val="30"/>
          <w:kern w:val="2"/>
          <w:sz w:val="36"/>
          <w:szCs w:val="36"/>
          <w:highlight w:val="none"/>
        </w:rPr>
      </w:pPr>
    </w:p>
    <w:p>
      <w:pPr>
        <w:keepNext w:val="0"/>
        <w:keepLines w:val="0"/>
        <w:pageBreakBefore w:val="0"/>
        <w:kinsoku/>
        <w:wordWrap/>
        <w:overflowPunct/>
        <w:topLinePunct w:val="0"/>
        <w:bidi w:val="0"/>
        <w:adjustRightInd w:val="0"/>
        <w:snapToGrid w:val="0"/>
        <w:spacing w:before="93" w:beforeLines="30" w:after="93" w:afterLines="30" w:line="312" w:lineRule="auto"/>
        <w:ind w:firstLine="482" w:firstLineChars="200"/>
        <w:outlineLvl w:val="9"/>
        <w:rPr>
          <w:rFonts w:hint="eastAsia" w:ascii="仿宋" w:hAnsi="仿宋" w:eastAsia="仿宋" w:cs="仿宋"/>
          <w:b/>
          <w:sz w:val="24"/>
          <w:szCs w:val="24"/>
          <w:highlight w:val="none"/>
          <w:lang w:val="en-US"/>
        </w:rPr>
      </w:pPr>
      <w:r>
        <w:rPr>
          <w:rFonts w:hint="eastAsia" w:ascii="仿宋" w:hAnsi="仿宋" w:eastAsia="仿宋" w:cs="仿宋"/>
          <w:b/>
          <w:sz w:val="24"/>
          <w:szCs w:val="24"/>
          <w:highlight w:val="none"/>
          <w:lang w:eastAsia="zh-CN"/>
        </w:rPr>
        <w:t>采购方</w:t>
      </w:r>
      <w:r>
        <w:rPr>
          <w:rFonts w:hint="eastAsia" w:ascii="仿宋" w:hAnsi="仿宋" w:eastAsia="仿宋" w:cs="仿宋"/>
          <w:b/>
          <w:sz w:val="24"/>
          <w:szCs w:val="24"/>
          <w:highlight w:val="none"/>
        </w:rPr>
        <w:t>（全称）：</w:t>
      </w:r>
      <w:r>
        <w:rPr>
          <w:rFonts w:hint="eastAsia" w:ascii="仿宋" w:hAnsi="仿宋" w:eastAsia="仿宋" w:cs="仿宋"/>
          <w:b/>
          <w:sz w:val="24"/>
          <w:szCs w:val="24"/>
          <w:highlight w:val="none"/>
          <w:u w:val="single"/>
          <w:lang w:val="en-US" w:eastAsia="zh-CN"/>
        </w:rPr>
        <w:t xml:space="preserve">                </w:t>
      </w:r>
    </w:p>
    <w:p>
      <w:pPr>
        <w:keepNext w:val="0"/>
        <w:keepLines w:val="0"/>
        <w:pageBreakBefore w:val="0"/>
        <w:kinsoku/>
        <w:wordWrap/>
        <w:overflowPunct/>
        <w:topLinePunct w:val="0"/>
        <w:bidi w:val="0"/>
        <w:adjustRightInd w:val="0"/>
        <w:snapToGrid w:val="0"/>
        <w:spacing w:before="93" w:beforeLines="30" w:after="93" w:afterLines="30" w:line="312" w:lineRule="auto"/>
        <w:ind w:firstLine="482" w:firstLineChars="200"/>
        <w:outlineLvl w:val="9"/>
        <w:rPr>
          <w:rFonts w:hint="eastAsia" w:ascii="仿宋" w:hAnsi="仿宋" w:eastAsia="仿宋" w:cs="仿宋"/>
          <w:kern w:val="2"/>
          <w:sz w:val="24"/>
          <w:szCs w:val="24"/>
          <w:highlight w:val="none"/>
        </w:rPr>
      </w:pPr>
      <w:r>
        <w:rPr>
          <w:rFonts w:hint="eastAsia" w:ascii="仿宋" w:hAnsi="仿宋" w:eastAsia="仿宋" w:cs="仿宋"/>
          <w:b/>
          <w:sz w:val="24"/>
          <w:szCs w:val="24"/>
          <w:highlight w:val="none"/>
          <w:lang w:eastAsia="zh-CN"/>
        </w:rPr>
        <w:t>供应商</w:t>
      </w:r>
      <w:r>
        <w:rPr>
          <w:rFonts w:hint="eastAsia" w:ascii="仿宋" w:hAnsi="仿宋" w:eastAsia="仿宋" w:cs="仿宋"/>
          <w:b/>
          <w:sz w:val="24"/>
          <w:szCs w:val="24"/>
          <w:highlight w:val="none"/>
        </w:rPr>
        <w:t>（全称）：</w:t>
      </w:r>
      <w:r>
        <w:rPr>
          <w:rFonts w:hint="eastAsia" w:ascii="仿宋" w:hAnsi="仿宋" w:eastAsia="仿宋" w:cs="仿宋"/>
          <w:b/>
          <w:sz w:val="24"/>
          <w:szCs w:val="24"/>
          <w:highlight w:val="none"/>
          <w:u w:val="single"/>
          <w:lang w:val="en-US" w:eastAsia="zh-CN"/>
        </w:rPr>
        <w:t xml:space="preserve">                </w:t>
      </w:r>
    </w:p>
    <w:p>
      <w:pPr>
        <w:keepNext w:val="0"/>
        <w:keepLines w:val="0"/>
        <w:pageBreakBefore w:val="0"/>
        <w:kinsoku/>
        <w:wordWrap/>
        <w:overflowPunct/>
        <w:topLinePunct w:val="0"/>
        <w:bidi w:val="0"/>
        <w:adjustRightInd w:val="0"/>
        <w:snapToGrid w:val="0"/>
        <w:spacing w:before="93" w:beforeLines="30" w:after="93" w:afterLines="30" w:line="312" w:lineRule="auto"/>
        <w:ind w:firstLine="480" w:firstLineChars="20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依据政府采购法，</w:t>
      </w:r>
      <w:r>
        <w:rPr>
          <w:rFonts w:hint="eastAsia" w:ascii="仿宋" w:hAnsi="仿宋" w:eastAsia="仿宋" w:cs="仿宋"/>
          <w:kern w:val="2"/>
          <w:sz w:val="24"/>
          <w:szCs w:val="24"/>
          <w:highlight w:val="none"/>
          <w:lang w:eastAsia="zh-CN"/>
        </w:rPr>
        <w:t>供应商</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成为</w:t>
      </w:r>
      <w:r>
        <w:rPr>
          <w:rFonts w:hint="eastAsia" w:ascii="仿宋" w:hAnsi="仿宋" w:eastAsia="仿宋" w:cs="仿宋"/>
          <w:kern w:val="2"/>
          <w:sz w:val="24"/>
          <w:szCs w:val="24"/>
          <w:highlight w:val="none"/>
          <w:lang w:eastAsia="zh-CN"/>
        </w:rPr>
        <w:t>采购方</w:t>
      </w:r>
      <w:r>
        <w:rPr>
          <w:rFonts w:hint="eastAsia" w:ascii="仿宋" w:hAnsi="仿宋" w:eastAsia="仿宋" w:cs="仿宋"/>
          <w:kern w:val="2"/>
          <w:sz w:val="24"/>
          <w:szCs w:val="24"/>
          <w:highlight w:val="none"/>
          <w:u w:val="single"/>
          <w:lang w:val="en-US" w:eastAsia="zh-CN"/>
        </w:rPr>
        <w:t xml:space="preserve"> </w:t>
      </w:r>
      <w:r>
        <w:rPr>
          <w:rFonts w:hint="eastAsia" w:ascii="仿宋" w:hAnsi="仿宋" w:eastAsia="仿宋" w:cs="仿宋"/>
          <w:kern w:val="2"/>
          <w:sz w:val="24"/>
          <w:szCs w:val="24"/>
          <w:highlight w:val="none"/>
          <w:u w:val="single"/>
          <w:lang w:eastAsia="zh-CN"/>
        </w:rPr>
        <w:t>铜川市妇幼保健院脱贫地区儿童营养改善项目</w:t>
      </w:r>
      <w:r>
        <w:rPr>
          <w:rFonts w:hint="eastAsia" w:ascii="仿宋" w:hAnsi="仿宋" w:eastAsia="仿宋" w:cs="仿宋"/>
          <w:kern w:val="2"/>
          <w:sz w:val="24"/>
          <w:szCs w:val="24"/>
          <w:highlight w:val="none"/>
          <w:u w:val="single"/>
        </w:rPr>
        <w:t xml:space="preserve"> </w:t>
      </w:r>
      <w:r>
        <w:rPr>
          <w:rFonts w:hint="eastAsia" w:ascii="仿宋" w:hAnsi="仿宋" w:eastAsia="仿宋" w:cs="仿宋"/>
          <w:bCs/>
          <w:iCs/>
          <w:kern w:val="2"/>
          <w:sz w:val="24"/>
          <w:szCs w:val="24"/>
          <w:highlight w:val="none"/>
        </w:rPr>
        <w:t>（</w:t>
      </w:r>
      <w:r>
        <w:rPr>
          <w:rFonts w:hint="eastAsia" w:ascii="仿宋" w:hAnsi="仿宋" w:eastAsia="仿宋" w:cs="仿宋"/>
          <w:kern w:val="0"/>
          <w:sz w:val="24"/>
          <w:szCs w:val="24"/>
          <w:highlight w:val="none"/>
        </w:rPr>
        <w:t>项目招标编号：</w:t>
      </w:r>
      <w:r>
        <w:rPr>
          <w:rFonts w:hint="eastAsia" w:ascii="仿宋" w:hAnsi="仿宋" w:eastAsia="仿宋" w:cs="仿宋"/>
          <w:b/>
          <w:kern w:val="2"/>
          <w:sz w:val="24"/>
          <w:szCs w:val="24"/>
          <w:highlight w:val="none"/>
          <w:u w:val="single"/>
        </w:rPr>
        <w:t xml:space="preserve">           </w:t>
      </w:r>
      <w:r>
        <w:rPr>
          <w:rFonts w:hint="eastAsia" w:ascii="仿宋" w:hAnsi="仿宋" w:eastAsia="仿宋" w:cs="仿宋"/>
          <w:kern w:val="0"/>
          <w:sz w:val="24"/>
          <w:szCs w:val="24"/>
          <w:highlight w:val="none"/>
          <w:lang w:val="en-US" w:eastAsia="zh-CN"/>
        </w:rPr>
        <w:t>)</w:t>
      </w:r>
      <w:r>
        <w:rPr>
          <w:rFonts w:hint="eastAsia" w:ascii="仿宋" w:hAnsi="仿宋" w:eastAsia="仿宋" w:cs="仿宋"/>
          <w:bCs/>
          <w:iCs/>
          <w:kern w:val="2"/>
          <w:sz w:val="24"/>
          <w:szCs w:val="24"/>
          <w:highlight w:val="none"/>
        </w:rPr>
        <w:t>货物</w:t>
      </w:r>
      <w:r>
        <w:rPr>
          <w:rFonts w:hint="eastAsia" w:ascii="仿宋" w:hAnsi="仿宋" w:eastAsia="仿宋" w:cs="仿宋"/>
          <w:kern w:val="2"/>
          <w:sz w:val="24"/>
          <w:szCs w:val="24"/>
          <w:highlight w:val="none"/>
        </w:rPr>
        <w:t>的供货方。甲乙双方经过友好协商，就采购的有关事项达成如下协议，以资共同遵守。</w:t>
      </w:r>
    </w:p>
    <w:p>
      <w:pPr>
        <w:keepNext w:val="0"/>
        <w:keepLines w:val="0"/>
        <w:pageBreakBefore w:val="0"/>
        <w:numPr>
          <w:ilvl w:val="0"/>
          <w:numId w:val="27"/>
        </w:numPr>
        <w:kinsoku/>
        <w:wordWrap/>
        <w:overflowPunct/>
        <w:topLinePunct w:val="0"/>
        <w:bidi w:val="0"/>
        <w:adjustRightInd w:val="0"/>
        <w:snapToGrid w:val="0"/>
        <w:spacing w:before="93" w:beforeLines="30" w:after="93" w:afterLines="30" w:line="312" w:lineRule="auto"/>
        <w:ind w:left="0" w:leftChars="0" w:firstLine="420" w:firstLineChars="0"/>
        <w:outlineLvl w:val="9"/>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所需货物名称、规格、数量及价格</w:t>
      </w:r>
    </w:p>
    <w:tbl>
      <w:tblPr>
        <w:tblStyle w:val="38"/>
        <w:tblW w:w="1027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26"/>
        <w:gridCol w:w="905"/>
        <w:gridCol w:w="1360"/>
        <w:gridCol w:w="1266"/>
        <w:gridCol w:w="1567"/>
        <w:gridCol w:w="1567"/>
        <w:gridCol w:w="165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730"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序号</w:t>
            </w:r>
          </w:p>
        </w:tc>
        <w:tc>
          <w:tcPr>
            <w:tcW w:w="1226"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eastAsia="zh-CN"/>
              </w:rPr>
              <w:t>产品</w:t>
            </w:r>
            <w:r>
              <w:rPr>
                <w:rFonts w:hint="eastAsia" w:ascii="仿宋" w:hAnsi="仿宋" w:eastAsia="仿宋" w:cs="仿宋"/>
                <w:kern w:val="2"/>
                <w:sz w:val="24"/>
                <w:szCs w:val="24"/>
                <w:highlight w:val="none"/>
              </w:rPr>
              <w:t>名称</w:t>
            </w:r>
          </w:p>
        </w:tc>
        <w:tc>
          <w:tcPr>
            <w:tcW w:w="905"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规格</w:t>
            </w:r>
          </w:p>
        </w:tc>
        <w:tc>
          <w:tcPr>
            <w:tcW w:w="1360"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单价</w:t>
            </w:r>
          </w:p>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（元/袋）</w:t>
            </w:r>
          </w:p>
        </w:tc>
        <w:tc>
          <w:tcPr>
            <w:tcW w:w="1266"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保质期</w:t>
            </w:r>
          </w:p>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（月）</w:t>
            </w:r>
          </w:p>
        </w:tc>
        <w:tc>
          <w:tcPr>
            <w:tcW w:w="1567"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质保期</w:t>
            </w:r>
          </w:p>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（月）</w:t>
            </w:r>
          </w:p>
        </w:tc>
        <w:tc>
          <w:tcPr>
            <w:tcW w:w="1567"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数量（袋）</w:t>
            </w:r>
          </w:p>
        </w:tc>
        <w:tc>
          <w:tcPr>
            <w:tcW w:w="1656"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合计（元）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730"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w:t>
            </w:r>
          </w:p>
        </w:tc>
        <w:tc>
          <w:tcPr>
            <w:tcW w:w="1226"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婴幼儿辅食营养包</w:t>
            </w:r>
          </w:p>
        </w:tc>
        <w:tc>
          <w:tcPr>
            <w:tcW w:w="905"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p>
        </w:tc>
        <w:tc>
          <w:tcPr>
            <w:tcW w:w="1360"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p>
        </w:tc>
        <w:tc>
          <w:tcPr>
            <w:tcW w:w="1266"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p>
        </w:tc>
        <w:tc>
          <w:tcPr>
            <w:tcW w:w="1567"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p>
        </w:tc>
        <w:tc>
          <w:tcPr>
            <w:tcW w:w="1567"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p>
        </w:tc>
        <w:tc>
          <w:tcPr>
            <w:tcW w:w="1656" w:type="dxa"/>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1956" w:type="dxa"/>
            <w:gridSpan w:val="2"/>
            <w:vMerge w:val="restart"/>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jc w:val="center"/>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合同总金额</w:t>
            </w:r>
          </w:p>
        </w:tc>
        <w:tc>
          <w:tcPr>
            <w:tcW w:w="8321" w:type="dxa"/>
            <w:gridSpan w:val="6"/>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人民币元（小写）：</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1956" w:type="dxa"/>
            <w:gridSpan w:val="2"/>
            <w:vMerge w:val="continue"/>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outlineLvl w:val="9"/>
              <w:rPr>
                <w:rFonts w:hint="eastAsia" w:ascii="仿宋" w:hAnsi="仿宋" w:eastAsia="仿宋" w:cs="仿宋"/>
                <w:kern w:val="2"/>
                <w:sz w:val="24"/>
                <w:szCs w:val="24"/>
                <w:highlight w:val="none"/>
              </w:rPr>
            </w:pPr>
          </w:p>
        </w:tc>
        <w:tc>
          <w:tcPr>
            <w:tcW w:w="8321" w:type="dxa"/>
            <w:gridSpan w:val="6"/>
            <w:noWrap w:val="0"/>
            <w:vAlign w:val="center"/>
          </w:tcPr>
          <w:p>
            <w:pPr>
              <w:keepNext w:val="0"/>
              <w:keepLines w:val="0"/>
              <w:pageBreakBefore w:val="0"/>
              <w:kinsoku/>
              <w:wordWrap/>
              <w:overflowPunct/>
              <w:topLinePunct w:val="0"/>
              <w:bidi w:val="0"/>
              <w:adjustRightInd w:val="0"/>
              <w:snapToGrid w:val="0"/>
              <w:spacing w:before="93" w:beforeLines="30" w:after="93" w:afterLines="30" w:line="312" w:lineRule="auto"/>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人民币元（大写）：</w:t>
            </w:r>
          </w:p>
        </w:tc>
      </w:tr>
    </w:tbl>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说明：</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1.合同总价为</w:t>
      </w:r>
      <w:r>
        <w:rPr>
          <w:rFonts w:hint="eastAsia" w:ascii="仿宋" w:hAnsi="仿宋" w:eastAsia="仿宋" w:cs="仿宋"/>
          <w:kern w:val="2"/>
          <w:sz w:val="24"/>
          <w:szCs w:val="24"/>
          <w:highlight w:val="none"/>
          <w:lang w:eastAsia="zh-CN"/>
        </w:rPr>
        <w:t>供应商</w:t>
      </w:r>
      <w:r>
        <w:rPr>
          <w:rFonts w:hint="eastAsia" w:ascii="仿宋" w:hAnsi="仿宋" w:eastAsia="仿宋" w:cs="仿宋"/>
          <w:kern w:val="2"/>
          <w:sz w:val="24"/>
          <w:szCs w:val="24"/>
          <w:highlight w:val="none"/>
        </w:rPr>
        <w:t>按合同将</w:t>
      </w:r>
      <w:r>
        <w:rPr>
          <w:rFonts w:hint="eastAsia" w:ascii="仿宋" w:hAnsi="仿宋" w:eastAsia="仿宋" w:cs="仿宋"/>
          <w:kern w:val="2"/>
          <w:sz w:val="24"/>
          <w:szCs w:val="24"/>
          <w:highlight w:val="none"/>
          <w:lang w:eastAsia="zh-CN"/>
        </w:rPr>
        <w:t>采购方</w:t>
      </w:r>
      <w:r>
        <w:rPr>
          <w:rFonts w:hint="eastAsia" w:ascii="仿宋" w:hAnsi="仿宋" w:eastAsia="仿宋" w:cs="仿宋"/>
          <w:kern w:val="2"/>
          <w:sz w:val="24"/>
          <w:szCs w:val="24"/>
          <w:highlight w:val="none"/>
        </w:rPr>
        <w:t>所采购的货物送达</w:t>
      </w:r>
      <w:r>
        <w:rPr>
          <w:rFonts w:hint="eastAsia" w:ascii="仿宋" w:hAnsi="仿宋" w:eastAsia="仿宋" w:cs="仿宋"/>
          <w:kern w:val="2"/>
          <w:sz w:val="24"/>
          <w:szCs w:val="24"/>
          <w:highlight w:val="none"/>
          <w:lang w:eastAsia="zh-CN"/>
        </w:rPr>
        <w:t>采购方</w:t>
      </w:r>
      <w:r>
        <w:rPr>
          <w:rFonts w:hint="eastAsia" w:ascii="仿宋" w:hAnsi="仿宋" w:eastAsia="仿宋" w:cs="仿宋"/>
          <w:kern w:val="2"/>
          <w:sz w:val="24"/>
          <w:szCs w:val="24"/>
          <w:highlight w:val="none"/>
        </w:rPr>
        <w:t>指定地点所发生的一切费用。</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yellow"/>
        </w:rPr>
      </w:pPr>
      <w:r>
        <w:rPr>
          <w:rFonts w:hint="eastAsia" w:ascii="仿宋" w:hAnsi="仿宋" w:eastAsia="仿宋" w:cs="仿宋"/>
          <w:kern w:val="2"/>
          <w:sz w:val="24"/>
          <w:szCs w:val="24"/>
          <w:highlight w:val="none"/>
        </w:rPr>
        <w:t>2.合同价为固定</w:t>
      </w:r>
      <w:r>
        <w:rPr>
          <w:rFonts w:hint="eastAsia" w:ascii="仿宋" w:hAnsi="仿宋" w:eastAsia="仿宋" w:cs="仿宋"/>
          <w:kern w:val="2"/>
          <w:sz w:val="24"/>
          <w:szCs w:val="24"/>
          <w:highlight w:val="none"/>
          <w:lang w:val="en-US" w:eastAsia="zh-CN"/>
        </w:rPr>
        <w:t>综合</w:t>
      </w:r>
      <w:r>
        <w:rPr>
          <w:rFonts w:hint="eastAsia" w:ascii="仿宋" w:hAnsi="仿宋" w:eastAsia="仿宋" w:cs="仿宋"/>
          <w:kern w:val="2"/>
          <w:sz w:val="24"/>
          <w:szCs w:val="24"/>
          <w:highlight w:val="none"/>
          <w:lang w:eastAsia="zh-CN"/>
        </w:rPr>
        <w:t>单价</w:t>
      </w:r>
      <w:r>
        <w:rPr>
          <w:rFonts w:hint="eastAsia" w:ascii="仿宋" w:hAnsi="仿宋" w:eastAsia="仿宋" w:cs="仿宋"/>
          <w:kern w:val="2"/>
          <w:sz w:val="24"/>
          <w:szCs w:val="24"/>
          <w:highlight w:val="none"/>
        </w:rPr>
        <w:t>，一次</w:t>
      </w:r>
      <w:r>
        <w:rPr>
          <w:rFonts w:hint="eastAsia" w:ascii="仿宋" w:hAnsi="仿宋" w:eastAsia="仿宋" w:cs="仿宋"/>
          <w:kern w:val="2"/>
          <w:sz w:val="24"/>
          <w:szCs w:val="24"/>
          <w:highlight w:val="none"/>
          <w:lang w:val="en-US" w:eastAsia="zh-CN"/>
        </w:rPr>
        <w:t>性</w:t>
      </w:r>
      <w:r>
        <w:rPr>
          <w:rFonts w:hint="eastAsia" w:ascii="仿宋" w:hAnsi="仿宋" w:eastAsia="仿宋" w:cs="仿宋"/>
          <w:kern w:val="2"/>
          <w:sz w:val="24"/>
          <w:szCs w:val="24"/>
          <w:highlight w:val="none"/>
        </w:rPr>
        <w:t>包死，在合同约定供货周期内不受市场变化的影响。</w:t>
      </w:r>
    </w:p>
    <w:p>
      <w:pPr>
        <w:keepNext w:val="0"/>
        <w:keepLines w:val="0"/>
        <w:pageBreakBefore w:val="0"/>
        <w:numPr>
          <w:ilvl w:val="0"/>
          <w:numId w:val="27"/>
        </w:numPr>
        <w:kinsoku/>
        <w:wordWrap/>
        <w:overflowPunct/>
        <w:topLinePunct w:val="0"/>
        <w:bidi w:val="0"/>
        <w:adjustRightInd w:val="0"/>
        <w:snapToGrid w:val="0"/>
        <w:spacing w:before="93" w:beforeLines="30" w:after="93" w:afterLines="30" w:line="312" w:lineRule="auto"/>
        <w:ind w:left="0" w:leftChars="0" w:firstLine="420" w:firstLineChars="0"/>
        <w:outlineLvl w:val="9"/>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履行合同的时间、地点及方式：</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交货</w:t>
      </w:r>
      <w:r>
        <w:rPr>
          <w:rFonts w:hint="eastAsia" w:ascii="仿宋" w:hAnsi="仿宋" w:eastAsia="仿宋" w:cs="仿宋"/>
          <w:color w:val="auto"/>
          <w:kern w:val="0"/>
          <w:sz w:val="24"/>
          <w:szCs w:val="24"/>
          <w:highlight w:val="none"/>
          <w:lang w:val="en-US" w:eastAsia="zh-CN"/>
        </w:rPr>
        <w:t>期</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接到采购方通知之日起</w:t>
      </w:r>
      <w:r>
        <w:rPr>
          <w:rFonts w:hint="eastAsia" w:ascii="仿宋" w:hAnsi="仿宋" w:eastAsia="仿宋" w:cs="仿宋"/>
          <w:color w:val="auto"/>
          <w:kern w:val="0"/>
          <w:sz w:val="24"/>
          <w:szCs w:val="24"/>
          <w:highlight w:val="none"/>
          <w:lang w:val="en-US" w:eastAsia="zh-CN"/>
        </w:rPr>
        <w:t>10个日历日内供货，</w:t>
      </w:r>
      <w:r>
        <w:rPr>
          <w:rFonts w:hint="eastAsia" w:ascii="仿宋" w:hAnsi="仿宋" w:eastAsia="仿宋" w:cs="仿宋"/>
          <w:b w:val="0"/>
          <w:bCs w:val="0"/>
          <w:i w:val="0"/>
          <w:caps w:val="0"/>
          <w:color w:val="auto"/>
          <w:spacing w:val="0"/>
          <w:sz w:val="24"/>
          <w:szCs w:val="24"/>
          <w:highlight w:val="none"/>
          <w:shd w:val="clear" w:color="auto" w:fill="auto"/>
          <w:lang w:eastAsia="zh-CN"/>
        </w:rPr>
        <w:t>按采购方要求</w:t>
      </w:r>
      <w:r>
        <w:rPr>
          <w:rFonts w:hint="eastAsia" w:ascii="仿宋" w:hAnsi="仿宋" w:eastAsia="仿宋" w:cs="仿宋"/>
          <w:color w:val="auto"/>
          <w:kern w:val="0"/>
          <w:sz w:val="24"/>
          <w:szCs w:val="24"/>
          <w:highlight w:val="none"/>
          <w:lang w:val="en-US" w:eastAsia="zh-CN"/>
        </w:rPr>
        <w:t>分批完成供货任务。</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2"/>
          <w:sz w:val="24"/>
          <w:szCs w:val="24"/>
          <w:highlight w:val="none"/>
        </w:rPr>
        <w:t>2</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color w:val="auto"/>
          <w:kern w:val="2"/>
          <w:sz w:val="24"/>
          <w:szCs w:val="24"/>
          <w:highlight w:val="none"/>
        </w:rPr>
        <w:t>交货地点：</w:t>
      </w:r>
      <w:r>
        <w:rPr>
          <w:rFonts w:hint="eastAsia" w:ascii="仿宋" w:hAnsi="仿宋" w:eastAsia="仿宋" w:cs="仿宋"/>
          <w:color w:val="auto"/>
          <w:kern w:val="0"/>
          <w:sz w:val="24"/>
          <w:szCs w:val="24"/>
          <w:highlight w:val="none"/>
          <w:lang w:val="en-US" w:eastAsia="zh-CN"/>
        </w:rPr>
        <w:t>采购方指定收货点</w:t>
      </w:r>
      <w:r>
        <w:rPr>
          <w:rFonts w:hint="eastAsia" w:ascii="仿宋" w:hAnsi="仿宋" w:eastAsia="仿宋" w:cs="仿宋"/>
          <w:color w:val="auto"/>
          <w:kern w:val="0"/>
          <w:sz w:val="24"/>
          <w:szCs w:val="24"/>
          <w:highlight w:val="none"/>
          <w:lang w:eastAsia="zh-CN"/>
        </w:rPr>
        <w:t>（</w:t>
      </w:r>
      <w:r>
        <w:rPr>
          <w:rFonts w:hint="eastAsia" w:ascii="仿宋" w:hAnsi="仿宋" w:eastAsia="仿宋" w:cs="仿宋"/>
          <w:b w:val="0"/>
          <w:bCs w:val="0"/>
          <w:i w:val="0"/>
          <w:caps w:val="0"/>
          <w:color w:val="auto"/>
          <w:spacing w:val="0"/>
          <w:sz w:val="24"/>
          <w:szCs w:val="24"/>
          <w:highlight w:val="none"/>
          <w:shd w:val="clear" w:color="auto" w:fill="auto"/>
          <w:lang w:eastAsia="zh-CN"/>
        </w:rPr>
        <w:t>为保障营养包安全有效，营养包生产后应在3个月内配送）。</w:t>
      </w:r>
    </w:p>
    <w:p>
      <w:pPr>
        <w:keepNext w:val="0"/>
        <w:keepLines w:val="0"/>
        <w:pageBreakBefore w:val="0"/>
        <w:numPr>
          <w:ilvl w:val="0"/>
          <w:numId w:val="27"/>
        </w:numPr>
        <w:kinsoku/>
        <w:wordWrap/>
        <w:overflowPunct/>
        <w:topLinePunct w:val="0"/>
        <w:bidi w:val="0"/>
        <w:adjustRightInd w:val="0"/>
        <w:snapToGrid w:val="0"/>
        <w:spacing w:before="93" w:beforeLines="30" w:after="93" w:afterLines="30" w:line="312" w:lineRule="auto"/>
        <w:ind w:left="0" w:leftChars="0" w:firstLine="420" w:firstLineChars="0"/>
        <w:outlineLvl w:val="9"/>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合同价款</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1.</w:t>
      </w:r>
      <w:r>
        <w:rPr>
          <w:rFonts w:hint="eastAsia" w:ascii="仿宋" w:hAnsi="仿宋" w:eastAsia="仿宋" w:cs="仿宋"/>
          <w:color w:val="auto"/>
          <w:kern w:val="2"/>
          <w:sz w:val="24"/>
          <w:szCs w:val="24"/>
          <w:highlight w:val="none"/>
        </w:rPr>
        <w:t>合同总价款为：人民币</w:t>
      </w:r>
      <w:r>
        <w:rPr>
          <w:rFonts w:hint="eastAsia" w:ascii="仿宋" w:hAnsi="仿宋" w:eastAsia="仿宋" w:cs="仿宋"/>
          <w:bCs/>
          <w:color w:val="auto"/>
          <w:sz w:val="24"/>
          <w:szCs w:val="24"/>
          <w:highlight w:val="none"/>
        </w:rPr>
        <w:t>（大写）</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u w:val="single"/>
        </w:rPr>
        <w:t xml:space="preserve">      元</w:t>
      </w:r>
      <w:r>
        <w:rPr>
          <w:rFonts w:hint="eastAsia" w:ascii="仿宋" w:hAnsi="仿宋" w:eastAsia="仿宋" w:cs="仿宋"/>
          <w:bCs/>
          <w:color w:val="auto"/>
          <w:sz w:val="24"/>
          <w:szCs w:val="24"/>
          <w:highlight w:val="none"/>
        </w:rPr>
        <w:t>）</w:t>
      </w:r>
      <w:r>
        <w:rPr>
          <w:rFonts w:hint="eastAsia" w:ascii="仿宋" w:hAnsi="仿宋" w:eastAsia="仿宋" w:cs="仿宋"/>
          <w:color w:val="auto"/>
          <w:kern w:val="2"/>
          <w:sz w:val="24"/>
          <w:szCs w:val="24"/>
          <w:highlight w:val="none"/>
        </w:rPr>
        <w:t>：</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2.</w:t>
      </w:r>
      <w:r>
        <w:rPr>
          <w:rFonts w:hint="eastAsia" w:ascii="仿宋" w:hAnsi="仿宋" w:eastAsia="仿宋" w:cs="仿宋"/>
          <w:kern w:val="2"/>
          <w:sz w:val="24"/>
          <w:szCs w:val="24"/>
          <w:highlight w:val="none"/>
        </w:rPr>
        <w:t>合同总价含税。合同总价为包死价，包括：货物费、运输费（含保险费）、搬运费、检测验收费、人员培训费用及其它一切费用。</w:t>
      </w:r>
    </w:p>
    <w:p>
      <w:pPr>
        <w:keepNext w:val="0"/>
        <w:keepLines w:val="0"/>
        <w:pageBreakBefore w:val="0"/>
        <w:numPr>
          <w:ilvl w:val="0"/>
          <w:numId w:val="27"/>
        </w:numPr>
        <w:kinsoku/>
        <w:wordWrap/>
        <w:overflowPunct/>
        <w:topLinePunct w:val="0"/>
        <w:bidi w:val="0"/>
        <w:adjustRightInd w:val="0"/>
        <w:snapToGrid w:val="0"/>
        <w:spacing w:before="93" w:beforeLines="30" w:after="93" w:afterLines="30" w:line="312" w:lineRule="auto"/>
        <w:ind w:left="0" w:leftChars="0" w:firstLine="420" w:firstLineChars="0"/>
        <w:outlineLvl w:val="9"/>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款项结算</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val="en-US" w:eastAsia="zh-CN"/>
        </w:rPr>
        <w:t>1.</w:t>
      </w:r>
      <w:r>
        <w:rPr>
          <w:rFonts w:hint="eastAsia" w:ascii="仿宋" w:hAnsi="仿宋" w:eastAsia="仿宋" w:cs="仿宋"/>
          <w:color w:val="auto"/>
          <w:kern w:val="2"/>
          <w:sz w:val="24"/>
          <w:szCs w:val="24"/>
          <w:highlight w:val="none"/>
        </w:rPr>
        <w:t>付款方式：</w:t>
      </w:r>
      <w:r>
        <w:rPr>
          <w:rFonts w:hint="eastAsia" w:ascii="仿宋" w:hAnsi="仿宋" w:eastAsia="仿宋" w:cs="仿宋"/>
          <w:color w:val="auto"/>
          <w:kern w:val="2"/>
          <w:sz w:val="24"/>
          <w:szCs w:val="24"/>
          <w:highlight w:val="none"/>
          <w:lang w:eastAsia="zh-CN"/>
        </w:rPr>
        <w:t>按季度供货，一年四次，每季度货到验收合格后付款，分4次付款，每次付25％。</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2.</w:t>
      </w:r>
      <w:r>
        <w:rPr>
          <w:rFonts w:hint="eastAsia" w:ascii="仿宋" w:hAnsi="仿宋" w:eastAsia="仿宋" w:cs="仿宋"/>
          <w:color w:val="auto"/>
          <w:kern w:val="2"/>
          <w:sz w:val="24"/>
          <w:szCs w:val="24"/>
          <w:highlight w:val="none"/>
        </w:rPr>
        <w:t>在付款前，</w:t>
      </w:r>
      <w:r>
        <w:rPr>
          <w:rFonts w:hint="eastAsia" w:ascii="仿宋" w:hAnsi="仿宋" w:eastAsia="仿宋" w:cs="仿宋"/>
          <w:color w:val="auto"/>
          <w:kern w:val="2"/>
          <w:sz w:val="24"/>
          <w:szCs w:val="24"/>
          <w:highlight w:val="none"/>
          <w:lang w:eastAsia="zh-CN"/>
        </w:rPr>
        <w:t>供应商</w:t>
      </w:r>
      <w:r>
        <w:rPr>
          <w:rFonts w:hint="eastAsia" w:ascii="仿宋" w:hAnsi="仿宋" w:eastAsia="仿宋" w:cs="仿宋"/>
          <w:color w:val="auto"/>
          <w:kern w:val="2"/>
          <w:sz w:val="24"/>
          <w:szCs w:val="24"/>
          <w:highlight w:val="none"/>
        </w:rPr>
        <w:t>应开</w:t>
      </w:r>
      <w:r>
        <w:rPr>
          <w:rFonts w:hint="eastAsia" w:ascii="仿宋" w:hAnsi="仿宋" w:eastAsia="仿宋" w:cs="仿宋"/>
          <w:color w:val="auto"/>
          <w:kern w:val="2"/>
          <w:sz w:val="24"/>
          <w:szCs w:val="24"/>
          <w:highlight w:val="none"/>
          <w:lang w:eastAsia="zh-CN"/>
        </w:rPr>
        <w:t>具</w:t>
      </w:r>
      <w:r>
        <w:rPr>
          <w:rFonts w:hint="eastAsia" w:ascii="仿宋" w:hAnsi="仿宋" w:eastAsia="仿宋" w:cs="仿宋"/>
          <w:color w:val="auto"/>
          <w:kern w:val="2"/>
          <w:sz w:val="24"/>
          <w:szCs w:val="24"/>
          <w:highlight w:val="none"/>
        </w:rPr>
        <w:t>支付金额的发票给</w:t>
      </w:r>
      <w:r>
        <w:rPr>
          <w:rFonts w:hint="eastAsia" w:ascii="仿宋" w:hAnsi="仿宋" w:eastAsia="仿宋" w:cs="仿宋"/>
          <w:color w:val="auto"/>
          <w:kern w:val="2"/>
          <w:sz w:val="24"/>
          <w:szCs w:val="24"/>
          <w:highlight w:val="none"/>
          <w:lang w:eastAsia="zh-CN"/>
        </w:rPr>
        <w:t>采购方</w:t>
      </w:r>
      <w:r>
        <w:rPr>
          <w:rFonts w:hint="eastAsia" w:ascii="仿宋" w:hAnsi="仿宋" w:eastAsia="仿宋" w:cs="仿宋"/>
          <w:color w:val="auto"/>
          <w:kern w:val="2"/>
          <w:sz w:val="24"/>
          <w:szCs w:val="24"/>
          <w:highlight w:val="none"/>
        </w:rPr>
        <w:t>，并提供</w:t>
      </w:r>
      <w:r>
        <w:rPr>
          <w:rFonts w:hint="eastAsia" w:ascii="仿宋" w:hAnsi="仿宋" w:eastAsia="仿宋" w:cs="仿宋"/>
          <w:color w:val="auto"/>
          <w:kern w:val="2"/>
          <w:sz w:val="24"/>
          <w:szCs w:val="24"/>
          <w:highlight w:val="none"/>
          <w:lang w:val="en-US" w:eastAsia="zh-CN"/>
        </w:rPr>
        <w:t>供货</w:t>
      </w:r>
      <w:r>
        <w:rPr>
          <w:rFonts w:hint="eastAsia" w:ascii="仿宋" w:hAnsi="仿宋" w:eastAsia="仿宋" w:cs="仿宋"/>
          <w:color w:val="auto"/>
          <w:kern w:val="2"/>
          <w:sz w:val="24"/>
          <w:szCs w:val="24"/>
          <w:highlight w:val="none"/>
        </w:rPr>
        <w:t>货物</w:t>
      </w:r>
      <w:r>
        <w:rPr>
          <w:rFonts w:hint="eastAsia" w:ascii="仿宋" w:hAnsi="仿宋" w:eastAsia="仿宋" w:cs="仿宋"/>
          <w:color w:val="auto"/>
          <w:kern w:val="2"/>
          <w:sz w:val="24"/>
          <w:szCs w:val="24"/>
          <w:highlight w:val="none"/>
          <w:lang w:val="en-US" w:eastAsia="zh-CN"/>
        </w:rPr>
        <w:t>的</w:t>
      </w:r>
      <w:r>
        <w:rPr>
          <w:rFonts w:hint="eastAsia" w:ascii="仿宋" w:hAnsi="仿宋" w:eastAsia="仿宋" w:cs="仿宋"/>
          <w:color w:val="auto"/>
          <w:kern w:val="2"/>
          <w:sz w:val="24"/>
          <w:szCs w:val="24"/>
          <w:highlight w:val="none"/>
        </w:rPr>
        <w:t>装箱单、</w:t>
      </w:r>
      <w:r>
        <w:rPr>
          <w:rFonts w:hint="eastAsia" w:ascii="仿宋" w:hAnsi="仿宋" w:eastAsia="仿宋" w:cs="仿宋"/>
          <w:color w:val="auto"/>
          <w:kern w:val="2"/>
          <w:sz w:val="24"/>
          <w:szCs w:val="24"/>
          <w:highlight w:val="none"/>
          <w:lang w:eastAsia="zh-CN"/>
        </w:rPr>
        <w:t>生产</w:t>
      </w:r>
      <w:r>
        <w:rPr>
          <w:rFonts w:hint="eastAsia" w:ascii="仿宋" w:hAnsi="仿宋" w:eastAsia="仿宋" w:cs="仿宋"/>
          <w:color w:val="auto"/>
          <w:kern w:val="2"/>
          <w:sz w:val="24"/>
          <w:szCs w:val="24"/>
          <w:highlight w:val="none"/>
        </w:rPr>
        <w:t>厂家出具的质量检验证书等厂家随</w:t>
      </w:r>
      <w:r>
        <w:rPr>
          <w:rFonts w:hint="eastAsia" w:ascii="仿宋" w:hAnsi="仿宋" w:eastAsia="仿宋" w:cs="仿宋"/>
          <w:color w:val="auto"/>
          <w:kern w:val="2"/>
          <w:sz w:val="24"/>
          <w:szCs w:val="24"/>
          <w:highlight w:val="none"/>
          <w:lang w:eastAsia="zh-CN"/>
        </w:rPr>
        <w:t>产品</w:t>
      </w:r>
      <w:r>
        <w:rPr>
          <w:rFonts w:hint="eastAsia" w:ascii="仿宋" w:hAnsi="仿宋" w:eastAsia="仿宋" w:cs="仿宋"/>
          <w:color w:val="auto"/>
          <w:kern w:val="2"/>
          <w:sz w:val="24"/>
          <w:szCs w:val="24"/>
          <w:highlight w:val="none"/>
        </w:rPr>
        <w:t>包装的手续和项目点辅食营养包收货单。</w:t>
      </w:r>
    </w:p>
    <w:p>
      <w:pPr>
        <w:keepNext w:val="0"/>
        <w:keepLines w:val="0"/>
        <w:pageBreakBefore w:val="0"/>
        <w:numPr>
          <w:ilvl w:val="0"/>
          <w:numId w:val="27"/>
        </w:numPr>
        <w:kinsoku/>
        <w:wordWrap/>
        <w:overflowPunct/>
        <w:topLinePunct w:val="0"/>
        <w:bidi w:val="0"/>
        <w:adjustRightInd w:val="0"/>
        <w:snapToGrid w:val="0"/>
        <w:spacing w:before="93" w:beforeLines="30" w:after="93" w:afterLines="30" w:line="312" w:lineRule="auto"/>
        <w:ind w:left="0" w:leftChars="0" w:firstLine="420" w:firstLineChars="0"/>
        <w:outlineLvl w:val="9"/>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lang w:eastAsia="zh-CN"/>
        </w:rPr>
        <w:t>服务要求及</w:t>
      </w:r>
      <w:r>
        <w:rPr>
          <w:rFonts w:hint="eastAsia" w:ascii="仿宋" w:hAnsi="仿宋" w:eastAsia="仿宋" w:cs="仿宋"/>
          <w:b/>
          <w:kern w:val="2"/>
          <w:sz w:val="24"/>
          <w:szCs w:val="24"/>
          <w:highlight w:val="none"/>
        </w:rPr>
        <w:t>售后服务</w:t>
      </w:r>
      <w:r>
        <w:rPr>
          <w:rFonts w:hint="eastAsia" w:ascii="仿宋" w:hAnsi="仿宋" w:eastAsia="仿宋" w:cs="仿宋"/>
          <w:b/>
          <w:kern w:val="2"/>
          <w:sz w:val="24"/>
          <w:szCs w:val="24"/>
          <w:highlight w:val="none"/>
          <w:lang w:eastAsia="zh-CN"/>
        </w:rPr>
        <w:t>和</w:t>
      </w:r>
      <w:r>
        <w:rPr>
          <w:rFonts w:hint="eastAsia" w:ascii="仿宋" w:hAnsi="仿宋" w:eastAsia="仿宋" w:cs="仿宋"/>
          <w:b/>
          <w:kern w:val="2"/>
          <w:sz w:val="24"/>
          <w:szCs w:val="24"/>
          <w:highlight w:val="none"/>
        </w:rPr>
        <w:t>承诺</w:t>
      </w:r>
    </w:p>
    <w:p>
      <w:pPr>
        <w:keepNext w:val="0"/>
        <w:keepLines w:val="0"/>
        <w:pageBreakBefore w:val="0"/>
        <w:numPr>
          <w:ilvl w:val="0"/>
          <w:numId w:val="28"/>
        </w:numPr>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在项目实施后，按下列要求提供项目营养包的检验报告至</w:t>
      </w:r>
      <w:r>
        <w:rPr>
          <w:rFonts w:hint="eastAsia" w:ascii="仿宋" w:hAnsi="仿宋" w:eastAsia="仿宋" w:cs="仿宋"/>
          <w:kern w:val="2"/>
          <w:sz w:val="24"/>
          <w:szCs w:val="24"/>
          <w:highlight w:val="none"/>
          <w:lang w:eastAsia="zh-CN"/>
        </w:rPr>
        <w:t>铜川市妇幼保健院</w:t>
      </w:r>
      <w:r>
        <w:rPr>
          <w:rFonts w:hint="eastAsia" w:ascii="仿宋" w:hAnsi="仿宋" w:eastAsia="仿宋" w:cs="仿宋"/>
          <w:kern w:val="2"/>
          <w:sz w:val="24"/>
          <w:szCs w:val="24"/>
          <w:highlight w:val="none"/>
        </w:rPr>
        <w:t>儿童营养项目办</w:t>
      </w:r>
      <w:r>
        <w:rPr>
          <w:rFonts w:hint="eastAsia" w:ascii="仿宋" w:hAnsi="仿宋" w:eastAsia="仿宋" w:cs="仿宋"/>
          <w:kern w:val="2"/>
          <w:sz w:val="24"/>
          <w:szCs w:val="24"/>
          <w:highlight w:val="none"/>
          <w:lang w:eastAsia="zh-CN"/>
        </w:rPr>
        <w:t>：</w:t>
      </w:r>
    </w:p>
    <w:p>
      <w:pPr>
        <w:keepNext w:val="0"/>
        <w:keepLines w:val="0"/>
        <w:pageBreakBefore w:val="0"/>
        <w:numPr>
          <w:ilvl w:val="1"/>
          <w:numId w:val="28"/>
        </w:numPr>
        <w:tabs>
          <w:tab w:val="left" w:pos="1050"/>
          <w:tab w:val="left" w:pos="1260"/>
        </w:tabs>
        <w:kinsoku/>
        <w:wordWrap/>
        <w:overflowPunct/>
        <w:topLinePunct w:val="0"/>
        <w:bidi w:val="0"/>
        <w:adjustRightInd w:val="0"/>
        <w:snapToGrid w:val="0"/>
        <w:spacing w:before="93" w:beforeLines="30" w:after="93" w:afterLines="30" w:line="312" w:lineRule="auto"/>
        <w:ind w:left="420" w:leftChars="0" w:firstLine="220" w:firstLineChars="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提供每批次的检测报告。</w:t>
      </w:r>
    </w:p>
    <w:p>
      <w:pPr>
        <w:keepNext w:val="0"/>
        <w:keepLines w:val="0"/>
        <w:pageBreakBefore w:val="0"/>
        <w:numPr>
          <w:ilvl w:val="1"/>
          <w:numId w:val="28"/>
        </w:numPr>
        <w:tabs>
          <w:tab w:val="left" w:pos="1050"/>
          <w:tab w:val="left" w:pos="1260"/>
        </w:tabs>
        <w:kinsoku/>
        <w:wordWrap/>
        <w:overflowPunct/>
        <w:topLinePunct w:val="0"/>
        <w:bidi w:val="0"/>
        <w:adjustRightInd w:val="0"/>
        <w:snapToGrid w:val="0"/>
        <w:spacing w:before="93" w:beforeLines="30" w:after="93" w:afterLines="30" w:line="312" w:lineRule="auto"/>
        <w:ind w:left="420" w:leftChars="0" w:firstLine="220" w:firstLineChars="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提供每批次发放的样本，以便</w:t>
      </w:r>
      <w:r>
        <w:rPr>
          <w:rFonts w:hint="eastAsia" w:ascii="仿宋" w:hAnsi="仿宋" w:eastAsia="仿宋" w:cs="仿宋"/>
          <w:kern w:val="2"/>
          <w:sz w:val="24"/>
          <w:szCs w:val="24"/>
          <w:highlight w:val="none"/>
          <w:lang w:eastAsia="zh-CN"/>
        </w:rPr>
        <w:t>采购方</w:t>
      </w:r>
      <w:r>
        <w:rPr>
          <w:rFonts w:hint="eastAsia" w:ascii="仿宋" w:hAnsi="仿宋" w:eastAsia="仿宋" w:cs="仿宋"/>
          <w:kern w:val="2"/>
          <w:sz w:val="24"/>
          <w:szCs w:val="24"/>
          <w:highlight w:val="none"/>
        </w:rPr>
        <w:t>随时抽查，随机抽检，检验费由</w:t>
      </w:r>
      <w:r>
        <w:rPr>
          <w:rFonts w:hint="eastAsia" w:ascii="仿宋" w:hAnsi="仿宋" w:eastAsia="仿宋" w:cs="仿宋"/>
          <w:kern w:val="2"/>
          <w:sz w:val="24"/>
          <w:szCs w:val="24"/>
          <w:highlight w:val="none"/>
          <w:lang w:eastAsia="zh-CN"/>
        </w:rPr>
        <w:t>供应商</w:t>
      </w:r>
      <w:r>
        <w:rPr>
          <w:rFonts w:hint="eastAsia" w:ascii="仿宋" w:hAnsi="仿宋" w:eastAsia="仿宋" w:cs="仿宋"/>
          <w:kern w:val="2"/>
          <w:sz w:val="24"/>
          <w:szCs w:val="24"/>
          <w:highlight w:val="none"/>
        </w:rPr>
        <w:t>承担。</w:t>
      </w:r>
    </w:p>
    <w:p>
      <w:pPr>
        <w:keepNext w:val="0"/>
        <w:keepLines w:val="0"/>
        <w:pageBreakBefore w:val="0"/>
        <w:numPr>
          <w:ilvl w:val="1"/>
          <w:numId w:val="28"/>
        </w:numPr>
        <w:tabs>
          <w:tab w:val="left" w:pos="1050"/>
          <w:tab w:val="left" w:pos="1260"/>
        </w:tabs>
        <w:kinsoku/>
        <w:wordWrap/>
        <w:overflowPunct/>
        <w:topLinePunct w:val="0"/>
        <w:bidi w:val="0"/>
        <w:adjustRightInd w:val="0"/>
        <w:snapToGrid w:val="0"/>
        <w:spacing w:before="93" w:beforeLines="30" w:after="93" w:afterLines="30" w:line="312" w:lineRule="auto"/>
        <w:ind w:left="420" w:leftChars="0" w:firstLine="220" w:firstLineChars="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型式检验报告。每半年1次，按项目产品的相关标准要求对项目营养包进行全项检验。</w:t>
      </w:r>
    </w:p>
    <w:p>
      <w:pPr>
        <w:keepNext w:val="0"/>
        <w:keepLines w:val="0"/>
        <w:pageBreakBefore w:val="0"/>
        <w:numPr>
          <w:ilvl w:val="0"/>
          <w:numId w:val="28"/>
        </w:numPr>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基于本项目的公益性，</w:t>
      </w:r>
      <w:r>
        <w:rPr>
          <w:rFonts w:hint="eastAsia" w:ascii="仿宋" w:hAnsi="仿宋" w:eastAsia="仿宋" w:cs="仿宋"/>
          <w:kern w:val="2"/>
          <w:sz w:val="24"/>
          <w:szCs w:val="24"/>
          <w:highlight w:val="none"/>
          <w:lang w:eastAsia="zh-CN"/>
        </w:rPr>
        <w:t>供应商</w:t>
      </w:r>
      <w:r>
        <w:rPr>
          <w:rFonts w:hint="eastAsia" w:ascii="仿宋" w:hAnsi="仿宋" w:eastAsia="仿宋" w:cs="仿宋"/>
          <w:kern w:val="2"/>
          <w:sz w:val="24"/>
          <w:szCs w:val="24"/>
          <w:highlight w:val="none"/>
        </w:rPr>
        <w:t>将按如下要求提供服务。</w:t>
      </w:r>
    </w:p>
    <w:p>
      <w:pPr>
        <w:keepNext w:val="0"/>
        <w:keepLines w:val="0"/>
        <w:pageBreakBefore w:val="0"/>
        <w:numPr>
          <w:ilvl w:val="1"/>
          <w:numId w:val="28"/>
        </w:numPr>
        <w:tabs>
          <w:tab w:val="left" w:pos="1050"/>
          <w:tab w:val="left" w:pos="1260"/>
        </w:tabs>
        <w:kinsoku/>
        <w:wordWrap/>
        <w:overflowPunct/>
        <w:topLinePunct w:val="0"/>
        <w:bidi w:val="0"/>
        <w:adjustRightInd w:val="0"/>
        <w:snapToGrid w:val="0"/>
        <w:spacing w:before="93" w:beforeLines="30" w:after="93" w:afterLines="30" w:line="312" w:lineRule="auto"/>
        <w:ind w:left="420" w:leftChars="0" w:firstLine="220" w:firstLineChars="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对产品的配送要求</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eastAsia="zh-CN"/>
        </w:rPr>
        <w:t>供应商</w:t>
      </w:r>
      <w:r>
        <w:rPr>
          <w:rFonts w:hint="eastAsia" w:ascii="仿宋" w:hAnsi="仿宋" w:eastAsia="仿宋" w:cs="仿宋"/>
          <w:kern w:val="2"/>
          <w:sz w:val="24"/>
          <w:szCs w:val="24"/>
          <w:highlight w:val="none"/>
        </w:rPr>
        <w:t>按</w:t>
      </w:r>
      <w:r>
        <w:rPr>
          <w:rFonts w:hint="eastAsia" w:ascii="仿宋" w:hAnsi="仿宋" w:eastAsia="仿宋" w:cs="仿宋"/>
          <w:kern w:val="2"/>
          <w:sz w:val="24"/>
          <w:szCs w:val="24"/>
          <w:highlight w:val="none"/>
          <w:lang w:eastAsia="zh-CN"/>
        </w:rPr>
        <w:t>采购方</w:t>
      </w:r>
      <w:r>
        <w:rPr>
          <w:rFonts w:hint="eastAsia" w:ascii="仿宋" w:hAnsi="仿宋" w:eastAsia="仿宋" w:cs="仿宋"/>
          <w:kern w:val="2"/>
          <w:sz w:val="24"/>
          <w:szCs w:val="24"/>
          <w:highlight w:val="none"/>
        </w:rPr>
        <w:t>的相关要求，制定详细的配送方案，并按国家相关要求保障产品运输及过程中的安全和卫生条件，免费将营养包（营养包和其他资料）配送至各项目县指定地点。</w:t>
      </w:r>
    </w:p>
    <w:p>
      <w:pPr>
        <w:keepNext w:val="0"/>
        <w:keepLines w:val="0"/>
        <w:pageBreakBefore w:val="0"/>
        <w:numPr>
          <w:ilvl w:val="1"/>
          <w:numId w:val="28"/>
        </w:numPr>
        <w:tabs>
          <w:tab w:val="left" w:pos="1050"/>
          <w:tab w:val="left" w:pos="1260"/>
        </w:tabs>
        <w:kinsoku/>
        <w:wordWrap/>
        <w:overflowPunct/>
        <w:topLinePunct w:val="0"/>
        <w:bidi w:val="0"/>
        <w:adjustRightInd w:val="0"/>
        <w:snapToGrid w:val="0"/>
        <w:spacing w:before="93" w:beforeLines="30" w:after="93" w:afterLines="30" w:line="312" w:lineRule="auto"/>
        <w:ind w:left="420" w:leftChars="0" w:firstLine="220" w:firstLineChars="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对产品配送过程质量保障的要求</w:t>
      </w:r>
    </w:p>
    <w:p>
      <w:pPr>
        <w:keepNext w:val="0"/>
        <w:keepLines w:val="0"/>
        <w:pageBreakBefore w:val="0"/>
        <w:numPr>
          <w:ilvl w:val="2"/>
          <w:numId w:val="28"/>
        </w:numPr>
        <w:tabs>
          <w:tab w:val="left" w:pos="1050"/>
          <w:tab w:val="left" w:pos="1470"/>
        </w:tabs>
        <w:kinsoku/>
        <w:wordWrap/>
        <w:overflowPunct/>
        <w:topLinePunct w:val="0"/>
        <w:bidi w:val="0"/>
        <w:adjustRightInd w:val="0"/>
        <w:snapToGrid w:val="0"/>
        <w:spacing w:before="93" w:beforeLines="30" w:after="93" w:afterLines="30" w:line="312" w:lineRule="auto"/>
        <w:ind w:left="640" w:leftChars="0" w:firstLine="420" w:firstLineChars="0"/>
        <w:outlineLvl w:val="9"/>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在供货过程中，营养包出现包装破损、标签不清、污损等问题，应当无条件退货。在保质期内，营养包出现感官等质量问题，经省级项目管理办公室组织确认，接收方有权要求退货，原则上终止供货合同。若判定为不安全食品，应按国家相关法规处置，予以召回。</w:t>
      </w:r>
    </w:p>
    <w:p>
      <w:pPr>
        <w:keepNext w:val="0"/>
        <w:keepLines w:val="0"/>
        <w:pageBreakBefore w:val="0"/>
        <w:numPr>
          <w:ilvl w:val="2"/>
          <w:numId w:val="28"/>
        </w:numPr>
        <w:tabs>
          <w:tab w:val="left" w:pos="1050"/>
          <w:tab w:val="left" w:pos="1470"/>
        </w:tabs>
        <w:kinsoku/>
        <w:wordWrap/>
        <w:overflowPunct/>
        <w:topLinePunct w:val="0"/>
        <w:bidi w:val="0"/>
        <w:adjustRightInd w:val="0"/>
        <w:snapToGrid w:val="0"/>
        <w:spacing w:before="93" w:beforeLines="30" w:after="93" w:afterLines="30" w:line="312" w:lineRule="auto"/>
        <w:ind w:left="640" w:leftChars="0" w:firstLine="420" w:firstLineChars="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eastAsia="zh-CN"/>
        </w:rPr>
        <w:t>供应商</w:t>
      </w:r>
      <w:r>
        <w:rPr>
          <w:rFonts w:hint="eastAsia" w:ascii="仿宋" w:hAnsi="仿宋" w:eastAsia="仿宋" w:cs="仿宋"/>
          <w:kern w:val="2"/>
          <w:sz w:val="24"/>
          <w:szCs w:val="24"/>
          <w:highlight w:val="none"/>
        </w:rPr>
        <w:t>首次配送产品时为发放点提供能够</w:t>
      </w:r>
      <w:r>
        <w:rPr>
          <w:rFonts w:hint="eastAsia" w:ascii="仿宋" w:hAnsi="仿宋" w:eastAsia="仿宋" w:cs="仿宋"/>
          <w:kern w:val="2"/>
          <w:sz w:val="24"/>
          <w:szCs w:val="24"/>
          <w:highlight w:val="none"/>
          <w:lang w:eastAsia="zh-CN"/>
        </w:rPr>
        <w:t>防潮防鼠防漏</w:t>
      </w:r>
      <w:r>
        <w:rPr>
          <w:rFonts w:hint="eastAsia" w:ascii="仿宋" w:hAnsi="仿宋" w:eastAsia="仿宋" w:cs="仿宋"/>
          <w:kern w:val="2"/>
          <w:sz w:val="24"/>
          <w:szCs w:val="24"/>
          <w:highlight w:val="none"/>
        </w:rPr>
        <w:t>保藏产品的塑料储存容器（容器材料符合国家食品安全藏储、环保产品要求，无异味）。每个容器储存量至少为20人×2月用量营养包（配备每村一个）</w:t>
      </w:r>
      <w:r>
        <w:rPr>
          <w:rFonts w:hint="eastAsia" w:ascii="仿宋" w:hAnsi="仿宋" w:eastAsia="仿宋" w:cs="仿宋"/>
          <w:kern w:val="2"/>
          <w:sz w:val="24"/>
          <w:szCs w:val="24"/>
          <w:highlight w:val="none"/>
          <w:lang w:eastAsia="zh-CN"/>
        </w:rPr>
        <w:t>，塑料储存箱等容器的数量为</w:t>
      </w:r>
      <w:r>
        <w:rPr>
          <w:rFonts w:hint="eastAsia" w:ascii="仿宋" w:hAnsi="仿宋" w:eastAsia="仿宋" w:cs="仿宋"/>
          <w:kern w:val="2"/>
          <w:sz w:val="24"/>
          <w:szCs w:val="24"/>
          <w:highlight w:val="none"/>
          <w:u w:val="single"/>
          <w:lang w:val="en-US" w:eastAsia="zh-CN"/>
        </w:rPr>
        <w:t xml:space="preserve">    </w:t>
      </w:r>
      <w:r>
        <w:rPr>
          <w:rFonts w:hint="eastAsia" w:ascii="仿宋" w:hAnsi="仿宋" w:eastAsia="仿宋" w:cs="仿宋"/>
          <w:kern w:val="2"/>
          <w:sz w:val="24"/>
          <w:szCs w:val="24"/>
          <w:highlight w:val="none"/>
          <w:lang w:eastAsia="zh-CN"/>
        </w:rPr>
        <w:t>个（根据合同内配送营养包数量提供塑料储存箱等容器）。</w:t>
      </w:r>
    </w:p>
    <w:p>
      <w:pPr>
        <w:keepNext w:val="0"/>
        <w:keepLines w:val="0"/>
        <w:pageBreakBefore w:val="0"/>
        <w:numPr>
          <w:ilvl w:val="2"/>
          <w:numId w:val="28"/>
        </w:numPr>
        <w:tabs>
          <w:tab w:val="left" w:pos="1050"/>
          <w:tab w:val="left" w:pos="1470"/>
        </w:tabs>
        <w:kinsoku/>
        <w:wordWrap/>
        <w:overflowPunct/>
        <w:topLinePunct w:val="0"/>
        <w:bidi w:val="0"/>
        <w:adjustRightInd w:val="0"/>
        <w:snapToGrid w:val="0"/>
        <w:spacing w:before="93" w:beforeLines="30" w:after="93" w:afterLines="30" w:line="312" w:lineRule="auto"/>
        <w:ind w:left="640" w:leftChars="0" w:firstLine="420" w:firstLineChars="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中标企业提供</w:t>
      </w:r>
      <w:r>
        <w:rPr>
          <w:rFonts w:hint="eastAsia" w:ascii="仿宋" w:hAnsi="仿宋" w:eastAsia="仿宋" w:cs="仿宋"/>
          <w:kern w:val="2"/>
          <w:sz w:val="24"/>
          <w:szCs w:val="24"/>
          <w:highlight w:val="none"/>
          <w:lang w:val="en-US" w:eastAsia="zh-CN"/>
        </w:rPr>
        <w:t>24小时</w:t>
      </w:r>
      <w:r>
        <w:rPr>
          <w:rFonts w:hint="eastAsia" w:ascii="仿宋" w:hAnsi="仿宋" w:eastAsia="仿宋" w:cs="仿宋"/>
          <w:kern w:val="2"/>
          <w:sz w:val="24"/>
          <w:szCs w:val="24"/>
          <w:highlight w:val="none"/>
        </w:rPr>
        <w:t>电话咨询服务，解答营养包使用中遇到的问题。</w:t>
      </w:r>
    </w:p>
    <w:p>
      <w:pPr>
        <w:keepNext w:val="0"/>
        <w:keepLines w:val="0"/>
        <w:pageBreakBefore w:val="0"/>
        <w:numPr>
          <w:ilvl w:val="1"/>
          <w:numId w:val="28"/>
        </w:numPr>
        <w:tabs>
          <w:tab w:val="left" w:pos="1050"/>
          <w:tab w:val="left" w:pos="1260"/>
        </w:tabs>
        <w:kinsoku/>
        <w:wordWrap/>
        <w:overflowPunct/>
        <w:topLinePunct w:val="0"/>
        <w:bidi w:val="0"/>
        <w:adjustRightInd w:val="0"/>
        <w:snapToGrid w:val="0"/>
        <w:spacing w:before="93" w:beforeLines="30" w:after="93" w:afterLines="30" w:line="312" w:lineRule="auto"/>
        <w:ind w:left="420" w:leftChars="0" w:firstLine="220" w:firstLineChars="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eastAsia="zh-CN"/>
        </w:rPr>
        <w:t>供应商</w:t>
      </w:r>
      <w:r>
        <w:rPr>
          <w:rFonts w:hint="eastAsia" w:ascii="仿宋" w:hAnsi="仿宋" w:eastAsia="仿宋" w:cs="仿宋"/>
          <w:kern w:val="2"/>
          <w:sz w:val="24"/>
          <w:szCs w:val="24"/>
          <w:highlight w:val="none"/>
        </w:rPr>
        <w:t>负责提供如下相关配套资料，具体为：</w:t>
      </w:r>
    </w:p>
    <w:p>
      <w:pPr>
        <w:keepNext w:val="0"/>
        <w:keepLines w:val="0"/>
        <w:pageBreakBefore w:val="0"/>
        <w:numPr>
          <w:ilvl w:val="2"/>
          <w:numId w:val="28"/>
        </w:numPr>
        <w:tabs>
          <w:tab w:val="left" w:pos="1050"/>
          <w:tab w:val="left" w:pos="1470"/>
        </w:tabs>
        <w:kinsoku/>
        <w:wordWrap/>
        <w:overflowPunct/>
        <w:topLinePunct w:val="0"/>
        <w:bidi w:val="0"/>
        <w:adjustRightInd w:val="0"/>
        <w:snapToGrid w:val="0"/>
        <w:spacing w:before="93" w:beforeLines="30" w:after="93" w:afterLines="30" w:line="312" w:lineRule="auto"/>
        <w:ind w:left="640" w:leftChars="0" w:firstLine="420" w:firstLineChars="0"/>
        <w:outlineLvl w:val="9"/>
        <w:rPr>
          <w:rFonts w:hint="eastAsia" w:ascii="仿宋" w:hAnsi="仿宋" w:eastAsia="仿宋" w:cs="仿宋"/>
          <w:kern w:val="2"/>
          <w:sz w:val="24"/>
          <w:szCs w:val="24"/>
          <w:highlight w:val="none"/>
          <w:lang w:val="en-US" w:eastAsia="zh-CN"/>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《培训</w:t>
      </w:r>
      <w:r>
        <w:rPr>
          <w:rFonts w:hint="eastAsia" w:ascii="仿宋" w:hAnsi="仿宋" w:eastAsia="仿宋" w:cs="仿宋"/>
          <w:kern w:val="2"/>
          <w:sz w:val="24"/>
          <w:szCs w:val="24"/>
          <w:highlight w:val="none"/>
          <w:lang w:val="en-US" w:eastAsia="zh-CN"/>
        </w:rPr>
        <w:t>教材》460本。数量要求：市卫健委5本，市项目办5本，每个县、镇各2本、每村1本。技术要求：纸张70g/m2正A4,封面彩印。</w:t>
      </w:r>
    </w:p>
    <w:p>
      <w:pPr>
        <w:keepNext w:val="0"/>
        <w:keepLines w:val="0"/>
        <w:pageBreakBefore w:val="0"/>
        <w:numPr>
          <w:ilvl w:val="2"/>
          <w:numId w:val="28"/>
        </w:numPr>
        <w:tabs>
          <w:tab w:val="left" w:pos="1050"/>
          <w:tab w:val="left" w:pos="1470"/>
        </w:tabs>
        <w:kinsoku/>
        <w:wordWrap/>
        <w:overflowPunct/>
        <w:topLinePunct w:val="0"/>
        <w:bidi w:val="0"/>
        <w:adjustRightInd w:val="0"/>
        <w:snapToGrid w:val="0"/>
        <w:spacing w:before="93" w:beforeLines="30" w:after="93" w:afterLines="30" w:line="312" w:lineRule="auto"/>
        <w:ind w:left="640" w:leftChars="0" w:firstLine="420" w:firstLineChars="0"/>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《宣传海报》1162份。数量要求：市卫健委5份，市项目办5份，每个县、镇各10份、每村2份。技术要求：200g铜版纸，大对开，860mm×560mm，彩印。</w:t>
      </w:r>
    </w:p>
    <w:p>
      <w:pPr>
        <w:keepNext w:val="0"/>
        <w:keepLines w:val="0"/>
        <w:pageBreakBefore w:val="0"/>
        <w:numPr>
          <w:ilvl w:val="2"/>
          <w:numId w:val="28"/>
        </w:numPr>
        <w:tabs>
          <w:tab w:val="left" w:pos="1050"/>
          <w:tab w:val="left" w:pos="1470"/>
        </w:tabs>
        <w:kinsoku/>
        <w:wordWrap/>
        <w:overflowPunct/>
        <w:topLinePunct w:val="0"/>
        <w:bidi w:val="0"/>
        <w:adjustRightInd w:val="0"/>
        <w:snapToGrid w:val="0"/>
        <w:spacing w:before="93" w:beforeLines="30" w:after="93" w:afterLines="30" w:line="312" w:lineRule="auto"/>
        <w:ind w:left="640" w:leftChars="0" w:firstLine="420" w:firstLineChars="0"/>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《宣传U盘》418个。数量要求：市卫健委5个，市项目办5个，每个县、镇、村各1个。技术要求：存储空间不小于20G，提前拷贝项目宣传动画、培训教材电子版等内容。</w:t>
      </w:r>
    </w:p>
    <w:p>
      <w:pPr>
        <w:keepNext w:val="0"/>
        <w:keepLines w:val="0"/>
        <w:pageBreakBefore w:val="0"/>
        <w:numPr>
          <w:ilvl w:val="2"/>
          <w:numId w:val="28"/>
        </w:numPr>
        <w:tabs>
          <w:tab w:val="left" w:pos="1050"/>
          <w:tab w:val="left" w:pos="1470"/>
        </w:tabs>
        <w:kinsoku/>
        <w:wordWrap/>
        <w:overflowPunct/>
        <w:topLinePunct w:val="0"/>
        <w:bidi w:val="0"/>
        <w:adjustRightInd w:val="0"/>
        <w:snapToGrid w:val="0"/>
        <w:spacing w:before="93" w:beforeLines="30" w:after="93" w:afterLines="30" w:line="312" w:lineRule="auto"/>
        <w:ind w:left="640" w:leftChars="0" w:firstLine="420" w:firstLineChars="0"/>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《营养包使用手册》3665册。数量要求：发放对象为婴幼儿家长每人1册，具体数量按婴幼儿数核算。技术要求：70g/㎡正A4纸彩页。</w:t>
      </w:r>
    </w:p>
    <w:p>
      <w:pPr>
        <w:keepNext w:val="0"/>
        <w:keepLines w:val="0"/>
        <w:pageBreakBefore w:val="0"/>
        <w:numPr>
          <w:ilvl w:val="2"/>
          <w:numId w:val="28"/>
        </w:numPr>
        <w:tabs>
          <w:tab w:val="left" w:pos="1050"/>
          <w:tab w:val="left" w:pos="1470"/>
        </w:tabs>
        <w:kinsoku/>
        <w:wordWrap/>
        <w:overflowPunct/>
        <w:topLinePunct w:val="0"/>
        <w:bidi w:val="0"/>
        <w:adjustRightInd w:val="0"/>
        <w:snapToGrid w:val="0"/>
        <w:spacing w:before="93" w:beforeLines="30" w:after="93" w:afterLines="30" w:line="312" w:lineRule="auto"/>
        <w:ind w:left="640" w:leftChars="0" w:firstLine="420" w:firstLineChars="0"/>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《家长知情同意书》3665张。数量要求：发放对象为婴幼儿家长每人1张，具体数量按婴幼儿数核算。技术要求：50g/㎡正A4纸。</w:t>
      </w:r>
    </w:p>
    <w:p>
      <w:pPr>
        <w:keepNext w:val="0"/>
        <w:keepLines w:val="0"/>
        <w:pageBreakBefore w:val="0"/>
        <w:numPr>
          <w:ilvl w:val="2"/>
          <w:numId w:val="28"/>
        </w:numPr>
        <w:tabs>
          <w:tab w:val="left" w:pos="1050"/>
          <w:tab w:val="left" w:pos="1470"/>
        </w:tabs>
        <w:kinsoku/>
        <w:wordWrap/>
        <w:overflowPunct/>
        <w:topLinePunct w:val="0"/>
        <w:bidi w:val="0"/>
        <w:adjustRightInd w:val="0"/>
        <w:snapToGrid w:val="0"/>
        <w:spacing w:before="93" w:beforeLines="30" w:after="93" w:afterLines="30" w:line="312" w:lineRule="auto"/>
        <w:ind w:left="640" w:leftChars="0" w:firstLine="420" w:firstLineChars="0"/>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《宣传折页》111795份。数量要求：市、县项目办各10份，镇、村各20份，每婴幼儿家长各1份。技术要求：铜纸板，五折，折后不小于15×25cm,彩印。</w:t>
      </w:r>
    </w:p>
    <w:p>
      <w:pPr>
        <w:keepNext w:val="0"/>
        <w:keepLines w:val="0"/>
        <w:pageBreakBefore w:val="0"/>
        <w:numPr>
          <w:ilvl w:val="2"/>
          <w:numId w:val="28"/>
        </w:numPr>
        <w:tabs>
          <w:tab w:val="left" w:pos="1050"/>
          <w:tab w:val="left" w:pos="1470"/>
        </w:tabs>
        <w:kinsoku/>
        <w:wordWrap/>
        <w:overflowPunct/>
        <w:topLinePunct w:val="0"/>
        <w:bidi w:val="0"/>
        <w:adjustRightInd w:val="0"/>
        <w:snapToGrid w:val="0"/>
        <w:spacing w:before="93" w:beforeLines="30" w:after="93" w:afterLines="30" w:line="312" w:lineRule="auto"/>
        <w:ind w:left="640" w:leftChars="0" w:firstLine="420" w:firstLineChars="0"/>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开展相关管理与业务人员培训419人。规模要求：每市、县（区）各3人，每乡（镇）、村各1人。培训要求：依托网络组织，具备多次登陆播放、网上答题、学习情况记录等，供应商应拿出年度培训方案，经市级卫生健康行政部门审核后执行。</w:t>
      </w:r>
    </w:p>
    <w:p>
      <w:pPr>
        <w:keepNext w:val="0"/>
        <w:keepLines w:val="0"/>
        <w:pageBreakBefore w:val="0"/>
        <w:numPr>
          <w:ilvl w:val="2"/>
          <w:numId w:val="28"/>
        </w:numPr>
        <w:tabs>
          <w:tab w:val="left" w:pos="1050"/>
          <w:tab w:val="left" w:pos="1470"/>
        </w:tabs>
        <w:kinsoku/>
        <w:wordWrap/>
        <w:overflowPunct/>
        <w:topLinePunct w:val="0"/>
        <w:bidi w:val="0"/>
        <w:adjustRightInd w:val="0"/>
        <w:snapToGrid w:val="0"/>
        <w:spacing w:before="93" w:beforeLines="30" w:after="93" w:afterLines="30" w:line="312" w:lineRule="auto"/>
        <w:ind w:left="640" w:leftChars="0" w:firstLine="420" w:firstLineChars="0"/>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为每村配备至少为20人×2月用量营养包的塑料储存容器366个（容器材料符合国家食品安全藏储、环保产品要求，无异味）。</w:t>
      </w:r>
    </w:p>
    <w:p>
      <w:pPr>
        <w:keepNext w:val="0"/>
        <w:keepLines w:val="0"/>
        <w:pageBreakBefore w:val="0"/>
        <w:numPr>
          <w:ilvl w:val="2"/>
          <w:numId w:val="28"/>
        </w:numPr>
        <w:tabs>
          <w:tab w:val="left" w:pos="1050"/>
          <w:tab w:val="left" w:pos="1470"/>
        </w:tabs>
        <w:kinsoku/>
        <w:wordWrap/>
        <w:overflowPunct/>
        <w:topLinePunct w:val="0"/>
        <w:bidi w:val="0"/>
        <w:adjustRightInd w:val="0"/>
        <w:snapToGrid w:val="0"/>
        <w:spacing w:before="93" w:beforeLines="30" w:after="93" w:afterLines="30" w:line="312" w:lineRule="auto"/>
        <w:ind w:left="640" w:leftChars="0" w:firstLine="420" w:firstLineChars="0"/>
        <w:outlineLvl w:val="9"/>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kern w:val="2"/>
          <w:sz w:val="24"/>
          <w:szCs w:val="24"/>
          <w:highlight w:val="none"/>
          <w:lang w:val="en-US" w:eastAsia="zh-CN"/>
        </w:rPr>
        <w:t>为信息统计提供支持</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w:t>
      </w:r>
    </w:p>
    <w:p>
      <w:pPr>
        <w:keepNext w:val="0"/>
        <w:keepLines w:val="0"/>
        <w:pageBreakBefore w:val="0"/>
        <w:numPr>
          <w:ilvl w:val="0"/>
          <w:numId w:val="0"/>
        </w:numPr>
        <w:tabs>
          <w:tab w:val="left" w:pos="1050"/>
          <w:tab w:val="left" w:pos="1470"/>
        </w:tabs>
        <w:kinsoku/>
        <w:wordWrap/>
        <w:overflowPunct/>
        <w:topLinePunct w:val="0"/>
        <w:bidi w:val="0"/>
        <w:adjustRightInd w:val="0"/>
        <w:snapToGrid w:val="0"/>
        <w:spacing w:before="93" w:beforeLines="30" w:after="93" w:afterLines="30" w:line="312" w:lineRule="auto"/>
        <w:ind w:left="1060" w:leftChars="0"/>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印制</w:t>
      </w:r>
    </w:p>
    <w:p>
      <w:pPr>
        <w:keepNext w:val="0"/>
        <w:keepLines w:val="0"/>
        <w:pageBreakBefore w:val="0"/>
        <w:numPr>
          <w:ilvl w:val="3"/>
          <w:numId w:val="28"/>
        </w:numPr>
        <w:tabs>
          <w:tab w:val="left" w:pos="1050"/>
          <w:tab w:val="left" w:pos="1260"/>
          <w:tab w:val="left" w:pos="1470"/>
          <w:tab w:val="left" w:pos="1890"/>
          <w:tab w:val="left" w:pos="2100"/>
        </w:tabs>
        <w:kinsoku/>
        <w:wordWrap/>
        <w:overflowPunct/>
        <w:topLinePunct w:val="0"/>
        <w:bidi w:val="0"/>
        <w:adjustRightInd w:val="0"/>
        <w:snapToGrid w:val="0"/>
        <w:spacing w:before="93" w:beforeLines="30" w:after="93" w:afterLines="30" w:line="312" w:lineRule="auto"/>
        <w:ind w:left="1060" w:leftChars="0" w:firstLine="420" w:firstLineChars="0"/>
        <w:outlineLvl w:val="9"/>
        <w:rPr>
          <w:rFonts w:hint="eastAsia" w:ascii="仿宋" w:hAnsi="仿宋" w:eastAsia="仿宋" w:cs="仿宋"/>
          <w:kern w:val="2"/>
          <w:sz w:val="24"/>
          <w:szCs w:val="24"/>
          <w:highlight w:val="none"/>
          <w:lang w:val="en-US" w:eastAsia="zh-CN"/>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《铜</w:t>
      </w:r>
      <w:r>
        <w:rPr>
          <w:rFonts w:hint="eastAsia" w:ascii="仿宋" w:hAnsi="仿宋" w:eastAsia="仿宋" w:cs="仿宋"/>
          <w:kern w:val="2"/>
          <w:sz w:val="24"/>
          <w:szCs w:val="24"/>
          <w:highlight w:val="none"/>
          <w:lang w:val="en-US" w:eastAsia="zh-CN"/>
        </w:rPr>
        <w:t>川市妇幼保健院脱贫地区儿童营养改善项目营养包收货(验收)登记单》(县妇幼保健机构使用)4本，每县1本，每本20张，一式四联(一张指一式四联)，单面印制，规格：A4纸。</w:t>
      </w:r>
    </w:p>
    <w:p>
      <w:pPr>
        <w:keepNext w:val="0"/>
        <w:keepLines w:val="0"/>
        <w:pageBreakBefore w:val="0"/>
        <w:numPr>
          <w:ilvl w:val="3"/>
          <w:numId w:val="28"/>
        </w:numPr>
        <w:tabs>
          <w:tab w:val="left" w:pos="1050"/>
          <w:tab w:val="left" w:pos="1260"/>
          <w:tab w:val="left" w:pos="1470"/>
          <w:tab w:val="left" w:pos="1890"/>
          <w:tab w:val="left" w:pos="2100"/>
        </w:tabs>
        <w:kinsoku/>
        <w:wordWrap/>
        <w:overflowPunct/>
        <w:topLinePunct w:val="0"/>
        <w:bidi w:val="0"/>
        <w:adjustRightInd w:val="0"/>
        <w:snapToGrid w:val="0"/>
        <w:spacing w:before="93" w:beforeLines="30" w:after="93" w:afterLines="30" w:line="312" w:lineRule="auto"/>
        <w:ind w:left="1060" w:leftChars="0" w:firstLine="420" w:firstLineChars="0"/>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《铜川市妇幼保健院脱贫地区儿童营养改善项目营养包接收登记单》(乡镇卫生院、村卫生室使用)404本，每乡(镇)1本，每村1本，每本20张，一式二联(一张指一式二联)，单面印制，规格：A4纸。</w:t>
      </w:r>
    </w:p>
    <w:p>
      <w:pPr>
        <w:keepNext w:val="0"/>
        <w:keepLines w:val="0"/>
        <w:pageBreakBefore w:val="0"/>
        <w:numPr>
          <w:ilvl w:val="3"/>
          <w:numId w:val="28"/>
        </w:numPr>
        <w:tabs>
          <w:tab w:val="left" w:pos="1050"/>
          <w:tab w:val="left" w:pos="1260"/>
          <w:tab w:val="left" w:pos="1470"/>
          <w:tab w:val="left" w:pos="1890"/>
          <w:tab w:val="left" w:pos="2100"/>
        </w:tabs>
        <w:kinsoku/>
        <w:wordWrap/>
        <w:overflowPunct/>
        <w:topLinePunct w:val="0"/>
        <w:bidi w:val="0"/>
        <w:adjustRightInd w:val="0"/>
        <w:snapToGrid w:val="0"/>
        <w:spacing w:before="93" w:beforeLines="30" w:after="93" w:afterLines="30" w:line="312" w:lineRule="auto"/>
        <w:ind w:left="1060" w:leftChars="0" w:firstLine="420" w:firstLineChars="0"/>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《铜川市妇幼保健院脱贫地区儿童营养改善项目营养包发放登记表》，镇、村具体发放人员使用3665张，每婴幼儿1张，每本50张，单面印制，规格：A4纸。</w:t>
      </w:r>
    </w:p>
    <w:p>
      <w:pPr>
        <w:keepNext w:val="0"/>
        <w:keepLines w:val="0"/>
        <w:pageBreakBefore w:val="0"/>
        <w:numPr>
          <w:ilvl w:val="3"/>
          <w:numId w:val="28"/>
        </w:numPr>
        <w:tabs>
          <w:tab w:val="left" w:pos="1050"/>
          <w:tab w:val="left" w:pos="1260"/>
          <w:tab w:val="left" w:pos="1470"/>
          <w:tab w:val="left" w:pos="1890"/>
          <w:tab w:val="left" w:pos="2100"/>
        </w:tabs>
        <w:kinsoku/>
        <w:wordWrap/>
        <w:overflowPunct/>
        <w:topLinePunct w:val="0"/>
        <w:bidi w:val="0"/>
        <w:adjustRightInd w:val="0"/>
        <w:snapToGrid w:val="0"/>
        <w:spacing w:before="93" w:beforeLines="30" w:after="93" w:afterLines="30" w:line="312" w:lineRule="auto"/>
        <w:ind w:left="1060" w:leftChars="0" w:firstLine="420" w:firstLineChars="0"/>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《铜川市妇幼保健院脱贫地区儿童营养改善项目营养包发放统计报表》17本，市1本，每县4本，每本20张，每张10格，一式三联(一张指一式三联)，单面印刷并使用无碳复写纸，规格：A4纸。</w:t>
      </w:r>
    </w:p>
    <w:p>
      <w:pPr>
        <w:keepNext w:val="0"/>
        <w:keepLines w:val="0"/>
        <w:pageBreakBefore w:val="0"/>
        <w:numPr>
          <w:ilvl w:val="3"/>
          <w:numId w:val="28"/>
        </w:numPr>
        <w:tabs>
          <w:tab w:val="left" w:pos="1050"/>
          <w:tab w:val="left" w:pos="1260"/>
          <w:tab w:val="left" w:pos="1470"/>
          <w:tab w:val="left" w:pos="1890"/>
          <w:tab w:val="left" w:pos="2100"/>
        </w:tabs>
        <w:kinsoku/>
        <w:wordWrap/>
        <w:overflowPunct/>
        <w:topLinePunct w:val="0"/>
        <w:bidi w:val="0"/>
        <w:adjustRightInd w:val="0"/>
        <w:snapToGrid w:val="0"/>
        <w:spacing w:before="93" w:beforeLines="30" w:after="93" w:afterLines="30" w:line="312" w:lineRule="auto"/>
        <w:ind w:left="1060" w:leftChars="0" w:firstLine="420" w:firstLineChars="0"/>
        <w:outlineLvl w:val="9"/>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kern w:val="2"/>
          <w:sz w:val="24"/>
          <w:szCs w:val="24"/>
          <w:highlight w:val="none"/>
          <w:lang w:val="en-US" w:eastAsia="zh-CN"/>
        </w:rPr>
        <w:t>《铜川市妇幼保健院脱贫地区儿童营养改善项目营养包发放出入库登记表》118本，每县1本，每镇3本，每本20张，每</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张10格，规格：A4纸。</w:t>
      </w:r>
    </w:p>
    <w:p>
      <w:pPr>
        <w:keepNext w:val="0"/>
        <w:keepLines w:val="0"/>
        <w:pageBreakBefore w:val="0"/>
        <w:numPr>
          <w:ilvl w:val="0"/>
          <w:numId w:val="0"/>
        </w:numPr>
        <w:tabs>
          <w:tab w:val="left" w:pos="1050"/>
          <w:tab w:val="left" w:pos="1260"/>
          <w:tab w:val="left" w:pos="1470"/>
          <w:tab w:val="left" w:pos="1890"/>
          <w:tab w:val="left" w:pos="2100"/>
        </w:tabs>
        <w:kinsoku/>
        <w:wordWrap/>
        <w:overflowPunct/>
        <w:topLinePunct w:val="0"/>
        <w:bidi w:val="0"/>
        <w:adjustRightInd w:val="0"/>
        <w:snapToGrid w:val="0"/>
        <w:spacing w:before="93" w:beforeLines="30" w:after="93" w:afterLines="30" w:line="312" w:lineRule="auto"/>
        <w:ind w:left="1054" w:leftChars="502" w:firstLine="422" w:firstLineChars="176"/>
        <w:outlineLvl w:val="9"/>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说明：涉及上述要求的宣传资料由采购人提供基本模版、内容，成交供应商根据基本模版及内容进行设计(所有宣传资料须包含“国家免费”字样)，成交供应商报价须包含上述所有产品(及配套服务)。签订合同前，成交供应商必须提供上述产品样本各一套，经采购人确认合格后再签订合同，上述产品与营养包首次供货时同步发放至各点。</w:t>
      </w:r>
    </w:p>
    <w:p>
      <w:pPr>
        <w:keepNext w:val="0"/>
        <w:keepLines w:val="0"/>
        <w:pageBreakBefore w:val="0"/>
        <w:numPr>
          <w:ilvl w:val="0"/>
          <w:numId w:val="27"/>
        </w:numPr>
        <w:kinsoku/>
        <w:wordWrap/>
        <w:overflowPunct/>
        <w:topLinePunct w:val="0"/>
        <w:bidi w:val="0"/>
        <w:adjustRightInd w:val="0"/>
        <w:snapToGrid w:val="0"/>
        <w:spacing w:before="93" w:beforeLines="30" w:after="93" w:afterLines="30" w:line="312" w:lineRule="auto"/>
        <w:ind w:left="0" w:leftChars="0" w:firstLine="420" w:firstLineChars="0"/>
        <w:outlineLvl w:val="9"/>
        <w:rPr>
          <w:rFonts w:hint="eastAsia" w:ascii="仿宋" w:hAnsi="仿宋" w:eastAsia="仿宋" w:cs="仿宋"/>
          <w:b/>
          <w:kern w:val="2"/>
          <w:sz w:val="24"/>
          <w:szCs w:val="24"/>
          <w:highlight w:val="none"/>
          <w:lang w:eastAsia="zh-CN"/>
        </w:rPr>
      </w:pPr>
      <w:r>
        <w:rPr>
          <w:rFonts w:hint="eastAsia" w:ascii="仿宋" w:hAnsi="仿宋" w:eastAsia="仿宋" w:cs="仿宋"/>
          <w:b/>
          <w:kern w:val="2"/>
          <w:sz w:val="24"/>
          <w:szCs w:val="24"/>
          <w:highlight w:val="none"/>
          <w:lang w:eastAsia="zh-CN"/>
        </w:rPr>
        <w:t>验收</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按《食品安全国家标准 辅食营养补充品》（GB22570-2014）和</w:t>
      </w:r>
      <w:r>
        <w:rPr>
          <w:rFonts w:hint="eastAsia" w:ascii="仿宋" w:hAnsi="仿宋" w:eastAsia="仿宋" w:cs="仿宋"/>
          <w:kern w:val="2"/>
          <w:sz w:val="24"/>
          <w:szCs w:val="24"/>
          <w:highlight w:val="none"/>
          <w:lang w:eastAsia="zh-CN"/>
        </w:rPr>
        <w:t>中标产品的企业标准进行验收</w:t>
      </w:r>
      <w:r>
        <w:rPr>
          <w:rFonts w:hint="eastAsia" w:ascii="仿宋" w:hAnsi="仿宋" w:eastAsia="仿宋" w:cs="仿宋"/>
          <w:kern w:val="2"/>
          <w:sz w:val="24"/>
          <w:szCs w:val="24"/>
          <w:highlight w:val="none"/>
        </w:rPr>
        <w:t>。</w:t>
      </w:r>
    </w:p>
    <w:p>
      <w:pPr>
        <w:keepNext w:val="0"/>
        <w:keepLines w:val="0"/>
        <w:pageBreakBefore w:val="0"/>
        <w:numPr>
          <w:ilvl w:val="0"/>
          <w:numId w:val="27"/>
        </w:numPr>
        <w:kinsoku/>
        <w:wordWrap/>
        <w:overflowPunct/>
        <w:topLinePunct w:val="0"/>
        <w:bidi w:val="0"/>
        <w:adjustRightInd w:val="0"/>
        <w:snapToGrid w:val="0"/>
        <w:spacing w:before="93" w:beforeLines="30" w:after="93" w:afterLines="30" w:line="312" w:lineRule="auto"/>
        <w:ind w:left="0" w:leftChars="0" w:firstLine="420" w:firstLineChars="0"/>
        <w:outlineLvl w:val="9"/>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lang w:eastAsia="zh-CN"/>
        </w:rPr>
        <w:t>采购方</w:t>
      </w:r>
      <w:r>
        <w:rPr>
          <w:rFonts w:hint="eastAsia" w:ascii="仿宋" w:hAnsi="仿宋" w:eastAsia="仿宋" w:cs="仿宋"/>
          <w:b/>
          <w:kern w:val="2"/>
          <w:sz w:val="24"/>
          <w:szCs w:val="24"/>
          <w:highlight w:val="none"/>
        </w:rPr>
        <w:t>责任</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安排组织验收并及时办理付款手续。</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负责提供工作场地</w:t>
      </w:r>
      <w:r>
        <w:rPr>
          <w:rFonts w:hint="eastAsia" w:ascii="仿宋" w:hAnsi="仿宋" w:eastAsia="仿宋" w:cs="仿宋"/>
          <w:kern w:val="2"/>
          <w:sz w:val="24"/>
          <w:szCs w:val="24"/>
          <w:highlight w:val="none"/>
          <w:lang w:eastAsia="zh-CN"/>
        </w:rPr>
        <w:t>（不含人员培训所产生的各类费用）</w:t>
      </w:r>
      <w:r>
        <w:rPr>
          <w:rFonts w:hint="eastAsia" w:ascii="仿宋" w:hAnsi="仿宋" w:eastAsia="仿宋" w:cs="仿宋"/>
          <w:kern w:val="2"/>
          <w:sz w:val="24"/>
          <w:szCs w:val="24"/>
          <w:highlight w:val="none"/>
        </w:rPr>
        <w:t>，协助</w:t>
      </w:r>
      <w:r>
        <w:rPr>
          <w:rFonts w:hint="eastAsia" w:ascii="仿宋" w:hAnsi="仿宋" w:eastAsia="仿宋" w:cs="仿宋"/>
          <w:kern w:val="2"/>
          <w:sz w:val="24"/>
          <w:szCs w:val="24"/>
          <w:highlight w:val="none"/>
          <w:lang w:eastAsia="zh-CN"/>
        </w:rPr>
        <w:t>供应商</w:t>
      </w:r>
      <w:r>
        <w:rPr>
          <w:rFonts w:hint="eastAsia" w:ascii="仿宋" w:hAnsi="仿宋" w:eastAsia="仿宋" w:cs="仿宋"/>
          <w:kern w:val="2"/>
          <w:sz w:val="24"/>
          <w:szCs w:val="24"/>
          <w:highlight w:val="none"/>
        </w:rPr>
        <w:t>办理有关事宜。</w:t>
      </w:r>
    </w:p>
    <w:p>
      <w:pPr>
        <w:keepNext w:val="0"/>
        <w:keepLines w:val="0"/>
        <w:pageBreakBefore w:val="0"/>
        <w:numPr>
          <w:ilvl w:val="0"/>
          <w:numId w:val="27"/>
        </w:numPr>
        <w:kinsoku/>
        <w:wordWrap/>
        <w:overflowPunct/>
        <w:topLinePunct w:val="0"/>
        <w:bidi w:val="0"/>
        <w:adjustRightInd w:val="0"/>
        <w:snapToGrid w:val="0"/>
        <w:spacing w:before="93" w:beforeLines="30" w:after="93" w:afterLines="30" w:line="312" w:lineRule="auto"/>
        <w:ind w:left="0" w:leftChars="0" w:firstLine="420" w:firstLineChars="0"/>
        <w:outlineLvl w:val="9"/>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lang w:eastAsia="zh-CN"/>
        </w:rPr>
        <w:t>供应商</w:t>
      </w:r>
      <w:r>
        <w:rPr>
          <w:rFonts w:hint="eastAsia" w:ascii="仿宋" w:hAnsi="仿宋" w:eastAsia="仿宋" w:cs="仿宋"/>
          <w:b/>
          <w:kern w:val="2"/>
          <w:sz w:val="24"/>
          <w:szCs w:val="24"/>
          <w:highlight w:val="none"/>
        </w:rPr>
        <w:t>责任</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保证所供货物均为标书承诺货物，符合相关质量检测标准，具有该产品的出厂标准或国家鉴定证书。</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保证货物的售后服务，严格遵守</w:t>
      </w:r>
      <w:r>
        <w:rPr>
          <w:rFonts w:hint="eastAsia" w:ascii="仿宋" w:hAnsi="仿宋" w:eastAsia="仿宋" w:cs="仿宋"/>
          <w:kern w:val="2"/>
          <w:sz w:val="24"/>
          <w:szCs w:val="24"/>
          <w:highlight w:val="none"/>
          <w:lang w:eastAsia="zh-CN"/>
        </w:rPr>
        <w:t>响应文件</w:t>
      </w:r>
      <w:r>
        <w:rPr>
          <w:rFonts w:hint="eastAsia" w:ascii="仿宋" w:hAnsi="仿宋" w:eastAsia="仿宋" w:cs="仿宋"/>
          <w:kern w:val="2"/>
          <w:sz w:val="24"/>
          <w:szCs w:val="24"/>
          <w:highlight w:val="none"/>
        </w:rPr>
        <w:t>及相关承诺。</w:t>
      </w:r>
    </w:p>
    <w:p>
      <w:pPr>
        <w:keepNext w:val="0"/>
        <w:keepLines w:val="0"/>
        <w:pageBreakBefore w:val="0"/>
        <w:numPr>
          <w:ilvl w:val="0"/>
          <w:numId w:val="27"/>
        </w:numPr>
        <w:kinsoku/>
        <w:wordWrap/>
        <w:overflowPunct/>
        <w:topLinePunct w:val="0"/>
        <w:bidi w:val="0"/>
        <w:adjustRightInd w:val="0"/>
        <w:snapToGrid w:val="0"/>
        <w:spacing w:before="93" w:beforeLines="30" w:after="93" w:afterLines="30" w:line="312" w:lineRule="auto"/>
        <w:ind w:left="0" w:leftChars="0" w:firstLine="420" w:firstLineChars="0"/>
        <w:outlineLvl w:val="9"/>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违约责任</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1.</w:t>
      </w:r>
      <w:r>
        <w:rPr>
          <w:rFonts w:hint="eastAsia" w:ascii="仿宋" w:hAnsi="仿宋" w:eastAsia="仿宋" w:cs="仿宋"/>
          <w:kern w:val="2"/>
          <w:sz w:val="24"/>
          <w:szCs w:val="24"/>
          <w:highlight w:val="none"/>
          <w:lang w:eastAsia="zh-CN"/>
        </w:rPr>
        <w:t>供应商</w:t>
      </w:r>
      <w:r>
        <w:rPr>
          <w:rFonts w:hint="eastAsia" w:ascii="仿宋" w:hAnsi="仿宋" w:eastAsia="仿宋" w:cs="仿宋"/>
          <w:kern w:val="2"/>
          <w:sz w:val="24"/>
          <w:szCs w:val="24"/>
          <w:highlight w:val="none"/>
        </w:rPr>
        <w:t>应按照本合同中规定的时间交货和提供服务。如</w:t>
      </w:r>
      <w:r>
        <w:rPr>
          <w:rFonts w:hint="eastAsia" w:ascii="仿宋" w:hAnsi="仿宋" w:eastAsia="仿宋" w:cs="仿宋"/>
          <w:kern w:val="2"/>
          <w:sz w:val="24"/>
          <w:szCs w:val="24"/>
          <w:highlight w:val="none"/>
          <w:lang w:eastAsia="zh-CN"/>
        </w:rPr>
        <w:t>供应商</w:t>
      </w:r>
      <w:r>
        <w:rPr>
          <w:rFonts w:hint="eastAsia" w:ascii="仿宋" w:hAnsi="仿宋" w:eastAsia="仿宋" w:cs="仿宋"/>
          <w:kern w:val="2"/>
          <w:sz w:val="24"/>
          <w:szCs w:val="24"/>
          <w:highlight w:val="none"/>
        </w:rPr>
        <w:t>无正当理由拖延交货，</w:t>
      </w:r>
      <w:r>
        <w:rPr>
          <w:rFonts w:hint="eastAsia" w:ascii="仿宋" w:hAnsi="仿宋" w:eastAsia="仿宋" w:cs="仿宋"/>
          <w:kern w:val="2"/>
          <w:sz w:val="24"/>
          <w:szCs w:val="24"/>
          <w:highlight w:val="none"/>
          <w:lang w:eastAsia="zh-CN"/>
        </w:rPr>
        <w:t>采购方</w:t>
      </w:r>
      <w:r>
        <w:rPr>
          <w:rFonts w:hint="eastAsia" w:ascii="仿宋" w:hAnsi="仿宋" w:eastAsia="仿宋" w:cs="仿宋"/>
          <w:kern w:val="2"/>
          <w:sz w:val="24"/>
          <w:szCs w:val="24"/>
          <w:highlight w:val="none"/>
        </w:rPr>
        <w:t>有权从货款中扣除违约赔偿费而不影响合同项下的其他补救方法。每延迟一天，赔偿费按合同总价款的1%计收，最高赔偿限额为合同总价的5%。如达到最高限额，</w:t>
      </w:r>
      <w:r>
        <w:rPr>
          <w:rFonts w:hint="eastAsia" w:ascii="仿宋" w:hAnsi="仿宋" w:eastAsia="仿宋" w:cs="仿宋"/>
          <w:kern w:val="2"/>
          <w:sz w:val="24"/>
          <w:szCs w:val="24"/>
          <w:highlight w:val="none"/>
          <w:lang w:eastAsia="zh-CN"/>
        </w:rPr>
        <w:t>采购方</w:t>
      </w:r>
      <w:r>
        <w:rPr>
          <w:rFonts w:hint="eastAsia" w:ascii="仿宋" w:hAnsi="仿宋" w:eastAsia="仿宋" w:cs="仿宋"/>
          <w:kern w:val="2"/>
          <w:sz w:val="24"/>
          <w:szCs w:val="24"/>
          <w:highlight w:val="none"/>
        </w:rPr>
        <w:t>有权终止合同并告知省财政厅政府采购处。</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2.</w:t>
      </w:r>
      <w:r>
        <w:rPr>
          <w:rFonts w:hint="eastAsia" w:ascii="仿宋" w:hAnsi="仿宋" w:eastAsia="仿宋" w:cs="仿宋"/>
          <w:kern w:val="2"/>
          <w:sz w:val="24"/>
          <w:szCs w:val="24"/>
          <w:highlight w:val="none"/>
        </w:rPr>
        <w:t>由于儿童服用</w:t>
      </w:r>
      <w:r>
        <w:rPr>
          <w:rFonts w:hint="eastAsia" w:ascii="仿宋" w:hAnsi="仿宋" w:eastAsia="仿宋" w:cs="仿宋"/>
          <w:kern w:val="2"/>
          <w:sz w:val="24"/>
          <w:szCs w:val="24"/>
          <w:highlight w:val="none"/>
          <w:lang w:eastAsia="zh-CN"/>
        </w:rPr>
        <w:t>供应商</w:t>
      </w:r>
      <w:r>
        <w:rPr>
          <w:rFonts w:hint="eastAsia" w:ascii="仿宋" w:hAnsi="仿宋" w:eastAsia="仿宋" w:cs="仿宋"/>
          <w:kern w:val="2"/>
          <w:sz w:val="24"/>
          <w:szCs w:val="24"/>
          <w:highlight w:val="none"/>
        </w:rPr>
        <w:t>所提供的不合格营养包产生的严重不良反应、致病（但儿童自身过敏、疾病或使用不洁餐具等非</w:t>
      </w:r>
      <w:r>
        <w:rPr>
          <w:rFonts w:hint="eastAsia" w:ascii="仿宋" w:hAnsi="仿宋" w:eastAsia="仿宋" w:cs="仿宋"/>
          <w:kern w:val="2"/>
          <w:sz w:val="24"/>
          <w:szCs w:val="24"/>
          <w:highlight w:val="none"/>
          <w:lang w:eastAsia="zh-CN"/>
        </w:rPr>
        <w:t>供应商</w:t>
      </w:r>
      <w:r>
        <w:rPr>
          <w:rFonts w:hint="eastAsia" w:ascii="仿宋" w:hAnsi="仿宋" w:eastAsia="仿宋" w:cs="仿宋"/>
          <w:kern w:val="2"/>
          <w:sz w:val="24"/>
          <w:szCs w:val="24"/>
          <w:highlight w:val="none"/>
        </w:rPr>
        <w:t>原因除外），经甲乙双方确认并经第三方检验后，</w:t>
      </w:r>
      <w:r>
        <w:rPr>
          <w:rFonts w:hint="eastAsia" w:ascii="仿宋" w:hAnsi="仿宋" w:eastAsia="仿宋" w:cs="仿宋"/>
          <w:kern w:val="2"/>
          <w:sz w:val="24"/>
          <w:szCs w:val="24"/>
          <w:highlight w:val="none"/>
          <w:lang w:eastAsia="zh-CN"/>
        </w:rPr>
        <w:t>供应商</w:t>
      </w:r>
      <w:r>
        <w:rPr>
          <w:rFonts w:hint="eastAsia" w:ascii="仿宋" w:hAnsi="仿宋" w:eastAsia="仿宋" w:cs="仿宋"/>
          <w:kern w:val="2"/>
          <w:sz w:val="24"/>
          <w:szCs w:val="24"/>
          <w:highlight w:val="none"/>
        </w:rPr>
        <w:t>应对此负责，立即召回并更换该批产品，对因此造成的所有后果负责，所产生的费用及善后由</w:t>
      </w:r>
      <w:r>
        <w:rPr>
          <w:rFonts w:hint="eastAsia" w:ascii="仿宋" w:hAnsi="仿宋" w:eastAsia="仿宋" w:cs="仿宋"/>
          <w:kern w:val="2"/>
          <w:sz w:val="24"/>
          <w:szCs w:val="24"/>
          <w:highlight w:val="none"/>
          <w:lang w:eastAsia="zh-CN"/>
        </w:rPr>
        <w:t>供应商</w:t>
      </w:r>
      <w:r>
        <w:rPr>
          <w:rFonts w:hint="eastAsia" w:ascii="仿宋" w:hAnsi="仿宋" w:eastAsia="仿宋" w:cs="仿宋"/>
          <w:kern w:val="2"/>
          <w:sz w:val="24"/>
          <w:szCs w:val="24"/>
          <w:highlight w:val="none"/>
        </w:rPr>
        <w:t>承担，并承担由此产生的法律责任。</w:t>
      </w:r>
    </w:p>
    <w:p>
      <w:pPr>
        <w:keepNext w:val="0"/>
        <w:keepLines w:val="0"/>
        <w:pageBreakBefore w:val="0"/>
        <w:numPr>
          <w:ilvl w:val="0"/>
          <w:numId w:val="27"/>
        </w:numPr>
        <w:kinsoku/>
        <w:wordWrap/>
        <w:overflowPunct/>
        <w:topLinePunct w:val="0"/>
        <w:bidi w:val="0"/>
        <w:adjustRightInd w:val="0"/>
        <w:snapToGrid w:val="0"/>
        <w:spacing w:before="93" w:beforeLines="30" w:after="93" w:afterLines="30" w:line="312" w:lineRule="auto"/>
        <w:ind w:left="0" w:leftChars="0" w:firstLine="420" w:firstLineChars="0"/>
        <w:outlineLvl w:val="9"/>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不可抗力</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甲乙双方的任何一方由于不可抗力的原因不能履行合同时，应及时向对方通报不能履行或不能完成履行理由，在取得有关主管机关证明以后，允许延期履行、部分履行或者不履行合同，并根据情况可部分或全部免于承担违约责任。</w:t>
      </w:r>
    </w:p>
    <w:p>
      <w:pPr>
        <w:keepNext w:val="0"/>
        <w:keepLines w:val="0"/>
        <w:pageBreakBefore w:val="0"/>
        <w:numPr>
          <w:ilvl w:val="0"/>
          <w:numId w:val="27"/>
        </w:numPr>
        <w:kinsoku/>
        <w:wordWrap/>
        <w:overflowPunct/>
        <w:topLinePunct w:val="0"/>
        <w:bidi w:val="0"/>
        <w:adjustRightInd w:val="0"/>
        <w:snapToGrid w:val="0"/>
        <w:spacing w:before="93" w:beforeLines="30" w:after="93" w:afterLines="30" w:line="312" w:lineRule="auto"/>
        <w:ind w:left="0" w:leftChars="0" w:firstLine="420" w:firstLineChars="0"/>
        <w:outlineLvl w:val="9"/>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争议解决</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甲乙双方在执行合同中发生争议，应通过协商解决，如协商不成，则通过以下途径解决纠纷：向</w:t>
      </w:r>
      <w:r>
        <w:rPr>
          <w:rFonts w:hint="eastAsia" w:ascii="仿宋" w:hAnsi="仿宋" w:eastAsia="仿宋" w:cs="仿宋"/>
          <w:kern w:val="2"/>
          <w:sz w:val="24"/>
          <w:szCs w:val="24"/>
          <w:highlight w:val="none"/>
          <w:lang w:eastAsia="zh-CN"/>
        </w:rPr>
        <w:t>采购方</w:t>
      </w:r>
      <w:r>
        <w:rPr>
          <w:rFonts w:hint="eastAsia" w:ascii="仿宋" w:hAnsi="仿宋" w:eastAsia="仿宋" w:cs="仿宋"/>
          <w:kern w:val="2"/>
          <w:sz w:val="24"/>
          <w:szCs w:val="24"/>
          <w:highlight w:val="none"/>
        </w:rPr>
        <w:t>所在地人民法院提起诉讼。</w:t>
      </w:r>
    </w:p>
    <w:p>
      <w:pPr>
        <w:keepNext w:val="0"/>
        <w:keepLines w:val="0"/>
        <w:pageBreakBefore w:val="0"/>
        <w:numPr>
          <w:ilvl w:val="0"/>
          <w:numId w:val="27"/>
        </w:numPr>
        <w:kinsoku/>
        <w:wordWrap/>
        <w:overflowPunct/>
        <w:topLinePunct w:val="0"/>
        <w:bidi w:val="0"/>
        <w:adjustRightInd w:val="0"/>
        <w:snapToGrid w:val="0"/>
        <w:spacing w:before="93" w:beforeLines="30" w:after="93" w:afterLines="30" w:line="312" w:lineRule="auto"/>
        <w:ind w:left="0" w:leftChars="0" w:firstLine="420" w:firstLineChars="0"/>
        <w:outlineLvl w:val="9"/>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组成合同的文件</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合同由以下文件构成，如下述文件之间有任何抵触、矛盾或歧义，应按以下顺序解释：</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1</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在采购或合同履行过程中</w:t>
      </w:r>
      <w:r>
        <w:rPr>
          <w:rFonts w:hint="eastAsia" w:ascii="仿宋" w:hAnsi="仿宋" w:eastAsia="仿宋" w:cs="仿宋"/>
          <w:kern w:val="2"/>
          <w:sz w:val="24"/>
          <w:szCs w:val="24"/>
          <w:highlight w:val="none"/>
          <w:lang w:eastAsia="zh-CN"/>
        </w:rPr>
        <w:t>供应商</w:t>
      </w:r>
      <w:r>
        <w:rPr>
          <w:rFonts w:hint="eastAsia" w:ascii="仿宋" w:hAnsi="仿宋" w:eastAsia="仿宋" w:cs="仿宋"/>
          <w:kern w:val="2"/>
          <w:sz w:val="24"/>
          <w:szCs w:val="24"/>
          <w:highlight w:val="none"/>
        </w:rPr>
        <w:t>作出的承诺以及双方协商达成的变更或补充协议</w:t>
      </w:r>
      <w:r>
        <w:rPr>
          <w:rFonts w:hint="eastAsia" w:ascii="仿宋" w:hAnsi="仿宋" w:eastAsia="仿宋" w:cs="仿宋"/>
          <w:kern w:val="2"/>
          <w:sz w:val="24"/>
          <w:szCs w:val="24"/>
          <w:highlight w:val="none"/>
          <w:lang w:eastAsia="zh-CN"/>
        </w:rPr>
        <w:t>。</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2</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本合同协议书</w:t>
      </w:r>
      <w:r>
        <w:rPr>
          <w:rFonts w:hint="eastAsia" w:ascii="仿宋" w:hAnsi="仿宋" w:eastAsia="仿宋" w:cs="仿宋"/>
          <w:kern w:val="2"/>
          <w:sz w:val="24"/>
          <w:szCs w:val="24"/>
          <w:highlight w:val="none"/>
          <w:lang w:eastAsia="zh-CN"/>
        </w:rPr>
        <w:t>。</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3</w:t>
      </w:r>
      <w:r>
        <w:rPr>
          <w:rFonts w:hint="eastAsia" w:ascii="仿宋" w:hAnsi="仿宋" w:eastAsia="仿宋" w:cs="仿宋"/>
          <w:kern w:val="2"/>
          <w:sz w:val="24"/>
          <w:szCs w:val="24"/>
          <w:highlight w:val="none"/>
          <w:lang w:val="en-US" w:eastAsia="zh-CN"/>
        </w:rPr>
        <w:t>.成交</w:t>
      </w:r>
      <w:r>
        <w:rPr>
          <w:rFonts w:hint="eastAsia" w:ascii="仿宋" w:hAnsi="仿宋" w:eastAsia="仿宋" w:cs="仿宋"/>
          <w:kern w:val="2"/>
          <w:sz w:val="24"/>
          <w:szCs w:val="24"/>
          <w:highlight w:val="none"/>
        </w:rPr>
        <w:t>通知书</w:t>
      </w:r>
      <w:r>
        <w:rPr>
          <w:rFonts w:hint="eastAsia" w:ascii="仿宋" w:hAnsi="仿宋" w:eastAsia="仿宋" w:cs="仿宋"/>
          <w:kern w:val="2"/>
          <w:sz w:val="24"/>
          <w:szCs w:val="24"/>
          <w:highlight w:val="none"/>
          <w:lang w:eastAsia="zh-CN"/>
        </w:rPr>
        <w:t>。</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政府采购合同格式条款</w:t>
      </w:r>
      <w:r>
        <w:rPr>
          <w:rFonts w:hint="eastAsia" w:ascii="仿宋" w:hAnsi="仿宋" w:eastAsia="仿宋" w:cs="仿宋"/>
          <w:kern w:val="2"/>
          <w:sz w:val="24"/>
          <w:szCs w:val="24"/>
          <w:highlight w:val="none"/>
          <w:lang w:eastAsia="zh-CN"/>
        </w:rPr>
        <w:t>。</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.竞争性磋商响应</w:t>
      </w:r>
      <w:r>
        <w:rPr>
          <w:rFonts w:hint="eastAsia" w:ascii="仿宋" w:hAnsi="仿宋" w:eastAsia="仿宋" w:cs="仿宋"/>
          <w:kern w:val="2"/>
          <w:sz w:val="24"/>
          <w:szCs w:val="24"/>
          <w:highlight w:val="none"/>
        </w:rPr>
        <w:t>文件</w:t>
      </w:r>
      <w:r>
        <w:rPr>
          <w:rFonts w:hint="eastAsia" w:ascii="仿宋" w:hAnsi="仿宋" w:eastAsia="仿宋" w:cs="仿宋"/>
          <w:kern w:val="2"/>
          <w:sz w:val="24"/>
          <w:szCs w:val="24"/>
          <w:highlight w:val="none"/>
          <w:lang w:eastAsia="zh-CN"/>
        </w:rPr>
        <w:t>。</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6</w:t>
      </w:r>
      <w:r>
        <w:rPr>
          <w:rFonts w:hint="eastAsia" w:ascii="仿宋" w:hAnsi="仿宋" w:eastAsia="仿宋" w:cs="仿宋"/>
          <w:kern w:val="2"/>
          <w:sz w:val="24"/>
          <w:szCs w:val="24"/>
          <w:highlight w:val="none"/>
          <w:lang w:val="en-US" w:eastAsia="zh-CN"/>
        </w:rPr>
        <w:t>.竞争性磋商</w:t>
      </w:r>
      <w:r>
        <w:rPr>
          <w:rFonts w:hint="eastAsia" w:ascii="仿宋" w:hAnsi="仿宋" w:eastAsia="仿宋" w:cs="仿宋"/>
          <w:kern w:val="2"/>
          <w:sz w:val="24"/>
          <w:szCs w:val="24"/>
          <w:highlight w:val="none"/>
        </w:rPr>
        <w:t>文件</w:t>
      </w:r>
      <w:r>
        <w:rPr>
          <w:rFonts w:hint="eastAsia" w:ascii="仿宋" w:hAnsi="仿宋" w:eastAsia="仿宋" w:cs="仿宋"/>
          <w:kern w:val="2"/>
          <w:sz w:val="24"/>
          <w:szCs w:val="24"/>
          <w:highlight w:val="none"/>
          <w:lang w:eastAsia="zh-CN"/>
        </w:rPr>
        <w:t>。</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7</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标准、规范及有关技术文件</w:t>
      </w:r>
      <w:r>
        <w:rPr>
          <w:rFonts w:hint="eastAsia" w:ascii="仿宋" w:hAnsi="仿宋" w:eastAsia="仿宋" w:cs="仿宋"/>
          <w:kern w:val="2"/>
          <w:sz w:val="24"/>
          <w:szCs w:val="24"/>
          <w:highlight w:val="none"/>
          <w:lang w:eastAsia="zh-CN"/>
        </w:rPr>
        <w:t>。</w:t>
      </w:r>
    </w:p>
    <w:p>
      <w:pPr>
        <w:keepNext w:val="0"/>
        <w:keepLines w:val="0"/>
        <w:pageBreakBefore w:val="0"/>
        <w:numPr>
          <w:ilvl w:val="0"/>
          <w:numId w:val="27"/>
        </w:numPr>
        <w:kinsoku/>
        <w:wordWrap/>
        <w:overflowPunct/>
        <w:topLinePunct w:val="0"/>
        <w:bidi w:val="0"/>
        <w:adjustRightInd w:val="0"/>
        <w:snapToGrid w:val="0"/>
        <w:spacing w:before="93" w:beforeLines="30" w:after="93" w:afterLines="30" w:line="312" w:lineRule="auto"/>
        <w:ind w:left="0" w:leftChars="0" w:firstLine="420" w:firstLineChars="0"/>
        <w:outlineLvl w:val="9"/>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合同生效及其他</w:t>
      </w:r>
    </w:p>
    <w:p>
      <w:pPr>
        <w:keepNext w:val="0"/>
        <w:keepLines w:val="0"/>
        <w:pageBreakBefore w:val="0"/>
        <w:kinsoku/>
        <w:wordWrap/>
        <w:overflowPunct/>
        <w:topLinePunct w:val="0"/>
        <w:bidi w:val="0"/>
        <w:adjustRightInd w:val="0"/>
        <w:snapToGrid w:val="0"/>
        <w:spacing w:before="93" w:beforeLines="30" w:after="93" w:afterLines="30" w:line="312" w:lineRule="auto"/>
        <w:ind w:firstLine="480"/>
        <w:outlineLvl w:val="9"/>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本合同经双方签字盖章后生效。合同一式</w:t>
      </w:r>
      <w:r>
        <w:rPr>
          <w:rFonts w:hint="eastAsia" w:ascii="仿宋" w:hAnsi="仿宋" w:eastAsia="仿宋" w:cs="仿宋"/>
          <w:kern w:val="2"/>
          <w:sz w:val="24"/>
          <w:szCs w:val="24"/>
          <w:highlight w:val="none"/>
          <w:lang w:eastAsia="zh-CN"/>
        </w:rPr>
        <w:t>七</w:t>
      </w:r>
      <w:r>
        <w:rPr>
          <w:rFonts w:hint="eastAsia" w:ascii="仿宋" w:hAnsi="仿宋" w:eastAsia="仿宋" w:cs="仿宋"/>
          <w:kern w:val="2"/>
          <w:sz w:val="24"/>
          <w:szCs w:val="24"/>
          <w:highlight w:val="none"/>
        </w:rPr>
        <w:t>份，</w:t>
      </w:r>
      <w:r>
        <w:rPr>
          <w:rFonts w:hint="eastAsia" w:ascii="仿宋" w:hAnsi="仿宋" w:eastAsia="仿宋" w:cs="仿宋"/>
          <w:kern w:val="2"/>
          <w:sz w:val="24"/>
          <w:szCs w:val="24"/>
          <w:highlight w:val="none"/>
          <w:lang w:eastAsia="zh-CN"/>
        </w:rPr>
        <w:t>铜川市</w:t>
      </w:r>
      <w:r>
        <w:rPr>
          <w:rFonts w:hint="eastAsia" w:ascii="仿宋" w:hAnsi="仿宋" w:eastAsia="仿宋" w:cs="仿宋"/>
          <w:kern w:val="2"/>
          <w:sz w:val="24"/>
          <w:szCs w:val="24"/>
          <w:highlight w:val="none"/>
        </w:rPr>
        <w:t>财政</w:t>
      </w:r>
      <w:r>
        <w:rPr>
          <w:rFonts w:hint="eastAsia" w:ascii="仿宋" w:hAnsi="仿宋" w:eastAsia="仿宋" w:cs="仿宋"/>
          <w:kern w:val="2"/>
          <w:sz w:val="24"/>
          <w:szCs w:val="24"/>
          <w:highlight w:val="none"/>
          <w:lang w:eastAsia="zh-CN"/>
        </w:rPr>
        <w:t>局</w:t>
      </w:r>
      <w:r>
        <w:rPr>
          <w:rFonts w:hint="eastAsia" w:ascii="仿宋" w:hAnsi="仿宋" w:eastAsia="仿宋" w:cs="仿宋"/>
          <w:kern w:val="2"/>
          <w:sz w:val="24"/>
          <w:szCs w:val="24"/>
          <w:highlight w:val="none"/>
        </w:rPr>
        <w:t>政府采购处（电子版）</w:t>
      </w:r>
      <w:r>
        <w:rPr>
          <w:rFonts w:hint="eastAsia" w:ascii="仿宋" w:hAnsi="仿宋" w:eastAsia="仿宋" w:cs="仿宋"/>
          <w:kern w:val="2"/>
          <w:sz w:val="24"/>
          <w:szCs w:val="24"/>
          <w:highlight w:val="none"/>
          <w:lang w:eastAsia="zh-CN"/>
        </w:rPr>
        <w:t>一份</w:t>
      </w:r>
      <w:r>
        <w:rPr>
          <w:rFonts w:hint="eastAsia" w:ascii="仿宋" w:hAnsi="仿宋" w:eastAsia="仿宋" w:cs="仿宋"/>
          <w:kern w:val="2"/>
          <w:sz w:val="24"/>
          <w:szCs w:val="24"/>
          <w:highlight w:val="none"/>
        </w:rPr>
        <w:t>、社保处</w:t>
      </w:r>
      <w:r>
        <w:rPr>
          <w:rFonts w:hint="eastAsia" w:ascii="仿宋" w:hAnsi="仿宋" w:eastAsia="仿宋" w:cs="仿宋"/>
          <w:kern w:val="2"/>
          <w:sz w:val="24"/>
          <w:szCs w:val="24"/>
          <w:highlight w:val="none"/>
          <w:lang w:eastAsia="zh-CN"/>
        </w:rPr>
        <w:t>（纸质版）</w:t>
      </w:r>
      <w:r>
        <w:rPr>
          <w:rFonts w:hint="eastAsia" w:ascii="仿宋" w:hAnsi="仿宋" w:eastAsia="仿宋" w:cs="仿宋"/>
          <w:kern w:val="2"/>
          <w:sz w:val="24"/>
          <w:szCs w:val="24"/>
          <w:highlight w:val="none"/>
        </w:rPr>
        <w:t>一份，甲乙双方各两份，采购代理机构一份。</w:t>
      </w:r>
    </w:p>
    <w:p>
      <w:pPr>
        <w:pStyle w:val="2"/>
        <w:pageBreakBefore w:val="0"/>
        <w:bidi w:val="0"/>
        <w:spacing w:line="312" w:lineRule="auto"/>
        <w:ind w:firstLine="480" w:firstLineChars="2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合同执行过程中出现的未尽事宜，双方在不违背合同和</w:t>
      </w:r>
      <w:r>
        <w:rPr>
          <w:rFonts w:hint="eastAsia" w:ascii="仿宋" w:hAnsi="仿宋" w:eastAsia="仿宋" w:cs="仿宋"/>
          <w:kern w:val="2"/>
          <w:sz w:val="24"/>
          <w:szCs w:val="24"/>
          <w:highlight w:val="none"/>
          <w:lang w:eastAsia="zh-CN"/>
        </w:rPr>
        <w:t>磋商文件</w:t>
      </w:r>
      <w:r>
        <w:rPr>
          <w:rFonts w:hint="eastAsia" w:ascii="仿宋" w:hAnsi="仿宋" w:eastAsia="仿宋" w:cs="仿宋"/>
          <w:kern w:val="2"/>
          <w:sz w:val="24"/>
          <w:szCs w:val="24"/>
          <w:highlight w:val="none"/>
        </w:rPr>
        <w:t>的前提下协商解决。协商结果以“纪要”形式作为合同附件，与合同具有同等效力。</w:t>
      </w:r>
    </w:p>
    <w:p>
      <w:pPr>
        <w:rPr>
          <w:rFonts w:hint="eastAsia" w:ascii="仿宋" w:hAnsi="仿宋" w:eastAsia="仿宋" w:cs="仿宋"/>
          <w:kern w:val="2"/>
          <w:sz w:val="24"/>
          <w:szCs w:val="24"/>
          <w:highlight w:val="none"/>
        </w:rPr>
      </w:pPr>
    </w:p>
    <w:p>
      <w:pPr>
        <w:pStyle w:val="2"/>
        <w:rPr>
          <w:rFonts w:hint="eastAsia"/>
        </w:rPr>
      </w:pPr>
    </w:p>
    <w:tbl>
      <w:tblPr>
        <w:tblStyle w:val="38"/>
        <w:tblW w:w="9558" w:type="dxa"/>
        <w:jc w:val="center"/>
        <w:tblLayout w:type="fixed"/>
        <w:tblCellMar>
          <w:top w:w="0" w:type="dxa"/>
          <w:left w:w="108" w:type="dxa"/>
          <w:bottom w:w="0" w:type="dxa"/>
          <w:right w:w="108" w:type="dxa"/>
        </w:tblCellMar>
      </w:tblPr>
      <w:tblGrid>
        <w:gridCol w:w="4715"/>
        <w:gridCol w:w="351"/>
        <w:gridCol w:w="4492"/>
      </w:tblGrid>
      <w:tr>
        <w:tblPrEx>
          <w:tblCellMar>
            <w:top w:w="0" w:type="dxa"/>
            <w:left w:w="108" w:type="dxa"/>
            <w:bottom w:w="0" w:type="dxa"/>
            <w:right w:w="108" w:type="dxa"/>
          </w:tblCellMar>
        </w:tblPrEx>
        <w:trPr>
          <w:trHeight w:val="631" w:hRule="atLeast"/>
          <w:jc w:val="center"/>
        </w:trPr>
        <w:tc>
          <w:tcPr>
            <w:tcW w:w="4715" w:type="dxa"/>
            <w:vAlign w:val="center"/>
          </w:tcPr>
          <w:p>
            <w:pPr>
              <w:pageBreakBefore w:val="0"/>
              <w:bidi w:val="0"/>
              <w:spacing w:line="312" w:lineRule="auto"/>
              <w:ind w:left="1680" w:hanging="1440" w:hangingChars="6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采购方</w:t>
            </w:r>
            <w:r>
              <w:rPr>
                <w:rFonts w:hint="eastAsia" w:ascii="仿宋" w:hAnsi="仿宋" w:eastAsia="仿宋" w:cs="仿宋"/>
                <w:color w:val="auto"/>
                <w:sz w:val="24"/>
                <w:szCs w:val="24"/>
                <w:highlight w:val="none"/>
              </w:rPr>
              <w:t>名称：</w:t>
            </w:r>
          </w:p>
        </w:tc>
        <w:tc>
          <w:tcPr>
            <w:tcW w:w="351" w:type="dxa"/>
            <w:vAlign w:val="center"/>
          </w:tcPr>
          <w:p>
            <w:pPr>
              <w:pageBreakBefore w:val="0"/>
              <w:bidi w:val="0"/>
              <w:spacing w:line="312" w:lineRule="auto"/>
              <w:ind w:left="480"/>
              <w:rPr>
                <w:rFonts w:hint="eastAsia" w:ascii="仿宋" w:hAnsi="仿宋" w:eastAsia="仿宋" w:cs="仿宋"/>
                <w:color w:val="auto"/>
                <w:sz w:val="24"/>
                <w:szCs w:val="24"/>
                <w:highlight w:val="none"/>
              </w:rPr>
            </w:pPr>
          </w:p>
        </w:tc>
        <w:tc>
          <w:tcPr>
            <w:tcW w:w="4492" w:type="dxa"/>
            <w:vAlign w:val="center"/>
          </w:tcPr>
          <w:p>
            <w:pPr>
              <w:pageBreakBefore w:val="0"/>
              <w:bidi w:val="0"/>
              <w:spacing w:line="312" w:lineRule="auto"/>
              <w:ind w:left="1680" w:hanging="1440" w:hangingChars="6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w:t>
            </w:r>
          </w:p>
        </w:tc>
      </w:tr>
      <w:tr>
        <w:tblPrEx>
          <w:tblCellMar>
            <w:top w:w="0" w:type="dxa"/>
            <w:left w:w="108" w:type="dxa"/>
            <w:bottom w:w="0" w:type="dxa"/>
            <w:right w:w="108" w:type="dxa"/>
          </w:tblCellMar>
        </w:tblPrEx>
        <w:trPr>
          <w:trHeight w:val="631" w:hRule="atLeast"/>
          <w:jc w:val="center"/>
        </w:trPr>
        <w:tc>
          <w:tcPr>
            <w:tcW w:w="4715" w:type="dxa"/>
            <w:vAlign w:val="center"/>
          </w:tcPr>
          <w:p>
            <w:pPr>
              <w:pageBreakBefore w:val="0"/>
              <w:bidi w:val="0"/>
              <w:spacing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法定代表人：(盖章)</w:t>
            </w:r>
          </w:p>
        </w:tc>
        <w:tc>
          <w:tcPr>
            <w:tcW w:w="351" w:type="dxa"/>
            <w:vAlign w:val="center"/>
          </w:tcPr>
          <w:p>
            <w:pPr>
              <w:pageBreakBefore w:val="0"/>
              <w:bidi w:val="0"/>
              <w:spacing w:line="312" w:lineRule="auto"/>
              <w:ind w:left="480"/>
              <w:rPr>
                <w:rFonts w:hint="eastAsia" w:ascii="仿宋" w:hAnsi="仿宋" w:eastAsia="仿宋" w:cs="仿宋"/>
                <w:color w:val="auto"/>
                <w:sz w:val="24"/>
                <w:szCs w:val="24"/>
                <w:highlight w:val="none"/>
              </w:rPr>
            </w:pPr>
          </w:p>
        </w:tc>
        <w:tc>
          <w:tcPr>
            <w:tcW w:w="4492" w:type="dxa"/>
            <w:vAlign w:val="center"/>
          </w:tcPr>
          <w:p>
            <w:pPr>
              <w:pageBreakBefore w:val="0"/>
              <w:bidi w:val="0"/>
              <w:spacing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lang w:val="en-US" w:eastAsia="zh-CN"/>
              </w:rPr>
              <w:t>/负责人</w:t>
            </w:r>
            <w:r>
              <w:rPr>
                <w:rFonts w:hint="eastAsia" w:ascii="仿宋" w:hAnsi="仿宋" w:eastAsia="仿宋" w:cs="仿宋"/>
                <w:color w:val="auto"/>
                <w:sz w:val="24"/>
                <w:szCs w:val="24"/>
                <w:highlight w:val="none"/>
              </w:rPr>
              <w:t>：(盖章)</w:t>
            </w:r>
          </w:p>
        </w:tc>
      </w:tr>
      <w:tr>
        <w:tblPrEx>
          <w:tblCellMar>
            <w:top w:w="0" w:type="dxa"/>
            <w:left w:w="108" w:type="dxa"/>
            <w:bottom w:w="0" w:type="dxa"/>
            <w:right w:w="108" w:type="dxa"/>
          </w:tblCellMar>
        </w:tblPrEx>
        <w:trPr>
          <w:trHeight w:val="631" w:hRule="atLeast"/>
          <w:jc w:val="center"/>
        </w:trPr>
        <w:tc>
          <w:tcPr>
            <w:tcW w:w="4715" w:type="dxa"/>
            <w:vAlign w:val="center"/>
          </w:tcPr>
          <w:p>
            <w:pPr>
              <w:pageBreakBefore w:val="0"/>
              <w:bidi w:val="0"/>
              <w:spacing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委托代理人：（签字）</w:t>
            </w:r>
          </w:p>
        </w:tc>
        <w:tc>
          <w:tcPr>
            <w:tcW w:w="351" w:type="dxa"/>
            <w:vAlign w:val="center"/>
          </w:tcPr>
          <w:p>
            <w:pPr>
              <w:pageBreakBefore w:val="0"/>
              <w:bidi w:val="0"/>
              <w:spacing w:line="312" w:lineRule="auto"/>
              <w:ind w:left="480"/>
              <w:rPr>
                <w:rFonts w:hint="eastAsia" w:ascii="仿宋" w:hAnsi="仿宋" w:eastAsia="仿宋" w:cs="仿宋"/>
                <w:color w:val="auto"/>
                <w:sz w:val="24"/>
                <w:szCs w:val="24"/>
                <w:highlight w:val="none"/>
              </w:rPr>
            </w:pPr>
          </w:p>
        </w:tc>
        <w:tc>
          <w:tcPr>
            <w:tcW w:w="4492" w:type="dxa"/>
            <w:vAlign w:val="center"/>
          </w:tcPr>
          <w:p>
            <w:pPr>
              <w:pageBreakBefore w:val="0"/>
              <w:bidi w:val="0"/>
              <w:spacing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委托代理人：（签字）</w:t>
            </w:r>
          </w:p>
        </w:tc>
      </w:tr>
      <w:tr>
        <w:tblPrEx>
          <w:tblCellMar>
            <w:top w:w="0" w:type="dxa"/>
            <w:left w:w="108" w:type="dxa"/>
            <w:bottom w:w="0" w:type="dxa"/>
            <w:right w:w="108" w:type="dxa"/>
          </w:tblCellMar>
        </w:tblPrEx>
        <w:trPr>
          <w:trHeight w:val="631" w:hRule="atLeast"/>
          <w:jc w:val="center"/>
        </w:trPr>
        <w:tc>
          <w:tcPr>
            <w:tcW w:w="4715" w:type="dxa"/>
            <w:vAlign w:val="center"/>
          </w:tcPr>
          <w:p>
            <w:pPr>
              <w:pageBreakBefore w:val="0"/>
              <w:bidi w:val="0"/>
              <w:spacing w:line="312" w:lineRule="auto"/>
              <w:ind w:left="1400" w:hanging="1200" w:hangingChars="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住    所：</w:t>
            </w:r>
          </w:p>
        </w:tc>
        <w:tc>
          <w:tcPr>
            <w:tcW w:w="351" w:type="dxa"/>
            <w:vAlign w:val="center"/>
          </w:tcPr>
          <w:p>
            <w:pPr>
              <w:pageBreakBefore w:val="0"/>
              <w:bidi w:val="0"/>
              <w:spacing w:line="312" w:lineRule="auto"/>
              <w:ind w:left="480"/>
              <w:rPr>
                <w:rFonts w:hint="eastAsia" w:ascii="仿宋" w:hAnsi="仿宋" w:eastAsia="仿宋" w:cs="仿宋"/>
                <w:color w:val="auto"/>
                <w:sz w:val="24"/>
                <w:szCs w:val="24"/>
                <w:highlight w:val="none"/>
              </w:rPr>
            </w:pPr>
          </w:p>
        </w:tc>
        <w:tc>
          <w:tcPr>
            <w:tcW w:w="4492" w:type="dxa"/>
            <w:vAlign w:val="center"/>
          </w:tcPr>
          <w:p>
            <w:pPr>
              <w:pageBreakBefore w:val="0"/>
              <w:bidi w:val="0"/>
              <w:spacing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住    所：</w:t>
            </w:r>
          </w:p>
        </w:tc>
      </w:tr>
      <w:tr>
        <w:tblPrEx>
          <w:tblCellMar>
            <w:top w:w="0" w:type="dxa"/>
            <w:left w:w="108" w:type="dxa"/>
            <w:bottom w:w="0" w:type="dxa"/>
            <w:right w:w="108" w:type="dxa"/>
          </w:tblCellMar>
        </w:tblPrEx>
        <w:trPr>
          <w:trHeight w:val="631" w:hRule="atLeast"/>
          <w:jc w:val="center"/>
        </w:trPr>
        <w:tc>
          <w:tcPr>
            <w:tcW w:w="4715" w:type="dxa"/>
            <w:vAlign w:val="center"/>
          </w:tcPr>
          <w:p>
            <w:pPr>
              <w:pageBreakBefore w:val="0"/>
              <w:bidi w:val="0"/>
              <w:spacing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351" w:type="dxa"/>
            <w:vAlign w:val="center"/>
          </w:tcPr>
          <w:p>
            <w:pPr>
              <w:pageBreakBefore w:val="0"/>
              <w:bidi w:val="0"/>
              <w:spacing w:line="312" w:lineRule="auto"/>
              <w:ind w:left="480"/>
              <w:rPr>
                <w:rFonts w:hint="eastAsia" w:ascii="仿宋" w:hAnsi="仿宋" w:eastAsia="仿宋" w:cs="仿宋"/>
                <w:color w:val="auto"/>
                <w:sz w:val="24"/>
                <w:szCs w:val="24"/>
                <w:highlight w:val="none"/>
              </w:rPr>
            </w:pPr>
          </w:p>
        </w:tc>
        <w:tc>
          <w:tcPr>
            <w:tcW w:w="4492" w:type="dxa"/>
            <w:vAlign w:val="center"/>
          </w:tcPr>
          <w:p>
            <w:pPr>
              <w:pageBreakBefore w:val="0"/>
              <w:bidi w:val="0"/>
              <w:spacing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r>
      <w:tr>
        <w:tblPrEx>
          <w:tblCellMar>
            <w:top w:w="0" w:type="dxa"/>
            <w:left w:w="108" w:type="dxa"/>
            <w:bottom w:w="0" w:type="dxa"/>
            <w:right w:w="108" w:type="dxa"/>
          </w:tblCellMar>
        </w:tblPrEx>
        <w:trPr>
          <w:trHeight w:val="631" w:hRule="atLeast"/>
          <w:jc w:val="center"/>
        </w:trPr>
        <w:tc>
          <w:tcPr>
            <w:tcW w:w="4715" w:type="dxa"/>
            <w:vAlign w:val="center"/>
          </w:tcPr>
          <w:p>
            <w:pPr>
              <w:pageBreakBefore w:val="0"/>
              <w:bidi w:val="0"/>
              <w:spacing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话：</w:t>
            </w:r>
          </w:p>
        </w:tc>
        <w:tc>
          <w:tcPr>
            <w:tcW w:w="351" w:type="dxa"/>
            <w:vAlign w:val="center"/>
          </w:tcPr>
          <w:p>
            <w:pPr>
              <w:pageBreakBefore w:val="0"/>
              <w:bidi w:val="0"/>
              <w:spacing w:line="312" w:lineRule="auto"/>
              <w:ind w:left="480"/>
              <w:rPr>
                <w:rFonts w:hint="eastAsia" w:ascii="仿宋" w:hAnsi="仿宋" w:eastAsia="仿宋" w:cs="仿宋"/>
                <w:color w:val="auto"/>
                <w:sz w:val="24"/>
                <w:szCs w:val="24"/>
                <w:highlight w:val="none"/>
              </w:rPr>
            </w:pPr>
          </w:p>
        </w:tc>
        <w:tc>
          <w:tcPr>
            <w:tcW w:w="4492" w:type="dxa"/>
            <w:vAlign w:val="center"/>
          </w:tcPr>
          <w:p>
            <w:pPr>
              <w:pageBreakBefore w:val="0"/>
              <w:bidi w:val="0"/>
              <w:spacing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话：</w:t>
            </w:r>
          </w:p>
        </w:tc>
      </w:tr>
      <w:tr>
        <w:tblPrEx>
          <w:tblCellMar>
            <w:top w:w="0" w:type="dxa"/>
            <w:left w:w="108" w:type="dxa"/>
            <w:bottom w:w="0" w:type="dxa"/>
            <w:right w:w="108" w:type="dxa"/>
          </w:tblCellMar>
        </w:tblPrEx>
        <w:trPr>
          <w:trHeight w:val="631" w:hRule="atLeast"/>
          <w:jc w:val="center"/>
        </w:trPr>
        <w:tc>
          <w:tcPr>
            <w:tcW w:w="4715" w:type="dxa"/>
            <w:vAlign w:val="center"/>
          </w:tcPr>
          <w:p>
            <w:pPr>
              <w:pageBreakBefore w:val="0"/>
              <w:bidi w:val="0"/>
              <w:spacing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    真：/</w:t>
            </w:r>
          </w:p>
        </w:tc>
        <w:tc>
          <w:tcPr>
            <w:tcW w:w="351" w:type="dxa"/>
            <w:vAlign w:val="center"/>
          </w:tcPr>
          <w:p>
            <w:pPr>
              <w:pageBreakBefore w:val="0"/>
              <w:bidi w:val="0"/>
              <w:spacing w:line="312" w:lineRule="auto"/>
              <w:ind w:left="480"/>
              <w:rPr>
                <w:rFonts w:hint="eastAsia" w:ascii="仿宋" w:hAnsi="仿宋" w:eastAsia="仿宋" w:cs="仿宋"/>
                <w:color w:val="auto"/>
                <w:sz w:val="24"/>
                <w:szCs w:val="24"/>
                <w:highlight w:val="none"/>
              </w:rPr>
            </w:pPr>
          </w:p>
        </w:tc>
        <w:tc>
          <w:tcPr>
            <w:tcW w:w="4492" w:type="dxa"/>
            <w:vAlign w:val="center"/>
          </w:tcPr>
          <w:p>
            <w:pPr>
              <w:pageBreakBefore w:val="0"/>
              <w:bidi w:val="0"/>
              <w:spacing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    真：</w:t>
            </w:r>
          </w:p>
        </w:tc>
      </w:tr>
      <w:tr>
        <w:tblPrEx>
          <w:tblCellMar>
            <w:top w:w="0" w:type="dxa"/>
            <w:left w:w="108" w:type="dxa"/>
            <w:bottom w:w="0" w:type="dxa"/>
            <w:right w:w="108" w:type="dxa"/>
          </w:tblCellMar>
        </w:tblPrEx>
        <w:trPr>
          <w:trHeight w:val="631" w:hRule="atLeast"/>
          <w:jc w:val="center"/>
        </w:trPr>
        <w:tc>
          <w:tcPr>
            <w:tcW w:w="4715" w:type="dxa"/>
            <w:vAlign w:val="center"/>
          </w:tcPr>
          <w:p>
            <w:pPr>
              <w:pageBreakBefore w:val="0"/>
              <w:bidi w:val="0"/>
              <w:spacing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351" w:type="dxa"/>
            <w:vAlign w:val="center"/>
          </w:tcPr>
          <w:p>
            <w:pPr>
              <w:pageBreakBefore w:val="0"/>
              <w:bidi w:val="0"/>
              <w:spacing w:line="312" w:lineRule="auto"/>
              <w:ind w:left="480"/>
              <w:rPr>
                <w:rFonts w:hint="eastAsia" w:ascii="仿宋" w:hAnsi="仿宋" w:eastAsia="仿宋" w:cs="仿宋"/>
                <w:color w:val="auto"/>
                <w:sz w:val="24"/>
                <w:szCs w:val="24"/>
                <w:highlight w:val="none"/>
              </w:rPr>
            </w:pPr>
          </w:p>
        </w:tc>
        <w:tc>
          <w:tcPr>
            <w:tcW w:w="4492" w:type="dxa"/>
            <w:vAlign w:val="center"/>
          </w:tcPr>
          <w:p>
            <w:pPr>
              <w:pageBreakBefore w:val="0"/>
              <w:bidi w:val="0"/>
              <w:spacing w:line="312" w:lineRule="auto"/>
              <w:ind w:left="1400" w:hanging="1200" w:hangingChars="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r>
      <w:tr>
        <w:tblPrEx>
          <w:tblCellMar>
            <w:top w:w="0" w:type="dxa"/>
            <w:left w:w="108" w:type="dxa"/>
            <w:bottom w:w="0" w:type="dxa"/>
            <w:right w:w="108" w:type="dxa"/>
          </w:tblCellMar>
        </w:tblPrEx>
        <w:trPr>
          <w:trHeight w:val="631" w:hRule="atLeast"/>
          <w:jc w:val="center"/>
        </w:trPr>
        <w:tc>
          <w:tcPr>
            <w:tcW w:w="4715" w:type="dxa"/>
            <w:vAlign w:val="center"/>
          </w:tcPr>
          <w:p>
            <w:pPr>
              <w:pageBreakBefore w:val="0"/>
              <w:bidi w:val="0"/>
              <w:spacing w:line="312"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银行帐号：</w:t>
            </w:r>
          </w:p>
        </w:tc>
        <w:tc>
          <w:tcPr>
            <w:tcW w:w="351" w:type="dxa"/>
            <w:vAlign w:val="center"/>
          </w:tcPr>
          <w:p>
            <w:pPr>
              <w:pageBreakBefore w:val="0"/>
              <w:bidi w:val="0"/>
              <w:spacing w:line="312" w:lineRule="auto"/>
              <w:ind w:left="480"/>
              <w:rPr>
                <w:rFonts w:hint="eastAsia" w:ascii="仿宋" w:hAnsi="仿宋" w:eastAsia="仿宋" w:cs="仿宋"/>
                <w:color w:val="auto"/>
                <w:sz w:val="24"/>
                <w:szCs w:val="24"/>
                <w:highlight w:val="none"/>
              </w:rPr>
            </w:pPr>
          </w:p>
        </w:tc>
        <w:tc>
          <w:tcPr>
            <w:tcW w:w="4492" w:type="dxa"/>
            <w:vAlign w:val="center"/>
          </w:tcPr>
          <w:p>
            <w:pPr>
              <w:pageBreakBefore w:val="0"/>
              <w:bidi w:val="0"/>
              <w:spacing w:line="312"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银行帐号：</w:t>
            </w:r>
          </w:p>
        </w:tc>
      </w:tr>
    </w:tbl>
    <w:p>
      <w:pPr>
        <w:pageBreakBefore w:val="0"/>
        <w:bidi w:val="0"/>
        <w:spacing w:line="312" w:lineRule="auto"/>
        <w:rPr>
          <w:rFonts w:hint="eastAsia" w:ascii="仿宋" w:hAnsi="仿宋" w:eastAsia="仿宋" w:cs="仿宋"/>
        </w:rPr>
      </w:pPr>
    </w:p>
    <w:p>
      <w:pPr>
        <w:pageBreakBefore w:val="0"/>
        <w:bidi w:val="0"/>
        <w:spacing w:line="312" w:lineRule="auto"/>
        <w:rPr>
          <w:rFonts w:hint="eastAsia" w:ascii="仿宋" w:hAnsi="仿宋" w:eastAsia="仿宋" w:cs="仿宋"/>
          <w:b/>
          <w:bCs/>
          <w:kern w:val="0"/>
          <w:sz w:val="44"/>
          <w:szCs w:val="44"/>
          <w:highlight w:val="none"/>
          <w:lang w:eastAsia="zh-CN"/>
        </w:rPr>
      </w:pPr>
      <w:bookmarkStart w:id="26" w:name="_Toc17296"/>
      <w:r>
        <w:rPr>
          <w:rFonts w:hint="eastAsia" w:ascii="仿宋" w:hAnsi="仿宋" w:eastAsia="仿宋" w:cs="仿宋"/>
          <w:b/>
          <w:bCs/>
          <w:kern w:val="0"/>
          <w:sz w:val="44"/>
          <w:szCs w:val="44"/>
          <w:highlight w:val="none"/>
          <w:lang w:val="en-US" w:eastAsia="zh-CN"/>
        </w:rPr>
        <w:br w:type="page"/>
      </w:r>
    </w:p>
    <w:p>
      <w:pPr>
        <w:pageBreakBefore w:val="0"/>
        <w:widowControl/>
        <w:numPr>
          <w:ilvl w:val="0"/>
          <w:numId w:val="25"/>
        </w:numPr>
        <w:overflowPunct/>
        <w:bidi w:val="0"/>
        <w:spacing w:afterAutospacing="0" w:line="312" w:lineRule="auto"/>
        <w:ind w:left="0" w:leftChars="0" w:firstLine="0" w:firstLineChars="0"/>
        <w:jc w:val="center"/>
        <w:outlineLvl w:val="0"/>
        <w:rPr>
          <w:rFonts w:hint="eastAsia" w:ascii="仿宋" w:hAnsi="仿宋" w:eastAsia="仿宋" w:cs="仿宋"/>
          <w:b/>
          <w:bCs/>
          <w:kern w:val="0"/>
          <w:sz w:val="44"/>
          <w:szCs w:val="44"/>
          <w:highlight w:val="none"/>
          <w:lang w:eastAsia="zh-CN"/>
        </w:rPr>
      </w:pPr>
      <w:r>
        <w:rPr>
          <w:rFonts w:hint="eastAsia" w:ascii="仿宋" w:hAnsi="仿宋" w:eastAsia="仿宋" w:cs="仿宋"/>
          <w:b/>
          <w:bCs/>
          <w:kern w:val="0"/>
          <w:sz w:val="44"/>
          <w:szCs w:val="44"/>
          <w:highlight w:val="none"/>
          <w:lang w:val="en-US" w:eastAsia="zh-CN"/>
        </w:rPr>
        <w:t>采购</w:t>
      </w:r>
      <w:r>
        <w:rPr>
          <w:rFonts w:hint="eastAsia" w:ascii="仿宋" w:hAnsi="仿宋" w:eastAsia="仿宋" w:cs="仿宋"/>
          <w:b/>
          <w:bCs/>
          <w:kern w:val="0"/>
          <w:sz w:val="44"/>
          <w:szCs w:val="44"/>
          <w:highlight w:val="none"/>
        </w:rPr>
        <w:t>内容</w:t>
      </w:r>
      <w:r>
        <w:rPr>
          <w:rFonts w:hint="eastAsia" w:ascii="仿宋" w:hAnsi="仿宋" w:eastAsia="仿宋" w:cs="仿宋"/>
          <w:b/>
          <w:bCs/>
          <w:kern w:val="0"/>
          <w:sz w:val="44"/>
          <w:szCs w:val="44"/>
          <w:highlight w:val="none"/>
          <w:lang w:eastAsia="zh-CN"/>
        </w:rPr>
        <w:t>及商务要求</w:t>
      </w:r>
      <w:bookmarkEnd w:id="26"/>
    </w:p>
    <w:p>
      <w:pPr>
        <w:pageBreakBefore w:val="0"/>
        <w:widowControl w:val="0"/>
        <w:kinsoku/>
        <w:wordWrap/>
        <w:overflowPunct/>
        <w:topLinePunct w:val="0"/>
        <w:autoSpaceDE/>
        <w:autoSpaceDN/>
        <w:bidi w:val="0"/>
        <w:adjustRightInd/>
        <w:spacing w:line="312" w:lineRule="auto"/>
        <w:textAlignment w:val="auto"/>
        <w:rPr>
          <w:rFonts w:hint="eastAsia" w:ascii="仿宋" w:hAnsi="仿宋" w:eastAsia="仿宋" w:cs="仿宋"/>
          <w:b/>
          <w:bCs/>
          <w:sz w:val="28"/>
          <w:szCs w:val="28"/>
          <w:highlight w:val="none"/>
          <w:lang w:val="en-US" w:eastAsia="zh-CN"/>
        </w:rPr>
      </w:pPr>
    </w:p>
    <w:p>
      <w:pPr>
        <w:pageBreakBefore w:val="0"/>
        <w:numPr>
          <w:ilvl w:val="0"/>
          <w:numId w:val="29"/>
        </w:numPr>
        <w:bidi w:val="0"/>
        <w:spacing w:line="312" w:lineRule="auto"/>
        <w:jc w:val="left"/>
        <w:rPr>
          <w:rFonts w:hint="eastAsia" w:ascii="仿宋" w:hAnsi="仿宋" w:eastAsia="仿宋" w:cs="仿宋"/>
          <w:b/>
          <w:bCs/>
          <w:sz w:val="24"/>
          <w:szCs w:val="24"/>
          <w:lang w:val="en-US" w:eastAsia="zh-CN"/>
        </w:rPr>
      </w:pPr>
      <w:r>
        <w:rPr>
          <w:rFonts w:hint="eastAsia" w:ascii="仿宋" w:hAnsi="仿宋" w:eastAsia="仿宋" w:cs="仿宋"/>
          <w:b/>
          <w:bCs/>
          <w:sz w:val="24"/>
          <w:szCs w:val="24"/>
        </w:rPr>
        <w:t>项目概况</w:t>
      </w:r>
    </w:p>
    <w:p>
      <w:pPr>
        <w:pageBreakBefore w:val="0"/>
        <w:numPr>
          <w:ilvl w:val="0"/>
          <w:numId w:val="0"/>
        </w:numPr>
        <w:bidi w:val="0"/>
        <w:spacing w:line="312"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脱贫地区儿童营养改善项目是为脱贫地区6-24月龄婴幼儿补充辅食营养补充品（以下简称“营养包”），降低脱贫地区婴幼儿贫血率和生长迟缓率，持续改善营养和健康状况，提高家长科学喂养知识水平，保障儿童健康成长的惠民项目。</w:t>
      </w:r>
    </w:p>
    <w:p>
      <w:pPr>
        <w:pageBreakBefore w:val="0"/>
        <w:numPr>
          <w:ilvl w:val="0"/>
          <w:numId w:val="29"/>
        </w:numPr>
        <w:bidi w:val="0"/>
        <w:spacing w:line="312" w:lineRule="auto"/>
        <w:ind w:left="0" w:leftChars="0" w:firstLine="0" w:firstLineChars="0"/>
        <w:jc w:val="left"/>
        <w:rPr>
          <w:rFonts w:hint="eastAsia" w:ascii="仿宋" w:hAnsi="仿宋" w:eastAsia="仿宋" w:cs="仿宋"/>
          <w:b/>
          <w:bCs/>
          <w:sz w:val="24"/>
          <w:szCs w:val="24"/>
          <w:lang w:eastAsia="zh-CN"/>
        </w:rPr>
      </w:pPr>
      <w:r>
        <w:rPr>
          <w:rFonts w:hint="eastAsia" w:ascii="仿宋" w:hAnsi="仿宋" w:eastAsia="仿宋" w:cs="仿宋"/>
          <w:b/>
          <w:bCs/>
          <w:sz w:val="24"/>
          <w:szCs w:val="24"/>
        </w:rPr>
        <w:t>项目预算</w:t>
      </w:r>
    </w:p>
    <w:p>
      <w:pPr>
        <w:pageBreakBefore w:val="0"/>
        <w:numPr>
          <w:ilvl w:val="0"/>
          <w:numId w:val="0"/>
        </w:numPr>
        <w:bidi w:val="0"/>
        <w:spacing w:line="312" w:lineRule="auto"/>
        <w:ind w:leftChars="0"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预算金额：53.34</w:t>
      </w:r>
      <w:r>
        <w:rPr>
          <w:rFonts w:hint="eastAsia" w:ascii="仿宋" w:hAnsi="仿宋" w:eastAsia="仿宋" w:cs="仿宋"/>
          <w:sz w:val="24"/>
          <w:szCs w:val="24"/>
        </w:rPr>
        <w:t>万</w:t>
      </w:r>
      <w:r>
        <w:rPr>
          <w:rFonts w:hint="eastAsia" w:ascii="仿宋" w:hAnsi="仿宋" w:eastAsia="仿宋" w:cs="仿宋"/>
          <w:sz w:val="24"/>
          <w:szCs w:val="24"/>
          <w:lang w:eastAsia="zh-CN"/>
        </w:rPr>
        <w:t>元。</w:t>
      </w:r>
    </w:p>
    <w:p>
      <w:pPr>
        <w:pageBreakBefore w:val="0"/>
        <w:numPr>
          <w:ilvl w:val="0"/>
          <w:numId w:val="29"/>
        </w:numPr>
        <w:bidi w:val="0"/>
        <w:spacing w:line="312" w:lineRule="auto"/>
        <w:ind w:left="0" w:leftChars="0" w:firstLine="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招标内容</w:t>
      </w:r>
    </w:p>
    <w:p>
      <w:pPr>
        <w:pageBreakBefore w:val="0"/>
        <w:numPr>
          <w:ilvl w:val="0"/>
          <w:numId w:val="0"/>
        </w:numPr>
        <w:bidi w:val="0"/>
        <w:spacing w:line="312"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营养包（含培训及配套资料）。配套资料包括但不局限于：培训教材、宣传海报、宣传u盘、使用手册、知情同意书、储存容器、县收货登记单、镇村接收登记本、发放登记册、统计报表、出入库登记表等。</w:t>
      </w:r>
    </w:p>
    <w:p>
      <w:pPr>
        <w:pageBreakBefore w:val="0"/>
        <w:numPr>
          <w:ilvl w:val="0"/>
          <w:numId w:val="29"/>
        </w:numPr>
        <w:bidi w:val="0"/>
        <w:spacing w:line="312" w:lineRule="auto"/>
        <w:ind w:left="0" w:leftChars="0" w:firstLine="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相关需求</w:t>
      </w:r>
    </w:p>
    <w:p>
      <w:pPr>
        <w:pageBreakBefore w:val="0"/>
        <w:bidi w:val="0"/>
        <w:adjustRightInd w:val="0"/>
        <w:snapToGrid w:val="0"/>
        <w:spacing w:line="312" w:lineRule="auto"/>
        <w:ind w:firstLine="480" w:firstLineChars="200"/>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none"/>
          <w:lang w:val="en-US" w:eastAsia="zh-CN" w:bidi="ar-SA"/>
        </w:rPr>
        <w:t>供应商应免费提供以下宣传、培训、资料及物品。具体为：</w:t>
      </w:r>
    </w:p>
    <w:p>
      <w:pPr>
        <w:pageBreakBefore w:val="0"/>
        <w:numPr>
          <w:ilvl w:val="1"/>
          <w:numId w:val="29"/>
        </w:numPr>
        <w:bidi w:val="0"/>
        <w:spacing w:line="312" w:lineRule="auto"/>
        <w:ind w:left="0" w:leftChars="0" w:firstLine="420" w:firstLineChars="175"/>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《培训教材》460本。数量要求：市卫健委5本，市项目办5本，每个县、镇各2本、每村1本。技术要求：纸张70g/m</w:t>
      </w:r>
      <w:r>
        <w:rPr>
          <w:rFonts w:hint="eastAsia" w:ascii="仿宋" w:hAnsi="仿宋" w:eastAsia="仿宋" w:cs="仿宋"/>
          <w:b w:val="0"/>
          <w:bCs w:val="0"/>
          <w:color w:val="000000" w:themeColor="text1"/>
          <w:sz w:val="24"/>
          <w:szCs w:val="24"/>
          <w:highlight w:val="none"/>
          <w:vertAlign w:val="superscript"/>
          <w:lang w:val="en-US" w:eastAsia="zh-CN"/>
          <w14:textFill>
            <w14:solidFill>
              <w14:schemeClr w14:val="tx1"/>
            </w14:solidFill>
          </w14:textFill>
        </w:rPr>
        <w:t>2</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正A4,封面彩印。</w:t>
      </w:r>
    </w:p>
    <w:p>
      <w:pPr>
        <w:pageBreakBefore w:val="0"/>
        <w:numPr>
          <w:ilvl w:val="1"/>
          <w:numId w:val="29"/>
        </w:numPr>
        <w:bidi w:val="0"/>
        <w:spacing w:line="312" w:lineRule="auto"/>
        <w:ind w:left="0" w:leftChars="0" w:firstLine="420" w:firstLineChars="175"/>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《宣传海报》1162份。数量要求：市卫健委5份，市项目办5份，每个县、镇各10份、每村2份。技术要求：200g铜版纸，大对开，860mm×560mm，彩印。</w:t>
      </w:r>
    </w:p>
    <w:p>
      <w:pPr>
        <w:pageBreakBefore w:val="0"/>
        <w:numPr>
          <w:ilvl w:val="1"/>
          <w:numId w:val="29"/>
        </w:numPr>
        <w:bidi w:val="0"/>
        <w:spacing w:line="312" w:lineRule="auto"/>
        <w:ind w:left="0" w:leftChars="0" w:firstLine="420" w:firstLineChars="175"/>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《宣传U盘》418个。数量要求：市卫健委5个，市项目办5个，每个县、镇、村各1个。技术要求：存储空间不小于20G，提前拷贝项目宣传动画、培训教材电子版等内容。</w:t>
      </w:r>
    </w:p>
    <w:p>
      <w:pPr>
        <w:pageBreakBefore w:val="0"/>
        <w:numPr>
          <w:ilvl w:val="1"/>
          <w:numId w:val="29"/>
        </w:numPr>
        <w:bidi w:val="0"/>
        <w:spacing w:line="312" w:lineRule="auto"/>
        <w:ind w:left="0" w:leftChars="0" w:firstLine="420" w:firstLineChars="175"/>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《营养包使用手册》3665册。数量要求：发放对象为婴幼儿家长每人1册，具体数量按婴幼儿数核算。技术要求：70g/㎡正A4纸彩页。</w:t>
      </w:r>
    </w:p>
    <w:p>
      <w:pPr>
        <w:pageBreakBefore w:val="0"/>
        <w:numPr>
          <w:ilvl w:val="1"/>
          <w:numId w:val="29"/>
        </w:numPr>
        <w:bidi w:val="0"/>
        <w:spacing w:line="312" w:lineRule="auto"/>
        <w:ind w:left="0" w:leftChars="0" w:firstLine="420" w:firstLineChars="175"/>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《家长知情同意书》3665张。数量要求：发放对象为婴幼儿家长每人1张，具体数量按婴幼儿数核算。技术要求：50g/㎡正A4纸。</w:t>
      </w:r>
    </w:p>
    <w:p>
      <w:pPr>
        <w:pageBreakBefore w:val="0"/>
        <w:numPr>
          <w:ilvl w:val="1"/>
          <w:numId w:val="29"/>
        </w:numPr>
        <w:bidi w:val="0"/>
        <w:spacing w:line="312" w:lineRule="auto"/>
        <w:ind w:left="0" w:leftChars="0" w:firstLine="420" w:firstLineChars="175"/>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《宣传折页》111795份。数量要求：市、县项目办各10份，镇、村各20份，每婴幼儿家长各1份。技术要求：铜纸板，五折，折后不小于15×25cm,彩印。</w:t>
      </w:r>
    </w:p>
    <w:p>
      <w:pPr>
        <w:pageBreakBefore w:val="0"/>
        <w:numPr>
          <w:ilvl w:val="1"/>
          <w:numId w:val="29"/>
        </w:numPr>
        <w:bidi w:val="0"/>
        <w:spacing w:line="312" w:lineRule="auto"/>
        <w:ind w:left="0" w:leftChars="0" w:firstLine="420" w:firstLineChars="175"/>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开展相关管理与业务人员培训419人。规模要求：每市、县（区）各3人，每乡（镇）、村各1人。培训要求：依托网络组织，具备多次登陆播放、网上答题、学习情况记录等，供应商应拿出年度培训方案，经市级卫生健康行政部门审核后执行。</w:t>
      </w:r>
    </w:p>
    <w:p>
      <w:pPr>
        <w:pageBreakBefore w:val="0"/>
        <w:numPr>
          <w:ilvl w:val="1"/>
          <w:numId w:val="29"/>
        </w:numPr>
        <w:bidi w:val="0"/>
        <w:spacing w:line="312" w:lineRule="auto"/>
        <w:ind w:left="0" w:leftChars="0" w:firstLine="420" w:firstLineChars="175"/>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为每村配备至少为20人×2月用量营养包的塑料储存容器366个（容器材料符合国家食品安全藏储、环保产品要求，无异味）。</w:t>
      </w:r>
    </w:p>
    <w:p>
      <w:pPr>
        <w:pageBreakBefore w:val="0"/>
        <w:numPr>
          <w:ilvl w:val="1"/>
          <w:numId w:val="29"/>
        </w:numPr>
        <w:bidi w:val="0"/>
        <w:spacing w:line="312" w:lineRule="auto"/>
        <w:ind w:left="0" w:leftChars="0" w:firstLine="420" w:firstLineChars="175"/>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为信息统计提供支持。</w:t>
      </w:r>
    </w:p>
    <w:p>
      <w:pPr>
        <w:pageBreakBefore w:val="0"/>
        <w:numPr>
          <w:ilvl w:val="0"/>
          <w:numId w:val="0"/>
        </w:numPr>
        <w:bidi w:val="0"/>
        <w:spacing w:line="312" w:lineRule="auto"/>
        <w:ind w:firstLine="480" w:firstLineChars="200"/>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印制</w:t>
      </w:r>
    </w:p>
    <w:p>
      <w:pPr>
        <w:pageBreakBefore w:val="0"/>
        <w:numPr>
          <w:ilvl w:val="2"/>
          <w:numId w:val="29"/>
        </w:numPr>
        <w:bidi w:val="0"/>
        <w:spacing w:line="312" w:lineRule="auto"/>
        <w:ind w:left="0" w:leftChars="0" w:firstLine="420" w:firstLineChars="175"/>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《铜川市妇幼保健院脱贫地区儿童营养改善项目营养包收货(验收)登记单》(县妇幼保健机构使用)4本，每县1本，每本20张，一式四联(一张指一式四联)，单面印制，规格：A4纸。</w:t>
      </w:r>
    </w:p>
    <w:p>
      <w:pPr>
        <w:pageBreakBefore w:val="0"/>
        <w:numPr>
          <w:ilvl w:val="2"/>
          <w:numId w:val="29"/>
        </w:numPr>
        <w:bidi w:val="0"/>
        <w:spacing w:line="312" w:lineRule="auto"/>
        <w:ind w:left="0" w:leftChars="0" w:firstLine="420" w:firstLineChars="175"/>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《铜川市妇幼保健院脱贫地区儿童营养改善项目营养包接收登记单》(乡镇卫生院、村卫生室使用)404本，每乡(镇)1本，每村1本，每本20张，一式二联(一张指一式二联)，单面印制，规格：A4纸。</w:t>
      </w:r>
    </w:p>
    <w:p>
      <w:pPr>
        <w:pageBreakBefore w:val="0"/>
        <w:numPr>
          <w:ilvl w:val="2"/>
          <w:numId w:val="29"/>
        </w:numPr>
        <w:bidi w:val="0"/>
        <w:spacing w:line="312" w:lineRule="auto"/>
        <w:ind w:left="0" w:leftChars="0" w:firstLine="420" w:firstLineChars="175"/>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《铜川市妇幼保健院脱贫地区儿童营养改善项目营养包发放登记表》，镇、村具体发放人员使用3665张，每婴幼儿1张，每本50张，单面印制，规格：A4纸。</w:t>
      </w:r>
    </w:p>
    <w:p>
      <w:pPr>
        <w:pageBreakBefore w:val="0"/>
        <w:numPr>
          <w:ilvl w:val="2"/>
          <w:numId w:val="29"/>
        </w:numPr>
        <w:bidi w:val="0"/>
        <w:spacing w:line="312" w:lineRule="auto"/>
        <w:ind w:left="0" w:leftChars="0" w:firstLine="420" w:firstLineChars="175"/>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《铜川市妇幼保健院脱贫地区儿童营养改善项目营养包发放统计报表》17本，市1本，每县4本，每本20张，每张10格，一式三联(一张指一式三联)，单面印刷并使用无碳复写纸，规格：A4纸。</w:t>
      </w:r>
    </w:p>
    <w:p>
      <w:pPr>
        <w:pageBreakBefore w:val="0"/>
        <w:numPr>
          <w:ilvl w:val="2"/>
          <w:numId w:val="29"/>
        </w:numPr>
        <w:bidi w:val="0"/>
        <w:spacing w:line="312" w:lineRule="auto"/>
        <w:ind w:left="0" w:leftChars="0" w:firstLine="420" w:firstLineChars="175"/>
        <w:jc w:val="left"/>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《铜川市妇幼保健院脱贫地区儿童营养改善项目营养包发放出入库登记表》118本，每县1本，每镇3本，每本20张，每张10格，规格：A4纸。</w:t>
      </w:r>
    </w:p>
    <w:p>
      <w:pPr>
        <w:pageBreakBefore w:val="0"/>
        <w:numPr>
          <w:ilvl w:val="0"/>
          <w:numId w:val="0"/>
        </w:numPr>
        <w:bidi w:val="0"/>
        <w:spacing w:line="312" w:lineRule="auto"/>
        <w:ind w:firstLine="480" w:firstLineChars="20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说明：涉及上述要求的宣传资料由采购人提供基本模版、内容，成交供应商根据基本模版及内容进行设计(所有宣传资料须包含“国家免费”字样)，成交供应商报价须包含上述所有产品(及配套服务)。签订合同前，成交供应商必须提供上述产品样本各一套，经采购人确认合格后再签订合同，上述产品与营养包首次供货时同步发放至各点。</w:t>
      </w:r>
    </w:p>
    <w:p>
      <w:pPr>
        <w:pageBreakBefore w:val="0"/>
        <w:numPr>
          <w:ilvl w:val="0"/>
          <w:numId w:val="29"/>
        </w:numPr>
        <w:bidi w:val="0"/>
        <w:spacing w:line="312" w:lineRule="auto"/>
        <w:ind w:left="0" w:leftChars="0" w:firstLine="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其他</w:t>
      </w:r>
    </w:p>
    <w:p>
      <w:pPr>
        <w:pageBreakBefore w:val="0"/>
        <w:numPr>
          <w:ilvl w:val="1"/>
          <w:numId w:val="29"/>
        </w:numPr>
        <w:bidi w:val="0"/>
        <w:spacing w:line="312" w:lineRule="auto"/>
        <w:ind w:left="0" w:leftChars="0" w:firstLine="420" w:firstLineChars="175"/>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供应商在投标时应提供所有产品、包装和宣传材料的样品。</w:t>
      </w:r>
    </w:p>
    <w:p>
      <w:pPr>
        <w:pageBreakBefore w:val="0"/>
        <w:numPr>
          <w:ilvl w:val="1"/>
          <w:numId w:val="29"/>
        </w:numPr>
        <w:bidi w:val="0"/>
        <w:spacing w:line="312" w:lineRule="auto"/>
        <w:ind w:left="0" w:leftChars="0" w:firstLine="420" w:firstLineChars="175"/>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成交供应商应在接到中标通知书后7日内到省级主管部门办理产品的企业标准备案手续。</w:t>
      </w:r>
    </w:p>
    <w:p>
      <w:pPr>
        <w:pageBreakBefore w:val="0"/>
        <w:numPr>
          <w:ilvl w:val="0"/>
          <w:numId w:val="29"/>
        </w:numPr>
        <w:bidi w:val="0"/>
        <w:spacing w:line="312" w:lineRule="auto"/>
        <w:ind w:left="0" w:leftChars="0" w:firstLine="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技术要求及标准</w:t>
      </w:r>
    </w:p>
    <w:p>
      <w:pPr>
        <w:pageBreakBefore w:val="0"/>
        <w:numPr>
          <w:ilvl w:val="0"/>
          <w:numId w:val="0"/>
        </w:numPr>
        <w:bidi w:val="0"/>
        <w:spacing w:line="312" w:lineRule="auto"/>
        <w:ind w:leftChars="0"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项目营养包质量应当符合《食品安全国家标准 辅食营养补充品》(GB 22570-2014)的要求。</w:t>
      </w:r>
    </w:p>
    <w:p>
      <w:pPr>
        <w:pageBreakBefore w:val="0"/>
        <w:numPr>
          <w:ilvl w:val="1"/>
          <w:numId w:val="29"/>
        </w:numPr>
        <w:bidi w:val="0"/>
        <w:spacing w:line="312" w:lineRule="auto"/>
        <w:ind w:left="0" w:leftChars="0" w:firstLine="422" w:firstLineChars="175"/>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项目营养包质量规格书</w:t>
      </w:r>
    </w:p>
    <w:p>
      <w:pPr>
        <w:pageBreakBefore w:val="0"/>
        <w:numPr>
          <w:ilvl w:val="2"/>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产品：婴幼儿辅食营养包。</w:t>
      </w:r>
    </w:p>
    <w:p>
      <w:pPr>
        <w:pageBreakBefore w:val="0"/>
        <w:numPr>
          <w:ilvl w:val="2"/>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包装规格：12g/袋×30袋/盒。</w:t>
      </w:r>
    </w:p>
    <w:p>
      <w:pPr>
        <w:pageBreakBefore w:val="0"/>
        <w:numPr>
          <w:ilvl w:val="2"/>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适宜人群：6-36月龄婴幼儿。</w:t>
      </w:r>
    </w:p>
    <w:p>
      <w:pPr>
        <w:pageBreakBefore w:val="0"/>
        <w:numPr>
          <w:ilvl w:val="2"/>
          <w:numId w:val="29"/>
        </w:numPr>
        <w:bidi w:val="0"/>
        <w:spacing w:line="312" w:lineRule="auto"/>
        <w:ind w:left="0" w:leftChars="0" w:firstLine="420" w:firstLineChars="175"/>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保质期：24个月。</w:t>
      </w:r>
    </w:p>
    <w:p>
      <w:pPr>
        <w:pageBreakBefore w:val="0"/>
        <w:numPr>
          <w:ilvl w:val="2"/>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感官要求：淡黄色粉状或微粒状，松散无结块，具有本品特有的滋味和气味，无异味和不良气味，不应有正常视力可见的外来异物，易冲调成均匀稀薄糊状。</w:t>
      </w:r>
    </w:p>
    <w:p>
      <w:pPr>
        <w:pageBreakBefore w:val="0"/>
        <w:numPr>
          <w:ilvl w:val="2"/>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营养成分：</w:t>
      </w:r>
    </w:p>
    <w:p>
      <w:pPr>
        <w:pageBreakBefore w:val="0"/>
        <w:numPr>
          <w:ilvl w:val="0"/>
          <w:numId w:val="0"/>
        </w:numPr>
        <w:bidi w:val="0"/>
        <w:spacing w:line="312" w:lineRule="auto"/>
        <w:ind w:left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5272405" cy="2284095"/>
            <wp:effectExtent l="0" t="0" r="4445" b="1905"/>
            <wp:docPr id="10" name="图片 1" descr="1665712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665712182(1)"/>
                    <pic:cNvPicPr>
                      <a:picLocks noChangeAspect="1"/>
                    </pic:cNvPicPr>
                  </pic:nvPicPr>
                  <pic:blipFill>
                    <a:blip r:embed="rId10"/>
                    <a:srcRect t="1640"/>
                    <a:stretch>
                      <a:fillRect/>
                    </a:stretch>
                  </pic:blipFill>
                  <pic:spPr>
                    <a:xfrm>
                      <a:off x="0" y="0"/>
                      <a:ext cx="5272405" cy="2284095"/>
                    </a:xfrm>
                    <a:prstGeom prst="rect">
                      <a:avLst/>
                    </a:prstGeom>
                    <a:noFill/>
                    <a:ln>
                      <a:noFill/>
                    </a:ln>
                  </pic:spPr>
                </pic:pic>
              </a:graphicData>
            </a:graphic>
          </wp:inline>
        </w:drawing>
      </w:r>
    </w:p>
    <w:p>
      <w:pPr>
        <w:pageBreakBefore w:val="0"/>
        <w:numPr>
          <w:ilvl w:val="2"/>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其他指标要求：</w:t>
      </w:r>
    </w:p>
    <w:p>
      <w:pPr>
        <w:pageBreakBefore w:val="0"/>
        <w:numPr>
          <w:ilvl w:val="0"/>
          <w:numId w:val="0"/>
        </w:numPr>
        <w:bidi w:val="0"/>
        <w:spacing w:line="312"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5220970" cy="3120390"/>
            <wp:effectExtent l="0" t="0" r="17780" b="3810"/>
            <wp:docPr id="8" name="图片 2" descr="166571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665712359"/>
                    <pic:cNvPicPr>
                      <a:picLocks noChangeAspect="1"/>
                    </pic:cNvPicPr>
                  </pic:nvPicPr>
                  <pic:blipFill>
                    <a:blip r:embed="rId11"/>
                    <a:stretch>
                      <a:fillRect/>
                    </a:stretch>
                  </pic:blipFill>
                  <pic:spPr>
                    <a:xfrm>
                      <a:off x="0" y="0"/>
                      <a:ext cx="5220970" cy="3120390"/>
                    </a:xfrm>
                    <a:prstGeom prst="rect">
                      <a:avLst/>
                    </a:prstGeom>
                    <a:noFill/>
                    <a:ln>
                      <a:noFill/>
                    </a:ln>
                  </pic:spPr>
                </pic:pic>
              </a:graphicData>
            </a:graphic>
          </wp:inline>
        </w:drawing>
      </w:r>
    </w:p>
    <w:p>
      <w:pPr>
        <w:pageBreakBefore w:val="0"/>
        <w:numPr>
          <w:ilvl w:val="1"/>
          <w:numId w:val="29"/>
        </w:numPr>
        <w:bidi w:val="0"/>
        <w:spacing w:line="312" w:lineRule="auto"/>
        <w:ind w:left="0" w:leftChars="0" w:firstLine="422" w:firstLineChars="175"/>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项目营养包配料要求</w:t>
      </w:r>
    </w:p>
    <w:p>
      <w:pPr>
        <w:pageBreakBefore w:val="0"/>
        <w:numPr>
          <w:ilvl w:val="2"/>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食物基质：应当选用非转基因的食品原料。每袋营养包中应含I类速溶豆粉至少 8.4 克，其质量须符合《速溶豆粉和豆奶粉》(GB/T 18738-2006)标准中的I类速溶豆粉要求及相应的食品安全标准。I类速溶豆粉应作为营养包中大豆蛋白的全部来源。</w:t>
      </w:r>
    </w:p>
    <w:p>
      <w:pPr>
        <w:pageBreakBefore w:val="0"/>
        <w:numPr>
          <w:ilvl w:val="2"/>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维生素和矿物质：</w:t>
      </w:r>
    </w:p>
    <w:p>
      <w:pPr>
        <w:pageBreakBefore w:val="0"/>
        <w:numPr>
          <w:ilvl w:val="0"/>
          <w:numId w:val="0"/>
        </w:numPr>
        <w:bidi w:val="0"/>
        <w:spacing w:line="312"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5272405" cy="3417570"/>
            <wp:effectExtent l="0" t="0" r="4445" b="11430"/>
            <wp:docPr id="9" name="图片 3" descr="166571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665712605(1)"/>
                    <pic:cNvPicPr>
                      <a:picLocks noChangeAspect="1"/>
                    </pic:cNvPicPr>
                  </pic:nvPicPr>
                  <pic:blipFill>
                    <a:blip r:embed="rId12"/>
                    <a:stretch>
                      <a:fillRect/>
                    </a:stretch>
                  </pic:blipFill>
                  <pic:spPr>
                    <a:xfrm>
                      <a:off x="0" y="0"/>
                      <a:ext cx="5272405" cy="3417570"/>
                    </a:xfrm>
                    <a:prstGeom prst="rect">
                      <a:avLst/>
                    </a:prstGeom>
                    <a:noFill/>
                    <a:ln>
                      <a:noFill/>
                    </a:ln>
                  </pic:spPr>
                </pic:pic>
              </a:graphicData>
            </a:graphic>
          </wp:inline>
        </w:drawing>
      </w:r>
    </w:p>
    <w:p>
      <w:pPr>
        <w:pageBreakBefore w:val="0"/>
        <w:numPr>
          <w:ilvl w:val="1"/>
          <w:numId w:val="29"/>
        </w:numPr>
        <w:bidi w:val="0"/>
        <w:spacing w:line="312" w:lineRule="auto"/>
        <w:ind w:left="0" w:leftChars="0" w:firstLine="422" w:firstLineChars="175"/>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包装及标签标识要求</w:t>
      </w:r>
    </w:p>
    <w:p>
      <w:pPr>
        <w:pageBreakBefore w:val="0"/>
        <w:numPr>
          <w:ilvl w:val="2"/>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包装材料要求。</w:t>
      </w:r>
    </w:p>
    <w:p>
      <w:pPr>
        <w:pageBreakBefore w:val="0"/>
        <w:numPr>
          <w:ilvl w:val="3"/>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内包装材质：采用食品包装用塑料与铝箔复合袋，材质质量应当符合《食品包装用塑料与铝箔复合膜、袋》(GB/T 28118-2011)的要求及相应的食品安全标准，其中铝层厚度不低于7微米。</w:t>
      </w:r>
    </w:p>
    <w:p>
      <w:pPr>
        <w:pageBreakBefore w:val="0"/>
        <w:numPr>
          <w:ilvl w:val="3"/>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纸盒：采用至少300g/㎡规格的白卡纸制作，用于包装30袋营养包，白卡纸质量应当符合《涂布纸和纸板 涂布白卡纸》(GB/T 10335.3-2004)的要求。</w:t>
      </w:r>
    </w:p>
    <w:p>
      <w:pPr>
        <w:pageBreakBefore w:val="0"/>
        <w:numPr>
          <w:ilvl w:val="2"/>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标识内容要求。</w:t>
      </w:r>
    </w:p>
    <w:p>
      <w:pPr>
        <w:pageBreakBefore w:val="0"/>
        <w:numPr>
          <w:ilvl w:val="3"/>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应当符合《食品安全国家标准辅食营养补充品》(GB22570-2014)、《食品安全国家标准 预包装食品标签通则》(GB7718-2011)、《食品安全国家标准预包装特殊膳食用食品标签》(GB13432-2013)标识要求。具体要求如下：</w:t>
      </w:r>
    </w:p>
    <w:p>
      <w:pPr>
        <w:pageBreakBefore w:val="0"/>
        <w:numPr>
          <w:ilvl w:val="0"/>
          <w:numId w:val="0"/>
        </w:numPr>
        <w:bidi w:val="0"/>
        <w:spacing w:line="312"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儿童营养改善项目专用。</w:t>
      </w:r>
    </w:p>
    <w:p>
      <w:pPr>
        <w:pageBreakBefore w:val="0"/>
        <w:numPr>
          <w:ilvl w:val="0"/>
          <w:numId w:val="0"/>
        </w:numPr>
        <w:bidi w:val="0"/>
        <w:spacing w:line="312"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产品名称：婴幼儿辅食营养包(辅食营养补充品)。</w:t>
      </w:r>
    </w:p>
    <w:p>
      <w:pPr>
        <w:pageBreakBefore w:val="0"/>
        <w:numPr>
          <w:ilvl w:val="0"/>
          <w:numId w:val="0"/>
        </w:numPr>
        <w:bidi w:val="0"/>
        <w:spacing w:line="312"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配料表：企业根据营养包实际配料并按GB7718-2011和GB13432-2013列出。</w:t>
      </w:r>
    </w:p>
    <w:p>
      <w:pPr>
        <w:pageBreakBefore w:val="0"/>
        <w:numPr>
          <w:ilvl w:val="0"/>
          <w:numId w:val="0"/>
        </w:numPr>
        <w:bidi w:val="0"/>
        <w:spacing w:line="312"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适宜人群：6-36月龄婴幼儿。</w:t>
      </w:r>
    </w:p>
    <w:p>
      <w:pPr>
        <w:pageBreakBefore w:val="0"/>
        <w:numPr>
          <w:ilvl w:val="0"/>
          <w:numId w:val="0"/>
        </w:numPr>
        <w:bidi w:val="0"/>
        <w:spacing w:line="312"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净含量/规格：360g(12g×30袋)。</w:t>
      </w:r>
    </w:p>
    <w:p>
      <w:pPr>
        <w:pageBreakBefore w:val="0"/>
        <w:numPr>
          <w:ilvl w:val="0"/>
          <w:numId w:val="0"/>
        </w:numPr>
        <w:bidi w:val="0"/>
        <w:spacing w:line="312"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产品标准号：GB 22570。</w:t>
      </w:r>
    </w:p>
    <w:p>
      <w:pPr>
        <w:pageBreakBefore w:val="0"/>
        <w:numPr>
          <w:ilvl w:val="0"/>
          <w:numId w:val="0"/>
        </w:numPr>
        <w:bidi w:val="0"/>
        <w:spacing w:line="312"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食用方法及食用量：每日1袋，拌入婴幼儿辅食中或直接以温开水调成糊状食用。(附使用示意图)。</w:t>
      </w:r>
    </w:p>
    <w:p>
      <w:pPr>
        <w:pageBreakBefore w:val="0"/>
        <w:numPr>
          <w:ilvl w:val="0"/>
          <w:numId w:val="0"/>
        </w:numPr>
        <w:bidi w:val="0"/>
        <w:spacing w:line="312"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贮存条件：置于室内阴凉干燥处保存。</w:t>
      </w:r>
    </w:p>
    <w:p>
      <w:pPr>
        <w:pageBreakBefore w:val="0"/>
        <w:numPr>
          <w:ilvl w:val="0"/>
          <w:numId w:val="0"/>
        </w:numPr>
        <w:bidi w:val="0"/>
        <w:spacing w:line="312"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注意事项：本品不能代替母乳及婴幼儿辅助食品;本品添加多种微量营养素，与其他同类产品同时食用时应当注意用量。</w:t>
      </w:r>
    </w:p>
    <w:p>
      <w:pPr>
        <w:pageBreakBefore w:val="0"/>
        <w:numPr>
          <w:ilvl w:val="0"/>
          <w:numId w:val="0"/>
        </w:numPr>
        <w:bidi w:val="0"/>
        <w:spacing w:line="312"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生产商：(名称、地址、联系电话)。</w:t>
      </w:r>
    </w:p>
    <w:p>
      <w:pPr>
        <w:pageBreakBefore w:val="0"/>
        <w:numPr>
          <w:ilvl w:val="0"/>
          <w:numId w:val="0"/>
        </w:numPr>
        <w:bidi w:val="0"/>
        <w:spacing w:line="312"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营养成分表：</w:t>
      </w:r>
    </w:p>
    <w:p>
      <w:pPr>
        <w:pageBreakBefore w:val="0"/>
        <w:numPr>
          <w:ilvl w:val="0"/>
          <w:numId w:val="0"/>
        </w:numPr>
        <w:bidi w:val="0"/>
        <w:spacing w:line="312" w:lineRule="auto"/>
        <w:ind w:firstLine="480" w:firstLineChars="20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4400550" cy="4581525"/>
            <wp:effectExtent l="0" t="0" r="0" b="9525"/>
            <wp:docPr id="11" name="图片 4" descr="1665713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1665713549(1)"/>
                    <pic:cNvPicPr>
                      <a:picLocks noChangeAspect="1"/>
                    </pic:cNvPicPr>
                  </pic:nvPicPr>
                  <pic:blipFill>
                    <a:blip r:embed="rId13"/>
                    <a:stretch>
                      <a:fillRect/>
                    </a:stretch>
                  </pic:blipFill>
                  <pic:spPr>
                    <a:xfrm>
                      <a:off x="0" y="0"/>
                      <a:ext cx="4400550" cy="4581525"/>
                    </a:xfrm>
                    <a:prstGeom prst="rect">
                      <a:avLst/>
                    </a:prstGeom>
                    <a:noFill/>
                    <a:ln>
                      <a:noFill/>
                    </a:ln>
                  </pic:spPr>
                </pic:pic>
              </a:graphicData>
            </a:graphic>
          </wp:inline>
        </w:drawing>
      </w:r>
    </w:p>
    <w:p>
      <w:pPr>
        <w:pageBreakBefore w:val="0"/>
        <w:numPr>
          <w:ilvl w:val="3"/>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项目专用包装应当以项目名称为主，生产企业标识为辅。</w:t>
      </w:r>
    </w:p>
    <w:p>
      <w:pPr>
        <w:pageBreakBefore w:val="0"/>
        <w:numPr>
          <w:ilvl w:val="3"/>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以图文并茂的方式详细说明营养包用法。</w:t>
      </w:r>
    </w:p>
    <w:p>
      <w:pPr>
        <w:pageBreakBefore w:val="0"/>
        <w:numPr>
          <w:ilvl w:val="2"/>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小袋标识。产品名称，并醒目标识“儿童营养改善项目专用”字样。</w:t>
      </w:r>
    </w:p>
    <w:p>
      <w:pPr>
        <w:pageBreakBefore w:val="0"/>
        <w:numPr>
          <w:ilvl w:val="2"/>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外盒标识。在醒目位置标识“儿童营养改善项目专用”和“国家免费”字样、主办单位名称、生产商、产品名称、类别、配料、营养成分表及含量声称、适用人群、批号、生产日期、保质期、贮存条件、注意事项、图表性标识食用方法和食用量、净含量/规格、厂商地址、电话等。</w:t>
      </w:r>
    </w:p>
    <w:p>
      <w:pPr>
        <w:pageBreakBefore w:val="0"/>
        <w:numPr>
          <w:ilvl w:val="2"/>
          <w:numId w:val="29"/>
        </w:numPr>
        <w:bidi w:val="0"/>
        <w:spacing w:line="312" w:lineRule="auto"/>
        <w:ind w:left="0" w:leftChars="0" w:firstLine="420" w:firstLineChars="17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外箱标识。醒目位置标识“儿童营养改善项目专用”和“国家免费”字样、主办单位名称、生产商、产品名称、净含量(盒/箱x  袋/盒，重量 g)、生产日期和/或批号、厂商地址、电话。</w:t>
      </w:r>
    </w:p>
    <w:p>
      <w:pPr>
        <w:pageBreakBefore w:val="0"/>
        <w:numPr>
          <w:ilvl w:val="0"/>
          <w:numId w:val="29"/>
        </w:numPr>
        <w:bidi w:val="0"/>
        <w:spacing w:line="312" w:lineRule="auto"/>
        <w:ind w:left="0" w:leftChars="0" w:firstLine="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企业生产和服务要求</w:t>
      </w:r>
    </w:p>
    <w:p>
      <w:pPr>
        <w:pageBreakBefore w:val="0"/>
        <w:numPr>
          <w:ilvl w:val="1"/>
          <w:numId w:val="29"/>
        </w:numPr>
        <w:bidi w:val="0"/>
        <w:spacing w:line="312" w:lineRule="auto"/>
        <w:ind w:left="0" w:leftChars="0" w:firstLine="420" w:firstLineChars="175"/>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kern w:val="2"/>
          <w:sz w:val="24"/>
          <w:szCs w:val="24"/>
          <w:lang w:val="en-US" w:eastAsia="zh-CN" w:bidi="ar-SA"/>
        </w:rPr>
        <w:t>生产要求</w:t>
      </w:r>
    </w:p>
    <w:p>
      <w:pPr>
        <w:pageBreakBefore w:val="0"/>
        <w:numPr>
          <w:ilvl w:val="2"/>
          <w:numId w:val="29"/>
        </w:numPr>
        <w:bidi w:val="0"/>
        <w:spacing w:line="312" w:lineRule="auto"/>
        <w:ind w:left="0" w:leftChars="0" w:firstLine="420" w:firstLineChars="175"/>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建立并运行全面的食品安全管理体系、质量管理体系、食品安全防御性计划。</w:t>
      </w:r>
    </w:p>
    <w:p>
      <w:pPr>
        <w:pageBreakBefore w:val="0"/>
        <w:numPr>
          <w:ilvl w:val="2"/>
          <w:numId w:val="29"/>
        </w:numPr>
        <w:bidi w:val="0"/>
        <w:spacing w:line="312" w:lineRule="auto"/>
        <w:ind w:left="0" w:leftChars="0" w:firstLine="420" w:firstLineChars="175"/>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生产企业必须具备《食品安全国家标准 辅食营养补充品》（GB 22570-2014）技术要求的检测能力，包括感官、蛋白质、钙、铁、锌、维生素A、维生素D、维生素 B1、维生素B2、叶酸、维生素B12、铅、总砷、硝酸盐、黄曲霉毒素B1和黄曲霉毒素M1；脲酶活性；菌落总数、大肠菌群、沙门氏菌。</w:t>
      </w:r>
    </w:p>
    <w:p>
      <w:pPr>
        <w:pageBreakBefore w:val="0"/>
        <w:numPr>
          <w:ilvl w:val="2"/>
          <w:numId w:val="29"/>
        </w:numPr>
        <w:bidi w:val="0"/>
        <w:spacing w:line="312" w:lineRule="auto"/>
        <w:ind w:left="0" w:leftChars="0" w:firstLine="420" w:firstLineChars="175"/>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提供项目产品检测报告。</w:t>
      </w:r>
    </w:p>
    <w:p>
      <w:pPr>
        <w:pageBreakBefore w:val="0"/>
        <w:numPr>
          <w:ilvl w:val="0"/>
          <w:numId w:val="0"/>
        </w:numPr>
        <w:bidi w:val="0"/>
        <w:spacing w:line="312" w:lineRule="auto"/>
        <w:ind w:firstLine="480" w:firstLineChars="200"/>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按以下要求，在项目实施后，需提供项目营养包的检验报告：</w:t>
      </w:r>
    </w:p>
    <w:p>
      <w:pPr>
        <w:pageBreakBefore w:val="0"/>
        <w:numPr>
          <w:ilvl w:val="3"/>
          <w:numId w:val="29"/>
        </w:numPr>
        <w:bidi w:val="0"/>
        <w:spacing w:line="312" w:lineRule="auto"/>
        <w:ind w:left="0" w:leftChars="0" w:firstLine="420" w:firstLineChars="175"/>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批次出厂检验报告。每批次检验报告项目必须包括：感官、蛋白质、钙、铁、锌、维生素A、维生素D、维生素B1、维生素B2、叶酸、维生素B12、铅、总砷、硝酸盐、黄曲霉毒素 B1和/或黄曲霉毒素M1、脲酶活性、菌落总数、大肠菌群、沙门氏菌。</w:t>
      </w:r>
    </w:p>
    <w:p>
      <w:pPr>
        <w:pageBreakBefore w:val="0"/>
        <w:numPr>
          <w:ilvl w:val="3"/>
          <w:numId w:val="29"/>
        </w:numPr>
        <w:bidi w:val="0"/>
        <w:spacing w:line="312" w:lineRule="auto"/>
        <w:ind w:left="0" w:leftChars="0" w:firstLine="420" w:firstLineChars="175"/>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型式检验报告。每半年1次，第1次提供报告时间为开始履约供应项目营养包的前3个月内，按项目产品的相关标准要求对项目营养包进行全项检验，并提供由有资质的第三方食品检验机构出具的检验报告。</w:t>
      </w:r>
    </w:p>
    <w:p>
      <w:pPr>
        <w:pageBreakBefore w:val="0"/>
        <w:numPr>
          <w:ilvl w:val="2"/>
          <w:numId w:val="29"/>
        </w:numPr>
        <w:bidi w:val="0"/>
        <w:spacing w:line="312" w:lineRule="auto"/>
        <w:ind w:left="0" w:leftChars="0" w:firstLine="420" w:firstLineChars="175"/>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应按国家法律法规的规定组织生产，保障产品质量并对产品质量负责。</w:t>
      </w:r>
    </w:p>
    <w:p>
      <w:pPr>
        <w:pageBreakBefore w:val="0"/>
        <w:numPr>
          <w:ilvl w:val="2"/>
          <w:numId w:val="29"/>
        </w:numPr>
        <w:bidi w:val="0"/>
        <w:spacing w:line="312" w:lineRule="auto"/>
        <w:ind w:left="0" w:leftChars="0" w:firstLine="420" w:firstLineChars="175"/>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项目营养包须符合清真食品要求。</w:t>
      </w:r>
    </w:p>
    <w:p>
      <w:pPr>
        <w:pageBreakBefore w:val="0"/>
        <w:numPr>
          <w:ilvl w:val="1"/>
          <w:numId w:val="29"/>
        </w:numPr>
        <w:bidi w:val="0"/>
        <w:spacing w:line="312" w:lineRule="auto"/>
        <w:ind w:left="0" w:leftChars="0" w:firstLine="420" w:firstLineChars="175"/>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kern w:val="2"/>
          <w:sz w:val="24"/>
          <w:szCs w:val="24"/>
          <w:lang w:val="en-US" w:eastAsia="zh-CN" w:bidi="ar-SA"/>
        </w:rPr>
        <w:t>服务要求</w:t>
      </w:r>
    </w:p>
    <w:p>
      <w:pPr>
        <w:pageBreakBefore w:val="0"/>
        <w:numPr>
          <w:ilvl w:val="2"/>
          <w:numId w:val="29"/>
        </w:numPr>
        <w:bidi w:val="0"/>
        <w:spacing w:line="312" w:lineRule="auto"/>
        <w:ind w:left="0" w:leftChars="0" w:firstLine="420" w:firstLineChars="175"/>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成交供应商应当按照采购合同要求负责运送项目产品至指定地点。为保障营养包安全有效，营养包生产后应在3个月内配送。</w:t>
      </w:r>
    </w:p>
    <w:p>
      <w:pPr>
        <w:pageBreakBefore w:val="0"/>
        <w:numPr>
          <w:ilvl w:val="2"/>
          <w:numId w:val="29"/>
        </w:numPr>
        <w:bidi w:val="0"/>
        <w:spacing w:line="312" w:lineRule="auto"/>
        <w:ind w:left="0" w:leftChars="0" w:firstLine="420" w:firstLineChars="175"/>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成交供应商首次配送产品时，提供符合储存食品要求、防潮防鼠防漏的产品保藏设备，如塑料储存箱等容器，容器储存量约为20人×2月用量。</w:t>
      </w:r>
    </w:p>
    <w:p>
      <w:pPr>
        <w:pageBreakBefore w:val="0"/>
        <w:numPr>
          <w:ilvl w:val="2"/>
          <w:numId w:val="29"/>
        </w:numPr>
        <w:bidi w:val="0"/>
        <w:spacing w:line="312" w:lineRule="auto"/>
        <w:ind w:left="0" w:leftChars="0" w:firstLine="420" w:firstLineChars="175"/>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成交供应商在供货过程中，营养包出现包装破损、标签不清、污损等问题，应当无条件退货。在保质期内，营养包出现感官等质量问题，接收方有权要求退货，原则上终止供货合同。若判定为不安全食品，应按国家相关法规处置，予以召回。</w:t>
      </w:r>
    </w:p>
    <w:p>
      <w:pPr>
        <w:pageBreakBefore w:val="0"/>
        <w:numPr>
          <w:ilvl w:val="2"/>
          <w:numId w:val="29"/>
        </w:numPr>
        <w:bidi w:val="0"/>
        <w:spacing w:line="312" w:lineRule="auto"/>
        <w:ind w:left="0" w:leftChars="0" w:firstLine="420" w:firstLineChars="175"/>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成交供应商提供24小时电话咨询服务，解答营养包食用中遇到的问题。</w:t>
      </w:r>
    </w:p>
    <w:p>
      <w:pPr>
        <w:pageBreakBefore w:val="0"/>
        <w:numPr>
          <w:ilvl w:val="0"/>
          <w:numId w:val="29"/>
        </w:numPr>
        <w:bidi w:val="0"/>
        <w:spacing w:line="312" w:lineRule="auto"/>
        <w:ind w:left="0" w:leftChars="0" w:firstLine="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投标送样要求</w:t>
      </w:r>
    </w:p>
    <w:p>
      <w:pPr>
        <w:pageBreakBefore w:val="0"/>
        <w:numPr>
          <w:ilvl w:val="0"/>
          <w:numId w:val="0"/>
        </w:numPr>
        <w:bidi w:val="0"/>
        <w:spacing w:line="312" w:lineRule="auto"/>
        <w:ind w:firstLine="480" w:firstLineChars="200"/>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kern w:val="2"/>
          <w:sz w:val="24"/>
          <w:szCs w:val="24"/>
          <w:lang w:val="en-US" w:eastAsia="zh-CN" w:bidi="ar-SA"/>
        </w:rPr>
        <w:t>供应商须提供满足磋商文件要求的投标营养包封样样品（完整包装）2份，封样签上应当有企业质量负责人签字并加盖企业公章，每份 2 盒（12g/袋×30 袋），投标时还须提供包装纸箱样品1个；与响应文件一起递交至采购代理公司，供应商提供的样品均由代理机构统一保管，不再退还。</w:t>
      </w:r>
    </w:p>
    <w:p>
      <w:pPr>
        <w:pageBreakBefore w:val="0"/>
        <w:numPr>
          <w:ilvl w:val="0"/>
          <w:numId w:val="29"/>
        </w:numPr>
        <w:bidi w:val="0"/>
        <w:spacing w:line="312" w:lineRule="auto"/>
        <w:ind w:left="0" w:leftChars="0" w:firstLine="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产品验收</w:t>
      </w:r>
    </w:p>
    <w:p>
      <w:pPr>
        <w:pageBreakBefore w:val="0"/>
        <w:numPr>
          <w:ilvl w:val="0"/>
          <w:numId w:val="0"/>
        </w:numPr>
        <w:bidi w:val="0"/>
        <w:spacing w:line="312" w:lineRule="auto"/>
        <w:ind w:firstLine="480" w:firstLineChars="200"/>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按《食品安全国家标准 辅食营养补充品》（GB 22570-2014）和中标产品的企业标准进行验收。</w:t>
      </w:r>
    </w:p>
    <w:p>
      <w:pPr>
        <w:pageBreakBefore w:val="0"/>
        <w:numPr>
          <w:ilvl w:val="0"/>
          <w:numId w:val="29"/>
        </w:numPr>
        <w:bidi w:val="0"/>
        <w:spacing w:line="312" w:lineRule="auto"/>
        <w:ind w:left="0" w:leftChars="0" w:firstLine="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采购数量、交货期及交货地点</w:t>
      </w:r>
    </w:p>
    <w:p>
      <w:pPr>
        <w:pageBreakBefore w:val="0"/>
        <w:numPr>
          <w:ilvl w:val="0"/>
          <w:numId w:val="0"/>
        </w:numPr>
        <w:bidi w:val="0"/>
        <w:spacing w:line="312" w:lineRule="auto"/>
        <w:ind w:firstLine="480" w:firstLineChars="200"/>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53.34万元全部用于营养包项目采购，采购数量不低于43980盒，结算数量以实际采购数量为准。供应商须按照“</w:t>
      </w:r>
      <w:r>
        <w:rPr>
          <w:rFonts w:hint="eastAsia" w:ascii="仿宋" w:hAnsi="仿宋" w:eastAsia="仿宋" w:cs="仿宋"/>
          <w:b w:val="0"/>
          <w:bCs w:val="0"/>
          <w:kern w:val="2"/>
          <w:sz w:val="24"/>
          <w:szCs w:val="24"/>
          <w:lang w:val="zh-CN" w:eastAsia="zh-CN" w:bidi="ar-SA"/>
        </w:rPr>
        <w:t>第四部分</w:t>
      </w:r>
      <w:r>
        <w:rPr>
          <w:rFonts w:hint="eastAsia" w:ascii="仿宋" w:hAnsi="仿宋" w:eastAsia="仿宋" w:cs="仿宋"/>
          <w:b w:val="0"/>
          <w:bCs w:val="0"/>
          <w:kern w:val="2"/>
          <w:sz w:val="24"/>
          <w:szCs w:val="24"/>
          <w:lang w:val="en-US" w:eastAsia="zh-CN" w:bidi="ar-SA"/>
        </w:rPr>
        <w:t xml:space="preserve"> 采购</w:t>
      </w:r>
      <w:r>
        <w:rPr>
          <w:rFonts w:hint="eastAsia" w:ascii="仿宋" w:hAnsi="仿宋" w:eastAsia="仿宋" w:cs="仿宋"/>
          <w:b w:val="0"/>
          <w:bCs w:val="0"/>
          <w:kern w:val="2"/>
          <w:sz w:val="24"/>
          <w:szCs w:val="24"/>
          <w:lang w:val="zh-CN" w:eastAsia="zh-CN" w:bidi="ar-SA"/>
        </w:rPr>
        <w:t>内容及商务要求</w:t>
      </w:r>
      <w:r>
        <w:rPr>
          <w:rFonts w:hint="eastAsia" w:ascii="仿宋" w:hAnsi="仿宋" w:eastAsia="仿宋" w:cs="仿宋"/>
          <w:b w:val="0"/>
          <w:bCs w:val="0"/>
          <w:kern w:val="2"/>
          <w:sz w:val="24"/>
          <w:szCs w:val="24"/>
          <w:lang w:val="en-US" w:eastAsia="zh-CN" w:bidi="ar-SA"/>
        </w:rPr>
        <w:t>”中的规格对婴幼儿辅食营养包（包括相关营养包使用说明的宣传资料）进行投标报价。</w:t>
      </w:r>
    </w:p>
    <w:bookmarkEnd w:id="25"/>
    <w:p>
      <w:pPr>
        <w:pageBreakBefore w:val="0"/>
        <w:bidi w:val="0"/>
        <w:spacing w:line="312" w:lineRule="auto"/>
        <w:rPr>
          <w:rFonts w:hint="eastAsia" w:ascii="仿宋" w:hAnsi="仿宋" w:eastAsia="仿宋" w:cs="仿宋"/>
          <w:b/>
          <w:sz w:val="44"/>
          <w:szCs w:val="44"/>
          <w:highlight w:val="none"/>
        </w:rPr>
      </w:pPr>
      <w:bookmarkStart w:id="27" w:name="_Toc21054"/>
      <w:bookmarkStart w:id="28" w:name="_Toc16778"/>
      <w:bookmarkStart w:id="29" w:name="_Toc11608"/>
      <w:bookmarkStart w:id="30" w:name="_Toc23598"/>
      <w:bookmarkStart w:id="31" w:name="_Toc30044"/>
    </w:p>
    <w:p>
      <w:pPr>
        <w:rPr>
          <w:rFonts w:hint="eastAsia" w:ascii="仿宋" w:hAnsi="仿宋" w:eastAsia="仿宋" w:cs="仿宋"/>
          <w:b/>
          <w:sz w:val="44"/>
          <w:szCs w:val="44"/>
          <w:highlight w:val="none"/>
        </w:rPr>
      </w:pPr>
      <w:r>
        <w:rPr>
          <w:rFonts w:hint="eastAsia" w:ascii="仿宋" w:hAnsi="仿宋" w:eastAsia="仿宋" w:cs="仿宋"/>
          <w:b/>
          <w:sz w:val="44"/>
          <w:szCs w:val="44"/>
          <w:highlight w:val="none"/>
        </w:rPr>
        <w:br w:type="page"/>
      </w:r>
    </w:p>
    <w:p>
      <w:pPr>
        <w:pageBreakBefore w:val="0"/>
        <w:numPr>
          <w:ilvl w:val="0"/>
          <w:numId w:val="25"/>
        </w:numPr>
        <w:overflowPunct/>
        <w:bidi w:val="0"/>
        <w:spacing w:afterAutospacing="0" w:line="312" w:lineRule="auto"/>
        <w:ind w:left="0" w:leftChars="0" w:right="0" w:rightChars="0" w:firstLine="0" w:firstLineChars="0"/>
        <w:jc w:val="center"/>
        <w:outlineLvl w:val="0"/>
        <w:rPr>
          <w:rFonts w:hint="eastAsia" w:ascii="仿宋" w:hAnsi="仿宋" w:eastAsia="仿宋" w:cs="仿宋"/>
          <w:b/>
          <w:sz w:val="44"/>
          <w:szCs w:val="44"/>
          <w:highlight w:val="none"/>
        </w:rPr>
      </w:pPr>
      <w:r>
        <w:rPr>
          <w:rFonts w:hint="eastAsia" w:ascii="仿宋" w:hAnsi="仿宋" w:eastAsia="仿宋" w:cs="仿宋"/>
          <w:b/>
          <w:sz w:val="44"/>
          <w:szCs w:val="44"/>
          <w:highlight w:val="none"/>
        </w:rPr>
        <w:t>评审办法及标准</w:t>
      </w:r>
      <w:bookmarkEnd w:id="27"/>
    </w:p>
    <w:p>
      <w:pPr>
        <w:pStyle w:val="2"/>
        <w:pageBreakBefore w:val="0"/>
        <w:overflowPunct/>
        <w:bidi w:val="0"/>
        <w:spacing w:line="312" w:lineRule="auto"/>
        <w:rPr>
          <w:rFonts w:hint="eastAsia" w:ascii="仿宋" w:hAnsi="仿宋" w:eastAsia="仿宋" w:cs="仿宋"/>
          <w:highlight w:val="none"/>
        </w:rPr>
      </w:pPr>
    </w:p>
    <w:p>
      <w:pPr>
        <w:pageBreakBefore w:val="0"/>
        <w:numPr>
          <w:ilvl w:val="0"/>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0" w:firstLine="0"/>
        <w:rPr>
          <w:rFonts w:hint="eastAsia" w:ascii="仿宋" w:hAnsi="仿宋" w:eastAsia="仿宋" w:cs="仿宋"/>
          <w:b/>
          <w:bCs/>
          <w:sz w:val="24"/>
          <w:highlight w:val="none"/>
          <w:lang w:val="zh-CN"/>
        </w:rPr>
      </w:pPr>
      <w:bookmarkStart w:id="32" w:name="_Toc44767170"/>
      <w:r>
        <w:rPr>
          <w:rFonts w:hint="eastAsia" w:ascii="仿宋" w:hAnsi="仿宋" w:eastAsia="仿宋" w:cs="仿宋"/>
          <w:b/>
          <w:bCs/>
          <w:sz w:val="24"/>
          <w:highlight w:val="none"/>
          <w:lang w:val="zh-CN"/>
        </w:rPr>
        <w:t>评审方法</w:t>
      </w:r>
    </w:p>
    <w:p>
      <w:pPr>
        <w:pageBreakBefore w:val="0"/>
        <w:tabs>
          <w:tab w:val="left" w:pos="0"/>
          <w:tab w:val="left" w:pos="210"/>
          <w:tab w:val="left" w:pos="420"/>
          <w:tab w:val="left" w:pos="630"/>
          <w:tab w:val="left" w:pos="840"/>
          <w:tab w:val="left" w:pos="105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按照《中华人民共和国政府采购法》、中华人民共和国2015年第658号国务院令--《中华人民共和国政府采购法实施条例》、中华人民共和国财政部财库〔2014〕214号文件《政府采购竞争性磋商采购方式管理暂行办法》和中华人民共和国财政部财库〔2015〕124号文件《关于政府采购竞争性磋商采购方式管理暂行办法有关问题的补充通知》的规定，竞争性磋商小组采用综合评分法对提交最后报价的供应商的响应文件和最后报价进行综合评分，按照评审得分由高到低顺序推荐3名成交候选供应商。</w:t>
      </w:r>
    </w:p>
    <w:p>
      <w:pPr>
        <w:pageBreakBefore w:val="0"/>
        <w:numPr>
          <w:ilvl w:val="0"/>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0" w:firstLine="0"/>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评审程序</w:t>
      </w:r>
      <w:bookmarkEnd w:id="32"/>
    </w:p>
    <w:p>
      <w:pPr>
        <w:pageBreakBefore w:val="0"/>
        <w:numPr>
          <w:ilvl w:val="1"/>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0" w:firstLine="482" w:firstLineChars="200"/>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响应文件初步评审</w:t>
      </w:r>
    </w:p>
    <w:p>
      <w:pPr>
        <w:pageBreakBefore w:val="0"/>
        <w:numPr>
          <w:ilvl w:val="2"/>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基本资格审查</w:t>
      </w:r>
    </w:p>
    <w:p>
      <w:pPr>
        <w:pageBreakBefore w:val="0"/>
        <w:tabs>
          <w:tab w:val="left" w:pos="0"/>
          <w:tab w:val="left" w:pos="210"/>
          <w:tab w:val="left" w:pos="420"/>
          <w:tab w:val="left" w:pos="630"/>
          <w:tab w:val="left" w:pos="840"/>
          <w:tab w:val="left" w:pos="105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按下表所列举的审查标准对供应商的基本资格条件进行审查，供应商若有一项不合格，即判定其基本资格条件审查结果为不合格，将不具备磋商资格，按无效响应文件处理。</w:t>
      </w:r>
    </w:p>
    <w:p>
      <w:pPr>
        <w:pageBreakBefore w:val="0"/>
        <w:tabs>
          <w:tab w:val="left" w:pos="0"/>
          <w:tab w:val="left" w:pos="210"/>
          <w:tab w:val="left" w:pos="420"/>
          <w:tab w:val="left" w:pos="630"/>
          <w:tab w:val="left" w:pos="840"/>
          <w:tab w:val="left" w:pos="105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未通过资格审查的供应商，不得进入后续磋商环节。</w:t>
      </w:r>
    </w:p>
    <w:p>
      <w:pPr>
        <w:pageBreakBefore w:val="0"/>
        <w:tabs>
          <w:tab w:val="left" w:pos="0"/>
          <w:tab w:val="left" w:pos="210"/>
          <w:tab w:val="left" w:pos="420"/>
          <w:tab w:val="left" w:pos="630"/>
          <w:tab w:val="left" w:pos="840"/>
          <w:tab w:val="left" w:pos="1050"/>
        </w:tabs>
        <w:kinsoku/>
        <w:bidi w:val="0"/>
        <w:adjustRightInd w:val="0"/>
        <w:snapToGrid w:val="0"/>
        <w:spacing w:line="312" w:lineRule="auto"/>
        <w:ind w:firstLine="482" w:firstLineChars="200"/>
        <w:jc w:val="center"/>
        <w:rPr>
          <w:rFonts w:hint="eastAsia" w:ascii="仿宋" w:hAnsi="仿宋" w:eastAsia="仿宋" w:cs="仿宋"/>
          <w:b/>
          <w:bCs/>
          <w:sz w:val="24"/>
          <w:highlight w:val="none"/>
        </w:rPr>
      </w:pPr>
    </w:p>
    <w:p>
      <w:pPr>
        <w:pageBreakBefore w:val="0"/>
        <w:tabs>
          <w:tab w:val="left" w:pos="0"/>
          <w:tab w:val="left" w:pos="210"/>
          <w:tab w:val="left" w:pos="420"/>
          <w:tab w:val="left" w:pos="630"/>
          <w:tab w:val="left" w:pos="840"/>
          <w:tab w:val="left" w:pos="1050"/>
        </w:tabs>
        <w:kinsoku/>
        <w:bidi w:val="0"/>
        <w:adjustRightInd w:val="0"/>
        <w:snapToGrid w:val="0"/>
        <w:spacing w:line="312" w:lineRule="auto"/>
        <w:ind w:firstLine="482" w:firstLineChars="200"/>
        <w:jc w:val="center"/>
        <w:rPr>
          <w:rFonts w:hint="eastAsia" w:ascii="仿宋" w:hAnsi="仿宋" w:eastAsia="仿宋" w:cs="仿宋"/>
          <w:highlight w:val="none"/>
        </w:rPr>
      </w:pPr>
      <w:r>
        <w:rPr>
          <w:rFonts w:hint="eastAsia" w:ascii="仿宋" w:hAnsi="仿宋" w:eastAsia="仿宋" w:cs="仿宋"/>
          <w:b/>
          <w:bCs/>
          <w:sz w:val="24"/>
          <w:highlight w:val="none"/>
        </w:rPr>
        <w:t>基本资格审查标准</w:t>
      </w:r>
    </w:p>
    <w:tbl>
      <w:tblPr>
        <w:tblStyle w:val="38"/>
        <w:tblpPr w:leftFromText="180" w:rightFromText="180" w:vertAnchor="text" w:horzAnchor="page" w:tblpX="1450" w:tblpY="410"/>
        <w:tblOverlap w:val="never"/>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8"/>
        <w:gridCol w:w="6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758" w:type="dxa"/>
            <w:noWrap w:val="0"/>
            <w:vAlign w:val="center"/>
          </w:tcPr>
          <w:p>
            <w:pPr>
              <w:pageBreakBefore w:val="0"/>
              <w:kinsoku/>
              <w:bidi w:val="0"/>
              <w:adjustRightInd w:val="0"/>
              <w:snapToGrid w:val="0"/>
              <w:spacing w:line="312" w:lineRule="auto"/>
              <w:jc w:val="center"/>
              <w:rPr>
                <w:rFonts w:hint="eastAsia" w:ascii="仿宋" w:hAnsi="仿宋" w:eastAsia="仿宋" w:cs="仿宋"/>
                <w:b/>
                <w:sz w:val="24"/>
                <w:highlight w:val="none"/>
              </w:rPr>
            </w:pPr>
            <w:r>
              <w:rPr>
                <w:rFonts w:hint="eastAsia" w:ascii="仿宋" w:hAnsi="仿宋" w:eastAsia="仿宋" w:cs="仿宋"/>
                <w:b/>
                <w:sz w:val="24"/>
                <w:highlight w:val="none"/>
              </w:rPr>
              <w:t>评审要素</w:t>
            </w:r>
          </w:p>
        </w:tc>
        <w:tc>
          <w:tcPr>
            <w:tcW w:w="6481" w:type="dxa"/>
            <w:noWrap w:val="0"/>
            <w:vAlign w:val="center"/>
          </w:tcPr>
          <w:p>
            <w:pPr>
              <w:pageBreakBefore w:val="0"/>
              <w:kinsoku/>
              <w:bidi w:val="0"/>
              <w:adjustRightInd w:val="0"/>
              <w:snapToGrid w:val="0"/>
              <w:spacing w:line="312" w:lineRule="auto"/>
              <w:jc w:val="center"/>
              <w:rPr>
                <w:rFonts w:hint="eastAsia" w:ascii="仿宋" w:hAnsi="仿宋" w:eastAsia="仿宋" w:cs="仿宋"/>
                <w:b/>
                <w:sz w:val="24"/>
                <w:highlight w:val="none"/>
              </w:rPr>
            </w:pPr>
            <w:r>
              <w:rPr>
                <w:rFonts w:hint="eastAsia" w:ascii="仿宋" w:hAnsi="仿宋" w:eastAsia="仿宋" w:cs="仿宋"/>
                <w:b/>
                <w:sz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2758" w:type="dxa"/>
            <w:noWrap w:val="0"/>
            <w:vAlign w:val="center"/>
          </w:tcPr>
          <w:p>
            <w:pPr>
              <w:pageBreakBefore w:val="0"/>
              <w:tabs>
                <w:tab w:val="left" w:pos="0"/>
              </w:tabs>
              <w:kinsoku/>
              <w:bidi w:val="0"/>
              <w:adjustRightInd w:val="0"/>
              <w:snapToGrid w:val="0"/>
              <w:spacing w:line="312" w:lineRule="auto"/>
              <w:jc w:val="center"/>
              <w:rPr>
                <w:rFonts w:hint="eastAsia" w:ascii="仿宋" w:hAnsi="仿宋" w:eastAsia="仿宋" w:cs="仿宋"/>
                <w:szCs w:val="21"/>
                <w:highlight w:val="none"/>
              </w:rPr>
            </w:pPr>
            <w:r>
              <w:rPr>
                <w:rFonts w:hint="eastAsia" w:ascii="仿宋" w:hAnsi="仿宋" w:eastAsia="仿宋" w:cs="仿宋"/>
                <w:kern w:val="0"/>
                <w:szCs w:val="21"/>
                <w:highlight w:val="none"/>
              </w:rPr>
              <w:t>供应商资质条件</w:t>
            </w:r>
          </w:p>
        </w:tc>
        <w:tc>
          <w:tcPr>
            <w:tcW w:w="6481" w:type="dxa"/>
            <w:noWrap w:val="0"/>
            <w:vAlign w:val="center"/>
          </w:tcPr>
          <w:p>
            <w:pPr>
              <w:pageBreakBefore w:val="0"/>
              <w:tabs>
                <w:tab w:val="left" w:pos="0"/>
              </w:tabs>
              <w:kinsoku/>
              <w:bidi w:val="0"/>
              <w:adjustRightInd w:val="0"/>
              <w:snapToGrid w:val="0"/>
              <w:spacing w:line="312" w:lineRule="auto"/>
              <w:jc w:val="left"/>
              <w:rPr>
                <w:rFonts w:hint="eastAsia" w:ascii="仿宋" w:hAnsi="仿宋" w:eastAsia="仿宋" w:cs="仿宋"/>
                <w:szCs w:val="21"/>
                <w:highlight w:val="none"/>
              </w:rPr>
            </w:pPr>
            <w:r>
              <w:rPr>
                <w:rFonts w:hint="eastAsia" w:ascii="仿宋" w:hAnsi="仿宋" w:eastAsia="仿宋" w:cs="仿宋"/>
                <w:szCs w:val="21"/>
                <w:highlight w:val="none"/>
              </w:rPr>
              <w:t>符合供应商须知前附表第</w:t>
            </w:r>
            <w:r>
              <w:rPr>
                <w:rFonts w:hint="eastAsia" w:ascii="仿宋" w:hAnsi="仿宋" w:eastAsia="仿宋" w:cs="仿宋"/>
                <w:szCs w:val="21"/>
                <w:highlight w:val="none"/>
                <w:lang w:val="en-US" w:eastAsia="zh-CN"/>
              </w:rPr>
              <w:t>1.4</w:t>
            </w:r>
            <w:r>
              <w:rPr>
                <w:rFonts w:hint="eastAsia" w:ascii="仿宋" w:hAnsi="仿宋" w:eastAsia="仿宋" w:cs="仿宋"/>
                <w:szCs w:val="21"/>
                <w:highlight w:val="none"/>
              </w:rPr>
              <w:t>条规定</w:t>
            </w:r>
          </w:p>
        </w:tc>
      </w:tr>
    </w:tbl>
    <w:p>
      <w:pPr>
        <w:pageBreakBefore w:val="0"/>
        <w:numPr>
          <w:ilvl w:val="0"/>
          <w:numId w:val="0"/>
        </w:numPr>
        <w:tabs>
          <w:tab w:val="left" w:pos="0"/>
          <w:tab w:val="left" w:pos="210"/>
          <w:tab w:val="left" w:pos="420"/>
          <w:tab w:val="left" w:pos="630"/>
          <w:tab w:val="left" w:pos="840"/>
          <w:tab w:val="left" w:pos="1050"/>
        </w:tabs>
        <w:kinsoku/>
        <w:overflowPunct/>
        <w:bidi w:val="0"/>
        <w:adjustRightInd w:val="0"/>
        <w:snapToGrid w:val="0"/>
        <w:spacing w:line="312" w:lineRule="auto"/>
        <w:rPr>
          <w:rFonts w:hint="eastAsia" w:ascii="仿宋" w:hAnsi="仿宋" w:eastAsia="仿宋" w:cs="仿宋"/>
          <w:sz w:val="24"/>
          <w:highlight w:val="none"/>
          <w:lang w:val="zh-CN"/>
        </w:rPr>
      </w:pPr>
    </w:p>
    <w:p>
      <w:pPr>
        <w:pageBreakBefore w:val="0"/>
        <w:bidi w:val="0"/>
        <w:spacing w:line="312" w:lineRule="auto"/>
        <w:rPr>
          <w:rFonts w:hint="eastAsia" w:ascii="仿宋" w:hAnsi="仿宋" w:eastAsia="仿宋" w:cs="仿宋"/>
          <w:highlight w:val="none"/>
          <w:lang w:val="zh-CN"/>
        </w:rPr>
      </w:pPr>
    </w:p>
    <w:p>
      <w:pPr>
        <w:pageBreakBefore w:val="0"/>
        <w:numPr>
          <w:ilvl w:val="2"/>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符合性审查</w:t>
      </w:r>
    </w:p>
    <w:p>
      <w:pPr>
        <w:pageBreakBefore w:val="0"/>
        <w:tabs>
          <w:tab w:val="left" w:pos="0"/>
          <w:tab w:val="left" w:pos="210"/>
          <w:tab w:val="left" w:pos="420"/>
          <w:tab w:val="left" w:pos="630"/>
          <w:tab w:val="left" w:pos="840"/>
          <w:tab w:val="left" w:pos="105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按下列评审标准对供应商的响应文件进行符合性审查，供应商若有一项不合格，即判定其符合性审查结果为不合格，将不具备磋商资格，按无效响应文件处理。</w:t>
      </w:r>
    </w:p>
    <w:p>
      <w:pPr>
        <w:pageBreakBefore w:val="0"/>
        <w:tabs>
          <w:tab w:val="left" w:pos="0"/>
          <w:tab w:val="left" w:pos="210"/>
          <w:tab w:val="left" w:pos="420"/>
          <w:tab w:val="left" w:pos="630"/>
          <w:tab w:val="left" w:pos="840"/>
          <w:tab w:val="left" w:pos="1050"/>
        </w:tabs>
        <w:kinsoku/>
        <w:overflowPunct/>
        <w:bidi w:val="0"/>
        <w:adjustRightInd w:val="0"/>
        <w:snapToGrid w:val="0"/>
        <w:spacing w:line="312" w:lineRule="auto"/>
        <w:ind w:firstLine="480" w:firstLineChars="200"/>
        <w:jc w:val="both"/>
        <w:rPr>
          <w:rFonts w:hint="eastAsia" w:ascii="仿宋" w:hAnsi="仿宋" w:eastAsia="仿宋" w:cs="仿宋"/>
          <w:sz w:val="24"/>
          <w:highlight w:val="none"/>
          <w:lang w:val="zh-CN"/>
        </w:rPr>
      </w:pPr>
      <w:r>
        <w:rPr>
          <w:rFonts w:hint="eastAsia" w:ascii="仿宋" w:hAnsi="仿宋" w:eastAsia="仿宋" w:cs="仿宋"/>
          <w:sz w:val="24"/>
          <w:highlight w:val="none"/>
          <w:lang w:val="zh-CN"/>
        </w:rPr>
        <w:t>未通过符合性检查的供应商，不得进入后续磋商环节。</w:t>
      </w:r>
    </w:p>
    <w:p>
      <w:pPr>
        <w:pageBreakBefore w:val="0"/>
        <w:bidi w:val="0"/>
        <w:spacing w:line="312" w:lineRule="auto"/>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br w:type="page"/>
      </w:r>
    </w:p>
    <w:p>
      <w:pPr>
        <w:pageBreakBefore w:val="0"/>
        <w:tabs>
          <w:tab w:val="left" w:pos="0"/>
          <w:tab w:val="left" w:pos="210"/>
          <w:tab w:val="left" w:pos="420"/>
          <w:tab w:val="left" w:pos="630"/>
          <w:tab w:val="left" w:pos="840"/>
          <w:tab w:val="left" w:pos="1050"/>
        </w:tabs>
        <w:kinsoku/>
        <w:overflowPunct/>
        <w:bidi w:val="0"/>
        <w:adjustRightInd w:val="0"/>
        <w:snapToGrid w:val="0"/>
        <w:spacing w:line="312" w:lineRule="auto"/>
        <w:jc w:val="center"/>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符合性审查标准</w:t>
      </w:r>
    </w:p>
    <w:p>
      <w:pPr>
        <w:pStyle w:val="2"/>
        <w:pageBreakBefore w:val="0"/>
        <w:bidi w:val="0"/>
        <w:spacing w:line="312" w:lineRule="auto"/>
        <w:rPr>
          <w:rFonts w:hint="eastAsia" w:ascii="仿宋" w:hAnsi="仿宋" w:eastAsia="仿宋" w:cs="仿宋"/>
          <w:highlight w:val="none"/>
          <w:lang w:val="zh-CN"/>
        </w:rPr>
      </w:pPr>
    </w:p>
    <w:tbl>
      <w:tblPr>
        <w:tblStyle w:val="38"/>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2423"/>
        <w:gridCol w:w="5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3950" w:type="dxa"/>
            <w:gridSpan w:val="2"/>
            <w:noWrap w:val="0"/>
            <w:vAlign w:val="center"/>
          </w:tcPr>
          <w:p>
            <w:pPr>
              <w:pageBreakBefore w:val="0"/>
              <w:tabs>
                <w:tab w:val="left" w:pos="0"/>
              </w:tabs>
              <w:kinsoku/>
              <w:overflowPunct/>
              <w:bidi w:val="0"/>
              <w:adjustRightInd w:val="0"/>
              <w:snapToGrid w:val="0"/>
              <w:spacing w:line="312" w:lineRule="auto"/>
              <w:jc w:val="center"/>
              <w:rPr>
                <w:rFonts w:hint="eastAsia" w:ascii="仿宋" w:hAnsi="仿宋" w:eastAsia="仿宋" w:cs="仿宋"/>
                <w:b/>
                <w:szCs w:val="21"/>
                <w:highlight w:val="none"/>
              </w:rPr>
            </w:pPr>
            <w:r>
              <w:rPr>
                <w:rFonts w:hint="eastAsia" w:ascii="仿宋" w:hAnsi="仿宋" w:eastAsia="仿宋" w:cs="仿宋"/>
                <w:b/>
                <w:szCs w:val="21"/>
                <w:highlight w:val="none"/>
              </w:rPr>
              <w:t>评审因素</w:t>
            </w:r>
          </w:p>
        </w:tc>
        <w:tc>
          <w:tcPr>
            <w:tcW w:w="5229" w:type="dxa"/>
            <w:noWrap w:val="0"/>
            <w:vAlign w:val="center"/>
          </w:tcPr>
          <w:p>
            <w:pPr>
              <w:pageBreakBefore w:val="0"/>
              <w:tabs>
                <w:tab w:val="left" w:pos="0"/>
              </w:tabs>
              <w:kinsoku/>
              <w:overflowPunct/>
              <w:bidi w:val="0"/>
              <w:adjustRightInd w:val="0"/>
              <w:snapToGrid w:val="0"/>
              <w:spacing w:line="312" w:lineRule="auto"/>
              <w:jc w:val="center"/>
              <w:rPr>
                <w:rFonts w:hint="eastAsia" w:ascii="仿宋" w:hAnsi="仿宋" w:eastAsia="仿宋" w:cs="仿宋"/>
                <w:b/>
                <w:szCs w:val="21"/>
                <w:highlight w:val="none"/>
              </w:rPr>
            </w:pPr>
            <w:r>
              <w:rPr>
                <w:rFonts w:hint="eastAsia" w:ascii="仿宋" w:hAnsi="仿宋" w:eastAsia="仿宋" w:cs="仿宋"/>
                <w:b/>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527" w:type="dxa"/>
            <w:vMerge w:val="restart"/>
            <w:noWrap w:val="0"/>
            <w:vAlign w:val="center"/>
          </w:tcPr>
          <w:p>
            <w:pPr>
              <w:pageBreakBefore w:val="0"/>
              <w:tabs>
                <w:tab w:val="left" w:pos="0"/>
              </w:tabs>
              <w:kinsoku/>
              <w:overflowPunct/>
              <w:bidi w:val="0"/>
              <w:adjustRightInd w:val="0"/>
              <w:snapToGrid w:val="0"/>
              <w:spacing w:line="312" w:lineRule="auto"/>
              <w:jc w:val="center"/>
              <w:rPr>
                <w:rFonts w:hint="eastAsia" w:ascii="仿宋" w:hAnsi="仿宋" w:eastAsia="仿宋" w:cs="仿宋"/>
                <w:szCs w:val="21"/>
                <w:highlight w:val="none"/>
              </w:rPr>
            </w:pPr>
            <w:r>
              <w:rPr>
                <w:rFonts w:hint="eastAsia" w:ascii="仿宋" w:hAnsi="仿宋" w:eastAsia="仿宋" w:cs="仿宋"/>
                <w:szCs w:val="21"/>
                <w:highlight w:val="none"/>
                <w:lang w:val="zh-CN"/>
              </w:rPr>
              <w:t>符合性</w:t>
            </w:r>
            <w:r>
              <w:rPr>
                <w:rFonts w:hint="eastAsia" w:ascii="仿宋" w:hAnsi="仿宋" w:eastAsia="仿宋" w:cs="仿宋"/>
                <w:szCs w:val="21"/>
                <w:highlight w:val="none"/>
              </w:rPr>
              <w:t>审查</w:t>
            </w:r>
          </w:p>
        </w:tc>
        <w:tc>
          <w:tcPr>
            <w:tcW w:w="2423" w:type="dxa"/>
            <w:noWrap w:val="0"/>
            <w:vAlign w:val="center"/>
          </w:tcPr>
          <w:p>
            <w:pPr>
              <w:pageBreakBefore w:val="0"/>
              <w:tabs>
                <w:tab w:val="left" w:pos="0"/>
              </w:tabs>
              <w:kinsoku/>
              <w:overflowPunct/>
              <w:bidi w:val="0"/>
              <w:adjustRightInd w:val="0"/>
              <w:snapToGrid w:val="0"/>
              <w:spacing w:line="312" w:lineRule="auto"/>
              <w:jc w:val="left"/>
              <w:rPr>
                <w:rFonts w:hint="eastAsia" w:ascii="仿宋" w:hAnsi="仿宋" w:eastAsia="仿宋" w:cs="仿宋"/>
                <w:szCs w:val="21"/>
                <w:highlight w:val="none"/>
              </w:rPr>
            </w:pPr>
            <w:r>
              <w:rPr>
                <w:rFonts w:hint="eastAsia" w:ascii="仿宋" w:hAnsi="仿宋" w:eastAsia="仿宋" w:cs="仿宋"/>
                <w:szCs w:val="21"/>
                <w:highlight w:val="none"/>
              </w:rPr>
              <w:t>响应文件的签字、盖章</w:t>
            </w:r>
          </w:p>
        </w:tc>
        <w:tc>
          <w:tcPr>
            <w:tcW w:w="5229" w:type="dxa"/>
            <w:noWrap w:val="0"/>
            <w:vAlign w:val="center"/>
          </w:tcPr>
          <w:p>
            <w:pPr>
              <w:pageBreakBefore w:val="0"/>
              <w:tabs>
                <w:tab w:val="left" w:pos="0"/>
              </w:tabs>
              <w:kinsoku/>
              <w:overflowPunct/>
              <w:bidi w:val="0"/>
              <w:adjustRightInd w:val="0"/>
              <w:snapToGrid w:val="0"/>
              <w:spacing w:line="312" w:lineRule="auto"/>
              <w:jc w:val="left"/>
              <w:rPr>
                <w:rFonts w:hint="eastAsia" w:ascii="仿宋" w:hAnsi="仿宋" w:eastAsia="仿宋" w:cs="仿宋"/>
                <w:szCs w:val="21"/>
                <w:highlight w:val="none"/>
              </w:rPr>
            </w:pPr>
            <w:r>
              <w:rPr>
                <w:rFonts w:hint="eastAsia" w:ascii="仿宋" w:hAnsi="仿宋" w:eastAsia="仿宋" w:cs="仿宋"/>
                <w:szCs w:val="21"/>
                <w:highlight w:val="none"/>
              </w:rPr>
              <w:t>符合供应商须知前附表第</w:t>
            </w:r>
            <w:r>
              <w:rPr>
                <w:rFonts w:hint="eastAsia" w:ascii="仿宋" w:hAnsi="仿宋" w:eastAsia="仿宋" w:cs="仿宋"/>
                <w:szCs w:val="21"/>
                <w:highlight w:val="none"/>
                <w:lang w:val="en-US" w:eastAsia="zh-CN"/>
              </w:rPr>
              <w:t>3.5.4</w:t>
            </w:r>
            <w:r>
              <w:rPr>
                <w:rFonts w:hint="eastAsia" w:ascii="仿宋" w:hAnsi="仿宋" w:eastAsia="仿宋" w:cs="仿宋"/>
                <w:szCs w:val="21"/>
                <w:highlight w:val="none"/>
              </w:rPr>
              <w:t>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527" w:type="dxa"/>
            <w:vMerge w:val="continue"/>
            <w:noWrap w:val="0"/>
            <w:vAlign w:val="top"/>
          </w:tcPr>
          <w:p>
            <w:pPr>
              <w:pageBreakBefore w:val="0"/>
              <w:tabs>
                <w:tab w:val="left" w:pos="0"/>
              </w:tabs>
              <w:kinsoku/>
              <w:overflowPunct/>
              <w:bidi w:val="0"/>
              <w:adjustRightInd w:val="0"/>
              <w:snapToGrid w:val="0"/>
              <w:spacing w:line="312" w:lineRule="auto"/>
              <w:rPr>
                <w:rFonts w:hint="eastAsia" w:ascii="仿宋" w:hAnsi="仿宋" w:eastAsia="仿宋" w:cs="仿宋"/>
                <w:szCs w:val="21"/>
                <w:highlight w:val="none"/>
              </w:rPr>
            </w:pPr>
          </w:p>
        </w:tc>
        <w:tc>
          <w:tcPr>
            <w:tcW w:w="2423" w:type="dxa"/>
            <w:noWrap w:val="0"/>
            <w:vAlign w:val="center"/>
          </w:tcPr>
          <w:p>
            <w:pPr>
              <w:pageBreakBefore w:val="0"/>
              <w:tabs>
                <w:tab w:val="left" w:pos="0"/>
              </w:tabs>
              <w:kinsoku/>
              <w:overflowPunct/>
              <w:bidi w:val="0"/>
              <w:adjustRightInd w:val="0"/>
              <w:snapToGrid w:val="0"/>
              <w:spacing w:line="312" w:lineRule="auto"/>
              <w:jc w:val="left"/>
              <w:rPr>
                <w:rFonts w:hint="eastAsia" w:ascii="仿宋" w:hAnsi="仿宋" w:eastAsia="仿宋" w:cs="仿宋"/>
                <w:szCs w:val="21"/>
                <w:highlight w:val="none"/>
              </w:rPr>
            </w:pPr>
            <w:r>
              <w:rPr>
                <w:rFonts w:hint="eastAsia" w:ascii="仿宋" w:hAnsi="仿宋" w:eastAsia="仿宋" w:cs="仿宋"/>
                <w:szCs w:val="21"/>
                <w:highlight w:val="none"/>
              </w:rPr>
              <w:t>响应文件格式</w:t>
            </w:r>
          </w:p>
        </w:tc>
        <w:tc>
          <w:tcPr>
            <w:tcW w:w="5229" w:type="dxa"/>
            <w:noWrap w:val="0"/>
            <w:vAlign w:val="center"/>
          </w:tcPr>
          <w:p>
            <w:pPr>
              <w:pageBreakBefore w:val="0"/>
              <w:tabs>
                <w:tab w:val="left" w:pos="0"/>
              </w:tabs>
              <w:kinsoku/>
              <w:overflowPunct/>
              <w:bidi w:val="0"/>
              <w:adjustRightInd w:val="0"/>
              <w:snapToGrid w:val="0"/>
              <w:spacing w:line="312" w:lineRule="auto"/>
              <w:jc w:val="left"/>
              <w:rPr>
                <w:rFonts w:hint="eastAsia" w:ascii="仿宋" w:hAnsi="仿宋" w:eastAsia="仿宋" w:cs="仿宋"/>
                <w:szCs w:val="21"/>
                <w:highlight w:val="none"/>
              </w:rPr>
            </w:pPr>
            <w:r>
              <w:rPr>
                <w:rFonts w:hint="eastAsia" w:ascii="仿宋" w:hAnsi="仿宋" w:eastAsia="仿宋" w:cs="仿宋"/>
                <w:szCs w:val="21"/>
                <w:highlight w:val="none"/>
              </w:rPr>
              <w:t>应符合第六</w:t>
            </w:r>
            <w:r>
              <w:rPr>
                <w:rFonts w:hint="eastAsia" w:ascii="仿宋" w:hAnsi="仿宋" w:eastAsia="仿宋" w:cs="仿宋"/>
                <w:szCs w:val="21"/>
                <w:highlight w:val="none"/>
                <w:lang w:eastAsia="zh-CN"/>
              </w:rPr>
              <w:t>部分</w:t>
            </w:r>
            <w:r>
              <w:rPr>
                <w:rFonts w:hint="eastAsia" w:ascii="仿宋" w:hAnsi="仿宋" w:eastAsia="仿宋" w:cs="仿宋"/>
                <w:szCs w:val="21"/>
                <w:highlight w:val="none"/>
              </w:rPr>
              <w:t>“响应文件格式”要求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527" w:type="dxa"/>
            <w:vMerge w:val="continue"/>
            <w:noWrap w:val="0"/>
            <w:vAlign w:val="top"/>
          </w:tcPr>
          <w:p>
            <w:pPr>
              <w:pageBreakBefore w:val="0"/>
              <w:tabs>
                <w:tab w:val="left" w:pos="0"/>
              </w:tabs>
              <w:kinsoku/>
              <w:overflowPunct/>
              <w:bidi w:val="0"/>
              <w:adjustRightInd w:val="0"/>
              <w:snapToGrid w:val="0"/>
              <w:spacing w:line="312" w:lineRule="auto"/>
              <w:rPr>
                <w:rFonts w:hint="eastAsia" w:ascii="仿宋" w:hAnsi="仿宋" w:eastAsia="仿宋" w:cs="仿宋"/>
                <w:szCs w:val="21"/>
                <w:highlight w:val="none"/>
              </w:rPr>
            </w:pPr>
          </w:p>
        </w:tc>
        <w:tc>
          <w:tcPr>
            <w:tcW w:w="2423" w:type="dxa"/>
            <w:noWrap w:val="0"/>
            <w:vAlign w:val="center"/>
          </w:tcPr>
          <w:p>
            <w:pPr>
              <w:pageBreakBefore w:val="0"/>
              <w:tabs>
                <w:tab w:val="left" w:pos="0"/>
              </w:tabs>
              <w:kinsoku/>
              <w:overflowPunct/>
              <w:bidi w:val="0"/>
              <w:adjustRightInd w:val="0"/>
              <w:snapToGrid w:val="0"/>
              <w:spacing w:line="312" w:lineRule="auto"/>
              <w:jc w:val="left"/>
              <w:rPr>
                <w:rFonts w:hint="eastAsia" w:ascii="仿宋" w:hAnsi="仿宋" w:eastAsia="仿宋" w:cs="仿宋"/>
                <w:szCs w:val="21"/>
                <w:highlight w:val="none"/>
              </w:rPr>
            </w:pPr>
            <w:r>
              <w:rPr>
                <w:rFonts w:hint="eastAsia" w:ascii="仿宋" w:hAnsi="仿宋" w:eastAsia="仿宋" w:cs="仿宋"/>
                <w:szCs w:val="21"/>
                <w:highlight w:val="none"/>
              </w:rPr>
              <w:t>报价</w:t>
            </w:r>
          </w:p>
        </w:tc>
        <w:tc>
          <w:tcPr>
            <w:tcW w:w="5229" w:type="dxa"/>
            <w:noWrap w:val="0"/>
            <w:vAlign w:val="center"/>
          </w:tcPr>
          <w:p>
            <w:pPr>
              <w:pageBreakBefore w:val="0"/>
              <w:tabs>
                <w:tab w:val="left" w:pos="0"/>
              </w:tabs>
              <w:kinsoku/>
              <w:overflowPunct/>
              <w:bidi w:val="0"/>
              <w:adjustRightInd w:val="0"/>
              <w:snapToGrid w:val="0"/>
              <w:spacing w:line="312" w:lineRule="auto"/>
              <w:jc w:val="left"/>
              <w:rPr>
                <w:rFonts w:hint="eastAsia" w:ascii="仿宋" w:hAnsi="仿宋" w:eastAsia="仿宋" w:cs="仿宋"/>
                <w:szCs w:val="21"/>
                <w:highlight w:val="none"/>
              </w:rPr>
            </w:pPr>
            <w:r>
              <w:rPr>
                <w:rFonts w:hint="eastAsia" w:ascii="仿宋" w:hAnsi="仿宋" w:eastAsia="仿宋" w:cs="仿宋"/>
                <w:szCs w:val="21"/>
                <w:highlight w:val="none"/>
              </w:rPr>
              <w:t>报价不超过</w:t>
            </w:r>
            <w:r>
              <w:rPr>
                <w:rFonts w:hint="eastAsia" w:ascii="仿宋" w:hAnsi="仿宋" w:eastAsia="仿宋" w:cs="仿宋"/>
                <w:sz w:val="21"/>
                <w:szCs w:val="21"/>
                <w:highlight w:val="none"/>
                <w:lang w:val="en-US" w:eastAsia="zh-CN"/>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527" w:type="dxa"/>
            <w:vMerge w:val="continue"/>
            <w:noWrap w:val="0"/>
            <w:vAlign w:val="center"/>
          </w:tcPr>
          <w:p>
            <w:pPr>
              <w:pageBreakBefore w:val="0"/>
              <w:tabs>
                <w:tab w:val="left" w:pos="0"/>
              </w:tabs>
              <w:kinsoku/>
              <w:overflowPunct/>
              <w:bidi w:val="0"/>
              <w:adjustRightInd w:val="0"/>
              <w:snapToGrid w:val="0"/>
              <w:spacing w:line="312" w:lineRule="auto"/>
              <w:jc w:val="center"/>
              <w:rPr>
                <w:rFonts w:hint="eastAsia" w:ascii="仿宋" w:hAnsi="仿宋" w:eastAsia="仿宋" w:cs="仿宋"/>
                <w:szCs w:val="21"/>
                <w:highlight w:val="none"/>
              </w:rPr>
            </w:pPr>
          </w:p>
        </w:tc>
        <w:tc>
          <w:tcPr>
            <w:tcW w:w="2423" w:type="dxa"/>
            <w:noWrap w:val="0"/>
            <w:vAlign w:val="center"/>
          </w:tcPr>
          <w:p>
            <w:pPr>
              <w:pageBreakBefore w:val="0"/>
              <w:tabs>
                <w:tab w:val="left" w:pos="0"/>
              </w:tabs>
              <w:kinsoku/>
              <w:overflowPunct/>
              <w:bidi w:val="0"/>
              <w:adjustRightInd w:val="0"/>
              <w:snapToGrid w:val="0"/>
              <w:spacing w:line="312" w:lineRule="auto"/>
              <w:jc w:val="left"/>
              <w:rPr>
                <w:rFonts w:hint="eastAsia" w:ascii="仿宋" w:hAnsi="仿宋" w:eastAsia="仿宋" w:cs="仿宋"/>
                <w:szCs w:val="21"/>
                <w:highlight w:val="none"/>
              </w:rPr>
            </w:pPr>
            <w:r>
              <w:rPr>
                <w:rFonts w:hint="eastAsia" w:ascii="仿宋" w:hAnsi="仿宋" w:eastAsia="仿宋" w:cs="仿宋"/>
                <w:szCs w:val="21"/>
                <w:highlight w:val="none"/>
              </w:rPr>
              <w:t>响应文件份数</w:t>
            </w:r>
          </w:p>
        </w:tc>
        <w:tc>
          <w:tcPr>
            <w:tcW w:w="5229" w:type="dxa"/>
            <w:noWrap w:val="0"/>
            <w:vAlign w:val="center"/>
          </w:tcPr>
          <w:p>
            <w:pPr>
              <w:pageBreakBefore w:val="0"/>
              <w:tabs>
                <w:tab w:val="left" w:pos="0"/>
              </w:tabs>
              <w:kinsoku/>
              <w:overflowPunct/>
              <w:bidi w:val="0"/>
              <w:adjustRightInd w:val="0"/>
              <w:snapToGrid w:val="0"/>
              <w:spacing w:line="312" w:lineRule="auto"/>
              <w:jc w:val="left"/>
              <w:rPr>
                <w:rFonts w:hint="eastAsia" w:ascii="仿宋" w:hAnsi="仿宋" w:eastAsia="仿宋" w:cs="仿宋"/>
                <w:szCs w:val="21"/>
                <w:highlight w:val="none"/>
              </w:rPr>
            </w:pPr>
            <w:r>
              <w:rPr>
                <w:rFonts w:hint="eastAsia" w:ascii="仿宋" w:hAnsi="仿宋" w:eastAsia="仿宋" w:cs="仿宋"/>
                <w:szCs w:val="21"/>
                <w:highlight w:val="none"/>
              </w:rPr>
              <w:t>符合供应商须知前附表第</w:t>
            </w:r>
            <w:r>
              <w:rPr>
                <w:rFonts w:hint="eastAsia" w:ascii="仿宋" w:hAnsi="仿宋" w:eastAsia="仿宋" w:cs="仿宋"/>
                <w:szCs w:val="21"/>
                <w:highlight w:val="none"/>
                <w:lang w:val="en-US" w:eastAsia="zh-CN"/>
              </w:rPr>
              <w:t>3.5.1</w:t>
            </w:r>
            <w:r>
              <w:rPr>
                <w:rFonts w:hint="eastAsia" w:ascii="仿宋" w:hAnsi="仿宋" w:eastAsia="仿宋" w:cs="仿宋"/>
                <w:szCs w:val="21"/>
                <w:highlight w:val="none"/>
              </w:rPr>
              <w:t>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527" w:type="dxa"/>
            <w:vMerge w:val="continue"/>
            <w:noWrap w:val="0"/>
            <w:vAlign w:val="top"/>
          </w:tcPr>
          <w:p>
            <w:pPr>
              <w:pageBreakBefore w:val="0"/>
              <w:tabs>
                <w:tab w:val="left" w:pos="0"/>
              </w:tabs>
              <w:kinsoku/>
              <w:overflowPunct/>
              <w:bidi w:val="0"/>
              <w:adjustRightInd w:val="0"/>
              <w:snapToGrid w:val="0"/>
              <w:spacing w:line="312" w:lineRule="auto"/>
              <w:rPr>
                <w:rFonts w:hint="eastAsia" w:ascii="仿宋" w:hAnsi="仿宋" w:eastAsia="仿宋" w:cs="仿宋"/>
                <w:szCs w:val="21"/>
                <w:highlight w:val="none"/>
              </w:rPr>
            </w:pPr>
          </w:p>
        </w:tc>
        <w:tc>
          <w:tcPr>
            <w:tcW w:w="2423" w:type="dxa"/>
            <w:noWrap w:val="0"/>
            <w:vAlign w:val="center"/>
          </w:tcPr>
          <w:p>
            <w:pPr>
              <w:pageBreakBefore w:val="0"/>
              <w:tabs>
                <w:tab w:val="left" w:pos="0"/>
              </w:tabs>
              <w:kinsoku/>
              <w:overflowPunct/>
              <w:bidi w:val="0"/>
              <w:adjustRightInd w:val="0"/>
              <w:snapToGrid w:val="0"/>
              <w:spacing w:line="312" w:lineRule="auto"/>
              <w:jc w:val="left"/>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交货期</w:t>
            </w:r>
          </w:p>
        </w:tc>
        <w:tc>
          <w:tcPr>
            <w:tcW w:w="5229" w:type="dxa"/>
            <w:noWrap w:val="0"/>
            <w:vAlign w:val="center"/>
          </w:tcPr>
          <w:p>
            <w:pPr>
              <w:pageBreakBefore w:val="0"/>
              <w:tabs>
                <w:tab w:val="left" w:pos="0"/>
              </w:tabs>
              <w:kinsoku/>
              <w:overflowPunct/>
              <w:bidi w:val="0"/>
              <w:adjustRightInd w:val="0"/>
              <w:snapToGrid w:val="0"/>
              <w:spacing w:line="312" w:lineRule="auto"/>
              <w:jc w:val="left"/>
              <w:rPr>
                <w:rFonts w:hint="eastAsia" w:ascii="仿宋" w:hAnsi="仿宋" w:eastAsia="仿宋" w:cs="仿宋"/>
                <w:szCs w:val="21"/>
                <w:highlight w:val="none"/>
              </w:rPr>
            </w:pPr>
            <w:r>
              <w:rPr>
                <w:rFonts w:hint="eastAsia" w:ascii="仿宋" w:hAnsi="仿宋" w:eastAsia="仿宋" w:cs="仿宋"/>
                <w:szCs w:val="21"/>
                <w:highlight w:val="none"/>
              </w:rPr>
              <w:t>符合供应商须知前附表第</w:t>
            </w:r>
            <w:r>
              <w:rPr>
                <w:rFonts w:hint="eastAsia" w:ascii="仿宋" w:hAnsi="仿宋" w:eastAsia="仿宋" w:cs="仿宋"/>
                <w:szCs w:val="21"/>
                <w:highlight w:val="none"/>
                <w:lang w:val="en-US" w:eastAsia="zh-CN"/>
              </w:rPr>
              <w:t>1.3.2</w:t>
            </w:r>
            <w:r>
              <w:rPr>
                <w:rFonts w:hint="eastAsia" w:ascii="仿宋" w:hAnsi="仿宋" w:eastAsia="仿宋" w:cs="仿宋"/>
                <w:szCs w:val="21"/>
                <w:highlight w:val="none"/>
              </w:rPr>
              <w:t>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527" w:type="dxa"/>
            <w:vMerge w:val="continue"/>
            <w:noWrap w:val="0"/>
            <w:vAlign w:val="top"/>
          </w:tcPr>
          <w:p>
            <w:pPr>
              <w:pageBreakBefore w:val="0"/>
              <w:tabs>
                <w:tab w:val="left" w:pos="0"/>
              </w:tabs>
              <w:kinsoku/>
              <w:overflowPunct/>
              <w:bidi w:val="0"/>
              <w:adjustRightInd w:val="0"/>
              <w:snapToGrid w:val="0"/>
              <w:spacing w:line="312" w:lineRule="auto"/>
              <w:rPr>
                <w:rFonts w:hint="eastAsia" w:ascii="仿宋" w:hAnsi="仿宋" w:eastAsia="仿宋" w:cs="仿宋"/>
                <w:szCs w:val="21"/>
                <w:highlight w:val="none"/>
              </w:rPr>
            </w:pPr>
          </w:p>
        </w:tc>
        <w:tc>
          <w:tcPr>
            <w:tcW w:w="2423" w:type="dxa"/>
            <w:noWrap w:val="0"/>
            <w:vAlign w:val="center"/>
          </w:tcPr>
          <w:p>
            <w:pPr>
              <w:pageBreakBefore w:val="0"/>
              <w:tabs>
                <w:tab w:val="left" w:pos="0"/>
              </w:tabs>
              <w:kinsoku/>
              <w:overflowPunct/>
              <w:bidi w:val="0"/>
              <w:adjustRightInd w:val="0"/>
              <w:snapToGrid w:val="0"/>
              <w:spacing w:line="312" w:lineRule="auto"/>
              <w:rPr>
                <w:rFonts w:hint="eastAsia" w:ascii="仿宋" w:hAnsi="仿宋" w:eastAsia="仿宋" w:cs="仿宋"/>
                <w:szCs w:val="21"/>
                <w:highlight w:val="none"/>
              </w:rPr>
            </w:pPr>
            <w:r>
              <w:rPr>
                <w:rFonts w:hint="eastAsia" w:ascii="仿宋" w:hAnsi="仿宋" w:eastAsia="仿宋" w:cs="仿宋"/>
                <w:szCs w:val="21"/>
                <w:highlight w:val="none"/>
              </w:rPr>
              <w:t>磋商有效期</w:t>
            </w:r>
          </w:p>
        </w:tc>
        <w:tc>
          <w:tcPr>
            <w:tcW w:w="5229" w:type="dxa"/>
            <w:noWrap w:val="0"/>
            <w:vAlign w:val="center"/>
          </w:tcPr>
          <w:p>
            <w:pPr>
              <w:pageBreakBefore w:val="0"/>
              <w:tabs>
                <w:tab w:val="left" w:pos="0"/>
              </w:tabs>
              <w:kinsoku/>
              <w:overflowPunct/>
              <w:bidi w:val="0"/>
              <w:adjustRightInd w:val="0"/>
              <w:snapToGrid w:val="0"/>
              <w:spacing w:line="312" w:lineRule="auto"/>
              <w:jc w:val="left"/>
              <w:rPr>
                <w:rFonts w:hint="eastAsia" w:ascii="仿宋" w:hAnsi="仿宋" w:eastAsia="仿宋" w:cs="仿宋"/>
                <w:szCs w:val="21"/>
                <w:highlight w:val="none"/>
              </w:rPr>
            </w:pPr>
            <w:r>
              <w:rPr>
                <w:rFonts w:hint="eastAsia" w:ascii="仿宋" w:hAnsi="仿宋" w:eastAsia="仿宋" w:cs="仿宋"/>
                <w:szCs w:val="21"/>
                <w:highlight w:val="none"/>
              </w:rPr>
              <w:t>符合供应商须知前附表第</w:t>
            </w:r>
            <w:r>
              <w:rPr>
                <w:rFonts w:hint="eastAsia" w:ascii="仿宋" w:hAnsi="仿宋" w:eastAsia="仿宋" w:cs="仿宋"/>
                <w:szCs w:val="21"/>
                <w:highlight w:val="none"/>
                <w:lang w:val="en-US" w:eastAsia="zh-CN"/>
              </w:rPr>
              <w:t>3.3</w:t>
            </w:r>
            <w:r>
              <w:rPr>
                <w:rFonts w:hint="eastAsia" w:ascii="仿宋" w:hAnsi="仿宋" w:eastAsia="仿宋" w:cs="仿宋"/>
                <w:szCs w:val="21"/>
                <w:highlight w:val="none"/>
              </w:rPr>
              <w:t>条规定</w:t>
            </w:r>
          </w:p>
        </w:tc>
      </w:tr>
    </w:tbl>
    <w:p>
      <w:pPr>
        <w:pageBreakBefore w:val="0"/>
        <w:tabs>
          <w:tab w:val="left" w:pos="0"/>
          <w:tab w:val="left" w:pos="210"/>
          <w:tab w:val="left" w:pos="420"/>
          <w:tab w:val="left" w:pos="840"/>
          <w:tab w:val="left" w:pos="1680"/>
          <w:tab w:val="left" w:pos="1890"/>
        </w:tabs>
        <w:kinsoku/>
        <w:overflowPunct/>
        <w:bidi w:val="0"/>
        <w:adjustRightInd w:val="0"/>
        <w:snapToGrid w:val="0"/>
        <w:spacing w:line="312" w:lineRule="auto"/>
        <w:rPr>
          <w:rFonts w:hint="eastAsia" w:ascii="仿宋" w:hAnsi="仿宋" w:eastAsia="仿宋" w:cs="仿宋"/>
          <w:b/>
          <w:bCs/>
          <w:sz w:val="24"/>
          <w:highlight w:val="none"/>
          <w:lang w:val="zh-CN"/>
        </w:rPr>
      </w:pPr>
    </w:p>
    <w:p>
      <w:pPr>
        <w:pageBreakBefore w:val="0"/>
        <w:numPr>
          <w:ilvl w:val="1"/>
          <w:numId w:val="30"/>
        </w:numPr>
        <w:tabs>
          <w:tab w:val="left" w:pos="0"/>
          <w:tab w:val="left" w:pos="210"/>
          <w:tab w:val="left" w:pos="420"/>
          <w:tab w:val="left" w:pos="630"/>
          <w:tab w:val="left" w:pos="840"/>
          <w:tab w:val="left" w:pos="1050"/>
        </w:tabs>
        <w:kinsoku/>
        <w:bidi w:val="0"/>
        <w:adjustRightInd w:val="0"/>
        <w:snapToGrid w:val="0"/>
        <w:spacing w:line="312" w:lineRule="auto"/>
        <w:ind w:left="0" w:firstLine="482" w:firstLineChars="200"/>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政策性扣减</w:t>
      </w:r>
    </w:p>
    <w:p>
      <w:pPr>
        <w:pageBreakBefore w:val="0"/>
        <w:numPr>
          <w:ilvl w:val="2"/>
          <w:numId w:val="30"/>
        </w:numPr>
        <w:tabs>
          <w:tab w:val="left" w:pos="0"/>
          <w:tab w:val="left" w:pos="210"/>
          <w:tab w:val="left" w:pos="420"/>
          <w:tab w:val="left" w:pos="630"/>
          <w:tab w:val="left" w:pos="840"/>
          <w:tab w:val="left" w:pos="1050"/>
        </w:tabs>
        <w:kinsoku/>
        <w:bidi w:val="0"/>
        <w:adjustRightInd w:val="0"/>
        <w:snapToGrid w:val="0"/>
        <w:spacing w:line="312" w:lineRule="auto"/>
        <w:ind w:left="420" w:leftChars="0" w:firstLine="482" w:firstLineChars="200"/>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政策性扣减范围</w:t>
      </w:r>
    </w:p>
    <w:p>
      <w:pPr>
        <w:pageBreakBefore w:val="0"/>
        <w:numPr>
          <w:ilvl w:val="0"/>
          <w:numId w:val="31"/>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供应商符合小型、微型企业或监狱企业、残疾人福利性单位条件的，其磋商报价价格评审时将按相应比例进行扣减。</w:t>
      </w:r>
    </w:p>
    <w:p>
      <w:pPr>
        <w:pageBreakBefore w:val="0"/>
        <w:numPr>
          <w:ilvl w:val="0"/>
          <w:numId w:val="31"/>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依照&lt;关于印发《政府采购促进中小企业发展暂行办法》的通知&gt;（财库(2011〕181号）的规定，小型、微型企业应当同时符合以下条件：</w:t>
      </w:r>
    </w:p>
    <w:p>
      <w:pPr>
        <w:pageBreakBefore w:val="0"/>
        <w:numPr>
          <w:ilvl w:val="1"/>
          <w:numId w:val="31"/>
        </w:numPr>
        <w:tabs>
          <w:tab w:val="left" w:pos="0"/>
          <w:tab w:val="left" w:pos="210"/>
          <w:tab w:val="left" w:pos="420"/>
          <w:tab w:val="left" w:pos="630"/>
          <w:tab w:val="left" w:pos="1060"/>
          <w:tab w:val="left" w:pos="1260"/>
          <w:tab w:val="left" w:pos="1480"/>
        </w:tabs>
        <w:kinsoku/>
        <w:overflowPunct/>
        <w:bidi w:val="0"/>
        <w:adjustRightInd w:val="0"/>
        <w:snapToGrid w:val="0"/>
        <w:spacing w:line="312" w:lineRule="auto"/>
        <w:ind w:left="420" w:leftChars="0"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符合中小企业划分标准（中小企业划分标准是指国务院有关部门根据企业从业人员、营业收入、资产总额等指标制定的中小企业划型标准（工信部联企业〔2011〕300号））。</w:t>
      </w:r>
    </w:p>
    <w:p>
      <w:pPr>
        <w:pageBreakBefore w:val="0"/>
        <w:numPr>
          <w:ilvl w:val="1"/>
          <w:numId w:val="31"/>
        </w:numPr>
        <w:tabs>
          <w:tab w:val="left" w:pos="0"/>
          <w:tab w:val="left" w:pos="210"/>
          <w:tab w:val="left" w:pos="420"/>
          <w:tab w:val="left" w:pos="630"/>
          <w:tab w:val="left" w:pos="1060"/>
          <w:tab w:val="left" w:pos="1260"/>
          <w:tab w:val="left" w:pos="1480"/>
        </w:tabs>
        <w:kinsoku/>
        <w:overflowPunct/>
        <w:bidi w:val="0"/>
        <w:adjustRightInd w:val="0"/>
        <w:snapToGrid w:val="0"/>
        <w:spacing w:line="312" w:lineRule="auto"/>
        <w:ind w:left="420" w:leftChars="0"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提供本企业制造的货物、承担的工程或者服务，或者提供其他中小企业制造的货物，不包括提供或使用大型企业注册商标的货物。</w:t>
      </w:r>
    </w:p>
    <w:p>
      <w:pPr>
        <w:pageBreakBefore w:val="0"/>
        <w:numPr>
          <w:ilvl w:val="1"/>
          <w:numId w:val="31"/>
        </w:numPr>
        <w:tabs>
          <w:tab w:val="left" w:pos="0"/>
          <w:tab w:val="left" w:pos="210"/>
          <w:tab w:val="left" w:pos="420"/>
          <w:tab w:val="left" w:pos="630"/>
          <w:tab w:val="left" w:pos="1060"/>
          <w:tab w:val="left" w:pos="1260"/>
          <w:tab w:val="left" w:pos="1480"/>
        </w:tabs>
        <w:kinsoku/>
        <w:overflowPunct/>
        <w:bidi w:val="0"/>
        <w:adjustRightInd w:val="0"/>
        <w:snapToGrid w:val="0"/>
        <w:spacing w:line="312" w:lineRule="auto"/>
        <w:ind w:left="420" w:leftChars="0"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小型、微型企业提供中型企业制造的货物的，视同为中型企业；小型、微型、中型企业提供大型企业制造的货物的，视同为大型企业。</w:t>
      </w:r>
    </w:p>
    <w:p>
      <w:pPr>
        <w:pageBreakBefore w:val="0"/>
        <w:numPr>
          <w:ilvl w:val="0"/>
          <w:numId w:val="31"/>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采购人拟采购产品属于优先采购节能、环境标志产品范围的，应当优先采购节能、环境标志产品；拟采购产品符合政府采购强制采购政策的，实行强制采购。</w:t>
      </w:r>
    </w:p>
    <w:p>
      <w:pPr>
        <w:pageBreakBefore w:val="0"/>
        <w:numPr>
          <w:ilvl w:val="1"/>
          <w:numId w:val="31"/>
        </w:numPr>
        <w:tabs>
          <w:tab w:val="left" w:pos="0"/>
          <w:tab w:val="left" w:pos="210"/>
          <w:tab w:val="left" w:pos="420"/>
          <w:tab w:val="left" w:pos="630"/>
          <w:tab w:val="left" w:pos="1060"/>
          <w:tab w:val="left" w:pos="1260"/>
          <w:tab w:val="left" w:pos="1480"/>
        </w:tabs>
        <w:kinsoku/>
        <w:overflowPunct/>
        <w:bidi w:val="0"/>
        <w:adjustRightInd w:val="0"/>
        <w:snapToGrid w:val="0"/>
        <w:spacing w:line="312" w:lineRule="auto"/>
        <w:ind w:left="420" w:leftChars="0"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采购人依据节能产品、环境标志产品品目清单和节能、环境标志产品认证证书实施政府优先采购和强制采购。</w:t>
      </w:r>
    </w:p>
    <w:p>
      <w:pPr>
        <w:pageBreakBefore w:val="0"/>
        <w:numPr>
          <w:ilvl w:val="1"/>
          <w:numId w:val="31"/>
        </w:numPr>
        <w:tabs>
          <w:tab w:val="left" w:pos="0"/>
          <w:tab w:val="left" w:pos="210"/>
          <w:tab w:val="left" w:pos="420"/>
          <w:tab w:val="left" w:pos="630"/>
          <w:tab w:val="left" w:pos="1060"/>
          <w:tab w:val="left" w:pos="1260"/>
          <w:tab w:val="left" w:pos="1480"/>
        </w:tabs>
        <w:kinsoku/>
        <w:overflowPunct/>
        <w:bidi w:val="0"/>
        <w:adjustRightInd w:val="0"/>
        <w:snapToGrid w:val="0"/>
        <w:spacing w:line="312" w:lineRule="auto"/>
        <w:ind w:left="420" w:leftChars="0"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采购人拟采购的产品属于品目清单范围的，采购人及其委托的采购代理机构将依据国家确定的认证机构出具的、处于有效期之内的节能、环境标志产品认证证书，对获得证书的产品实施政府优先采购或强制采购。</w:t>
      </w:r>
    </w:p>
    <w:p>
      <w:pPr>
        <w:pageBreakBefore w:val="0"/>
        <w:numPr>
          <w:ilvl w:val="0"/>
          <w:numId w:val="31"/>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监狱企业参加政府采购活动时，应当提供由省级以上监狱管理局、戒毒管理局(含新疆生产建设兵团)出具的属于监狱企业的证明文件。监狱企业参加政府采购活动时，视同小型、微型企业。</w:t>
      </w:r>
    </w:p>
    <w:p>
      <w:pPr>
        <w:pageBreakBefore w:val="0"/>
        <w:numPr>
          <w:ilvl w:val="0"/>
          <w:numId w:val="31"/>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pPr>
        <w:pageBreakBefore w:val="0"/>
        <w:numPr>
          <w:ilvl w:val="2"/>
          <w:numId w:val="30"/>
        </w:numPr>
        <w:tabs>
          <w:tab w:val="left" w:pos="0"/>
          <w:tab w:val="left" w:pos="210"/>
          <w:tab w:val="left" w:pos="420"/>
          <w:tab w:val="left" w:pos="630"/>
          <w:tab w:val="left" w:pos="840"/>
          <w:tab w:val="left" w:pos="1050"/>
        </w:tabs>
        <w:kinsoku/>
        <w:bidi w:val="0"/>
        <w:adjustRightInd w:val="0"/>
        <w:snapToGrid w:val="0"/>
        <w:spacing w:line="312" w:lineRule="auto"/>
        <w:ind w:left="420" w:leftChars="0" w:firstLine="482" w:firstLineChars="200"/>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政策性扣减方式</w:t>
      </w:r>
    </w:p>
    <w:p>
      <w:pPr>
        <w:pageBreakBefore w:val="0"/>
        <w:numPr>
          <w:ilvl w:val="0"/>
          <w:numId w:val="0"/>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供应商为非联合体参与磋商的情况：</w:t>
      </w:r>
    </w:p>
    <w:p>
      <w:pPr>
        <w:pageBreakBefore w:val="0"/>
        <w:numPr>
          <w:ilvl w:val="0"/>
          <w:numId w:val="32"/>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在磋商最终报价的基础上，对小微企业、监狱企业、残疾人福利性单位，按“磋商报价×</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lang w:val="zh-CN"/>
        </w:rPr>
        <w:t>”进行扣减；</w:t>
      </w:r>
    </w:p>
    <w:p>
      <w:pPr>
        <w:pageBreakBefore w:val="0"/>
        <w:numPr>
          <w:ilvl w:val="0"/>
          <w:numId w:val="32"/>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小微企业、监狱企业、残疾人福利性单位不重复享受优惠政策；</w:t>
      </w:r>
    </w:p>
    <w:p>
      <w:pPr>
        <w:pageBreakBefore w:val="0"/>
        <w:numPr>
          <w:ilvl w:val="0"/>
          <w:numId w:val="32"/>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供应商享受支持中小型企业发展政策优惠的，可以同时享受节能、环境标志产品优先采购政策。</w:t>
      </w:r>
    </w:p>
    <w:p>
      <w:pPr>
        <w:pageBreakBefore w:val="0"/>
        <w:numPr>
          <w:ilvl w:val="1"/>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0" w:firstLine="482" w:firstLineChars="200"/>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响应文件的澄清</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磋商小组在对响应文件的符合性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磋商小组要求供应商澄清、说明或者更正响应文件应当以书面形式作出。供应商的澄清、说明或者更正应当由其法定代表人</w:t>
      </w:r>
      <w:r>
        <w:rPr>
          <w:rFonts w:hint="eastAsia" w:ascii="仿宋" w:hAnsi="仿宋" w:eastAsia="仿宋" w:cs="仿宋"/>
          <w:sz w:val="24"/>
          <w:szCs w:val="24"/>
          <w:highlight w:val="none"/>
          <w:lang w:val="en-US" w:eastAsia="zh-CN"/>
        </w:rPr>
        <w:t>/负责人</w:t>
      </w:r>
      <w:r>
        <w:rPr>
          <w:rFonts w:hint="eastAsia" w:ascii="仿宋" w:hAnsi="仿宋" w:eastAsia="仿宋" w:cs="仿宋"/>
          <w:sz w:val="24"/>
          <w:szCs w:val="24"/>
          <w:highlight w:val="none"/>
          <w:lang w:val="zh-CN"/>
        </w:rPr>
        <w:t>或其授权代表签字或者加盖公章。由委托代理人签字的，应当附法定代表人</w:t>
      </w:r>
      <w:r>
        <w:rPr>
          <w:rFonts w:hint="eastAsia" w:ascii="仿宋" w:hAnsi="仿宋" w:eastAsia="仿宋" w:cs="仿宋"/>
          <w:sz w:val="24"/>
          <w:szCs w:val="24"/>
          <w:highlight w:val="none"/>
          <w:lang w:val="en-US" w:eastAsia="zh-CN"/>
        </w:rPr>
        <w:t>/负责人</w:t>
      </w:r>
      <w:r>
        <w:rPr>
          <w:rFonts w:hint="eastAsia" w:ascii="仿宋" w:hAnsi="仿宋" w:eastAsia="仿宋" w:cs="仿宋"/>
          <w:sz w:val="24"/>
          <w:szCs w:val="24"/>
          <w:highlight w:val="none"/>
          <w:lang w:val="zh-CN"/>
        </w:rPr>
        <w:t>授权书。供应商为自然人的，应当由本人签字并附身份证明；</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供应商拒不按照要求对响应文件进行澄清、说明或者更正的，磋商小组可以拒绝其响应文件。磋商小组不接受供应商主动提出的澄清、说明或者更正；</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有效的书面澄清、说明或者更正材料，是响应文件的补充材料，并构成响应文件的组成部分；</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磋商小组对供应商提交的澄清、说明或者更正有疑问的，可以要求供应商进一步澄清、说明或者更正，直至满足磋商小组的要求。</w:t>
      </w:r>
    </w:p>
    <w:p>
      <w:pPr>
        <w:pageBreakBefore w:val="0"/>
        <w:numPr>
          <w:ilvl w:val="1"/>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0" w:firstLine="482" w:firstLineChars="200"/>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磋商</w:t>
      </w:r>
    </w:p>
    <w:p>
      <w:pPr>
        <w:pageBreakBefore w:val="0"/>
        <w:numPr>
          <w:ilvl w:val="2"/>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磋商方式</w:t>
      </w:r>
    </w:p>
    <w:p>
      <w:pPr>
        <w:pageBreakBefore w:val="0"/>
        <w:numPr>
          <w:ilvl w:val="0"/>
          <w:numId w:val="33"/>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对资格性审查和符合性审查合格的供应商，进入本次磋商环节；</w:t>
      </w:r>
    </w:p>
    <w:p>
      <w:pPr>
        <w:pageBreakBefore w:val="0"/>
        <w:numPr>
          <w:ilvl w:val="0"/>
          <w:numId w:val="33"/>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在磋商期间，供应商应派代表参加磋商，代表人数不超过</w:t>
      </w:r>
      <w:r>
        <w:rPr>
          <w:rFonts w:hint="eastAsia" w:ascii="仿宋" w:hAnsi="仿宋" w:eastAsia="仿宋" w:cs="仿宋"/>
          <w:sz w:val="24"/>
          <w:highlight w:val="none"/>
        </w:rPr>
        <w:t>1</w:t>
      </w:r>
      <w:r>
        <w:rPr>
          <w:rFonts w:hint="eastAsia" w:ascii="仿宋" w:hAnsi="仿宋" w:eastAsia="仿宋" w:cs="仿宋"/>
          <w:sz w:val="24"/>
          <w:highlight w:val="none"/>
          <w:lang w:val="zh-CN"/>
        </w:rPr>
        <w:t>人；</w:t>
      </w:r>
    </w:p>
    <w:p>
      <w:pPr>
        <w:pageBreakBefore w:val="0"/>
        <w:numPr>
          <w:ilvl w:val="0"/>
          <w:numId w:val="33"/>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将通过随机方式确定供应商进行磋商的顺序，所有成员集中与单一供应商按照顺序分别进行磋商，并给予所有参加磋商的供应商平等的磋商机会。磋商的任何一方不得透露与磋商有关的其他供应商的价格和其他信息；</w:t>
      </w:r>
    </w:p>
    <w:p>
      <w:pPr>
        <w:pageBreakBefore w:val="0"/>
        <w:numPr>
          <w:ilvl w:val="0"/>
          <w:numId w:val="33"/>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已提交响应文件的供应商，在提交最后报价之前，可以根据磋商情况退出磋商。</w:t>
      </w:r>
    </w:p>
    <w:p>
      <w:pPr>
        <w:pageBreakBefore w:val="0"/>
        <w:numPr>
          <w:ilvl w:val="2"/>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磋商小组逐一与实质性响应磋商文件要求的供应商进行磋商；</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磋商步骤</w:t>
      </w:r>
    </w:p>
    <w:p>
      <w:pPr>
        <w:pageBreakBefore w:val="0"/>
        <w:numPr>
          <w:ilvl w:val="0"/>
          <w:numId w:val="34"/>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第一轮磋商，磋商小组对进入第一轮磋商的供应商再次进行评审、质疑和澄清。在此阶段，磋商小组依据参加磋商的供应商递交的响应文件进行磋商。</w:t>
      </w:r>
    </w:p>
    <w:p>
      <w:pPr>
        <w:pageBreakBefore w:val="0"/>
        <w:numPr>
          <w:ilvl w:val="0"/>
          <w:numId w:val="34"/>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磋商小组可以根据实际需要与单一供应商分别进行磋商，并给予所有参加磋商的供应商平等的磋商机会。</w:t>
      </w:r>
    </w:p>
    <w:p>
      <w:pPr>
        <w:pageBreakBefore w:val="0"/>
        <w:numPr>
          <w:ilvl w:val="0"/>
          <w:numId w:val="34"/>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第二轮磋商，对第一轮磋商结果不满意，磋商小组可以再次要求参加磋商的供应商进行第二轮磋商，磋商内容及要求与第一轮磋商相同。</w:t>
      </w:r>
    </w:p>
    <w:p>
      <w:pPr>
        <w:pageBreakBefore w:val="0"/>
        <w:numPr>
          <w:ilvl w:val="0"/>
          <w:numId w:val="34"/>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后一轮磋商报价高于前一轮磋商报价的供应商，视为后一轮磋商报价无效，以前一轮磋商报价进行评审。</w:t>
      </w:r>
    </w:p>
    <w:p>
      <w:pPr>
        <w:pageBreakBefore w:val="0"/>
        <w:numPr>
          <w:ilvl w:val="0"/>
          <w:numId w:val="34"/>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磋商小组应在最后一轮磋商前告知所有符合磋商要求的供应商是否是最后一次磋商。</w:t>
      </w:r>
    </w:p>
    <w:p>
      <w:pPr>
        <w:pageBreakBefore w:val="0"/>
        <w:numPr>
          <w:ilvl w:val="0"/>
          <w:numId w:val="34"/>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最后一轮磋商结束后，磋商小组将对进入最后一轮的供应商的响应文件进行详细评审。</w:t>
      </w:r>
    </w:p>
    <w:p>
      <w:pPr>
        <w:pageBreakBefore w:val="0"/>
        <w:numPr>
          <w:ilvl w:val="1"/>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0" w:firstLine="482" w:firstLineChars="200"/>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最终报价</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供应商应当以书面形式提交最终报价；</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最终报价是供应商响应文件的有效组成部分；</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最终报价仅向采购人及监督人员宣布，并由监督人员确认。</w:t>
      </w:r>
    </w:p>
    <w:p>
      <w:pPr>
        <w:pageBreakBefore w:val="0"/>
        <w:numPr>
          <w:ilvl w:val="1"/>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0" w:firstLine="482" w:firstLineChars="200"/>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响应文件详细评审</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经磋商确定最终采购需求和提交最后报价的供应商后，由磋商小组采用综合评分法对提交最后报价的供应商的响应文件和最后报价进行综合评分；</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磋商小组将综合分析响应文件的各项评审因素，而不以单项评审因素的优劣评选出成交供应商。对所有供应商的响应文件进行评价，都采用相同的程序和标准，严格按照响应文件的要求和条件进行。</w:t>
      </w:r>
    </w:p>
    <w:p>
      <w:pPr>
        <w:pageBreakBefore w:val="0"/>
        <w:numPr>
          <w:ilvl w:val="1"/>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0" w:firstLine="482" w:firstLineChars="200"/>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特殊情况处理</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若出现综合得分并列时，磋商报价得分高者为第一成交候选人，若磋商报价的得分相同，技术得分高者为第一成交候选人，若上述两项得分相同，则由全体磋商小组成员无记名投票，得票高者为第一成交候选人。</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当</w:t>
      </w:r>
      <w:r>
        <w:rPr>
          <w:rFonts w:hint="eastAsia" w:ascii="仿宋" w:hAnsi="仿宋" w:eastAsia="仿宋" w:cs="仿宋"/>
          <w:sz w:val="24"/>
          <w:highlight w:val="none"/>
          <w:lang w:val="zh-CN" w:eastAsia="zh-CN"/>
        </w:rPr>
        <w:t>供应商</w:t>
      </w:r>
      <w:r>
        <w:rPr>
          <w:rFonts w:hint="eastAsia" w:ascii="仿宋" w:hAnsi="仿宋" w:eastAsia="仿宋" w:cs="仿宋"/>
          <w:sz w:val="24"/>
          <w:highlight w:val="none"/>
          <w:lang w:val="zh-CN"/>
        </w:rPr>
        <w:t>某评分项出现未报、漏报或零报价时，该分项得零分，并不参与磋商报价分的计算。</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评审过程中，若出现本评分方法以外的特殊情况时，将暂停评审，待磋商小组商榷后再进行复会。</w:t>
      </w:r>
    </w:p>
    <w:p>
      <w:pPr>
        <w:pageBreakBefore w:val="0"/>
        <w:bidi w:val="0"/>
        <w:spacing w:line="312" w:lineRule="auto"/>
        <w:rPr>
          <w:rFonts w:hint="eastAsia" w:ascii="仿宋" w:hAnsi="仿宋" w:eastAsia="仿宋" w:cs="仿宋"/>
          <w:b/>
          <w:bCs/>
          <w:sz w:val="28"/>
          <w:szCs w:val="28"/>
          <w:highlight w:val="none"/>
          <w:lang w:val="zh-CN"/>
        </w:rPr>
      </w:pPr>
      <w:r>
        <w:rPr>
          <w:rFonts w:hint="eastAsia" w:ascii="仿宋" w:hAnsi="仿宋" w:eastAsia="仿宋" w:cs="仿宋"/>
          <w:b/>
          <w:bCs/>
          <w:sz w:val="28"/>
          <w:szCs w:val="28"/>
          <w:highlight w:val="none"/>
          <w:lang w:val="zh-CN"/>
        </w:rPr>
        <w:br w:type="page"/>
      </w:r>
    </w:p>
    <w:p>
      <w:pPr>
        <w:pageBreakBefore w:val="0"/>
        <w:tabs>
          <w:tab w:val="left" w:pos="0"/>
          <w:tab w:val="left" w:pos="210"/>
          <w:tab w:val="left" w:pos="420"/>
          <w:tab w:val="left" w:pos="630"/>
          <w:tab w:val="left" w:pos="1050"/>
        </w:tabs>
        <w:kinsoku/>
        <w:overflowPunct/>
        <w:bidi w:val="0"/>
        <w:adjustRightInd w:val="0"/>
        <w:snapToGrid w:val="0"/>
        <w:spacing w:line="312" w:lineRule="auto"/>
        <w:jc w:val="center"/>
        <w:rPr>
          <w:rFonts w:hint="eastAsia" w:ascii="仿宋" w:hAnsi="仿宋" w:eastAsia="仿宋" w:cs="仿宋"/>
          <w:b/>
          <w:bCs/>
          <w:sz w:val="28"/>
          <w:szCs w:val="28"/>
          <w:highlight w:val="none"/>
          <w:lang w:val="zh-CN"/>
        </w:rPr>
      </w:pPr>
      <w:r>
        <w:rPr>
          <w:rFonts w:hint="eastAsia" w:ascii="仿宋" w:hAnsi="仿宋" w:eastAsia="仿宋" w:cs="仿宋"/>
          <w:b/>
          <w:bCs/>
          <w:sz w:val="28"/>
          <w:szCs w:val="28"/>
          <w:highlight w:val="none"/>
          <w:lang w:val="zh-CN"/>
        </w:rPr>
        <w:t>详细评审标准</w:t>
      </w:r>
    </w:p>
    <w:tbl>
      <w:tblPr>
        <w:tblStyle w:val="38"/>
        <w:tblW w:w="9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922"/>
        <w:gridCol w:w="525"/>
        <w:gridCol w:w="6877"/>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64" w:type="dxa"/>
            <w:gridSpan w:val="2"/>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right="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评审因素</w:t>
            </w:r>
          </w:p>
        </w:tc>
        <w:tc>
          <w:tcPr>
            <w:tcW w:w="7402" w:type="dxa"/>
            <w:gridSpan w:val="2"/>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right="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内  容</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right="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64" w:type="dxa"/>
            <w:gridSpan w:val="2"/>
            <w:noWrap w:val="0"/>
            <w:vAlign w:val="center"/>
          </w:tcPr>
          <w:p>
            <w:pPr>
              <w:keepNext w:val="0"/>
              <w:keepLines w:val="0"/>
              <w:pageBreakBefore w:val="0"/>
              <w:suppressLineNumbers w:val="0"/>
              <w:overflowPunct/>
              <w:bidi w:val="0"/>
              <w:spacing w:before="0" w:beforeAutospacing="0" w:after="0" w:afterAutospacing="0" w:line="312" w:lineRule="auto"/>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磋商报价</w:t>
            </w:r>
          </w:p>
        </w:tc>
        <w:tc>
          <w:tcPr>
            <w:tcW w:w="7402"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满足</w:t>
            </w:r>
            <w:r>
              <w:rPr>
                <w:rFonts w:hint="eastAsia" w:ascii="仿宋" w:hAnsi="仿宋" w:eastAsia="仿宋" w:cs="仿宋"/>
                <w:color w:val="auto"/>
                <w:sz w:val="21"/>
                <w:szCs w:val="21"/>
                <w:highlight w:val="none"/>
                <w:lang w:eastAsia="zh-CN"/>
              </w:rPr>
              <w:t>磋商</w:t>
            </w:r>
            <w:r>
              <w:rPr>
                <w:rFonts w:hint="eastAsia" w:ascii="仿宋" w:hAnsi="仿宋" w:eastAsia="仿宋" w:cs="仿宋"/>
                <w:color w:val="auto"/>
                <w:sz w:val="21"/>
                <w:szCs w:val="21"/>
                <w:highlight w:val="none"/>
              </w:rPr>
              <w:t>文件要求且投标价格最低的投标报价为评标基准价，其价格分为满分。其他供应商的价格分按照下列公式计算：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jc w:val="both"/>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rPr>
              <w:t>投标报价得分=（评标基准价/投标报价）×</w:t>
            </w:r>
            <w:r>
              <w:rPr>
                <w:rFonts w:hint="eastAsia" w:ascii="仿宋" w:hAnsi="仿宋" w:eastAsia="仿宋" w:cs="仿宋"/>
                <w:b/>
                <w:bCs/>
                <w:color w:val="auto"/>
                <w:sz w:val="21"/>
                <w:szCs w:val="21"/>
                <w:highlight w:val="none"/>
                <w:lang w:val="en-US" w:eastAsia="zh-CN"/>
              </w:rPr>
              <w:t>价格权值</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100%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磋商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磋商小组应当将其作为无效投标处理。</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64" w:type="dxa"/>
            <w:gridSpan w:val="2"/>
            <w:vMerge w:val="restart"/>
            <w:noWrap w:val="0"/>
            <w:vAlign w:val="center"/>
          </w:tcPr>
          <w:p>
            <w:pPr>
              <w:keepNext w:val="0"/>
              <w:keepLines w:val="0"/>
              <w:pageBreakBefore w:val="0"/>
              <w:suppressLineNumbers w:val="0"/>
              <w:overflowPunct/>
              <w:bidi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商务部分</w:t>
            </w: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①</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的营养包产品已在市场销售：两年以上得2分，未满两年得1分，未销售不得分。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提供</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开具的市场销售增值税专用发票底联复印件，未提供的不得分。</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64" w:type="dxa"/>
            <w:gridSpan w:val="2"/>
            <w:vMerge w:val="continue"/>
            <w:noWrap w:val="0"/>
            <w:vAlign w:val="center"/>
          </w:tcPr>
          <w:p>
            <w:pPr>
              <w:keepNext w:val="0"/>
              <w:keepLines w:val="0"/>
              <w:pageBreakBefore w:val="0"/>
              <w:suppressLineNumbers w:val="0"/>
              <w:overflowPunct/>
              <w:bidi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②</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lang w:val="en-US" w:eastAsia="zh-CN"/>
              </w:rPr>
              <w:t>20</w:t>
            </w:r>
            <w:r>
              <w:rPr>
                <w:rFonts w:hint="eastAsia" w:ascii="仿宋" w:hAnsi="仿宋" w:eastAsia="仿宋" w:cs="仿宋"/>
                <w:color w:val="auto"/>
                <w:sz w:val="21"/>
                <w:szCs w:val="21"/>
                <w:highlight w:val="none"/>
              </w:rPr>
              <w:t>年1月至投标之日期间，</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在婴幼儿辅食营养补充品（类似）项目政府采购活动中中标、成交次数，每提供一份得</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分，满分</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提供加盖</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公章的合同</w:t>
            </w:r>
            <w:r>
              <w:rPr>
                <w:rFonts w:hint="eastAsia" w:ascii="仿宋" w:hAnsi="仿宋" w:eastAsia="仿宋" w:cs="仿宋"/>
                <w:color w:val="auto"/>
                <w:sz w:val="21"/>
                <w:szCs w:val="21"/>
                <w:highlight w:val="none"/>
                <w:lang w:eastAsia="zh-CN"/>
              </w:rPr>
              <w:t>或中标通知书</w:t>
            </w:r>
            <w:r>
              <w:rPr>
                <w:rFonts w:hint="eastAsia" w:ascii="仿宋" w:hAnsi="仿宋" w:eastAsia="仿宋" w:cs="仿宋"/>
                <w:color w:val="auto"/>
                <w:sz w:val="21"/>
                <w:szCs w:val="21"/>
                <w:highlight w:val="none"/>
              </w:rPr>
              <w:t>复印件，原件备查（证明性文件中的</w:t>
            </w:r>
            <w:r>
              <w:rPr>
                <w:rFonts w:hint="eastAsia" w:ascii="仿宋" w:hAnsi="仿宋" w:eastAsia="仿宋" w:cs="仿宋"/>
                <w:color w:val="auto"/>
                <w:sz w:val="21"/>
                <w:szCs w:val="21"/>
                <w:highlight w:val="none"/>
                <w:lang w:val="en-US" w:eastAsia="zh-CN"/>
              </w:rPr>
              <w:t>成交供应商</w:t>
            </w:r>
            <w:r>
              <w:rPr>
                <w:rFonts w:hint="eastAsia" w:ascii="仿宋" w:hAnsi="仿宋" w:eastAsia="仿宋" w:cs="仿宋"/>
                <w:color w:val="auto"/>
                <w:sz w:val="21"/>
                <w:szCs w:val="21"/>
                <w:highlight w:val="none"/>
              </w:rPr>
              <w:t>名称必须与</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一致）。</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64" w:type="dxa"/>
            <w:gridSpan w:val="2"/>
            <w:vMerge w:val="continue"/>
            <w:noWrap w:val="0"/>
            <w:vAlign w:val="center"/>
          </w:tcPr>
          <w:p>
            <w:pPr>
              <w:keepNext w:val="0"/>
              <w:keepLines w:val="0"/>
              <w:pageBreakBefore w:val="0"/>
              <w:suppressLineNumbers w:val="0"/>
              <w:overflowPunct/>
              <w:bidi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③</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资助过辅食营养补充品相关的公益项目得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提供加盖</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公章的公益项目书或合同书或资格证明（函）等证明性文件（证明性文件中的资助人名称必须与</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一致）</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64" w:type="dxa"/>
            <w:gridSpan w:val="2"/>
            <w:vMerge w:val="continue"/>
            <w:noWrap w:val="0"/>
            <w:vAlign w:val="center"/>
          </w:tcPr>
          <w:p>
            <w:pPr>
              <w:keepNext w:val="0"/>
              <w:keepLines w:val="0"/>
              <w:pageBreakBefore w:val="0"/>
              <w:suppressLineNumbers w:val="0"/>
              <w:overflowPunct/>
              <w:bidi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④</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lang w:val="en-US" w:eastAsia="zh-CN"/>
              </w:rPr>
              <w:t>20</w:t>
            </w:r>
            <w:r>
              <w:rPr>
                <w:rFonts w:hint="eastAsia" w:ascii="仿宋" w:hAnsi="仿宋" w:eastAsia="仿宋" w:cs="仿宋"/>
                <w:color w:val="auto"/>
                <w:sz w:val="21"/>
                <w:szCs w:val="21"/>
                <w:highlight w:val="none"/>
              </w:rPr>
              <w:t>年1月至投标之日期间，</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出具已执行完成的儿童营养改善项目评价函或售后服务满意度综合评价函合格的，提供一份得0.</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分，满分3分。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提供评价函复印件及清单，应与业绩的采购合同一一对应，一份业绩有多个评价函的，仅以最高级别的计数一个。</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64" w:type="dxa"/>
            <w:gridSpan w:val="2"/>
            <w:vMerge w:val="continue"/>
            <w:noWrap w:val="0"/>
            <w:vAlign w:val="center"/>
          </w:tcPr>
          <w:p>
            <w:pPr>
              <w:keepNext w:val="0"/>
              <w:keepLines w:val="0"/>
              <w:pageBreakBefore w:val="0"/>
              <w:suppressLineNumbers w:val="0"/>
              <w:overflowPunct/>
              <w:bidi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⑤</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递交的证明文件齐全、</w:t>
            </w:r>
            <w:r>
              <w:rPr>
                <w:rFonts w:hint="eastAsia" w:ascii="仿宋" w:hAnsi="仿宋" w:eastAsia="仿宋" w:cs="仿宋"/>
                <w:color w:val="auto"/>
                <w:sz w:val="21"/>
                <w:szCs w:val="21"/>
                <w:highlight w:val="none"/>
                <w:lang w:eastAsia="zh-CN"/>
              </w:rPr>
              <w:t>响应文件</w:t>
            </w:r>
            <w:r>
              <w:rPr>
                <w:rFonts w:hint="eastAsia" w:ascii="仿宋" w:hAnsi="仿宋" w:eastAsia="仿宋" w:cs="仿宋"/>
                <w:color w:val="auto"/>
                <w:sz w:val="21"/>
                <w:szCs w:val="21"/>
                <w:highlight w:val="none"/>
              </w:rPr>
              <w:t>制作规范、完整得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64" w:type="dxa"/>
            <w:gridSpan w:val="2"/>
            <w:vMerge w:val="continue"/>
            <w:noWrap w:val="0"/>
            <w:vAlign w:val="center"/>
          </w:tcPr>
          <w:p>
            <w:pPr>
              <w:keepNext w:val="0"/>
              <w:keepLines w:val="0"/>
              <w:pageBreakBefore w:val="0"/>
              <w:suppressLineNumbers w:val="0"/>
              <w:overflowPunct/>
              <w:bidi w:val="0"/>
              <w:spacing w:before="0" w:beforeAutospacing="0" w:after="0" w:afterAutospacing="0" w:line="312" w:lineRule="auto"/>
              <w:ind w:left="0" w:leftChars="0" w:right="0" w:rightChars="0"/>
              <w:jc w:val="center"/>
              <w:rPr>
                <w:rFonts w:hint="eastAsia" w:ascii="仿宋" w:hAnsi="仿宋" w:eastAsia="仿宋" w:cs="仿宋"/>
                <w:sz w:val="21"/>
                <w:szCs w:val="21"/>
                <w:lang w:val="en-US" w:eastAsia="zh-CN"/>
              </w:rPr>
            </w:pPr>
          </w:p>
          <w:p>
            <w:pPr>
              <w:pStyle w:val="45"/>
              <w:pageBreakBefore w:val="0"/>
              <w:bidi w:val="0"/>
              <w:spacing w:line="312" w:lineRule="auto"/>
              <w:rPr>
                <w:rFonts w:hint="eastAsia" w:ascii="仿宋" w:hAnsi="仿宋" w:eastAsia="仿宋" w:cs="仿宋"/>
                <w:sz w:val="21"/>
                <w:szCs w:val="21"/>
                <w:lang w:val="en-US" w:eastAsia="zh-CN"/>
              </w:rPr>
            </w:pP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⑥</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就项目营养包参加食品安全责任保险，参加者得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分，未参加者不得分。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提供食品安全责任保险单或相关合同书。</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64" w:type="dxa"/>
            <w:gridSpan w:val="2"/>
            <w:vMerge w:val="continue"/>
            <w:noWrap w:val="0"/>
            <w:vAlign w:val="center"/>
          </w:tcPr>
          <w:p>
            <w:pPr>
              <w:keepNext w:val="0"/>
              <w:keepLines w:val="0"/>
              <w:pageBreakBefore w:val="0"/>
              <w:suppressLineNumbers w:val="0"/>
              <w:overflowPunct/>
              <w:bidi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⑦</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提供的售后服务方案内容全面，售后服务包括质量问题退换货、缺少补货、应急预案、售后服务团队和服务内容。方案最佳的得</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分，其他酌情减分，未提供售后服务方案的不得分。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提供的培训方案合理周到，满足</w:t>
            </w:r>
            <w:r>
              <w:rPr>
                <w:rFonts w:hint="eastAsia" w:ascii="仿宋" w:hAnsi="仿宋" w:eastAsia="仿宋" w:cs="仿宋"/>
                <w:color w:val="auto"/>
                <w:sz w:val="21"/>
                <w:szCs w:val="21"/>
                <w:highlight w:val="none"/>
                <w:lang w:eastAsia="zh-CN"/>
              </w:rPr>
              <w:t>磋商文件</w:t>
            </w:r>
            <w:r>
              <w:rPr>
                <w:rFonts w:hint="eastAsia" w:ascii="仿宋" w:hAnsi="仿宋" w:eastAsia="仿宋" w:cs="仿宋"/>
                <w:color w:val="auto"/>
                <w:sz w:val="21"/>
                <w:szCs w:val="21"/>
                <w:highlight w:val="none"/>
              </w:rPr>
              <w:t>要求的得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分，否则不得分。</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64" w:type="dxa"/>
            <w:gridSpan w:val="2"/>
            <w:vMerge w:val="continue"/>
            <w:noWrap w:val="0"/>
            <w:vAlign w:val="center"/>
          </w:tcPr>
          <w:p>
            <w:pPr>
              <w:keepNext w:val="0"/>
              <w:keepLines w:val="0"/>
              <w:pageBreakBefore w:val="0"/>
              <w:suppressLineNumbers w:val="0"/>
              <w:overflowPunct/>
              <w:bidi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⑧</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供应商承诺：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1.历年来参与营养改善项目过程中，不存在因缺乏事实依据或捏造事实或提供虚假材料或以非法手段取得证明材料等不正当事项提出质疑，或被财政部门因上述事项被驳回投诉等情形，得2分。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2.历年来实施营养改善项目过程中，不存在因自身原因（如产能、质量、售后）导致不能按合同要求及时供货、或未按规定履行相关义务等情形，得2分。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说明：</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自拟格式进行承诺，未提供承诺不得分。采购人、</w:t>
            </w:r>
            <w:r>
              <w:rPr>
                <w:rFonts w:hint="eastAsia" w:ascii="仿宋" w:hAnsi="仿宋" w:eastAsia="仿宋" w:cs="仿宋"/>
                <w:color w:val="auto"/>
                <w:sz w:val="21"/>
                <w:szCs w:val="21"/>
                <w:highlight w:val="none"/>
                <w:lang w:eastAsia="zh-CN"/>
              </w:rPr>
              <w:t>采购代理机构</w:t>
            </w:r>
            <w:r>
              <w:rPr>
                <w:rFonts w:hint="eastAsia" w:ascii="仿宋" w:hAnsi="仿宋" w:eastAsia="仿宋" w:cs="仿宋"/>
                <w:color w:val="auto"/>
                <w:sz w:val="21"/>
                <w:szCs w:val="21"/>
                <w:highlight w:val="none"/>
              </w:rPr>
              <w:t>或评标委员会可对</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承诺的真实性进行查验（通过网络查询或已掌握的事实依据等方式），虚假承诺将可能按照有关规定上报财政部门，评标委员会有权不予认可供应商承诺。</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技术方案</w:t>
            </w:r>
          </w:p>
        </w:tc>
        <w:tc>
          <w:tcPr>
            <w:tcW w:w="1447"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产品技术性能响应</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投标产品技术应答不能实质性满足</w:t>
            </w:r>
            <w:r>
              <w:rPr>
                <w:rFonts w:hint="eastAsia" w:ascii="仿宋" w:hAnsi="仿宋" w:eastAsia="仿宋" w:cs="仿宋"/>
                <w:color w:val="auto"/>
                <w:sz w:val="21"/>
                <w:szCs w:val="21"/>
                <w:highlight w:val="none"/>
                <w:lang w:eastAsia="zh-CN"/>
              </w:rPr>
              <w:t>磋商文件</w:t>
            </w:r>
            <w:r>
              <w:rPr>
                <w:rFonts w:hint="eastAsia" w:ascii="仿宋" w:hAnsi="仿宋" w:eastAsia="仿宋" w:cs="仿宋"/>
                <w:color w:val="auto"/>
                <w:sz w:val="21"/>
                <w:szCs w:val="21"/>
                <w:highlight w:val="none"/>
              </w:rPr>
              <w:t>指标要求的投标将作为无效投标。投标产品技术应答满足</w:t>
            </w:r>
            <w:r>
              <w:rPr>
                <w:rFonts w:hint="eastAsia" w:ascii="仿宋" w:hAnsi="仿宋" w:eastAsia="仿宋" w:cs="仿宋"/>
                <w:color w:val="auto"/>
                <w:sz w:val="21"/>
                <w:szCs w:val="21"/>
                <w:highlight w:val="none"/>
                <w:lang w:eastAsia="zh-CN"/>
              </w:rPr>
              <w:t>磋商文件</w:t>
            </w:r>
            <w:r>
              <w:rPr>
                <w:rFonts w:hint="eastAsia" w:ascii="仿宋" w:hAnsi="仿宋" w:eastAsia="仿宋" w:cs="仿宋"/>
                <w:color w:val="auto"/>
                <w:sz w:val="21"/>
                <w:szCs w:val="21"/>
                <w:highlight w:val="none"/>
              </w:rPr>
              <w:t>要求得10分；投标产品技术应答技术指标不满足</w:t>
            </w:r>
            <w:r>
              <w:rPr>
                <w:rFonts w:hint="eastAsia" w:ascii="仿宋" w:hAnsi="仿宋" w:eastAsia="仿宋" w:cs="仿宋"/>
                <w:color w:val="auto"/>
                <w:sz w:val="21"/>
                <w:szCs w:val="21"/>
                <w:highlight w:val="none"/>
                <w:lang w:eastAsia="zh-CN"/>
              </w:rPr>
              <w:t>磋商文件</w:t>
            </w:r>
            <w:r>
              <w:rPr>
                <w:rFonts w:hint="eastAsia" w:ascii="仿宋" w:hAnsi="仿宋" w:eastAsia="仿宋" w:cs="仿宋"/>
                <w:color w:val="auto"/>
                <w:sz w:val="21"/>
                <w:szCs w:val="21"/>
                <w:highlight w:val="none"/>
              </w:rPr>
              <w:t>要求，一项减</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分；减完为止。</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1447"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型式检验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报告</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提供20</w:t>
            </w:r>
            <w:r>
              <w:rPr>
                <w:rFonts w:hint="eastAsia" w:ascii="仿宋" w:hAnsi="仿宋" w:eastAsia="仿宋" w:cs="仿宋"/>
                <w:color w:val="auto"/>
                <w:sz w:val="21"/>
                <w:szCs w:val="21"/>
                <w:highlight w:val="none"/>
                <w:lang w:val="en-US" w:eastAsia="zh-CN"/>
              </w:rPr>
              <w:t>20</w:t>
            </w:r>
            <w:r>
              <w:rPr>
                <w:rFonts w:hint="eastAsia" w:ascii="仿宋" w:hAnsi="仿宋" w:eastAsia="仿宋" w:cs="仿宋"/>
                <w:color w:val="auto"/>
                <w:sz w:val="21"/>
                <w:szCs w:val="21"/>
                <w:highlight w:val="none"/>
              </w:rPr>
              <w:t>年1月至投标之日期间</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由国家认可有资质的食品检验机构出具的型式检验报告，技术指标应符合本项目要求。提供3次及以上不同批次检验报告（每份报告出具日期间隔不少于5个月）得2分，2次得1分，1次不得分。型式检验报告不符合项目营养包质量规定书中有关规定的，作为无效投标处理。</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1447"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安全防御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设施</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生产车间、仓库（原辅料、包材和成品）有电子门禁，且厂区、仓库、营养包生产过程有电子监控的得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分，否则不得分。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提供《食品防御计划》及相应监视器照片。</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92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生产设备自动化</w:t>
            </w: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①</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生产自动化程度高，从营养包原辅料投料至内包装全过程通过密闭管道粉体输送自动完成，得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分；有一定自动化，物料输送采用部分人工方式，得1分。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eastAsia="zh-CN"/>
              </w:rPr>
              <w:t>（提供项目营养包生产从投料、筛分、混合到分装的流程图和视频，视频单独提供一个</w:t>
            </w:r>
            <w:r>
              <w:rPr>
                <w:rFonts w:hint="eastAsia" w:ascii="仿宋" w:hAnsi="仿宋" w:eastAsia="仿宋" w:cs="仿宋"/>
                <w:b/>
                <w:bCs/>
                <w:color w:val="auto"/>
                <w:sz w:val="21"/>
                <w:szCs w:val="21"/>
                <w:highlight w:val="none"/>
                <w:lang w:val="en-US" w:eastAsia="zh-CN"/>
              </w:rPr>
              <w:t>U盘</w:t>
            </w:r>
            <w:r>
              <w:rPr>
                <w:rFonts w:hint="eastAsia" w:ascii="仿宋" w:hAnsi="仿宋" w:eastAsia="仿宋" w:cs="仿宋"/>
                <w:b/>
                <w:bCs/>
                <w:color w:val="auto"/>
                <w:sz w:val="21"/>
                <w:szCs w:val="21"/>
                <w:highlight w:val="none"/>
                <w:lang w:eastAsia="zh-CN"/>
              </w:rPr>
              <w:t>同时提供设备参数及功能描述）。</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92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②</w:t>
            </w:r>
          </w:p>
        </w:tc>
        <w:tc>
          <w:tcPr>
            <w:tcW w:w="6877" w:type="dxa"/>
            <w:noWrap w:val="0"/>
            <w:vAlign w:val="center"/>
          </w:tcPr>
          <w:p>
            <w:pPr>
              <w:keepNext w:val="0"/>
              <w:keepLines w:val="0"/>
              <w:pageBreakBefore w:val="0"/>
              <w:widowControl w:val="0"/>
              <w:numPr>
                <w:ilvl w:val="0"/>
                <w:numId w:val="35"/>
              </w:numPr>
              <w:suppressLineNumbers w:val="0"/>
              <w:tabs>
                <w:tab w:val="left" w:pos="210"/>
              </w:tabs>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内包装小袋标识的生产日期或批次，是在生产线上采用激光打码的，得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p>
          <w:p>
            <w:pPr>
              <w:keepNext w:val="0"/>
              <w:keepLines w:val="0"/>
              <w:pageBreakBefore w:val="0"/>
              <w:widowControl w:val="0"/>
              <w:numPr>
                <w:ilvl w:val="0"/>
                <w:numId w:val="35"/>
              </w:numPr>
              <w:suppressLineNumbers w:val="0"/>
              <w:tabs>
                <w:tab w:val="left" w:pos="210"/>
              </w:tabs>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外盒采用激光打码或其他不可擦拭修改方式对生产日期及批号进行标识的，得1分。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评价样品，查看外盒和小袋上信息；查看激光打码机在生产线上的位置图照片</w:t>
            </w:r>
            <w:r>
              <w:rPr>
                <w:rFonts w:hint="eastAsia" w:ascii="仿宋" w:hAnsi="仿宋" w:eastAsia="仿宋" w:cs="仿宋"/>
                <w:b/>
                <w:bCs/>
                <w:color w:val="auto"/>
                <w:sz w:val="21"/>
                <w:szCs w:val="21"/>
                <w:highlight w:val="none"/>
                <w:lang w:eastAsia="zh-CN"/>
              </w:rPr>
              <w:t>。）</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92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③</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具有在线检出异物并自动剔除装置，以及重量不合格盒装产品自动剔除装置的生产线，得2分；其他不得分。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提供设备照片</w:t>
            </w:r>
            <w:r>
              <w:rPr>
                <w:rFonts w:hint="eastAsia" w:ascii="仿宋" w:hAnsi="仿宋" w:eastAsia="仿宋" w:cs="仿宋"/>
                <w:b/>
                <w:bCs/>
                <w:color w:val="auto"/>
                <w:sz w:val="21"/>
                <w:szCs w:val="21"/>
                <w:highlight w:val="none"/>
                <w:lang w:eastAsia="zh-CN"/>
              </w:rPr>
              <w:t>。）</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1447"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生产线异物控制能力</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在营养包生产线上同时安装金属探测器和X光异物探测装置，得2分，只有1种得1分，没有不得分。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提供安装位点的照片和购置机器的正式发票复印件。</w:t>
            </w:r>
            <w:r>
              <w:rPr>
                <w:rFonts w:hint="eastAsia" w:ascii="仿宋" w:hAnsi="仿宋" w:eastAsia="仿宋" w:cs="仿宋"/>
                <w:b/>
                <w:bCs/>
                <w:color w:val="auto"/>
                <w:sz w:val="21"/>
                <w:szCs w:val="21"/>
                <w:highlight w:val="none"/>
                <w:lang w:eastAsia="zh-CN"/>
              </w:rPr>
              <w:t>）</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1447"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营养包充氮防氧化措施</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采取的充氮措施进行评价：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自制食品级氮气用于营养包充氮，防产品氧化，并获得食品添加剂氮气生产许可证，得1分（提供相关生产许可证扫描件加盖</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公章），未提供的得0分；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提供营养包残氧量检测结果小于3%的第三方检验机构报告得1分，未提供的得0分；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提供在本项目中应用充氮措施的承诺得1分，未提供的得0分。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投标时承诺应用充氮措施的，中标后残氧量指标应列入相应的采购合同，产品抽检时该指标一旦不符合，按不合格产品处置。</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92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技术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研发</w:t>
            </w: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①</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所投产品的全项稳定性试验报告。实施稳定性试验批次的营养包中使用的I类速溶豆粉，其质量规格和生产企业应与所投产品一致，提供常温放置试验至少1年的稳定性报告和加速试验至少3个月的报告得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分，仅提供常温放置试验至少1年的稳定性报告得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分，仅提供加速试验至少3个月的报告得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92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②</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获得国家级和省部级辅食营养补充品相关科研项目成果奖，得1分</w:t>
            </w:r>
            <w:r>
              <w:rPr>
                <w:rFonts w:hint="eastAsia" w:ascii="仿宋" w:hAnsi="仿宋" w:eastAsia="仿宋" w:cs="仿宋"/>
                <w:b/>
                <w:bCs/>
                <w:color w:val="auto"/>
                <w:sz w:val="21"/>
                <w:szCs w:val="21"/>
                <w:highlight w:val="none"/>
                <w:lang w:eastAsia="zh-CN"/>
              </w:rPr>
              <w:t>（提供项目书、批复文件复印件等证明材料。）</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92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③</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获市级及以上高新技术企业证书的</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得1分。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eastAsia="zh-CN"/>
              </w:rPr>
              <w:t>（提供高新技术企业证书复印件。）</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92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产品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配料</w:t>
            </w: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①</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I类速溶豆粉质量及来源要求</w:t>
            </w:r>
            <w:r>
              <w:rPr>
                <w:rFonts w:hint="eastAsia" w:ascii="仿宋" w:hAnsi="仿宋" w:eastAsia="仿宋" w:cs="仿宋"/>
                <w:color w:val="auto"/>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中标后承诺应用于本项目营养包的I类速溶豆粉相关的证明性采购资料：I类速溶豆粉质量规格书及合格供应商名称；1份既往I类速溶豆粉采购合同和1张上年度I类速溶豆粉采购发票的复印件、3个批次I类速溶豆粉质检报告复印件；在项目营养包中应用的测试报告，提供承诺书，承诺须征得采购人同意后方能更换豆粉生产商。上述资料提供完全者，得3分，提供不全或未提供的不得分。</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92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②</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提供由第三方食品检验机构出具的1年内速溶豆粉非转基因、污染物、农药残留的检测报告：</w:t>
            </w:r>
          </w:p>
          <w:p>
            <w:pPr>
              <w:keepNext w:val="0"/>
              <w:keepLines w:val="0"/>
              <w:pageBreakBefore w:val="0"/>
              <w:widowControl w:val="0"/>
              <w:numPr>
                <w:ilvl w:val="0"/>
                <w:numId w:val="36"/>
              </w:numPr>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能提供速溶豆粉生产商和营养包企业委托检验报告的得1分，速溶豆粉和营养包为同一生产商时，能提供委托检验报告的，得1分</w:t>
            </w:r>
            <w:r>
              <w:rPr>
                <w:rFonts w:hint="eastAsia" w:ascii="仿宋" w:hAnsi="仿宋" w:eastAsia="仿宋" w:cs="仿宋"/>
                <w:color w:val="auto"/>
                <w:sz w:val="21"/>
                <w:szCs w:val="21"/>
                <w:highlight w:val="none"/>
                <w:lang w:eastAsia="zh-CN"/>
              </w:rPr>
              <w:t>。</w:t>
            </w:r>
          </w:p>
          <w:p>
            <w:pPr>
              <w:keepNext w:val="0"/>
              <w:keepLines w:val="0"/>
              <w:pageBreakBefore w:val="0"/>
              <w:widowControl w:val="0"/>
              <w:numPr>
                <w:ilvl w:val="0"/>
                <w:numId w:val="36"/>
              </w:numPr>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只提供速溶豆粉企业或营养包企业的委托检验报告的得0.5分。</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92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③</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I类速溶豆粉所使用大豆来源为非转基因的说明文件及证明性文件（如种子来源及其证明，种植基地说明及其证明等），该文件由速溶豆粉生产企业提供，并加盖公章，能提供得1分；I类速溶豆粉生产企业具备转基因成分检测能力的，提供检测设备照片并加盖公章，提供者得1分。</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92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产品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包装</w:t>
            </w: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①</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产品小袋包装采用条形包装，得1分；</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4"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92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5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②</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纸箱、盒装、小袋装产品包装及外观品质的评价：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内包装：材质符合GB/T 28118-2011的要求，有第三方检测报告，报告中氧气透过量[cm3/(m2•24h•0.1MPa)]≤0.8,水蒸汽透过量[g/(m2•24h)]≤0.5的得1分，未提供选择证明和检测报告的不得分。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外包装：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⑴纸盒：装30袋营养包的纸盒应清洁、牢固、无破损，而且盒外印刷油墨牢固、不脱落、不褪色、无污染，选择证明或检测结果等优于招标要求的得1分，否则不得分。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⑵纸箱：箱体牢固、无凹瘪、无破损和塌陷、无霉变和异味、箱外印刷油墨牢固、不脱落、不褪色、无污染，选择证明或检测结果等优于招标要求的得1分，否则不得分。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外观品质的评价：有评标专家横向评价</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样品的外盒和内包装小袋，对盒装产品的外观和纸盒材质厚度、挺度，以及内包装小袋的外观、材质进行总体打分，得分排名第一得1分，其他不得分。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提供纸箱、盒装产品，</w:t>
            </w:r>
            <w:r>
              <w:rPr>
                <w:rFonts w:hint="eastAsia" w:ascii="仿宋" w:hAnsi="仿宋" w:eastAsia="仿宋" w:cs="仿宋"/>
                <w:b/>
                <w:bCs/>
                <w:color w:val="auto"/>
                <w:sz w:val="21"/>
                <w:szCs w:val="21"/>
                <w:highlight w:val="none"/>
                <w:lang w:eastAsia="zh-CN"/>
              </w:rPr>
              <w:t>响应文件</w:t>
            </w:r>
            <w:r>
              <w:rPr>
                <w:rFonts w:hint="eastAsia" w:ascii="仿宋" w:hAnsi="仿宋" w:eastAsia="仿宋" w:cs="仿宋"/>
                <w:b/>
                <w:bCs/>
                <w:color w:val="auto"/>
                <w:sz w:val="21"/>
                <w:szCs w:val="21"/>
                <w:highlight w:val="none"/>
              </w:rPr>
              <w:t>中包装材料选择证明或检测报告等，以及对纸箱、纸盒的强度进行说明。</w:t>
            </w:r>
            <w:r>
              <w:rPr>
                <w:rFonts w:hint="eastAsia" w:ascii="仿宋" w:hAnsi="仿宋" w:eastAsia="仿宋" w:cs="仿宋"/>
                <w:b/>
                <w:bCs/>
                <w:color w:val="auto"/>
                <w:sz w:val="21"/>
                <w:szCs w:val="21"/>
                <w:highlight w:val="none"/>
                <w:lang w:eastAsia="zh-CN"/>
              </w:rPr>
              <w:t>）</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0"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1447"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产品感官</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在评标前提供双份营养包样品作为评标时的测试样品，即2份*2盒/份*30袋/盒*12g/袋，每份封样包装，封条上签署质量管理部门负责人并加盖企业公章，寄到采购</w:t>
            </w:r>
            <w:r>
              <w:rPr>
                <w:rFonts w:hint="eastAsia" w:ascii="仿宋" w:hAnsi="仿宋" w:eastAsia="仿宋" w:cs="仿宋"/>
                <w:color w:val="auto"/>
                <w:sz w:val="21"/>
                <w:szCs w:val="21"/>
                <w:highlight w:val="none"/>
                <w:lang w:val="en-US" w:eastAsia="zh-CN"/>
              </w:rPr>
              <w:t>代理机构</w:t>
            </w:r>
            <w:r>
              <w:rPr>
                <w:rFonts w:hint="eastAsia" w:ascii="仿宋" w:hAnsi="仿宋" w:eastAsia="仿宋" w:cs="仿宋"/>
                <w:color w:val="auto"/>
                <w:sz w:val="21"/>
                <w:szCs w:val="21"/>
                <w:highlight w:val="none"/>
              </w:rPr>
              <w:t>，一份用于评标现场专家评测使用，另一份由采购方留存备查。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由评标专家横向评价各</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样品的包装、色泽、气味、溶解性、口感：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产品色泽：淡黄色或与所添加原料相符的色泽，色泽均匀，粉末状得1分。如颜色暗沉或过于鲜艳，色泽不均，非粉末状得0分；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产品气味：气味应属于新鲜豆粉味，或有乳粉香气1分。气味一般得0分；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产品冲调性：产品冲调后应能迅速溶解，无结块、无分层得3分；冲调性一般，得1分；如冲调性差，放置后有明显结块或分层严重得0分（注：冲调过稀在底部有棕色沉淀物为富马酸亚铁，属正常现象）；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产品口感：应当口感细腻润滑，无粗糙或砂砾感，甜味适中1分；如口感粗糙或过甜得0分；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发现产品有酸馊味、哈喇味或其它异味的，样品评审得0分。综合评分排末位。</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1447"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产品配送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保障</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的营养包配送计划和方案合理、详细、周到，以及营养包及配套资料安全、及时送达的配送能力和保障措施最佳的得</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分，对其它</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酌情减分，最低不得分。提供营养包配送计划及方案，对配送能力和保障措施进行说明。</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p>
        </w:tc>
        <w:tc>
          <w:tcPr>
            <w:tcW w:w="1447"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电子信息化食品安全全程追溯能力</w:t>
            </w:r>
          </w:p>
        </w:tc>
        <w:tc>
          <w:tcPr>
            <w:tcW w:w="68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leftChars="0" w:right="0" w:right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已经建立并运行电子信息化食品安全全程追溯体系（能够实现食品安全追溯功能，可追溯到每批次产品生产环境、设备运行、关键控制点、配方、投料、赋码、检测、储存、销售、召回等环节），一盒一码（二维码），该码能自动读取并录入电子信息化系统，得</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分（提供系统的具体方案实现原理及上述要求的系统进行截图、网址、临时用户名及密码），未提供的得0分。</w:t>
            </w:r>
          </w:p>
        </w:tc>
        <w:tc>
          <w:tcPr>
            <w:tcW w:w="884" w:type="dxa"/>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9850" w:type="dxa"/>
            <w:gridSpan w:val="5"/>
            <w:noWrap w:val="0"/>
            <w:vAlign w:val="center"/>
          </w:tcPr>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备注：</w:t>
            </w:r>
          </w:p>
          <w:p>
            <w:pPr>
              <w:keepNext w:val="0"/>
              <w:keepLines w:val="0"/>
              <w:pageBreakBefore w:val="0"/>
              <w:suppressLineNumbers w:val="0"/>
              <w:overflowPunct/>
              <w:bidi w:val="0"/>
              <w:adjustRightInd w:val="0"/>
              <w:snapToGrid w:val="0"/>
              <w:spacing w:before="0" w:beforeAutospacing="0" w:after="0" w:afterAutospacing="0" w:line="312" w:lineRule="auto"/>
              <w:ind w:left="0" w:leftChars="0" w:right="0" w:right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各评委应按照本评标方法独立打分。</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分项评分超出评分标准范围或评标委员会成员对客观评审因素评分不一致时，采购代理机构可以要求评标委员会复核或者书面说明理由，评标委员会拒绝的，应予记录并向本级财政部门报告。</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若出现综合得分并列时，比较</w:t>
            </w:r>
            <w:r>
              <w:rPr>
                <w:rFonts w:hint="eastAsia" w:ascii="仿宋" w:hAnsi="仿宋" w:eastAsia="仿宋" w:cs="仿宋"/>
                <w:color w:val="auto"/>
                <w:sz w:val="21"/>
                <w:szCs w:val="21"/>
                <w:highlight w:val="none"/>
                <w:lang w:eastAsia="zh-CN"/>
              </w:rPr>
              <w:t>投标价格</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价格低的</w:t>
            </w:r>
            <w:r>
              <w:rPr>
                <w:rFonts w:hint="eastAsia" w:ascii="仿宋" w:hAnsi="仿宋" w:eastAsia="仿宋" w:cs="仿宋"/>
                <w:color w:val="auto"/>
                <w:sz w:val="21"/>
                <w:szCs w:val="21"/>
                <w:highlight w:val="none"/>
              </w:rPr>
              <w:t>排序在前；若价格得分仍相同，比较技术得分，此分项得分高者排序在前；若技术得分仍相同，则由全体评标委员会成员无记名投票，得票高者排序在前。</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lang w:eastAsia="zh-CN"/>
              </w:rPr>
              <w:t>计算结果</w:t>
            </w:r>
            <w:r>
              <w:rPr>
                <w:rFonts w:hint="eastAsia" w:ascii="仿宋" w:hAnsi="仿宋" w:eastAsia="仿宋" w:cs="仿宋"/>
                <w:color w:val="auto"/>
                <w:sz w:val="21"/>
                <w:szCs w:val="21"/>
                <w:highlight w:val="none"/>
              </w:rPr>
              <w:t>保留两位小数，第三</w:t>
            </w:r>
            <w:r>
              <w:rPr>
                <w:rFonts w:hint="eastAsia" w:ascii="仿宋" w:hAnsi="仿宋" w:eastAsia="仿宋" w:cs="仿宋"/>
                <w:color w:val="auto"/>
                <w:sz w:val="21"/>
                <w:szCs w:val="21"/>
              </w:rPr>
              <w:t>位“四舍五入”。</w:t>
            </w:r>
            <w:r>
              <w:rPr>
                <w:rFonts w:hint="eastAsia" w:ascii="仿宋" w:hAnsi="仿宋" w:eastAsia="仿宋" w:cs="仿宋"/>
                <w:color w:val="auto"/>
                <w:sz w:val="21"/>
                <w:szCs w:val="21"/>
              </w:rPr>
              <w:br w:type="textWrapping"/>
            </w:r>
            <w:r>
              <w:rPr>
                <w:rFonts w:hint="eastAsia" w:ascii="仿宋" w:hAnsi="仿宋" w:eastAsia="仿宋" w:cs="仿宋"/>
                <w:color w:val="auto"/>
                <w:sz w:val="21"/>
                <w:szCs w:val="21"/>
              </w:rPr>
              <w:t>5</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rPr>
              <w:t>评标过程中，若出现特殊情况时，由评标委员会决定暂停评标，并提出具体处理意见。</w:t>
            </w:r>
          </w:p>
        </w:tc>
      </w:tr>
    </w:tbl>
    <w:p>
      <w:pPr>
        <w:pageBreakBefore w:val="0"/>
        <w:numPr>
          <w:ilvl w:val="0"/>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0" w:firstLine="0"/>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br w:type="page"/>
      </w:r>
      <w:r>
        <w:rPr>
          <w:rFonts w:hint="eastAsia" w:ascii="仿宋" w:hAnsi="仿宋" w:eastAsia="仿宋" w:cs="仿宋"/>
          <w:b/>
          <w:bCs/>
          <w:sz w:val="24"/>
          <w:highlight w:val="none"/>
          <w:lang w:val="zh-CN"/>
        </w:rPr>
        <w:t>综合评分法</w:t>
      </w:r>
    </w:p>
    <w:p>
      <w:pPr>
        <w:pageBreakBefore w:val="0"/>
        <w:numPr>
          <w:ilvl w:val="1"/>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420" w:firstLine="0"/>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综合评分法</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本采购项目评审方法采用综合评分法；</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综合评分法评审标准中的分值设置应当与评审因素的量化指标相对应。响应文件中没有规定的评审标准不得作为评审依据。</w:t>
      </w:r>
    </w:p>
    <w:p>
      <w:pPr>
        <w:pageBreakBefore w:val="0"/>
        <w:numPr>
          <w:ilvl w:val="1"/>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420" w:firstLine="0"/>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评审总得分</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评审总得分为详细评审标准中各评分项得分之和，满分</w:t>
      </w:r>
      <w:r>
        <w:rPr>
          <w:rFonts w:hint="eastAsia" w:ascii="仿宋" w:hAnsi="仿宋" w:eastAsia="仿宋" w:cs="仿宋"/>
          <w:sz w:val="24"/>
          <w:highlight w:val="none"/>
          <w:lang w:val="en-US" w:eastAsia="zh-CN"/>
        </w:rPr>
        <w:t>100</w:t>
      </w:r>
      <w:r>
        <w:rPr>
          <w:rFonts w:hint="eastAsia" w:ascii="仿宋" w:hAnsi="仿宋" w:eastAsia="仿宋" w:cs="仿宋"/>
          <w:sz w:val="24"/>
          <w:highlight w:val="none"/>
          <w:lang w:val="zh-CN"/>
        </w:rPr>
        <w:t>分；</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评审过程中，不得去掉报价中的最高报价和最低报价；</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磋商小组成员应当独立对满足磋商文件全部实质性要求供应商的响应文件进行评价、评分，然后汇总每个供应商每项评分因素的得分。每个供应商的最终得分为所有磋商小组成员评分的算术平均值。</w:t>
      </w:r>
    </w:p>
    <w:p>
      <w:pPr>
        <w:pageBreakBefore w:val="0"/>
        <w:numPr>
          <w:ilvl w:val="1"/>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420" w:firstLine="0"/>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无效响应文件的认定</w:t>
      </w:r>
    </w:p>
    <w:p>
      <w:pPr>
        <w:pStyle w:val="16"/>
        <w:pageBreakBefore w:val="0"/>
        <w:tabs>
          <w:tab w:val="left" w:pos="600"/>
        </w:tabs>
        <w:kinsoku/>
        <w:overflowPunct/>
        <w:bidi w:val="0"/>
        <w:snapToGrid w:val="0"/>
        <w:spacing w:line="312" w:lineRule="auto"/>
        <w:jc w:val="left"/>
        <w:rPr>
          <w:rFonts w:hint="eastAsia" w:ascii="仿宋" w:hAnsi="仿宋" w:eastAsia="仿宋" w:cs="仿宋"/>
          <w:kern w:val="2"/>
          <w:szCs w:val="24"/>
          <w:highlight w:val="none"/>
          <w:lang w:val="zh-CN"/>
        </w:rPr>
      </w:pPr>
      <w:r>
        <w:rPr>
          <w:rFonts w:hint="eastAsia" w:ascii="仿宋" w:hAnsi="仿宋" w:eastAsia="仿宋" w:cs="仿宋"/>
          <w:kern w:val="2"/>
          <w:szCs w:val="24"/>
          <w:highlight w:val="none"/>
          <w:lang w:val="zh-CN"/>
        </w:rPr>
        <w:t>在评审过程中，出现下列情形之一的，响应文件无效：</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不具备磋商文件规定的供应商资格条件和要求的；</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响应文件未按照磋商文件规定的格式要求编制的；</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响应文件未按照磋商文件规定和要求签署、盖章的；</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磋商报价超过了磋商文件中规定的最高限价的；</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响应文件未完全响应磋商文件内容出现漏项、缺项的；</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响应文件的关键内容字迹模糊和无法辨认的；</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en-US" w:eastAsia="zh-CN"/>
        </w:rPr>
        <w:t>交货期</w:t>
      </w:r>
      <w:r>
        <w:rPr>
          <w:rFonts w:hint="eastAsia" w:ascii="仿宋" w:hAnsi="仿宋" w:eastAsia="仿宋" w:cs="仿宋"/>
          <w:sz w:val="24"/>
          <w:highlight w:val="none"/>
          <w:lang w:val="zh-CN"/>
        </w:rPr>
        <w:t>、质量、承诺等条款不能满足磋商文件要求的；</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响应文件中附有采购人不能接受的附加条件的；</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磋商文件和法律法规规定的其他情形。</w:t>
      </w:r>
    </w:p>
    <w:p>
      <w:pPr>
        <w:pageBreakBefore w:val="0"/>
        <w:numPr>
          <w:ilvl w:val="1"/>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0" w:firstLine="482" w:firstLineChars="200"/>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复核与核对评审结果</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评分汇总结束后，磋商小组应当进行复核，特别要对拟推荐成交候选人的、最后报价最低的、响应文件被认定无效的进行重点复核；</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评审结果汇总完成后，评审报告签署前，采购代理机构应当核对评审结果，除下列情形外，任何人不得修改评审结果：</w:t>
      </w:r>
    </w:p>
    <w:p>
      <w:pPr>
        <w:pageBreakBefore w:val="0"/>
        <w:numPr>
          <w:ilvl w:val="0"/>
          <w:numId w:val="37"/>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资格性认定错误的；</w:t>
      </w:r>
    </w:p>
    <w:p>
      <w:pPr>
        <w:pageBreakBefore w:val="0"/>
        <w:numPr>
          <w:ilvl w:val="0"/>
          <w:numId w:val="37"/>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分值汇总计算错误的；</w:t>
      </w:r>
    </w:p>
    <w:p>
      <w:pPr>
        <w:pageBreakBefore w:val="0"/>
        <w:numPr>
          <w:ilvl w:val="0"/>
          <w:numId w:val="37"/>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分项评分超出评分标准范围的；</w:t>
      </w:r>
    </w:p>
    <w:p>
      <w:pPr>
        <w:pageBreakBefore w:val="0"/>
        <w:numPr>
          <w:ilvl w:val="0"/>
          <w:numId w:val="37"/>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磋商小组对客观评审因素评分不一致的；</w:t>
      </w:r>
    </w:p>
    <w:p>
      <w:pPr>
        <w:pageBreakBefore w:val="0"/>
        <w:numPr>
          <w:ilvl w:val="0"/>
          <w:numId w:val="37"/>
        </w:numPr>
        <w:tabs>
          <w:tab w:val="left" w:pos="0"/>
          <w:tab w:val="left" w:pos="210"/>
          <w:tab w:val="left" w:pos="420"/>
          <w:tab w:val="left" w:pos="630"/>
          <w:tab w:val="left" w:pos="840"/>
          <w:tab w:val="left" w:pos="1060"/>
          <w:tab w:val="left" w:pos="1480"/>
        </w:tabs>
        <w:kinsoku/>
        <w:overflowPunct/>
        <w:bidi w:val="0"/>
        <w:adjustRightInd w:val="0"/>
        <w:snapToGrid w:val="0"/>
        <w:spacing w:line="312"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经磋商小组一致认定评分畸高、畸低的。</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经复核发现存在以上情形之一的，磋商小组应当当场修改评审结果，并在评审报告中记载。</w:t>
      </w:r>
    </w:p>
    <w:p>
      <w:pPr>
        <w:pageBreakBefore w:val="0"/>
        <w:numPr>
          <w:ilvl w:val="1"/>
          <w:numId w:val="30"/>
        </w:numPr>
        <w:tabs>
          <w:tab w:val="left" w:pos="0"/>
          <w:tab w:val="left" w:pos="210"/>
          <w:tab w:val="left" w:pos="420"/>
          <w:tab w:val="left" w:pos="630"/>
          <w:tab w:val="left" w:pos="840"/>
          <w:tab w:val="left" w:pos="1050"/>
        </w:tabs>
        <w:kinsoku/>
        <w:overflowPunct/>
        <w:bidi w:val="0"/>
        <w:adjustRightInd w:val="0"/>
        <w:snapToGrid w:val="0"/>
        <w:spacing w:line="312" w:lineRule="auto"/>
        <w:ind w:left="0" w:firstLine="482" w:firstLineChars="200"/>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评审报告</w:t>
      </w:r>
    </w:p>
    <w:p>
      <w:pPr>
        <w:pageBreakBefore w:val="0"/>
        <w:numPr>
          <w:ilvl w:val="2"/>
          <w:numId w:val="30"/>
        </w:numPr>
        <w:tabs>
          <w:tab w:val="left" w:pos="0"/>
          <w:tab w:val="left" w:pos="210"/>
          <w:tab w:val="left" w:pos="420"/>
          <w:tab w:val="left" w:pos="630"/>
          <w:tab w:val="left" w:pos="1050"/>
        </w:tabs>
        <w:kinsoku/>
        <w:overflowPunct/>
        <w:bidi w:val="0"/>
        <w:adjustRightInd w:val="0"/>
        <w:snapToGrid w:val="0"/>
        <w:spacing w:line="312" w:lineRule="auto"/>
        <w:ind w:left="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磋商小组根据得分由高到低的顺序推荐3名成交候选人，并标明推荐顺序。</w:t>
      </w:r>
    </w:p>
    <w:p>
      <w:pPr>
        <w:pStyle w:val="26"/>
        <w:pageBreakBefore w:val="0"/>
        <w:numPr>
          <w:ilvl w:val="0"/>
          <w:numId w:val="0"/>
        </w:numPr>
        <w:overflowPunct/>
        <w:bidi w:val="0"/>
        <w:spacing w:line="312" w:lineRule="auto"/>
        <w:ind w:leftChars="0"/>
        <w:rPr>
          <w:rFonts w:hint="eastAsia" w:ascii="仿宋" w:hAnsi="仿宋" w:eastAsia="仿宋" w:cs="仿宋"/>
          <w:highlight w:val="none"/>
        </w:rPr>
      </w:pPr>
      <w:r>
        <w:rPr>
          <w:rFonts w:hint="eastAsia" w:ascii="仿宋" w:hAnsi="仿宋" w:eastAsia="仿宋" w:cs="仿宋"/>
          <w:sz w:val="24"/>
          <w:highlight w:val="none"/>
          <w:lang w:val="zh-CN"/>
        </w:rPr>
        <w:t>磋商小组在完成评标后，由应当向采购人提交书面评标报告。</w:t>
      </w:r>
    </w:p>
    <w:p>
      <w:pPr>
        <w:pageBreakBefore w:val="0"/>
        <w:overflowPunct/>
        <w:bidi w:val="0"/>
        <w:spacing w:afterAutospacing="0" w:line="312" w:lineRule="auto"/>
        <w:ind w:right="-2"/>
        <w:jc w:val="both"/>
        <w:rPr>
          <w:rFonts w:hint="eastAsia" w:ascii="仿宋" w:hAnsi="仿宋" w:eastAsia="仿宋" w:cs="仿宋"/>
          <w:bCs/>
          <w:sz w:val="24"/>
          <w:szCs w:val="24"/>
          <w:highlight w:val="none"/>
        </w:rPr>
      </w:pPr>
    </w:p>
    <w:p>
      <w:pPr>
        <w:pageBreakBefore w:val="0"/>
        <w:overflowPunct/>
        <w:bidi w:val="0"/>
        <w:spacing w:afterAutospacing="0" w:line="312" w:lineRule="auto"/>
        <w:jc w:val="both"/>
        <w:outlineLvl w:val="9"/>
        <w:rPr>
          <w:rFonts w:hint="eastAsia" w:ascii="仿宋" w:hAnsi="仿宋" w:eastAsia="仿宋" w:cs="仿宋"/>
          <w:b/>
          <w:sz w:val="44"/>
          <w:szCs w:val="44"/>
          <w:highlight w:val="none"/>
        </w:rPr>
      </w:pPr>
    </w:p>
    <w:p>
      <w:pPr>
        <w:pageBreakBefore w:val="0"/>
        <w:overflowPunct/>
        <w:bidi w:val="0"/>
        <w:spacing w:afterAutospacing="0" w:line="312" w:lineRule="auto"/>
        <w:jc w:val="center"/>
        <w:outlineLvl w:val="9"/>
        <w:rPr>
          <w:rFonts w:hint="eastAsia" w:ascii="仿宋" w:hAnsi="仿宋" w:eastAsia="仿宋" w:cs="仿宋"/>
          <w:b/>
          <w:sz w:val="44"/>
          <w:szCs w:val="44"/>
          <w:highlight w:val="none"/>
        </w:rPr>
      </w:pPr>
    </w:p>
    <w:p>
      <w:pPr>
        <w:pageBreakBefore w:val="0"/>
        <w:overflowPunct/>
        <w:bidi w:val="0"/>
        <w:spacing w:afterAutospacing="0" w:line="312" w:lineRule="auto"/>
        <w:jc w:val="both"/>
        <w:outlineLvl w:val="9"/>
        <w:rPr>
          <w:rFonts w:hint="eastAsia" w:ascii="仿宋" w:hAnsi="仿宋" w:eastAsia="仿宋" w:cs="仿宋"/>
          <w:b/>
          <w:sz w:val="44"/>
          <w:szCs w:val="44"/>
          <w:highlight w:val="none"/>
        </w:rPr>
      </w:pPr>
    </w:p>
    <w:p>
      <w:pPr>
        <w:pageBreakBefore w:val="0"/>
        <w:overflowPunct/>
        <w:bidi w:val="0"/>
        <w:spacing w:afterAutospacing="0" w:line="312" w:lineRule="auto"/>
        <w:jc w:val="center"/>
        <w:outlineLvl w:val="9"/>
        <w:rPr>
          <w:rFonts w:hint="eastAsia" w:ascii="仿宋" w:hAnsi="仿宋" w:eastAsia="仿宋" w:cs="仿宋"/>
          <w:b/>
          <w:sz w:val="44"/>
          <w:szCs w:val="44"/>
          <w:highlight w:val="none"/>
        </w:rPr>
      </w:pPr>
    </w:p>
    <w:p>
      <w:pPr>
        <w:pageBreakBefore w:val="0"/>
        <w:overflowPunct/>
        <w:bidi w:val="0"/>
        <w:spacing w:afterAutospacing="0" w:line="312" w:lineRule="auto"/>
        <w:rPr>
          <w:rFonts w:hint="eastAsia" w:ascii="仿宋" w:hAnsi="仿宋" w:eastAsia="仿宋" w:cs="仿宋"/>
          <w:b/>
          <w:sz w:val="44"/>
          <w:szCs w:val="44"/>
          <w:highlight w:val="none"/>
        </w:rPr>
      </w:pPr>
      <w:r>
        <w:rPr>
          <w:rFonts w:hint="eastAsia" w:ascii="仿宋" w:hAnsi="仿宋" w:eastAsia="仿宋" w:cs="仿宋"/>
          <w:b/>
          <w:sz w:val="44"/>
          <w:szCs w:val="44"/>
          <w:highlight w:val="none"/>
        </w:rPr>
        <w:br w:type="page"/>
      </w:r>
    </w:p>
    <w:p>
      <w:pPr>
        <w:pageBreakBefore w:val="0"/>
        <w:numPr>
          <w:ilvl w:val="0"/>
          <w:numId w:val="25"/>
        </w:numPr>
        <w:overflowPunct/>
        <w:bidi w:val="0"/>
        <w:spacing w:afterAutospacing="0" w:line="312" w:lineRule="auto"/>
        <w:ind w:left="0" w:leftChars="0" w:right="0" w:rightChars="0" w:firstLine="0" w:firstLineChars="0"/>
        <w:jc w:val="center"/>
        <w:outlineLvl w:val="0"/>
        <w:rPr>
          <w:rFonts w:hint="eastAsia" w:ascii="仿宋" w:hAnsi="仿宋" w:eastAsia="仿宋" w:cs="仿宋"/>
          <w:b/>
          <w:sz w:val="44"/>
          <w:szCs w:val="44"/>
          <w:highlight w:val="none"/>
        </w:rPr>
      </w:pPr>
      <w:bookmarkStart w:id="33" w:name="_Toc19046"/>
      <w:r>
        <w:rPr>
          <w:rFonts w:hint="eastAsia" w:ascii="仿宋" w:hAnsi="仿宋" w:eastAsia="仿宋" w:cs="仿宋"/>
          <w:b/>
          <w:sz w:val="44"/>
          <w:szCs w:val="44"/>
          <w:highlight w:val="none"/>
        </w:rPr>
        <w:t>响应文件格式</w:t>
      </w:r>
      <w:bookmarkEnd w:id="28"/>
      <w:bookmarkEnd w:id="29"/>
      <w:bookmarkEnd w:id="30"/>
      <w:bookmarkEnd w:id="31"/>
      <w:bookmarkEnd w:id="33"/>
    </w:p>
    <w:p>
      <w:pPr>
        <w:pStyle w:val="2"/>
        <w:pageBreakBefore w:val="0"/>
        <w:numPr>
          <w:ilvl w:val="0"/>
          <w:numId w:val="0"/>
        </w:numPr>
        <w:overflowPunct/>
        <w:bidi w:val="0"/>
        <w:spacing w:line="312" w:lineRule="auto"/>
        <w:ind w:leftChars="0"/>
        <w:rPr>
          <w:rFonts w:hint="eastAsia" w:ascii="仿宋" w:hAnsi="仿宋" w:eastAsia="仿宋" w:cs="仿宋"/>
          <w:highlight w:val="none"/>
        </w:rPr>
      </w:pPr>
    </w:p>
    <w:p>
      <w:pPr>
        <w:pStyle w:val="2"/>
        <w:pageBreakBefore w:val="0"/>
        <w:kinsoku/>
        <w:overflowPunct/>
        <w:bidi w:val="0"/>
        <w:spacing w:line="312" w:lineRule="auto"/>
        <w:rPr>
          <w:rFonts w:hint="eastAsia" w:ascii="仿宋" w:hAnsi="仿宋" w:eastAsia="仿宋" w:cs="仿宋"/>
          <w:highlight w:val="none"/>
        </w:rPr>
      </w:pPr>
    </w:p>
    <w:p>
      <w:pPr>
        <w:pageBreakBefore w:val="0"/>
        <w:numPr>
          <w:ilvl w:val="0"/>
          <w:numId w:val="38"/>
        </w:numPr>
        <w:tabs>
          <w:tab w:val="left" w:pos="0"/>
          <w:tab w:val="left" w:pos="210"/>
          <w:tab w:val="left" w:pos="420"/>
          <w:tab w:val="left" w:pos="630"/>
          <w:tab w:val="left" w:pos="840"/>
          <w:tab w:val="left" w:pos="1050"/>
        </w:tabs>
        <w:kinsoku/>
        <w:overflowPunct/>
        <w:bidi w:val="0"/>
        <w:adjustRightInd w:val="0"/>
        <w:snapToGrid w:val="0"/>
        <w:spacing w:line="312" w:lineRule="auto"/>
        <w:ind w:left="222" w:leftChars="0" w:firstLine="408" w:firstLineChars="0"/>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供应商应按照磋商文件格式要求编制响应文件；混乱的编排导致响应文件被误导或查找不到，后果由供应商承担。</w:t>
      </w:r>
    </w:p>
    <w:p>
      <w:pPr>
        <w:pageBreakBefore w:val="0"/>
        <w:numPr>
          <w:ilvl w:val="0"/>
          <w:numId w:val="38"/>
        </w:numPr>
        <w:tabs>
          <w:tab w:val="left" w:pos="0"/>
          <w:tab w:val="left" w:pos="210"/>
          <w:tab w:val="left" w:pos="420"/>
          <w:tab w:val="left" w:pos="630"/>
          <w:tab w:val="left" w:pos="840"/>
          <w:tab w:val="left" w:pos="1050"/>
        </w:tabs>
        <w:kinsoku/>
        <w:overflowPunct/>
        <w:bidi w:val="0"/>
        <w:adjustRightInd w:val="0"/>
        <w:snapToGrid w:val="0"/>
        <w:spacing w:line="312" w:lineRule="auto"/>
        <w:ind w:left="222" w:leftChars="0" w:firstLine="408" w:firstLineChars="0"/>
        <w:rPr>
          <w:rFonts w:hint="eastAsia" w:ascii="仿宋" w:hAnsi="仿宋" w:eastAsia="仿宋" w:cs="仿宋"/>
          <w:sz w:val="24"/>
          <w:highlight w:val="none"/>
          <w:lang w:val="zh-CN"/>
        </w:rPr>
      </w:pPr>
      <w:r>
        <w:rPr>
          <w:rFonts w:hint="eastAsia" w:ascii="仿宋" w:hAnsi="仿宋" w:eastAsia="仿宋" w:cs="仿宋"/>
          <w:sz w:val="24"/>
          <w:highlight w:val="none"/>
          <w:lang w:val="zh-CN"/>
        </w:rPr>
        <w:t>编制响应文件前，请详细阅读磋商文件，理解文件中的每一项要求，做出逐一实质性响应。</w:t>
      </w:r>
    </w:p>
    <w:p>
      <w:pPr>
        <w:pageBreakBefore w:val="0"/>
        <w:numPr>
          <w:ilvl w:val="0"/>
          <w:numId w:val="38"/>
        </w:numPr>
        <w:tabs>
          <w:tab w:val="left" w:pos="0"/>
          <w:tab w:val="left" w:pos="210"/>
          <w:tab w:val="left" w:pos="420"/>
          <w:tab w:val="left" w:pos="630"/>
          <w:tab w:val="left" w:pos="840"/>
          <w:tab w:val="left" w:pos="1050"/>
        </w:tabs>
        <w:kinsoku/>
        <w:overflowPunct/>
        <w:bidi w:val="0"/>
        <w:adjustRightInd w:val="0"/>
        <w:snapToGrid w:val="0"/>
        <w:spacing w:line="312" w:lineRule="auto"/>
        <w:ind w:left="222" w:leftChars="0" w:firstLine="408" w:firstLineChars="0"/>
        <w:rPr>
          <w:rFonts w:hint="eastAsia" w:ascii="仿宋" w:hAnsi="仿宋" w:eastAsia="仿宋" w:cs="仿宋"/>
          <w:sz w:val="24"/>
          <w:highlight w:val="none"/>
          <w:lang w:val="zh-CN"/>
        </w:rPr>
      </w:pPr>
      <w:r>
        <w:rPr>
          <w:rFonts w:hint="eastAsia" w:ascii="仿宋" w:hAnsi="仿宋" w:eastAsia="仿宋" w:cs="仿宋"/>
          <w:sz w:val="24"/>
          <w:highlight w:val="none"/>
          <w:lang w:val="zh-CN"/>
        </w:rPr>
        <w:t>所附表格中要求回答的全部问题和信息都必须正面回答。</w:t>
      </w:r>
    </w:p>
    <w:p>
      <w:pPr>
        <w:pageBreakBefore w:val="0"/>
        <w:numPr>
          <w:ilvl w:val="0"/>
          <w:numId w:val="38"/>
        </w:numPr>
        <w:tabs>
          <w:tab w:val="left" w:pos="0"/>
          <w:tab w:val="left" w:pos="210"/>
          <w:tab w:val="left" w:pos="420"/>
          <w:tab w:val="left" w:pos="630"/>
          <w:tab w:val="left" w:pos="840"/>
          <w:tab w:val="left" w:pos="1050"/>
        </w:tabs>
        <w:kinsoku/>
        <w:overflowPunct/>
        <w:bidi w:val="0"/>
        <w:adjustRightInd w:val="0"/>
        <w:snapToGrid w:val="0"/>
        <w:spacing w:line="312" w:lineRule="auto"/>
        <w:ind w:left="222" w:leftChars="0" w:firstLine="408" w:firstLineChars="0"/>
        <w:rPr>
          <w:rFonts w:hint="eastAsia" w:ascii="仿宋" w:hAnsi="仿宋" w:eastAsia="仿宋" w:cs="仿宋"/>
          <w:sz w:val="24"/>
          <w:highlight w:val="none"/>
          <w:lang w:val="zh-CN"/>
        </w:rPr>
      </w:pPr>
      <w:r>
        <w:rPr>
          <w:rFonts w:hint="eastAsia" w:ascii="仿宋" w:hAnsi="仿宋" w:eastAsia="仿宋" w:cs="仿宋"/>
          <w:sz w:val="24"/>
          <w:highlight w:val="none"/>
          <w:lang w:val="zh-CN"/>
        </w:rPr>
        <w:t>本资格声明的签字人应保证全部声明和问题的回答是真实的和准确的。</w:t>
      </w:r>
    </w:p>
    <w:p>
      <w:pPr>
        <w:pageBreakBefore w:val="0"/>
        <w:numPr>
          <w:ilvl w:val="0"/>
          <w:numId w:val="38"/>
        </w:numPr>
        <w:tabs>
          <w:tab w:val="left" w:pos="0"/>
          <w:tab w:val="left" w:pos="210"/>
          <w:tab w:val="left" w:pos="420"/>
          <w:tab w:val="left" w:pos="630"/>
          <w:tab w:val="left" w:pos="840"/>
          <w:tab w:val="left" w:pos="1050"/>
        </w:tabs>
        <w:kinsoku/>
        <w:overflowPunct/>
        <w:bidi w:val="0"/>
        <w:adjustRightInd w:val="0"/>
        <w:snapToGrid w:val="0"/>
        <w:spacing w:line="312" w:lineRule="auto"/>
        <w:ind w:left="222" w:leftChars="0" w:firstLine="408" w:firstLineChars="0"/>
        <w:rPr>
          <w:rFonts w:hint="eastAsia" w:ascii="仿宋" w:hAnsi="仿宋" w:eastAsia="仿宋" w:cs="仿宋"/>
          <w:sz w:val="24"/>
          <w:highlight w:val="none"/>
          <w:lang w:val="zh-CN"/>
        </w:rPr>
      </w:pPr>
      <w:r>
        <w:rPr>
          <w:rFonts w:hint="eastAsia" w:ascii="仿宋" w:hAnsi="仿宋" w:eastAsia="仿宋" w:cs="仿宋"/>
          <w:sz w:val="24"/>
          <w:highlight w:val="none"/>
          <w:lang w:val="zh-CN"/>
        </w:rPr>
        <w:t>全部文件应按供应商须知中规定的语言和份数提交。</w:t>
      </w:r>
    </w:p>
    <w:p>
      <w:pPr>
        <w:pageBreakBefore w:val="0"/>
        <w:numPr>
          <w:ilvl w:val="0"/>
          <w:numId w:val="38"/>
        </w:numPr>
        <w:tabs>
          <w:tab w:val="left" w:pos="0"/>
          <w:tab w:val="left" w:pos="210"/>
          <w:tab w:val="left" w:pos="420"/>
          <w:tab w:val="left" w:pos="630"/>
          <w:tab w:val="left" w:pos="840"/>
          <w:tab w:val="left" w:pos="1050"/>
        </w:tabs>
        <w:kinsoku/>
        <w:overflowPunct/>
        <w:bidi w:val="0"/>
        <w:adjustRightInd w:val="0"/>
        <w:snapToGrid w:val="0"/>
        <w:spacing w:line="312" w:lineRule="auto"/>
        <w:ind w:left="222" w:leftChars="0" w:firstLine="408" w:firstLineChars="0"/>
        <w:rPr>
          <w:rFonts w:hint="eastAsia" w:ascii="仿宋" w:hAnsi="仿宋" w:eastAsia="仿宋" w:cs="仿宋"/>
          <w:sz w:val="24"/>
          <w:highlight w:val="none"/>
          <w:lang w:val="zh-CN"/>
        </w:rPr>
      </w:pPr>
      <w:r>
        <w:rPr>
          <w:rFonts w:hint="eastAsia" w:ascii="仿宋" w:hAnsi="仿宋" w:eastAsia="仿宋" w:cs="仿宋"/>
          <w:sz w:val="24"/>
          <w:highlight w:val="none"/>
          <w:lang w:val="zh-CN"/>
        </w:rPr>
        <w:t>如有必要，可以增加附页，作为响应文件的组成部分。</w:t>
      </w:r>
    </w:p>
    <w:p>
      <w:pPr>
        <w:pageBreakBefore w:val="0"/>
        <w:overflowPunct/>
        <w:bidi w:val="0"/>
        <w:spacing w:line="312" w:lineRule="auto"/>
        <w:rPr>
          <w:rFonts w:hint="eastAsia" w:ascii="仿宋" w:hAnsi="仿宋" w:eastAsia="仿宋" w:cs="仿宋"/>
          <w:highlight w:val="none"/>
        </w:rPr>
      </w:pPr>
    </w:p>
    <w:p>
      <w:pPr>
        <w:pageBreakBefore w:val="0"/>
        <w:widowControl/>
        <w:tabs>
          <w:tab w:val="left" w:pos="1620"/>
        </w:tabs>
        <w:overflowPunct/>
        <w:bidi w:val="0"/>
        <w:snapToGrid w:val="0"/>
        <w:spacing w:afterAutospacing="0" w:line="312" w:lineRule="auto"/>
        <w:ind w:right="-197" w:rightChars="-94"/>
        <w:jc w:val="left"/>
        <w:rPr>
          <w:rFonts w:hint="eastAsia" w:ascii="仿宋" w:hAnsi="仿宋" w:eastAsia="仿宋" w:cs="仿宋"/>
          <w:b/>
          <w:sz w:val="36"/>
          <w:szCs w:val="36"/>
          <w:highlight w:val="none"/>
        </w:rPr>
      </w:pPr>
      <w:bookmarkStart w:id="34" w:name="_Toc21866"/>
    </w:p>
    <w:p>
      <w:pPr>
        <w:pageBreakBefore w:val="0"/>
        <w:overflowPunct/>
        <w:bidi w:val="0"/>
        <w:spacing w:afterAutospacing="0" w:line="312" w:lineRule="auto"/>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pPr>
        <w:pageBreakBefore w:val="0"/>
        <w:widowControl/>
        <w:tabs>
          <w:tab w:val="left" w:pos="1620"/>
        </w:tabs>
        <w:overflowPunct/>
        <w:bidi w:val="0"/>
        <w:snapToGrid w:val="0"/>
        <w:spacing w:afterAutospacing="0" w:line="312" w:lineRule="auto"/>
        <w:ind w:right="-197" w:rightChars="-94" w:firstLine="8353" w:firstLineChars="2600"/>
        <w:jc w:val="left"/>
        <w:outlineLvl w:val="0"/>
        <w:rPr>
          <w:rFonts w:hint="eastAsia" w:ascii="仿宋" w:hAnsi="仿宋" w:eastAsia="仿宋" w:cs="仿宋"/>
          <w:b/>
          <w:sz w:val="36"/>
          <w:szCs w:val="36"/>
          <w:highlight w:val="none"/>
        </w:rPr>
      </w:pPr>
      <w:bookmarkStart w:id="35" w:name="_Toc31750"/>
      <w:r>
        <w:rPr>
          <w:rFonts w:hint="eastAsia" w:ascii="仿宋" w:hAnsi="仿宋" w:eastAsia="仿宋" w:cs="仿宋"/>
          <w:b/>
          <w:sz w:val="32"/>
          <w:szCs w:val="32"/>
          <w:highlight w:val="none"/>
        </w:rPr>
        <w:t>正/副本</w:t>
      </w:r>
      <w:bookmarkEnd w:id="34"/>
      <w:bookmarkEnd w:id="35"/>
    </w:p>
    <w:p>
      <w:pPr>
        <w:pageBreakBefore w:val="0"/>
        <w:widowControl/>
        <w:tabs>
          <w:tab w:val="left" w:pos="1620"/>
        </w:tabs>
        <w:overflowPunct/>
        <w:bidi w:val="0"/>
        <w:snapToGrid w:val="0"/>
        <w:spacing w:afterAutospacing="0" w:line="312" w:lineRule="auto"/>
        <w:ind w:right="-197" w:rightChars="-94" w:firstLine="5722" w:firstLineChars="1900"/>
        <w:jc w:val="left"/>
        <w:outlineLvl w:val="0"/>
        <w:rPr>
          <w:rFonts w:hint="eastAsia" w:ascii="仿宋" w:hAnsi="仿宋" w:eastAsia="仿宋" w:cs="仿宋"/>
          <w:b/>
          <w:sz w:val="30"/>
          <w:szCs w:val="30"/>
          <w:highlight w:val="none"/>
        </w:rPr>
      </w:pPr>
      <w:bookmarkStart w:id="36" w:name="_Toc17609"/>
      <w:bookmarkStart w:id="37" w:name="_Toc14594"/>
    </w:p>
    <w:p>
      <w:pPr>
        <w:pageBreakBefore w:val="0"/>
        <w:widowControl/>
        <w:tabs>
          <w:tab w:val="left" w:pos="1620"/>
        </w:tabs>
        <w:overflowPunct/>
        <w:bidi w:val="0"/>
        <w:snapToGrid w:val="0"/>
        <w:spacing w:afterAutospacing="0" w:line="312" w:lineRule="auto"/>
        <w:ind w:right="-197" w:rightChars="-94"/>
        <w:jc w:val="left"/>
        <w:outlineLvl w:val="0"/>
        <w:rPr>
          <w:rFonts w:hint="eastAsia" w:ascii="仿宋" w:hAnsi="仿宋" w:eastAsia="仿宋" w:cs="仿宋"/>
          <w:b/>
          <w:sz w:val="30"/>
          <w:szCs w:val="30"/>
          <w:highlight w:val="none"/>
          <w:lang w:eastAsia="zh-CN"/>
        </w:rPr>
      </w:pPr>
      <w:r>
        <w:rPr>
          <w:rFonts w:hint="eastAsia" w:ascii="仿宋" w:hAnsi="仿宋" w:eastAsia="仿宋" w:cs="仿宋"/>
          <w:b/>
          <w:sz w:val="30"/>
          <w:szCs w:val="30"/>
          <w:highlight w:val="none"/>
        </w:rPr>
        <w:t>项目编号:</w:t>
      </w:r>
      <w:bookmarkEnd w:id="36"/>
      <w:bookmarkEnd w:id="37"/>
      <w:r>
        <w:rPr>
          <w:rFonts w:hint="eastAsia" w:ascii="仿宋" w:hAnsi="仿宋" w:eastAsia="仿宋" w:cs="仿宋"/>
          <w:b/>
          <w:sz w:val="30"/>
          <w:szCs w:val="30"/>
          <w:highlight w:val="none"/>
          <w:lang w:eastAsia="zh-CN"/>
        </w:rPr>
        <w:t>TCC2022-1128Z</w:t>
      </w:r>
    </w:p>
    <w:p>
      <w:pPr>
        <w:pageBreakBefore w:val="0"/>
        <w:overflowPunct/>
        <w:bidi w:val="0"/>
        <w:spacing w:afterAutospacing="0" w:line="312" w:lineRule="auto"/>
        <w:rPr>
          <w:rFonts w:hint="eastAsia" w:ascii="仿宋" w:hAnsi="仿宋" w:eastAsia="仿宋" w:cs="仿宋"/>
          <w:sz w:val="28"/>
          <w:szCs w:val="28"/>
          <w:highlight w:val="none"/>
        </w:rPr>
      </w:pPr>
    </w:p>
    <w:p>
      <w:pPr>
        <w:pageBreakBefore w:val="0"/>
        <w:overflowPunct/>
        <w:bidi w:val="0"/>
        <w:spacing w:afterAutospacing="0" w:line="312" w:lineRule="auto"/>
        <w:rPr>
          <w:rFonts w:hint="eastAsia" w:ascii="仿宋" w:hAnsi="仿宋" w:eastAsia="仿宋" w:cs="仿宋"/>
          <w:sz w:val="28"/>
          <w:szCs w:val="28"/>
          <w:highlight w:val="none"/>
        </w:rPr>
      </w:pPr>
    </w:p>
    <w:p>
      <w:pPr>
        <w:pageBreakBefore w:val="0"/>
        <w:overflowPunct/>
        <w:bidi w:val="0"/>
        <w:spacing w:afterAutospacing="0" w:line="312" w:lineRule="auto"/>
        <w:jc w:val="center"/>
        <w:outlineLvl w:val="0"/>
        <w:rPr>
          <w:rFonts w:hint="eastAsia" w:ascii="仿宋" w:hAnsi="仿宋" w:eastAsia="仿宋" w:cs="仿宋"/>
          <w:b/>
          <w:bCs/>
          <w:sz w:val="44"/>
          <w:szCs w:val="44"/>
          <w:highlight w:val="none"/>
          <w:lang w:eastAsia="zh-CN"/>
        </w:rPr>
      </w:pPr>
      <w:r>
        <w:rPr>
          <w:rFonts w:hint="eastAsia" w:ascii="仿宋" w:hAnsi="仿宋" w:eastAsia="仿宋" w:cs="仿宋"/>
          <w:b/>
          <w:bCs/>
          <w:sz w:val="44"/>
          <w:szCs w:val="44"/>
          <w:highlight w:val="none"/>
          <w:lang w:eastAsia="zh-CN"/>
        </w:rPr>
        <w:t>铜川市妇幼保健院脱贫地区儿童营养改善项目</w:t>
      </w:r>
    </w:p>
    <w:p>
      <w:pPr>
        <w:pStyle w:val="45"/>
        <w:pageBreakBefore w:val="0"/>
        <w:bidi w:val="0"/>
        <w:spacing w:line="312" w:lineRule="auto"/>
        <w:jc w:val="center"/>
        <w:rPr>
          <w:rFonts w:hint="eastAsia" w:ascii="仿宋" w:hAnsi="仿宋" w:eastAsia="仿宋" w:cs="仿宋"/>
          <w:b/>
          <w:bCs/>
          <w:sz w:val="44"/>
          <w:szCs w:val="44"/>
          <w:highlight w:val="none"/>
          <w:u w:val="single"/>
          <w:lang w:val="en-US" w:eastAsia="zh-CN"/>
        </w:rPr>
      </w:pPr>
    </w:p>
    <w:p>
      <w:pPr>
        <w:pageBreakBefore w:val="0"/>
        <w:overflowPunct/>
        <w:bidi w:val="0"/>
        <w:spacing w:afterAutospacing="0" w:line="312" w:lineRule="auto"/>
        <w:jc w:val="both"/>
        <w:rPr>
          <w:rFonts w:hint="eastAsia" w:ascii="仿宋" w:hAnsi="仿宋" w:eastAsia="仿宋" w:cs="仿宋"/>
          <w:b/>
          <w:sz w:val="72"/>
          <w:szCs w:val="72"/>
          <w:highlight w:val="none"/>
          <w:lang w:eastAsia="zh-CN"/>
        </w:rPr>
      </w:pPr>
    </w:p>
    <w:p>
      <w:pPr>
        <w:pStyle w:val="45"/>
        <w:pageBreakBefore w:val="0"/>
        <w:bidi w:val="0"/>
        <w:spacing w:line="312" w:lineRule="auto"/>
        <w:rPr>
          <w:rFonts w:hint="eastAsia" w:ascii="仿宋" w:hAnsi="仿宋" w:eastAsia="仿宋" w:cs="仿宋"/>
          <w:highlight w:val="none"/>
          <w:lang w:eastAsia="zh-CN"/>
        </w:rPr>
      </w:pPr>
    </w:p>
    <w:p>
      <w:pPr>
        <w:pStyle w:val="2"/>
        <w:pageBreakBefore w:val="0"/>
        <w:overflowPunct/>
        <w:bidi w:val="0"/>
        <w:spacing w:line="312" w:lineRule="auto"/>
        <w:rPr>
          <w:rFonts w:hint="eastAsia" w:ascii="仿宋" w:hAnsi="仿宋" w:eastAsia="仿宋" w:cs="仿宋"/>
          <w:highlight w:val="none"/>
          <w:lang w:eastAsia="zh-CN"/>
        </w:rPr>
      </w:pPr>
    </w:p>
    <w:p>
      <w:pPr>
        <w:pageBreakBefore w:val="0"/>
        <w:bidi w:val="0"/>
        <w:spacing w:line="312" w:lineRule="auto"/>
        <w:rPr>
          <w:rFonts w:hint="eastAsia" w:ascii="仿宋" w:hAnsi="仿宋" w:eastAsia="仿宋" w:cs="仿宋"/>
          <w:highlight w:val="none"/>
          <w:lang w:eastAsia="zh-CN"/>
        </w:rPr>
      </w:pPr>
    </w:p>
    <w:p>
      <w:pPr>
        <w:pageBreakBefore w:val="0"/>
        <w:overflowPunct/>
        <w:bidi w:val="0"/>
        <w:spacing w:afterAutospacing="0" w:line="312" w:lineRule="auto"/>
        <w:jc w:val="center"/>
        <w:outlineLvl w:val="0"/>
        <w:rPr>
          <w:rFonts w:hint="eastAsia" w:ascii="仿宋" w:hAnsi="仿宋" w:eastAsia="仿宋" w:cs="仿宋"/>
          <w:b/>
          <w:sz w:val="84"/>
          <w:szCs w:val="84"/>
          <w:highlight w:val="none"/>
        </w:rPr>
      </w:pPr>
      <w:bookmarkStart w:id="38" w:name="_Toc22336"/>
      <w:bookmarkStart w:id="39" w:name="_Toc21581"/>
      <w:r>
        <w:rPr>
          <w:rFonts w:hint="eastAsia" w:ascii="仿宋" w:hAnsi="仿宋" w:eastAsia="仿宋" w:cs="仿宋"/>
          <w:b/>
          <w:sz w:val="84"/>
          <w:szCs w:val="84"/>
          <w:highlight w:val="none"/>
        </w:rPr>
        <w:t>磋商响应文件</w:t>
      </w:r>
      <w:bookmarkEnd w:id="38"/>
      <w:bookmarkEnd w:id="39"/>
    </w:p>
    <w:p>
      <w:pPr>
        <w:pageBreakBefore w:val="0"/>
        <w:overflowPunct/>
        <w:bidi w:val="0"/>
        <w:spacing w:afterAutospacing="0" w:line="312" w:lineRule="auto"/>
        <w:rPr>
          <w:rFonts w:hint="eastAsia" w:ascii="仿宋" w:hAnsi="仿宋" w:eastAsia="仿宋" w:cs="仿宋"/>
          <w:b/>
          <w:sz w:val="28"/>
          <w:szCs w:val="28"/>
          <w:highlight w:val="none"/>
        </w:rPr>
      </w:pPr>
    </w:p>
    <w:p>
      <w:pPr>
        <w:pageBreakBefore w:val="0"/>
        <w:overflowPunct/>
        <w:bidi w:val="0"/>
        <w:spacing w:afterAutospacing="0" w:line="312" w:lineRule="auto"/>
        <w:rPr>
          <w:rFonts w:hint="eastAsia" w:ascii="仿宋" w:hAnsi="仿宋" w:eastAsia="仿宋" w:cs="仿宋"/>
          <w:b/>
          <w:sz w:val="28"/>
          <w:szCs w:val="28"/>
          <w:highlight w:val="none"/>
        </w:rPr>
      </w:pPr>
    </w:p>
    <w:p>
      <w:pPr>
        <w:pageBreakBefore w:val="0"/>
        <w:overflowPunct/>
        <w:bidi w:val="0"/>
        <w:spacing w:afterAutospacing="0" w:line="312" w:lineRule="auto"/>
        <w:rPr>
          <w:rFonts w:hint="eastAsia" w:ascii="仿宋" w:hAnsi="仿宋" w:eastAsia="仿宋" w:cs="仿宋"/>
          <w:b/>
          <w:sz w:val="28"/>
          <w:szCs w:val="28"/>
          <w:highlight w:val="none"/>
        </w:rPr>
      </w:pPr>
    </w:p>
    <w:p>
      <w:pPr>
        <w:pageBreakBefore w:val="0"/>
        <w:overflowPunct/>
        <w:bidi w:val="0"/>
        <w:spacing w:afterAutospacing="0" w:line="312" w:lineRule="auto"/>
        <w:rPr>
          <w:rFonts w:hint="eastAsia" w:ascii="仿宋" w:hAnsi="仿宋" w:eastAsia="仿宋" w:cs="仿宋"/>
          <w:b/>
          <w:sz w:val="28"/>
          <w:szCs w:val="28"/>
          <w:highlight w:val="none"/>
        </w:rPr>
      </w:pPr>
    </w:p>
    <w:p>
      <w:pPr>
        <w:pageBreakBefore w:val="0"/>
        <w:bidi w:val="0"/>
        <w:spacing w:line="312" w:lineRule="auto"/>
        <w:ind w:firstLine="1687" w:firstLineChars="600"/>
        <w:rPr>
          <w:rFonts w:hint="eastAsia" w:ascii="仿宋" w:hAnsi="仿宋" w:eastAsia="仿宋" w:cs="仿宋"/>
          <w:b/>
          <w:color w:val="auto"/>
          <w:sz w:val="28"/>
          <w:szCs w:val="28"/>
          <w:highlight w:val="none"/>
          <w:u w:val="none"/>
          <w:lang w:val="en-US" w:eastAsia="zh-CN"/>
        </w:rPr>
      </w:pPr>
      <w:r>
        <w:rPr>
          <w:rFonts w:hint="eastAsia" w:ascii="仿宋" w:hAnsi="仿宋" w:eastAsia="仿宋" w:cs="仿宋"/>
          <w:b/>
          <w:color w:val="auto"/>
          <w:sz w:val="28"/>
          <w:szCs w:val="28"/>
          <w:highlight w:val="none"/>
        </w:rPr>
        <w:t>采   购   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kern w:val="0"/>
          <w:sz w:val="28"/>
          <w:szCs w:val="28"/>
          <w:highlight w:val="none"/>
          <w:u w:val="single"/>
          <w:lang w:val="en-US"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b/>
          <w:color w:val="auto"/>
          <w:sz w:val="28"/>
          <w:szCs w:val="28"/>
          <w:highlight w:val="none"/>
          <w:u w:val="single"/>
        </w:rPr>
        <w:t xml:space="preserve">    </w:t>
      </w:r>
    </w:p>
    <w:p>
      <w:pPr>
        <w:pageBreakBefore w:val="0"/>
        <w:bidi w:val="0"/>
        <w:spacing w:line="312" w:lineRule="auto"/>
        <w:ind w:firstLine="1687" w:firstLineChars="600"/>
        <w:rPr>
          <w:rFonts w:hint="eastAsia" w:ascii="仿宋" w:hAnsi="仿宋" w:eastAsia="仿宋" w:cs="仿宋"/>
          <w:b/>
          <w:bCs/>
          <w:color w:val="auto"/>
          <w:sz w:val="28"/>
          <w:szCs w:val="28"/>
          <w:highlight w:val="none"/>
          <w:u w:val="single"/>
        </w:rPr>
      </w:pPr>
      <w:r>
        <w:rPr>
          <w:rFonts w:hint="eastAsia" w:ascii="仿宋" w:hAnsi="仿宋" w:eastAsia="仿宋" w:cs="仿宋"/>
          <w:b/>
          <w:color w:val="auto"/>
          <w:sz w:val="28"/>
          <w:szCs w:val="28"/>
          <w:highlight w:val="none"/>
          <w:lang w:val="en-US" w:eastAsia="zh-CN"/>
        </w:rPr>
        <w:t>供   应   商</w:t>
      </w:r>
      <w:r>
        <w:rPr>
          <w:rFonts w:hint="eastAsia" w:ascii="仿宋" w:hAnsi="仿宋" w:eastAsia="仿宋" w:cs="仿宋"/>
          <w:b/>
          <w:color w:val="auto"/>
          <w:sz w:val="28"/>
          <w:szCs w:val="28"/>
          <w:highlight w:val="none"/>
        </w:rPr>
        <w:t>：</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u w:val="single"/>
          <w:lang w:val="en-US" w:eastAsia="zh-CN"/>
        </w:rPr>
        <w:t xml:space="preserve">      </w:t>
      </w:r>
      <w:r>
        <w:rPr>
          <w:rFonts w:hint="eastAsia" w:ascii="仿宋" w:hAnsi="仿宋" w:eastAsia="仿宋" w:cs="仿宋"/>
          <w:b/>
          <w:color w:val="auto"/>
          <w:sz w:val="28"/>
          <w:szCs w:val="28"/>
          <w:highlight w:val="none"/>
          <w:u w:val="single"/>
        </w:rPr>
        <w:t xml:space="preserve">  （盖章）</w:t>
      </w:r>
    </w:p>
    <w:p>
      <w:pPr>
        <w:pageBreakBefore w:val="0"/>
        <w:bidi w:val="0"/>
        <w:spacing w:line="312" w:lineRule="auto"/>
        <w:ind w:firstLine="1661" w:firstLineChars="591"/>
        <w:rPr>
          <w:rFonts w:hint="eastAsia" w:ascii="仿宋" w:hAnsi="仿宋" w:eastAsia="仿宋" w:cs="仿宋"/>
          <w:b/>
          <w:bCs/>
          <w:color w:val="auto"/>
          <w:sz w:val="28"/>
          <w:szCs w:val="28"/>
          <w:highlight w:val="none"/>
          <w:u w:val="single"/>
          <w:lang w:val="en-US" w:eastAsia="zh-CN"/>
        </w:rPr>
      </w:pPr>
      <w:r>
        <w:rPr>
          <w:rFonts w:hint="eastAsia" w:ascii="仿宋" w:hAnsi="仿宋" w:eastAsia="仿宋" w:cs="仿宋"/>
          <w:b/>
          <w:color w:val="auto"/>
          <w:sz w:val="28"/>
          <w:szCs w:val="28"/>
          <w:highlight w:val="none"/>
        </w:rPr>
        <w:t>采购代理机构：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kern w:val="0"/>
          <w:sz w:val="28"/>
          <w:szCs w:val="28"/>
          <w:highlight w:val="none"/>
          <w:u w:val="single"/>
          <w:lang w:val="en-US"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p>
    <w:p>
      <w:pPr>
        <w:pageBreakBefore w:val="0"/>
        <w:overflowPunct/>
        <w:bidi w:val="0"/>
        <w:spacing w:afterAutospacing="0" w:line="312" w:lineRule="auto"/>
        <w:ind w:firstLine="1687" w:firstLineChars="600"/>
        <w:rPr>
          <w:rFonts w:hint="eastAsia" w:ascii="仿宋" w:hAnsi="仿宋" w:eastAsia="仿宋" w:cs="仿宋"/>
          <w:b/>
          <w:sz w:val="13"/>
          <w:szCs w:val="13"/>
          <w:highlight w:val="none"/>
          <w:u w:val="single"/>
        </w:rPr>
      </w:pPr>
      <w:r>
        <w:rPr>
          <w:rFonts w:hint="eastAsia" w:ascii="仿宋" w:hAnsi="仿宋" w:eastAsia="仿宋" w:cs="仿宋"/>
          <w:b/>
          <w:color w:val="auto"/>
          <w:sz w:val="28"/>
          <w:szCs w:val="28"/>
          <w:highlight w:val="none"/>
          <w:lang w:val="en-US" w:eastAsia="zh-CN"/>
        </w:rPr>
        <w:t>日        期</w:t>
      </w:r>
      <w:r>
        <w:rPr>
          <w:rFonts w:hint="eastAsia" w:ascii="仿宋" w:hAnsi="仿宋" w:eastAsia="仿宋" w:cs="仿宋"/>
          <w:b/>
          <w:color w:val="auto"/>
          <w:sz w:val="28"/>
          <w:szCs w:val="28"/>
          <w:highlight w:val="none"/>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8"/>
          <w:szCs w:val="28"/>
          <w:highlight w:val="none"/>
          <w:u w:val="single"/>
        </w:rPr>
        <w:t>　</w:t>
      </w:r>
    </w:p>
    <w:p>
      <w:pPr>
        <w:pageBreakBefore w:val="0"/>
        <w:overflowPunct/>
        <w:bidi w:val="0"/>
        <w:spacing w:afterAutospacing="0" w:line="312" w:lineRule="auto"/>
        <w:ind w:firstLine="3697" w:firstLineChars="837"/>
        <w:rPr>
          <w:rFonts w:hint="eastAsia" w:ascii="仿宋" w:hAnsi="仿宋" w:eastAsia="仿宋" w:cs="仿宋"/>
          <w:b/>
          <w:sz w:val="44"/>
          <w:szCs w:val="44"/>
          <w:highlight w:val="none"/>
        </w:rPr>
      </w:pPr>
    </w:p>
    <w:p>
      <w:pPr>
        <w:pageBreakBefore w:val="0"/>
        <w:bidi w:val="0"/>
        <w:spacing w:line="312" w:lineRule="auto"/>
        <w:rPr>
          <w:rFonts w:hint="eastAsia" w:ascii="仿宋" w:hAnsi="仿宋" w:eastAsia="仿宋" w:cs="仿宋"/>
          <w:b/>
          <w:sz w:val="44"/>
          <w:szCs w:val="44"/>
          <w:highlight w:val="none"/>
        </w:rPr>
      </w:pPr>
      <w:bookmarkStart w:id="40" w:name="_Toc14808"/>
      <w:bookmarkStart w:id="41" w:name="_Toc29918"/>
      <w:r>
        <w:rPr>
          <w:rFonts w:hint="eastAsia" w:ascii="仿宋" w:hAnsi="仿宋" w:eastAsia="仿宋" w:cs="仿宋"/>
          <w:b/>
          <w:sz w:val="44"/>
          <w:szCs w:val="44"/>
          <w:highlight w:val="none"/>
        </w:rPr>
        <w:br w:type="page"/>
      </w:r>
    </w:p>
    <w:p>
      <w:pPr>
        <w:pageBreakBefore w:val="0"/>
        <w:overflowPunct/>
        <w:bidi w:val="0"/>
        <w:spacing w:afterAutospacing="0" w:line="312" w:lineRule="auto"/>
        <w:jc w:val="center"/>
        <w:outlineLvl w:val="0"/>
        <w:rPr>
          <w:rFonts w:hint="eastAsia" w:ascii="仿宋" w:hAnsi="仿宋" w:eastAsia="仿宋" w:cs="仿宋"/>
          <w:b/>
          <w:sz w:val="44"/>
          <w:szCs w:val="44"/>
          <w:highlight w:val="none"/>
        </w:rPr>
      </w:pPr>
    </w:p>
    <w:p>
      <w:pPr>
        <w:pageBreakBefore w:val="0"/>
        <w:overflowPunct/>
        <w:bidi w:val="0"/>
        <w:spacing w:afterAutospacing="0" w:line="312" w:lineRule="auto"/>
        <w:jc w:val="center"/>
        <w:outlineLvl w:val="0"/>
        <w:rPr>
          <w:rFonts w:hint="eastAsia" w:ascii="仿宋" w:hAnsi="仿宋" w:eastAsia="仿宋" w:cs="仿宋"/>
          <w:b/>
          <w:sz w:val="44"/>
          <w:szCs w:val="44"/>
          <w:highlight w:val="none"/>
        </w:rPr>
      </w:pPr>
    </w:p>
    <w:p>
      <w:pPr>
        <w:pageBreakBefore w:val="0"/>
        <w:overflowPunct/>
        <w:bidi w:val="0"/>
        <w:spacing w:afterAutospacing="0" w:line="312" w:lineRule="auto"/>
        <w:jc w:val="center"/>
        <w:outlineLvl w:val="0"/>
        <w:rPr>
          <w:rFonts w:hint="eastAsia" w:ascii="仿宋" w:hAnsi="仿宋" w:eastAsia="仿宋" w:cs="仿宋"/>
          <w:b/>
          <w:sz w:val="44"/>
          <w:szCs w:val="44"/>
          <w:highlight w:val="none"/>
        </w:rPr>
      </w:pPr>
      <w:r>
        <w:rPr>
          <w:rFonts w:hint="eastAsia" w:ascii="仿宋" w:hAnsi="仿宋" w:eastAsia="仿宋" w:cs="仿宋"/>
          <w:b/>
          <w:sz w:val="44"/>
          <w:szCs w:val="44"/>
          <w:highlight w:val="none"/>
        </w:rPr>
        <w:t>目  录</w:t>
      </w:r>
      <w:bookmarkEnd w:id="40"/>
      <w:bookmarkEnd w:id="41"/>
    </w:p>
    <w:p>
      <w:pPr>
        <w:pStyle w:val="2"/>
        <w:pageBreakBefore w:val="0"/>
        <w:overflowPunct/>
        <w:bidi w:val="0"/>
        <w:spacing w:line="312" w:lineRule="auto"/>
        <w:rPr>
          <w:rFonts w:hint="eastAsia" w:ascii="仿宋" w:hAnsi="仿宋" w:eastAsia="仿宋" w:cs="仿宋"/>
          <w:b/>
          <w:sz w:val="44"/>
          <w:szCs w:val="44"/>
          <w:highlight w:val="none"/>
        </w:rPr>
      </w:pPr>
    </w:p>
    <w:p>
      <w:pPr>
        <w:pageBreakBefore w:val="0"/>
        <w:overflowPunct/>
        <w:bidi w:val="0"/>
        <w:spacing w:line="312" w:lineRule="auto"/>
        <w:rPr>
          <w:rFonts w:hint="eastAsia" w:ascii="仿宋" w:hAnsi="仿宋" w:eastAsia="仿宋" w:cs="仿宋"/>
          <w:highlight w:val="none"/>
        </w:rPr>
      </w:pPr>
    </w:p>
    <w:p>
      <w:pPr>
        <w:pageBreakBefore w:val="0"/>
        <w:overflowPunct/>
        <w:bidi w:val="0"/>
        <w:spacing w:line="312" w:lineRule="auto"/>
        <w:jc w:val="center"/>
        <w:rPr>
          <w:rFonts w:hint="eastAsia" w:ascii="仿宋" w:hAnsi="仿宋" w:eastAsia="仿宋" w:cs="仿宋"/>
          <w:highlight w:val="none"/>
          <w:lang w:eastAsia="zh-CN"/>
        </w:rPr>
      </w:pPr>
      <w:bookmarkStart w:id="42" w:name="_Toc13311"/>
      <w:r>
        <w:rPr>
          <w:rFonts w:hint="eastAsia" w:ascii="仿宋" w:hAnsi="仿宋" w:eastAsia="仿宋" w:cs="仿宋"/>
          <w:b/>
          <w:bCs/>
          <w:spacing w:val="-2"/>
          <w:sz w:val="24"/>
          <w:szCs w:val="24"/>
          <w:highlight w:val="none"/>
        </w:rPr>
        <w:t>（格式自拟，目录内容须与正文内容一致并有详细页码）</w:t>
      </w:r>
      <w:bookmarkEnd w:id="42"/>
    </w:p>
    <w:p>
      <w:pPr>
        <w:pageBreakBefore w:val="0"/>
        <w:overflowPunct/>
        <w:bidi w:val="0"/>
        <w:spacing w:afterAutospacing="0" w:line="312" w:lineRule="auto"/>
        <w:ind w:left="210" w:leftChars="100"/>
        <w:rPr>
          <w:rFonts w:hint="eastAsia" w:ascii="仿宋" w:hAnsi="仿宋" w:eastAsia="仿宋" w:cs="仿宋"/>
          <w:highlight w:val="none"/>
        </w:rPr>
      </w:pPr>
    </w:p>
    <w:p>
      <w:pPr>
        <w:pageBreakBefore w:val="0"/>
        <w:overflowPunct/>
        <w:bidi w:val="0"/>
        <w:spacing w:afterAutospacing="0" w:line="312" w:lineRule="auto"/>
        <w:ind w:firstLine="1898" w:firstLineChars="678"/>
        <w:rPr>
          <w:rFonts w:hint="eastAsia" w:ascii="仿宋" w:hAnsi="仿宋" w:eastAsia="仿宋" w:cs="仿宋"/>
          <w:sz w:val="28"/>
          <w:szCs w:val="28"/>
          <w:highlight w:val="none"/>
        </w:rPr>
      </w:pPr>
    </w:p>
    <w:p>
      <w:pPr>
        <w:pageBreakBefore w:val="0"/>
        <w:overflowPunct/>
        <w:bidi w:val="0"/>
        <w:spacing w:afterAutospacing="0" w:line="312" w:lineRule="auto"/>
        <w:ind w:firstLine="723" w:firstLineChars="200"/>
        <w:rPr>
          <w:rFonts w:hint="eastAsia" w:ascii="仿宋" w:hAnsi="仿宋" w:eastAsia="仿宋" w:cs="仿宋"/>
          <w:b/>
          <w:sz w:val="36"/>
          <w:szCs w:val="36"/>
          <w:highlight w:val="none"/>
        </w:rPr>
      </w:pPr>
    </w:p>
    <w:p>
      <w:pPr>
        <w:pageBreakBefore w:val="0"/>
        <w:tabs>
          <w:tab w:val="left" w:pos="1665"/>
        </w:tabs>
        <w:overflowPunct/>
        <w:bidi w:val="0"/>
        <w:spacing w:afterAutospacing="0" w:line="312" w:lineRule="auto"/>
        <w:rPr>
          <w:rFonts w:hint="eastAsia" w:ascii="仿宋" w:hAnsi="仿宋" w:eastAsia="仿宋" w:cs="仿宋"/>
          <w:b/>
          <w:sz w:val="28"/>
          <w:szCs w:val="28"/>
          <w:highlight w:val="none"/>
        </w:rPr>
      </w:pPr>
      <w:r>
        <w:rPr>
          <w:rFonts w:hint="eastAsia" w:ascii="仿宋" w:hAnsi="仿宋" w:eastAsia="仿宋" w:cs="仿宋"/>
          <w:b/>
          <w:sz w:val="28"/>
          <w:szCs w:val="28"/>
          <w:highlight w:val="none"/>
        </w:rPr>
        <w:tab/>
      </w:r>
    </w:p>
    <w:p>
      <w:pPr>
        <w:pageBreakBefore w:val="0"/>
        <w:tabs>
          <w:tab w:val="left" w:pos="1665"/>
        </w:tabs>
        <w:overflowPunct/>
        <w:bidi w:val="0"/>
        <w:spacing w:afterAutospacing="0" w:line="312" w:lineRule="auto"/>
        <w:rPr>
          <w:rFonts w:hint="eastAsia" w:ascii="仿宋" w:hAnsi="仿宋" w:eastAsia="仿宋" w:cs="仿宋"/>
          <w:b/>
          <w:sz w:val="28"/>
          <w:szCs w:val="28"/>
          <w:highlight w:val="none"/>
        </w:rPr>
      </w:pPr>
    </w:p>
    <w:p>
      <w:pPr>
        <w:pageBreakBefore w:val="0"/>
        <w:tabs>
          <w:tab w:val="left" w:pos="1665"/>
        </w:tabs>
        <w:overflowPunct/>
        <w:bidi w:val="0"/>
        <w:spacing w:afterAutospacing="0" w:line="312" w:lineRule="auto"/>
        <w:rPr>
          <w:rFonts w:hint="eastAsia" w:ascii="仿宋" w:hAnsi="仿宋" w:eastAsia="仿宋" w:cs="仿宋"/>
          <w:b/>
          <w:sz w:val="28"/>
          <w:szCs w:val="28"/>
          <w:highlight w:val="none"/>
        </w:rPr>
      </w:pPr>
    </w:p>
    <w:p>
      <w:pPr>
        <w:pageBreakBefore w:val="0"/>
        <w:tabs>
          <w:tab w:val="left" w:pos="1665"/>
        </w:tabs>
        <w:overflowPunct/>
        <w:bidi w:val="0"/>
        <w:spacing w:afterAutospacing="0" w:line="312" w:lineRule="auto"/>
        <w:rPr>
          <w:rFonts w:hint="eastAsia" w:ascii="仿宋" w:hAnsi="仿宋" w:eastAsia="仿宋" w:cs="仿宋"/>
          <w:b/>
          <w:sz w:val="28"/>
          <w:szCs w:val="28"/>
          <w:highlight w:val="none"/>
        </w:rPr>
      </w:pPr>
    </w:p>
    <w:p>
      <w:pPr>
        <w:pStyle w:val="45"/>
        <w:pageBreakBefore w:val="0"/>
        <w:overflowPunct/>
        <w:bidi w:val="0"/>
        <w:spacing w:afterAutospacing="0" w:line="312" w:lineRule="auto"/>
        <w:ind w:left="0" w:leftChars="0" w:firstLine="0" w:firstLineChars="0"/>
        <w:rPr>
          <w:rFonts w:hint="eastAsia" w:ascii="仿宋" w:hAnsi="仿宋" w:eastAsia="仿宋" w:cs="仿宋"/>
          <w:b/>
          <w:sz w:val="28"/>
          <w:szCs w:val="28"/>
          <w:highlight w:val="none"/>
        </w:rPr>
      </w:pPr>
    </w:p>
    <w:p>
      <w:pPr>
        <w:pageBreakBefore w:val="0"/>
        <w:overflowPunct/>
        <w:bidi w:val="0"/>
        <w:spacing w:afterAutospacing="0" w:line="312" w:lineRule="auto"/>
        <w:rPr>
          <w:rFonts w:hint="eastAsia" w:ascii="仿宋" w:hAnsi="仿宋" w:eastAsia="仿宋" w:cs="仿宋"/>
          <w:b/>
          <w:sz w:val="28"/>
          <w:szCs w:val="28"/>
          <w:highlight w:val="none"/>
        </w:rPr>
      </w:pPr>
      <w:r>
        <w:rPr>
          <w:rFonts w:hint="eastAsia" w:ascii="仿宋" w:hAnsi="仿宋" w:eastAsia="仿宋" w:cs="仿宋"/>
          <w:b/>
          <w:sz w:val="28"/>
          <w:szCs w:val="28"/>
          <w:highlight w:val="none"/>
        </w:rPr>
        <w:br w:type="page"/>
      </w:r>
    </w:p>
    <w:p>
      <w:pPr>
        <w:pageBreakBefore w:val="0"/>
        <w:numPr>
          <w:ilvl w:val="0"/>
          <w:numId w:val="39"/>
        </w:numPr>
        <w:kinsoku/>
        <w:overflowPunct/>
        <w:bidi w:val="0"/>
        <w:spacing w:line="312" w:lineRule="auto"/>
        <w:ind w:firstLine="0"/>
        <w:jc w:val="center"/>
        <w:outlineLvl w:val="0"/>
        <w:rPr>
          <w:rFonts w:hint="eastAsia" w:ascii="仿宋" w:hAnsi="仿宋" w:eastAsia="仿宋" w:cs="仿宋"/>
          <w:b/>
          <w:color w:val="000000"/>
          <w:sz w:val="36"/>
          <w:szCs w:val="36"/>
          <w:highlight w:val="none"/>
        </w:rPr>
      </w:pPr>
      <w:bookmarkStart w:id="43" w:name="_Toc24737"/>
      <w:bookmarkStart w:id="44" w:name="_Toc31584"/>
      <w:r>
        <w:rPr>
          <w:rFonts w:hint="eastAsia" w:ascii="仿宋" w:hAnsi="仿宋" w:eastAsia="仿宋" w:cs="仿宋"/>
          <w:b/>
          <w:color w:val="000000"/>
          <w:sz w:val="36"/>
          <w:szCs w:val="36"/>
          <w:highlight w:val="none"/>
        </w:rPr>
        <w:t>磋商函</w:t>
      </w:r>
      <w:bookmarkEnd w:id="43"/>
      <w:bookmarkEnd w:id="44"/>
    </w:p>
    <w:p>
      <w:pPr>
        <w:pageBreakBefore w:val="0"/>
        <w:overflowPunct/>
        <w:bidi w:val="0"/>
        <w:spacing w:afterAutospacing="0" w:line="312" w:lineRule="auto"/>
        <w:rPr>
          <w:rFonts w:hint="eastAsia" w:ascii="仿宋" w:hAnsi="仿宋" w:eastAsia="仿宋" w:cs="仿宋"/>
          <w:b/>
          <w:sz w:val="24"/>
          <w:szCs w:val="24"/>
          <w:highlight w:val="none"/>
        </w:rPr>
      </w:pPr>
    </w:p>
    <w:p>
      <w:pPr>
        <w:pageBreakBefore w:val="0"/>
        <w:overflowPunct/>
        <w:bidi w:val="0"/>
        <w:spacing w:afterAutospacing="0" w:line="312" w:lineRule="auto"/>
        <w:rPr>
          <w:rFonts w:hint="eastAsia" w:ascii="仿宋" w:hAnsi="仿宋" w:eastAsia="仿宋" w:cs="仿宋"/>
          <w:color w:val="000000"/>
          <w:sz w:val="24"/>
          <w:szCs w:val="24"/>
          <w:highlight w:val="none"/>
        </w:rPr>
      </w:pPr>
      <w:r>
        <w:rPr>
          <w:rFonts w:hint="eastAsia" w:ascii="仿宋" w:hAnsi="仿宋" w:eastAsia="仿宋" w:cs="仿宋"/>
          <w:b/>
          <w:sz w:val="24"/>
          <w:szCs w:val="24"/>
          <w:highlight w:val="none"/>
        </w:rPr>
        <w:t>致：</w:t>
      </w:r>
      <w:r>
        <w:rPr>
          <w:rFonts w:hint="eastAsia" w:ascii="仿宋" w:hAnsi="仿宋" w:eastAsia="仿宋" w:cs="仿宋"/>
          <w:b/>
          <w:sz w:val="24"/>
          <w:szCs w:val="24"/>
          <w:highlight w:val="none"/>
          <w:u w:val="single"/>
          <w:lang w:eastAsia="zh-CN"/>
        </w:rPr>
        <w:t>（采购人名称）</w:t>
      </w:r>
    </w:p>
    <w:p>
      <w:pPr>
        <w:pageBreakBefore w:val="0"/>
        <w:kinsoku/>
        <w:overflowPunct/>
        <w:bidi w:val="0"/>
        <w:spacing w:line="312"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根据贵单位</w:t>
      </w:r>
      <w:r>
        <w:rPr>
          <w:rFonts w:hint="eastAsia" w:ascii="仿宋" w:hAnsi="仿宋" w:eastAsia="仿宋" w:cs="仿宋"/>
          <w:sz w:val="24"/>
          <w:szCs w:val="24"/>
          <w:highlight w:val="none"/>
          <w:u w:val="single"/>
        </w:rPr>
        <w:t xml:space="preserve"> （项目名称） （项目编号）</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的磋商</w:t>
      </w:r>
      <w:r>
        <w:rPr>
          <w:rFonts w:hint="eastAsia" w:ascii="仿宋" w:hAnsi="仿宋" w:eastAsia="仿宋" w:cs="仿宋"/>
          <w:sz w:val="24"/>
          <w:szCs w:val="24"/>
          <w:highlight w:val="none"/>
          <w:lang w:val="en-US" w:eastAsia="zh-CN"/>
        </w:rPr>
        <w:t>文件</w:t>
      </w:r>
      <w:r>
        <w:rPr>
          <w:rFonts w:hint="eastAsia" w:ascii="仿宋" w:hAnsi="仿宋" w:eastAsia="仿宋" w:cs="仿宋"/>
          <w:sz w:val="24"/>
          <w:szCs w:val="24"/>
          <w:highlight w:val="none"/>
        </w:rPr>
        <w:t>，我方代表</w:t>
      </w:r>
      <w:r>
        <w:rPr>
          <w:rFonts w:hint="eastAsia" w:ascii="仿宋" w:hAnsi="仿宋" w:eastAsia="仿宋" w:cs="仿宋"/>
          <w:sz w:val="24"/>
          <w:szCs w:val="24"/>
          <w:highlight w:val="none"/>
          <w:u w:val="single"/>
        </w:rPr>
        <w:t xml:space="preserve"> （姓名、职务）</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经正式授权并代表</w:t>
      </w:r>
      <w:r>
        <w:rPr>
          <w:rFonts w:hint="eastAsia" w:ascii="仿宋" w:hAnsi="仿宋" w:eastAsia="仿宋" w:cs="仿宋"/>
          <w:sz w:val="24"/>
          <w:szCs w:val="24"/>
          <w:highlight w:val="none"/>
          <w:u w:val="single"/>
        </w:rPr>
        <w:t xml:space="preserve">  （供应商名称）  </w:t>
      </w:r>
      <w:r>
        <w:rPr>
          <w:rFonts w:hint="eastAsia" w:ascii="仿宋" w:hAnsi="仿宋" w:eastAsia="仿宋" w:cs="仿宋"/>
          <w:sz w:val="24"/>
          <w:szCs w:val="24"/>
          <w:highlight w:val="none"/>
        </w:rPr>
        <w:t>就该项目进行竞争性磋商。</w:t>
      </w:r>
    </w:p>
    <w:p>
      <w:pPr>
        <w:pageBreakBefore w:val="0"/>
        <w:kinsoku/>
        <w:overflowPunct/>
        <w:bidi w:val="0"/>
        <w:spacing w:line="312" w:lineRule="auto"/>
        <w:ind w:firstLine="482" w:firstLineChars="200"/>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在此，我方郑重声明以下诸点，并负法律责任：</w:t>
      </w:r>
    </w:p>
    <w:p>
      <w:pPr>
        <w:pStyle w:val="19"/>
        <w:pageBreakBefore w:val="0"/>
        <w:numPr>
          <w:ilvl w:val="0"/>
          <w:numId w:val="40"/>
        </w:numPr>
        <w:kinsoku/>
        <w:overflowPunct/>
        <w:bidi w:val="0"/>
        <w:adjustRightInd w:val="0"/>
        <w:snapToGrid w:val="0"/>
        <w:spacing w:line="312" w:lineRule="auto"/>
        <w:ind w:hanging="5"/>
        <w:rPr>
          <w:rFonts w:hint="eastAsia" w:ascii="仿宋" w:hAnsi="仿宋" w:eastAsia="仿宋" w:cs="仿宋"/>
          <w:sz w:val="24"/>
          <w:szCs w:val="24"/>
          <w:highlight w:val="none"/>
        </w:rPr>
      </w:pPr>
      <w:r>
        <w:rPr>
          <w:rFonts w:hint="eastAsia" w:ascii="仿宋" w:hAnsi="仿宋" w:eastAsia="仿宋" w:cs="仿宋"/>
          <w:sz w:val="24"/>
          <w:szCs w:val="24"/>
          <w:highlight w:val="none"/>
        </w:rPr>
        <w:t>我方提交响应文件正本</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份和副本</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份，电子文件</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份。</w:t>
      </w:r>
    </w:p>
    <w:p>
      <w:pPr>
        <w:pStyle w:val="19"/>
        <w:pageBreakBefore w:val="0"/>
        <w:numPr>
          <w:ilvl w:val="0"/>
          <w:numId w:val="40"/>
        </w:numPr>
        <w:kinsoku/>
        <w:overflowPunct/>
        <w:bidi w:val="0"/>
        <w:adjustRightInd w:val="0"/>
        <w:snapToGrid w:val="0"/>
        <w:spacing w:line="312" w:lineRule="auto"/>
        <w:ind w:left="5" w:firstLine="415"/>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0"/>
          <w:highlight w:val="none"/>
        </w:rPr>
        <w:t>愿意按照磋商文件中的一切要求，总报价为</w:t>
      </w:r>
      <w:r>
        <w:rPr>
          <w:rFonts w:hint="eastAsia" w:ascii="仿宋" w:hAnsi="仿宋" w:eastAsia="仿宋" w:cs="仿宋"/>
          <w:sz w:val="24"/>
          <w:szCs w:val="20"/>
          <w:highlight w:val="none"/>
          <w:lang w:eastAsia="zh-CN"/>
        </w:rPr>
        <w:t>：</w:t>
      </w:r>
      <w:r>
        <w:rPr>
          <w:rFonts w:hint="eastAsia" w:ascii="仿宋" w:hAnsi="仿宋" w:eastAsia="仿宋" w:cs="仿宋"/>
          <w:sz w:val="24"/>
          <w:szCs w:val="20"/>
          <w:highlight w:val="none"/>
        </w:rPr>
        <w:t>人民币（大写）：</w:t>
      </w:r>
      <w:r>
        <w:rPr>
          <w:rFonts w:hint="eastAsia" w:ascii="仿宋" w:hAnsi="仿宋" w:eastAsia="仿宋" w:cs="仿宋"/>
          <w:sz w:val="24"/>
          <w:szCs w:val="20"/>
          <w:highlight w:val="none"/>
          <w:u w:val="single"/>
        </w:rPr>
        <w:t xml:space="preserve">               </w:t>
      </w:r>
      <w:r>
        <w:rPr>
          <w:rFonts w:hint="eastAsia" w:ascii="仿宋" w:hAnsi="仿宋" w:eastAsia="仿宋" w:cs="仿宋"/>
          <w:sz w:val="24"/>
          <w:szCs w:val="20"/>
          <w:highlight w:val="none"/>
        </w:rPr>
        <w:t>；（小写）</w:t>
      </w:r>
      <w:r>
        <w:rPr>
          <w:rFonts w:hint="eastAsia" w:ascii="仿宋" w:hAnsi="仿宋" w:eastAsia="仿宋" w:cs="仿宋"/>
          <w:sz w:val="24"/>
          <w:szCs w:val="20"/>
          <w:highlight w:val="none"/>
          <w:u w:val="single"/>
        </w:rPr>
        <w:t xml:space="preserve">￥            </w:t>
      </w:r>
      <w:r>
        <w:rPr>
          <w:rFonts w:hint="eastAsia" w:ascii="仿宋" w:hAnsi="仿宋" w:eastAsia="仿宋" w:cs="仿宋"/>
          <w:sz w:val="24"/>
          <w:szCs w:val="20"/>
          <w:highlight w:val="none"/>
        </w:rPr>
        <w:t>元</w:t>
      </w:r>
      <w:r>
        <w:rPr>
          <w:rFonts w:hint="eastAsia" w:ascii="仿宋" w:hAnsi="仿宋" w:eastAsia="仿宋" w:cs="仿宋"/>
          <w:sz w:val="24"/>
          <w:szCs w:val="20"/>
          <w:highlight w:val="none"/>
          <w:lang w:eastAsia="zh-CN"/>
        </w:rPr>
        <w:t>。</w:t>
      </w:r>
      <w:r>
        <w:rPr>
          <w:rFonts w:hint="eastAsia" w:ascii="仿宋" w:hAnsi="仿宋" w:eastAsia="仿宋" w:cs="仿宋"/>
          <w:sz w:val="24"/>
          <w:szCs w:val="20"/>
          <w:highlight w:val="none"/>
        </w:rPr>
        <w:t>该报价不受市场因素的影响。</w:t>
      </w:r>
    </w:p>
    <w:p>
      <w:pPr>
        <w:pStyle w:val="19"/>
        <w:pageBreakBefore w:val="0"/>
        <w:numPr>
          <w:ilvl w:val="0"/>
          <w:numId w:val="40"/>
        </w:numPr>
        <w:kinsoku/>
        <w:overflowPunct/>
        <w:bidi w:val="0"/>
        <w:adjustRightInd w:val="0"/>
        <w:snapToGrid w:val="0"/>
        <w:spacing w:line="312" w:lineRule="auto"/>
        <w:ind w:left="5" w:firstLine="415"/>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我方已详细审查全部磋商文件，完全理解并同意放弃对这方面有不明及误解质疑的权力。</w:t>
      </w:r>
    </w:p>
    <w:p>
      <w:pPr>
        <w:pStyle w:val="19"/>
        <w:pageBreakBefore w:val="0"/>
        <w:numPr>
          <w:ilvl w:val="0"/>
          <w:numId w:val="40"/>
        </w:numPr>
        <w:kinsoku/>
        <w:overflowPunct/>
        <w:bidi w:val="0"/>
        <w:adjustRightInd w:val="0"/>
        <w:snapToGrid w:val="0"/>
        <w:spacing w:line="312" w:lineRule="auto"/>
        <w:ind w:left="5" w:firstLine="415"/>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我方同意按照要求提供磋商有关的一切服务。</w:t>
      </w:r>
    </w:p>
    <w:p>
      <w:pPr>
        <w:pStyle w:val="19"/>
        <w:pageBreakBefore w:val="0"/>
        <w:numPr>
          <w:ilvl w:val="0"/>
          <w:numId w:val="40"/>
        </w:numPr>
        <w:kinsoku/>
        <w:overflowPunct/>
        <w:bidi w:val="0"/>
        <w:adjustRightInd w:val="0"/>
        <w:snapToGrid w:val="0"/>
        <w:spacing w:line="312" w:lineRule="auto"/>
        <w:ind w:left="5" w:firstLine="415"/>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我方将按磋商文件的规定履行合同责任和义务。</w:t>
      </w:r>
    </w:p>
    <w:p>
      <w:pPr>
        <w:pStyle w:val="19"/>
        <w:pageBreakBefore w:val="0"/>
        <w:numPr>
          <w:ilvl w:val="0"/>
          <w:numId w:val="40"/>
        </w:numPr>
        <w:kinsoku/>
        <w:overflowPunct/>
        <w:bidi w:val="0"/>
        <w:adjustRightInd w:val="0"/>
        <w:snapToGrid w:val="0"/>
        <w:spacing w:line="312" w:lineRule="auto"/>
        <w:ind w:left="5" w:firstLine="415"/>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我方承诺本次参与磋商的所有报告均不存在侵权问题，因此产生的一切责任由我方自行承担。</w:t>
      </w:r>
    </w:p>
    <w:p>
      <w:pPr>
        <w:pStyle w:val="19"/>
        <w:pageBreakBefore w:val="0"/>
        <w:numPr>
          <w:ilvl w:val="0"/>
          <w:numId w:val="40"/>
        </w:numPr>
        <w:kinsoku/>
        <w:overflowPunct/>
        <w:bidi w:val="0"/>
        <w:adjustRightInd w:val="0"/>
        <w:snapToGrid w:val="0"/>
        <w:spacing w:line="312" w:lineRule="auto"/>
        <w:ind w:left="5" w:firstLine="415"/>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我方完全理解最低报价不是成交的唯一条件，尊重评标委员会的评审结果，并同意放弃对这方面有不明及误解质疑的权力。 </w:t>
      </w:r>
    </w:p>
    <w:p>
      <w:pPr>
        <w:pStyle w:val="19"/>
        <w:pageBreakBefore w:val="0"/>
        <w:numPr>
          <w:ilvl w:val="0"/>
          <w:numId w:val="40"/>
        </w:numPr>
        <w:kinsoku/>
        <w:overflowPunct/>
        <w:bidi w:val="0"/>
        <w:adjustRightInd w:val="0"/>
        <w:snapToGrid w:val="0"/>
        <w:spacing w:line="312" w:lineRule="auto"/>
        <w:ind w:left="5" w:firstLine="415"/>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我方同意按磋商文件规定，遵守贵方有关磋商的各项规定。</w:t>
      </w:r>
    </w:p>
    <w:p>
      <w:pPr>
        <w:pStyle w:val="19"/>
        <w:pageBreakBefore w:val="0"/>
        <w:numPr>
          <w:ilvl w:val="0"/>
          <w:numId w:val="40"/>
        </w:numPr>
        <w:kinsoku/>
        <w:overflowPunct/>
        <w:bidi w:val="0"/>
        <w:adjustRightInd w:val="0"/>
        <w:snapToGrid w:val="0"/>
        <w:spacing w:line="312" w:lineRule="auto"/>
        <w:ind w:left="5" w:firstLine="415"/>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磋商有效期为递交响应文件截止之日起90日历天。</w:t>
      </w:r>
    </w:p>
    <w:p>
      <w:pPr>
        <w:pStyle w:val="19"/>
        <w:pageBreakBefore w:val="0"/>
        <w:numPr>
          <w:ilvl w:val="0"/>
          <w:numId w:val="40"/>
        </w:numPr>
        <w:tabs>
          <w:tab w:val="left" w:pos="630"/>
          <w:tab w:val="left" w:pos="840"/>
          <w:tab w:val="left" w:pos="1050"/>
        </w:tabs>
        <w:kinsoku/>
        <w:overflowPunct/>
        <w:bidi w:val="0"/>
        <w:adjustRightInd w:val="0"/>
        <w:snapToGrid w:val="0"/>
        <w:spacing w:line="312" w:lineRule="auto"/>
        <w:ind w:left="5" w:firstLine="415"/>
        <w:rPr>
          <w:rFonts w:hint="eastAsia" w:ascii="仿宋" w:hAnsi="仿宋" w:eastAsia="仿宋" w:cs="仿宋"/>
          <w:sz w:val="24"/>
          <w:szCs w:val="24"/>
          <w:highlight w:val="none"/>
          <w:lang w:val="zh-CN" w:eastAsia="zh-CN"/>
        </w:rPr>
      </w:pPr>
      <w:r>
        <w:rPr>
          <w:rFonts w:hint="eastAsia" w:ascii="仿宋" w:hAnsi="仿宋" w:eastAsia="仿宋" w:cs="仿宋"/>
          <w:kern w:val="2"/>
          <w:sz w:val="24"/>
          <w:szCs w:val="24"/>
          <w:highlight w:val="none"/>
          <w:lang w:val="en-US" w:eastAsia="zh-CN" w:bidi="ar-SA"/>
        </w:rPr>
        <w:t>所有关于本项目的函电，请按下列地址</w:t>
      </w:r>
      <w:r>
        <w:rPr>
          <w:rFonts w:hint="eastAsia" w:ascii="仿宋" w:hAnsi="仿宋" w:eastAsia="仿宋" w:cs="仿宋"/>
          <w:sz w:val="24"/>
          <w:szCs w:val="24"/>
          <w:highlight w:val="none"/>
        </w:rPr>
        <w:t>联系：</w:t>
      </w:r>
    </w:p>
    <w:p>
      <w:pPr>
        <w:pageBreakBefore w:val="0"/>
        <w:kinsoku/>
        <w:overflowPunct/>
        <w:bidi w:val="0"/>
        <w:spacing w:line="312" w:lineRule="auto"/>
        <w:ind w:firstLine="480" w:firstLineChars="200"/>
        <w:jc w:val="both"/>
        <w:rPr>
          <w:rFonts w:hint="eastAsia" w:ascii="仿宋" w:hAnsi="仿宋" w:eastAsia="仿宋" w:cs="仿宋"/>
          <w:sz w:val="24"/>
          <w:szCs w:val="24"/>
          <w:highlight w:val="none"/>
          <w:lang w:val="zh-CN" w:eastAsia="zh-CN"/>
        </w:rPr>
      </w:pPr>
    </w:p>
    <w:p>
      <w:pPr>
        <w:pageBreakBefore w:val="0"/>
        <w:kinsoku/>
        <w:overflowPunct/>
        <w:bidi w:val="0"/>
        <w:spacing w:line="312" w:lineRule="auto"/>
        <w:ind w:firstLine="480" w:firstLineChars="200"/>
        <w:jc w:val="both"/>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zh-CN" w:eastAsia="zh-CN"/>
        </w:rPr>
        <w:t>供应商</w:t>
      </w:r>
      <w:r>
        <w:rPr>
          <w:rFonts w:hint="eastAsia" w:ascii="仿宋" w:hAnsi="仿宋" w:eastAsia="仿宋" w:cs="仿宋"/>
          <w:sz w:val="24"/>
          <w:szCs w:val="24"/>
          <w:highlight w:val="none"/>
          <w:lang w:val="zh-CN"/>
        </w:rPr>
        <w:t>名称：</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w:t>
      </w:r>
      <w:r>
        <w:rPr>
          <w:rFonts w:hint="eastAsia" w:ascii="仿宋" w:hAnsi="仿宋" w:eastAsia="仿宋" w:cs="仿宋"/>
          <w:sz w:val="24"/>
          <w:szCs w:val="24"/>
          <w:highlight w:val="none"/>
          <w:lang w:val="en-US" w:eastAsia="zh-CN"/>
        </w:rPr>
        <w:t>盖</w:t>
      </w:r>
      <w:r>
        <w:rPr>
          <w:rFonts w:hint="eastAsia" w:ascii="仿宋" w:hAnsi="仿宋" w:eastAsia="仿宋" w:cs="仿宋"/>
          <w:sz w:val="24"/>
          <w:szCs w:val="24"/>
          <w:highlight w:val="none"/>
          <w:lang w:val="zh-CN"/>
        </w:rPr>
        <w:t>章）</w:t>
      </w:r>
    </w:p>
    <w:p>
      <w:pPr>
        <w:pageBreakBefore w:val="0"/>
        <w:kinsoku/>
        <w:overflowPunct/>
        <w:bidi w:val="0"/>
        <w:spacing w:line="312" w:lineRule="auto"/>
        <w:ind w:firstLine="480" w:firstLineChars="200"/>
        <w:jc w:val="both"/>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法定代表人</w:t>
      </w:r>
      <w:r>
        <w:rPr>
          <w:rFonts w:hint="eastAsia" w:ascii="仿宋" w:hAnsi="仿宋" w:eastAsia="仿宋" w:cs="仿宋"/>
          <w:sz w:val="24"/>
          <w:szCs w:val="24"/>
          <w:highlight w:val="none"/>
          <w:lang w:val="en-US" w:eastAsia="zh-CN"/>
        </w:rPr>
        <w:t>/负责人</w:t>
      </w:r>
      <w:r>
        <w:rPr>
          <w:rFonts w:hint="eastAsia" w:ascii="仿宋" w:hAnsi="仿宋" w:eastAsia="仿宋" w:cs="仿宋"/>
          <w:sz w:val="24"/>
          <w:szCs w:val="24"/>
          <w:highlight w:val="none"/>
          <w:lang w:val="zh-CN"/>
        </w:rPr>
        <w:t>或委托代理人：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（签字或盖章）</w:t>
      </w:r>
    </w:p>
    <w:p>
      <w:pPr>
        <w:pageBreakBefore w:val="0"/>
        <w:kinsoku/>
        <w:overflowPunct/>
        <w:bidi w:val="0"/>
        <w:spacing w:line="312" w:lineRule="auto"/>
        <w:ind w:firstLine="480" w:firstLineChars="200"/>
        <w:jc w:val="both"/>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详 细 地 址：</w:t>
      </w:r>
    </w:p>
    <w:p>
      <w:pPr>
        <w:pageBreakBefore w:val="0"/>
        <w:kinsoku/>
        <w:overflowPunct/>
        <w:bidi w:val="0"/>
        <w:spacing w:line="312" w:lineRule="auto"/>
        <w:ind w:firstLine="480" w:firstLineChars="200"/>
        <w:jc w:val="both"/>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邮 政 编 码：</w:t>
      </w:r>
    </w:p>
    <w:p>
      <w:pPr>
        <w:pageBreakBefore w:val="0"/>
        <w:kinsoku/>
        <w:overflowPunct/>
        <w:bidi w:val="0"/>
        <w:spacing w:line="312" w:lineRule="auto"/>
        <w:ind w:firstLine="480" w:firstLineChars="200"/>
        <w:jc w:val="both"/>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电       话：</w:t>
      </w:r>
    </w:p>
    <w:p>
      <w:pPr>
        <w:pageBreakBefore w:val="0"/>
        <w:kinsoku/>
        <w:overflowPunct/>
        <w:bidi w:val="0"/>
        <w:spacing w:line="312" w:lineRule="auto"/>
        <w:ind w:firstLine="480" w:firstLineChars="200"/>
        <w:jc w:val="both"/>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传       真：</w:t>
      </w:r>
    </w:p>
    <w:p>
      <w:pPr>
        <w:pageBreakBefore w:val="0"/>
        <w:kinsoku/>
        <w:overflowPunct/>
        <w:bidi w:val="0"/>
        <w:spacing w:line="312" w:lineRule="auto"/>
        <w:ind w:firstLine="480" w:firstLineChars="200"/>
        <w:jc w:val="both"/>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电 子 邮 件：</w:t>
      </w:r>
    </w:p>
    <w:p>
      <w:pPr>
        <w:pageBreakBefore w:val="0"/>
        <w:kinsoku/>
        <w:overflowPunct/>
        <w:bidi w:val="0"/>
        <w:spacing w:line="312" w:lineRule="auto"/>
        <w:ind w:firstLine="480" w:firstLineChars="200"/>
        <w:jc w:val="both"/>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开 户 银 行：</w:t>
      </w:r>
    </w:p>
    <w:p>
      <w:pPr>
        <w:pageBreakBefore w:val="0"/>
        <w:kinsoku/>
        <w:overflowPunct/>
        <w:bidi w:val="0"/>
        <w:spacing w:line="312" w:lineRule="auto"/>
        <w:ind w:firstLine="480" w:firstLineChars="200"/>
        <w:jc w:val="both"/>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帐       号</w:t>
      </w:r>
      <w:r>
        <w:rPr>
          <w:rFonts w:hint="eastAsia" w:ascii="仿宋" w:hAnsi="仿宋" w:eastAsia="仿宋" w:cs="仿宋"/>
          <w:color w:val="auto"/>
          <w:sz w:val="24"/>
          <w:szCs w:val="24"/>
          <w:highlight w:val="none"/>
          <w:lang w:val="zh-CN"/>
        </w:rPr>
        <w:t>：</w:t>
      </w:r>
    </w:p>
    <w:p>
      <w:pPr>
        <w:pageBreakBefore w:val="0"/>
        <w:kinsoku/>
        <w:overflowPunct/>
        <w:bidi w:val="0"/>
        <w:spacing w:line="312" w:lineRule="auto"/>
        <w:ind w:firstLine="6240" w:firstLineChars="2600"/>
        <w:rPr>
          <w:rFonts w:hint="eastAsia" w:ascii="仿宋" w:hAnsi="仿宋" w:eastAsia="仿宋" w:cs="仿宋"/>
          <w:b/>
          <w:color w:val="000000"/>
          <w:sz w:val="36"/>
          <w:szCs w:val="36"/>
          <w:highlight w:val="none"/>
          <w:lang w:val="zh-CN"/>
        </w:rPr>
      </w:pP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年</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月</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日</w:t>
      </w:r>
      <w:bookmarkStart w:id="45" w:name="_Toc10538"/>
    </w:p>
    <w:p>
      <w:pPr>
        <w:pageBreakBefore w:val="0"/>
        <w:bidi w:val="0"/>
        <w:spacing w:line="312" w:lineRule="auto"/>
        <w:rPr>
          <w:rFonts w:hint="eastAsia" w:ascii="仿宋" w:hAnsi="仿宋" w:eastAsia="仿宋" w:cs="仿宋"/>
          <w:b/>
          <w:color w:val="000000"/>
          <w:sz w:val="36"/>
          <w:szCs w:val="36"/>
          <w:highlight w:val="none"/>
          <w:lang w:val="zh-CN"/>
        </w:rPr>
      </w:pPr>
      <w:r>
        <w:rPr>
          <w:rFonts w:hint="eastAsia" w:ascii="仿宋" w:hAnsi="仿宋" w:eastAsia="仿宋" w:cs="仿宋"/>
          <w:b/>
          <w:color w:val="000000"/>
          <w:sz w:val="36"/>
          <w:szCs w:val="36"/>
          <w:highlight w:val="none"/>
        </w:rPr>
        <w:br w:type="page"/>
      </w:r>
    </w:p>
    <w:p>
      <w:pPr>
        <w:pageBreakBefore w:val="0"/>
        <w:numPr>
          <w:ilvl w:val="0"/>
          <w:numId w:val="39"/>
        </w:numPr>
        <w:kinsoku/>
        <w:overflowPunct/>
        <w:bidi w:val="0"/>
        <w:spacing w:line="312" w:lineRule="auto"/>
        <w:ind w:firstLine="0"/>
        <w:jc w:val="center"/>
        <w:outlineLvl w:val="0"/>
        <w:rPr>
          <w:rFonts w:hint="eastAsia" w:ascii="仿宋" w:hAnsi="仿宋" w:eastAsia="仿宋" w:cs="仿宋"/>
          <w:b/>
          <w:color w:val="000000"/>
          <w:sz w:val="36"/>
          <w:szCs w:val="36"/>
          <w:highlight w:val="none"/>
          <w:lang w:val="zh-CN"/>
        </w:rPr>
      </w:pPr>
      <w:r>
        <w:rPr>
          <w:rFonts w:hint="eastAsia" w:ascii="仿宋" w:hAnsi="仿宋" w:eastAsia="仿宋" w:cs="仿宋"/>
          <w:b/>
          <w:color w:val="000000"/>
          <w:sz w:val="36"/>
          <w:szCs w:val="36"/>
          <w:highlight w:val="none"/>
        </w:rPr>
        <w:t>磋商报价</w:t>
      </w:r>
      <w:r>
        <w:rPr>
          <w:rFonts w:hint="eastAsia" w:ascii="仿宋" w:hAnsi="仿宋" w:eastAsia="仿宋" w:cs="仿宋"/>
          <w:b/>
          <w:color w:val="000000"/>
          <w:sz w:val="36"/>
          <w:szCs w:val="36"/>
          <w:highlight w:val="none"/>
          <w:lang w:eastAsia="zh-CN"/>
        </w:rPr>
        <w:t>一览</w:t>
      </w:r>
      <w:r>
        <w:rPr>
          <w:rFonts w:hint="eastAsia" w:ascii="仿宋" w:hAnsi="仿宋" w:eastAsia="仿宋" w:cs="仿宋"/>
          <w:b/>
          <w:color w:val="000000"/>
          <w:sz w:val="36"/>
          <w:szCs w:val="36"/>
          <w:highlight w:val="none"/>
        </w:rPr>
        <w:t>表</w:t>
      </w:r>
      <w:bookmarkEnd w:id="45"/>
    </w:p>
    <w:p>
      <w:pPr>
        <w:pStyle w:val="2"/>
        <w:pageBreakBefore w:val="0"/>
        <w:kinsoku/>
        <w:overflowPunct/>
        <w:bidi w:val="0"/>
        <w:spacing w:line="312" w:lineRule="auto"/>
        <w:jc w:val="right"/>
        <w:rPr>
          <w:rFonts w:hint="eastAsia" w:ascii="仿宋" w:hAnsi="仿宋" w:eastAsia="仿宋" w:cs="仿宋"/>
          <w:b/>
          <w:sz w:val="22"/>
          <w:szCs w:val="28"/>
          <w:highlight w:val="none"/>
        </w:rPr>
      </w:pPr>
    </w:p>
    <w:p>
      <w:pPr>
        <w:pageBreakBefore w:val="0"/>
        <w:bidi w:val="0"/>
        <w:spacing w:line="312" w:lineRule="auto"/>
        <w:jc w:val="left"/>
        <w:rPr>
          <w:rFonts w:hint="eastAsia" w:ascii="仿宋" w:hAnsi="仿宋" w:eastAsia="仿宋" w:cs="仿宋"/>
          <w:bCs/>
          <w:szCs w:val="24"/>
        </w:rPr>
      </w:pPr>
      <w:r>
        <w:rPr>
          <w:rFonts w:hint="eastAsia" w:ascii="仿宋" w:hAnsi="仿宋" w:eastAsia="仿宋" w:cs="仿宋"/>
          <w:bCs/>
          <w:szCs w:val="24"/>
        </w:rPr>
        <w:t>项目名称：</w:t>
      </w:r>
    </w:p>
    <w:p>
      <w:pPr>
        <w:pageBreakBefore w:val="0"/>
        <w:bidi w:val="0"/>
        <w:spacing w:line="312" w:lineRule="auto"/>
        <w:jc w:val="left"/>
        <w:rPr>
          <w:rFonts w:hint="eastAsia" w:ascii="仿宋" w:hAnsi="仿宋" w:eastAsia="仿宋" w:cs="仿宋"/>
          <w:bCs/>
          <w:szCs w:val="24"/>
        </w:rPr>
      </w:pPr>
      <w:r>
        <w:rPr>
          <w:rFonts w:hint="eastAsia" w:ascii="仿宋" w:hAnsi="仿宋" w:eastAsia="仿宋" w:cs="仿宋"/>
          <w:bCs/>
          <w:szCs w:val="24"/>
        </w:rPr>
        <w:t>项目编号：</w:t>
      </w:r>
    </w:p>
    <w:tbl>
      <w:tblPr>
        <w:tblStyle w:val="38"/>
        <w:tblW w:w="9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1485"/>
        <w:gridCol w:w="1483"/>
        <w:gridCol w:w="1511"/>
        <w:gridCol w:w="1517"/>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2216" w:type="dxa"/>
            <w:tcBorders>
              <w:tl2br w:val="single" w:color="auto" w:sz="4" w:space="0"/>
            </w:tcBorders>
            <w:noWrap w:val="0"/>
            <w:vAlign w:val="top"/>
          </w:tcPr>
          <w:p>
            <w:pPr>
              <w:pageBreakBefore w:val="0"/>
              <w:kinsoku w:val="0"/>
              <w:bidi w:val="0"/>
              <w:spacing w:line="312" w:lineRule="auto"/>
              <w:ind w:firstLine="440" w:firstLineChars="200"/>
              <w:rPr>
                <w:rFonts w:hint="eastAsia" w:ascii="仿宋" w:hAnsi="仿宋" w:eastAsia="仿宋" w:cs="仿宋"/>
                <w:sz w:val="22"/>
                <w:szCs w:val="22"/>
                <w:highlight w:val="none"/>
              </w:rPr>
            </w:pPr>
            <w:r>
              <w:rPr>
                <w:rFonts w:hint="eastAsia" w:ascii="仿宋" w:hAnsi="仿宋" w:eastAsia="仿宋" w:cs="仿宋"/>
                <w:sz w:val="22"/>
                <w:szCs w:val="22"/>
                <w:highlight w:val="none"/>
              </w:rPr>
              <w:t>报价内容</w:t>
            </w:r>
          </w:p>
          <w:p>
            <w:pPr>
              <w:pageBreakBefore w:val="0"/>
              <w:kinsoku w:val="0"/>
              <w:bidi w:val="0"/>
              <w:spacing w:line="312" w:lineRule="auto"/>
              <w:rPr>
                <w:rFonts w:hint="eastAsia" w:ascii="仿宋" w:hAnsi="仿宋" w:eastAsia="仿宋" w:cs="仿宋"/>
                <w:sz w:val="22"/>
                <w:szCs w:val="22"/>
                <w:highlight w:val="none"/>
              </w:rPr>
            </w:pPr>
          </w:p>
          <w:p>
            <w:pPr>
              <w:pageBreakBefore w:val="0"/>
              <w:kinsoku w:val="0"/>
              <w:bidi w:val="0"/>
              <w:spacing w:line="312" w:lineRule="auto"/>
              <w:rPr>
                <w:rFonts w:hint="eastAsia" w:ascii="仿宋" w:hAnsi="仿宋" w:eastAsia="仿宋" w:cs="仿宋"/>
                <w:sz w:val="22"/>
                <w:szCs w:val="22"/>
                <w:highlight w:val="none"/>
                <w:lang w:eastAsia="zh-CN"/>
              </w:rPr>
            </w:pPr>
            <w:r>
              <w:rPr>
                <w:rFonts w:hint="eastAsia" w:ascii="仿宋" w:hAnsi="仿宋" w:eastAsia="仿宋" w:cs="仿宋"/>
                <w:sz w:val="22"/>
                <w:szCs w:val="22"/>
                <w:highlight w:val="none"/>
                <w:lang w:val="en-US" w:eastAsia="zh-CN"/>
              </w:rPr>
              <w:t>供应商</w:t>
            </w:r>
            <w:r>
              <w:rPr>
                <w:rFonts w:hint="eastAsia" w:ascii="仿宋" w:hAnsi="仿宋" w:eastAsia="仿宋" w:cs="仿宋"/>
                <w:sz w:val="22"/>
                <w:szCs w:val="22"/>
                <w:highlight w:val="none"/>
                <w:lang w:eastAsia="zh-CN"/>
              </w:rPr>
              <w:t>名称</w:t>
            </w:r>
          </w:p>
        </w:tc>
        <w:tc>
          <w:tcPr>
            <w:tcW w:w="1485" w:type="dxa"/>
            <w:noWrap w:val="0"/>
            <w:vAlign w:val="center"/>
          </w:tcPr>
          <w:p>
            <w:pPr>
              <w:pageBreakBefore w:val="0"/>
              <w:kinsoku w:val="0"/>
              <w:bidi w:val="0"/>
              <w:spacing w:line="312" w:lineRule="auto"/>
              <w:jc w:val="center"/>
              <w:rPr>
                <w:rFonts w:hint="eastAsia" w:ascii="仿宋" w:hAnsi="仿宋" w:eastAsia="仿宋" w:cs="仿宋"/>
                <w:sz w:val="22"/>
                <w:szCs w:val="22"/>
                <w:highlight w:val="none"/>
              </w:rPr>
            </w:pPr>
            <w:r>
              <w:rPr>
                <w:rFonts w:hint="eastAsia" w:ascii="仿宋" w:hAnsi="仿宋" w:eastAsia="仿宋" w:cs="仿宋"/>
                <w:sz w:val="22"/>
                <w:szCs w:val="22"/>
                <w:highlight w:val="none"/>
              </w:rPr>
              <w:t>规格</w:t>
            </w:r>
          </w:p>
        </w:tc>
        <w:tc>
          <w:tcPr>
            <w:tcW w:w="1483" w:type="dxa"/>
            <w:noWrap w:val="0"/>
            <w:vAlign w:val="center"/>
          </w:tcPr>
          <w:p>
            <w:pPr>
              <w:pageBreakBefore w:val="0"/>
              <w:kinsoku w:val="0"/>
              <w:bidi w:val="0"/>
              <w:spacing w:line="312" w:lineRule="auto"/>
              <w:jc w:val="center"/>
              <w:rPr>
                <w:rFonts w:hint="eastAsia" w:ascii="仿宋" w:hAnsi="仿宋" w:eastAsia="仿宋" w:cs="仿宋"/>
                <w:sz w:val="22"/>
                <w:szCs w:val="22"/>
                <w:highlight w:val="none"/>
              </w:rPr>
            </w:pPr>
            <w:r>
              <w:rPr>
                <w:rFonts w:hint="eastAsia" w:ascii="仿宋" w:hAnsi="仿宋" w:eastAsia="仿宋" w:cs="仿宋"/>
                <w:sz w:val="22"/>
                <w:szCs w:val="22"/>
                <w:highlight w:val="none"/>
              </w:rPr>
              <w:t>投标单价</w:t>
            </w:r>
          </w:p>
          <w:p>
            <w:pPr>
              <w:pageBreakBefore w:val="0"/>
              <w:kinsoku w:val="0"/>
              <w:bidi w:val="0"/>
              <w:spacing w:line="312" w:lineRule="auto"/>
              <w:jc w:val="center"/>
              <w:rPr>
                <w:rFonts w:hint="eastAsia" w:ascii="仿宋" w:hAnsi="仿宋" w:eastAsia="仿宋" w:cs="仿宋"/>
                <w:sz w:val="22"/>
                <w:szCs w:val="22"/>
                <w:highlight w:val="none"/>
              </w:rPr>
            </w:pPr>
            <w:r>
              <w:rPr>
                <w:rFonts w:hint="eastAsia" w:ascii="仿宋" w:hAnsi="仿宋" w:eastAsia="仿宋" w:cs="仿宋"/>
                <w:sz w:val="22"/>
                <w:szCs w:val="22"/>
                <w:highlight w:val="none"/>
              </w:rPr>
              <w:t>（元/袋）</w:t>
            </w:r>
          </w:p>
        </w:tc>
        <w:tc>
          <w:tcPr>
            <w:tcW w:w="1511" w:type="dxa"/>
            <w:noWrap w:val="0"/>
            <w:vAlign w:val="center"/>
          </w:tcPr>
          <w:p>
            <w:pPr>
              <w:pageBreakBefore w:val="0"/>
              <w:kinsoku w:val="0"/>
              <w:bidi w:val="0"/>
              <w:spacing w:line="312" w:lineRule="auto"/>
              <w:jc w:val="center"/>
              <w:rPr>
                <w:rFonts w:hint="eastAsia" w:ascii="仿宋" w:hAnsi="仿宋" w:eastAsia="仿宋" w:cs="仿宋"/>
                <w:sz w:val="22"/>
                <w:szCs w:val="22"/>
                <w:highlight w:val="none"/>
              </w:rPr>
            </w:pPr>
            <w:r>
              <w:rPr>
                <w:rFonts w:hint="eastAsia" w:ascii="仿宋" w:hAnsi="仿宋" w:eastAsia="仿宋" w:cs="仿宋"/>
                <w:sz w:val="22"/>
                <w:szCs w:val="22"/>
                <w:highlight w:val="none"/>
              </w:rPr>
              <w:t>交货期</w:t>
            </w:r>
          </w:p>
          <w:p>
            <w:pPr>
              <w:pageBreakBefore w:val="0"/>
              <w:kinsoku w:val="0"/>
              <w:bidi w:val="0"/>
              <w:spacing w:line="312" w:lineRule="auto"/>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（日历日）</w:t>
            </w:r>
          </w:p>
        </w:tc>
        <w:tc>
          <w:tcPr>
            <w:tcW w:w="1517" w:type="dxa"/>
            <w:noWrap w:val="0"/>
            <w:vAlign w:val="center"/>
          </w:tcPr>
          <w:p>
            <w:pPr>
              <w:pageBreakBefore w:val="0"/>
              <w:kinsoku w:val="0"/>
              <w:bidi w:val="0"/>
              <w:spacing w:line="312" w:lineRule="auto"/>
              <w:jc w:val="center"/>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保质期</w:t>
            </w:r>
          </w:p>
          <w:p>
            <w:pPr>
              <w:pageBreakBefore w:val="0"/>
              <w:kinsoku w:val="0"/>
              <w:bidi w:val="0"/>
              <w:spacing w:line="312" w:lineRule="auto"/>
              <w:jc w:val="center"/>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（月）</w:t>
            </w:r>
          </w:p>
        </w:tc>
        <w:tc>
          <w:tcPr>
            <w:tcW w:w="1715" w:type="dxa"/>
            <w:noWrap w:val="0"/>
            <w:vAlign w:val="center"/>
          </w:tcPr>
          <w:p>
            <w:pPr>
              <w:pageBreakBefore w:val="0"/>
              <w:kinsoku w:val="0"/>
              <w:bidi w:val="0"/>
              <w:spacing w:line="312" w:lineRule="auto"/>
              <w:jc w:val="center"/>
              <w:rPr>
                <w:rFonts w:hint="eastAsia" w:ascii="仿宋" w:hAnsi="仿宋" w:eastAsia="仿宋" w:cs="仿宋"/>
                <w:sz w:val="22"/>
                <w:szCs w:val="22"/>
                <w:highlight w:val="none"/>
              </w:rPr>
            </w:pPr>
            <w:r>
              <w:rPr>
                <w:rFonts w:hint="eastAsia" w:ascii="仿宋" w:hAnsi="仿宋" w:eastAsia="仿宋" w:cs="仿宋"/>
                <w:sz w:val="22"/>
                <w:szCs w:val="22"/>
                <w:highlight w:val="none"/>
              </w:rPr>
              <w:t>质保期</w:t>
            </w:r>
          </w:p>
          <w:p>
            <w:pPr>
              <w:pageBreakBefore w:val="0"/>
              <w:kinsoku w:val="0"/>
              <w:bidi w:val="0"/>
              <w:spacing w:line="312" w:lineRule="auto"/>
              <w:jc w:val="center"/>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eastAsia="zh-CN"/>
              </w:rPr>
              <w:t>（</w:t>
            </w:r>
            <w:r>
              <w:rPr>
                <w:rFonts w:hint="eastAsia" w:ascii="仿宋" w:hAnsi="仿宋" w:eastAsia="仿宋" w:cs="仿宋"/>
                <w:sz w:val="22"/>
                <w:szCs w:val="22"/>
                <w:highlight w:val="none"/>
                <w:lang w:val="en-US" w:eastAsia="zh-CN"/>
              </w:rPr>
              <w:t>月</w:t>
            </w:r>
            <w:r>
              <w:rPr>
                <w:rFonts w:hint="eastAsia" w:ascii="仿宋" w:hAnsi="仿宋" w:eastAsia="仿宋" w:cs="仿宋"/>
                <w:sz w:val="22"/>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jc w:val="center"/>
        </w:trPr>
        <w:tc>
          <w:tcPr>
            <w:tcW w:w="2216" w:type="dxa"/>
            <w:noWrap w:val="0"/>
            <w:vAlign w:val="center"/>
          </w:tcPr>
          <w:p>
            <w:pPr>
              <w:pageBreakBefore w:val="0"/>
              <w:kinsoku w:val="0"/>
              <w:bidi w:val="0"/>
              <w:spacing w:line="312" w:lineRule="auto"/>
              <w:jc w:val="center"/>
              <w:rPr>
                <w:rFonts w:hint="eastAsia" w:ascii="仿宋" w:hAnsi="仿宋" w:eastAsia="仿宋" w:cs="仿宋"/>
                <w:sz w:val="22"/>
                <w:szCs w:val="22"/>
                <w:highlight w:val="none"/>
              </w:rPr>
            </w:pPr>
          </w:p>
        </w:tc>
        <w:tc>
          <w:tcPr>
            <w:tcW w:w="1485" w:type="dxa"/>
            <w:noWrap w:val="0"/>
            <w:vAlign w:val="center"/>
          </w:tcPr>
          <w:p>
            <w:pPr>
              <w:pageBreakBefore w:val="0"/>
              <w:kinsoku w:val="0"/>
              <w:bidi w:val="0"/>
              <w:spacing w:line="312" w:lineRule="auto"/>
              <w:jc w:val="center"/>
              <w:rPr>
                <w:rFonts w:hint="eastAsia" w:ascii="仿宋" w:hAnsi="仿宋" w:eastAsia="仿宋" w:cs="仿宋"/>
                <w:sz w:val="22"/>
                <w:szCs w:val="22"/>
                <w:highlight w:val="none"/>
              </w:rPr>
            </w:pPr>
            <w:r>
              <w:rPr>
                <w:rFonts w:hint="eastAsia" w:ascii="仿宋" w:hAnsi="仿宋" w:eastAsia="仿宋" w:cs="仿宋"/>
                <w:sz w:val="22"/>
                <w:szCs w:val="22"/>
                <w:highlight w:val="none"/>
              </w:rPr>
              <w:t>12g/袋×30袋/盒</w:t>
            </w:r>
          </w:p>
        </w:tc>
        <w:tc>
          <w:tcPr>
            <w:tcW w:w="1483" w:type="dxa"/>
            <w:noWrap w:val="0"/>
            <w:vAlign w:val="center"/>
          </w:tcPr>
          <w:p>
            <w:pPr>
              <w:pageBreakBefore w:val="0"/>
              <w:kinsoku w:val="0"/>
              <w:bidi w:val="0"/>
              <w:spacing w:line="312" w:lineRule="auto"/>
              <w:jc w:val="center"/>
              <w:rPr>
                <w:rFonts w:hint="eastAsia" w:ascii="仿宋" w:hAnsi="仿宋" w:eastAsia="仿宋" w:cs="仿宋"/>
                <w:sz w:val="22"/>
                <w:szCs w:val="22"/>
                <w:highlight w:val="none"/>
              </w:rPr>
            </w:pPr>
          </w:p>
        </w:tc>
        <w:tc>
          <w:tcPr>
            <w:tcW w:w="1511" w:type="dxa"/>
            <w:noWrap w:val="0"/>
            <w:vAlign w:val="center"/>
          </w:tcPr>
          <w:p>
            <w:pPr>
              <w:pageBreakBefore w:val="0"/>
              <w:kinsoku w:val="0"/>
              <w:bidi w:val="0"/>
              <w:spacing w:line="312" w:lineRule="auto"/>
              <w:jc w:val="center"/>
              <w:rPr>
                <w:rFonts w:hint="eastAsia" w:ascii="仿宋" w:hAnsi="仿宋" w:eastAsia="仿宋" w:cs="仿宋"/>
                <w:sz w:val="22"/>
                <w:szCs w:val="22"/>
                <w:highlight w:val="none"/>
              </w:rPr>
            </w:pPr>
          </w:p>
        </w:tc>
        <w:tc>
          <w:tcPr>
            <w:tcW w:w="1517" w:type="dxa"/>
            <w:noWrap w:val="0"/>
            <w:vAlign w:val="center"/>
          </w:tcPr>
          <w:p>
            <w:pPr>
              <w:pageBreakBefore w:val="0"/>
              <w:kinsoku w:val="0"/>
              <w:bidi w:val="0"/>
              <w:spacing w:line="312" w:lineRule="auto"/>
              <w:jc w:val="center"/>
              <w:rPr>
                <w:rFonts w:hint="eastAsia" w:ascii="仿宋" w:hAnsi="仿宋" w:eastAsia="仿宋" w:cs="仿宋"/>
                <w:sz w:val="22"/>
                <w:szCs w:val="22"/>
                <w:highlight w:val="none"/>
              </w:rPr>
            </w:pPr>
          </w:p>
        </w:tc>
        <w:tc>
          <w:tcPr>
            <w:tcW w:w="1715" w:type="dxa"/>
            <w:noWrap w:val="0"/>
            <w:vAlign w:val="center"/>
          </w:tcPr>
          <w:p>
            <w:pPr>
              <w:pageBreakBefore w:val="0"/>
              <w:kinsoku w:val="0"/>
              <w:bidi w:val="0"/>
              <w:spacing w:line="312" w:lineRule="auto"/>
              <w:jc w:val="center"/>
              <w:rPr>
                <w:rFonts w:hint="eastAsia" w:ascii="仿宋" w:hAnsi="仿宋" w:eastAsia="仿宋" w:cs="仿宋"/>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2216" w:type="dxa"/>
            <w:noWrap w:val="0"/>
            <w:vAlign w:val="center"/>
          </w:tcPr>
          <w:p>
            <w:pPr>
              <w:pageBreakBefore w:val="0"/>
              <w:kinsoku w:val="0"/>
              <w:bidi w:val="0"/>
              <w:spacing w:line="312" w:lineRule="auto"/>
              <w:jc w:val="center"/>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投标总价</w:t>
            </w:r>
          </w:p>
        </w:tc>
        <w:tc>
          <w:tcPr>
            <w:tcW w:w="7711" w:type="dxa"/>
            <w:gridSpan w:val="5"/>
            <w:noWrap w:val="0"/>
            <w:vAlign w:val="center"/>
          </w:tcPr>
          <w:p>
            <w:pPr>
              <w:pageBreakBefore w:val="0"/>
              <w:kinsoku w:val="0"/>
              <w:bidi w:val="0"/>
              <w:spacing w:line="312" w:lineRule="auto"/>
              <w:rPr>
                <w:rFonts w:hint="eastAsia" w:ascii="仿宋" w:hAnsi="仿宋" w:eastAsia="仿宋" w:cs="仿宋"/>
                <w:sz w:val="22"/>
                <w:szCs w:val="22"/>
                <w:highlight w:val="none"/>
              </w:rPr>
            </w:pPr>
            <w:r>
              <w:rPr>
                <w:rFonts w:hint="eastAsia" w:ascii="仿宋" w:hAnsi="仿宋" w:eastAsia="仿宋" w:cs="仿宋"/>
                <w:sz w:val="22"/>
                <w:szCs w:val="22"/>
                <w:highlight w:val="none"/>
              </w:rPr>
              <w:t>人民币（大写）           ¥</w:t>
            </w:r>
            <w:r>
              <w:rPr>
                <w:rFonts w:hint="eastAsia" w:ascii="仿宋" w:hAnsi="仿宋" w:eastAsia="仿宋" w:cs="仿宋"/>
                <w:sz w:val="22"/>
                <w:szCs w:val="22"/>
                <w:highlight w:val="none"/>
                <w:lang w:eastAsia="zh-CN"/>
              </w:rPr>
              <w:t>：</w:t>
            </w:r>
            <w:r>
              <w:rPr>
                <w:rFonts w:hint="eastAsia" w:ascii="仿宋" w:hAnsi="仿宋" w:eastAsia="仿宋" w:cs="仿宋"/>
                <w:sz w:val="22"/>
                <w:szCs w:val="22"/>
                <w:highlight w:val="none"/>
                <w:lang w:val="en-US" w:eastAsia="zh-CN"/>
              </w:rPr>
              <w:t xml:space="preserve">    </w:t>
            </w:r>
            <w:r>
              <w:rPr>
                <w:rFonts w:hint="eastAsia" w:ascii="仿宋" w:hAnsi="仿宋" w:eastAsia="仿宋" w:cs="仿宋"/>
                <w:sz w:val="22"/>
                <w:szCs w:val="22"/>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9927" w:type="dxa"/>
            <w:gridSpan w:val="6"/>
            <w:noWrap w:val="0"/>
            <w:vAlign w:val="center"/>
          </w:tcPr>
          <w:p>
            <w:pPr>
              <w:pageBreakBefore w:val="0"/>
              <w:kinsoku w:val="0"/>
              <w:bidi w:val="0"/>
              <w:spacing w:line="312" w:lineRule="auto"/>
              <w:rPr>
                <w:rFonts w:hint="eastAsia" w:ascii="仿宋" w:hAnsi="仿宋" w:eastAsia="仿宋" w:cs="仿宋"/>
                <w:sz w:val="22"/>
                <w:szCs w:val="22"/>
                <w:highlight w:val="none"/>
              </w:rPr>
            </w:pPr>
            <w:r>
              <w:rPr>
                <w:rFonts w:hint="eastAsia" w:ascii="仿宋" w:hAnsi="仿宋" w:eastAsia="仿宋" w:cs="仿宋"/>
                <w:sz w:val="22"/>
                <w:szCs w:val="22"/>
                <w:highlight w:val="none"/>
              </w:rPr>
              <w:t>备注：</w:t>
            </w:r>
          </w:p>
          <w:p>
            <w:pPr>
              <w:pageBreakBefore w:val="0"/>
              <w:kinsoku w:val="0"/>
              <w:bidi w:val="0"/>
              <w:spacing w:line="312" w:lineRule="auto"/>
              <w:rPr>
                <w:rFonts w:hint="eastAsia" w:ascii="仿宋" w:hAnsi="仿宋" w:eastAsia="仿宋" w:cs="仿宋"/>
                <w:sz w:val="22"/>
                <w:szCs w:val="22"/>
                <w:highlight w:val="none"/>
              </w:rPr>
            </w:pPr>
            <w:r>
              <w:rPr>
                <w:rFonts w:hint="eastAsia" w:ascii="仿宋" w:hAnsi="仿宋" w:eastAsia="仿宋" w:cs="仿宋"/>
                <w:sz w:val="22"/>
                <w:szCs w:val="22"/>
                <w:highlight w:val="none"/>
              </w:rPr>
              <w:t>1</w:t>
            </w:r>
            <w:r>
              <w:rPr>
                <w:rFonts w:hint="eastAsia" w:ascii="仿宋" w:hAnsi="仿宋" w:eastAsia="仿宋" w:cs="仿宋"/>
                <w:sz w:val="22"/>
                <w:szCs w:val="22"/>
                <w:highlight w:val="none"/>
                <w:lang w:val="en-US" w:eastAsia="zh-CN"/>
              </w:rPr>
              <w:t>.</w:t>
            </w:r>
            <w:r>
              <w:rPr>
                <w:rFonts w:hint="eastAsia" w:ascii="仿宋" w:hAnsi="仿宋" w:eastAsia="仿宋" w:cs="仿宋"/>
                <w:sz w:val="22"/>
                <w:szCs w:val="22"/>
                <w:highlight w:val="none"/>
              </w:rPr>
              <w:t>表内投标</w:t>
            </w:r>
            <w:r>
              <w:rPr>
                <w:rFonts w:hint="eastAsia" w:ascii="仿宋" w:hAnsi="仿宋" w:eastAsia="仿宋" w:cs="仿宋"/>
                <w:sz w:val="22"/>
                <w:szCs w:val="22"/>
                <w:highlight w:val="none"/>
                <w:lang w:val="en-US" w:eastAsia="zh-CN"/>
              </w:rPr>
              <w:t>单价</w:t>
            </w:r>
            <w:r>
              <w:rPr>
                <w:rFonts w:hint="eastAsia" w:ascii="仿宋" w:hAnsi="仿宋" w:eastAsia="仿宋" w:cs="仿宋"/>
                <w:sz w:val="22"/>
                <w:szCs w:val="22"/>
                <w:highlight w:val="none"/>
              </w:rPr>
              <w:t>以元为单位。</w:t>
            </w:r>
          </w:p>
          <w:p>
            <w:pPr>
              <w:pageBreakBefore w:val="0"/>
              <w:kinsoku w:val="0"/>
              <w:bidi w:val="0"/>
              <w:spacing w:line="312" w:lineRule="auto"/>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2.</w:t>
            </w:r>
            <w:r>
              <w:rPr>
                <w:rFonts w:hint="eastAsia" w:ascii="仿宋" w:hAnsi="仿宋" w:eastAsia="仿宋" w:cs="仿宋"/>
                <w:sz w:val="22"/>
                <w:szCs w:val="22"/>
                <w:highlight w:val="none"/>
              </w:rPr>
              <w:t>投标</w:t>
            </w:r>
            <w:r>
              <w:rPr>
                <w:rFonts w:hint="eastAsia" w:ascii="仿宋" w:hAnsi="仿宋" w:eastAsia="仿宋" w:cs="仿宋"/>
                <w:sz w:val="22"/>
                <w:szCs w:val="22"/>
                <w:highlight w:val="none"/>
                <w:lang w:val="en-US" w:eastAsia="zh-CN"/>
              </w:rPr>
              <w:t>单价</w:t>
            </w:r>
            <w:r>
              <w:rPr>
                <w:rFonts w:hint="eastAsia" w:ascii="仿宋" w:hAnsi="仿宋" w:eastAsia="仿宋" w:cs="仿宋"/>
                <w:sz w:val="22"/>
                <w:szCs w:val="22"/>
                <w:highlight w:val="none"/>
              </w:rPr>
              <w:t>指营养包达到正常使用条件下的所有费用（</w:t>
            </w:r>
            <w:r>
              <w:rPr>
                <w:rFonts w:hint="eastAsia" w:ascii="仿宋" w:hAnsi="仿宋" w:eastAsia="仿宋" w:cs="仿宋"/>
                <w:sz w:val="22"/>
                <w:szCs w:val="22"/>
                <w:highlight w:val="none"/>
                <w:lang w:val="en-US" w:eastAsia="zh-CN"/>
              </w:rPr>
              <w:t>包括婴幼儿辅食营养包（含包装及标示等服务）、运输（含到达采购人指定地点）、装卸搬运、验收、培训、各种税费等直至达到使用要求及售后服务所发生的一切费用。</w:t>
            </w:r>
            <w:r>
              <w:rPr>
                <w:rFonts w:hint="eastAsia" w:ascii="仿宋" w:hAnsi="仿宋" w:eastAsia="仿宋" w:cs="仿宋"/>
                <w:sz w:val="22"/>
                <w:szCs w:val="22"/>
                <w:highlight w:val="none"/>
              </w:rPr>
              <w:t>）</w:t>
            </w:r>
          </w:p>
        </w:tc>
      </w:tr>
    </w:tbl>
    <w:p>
      <w:pPr>
        <w:pageBreakBefore w:val="0"/>
        <w:numPr>
          <w:ilvl w:val="0"/>
          <w:numId w:val="0"/>
        </w:numPr>
        <w:kinsoku/>
        <w:overflowPunct/>
        <w:bidi w:val="0"/>
        <w:spacing w:line="312" w:lineRule="auto"/>
        <w:ind w:leftChars="0" w:firstLine="210" w:firstLineChars="100"/>
        <w:rPr>
          <w:rFonts w:hint="eastAsia" w:ascii="仿宋" w:hAnsi="仿宋" w:eastAsia="仿宋" w:cs="仿宋"/>
          <w:szCs w:val="21"/>
          <w:highlight w:val="none"/>
        </w:rPr>
      </w:pPr>
    </w:p>
    <w:p>
      <w:pPr>
        <w:pStyle w:val="19"/>
        <w:pageBreakBefore w:val="0"/>
        <w:kinsoku/>
        <w:overflowPunct/>
        <w:bidi w:val="0"/>
        <w:adjustRightInd w:val="0"/>
        <w:snapToGrid w:val="0"/>
        <w:spacing w:line="312" w:lineRule="auto"/>
        <w:rPr>
          <w:rFonts w:hint="eastAsia" w:ascii="仿宋" w:hAnsi="仿宋" w:eastAsia="仿宋" w:cs="仿宋"/>
          <w:sz w:val="24"/>
          <w:szCs w:val="24"/>
          <w:highlight w:val="none"/>
        </w:rPr>
      </w:pPr>
    </w:p>
    <w:p>
      <w:pPr>
        <w:pageBreakBefore w:val="0"/>
        <w:kinsoku/>
        <w:overflowPunct/>
        <w:bidi w:val="0"/>
        <w:spacing w:line="312" w:lineRule="auto"/>
        <w:ind w:firstLine="4080" w:firstLineChars="1700"/>
        <w:rPr>
          <w:rFonts w:hint="eastAsia" w:ascii="仿宋" w:hAnsi="仿宋" w:eastAsia="仿宋" w:cs="仿宋"/>
          <w:sz w:val="24"/>
          <w:szCs w:val="24"/>
          <w:highlight w:val="none"/>
          <w:lang w:val="zh-CN"/>
        </w:rPr>
      </w:pPr>
    </w:p>
    <w:p>
      <w:pPr>
        <w:pageBreakBefore w:val="0"/>
        <w:kinsoku/>
        <w:overflowPunct/>
        <w:bidi w:val="0"/>
        <w:spacing w:line="312" w:lineRule="auto"/>
        <w:ind w:firstLine="4080" w:firstLineChars="17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供应商：</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（盖</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zh-CN"/>
        </w:rPr>
        <w:t>章）</w:t>
      </w:r>
    </w:p>
    <w:p>
      <w:pPr>
        <w:pageBreakBefore w:val="0"/>
        <w:kinsoku/>
        <w:overflowPunct/>
        <w:bidi w:val="0"/>
        <w:spacing w:line="312" w:lineRule="auto"/>
        <w:ind w:firstLine="4080" w:firstLineChars="17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法定代表人</w:t>
      </w:r>
      <w:r>
        <w:rPr>
          <w:rFonts w:hint="eastAsia" w:ascii="仿宋" w:hAnsi="仿宋" w:eastAsia="仿宋" w:cs="仿宋"/>
          <w:sz w:val="24"/>
          <w:szCs w:val="24"/>
          <w:highlight w:val="none"/>
          <w:lang w:val="en-US" w:eastAsia="zh-CN"/>
        </w:rPr>
        <w:t>/负责人</w:t>
      </w:r>
      <w:r>
        <w:rPr>
          <w:rFonts w:hint="eastAsia" w:ascii="仿宋" w:hAnsi="仿宋" w:eastAsia="仿宋" w:cs="仿宋"/>
          <w:sz w:val="24"/>
          <w:szCs w:val="24"/>
          <w:highlight w:val="none"/>
          <w:lang w:val="zh-CN"/>
        </w:rPr>
        <w:t>或委托代理人：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（签字或盖章）</w:t>
      </w:r>
    </w:p>
    <w:p>
      <w:pPr>
        <w:pageBreakBefore w:val="0"/>
        <w:kinsoku/>
        <w:overflowPunct/>
        <w:bidi w:val="0"/>
        <w:spacing w:line="312" w:lineRule="auto"/>
        <w:ind w:firstLine="4080" w:firstLineChars="1700"/>
        <w:rPr>
          <w:rFonts w:hint="eastAsia" w:ascii="仿宋" w:hAnsi="仿宋" w:eastAsia="仿宋" w:cs="仿宋"/>
          <w:sz w:val="28"/>
          <w:szCs w:val="28"/>
          <w:highlight w:val="none"/>
          <w:lang w:val="zh-CN"/>
        </w:rPr>
        <w:sectPr>
          <w:footerReference r:id="rId8" w:type="first"/>
          <w:headerReference r:id="rId6" w:type="default"/>
          <w:footerReference r:id="rId7" w:type="default"/>
          <w:pgSz w:w="11907" w:h="16840"/>
          <w:pgMar w:top="1440" w:right="1080" w:bottom="1440" w:left="1080" w:header="851" w:footer="850"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仿宋" w:hAnsi="仿宋" w:eastAsia="仿宋" w:cs="仿宋"/>
          <w:sz w:val="24"/>
          <w:szCs w:val="24"/>
          <w:highlight w:val="none"/>
          <w:lang w:val="zh-CN"/>
        </w:rPr>
        <w:t>日期：</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年</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月</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日</w:t>
      </w:r>
    </w:p>
    <w:p>
      <w:pPr>
        <w:pageBreakBefore w:val="0"/>
        <w:numPr>
          <w:ilvl w:val="0"/>
          <w:numId w:val="39"/>
        </w:numPr>
        <w:kinsoku/>
        <w:overflowPunct/>
        <w:bidi w:val="0"/>
        <w:spacing w:line="312" w:lineRule="auto"/>
        <w:ind w:firstLine="0"/>
        <w:jc w:val="center"/>
        <w:outlineLvl w:val="0"/>
        <w:rPr>
          <w:rFonts w:hint="eastAsia" w:ascii="仿宋" w:hAnsi="仿宋" w:eastAsia="仿宋" w:cs="仿宋"/>
          <w:b/>
          <w:color w:val="000000"/>
          <w:sz w:val="36"/>
          <w:szCs w:val="36"/>
          <w:highlight w:val="none"/>
          <w:lang w:val="zh-CN"/>
        </w:rPr>
      </w:pPr>
      <w:r>
        <w:rPr>
          <w:rFonts w:hint="eastAsia" w:ascii="仿宋" w:hAnsi="仿宋" w:eastAsia="仿宋" w:cs="仿宋"/>
          <w:b/>
          <w:color w:val="000000"/>
          <w:sz w:val="36"/>
          <w:szCs w:val="36"/>
        </w:rPr>
        <w:t>分项报价表</w:t>
      </w:r>
    </w:p>
    <w:p>
      <w:pPr>
        <w:pStyle w:val="2"/>
        <w:rPr>
          <w:rFonts w:hint="eastAsia" w:ascii="仿宋" w:hAnsi="仿宋" w:eastAsia="仿宋" w:cs="仿宋"/>
          <w:b/>
          <w:color w:val="000000"/>
          <w:sz w:val="36"/>
          <w:szCs w:val="36"/>
        </w:rPr>
      </w:pPr>
    </w:p>
    <w:p>
      <w:pPr>
        <w:pStyle w:val="2"/>
        <w:rPr>
          <w:rFonts w:hint="eastAsia"/>
        </w:rPr>
      </w:pPr>
    </w:p>
    <w:p>
      <w:pPr>
        <w:jc w:val="center"/>
        <w:rPr>
          <w:rFonts w:hint="eastAsia"/>
          <w:sz w:val="32"/>
          <w:szCs w:val="32"/>
          <w:lang w:val="zh-CN"/>
        </w:rPr>
      </w:pPr>
      <w:r>
        <w:rPr>
          <w:rFonts w:hint="eastAsia" w:ascii="仿宋" w:hAnsi="仿宋" w:eastAsia="仿宋" w:cs="仿宋"/>
          <w:b/>
          <w:color w:val="000000"/>
          <w:sz w:val="32"/>
          <w:szCs w:val="32"/>
          <w:highlight w:val="none"/>
          <w:lang w:val="zh-CN"/>
        </w:rPr>
        <w:t>（</w:t>
      </w:r>
      <w:r>
        <w:rPr>
          <w:rFonts w:hint="eastAsia" w:ascii="仿宋" w:hAnsi="仿宋" w:eastAsia="仿宋" w:cs="仿宋"/>
          <w:b/>
          <w:color w:val="000000"/>
          <w:sz w:val="32"/>
          <w:szCs w:val="32"/>
          <w:highlight w:val="none"/>
          <w:lang w:val="en-US" w:eastAsia="zh-CN"/>
        </w:rPr>
        <w:t>格式自拟</w:t>
      </w:r>
      <w:r>
        <w:rPr>
          <w:rFonts w:hint="eastAsia" w:ascii="仿宋" w:hAnsi="仿宋" w:eastAsia="仿宋" w:cs="仿宋"/>
          <w:b/>
          <w:color w:val="000000"/>
          <w:sz w:val="32"/>
          <w:szCs w:val="32"/>
          <w:highlight w:val="none"/>
          <w:lang w:val="zh-CN"/>
        </w:rPr>
        <w:t>）</w:t>
      </w:r>
    </w:p>
    <w:p>
      <w:pPr>
        <w:rPr>
          <w:rFonts w:hint="eastAsia" w:ascii="Times New Roman" w:hAnsi="Times New Roman" w:eastAsia="宋体" w:cs="Times New Roman"/>
          <w:kern w:val="2"/>
          <w:sz w:val="21"/>
          <w:szCs w:val="24"/>
          <w:lang w:val="zh-CN" w:eastAsia="zh-CN" w:bidi="ar-SA"/>
        </w:rPr>
      </w:pPr>
      <w:r>
        <w:rPr>
          <w:rFonts w:hint="eastAsia" w:ascii="仿宋" w:hAnsi="仿宋" w:eastAsia="仿宋" w:cs="仿宋"/>
          <w:b/>
          <w:color w:val="000000"/>
          <w:sz w:val="36"/>
          <w:szCs w:val="36"/>
          <w:highlight w:val="none"/>
          <w:lang w:val="en-US" w:eastAsia="zh-CN"/>
        </w:rPr>
        <w:br w:type="page"/>
      </w:r>
    </w:p>
    <w:p>
      <w:pPr>
        <w:pageBreakBefore w:val="0"/>
        <w:numPr>
          <w:ilvl w:val="0"/>
          <w:numId w:val="39"/>
        </w:numPr>
        <w:kinsoku/>
        <w:overflowPunct/>
        <w:bidi w:val="0"/>
        <w:spacing w:line="312" w:lineRule="auto"/>
        <w:ind w:firstLine="0"/>
        <w:jc w:val="center"/>
        <w:outlineLvl w:val="0"/>
        <w:rPr>
          <w:rFonts w:hint="eastAsia" w:ascii="仿宋" w:hAnsi="仿宋" w:eastAsia="仿宋" w:cs="仿宋"/>
          <w:b/>
          <w:color w:val="000000"/>
          <w:sz w:val="36"/>
          <w:szCs w:val="36"/>
          <w:highlight w:val="none"/>
          <w:lang w:val="zh-CN"/>
        </w:rPr>
      </w:pPr>
      <w:r>
        <w:rPr>
          <w:rFonts w:hint="eastAsia" w:ascii="仿宋" w:hAnsi="仿宋" w:eastAsia="仿宋" w:cs="仿宋"/>
          <w:b/>
          <w:color w:val="000000"/>
          <w:sz w:val="36"/>
          <w:szCs w:val="36"/>
          <w:highlight w:val="none"/>
          <w:lang w:val="en-US" w:eastAsia="zh-CN"/>
        </w:rPr>
        <w:t>法定代表人/负责人证明书</w:t>
      </w:r>
    </w:p>
    <w:p>
      <w:pPr>
        <w:pageBreakBefore w:val="0"/>
        <w:tabs>
          <w:tab w:val="left" w:pos="1155"/>
        </w:tabs>
        <w:kinsoku/>
        <w:overflowPunct w:val="0"/>
        <w:topLinePunct/>
        <w:bidi w:val="0"/>
        <w:spacing w:line="312" w:lineRule="auto"/>
        <w:rPr>
          <w:rFonts w:hint="eastAsia" w:ascii="仿宋" w:hAnsi="仿宋" w:eastAsia="仿宋" w:cs="仿宋"/>
          <w:bCs/>
          <w:color w:val="000000"/>
          <w:sz w:val="24"/>
          <w:highlight w:val="none"/>
        </w:rPr>
      </w:pPr>
    </w:p>
    <w:p>
      <w:pPr>
        <w:pageBreakBefore w:val="0"/>
        <w:kinsoku/>
        <w:bidi w:val="0"/>
        <w:spacing w:line="312" w:lineRule="auto"/>
        <w:ind w:left="560"/>
        <w:rPr>
          <w:rFonts w:hint="eastAsia" w:ascii="仿宋" w:hAnsi="仿宋" w:eastAsia="仿宋" w:cs="仿宋"/>
          <w:sz w:val="24"/>
          <w:highlight w:val="none"/>
        </w:rPr>
      </w:pPr>
    </w:p>
    <w:p>
      <w:pPr>
        <w:pageBreakBefore w:val="0"/>
        <w:kinsoku/>
        <w:bidi w:val="0"/>
        <w:spacing w:line="312" w:lineRule="auto"/>
        <w:rPr>
          <w:rFonts w:hint="eastAsia" w:ascii="仿宋" w:hAnsi="仿宋" w:eastAsia="仿宋" w:cs="仿宋"/>
          <w:highlight w:val="none"/>
        </w:rPr>
      </w:pPr>
    </w:p>
    <w:p>
      <w:pPr>
        <w:pageBreakBefore w:val="0"/>
        <w:kinsoku/>
        <w:bidi w:val="0"/>
        <w:spacing w:before="120" w:beforeLines="50" w:after="120" w:afterLines="50" w:line="312"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供应商名称：</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pPr>
        <w:pageBreakBefore w:val="0"/>
        <w:kinsoku/>
        <w:bidi w:val="0"/>
        <w:spacing w:before="120" w:beforeLines="50" w:after="120" w:afterLines="50" w:line="312"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性别：</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职务：</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pPr>
        <w:pageBreakBefore w:val="0"/>
        <w:kinsoku/>
        <w:bidi w:val="0"/>
        <w:spacing w:before="120" w:beforeLines="50" w:after="120" w:afterLines="50" w:line="312"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（供应商单位名称）         </w:t>
      </w:r>
      <w:r>
        <w:rPr>
          <w:rFonts w:hint="eastAsia" w:ascii="仿宋" w:hAnsi="仿宋" w:eastAsia="仿宋" w:cs="仿宋"/>
          <w:sz w:val="24"/>
          <w:highlight w:val="none"/>
        </w:rPr>
        <w:t>的</w:t>
      </w:r>
      <w:r>
        <w:rPr>
          <w:rFonts w:hint="eastAsia" w:ascii="仿宋" w:hAnsi="仿宋" w:eastAsia="仿宋" w:cs="仿宋"/>
          <w:b w:val="0"/>
          <w:bCs w:val="0"/>
          <w:sz w:val="24"/>
          <w:highlight w:val="none"/>
        </w:rPr>
        <w:t>法定代表人</w:t>
      </w:r>
      <w:r>
        <w:rPr>
          <w:rFonts w:hint="eastAsia" w:ascii="仿宋" w:hAnsi="仿宋" w:eastAsia="仿宋" w:cs="仿宋"/>
          <w:b w:val="0"/>
          <w:bCs w:val="0"/>
          <w:sz w:val="24"/>
          <w:highlight w:val="none"/>
          <w:lang w:val="en-US" w:eastAsia="zh-CN"/>
        </w:rPr>
        <w:t>/负责人</w:t>
      </w:r>
      <w:r>
        <w:rPr>
          <w:rFonts w:hint="eastAsia" w:ascii="仿宋" w:hAnsi="仿宋" w:eastAsia="仿宋" w:cs="仿宋"/>
          <w:sz w:val="24"/>
          <w:highlight w:val="none"/>
        </w:rPr>
        <w:t>。</w:t>
      </w:r>
    </w:p>
    <w:p>
      <w:pPr>
        <w:pageBreakBefore w:val="0"/>
        <w:kinsoku/>
        <w:bidi w:val="0"/>
        <w:spacing w:before="120" w:beforeLines="50" w:after="120" w:afterLines="50" w:line="312" w:lineRule="auto"/>
        <w:ind w:firstLine="480" w:firstLineChars="200"/>
        <w:jc w:val="left"/>
        <w:rPr>
          <w:rFonts w:hint="eastAsia" w:ascii="仿宋" w:hAnsi="仿宋" w:eastAsia="仿宋" w:cs="仿宋"/>
          <w:sz w:val="28"/>
          <w:szCs w:val="28"/>
          <w:highlight w:val="none"/>
        </w:rPr>
      </w:pPr>
      <w:r>
        <w:rPr>
          <w:rFonts w:hint="eastAsia" w:ascii="仿宋" w:hAnsi="仿宋" w:eastAsia="仿宋" w:cs="仿宋"/>
          <w:sz w:val="24"/>
          <w:highlight w:val="none"/>
        </w:rPr>
        <w:t>特此证明。</w:t>
      </w:r>
    </w:p>
    <w:p>
      <w:pPr>
        <w:pageBreakBefore w:val="0"/>
        <w:kinsoku/>
        <w:autoSpaceDE w:val="0"/>
        <w:autoSpaceDN w:val="0"/>
        <w:bidi w:val="0"/>
        <w:spacing w:line="312" w:lineRule="auto"/>
        <w:ind w:firstLine="482" w:firstLineChars="200"/>
        <w:jc w:val="left"/>
        <w:rPr>
          <w:rFonts w:hint="eastAsia" w:ascii="仿宋" w:hAnsi="仿宋" w:eastAsia="仿宋" w:cs="仿宋"/>
          <w:b/>
          <w:bCs/>
          <w:sz w:val="24"/>
          <w:highlight w:val="none"/>
        </w:rPr>
      </w:pPr>
    </w:p>
    <w:p>
      <w:pPr>
        <w:pageBreakBefore w:val="0"/>
        <w:kinsoku/>
        <w:autoSpaceDE w:val="0"/>
        <w:autoSpaceDN w:val="0"/>
        <w:bidi w:val="0"/>
        <w:spacing w:line="312" w:lineRule="auto"/>
        <w:ind w:firstLine="482" w:firstLineChars="200"/>
        <w:jc w:val="left"/>
        <w:rPr>
          <w:rFonts w:hint="eastAsia" w:ascii="仿宋" w:hAnsi="仿宋" w:eastAsia="仿宋" w:cs="仿宋"/>
          <w:b/>
          <w:bCs/>
          <w:sz w:val="24"/>
          <w:highlight w:val="none"/>
        </w:rPr>
      </w:pPr>
    </w:p>
    <w:p>
      <w:pPr>
        <w:pageBreakBefore w:val="0"/>
        <w:kinsoku/>
        <w:autoSpaceDE w:val="0"/>
        <w:autoSpaceDN w:val="0"/>
        <w:bidi w:val="0"/>
        <w:spacing w:line="312" w:lineRule="auto"/>
        <w:ind w:firstLine="723" w:firstLineChars="300"/>
        <w:jc w:val="left"/>
        <w:rPr>
          <w:rFonts w:hint="eastAsia" w:ascii="仿宋" w:hAnsi="仿宋" w:eastAsia="仿宋" w:cs="仿宋"/>
          <w:b/>
          <w:bCs/>
          <w:kern w:val="0"/>
          <w:sz w:val="24"/>
          <w:highlight w:val="none"/>
        </w:rPr>
      </w:pPr>
      <w:r>
        <w:rPr>
          <w:rFonts w:hint="eastAsia" w:ascii="仿宋" w:hAnsi="仿宋" w:eastAsia="仿宋" w:cs="仿宋"/>
          <w:b/>
          <w:bCs/>
          <w:sz w:val="24"/>
          <w:highlight w:val="none"/>
        </w:rPr>
        <w:t>附：法定代表人</w:t>
      </w:r>
      <w:r>
        <w:rPr>
          <w:rFonts w:hint="eastAsia" w:ascii="仿宋" w:hAnsi="仿宋" w:eastAsia="仿宋" w:cs="仿宋"/>
          <w:b/>
          <w:bCs/>
          <w:sz w:val="24"/>
          <w:highlight w:val="none"/>
          <w:lang w:val="en-US" w:eastAsia="zh-CN"/>
        </w:rPr>
        <w:t>/负责人</w:t>
      </w:r>
      <w:r>
        <w:rPr>
          <w:rFonts w:hint="eastAsia" w:ascii="仿宋" w:hAnsi="仿宋" w:eastAsia="仿宋" w:cs="仿宋"/>
          <w:b/>
          <w:bCs/>
          <w:sz w:val="24"/>
          <w:highlight w:val="none"/>
        </w:rPr>
        <w:t>身份证复印件并加盖公章。</w:t>
      </w:r>
    </w:p>
    <w:p>
      <w:pPr>
        <w:pageBreakBefore w:val="0"/>
        <w:kinsoku/>
        <w:bidi w:val="0"/>
        <w:spacing w:before="120" w:beforeLines="50" w:after="120" w:afterLines="50" w:line="312" w:lineRule="auto"/>
        <w:jc w:val="left"/>
        <w:rPr>
          <w:rFonts w:hint="eastAsia" w:ascii="仿宋" w:hAnsi="仿宋" w:eastAsia="仿宋" w:cs="仿宋"/>
          <w:sz w:val="24"/>
          <w:highlight w:val="none"/>
        </w:rPr>
      </w:pPr>
    </w:p>
    <w:p>
      <w:pPr>
        <w:pageBreakBefore w:val="0"/>
        <w:kinsoku/>
        <w:bidi w:val="0"/>
        <w:spacing w:before="120" w:beforeLines="50" w:after="120" w:afterLines="50" w:line="312" w:lineRule="auto"/>
        <w:jc w:val="left"/>
        <w:rPr>
          <w:rFonts w:hint="eastAsia" w:ascii="仿宋" w:hAnsi="仿宋" w:eastAsia="仿宋" w:cs="仿宋"/>
          <w:sz w:val="24"/>
          <w:highlight w:val="none"/>
        </w:rPr>
      </w:pPr>
    </w:p>
    <w:p>
      <w:pPr>
        <w:pageBreakBefore w:val="0"/>
        <w:kinsoku/>
        <w:bidi w:val="0"/>
        <w:spacing w:before="120" w:beforeLines="50" w:after="120" w:afterLines="50" w:line="312" w:lineRule="auto"/>
        <w:jc w:val="left"/>
        <w:rPr>
          <w:rFonts w:hint="eastAsia" w:ascii="仿宋" w:hAnsi="仿宋" w:eastAsia="仿宋" w:cs="仿宋"/>
          <w:sz w:val="24"/>
          <w:highlight w:val="none"/>
        </w:rPr>
      </w:pPr>
    </w:p>
    <w:p>
      <w:pPr>
        <w:pageBreakBefore w:val="0"/>
        <w:kinsoku/>
        <w:bidi w:val="0"/>
        <w:spacing w:before="120" w:beforeLines="50" w:after="120" w:afterLines="50" w:line="312" w:lineRule="auto"/>
        <w:ind w:firstLine="3360" w:firstLineChars="14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供应商：</w:t>
      </w:r>
      <w:r>
        <w:rPr>
          <w:rFonts w:hint="eastAsia" w:ascii="仿宋" w:hAnsi="仿宋" w:eastAsia="仿宋" w:cs="仿宋"/>
          <w:sz w:val="24"/>
          <w:szCs w:val="24"/>
          <w:highlight w:val="none"/>
          <w:u w:val="single"/>
        </w:rPr>
        <w:t xml:space="preserve">       （单位全称）     </w:t>
      </w:r>
      <w:r>
        <w:rPr>
          <w:rFonts w:hint="eastAsia" w:ascii="仿宋" w:hAnsi="仿宋" w:eastAsia="仿宋" w:cs="仿宋"/>
          <w:sz w:val="24"/>
          <w:szCs w:val="24"/>
          <w:highlight w:val="none"/>
        </w:rPr>
        <w:t>（盖 章）</w:t>
      </w:r>
    </w:p>
    <w:p>
      <w:pPr>
        <w:pageBreakBefore w:val="0"/>
        <w:kinsoku/>
        <w:bidi w:val="0"/>
        <w:spacing w:before="120" w:beforeLines="50" w:after="120" w:afterLines="50" w:line="312" w:lineRule="auto"/>
        <w:ind w:firstLine="3360" w:firstLineChars="1400"/>
        <w:jc w:val="left"/>
        <w:rPr>
          <w:rFonts w:hint="eastAsia" w:ascii="仿宋" w:hAnsi="仿宋" w:eastAsia="仿宋" w:cs="仿宋"/>
          <w:highlight w:val="none"/>
          <w:lang w:val="zh-CN"/>
        </w:rPr>
      </w:pP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年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ageBreakBefore w:val="0"/>
        <w:numPr>
          <w:ilvl w:val="0"/>
          <w:numId w:val="39"/>
        </w:numPr>
        <w:kinsoku/>
        <w:overflowPunct/>
        <w:bidi w:val="0"/>
        <w:spacing w:line="312" w:lineRule="auto"/>
        <w:ind w:firstLine="0"/>
        <w:jc w:val="center"/>
        <w:outlineLvl w:val="0"/>
        <w:rPr>
          <w:rFonts w:hint="eastAsia" w:ascii="仿宋" w:hAnsi="仿宋" w:eastAsia="仿宋" w:cs="仿宋"/>
          <w:b/>
          <w:color w:val="000000"/>
          <w:sz w:val="36"/>
          <w:szCs w:val="36"/>
          <w:highlight w:val="none"/>
        </w:rPr>
      </w:pPr>
      <w:r>
        <w:rPr>
          <w:rFonts w:hint="eastAsia" w:ascii="仿宋" w:hAnsi="仿宋" w:eastAsia="仿宋" w:cs="仿宋"/>
          <w:b/>
          <w:color w:val="000000"/>
          <w:sz w:val="36"/>
          <w:szCs w:val="36"/>
          <w:highlight w:val="none"/>
        </w:rPr>
        <w:br w:type="page"/>
      </w:r>
      <w:r>
        <w:rPr>
          <w:rFonts w:hint="eastAsia" w:ascii="仿宋" w:hAnsi="仿宋" w:eastAsia="仿宋" w:cs="仿宋"/>
          <w:b/>
          <w:color w:val="000000"/>
          <w:sz w:val="36"/>
          <w:szCs w:val="36"/>
          <w:highlight w:val="none"/>
          <w:lang w:val="en-US" w:eastAsia="zh-CN"/>
        </w:rPr>
        <w:t>法定代表人/负责人授权书</w:t>
      </w:r>
    </w:p>
    <w:p>
      <w:pPr>
        <w:pStyle w:val="2"/>
        <w:pageBreakBefore w:val="0"/>
        <w:kinsoku/>
        <w:bidi w:val="0"/>
        <w:spacing w:line="312" w:lineRule="auto"/>
        <w:rPr>
          <w:rFonts w:hint="eastAsia" w:ascii="仿宋" w:hAnsi="仿宋" w:eastAsia="仿宋" w:cs="仿宋"/>
          <w:b/>
          <w:sz w:val="36"/>
          <w:szCs w:val="22"/>
          <w:highlight w:val="none"/>
          <w:lang w:val="zh-CN"/>
        </w:rPr>
      </w:pPr>
    </w:p>
    <w:p>
      <w:pPr>
        <w:pageBreakBefore w:val="0"/>
        <w:kinsoku/>
        <w:bidi w:val="0"/>
        <w:spacing w:before="120" w:beforeLines="50" w:after="120" w:afterLines="50" w:line="312"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供应商名称：</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pPr>
        <w:pageBreakBefore w:val="0"/>
        <w:kinsoku/>
        <w:bidi w:val="0"/>
        <w:spacing w:before="120" w:beforeLines="50" w:after="120" w:afterLines="50" w:line="312"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性别：</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职务：</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pPr>
        <w:pageBreakBefore w:val="0"/>
        <w:kinsoku/>
        <w:bidi w:val="0"/>
        <w:spacing w:before="120" w:beforeLines="50" w:after="120" w:afterLines="50" w:line="312"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（供应商单位名称）         </w:t>
      </w:r>
      <w:r>
        <w:rPr>
          <w:rFonts w:hint="eastAsia" w:ascii="仿宋" w:hAnsi="仿宋" w:eastAsia="仿宋" w:cs="仿宋"/>
          <w:sz w:val="24"/>
          <w:highlight w:val="none"/>
        </w:rPr>
        <w:t>的委托代理人。</w:t>
      </w:r>
    </w:p>
    <w:p>
      <w:pPr>
        <w:pageBreakBefore w:val="0"/>
        <w:kinsoku/>
        <w:bidi w:val="0"/>
        <w:spacing w:before="120" w:beforeLines="50" w:after="120" w:afterLines="50" w:line="312" w:lineRule="auto"/>
        <w:ind w:firstLine="480" w:firstLineChars="200"/>
        <w:jc w:val="left"/>
        <w:rPr>
          <w:rFonts w:hint="eastAsia" w:ascii="仿宋" w:hAnsi="仿宋" w:eastAsia="仿宋" w:cs="仿宋"/>
          <w:highlight w:val="none"/>
        </w:rPr>
      </w:pPr>
      <w:r>
        <w:rPr>
          <w:rFonts w:hint="eastAsia" w:ascii="仿宋" w:hAnsi="仿宋" w:eastAsia="仿宋" w:cs="仿宋"/>
          <w:color w:val="auto"/>
          <w:kern w:val="2"/>
          <w:sz w:val="24"/>
          <w:szCs w:val="24"/>
          <w:highlight w:val="none"/>
          <w:lang w:val="en-US" w:eastAsia="zh-CN" w:bidi="ar-SA"/>
        </w:rPr>
        <w:t>授权期限：</w:t>
      </w:r>
      <w:r>
        <w:rPr>
          <w:rFonts w:hint="eastAsia" w:ascii="仿宋" w:hAnsi="仿宋" w:eastAsia="仿宋" w:cs="仿宋"/>
          <w:color w:val="auto"/>
          <w:kern w:val="2"/>
          <w:sz w:val="24"/>
          <w:szCs w:val="24"/>
          <w:highlight w:val="none"/>
          <w:u w:val="single"/>
          <w:lang w:val="en-US" w:eastAsia="zh-CN" w:bidi="ar-SA"/>
        </w:rPr>
        <w:t xml:space="preserve">                       </w:t>
      </w:r>
    </w:p>
    <w:p>
      <w:pPr>
        <w:pageBreakBefore w:val="0"/>
        <w:kinsoku/>
        <w:bidi w:val="0"/>
        <w:spacing w:before="120" w:beforeLines="50" w:after="120" w:afterLines="50" w:line="312"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特此证明。</w:t>
      </w:r>
    </w:p>
    <w:p>
      <w:pPr>
        <w:pageBreakBefore w:val="0"/>
        <w:kinsoku/>
        <w:bidi w:val="0"/>
        <w:spacing w:line="312"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附：法定代表人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rPr>
        <w:t>身份证及委托代理人身份证复印件。</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9" w:hRule="atLeast"/>
          <w:jc w:val="center"/>
        </w:trPr>
        <w:tc>
          <w:tcPr>
            <w:tcW w:w="4139" w:type="dxa"/>
            <w:noWrap w:val="0"/>
            <w:vAlign w:val="center"/>
          </w:tcPr>
          <w:p>
            <w:pPr>
              <w:pageBreakBefore w:val="0"/>
              <w:kinsoku/>
              <w:bidi w:val="0"/>
              <w:spacing w:line="312" w:lineRule="auto"/>
              <w:jc w:val="center"/>
              <w:rPr>
                <w:rFonts w:hint="eastAsia" w:ascii="仿宋" w:hAnsi="仿宋" w:eastAsia="仿宋" w:cs="仿宋"/>
                <w:sz w:val="24"/>
                <w:highlight w:val="none"/>
              </w:rPr>
            </w:pPr>
            <w:r>
              <w:rPr>
                <w:rFonts w:hint="eastAsia" w:ascii="仿宋" w:hAnsi="仿宋" w:eastAsia="仿宋" w:cs="仿宋"/>
                <w:sz w:val="24"/>
                <w:highlight w:val="none"/>
              </w:rPr>
              <w:t>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rPr>
              <w:t>身份证</w:t>
            </w:r>
          </w:p>
          <w:p>
            <w:pPr>
              <w:pageBreakBefore w:val="0"/>
              <w:kinsoku/>
              <w:bidi w:val="0"/>
              <w:spacing w:line="312" w:lineRule="auto"/>
              <w:jc w:val="center"/>
              <w:rPr>
                <w:rFonts w:hint="eastAsia" w:ascii="仿宋" w:hAnsi="仿宋" w:eastAsia="仿宋" w:cs="仿宋"/>
                <w:sz w:val="24"/>
                <w:highlight w:val="none"/>
                <w:u w:val="single"/>
              </w:rPr>
            </w:pPr>
            <w:r>
              <w:rPr>
                <w:rFonts w:hint="eastAsia" w:ascii="仿宋" w:hAnsi="仿宋" w:eastAsia="仿宋" w:cs="仿宋"/>
                <w:sz w:val="24"/>
                <w:highlight w:val="none"/>
              </w:rPr>
              <w:t>正/反面</w:t>
            </w:r>
          </w:p>
        </w:tc>
        <w:tc>
          <w:tcPr>
            <w:tcW w:w="4140" w:type="dxa"/>
            <w:noWrap w:val="0"/>
            <w:vAlign w:val="center"/>
          </w:tcPr>
          <w:p>
            <w:pPr>
              <w:pageBreakBefore w:val="0"/>
              <w:kinsoku/>
              <w:bidi w:val="0"/>
              <w:spacing w:line="312" w:lineRule="auto"/>
              <w:jc w:val="center"/>
              <w:rPr>
                <w:rFonts w:hint="eastAsia" w:ascii="仿宋" w:hAnsi="仿宋" w:eastAsia="仿宋" w:cs="仿宋"/>
                <w:sz w:val="24"/>
                <w:highlight w:val="none"/>
              </w:rPr>
            </w:pPr>
            <w:r>
              <w:rPr>
                <w:rFonts w:hint="eastAsia" w:ascii="仿宋" w:hAnsi="仿宋" w:eastAsia="仿宋" w:cs="仿宋"/>
                <w:sz w:val="24"/>
                <w:highlight w:val="none"/>
              </w:rPr>
              <w:t>委托代理人身份证</w:t>
            </w:r>
          </w:p>
          <w:p>
            <w:pPr>
              <w:pageBreakBefore w:val="0"/>
              <w:kinsoku/>
              <w:bidi w:val="0"/>
              <w:spacing w:line="312" w:lineRule="auto"/>
              <w:jc w:val="center"/>
              <w:rPr>
                <w:rFonts w:hint="eastAsia" w:ascii="仿宋" w:hAnsi="仿宋" w:eastAsia="仿宋" w:cs="仿宋"/>
                <w:sz w:val="24"/>
                <w:highlight w:val="none"/>
                <w:u w:val="single"/>
              </w:rPr>
            </w:pPr>
            <w:r>
              <w:rPr>
                <w:rFonts w:hint="eastAsia" w:ascii="仿宋" w:hAnsi="仿宋" w:eastAsia="仿宋" w:cs="仿宋"/>
                <w:sz w:val="24"/>
                <w:highlight w:val="none"/>
              </w:rPr>
              <w:t>正/反面</w:t>
            </w:r>
          </w:p>
        </w:tc>
      </w:tr>
    </w:tbl>
    <w:p>
      <w:pPr>
        <w:pStyle w:val="2"/>
        <w:pageBreakBefore w:val="0"/>
        <w:kinsoku/>
        <w:bidi w:val="0"/>
        <w:spacing w:line="312" w:lineRule="auto"/>
        <w:rPr>
          <w:rFonts w:hint="eastAsia" w:ascii="仿宋" w:hAnsi="仿宋" w:eastAsia="仿宋" w:cs="仿宋"/>
          <w:color w:val="auto"/>
          <w:sz w:val="24"/>
          <w:highlight w:val="none"/>
        </w:rPr>
      </w:pPr>
    </w:p>
    <w:p>
      <w:pPr>
        <w:pageBreakBefore w:val="0"/>
        <w:kinsoku/>
        <w:bidi w:val="0"/>
        <w:spacing w:line="312" w:lineRule="auto"/>
        <w:rPr>
          <w:rFonts w:hint="eastAsia" w:ascii="仿宋" w:hAnsi="仿宋" w:eastAsia="仿宋" w:cs="仿宋"/>
          <w:highlight w:val="none"/>
        </w:rPr>
      </w:pPr>
    </w:p>
    <w:p>
      <w:pPr>
        <w:pageBreakBefore w:val="0"/>
        <w:kinsoku/>
        <w:bidi w:val="0"/>
        <w:spacing w:line="312" w:lineRule="auto"/>
        <w:ind w:firstLine="3360" w:firstLineChars="1400"/>
        <w:rPr>
          <w:rFonts w:hint="eastAsia" w:ascii="仿宋" w:hAnsi="仿宋" w:eastAsia="仿宋" w:cs="仿宋"/>
          <w:sz w:val="24"/>
          <w:highlight w:val="none"/>
        </w:rPr>
      </w:pPr>
      <w:r>
        <w:rPr>
          <w:rFonts w:hint="eastAsia" w:ascii="仿宋" w:hAnsi="仿宋" w:eastAsia="仿宋" w:cs="仿宋"/>
          <w:sz w:val="24"/>
          <w:highlight w:val="none"/>
        </w:rPr>
        <w:t>供 应 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（盖      章）</w:t>
      </w:r>
    </w:p>
    <w:p>
      <w:pPr>
        <w:pageBreakBefore w:val="0"/>
        <w:kinsoku/>
        <w:bidi w:val="0"/>
        <w:spacing w:line="312" w:lineRule="auto"/>
        <w:ind w:firstLine="3360" w:firstLineChars="1400"/>
        <w:rPr>
          <w:rFonts w:hint="eastAsia" w:ascii="仿宋" w:hAnsi="仿宋" w:eastAsia="仿宋" w:cs="仿宋"/>
          <w:sz w:val="24"/>
          <w:highlight w:val="none"/>
        </w:rPr>
      </w:pPr>
      <w:r>
        <w:rPr>
          <w:rFonts w:hint="eastAsia" w:ascii="仿宋" w:hAnsi="仿宋" w:eastAsia="仿宋" w:cs="仿宋"/>
          <w:sz w:val="24"/>
          <w:highlight w:val="none"/>
        </w:rPr>
        <w:t>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（签字或盖章）</w:t>
      </w:r>
    </w:p>
    <w:p>
      <w:pPr>
        <w:pageBreakBefore w:val="0"/>
        <w:kinsoku/>
        <w:bidi w:val="0"/>
        <w:spacing w:line="312" w:lineRule="auto"/>
        <w:ind w:firstLine="3360" w:firstLineChars="1400"/>
        <w:rPr>
          <w:rFonts w:hint="eastAsia" w:ascii="仿宋" w:hAnsi="仿宋" w:eastAsia="仿宋" w:cs="仿宋"/>
          <w:sz w:val="24"/>
          <w:highlight w:val="none"/>
        </w:rPr>
      </w:pPr>
      <w:r>
        <w:rPr>
          <w:rFonts w:hint="eastAsia" w:ascii="仿宋" w:hAnsi="仿宋" w:eastAsia="仿宋" w:cs="仿宋"/>
          <w:sz w:val="24"/>
          <w:highlight w:val="none"/>
        </w:rPr>
        <w:t>委托代理人：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（签字或盖章）</w:t>
      </w:r>
    </w:p>
    <w:p>
      <w:pPr>
        <w:pageBreakBefore w:val="0"/>
        <w:kinsoku/>
        <w:bidi w:val="0"/>
        <w:spacing w:line="312" w:lineRule="auto"/>
        <w:ind w:firstLine="4320" w:firstLineChars="1800"/>
        <w:rPr>
          <w:rFonts w:hint="eastAsia" w:ascii="仿宋" w:hAnsi="仿宋" w:eastAsia="仿宋" w:cs="仿宋"/>
          <w:sz w:val="24"/>
          <w:highlight w:val="none"/>
        </w:rPr>
      </w:pP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pStyle w:val="2"/>
        <w:pageBreakBefore w:val="0"/>
        <w:kinsoku/>
        <w:bidi w:val="0"/>
        <w:spacing w:line="312" w:lineRule="auto"/>
        <w:rPr>
          <w:rFonts w:hint="eastAsia" w:ascii="仿宋" w:hAnsi="仿宋" w:eastAsia="仿宋" w:cs="仿宋"/>
          <w:color w:val="auto"/>
          <w:sz w:val="24"/>
          <w:highlight w:val="none"/>
        </w:rPr>
      </w:pPr>
    </w:p>
    <w:p>
      <w:pPr>
        <w:pageBreakBefore w:val="0"/>
        <w:kinsoku/>
        <w:bidi w:val="0"/>
        <w:spacing w:line="312" w:lineRule="auto"/>
        <w:rPr>
          <w:rFonts w:hint="eastAsia" w:ascii="仿宋" w:hAnsi="仿宋" w:eastAsia="仿宋" w:cs="仿宋"/>
          <w:sz w:val="24"/>
          <w:highlight w:val="none"/>
        </w:rPr>
      </w:pPr>
    </w:p>
    <w:p>
      <w:pPr>
        <w:pStyle w:val="2"/>
        <w:pageBreakBefore w:val="0"/>
        <w:kinsoku/>
        <w:bidi w:val="0"/>
        <w:spacing w:line="312" w:lineRule="auto"/>
        <w:rPr>
          <w:rFonts w:hint="eastAsia" w:ascii="仿宋" w:hAnsi="仿宋" w:eastAsia="仿宋" w:cs="仿宋"/>
          <w:color w:val="auto"/>
          <w:sz w:val="24"/>
          <w:highlight w:val="none"/>
        </w:rPr>
      </w:pPr>
    </w:p>
    <w:p>
      <w:pPr>
        <w:pageBreakBefore w:val="0"/>
        <w:kinsoku/>
        <w:bidi w:val="0"/>
        <w:spacing w:line="312" w:lineRule="auto"/>
        <w:rPr>
          <w:rFonts w:hint="eastAsia" w:ascii="仿宋" w:hAnsi="仿宋" w:eastAsia="仿宋" w:cs="仿宋"/>
          <w:sz w:val="24"/>
          <w:highlight w:val="none"/>
        </w:rPr>
      </w:pPr>
    </w:p>
    <w:p>
      <w:pPr>
        <w:pageBreakBefore w:val="0"/>
        <w:overflowPunct/>
        <w:bidi w:val="0"/>
        <w:spacing w:afterAutospacing="0" w:line="312" w:lineRule="auto"/>
        <w:outlineLvl w:val="1"/>
        <w:rPr>
          <w:rFonts w:hint="eastAsia" w:ascii="仿宋" w:hAnsi="仿宋" w:eastAsia="仿宋" w:cs="仿宋"/>
          <w:b/>
          <w:bCs/>
          <w:spacing w:val="2"/>
          <w:sz w:val="24"/>
          <w:highlight w:val="none"/>
        </w:rPr>
      </w:pPr>
      <w:r>
        <w:rPr>
          <w:rFonts w:hint="eastAsia" w:ascii="仿宋" w:hAnsi="仿宋" w:eastAsia="仿宋" w:cs="仿宋"/>
          <w:b/>
          <w:bCs/>
          <w:spacing w:val="2"/>
          <w:sz w:val="24"/>
          <w:highlight w:val="none"/>
        </w:rPr>
        <w:t>（备注：投标签字代表为法定代表人</w:t>
      </w:r>
      <w:r>
        <w:rPr>
          <w:rFonts w:hint="eastAsia" w:ascii="仿宋" w:hAnsi="仿宋" w:eastAsia="仿宋" w:cs="仿宋"/>
          <w:b/>
          <w:bCs/>
          <w:spacing w:val="2"/>
          <w:sz w:val="24"/>
          <w:highlight w:val="none"/>
          <w:lang w:val="en-US" w:eastAsia="zh-CN"/>
        </w:rPr>
        <w:t>/负责人</w:t>
      </w:r>
      <w:r>
        <w:rPr>
          <w:rFonts w:hint="eastAsia" w:ascii="仿宋" w:hAnsi="仿宋" w:eastAsia="仿宋" w:cs="仿宋"/>
          <w:b/>
          <w:bCs/>
          <w:spacing w:val="2"/>
          <w:sz w:val="24"/>
          <w:highlight w:val="none"/>
        </w:rPr>
        <w:t>，则本表不需提交）</w:t>
      </w:r>
    </w:p>
    <w:p>
      <w:pPr>
        <w:pageBreakBefore w:val="0"/>
        <w:bidi w:val="0"/>
        <w:spacing w:line="312" w:lineRule="auto"/>
        <w:rPr>
          <w:rFonts w:hint="eastAsia" w:ascii="仿宋" w:hAnsi="仿宋" w:eastAsia="仿宋" w:cs="仿宋"/>
          <w:b/>
          <w:color w:val="000000"/>
          <w:sz w:val="36"/>
          <w:szCs w:val="36"/>
          <w:highlight w:val="none"/>
        </w:rPr>
      </w:pPr>
      <w:bookmarkStart w:id="46" w:name="_Toc2586"/>
      <w:r>
        <w:rPr>
          <w:rFonts w:hint="eastAsia" w:ascii="仿宋" w:hAnsi="仿宋" w:eastAsia="仿宋" w:cs="仿宋"/>
          <w:b/>
          <w:color w:val="000000"/>
          <w:sz w:val="36"/>
          <w:szCs w:val="36"/>
          <w:highlight w:val="none"/>
        </w:rPr>
        <w:br w:type="page"/>
      </w:r>
    </w:p>
    <w:bookmarkEnd w:id="46"/>
    <w:p>
      <w:pPr>
        <w:pageBreakBefore w:val="0"/>
        <w:numPr>
          <w:ilvl w:val="0"/>
          <w:numId w:val="39"/>
        </w:numPr>
        <w:kinsoku/>
        <w:overflowPunct/>
        <w:bidi w:val="0"/>
        <w:spacing w:line="312" w:lineRule="auto"/>
        <w:ind w:firstLine="0"/>
        <w:jc w:val="center"/>
        <w:outlineLvl w:val="0"/>
        <w:rPr>
          <w:rFonts w:hint="eastAsia" w:ascii="仿宋" w:hAnsi="仿宋" w:eastAsia="仿宋" w:cs="仿宋"/>
          <w:b/>
          <w:color w:val="000000"/>
          <w:sz w:val="36"/>
          <w:szCs w:val="36"/>
          <w:highlight w:val="none"/>
        </w:rPr>
      </w:pPr>
      <w:r>
        <w:rPr>
          <w:rFonts w:hint="eastAsia" w:ascii="仿宋" w:hAnsi="仿宋" w:eastAsia="仿宋" w:cs="仿宋"/>
          <w:b/>
          <w:color w:val="000000"/>
          <w:sz w:val="36"/>
          <w:szCs w:val="36"/>
          <w:highlight w:val="none"/>
        </w:rPr>
        <w:t>供应商资格证明材料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jc w:val="both"/>
        <w:textAlignment w:val="auto"/>
        <w:rPr>
          <w:rFonts w:hint="eastAsia" w:ascii="仿宋" w:hAnsi="仿宋" w:eastAsia="仿宋" w:cs="仿宋"/>
          <w:b/>
          <w:bCs w:val="0"/>
          <w:sz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jc w:val="both"/>
        <w:textAlignment w:val="auto"/>
        <w:rPr>
          <w:rFonts w:hint="eastAsia" w:ascii="仿宋" w:hAnsi="仿宋" w:eastAsia="仿宋" w:cs="仿宋"/>
          <w:b/>
          <w:bCs w:val="0"/>
          <w:sz w:val="24"/>
          <w:highlight w:val="none"/>
          <w:lang w:val="en-US" w:eastAsia="zh-CN"/>
        </w:rPr>
      </w:pPr>
      <w:r>
        <w:rPr>
          <w:rFonts w:hint="eastAsia" w:ascii="仿宋" w:hAnsi="仿宋" w:eastAsia="仿宋" w:cs="仿宋"/>
          <w:b/>
          <w:bCs w:val="0"/>
          <w:sz w:val="24"/>
          <w:highlight w:val="none"/>
          <w:lang w:val="en-US" w:eastAsia="zh-CN"/>
        </w:rPr>
        <w:t>《中华人民共和国政府采购法》第二十二条的规定，供应商参加政府采购活动应当具备下列条件:</w:t>
      </w:r>
    </w:p>
    <w:p>
      <w:pPr>
        <w:keepNext w:val="0"/>
        <w:keepLines w:val="0"/>
        <w:pageBreakBefore w:val="0"/>
        <w:widowControl w:val="0"/>
        <w:numPr>
          <w:ilvl w:val="0"/>
          <w:numId w:val="41"/>
        </w:numPr>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sz w:val="24"/>
          <w:highlight w:val="none"/>
          <w:lang w:val="en-US" w:eastAsia="zh-CN"/>
        </w:rPr>
      </w:pPr>
      <w:r>
        <w:rPr>
          <w:rFonts w:hint="eastAsia" w:ascii="仿宋" w:hAnsi="仿宋" w:eastAsia="仿宋" w:cs="仿宋"/>
          <w:bCs/>
          <w:sz w:val="24"/>
          <w:highlight w:val="none"/>
          <w:lang w:val="en-US" w:eastAsia="zh-CN"/>
        </w:rPr>
        <w:t>具有独立承担民事责任的能力；</w:t>
      </w:r>
    </w:p>
    <w:p>
      <w:pPr>
        <w:keepNext w:val="0"/>
        <w:keepLines w:val="0"/>
        <w:pageBreakBefore w:val="0"/>
        <w:widowControl w:val="0"/>
        <w:numPr>
          <w:ilvl w:val="0"/>
          <w:numId w:val="41"/>
        </w:numPr>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sz w:val="24"/>
          <w:highlight w:val="none"/>
          <w:lang w:val="en-US" w:eastAsia="zh-CN"/>
        </w:rPr>
      </w:pPr>
      <w:r>
        <w:rPr>
          <w:rFonts w:hint="eastAsia" w:ascii="仿宋" w:hAnsi="仿宋" w:eastAsia="仿宋" w:cs="仿宋"/>
          <w:bCs/>
          <w:sz w:val="24"/>
          <w:highlight w:val="none"/>
          <w:lang w:val="en-US" w:eastAsia="zh-CN"/>
        </w:rPr>
        <w:t>具有良好的商业信誉和健全的财务会计制度；</w:t>
      </w:r>
    </w:p>
    <w:p>
      <w:pPr>
        <w:keepNext w:val="0"/>
        <w:keepLines w:val="0"/>
        <w:pageBreakBefore w:val="0"/>
        <w:widowControl w:val="0"/>
        <w:numPr>
          <w:ilvl w:val="0"/>
          <w:numId w:val="41"/>
        </w:numPr>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sz w:val="24"/>
          <w:highlight w:val="none"/>
          <w:lang w:val="en-US" w:eastAsia="zh-CN"/>
        </w:rPr>
      </w:pPr>
      <w:r>
        <w:rPr>
          <w:rFonts w:hint="eastAsia" w:ascii="仿宋" w:hAnsi="仿宋" w:eastAsia="仿宋" w:cs="仿宋"/>
          <w:bCs/>
          <w:sz w:val="24"/>
          <w:highlight w:val="none"/>
          <w:lang w:val="en-US" w:eastAsia="zh-CN"/>
        </w:rPr>
        <w:t>具有履行合同所必需的设备和专业技术能力；</w:t>
      </w:r>
    </w:p>
    <w:p>
      <w:pPr>
        <w:keepNext w:val="0"/>
        <w:keepLines w:val="0"/>
        <w:pageBreakBefore w:val="0"/>
        <w:widowControl w:val="0"/>
        <w:numPr>
          <w:ilvl w:val="0"/>
          <w:numId w:val="41"/>
        </w:numPr>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sz w:val="24"/>
          <w:highlight w:val="none"/>
          <w:lang w:val="en-US" w:eastAsia="zh-CN"/>
        </w:rPr>
      </w:pPr>
      <w:r>
        <w:rPr>
          <w:rFonts w:hint="eastAsia" w:ascii="仿宋" w:hAnsi="仿宋" w:eastAsia="仿宋" w:cs="仿宋"/>
          <w:bCs/>
          <w:sz w:val="24"/>
          <w:highlight w:val="none"/>
          <w:lang w:val="en-US" w:eastAsia="zh-CN"/>
        </w:rPr>
        <w:t>有依法缴纳税收和社会保障资金的良好记录；</w:t>
      </w:r>
    </w:p>
    <w:p>
      <w:pPr>
        <w:keepNext w:val="0"/>
        <w:keepLines w:val="0"/>
        <w:pageBreakBefore w:val="0"/>
        <w:widowControl w:val="0"/>
        <w:numPr>
          <w:ilvl w:val="0"/>
          <w:numId w:val="41"/>
        </w:numPr>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sz w:val="24"/>
          <w:highlight w:val="none"/>
          <w:lang w:val="en-US" w:eastAsia="zh-CN"/>
        </w:rPr>
      </w:pPr>
      <w:r>
        <w:rPr>
          <w:rFonts w:hint="eastAsia" w:ascii="仿宋" w:hAnsi="仿宋" w:eastAsia="仿宋" w:cs="仿宋"/>
          <w:bCs/>
          <w:sz w:val="24"/>
          <w:highlight w:val="none"/>
          <w:lang w:val="en-US" w:eastAsia="zh-CN"/>
        </w:rPr>
        <w:t>参加政府采购活动前三年内，在经营活动中没有重大违法记录；</w:t>
      </w:r>
    </w:p>
    <w:p>
      <w:pPr>
        <w:keepNext w:val="0"/>
        <w:keepLines w:val="0"/>
        <w:pageBreakBefore w:val="0"/>
        <w:widowControl w:val="0"/>
        <w:numPr>
          <w:ilvl w:val="0"/>
          <w:numId w:val="41"/>
        </w:numPr>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sz w:val="24"/>
          <w:highlight w:val="none"/>
          <w:lang w:val="en-US" w:eastAsia="zh-CN"/>
        </w:rPr>
      </w:pPr>
      <w:r>
        <w:rPr>
          <w:rFonts w:hint="eastAsia" w:ascii="仿宋" w:hAnsi="仿宋" w:eastAsia="仿宋" w:cs="仿宋"/>
          <w:bCs/>
          <w:sz w:val="24"/>
          <w:highlight w:val="none"/>
          <w:lang w:val="en-US" w:eastAsia="zh-CN"/>
        </w:rPr>
        <w:t>法律、行政法规规定的其他条件。</w:t>
      </w:r>
    </w:p>
    <w:p>
      <w:pPr>
        <w:pStyle w:val="2"/>
        <w:pageBreakBefore w:val="0"/>
        <w:bidi w:val="0"/>
        <w:spacing w:line="312" w:lineRule="auto"/>
        <w:rPr>
          <w:rFonts w:hint="eastAsia" w:ascii="仿宋" w:hAnsi="仿宋" w:eastAsia="仿宋" w:cs="仿宋"/>
          <w:lang w:val="en-US" w:eastAsia="zh-CN"/>
        </w:rPr>
      </w:pPr>
      <w:r>
        <w:rPr>
          <w:rFonts w:hint="eastAsia" w:ascii="仿宋" w:hAnsi="仿宋" w:eastAsia="仿宋" w:cs="仿宋"/>
          <w:b/>
          <w:bCs w:val="0"/>
          <w:sz w:val="24"/>
          <w:highlight w:val="none"/>
          <w:lang w:eastAsia="zh-CN"/>
        </w:rPr>
        <w:t>特定资格，</w:t>
      </w:r>
      <w:r>
        <w:rPr>
          <w:rFonts w:hint="eastAsia" w:ascii="仿宋" w:hAnsi="仿宋" w:eastAsia="仿宋" w:cs="仿宋"/>
          <w:b/>
          <w:bCs w:val="0"/>
          <w:sz w:val="24"/>
          <w:highlight w:val="none"/>
        </w:rPr>
        <w:t>提供以下资料但不限于</w:t>
      </w:r>
      <w:r>
        <w:rPr>
          <w:rFonts w:hint="eastAsia" w:ascii="仿宋" w:hAnsi="仿宋" w:eastAsia="仿宋" w:cs="仿宋"/>
          <w:bCs/>
          <w:sz w:val="24"/>
          <w:highlight w:val="none"/>
        </w:rPr>
        <w:t>：</w:t>
      </w:r>
    </w:p>
    <w:p>
      <w:pPr>
        <w:keepNext w:val="0"/>
        <w:keepLines w:val="0"/>
        <w:pageBreakBefore w:val="0"/>
        <w:widowControl w:val="0"/>
        <w:numPr>
          <w:ilvl w:val="0"/>
          <w:numId w:val="42"/>
        </w:numPr>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sz w:val="24"/>
          <w:highlight w:val="none"/>
          <w:lang w:val="en-US" w:eastAsia="zh-CN"/>
        </w:rPr>
      </w:pPr>
      <w:r>
        <w:rPr>
          <w:rFonts w:hint="eastAsia" w:ascii="仿宋" w:hAnsi="仿宋" w:eastAsia="仿宋" w:cs="仿宋"/>
          <w:bCs/>
          <w:sz w:val="24"/>
          <w:highlight w:val="none"/>
          <w:lang w:val="en-US" w:eastAsia="zh-CN"/>
        </w:rPr>
        <w:t>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keepNext w:val="0"/>
        <w:keepLines w:val="0"/>
        <w:pageBreakBefore w:val="0"/>
        <w:widowControl w:val="0"/>
        <w:numPr>
          <w:ilvl w:val="0"/>
          <w:numId w:val="42"/>
        </w:numPr>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highlight w:val="none"/>
          <w:lang w:val="en-US" w:eastAsia="zh-CN"/>
        </w:rPr>
        <w:t>《法定代表人/事业法人授权书》附法定代表人/事业法人身份证及被授权人身份证复印件并加盖公章；法定代表人/事业法人直接参加的则须提交《法定代表人/事业法人证明书》和身份证复印件并加盖公章；</w:t>
      </w:r>
    </w:p>
    <w:p>
      <w:pPr>
        <w:keepNext w:val="0"/>
        <w:keepLines w:val="0"/>
        <w:pageBreakBefore w:val="0"/>
        <w:widowControl w:val="0"/>
        <w:numPr>
          <w:ilvl w:val="0"/>
          <w:numId w:val="42"/>
        </w:numPr>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供应商具备市场监管部门颁发的营养包相关食品生产许可证，副本（或副页）中载明辅食营养补充品（或辅食营养素补充食品）生产明细，且在有效期内；</w:t>
      </w:r>
    </w:p>
    <w:p>
      <w:pPr>
        <w:keepNext w:val="0"/>
        <w:keepLines w:val="0"/>
        <w:pageBreakBefore w:val="0"/>
        <w:widowControl w:val="0"/>
        <w:numPr>
          <w:ilvl w:val="0"/>
          <w:numId w:val="42"/>
        </w:numPr>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供应商具备食品安全管理体系（ISO22000或GB/T22000或HACCP）和质量管理体系（ISO9001或GB/T19001）认证；</w:t>
      </w:r>
    </w:p>
    <w:p>
      <w:pPr>
        <w:keepNext w:val="0"/>
        <w:keepLines w:val="0"/>
        <w:pageBreakBefore w:val="0"/>
        <w:widowControl w:val="0"/>
        <w:numPr>
          <w:ilvl w:val="0"/>
          <w:numId w:val="42"/>
        </w:numPr>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供应商在投标截止日前一年内，在同类营养包项目供货过程中因存在食品安全问题导致产品一级召回或二级召回的不得参与本次投标。供应商需提供1年内在同类营养包项目供货过程中没有因食品安全问题导致产品一级召回或二级召回的书面声明；</w:t>
      </w:r>
    </w:p>
    <w:p>
      <w:pPr>
        <w:keepNext w:val="0"/>
        <w:keepLines w:val="0"/>
        <w:pageBreakBefore w:val="0"/>
        <w:widowControl w:val="0"/>
        <w:numPr>
          <w:ilvl w:val="0"/>
          <w:numId w:val="42"/>
        </w:numPr>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财务状况报告：须提供近3年任意一年度的财务报表或具有财务审计资质的单位出具的财务报告（至少包括资产负债表和利润表，成立时间至提交竞争性磋商响应文件截止时间不足一年的可提供成立后任意时段的资产负债表），或银行出具的资信证明；</w:t>
      </w:r>
    </w:p>
    <w:p>
      <w:pPr>
        <w:keepNext w:val="0"/>
        <w:keepLines w:val="0"/>
        <w:pageBreakBefore w:val="0"/>
        <w:widowControl w:val="0"/>
        <w:numPr>
          <w:ilvl w:val="0"/>
          <w:numId w:val="42"/>
        </w:numPr>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税收缴纳证明：提供响应文件截止时间前1年内任意1个月的纳税证明或完税证明，依法免税的供应商应提供相关文件证明；</w:t>
      </w:r>
    </w:p>
    <w:p>
      <w:pPr>
        <w:keepNext w:val="0"/>
        <w:keepLines w:val="0"/>
        <w:pageBreakBefore w:val="0"/>
        <w:widowControl w:val="0"/>
        <w:numPr>
          <w:ilvl w:val="0"/>
          <w:numId w:val="42"/>
        </w:numPr>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社会保障资金缴纳证明：提供响应文件截止时间前1年内任意1个月的有效社会保障资金缴纳证明。依法不需要缴纳社会保障资金的供应商应提供相关文件证明；</w:t>
      </w:r>
    </w:p>
    <w:p>
      <w:pPr>
        <w:keepNext w:val="0"/>
        <w:keepLines w:val="0"/>
        <w:pageBreakBefore w:val="0"/>
        <w:widowControl w:val="0"/>
        <w:numPr>
          <w:ilvl w:val="0"/>
          <w:numId w:val="42"/>
        </w:numPr>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供应商需具备履行合同所必需的设备和专业技术能力，须提供书面承诺书；</w:t>
      </w:r>
    </w:p>
    <w:p>
      <w:pPr>
        <w:keepNext w:val="0"/>
        <w:keepLines w:val="0"/>
        <w:pageBreakBefore w:val="0"/>
        <w:widowControl w:val="0"/>
        <w:numPr>
          <w:ilvl w:val="0"/>
          <w:numId w:val="42"/>
        </w:numPr>
        <w:tabs>
          <w:tab w:val="left" w:pos="420"/>
          <w:tab w:val="left" w:pos="840"/>
        </w:tabs>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供应商参加采购活动近3年内经营活动中无重大违法记录声明；</w:t>
      </w:r>
    </w:p>
    <w:p>
      <w:pPr>
        <w:keepNext w:val="0"/>
        <w:keepLines w:val="0"/>
        <w:pageBreakBefore w:val="0"/>
        <w:widowControl w:val="0"/>
        <w:numPr>
          <w:ilvl w:val="0"/>
          <w:numId w:val="42"/>
        </w:numPr>
        <w:tabs>
          <w:tab w:val="left" w:pos="420"/>
          <w:tab w:val="left" w:pos="840"/>
        </w:tabs>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供应商信誉要求：“信用中国”网站（www.creditchina.gov.cn）和“中国政府采购网”（www.ccgp.gov.cn）为供应商信用信息查询渠道，如果供应商被查实在投标截止时间前已列入失信被执行人、重大税收违法案件当事人名单、政府采购严重违法失信行为记录名单中被财政部门禁止参加政府采购活动的供应商其投标为无效；（提供查询结果网页截图并加盖供应商公章）；</w:t>
      </w:r>
    </w:p>
    <w:p>
      <w:pPr>
        <w:keepNext w:val="0"/>
        <w:keepLines w:val="0"/>
        <w:pageBreakBefore w:val="0"/>
        <w:widowControl w:val="0"/>
        <w:numPr>
          <w:ilvl w:val="0"/>
          <w:numId w:val="42"/>
        </w:numPr>
        <w:tabs>
          <w:tab w:val="left" w:pos="420"/>
          <w:tab w:val="left" w:pos="840"/>
        </w:tabs>
        <w:kinsoku/>
        <w:wordWrap/>
        <w:overflowPunct/>
        <w:topLinePunct w:val="0"/>
        <w:autoSpaceDE/>
        <w:autoSpaceDN/>
        <w:bidi w:val="0"/>
        <w:adjustRightInd w:val="0"/>
        <w:snapToGrid w:val="0"/>
        <w:spacing w:line="312" w:lineRule="auto"/>
        <w:ind w:left="0" w:leftChars="0" w:firstLine="480" w:firstLineChars="200"/>
        <w:jc w:val="both"/>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单位负责人为同一人或者存在直接控股、管理关系的不同供应商，不得参加同一合同项下的政府采购活动</w:t>
      </w:r>
      <w:r>
        <w:rPr>
          <w:rFonts w:hint="eastAsia" w:ascii="仿宋" w:hAnsi="仿宋" w:eastAsia="仿宋" w:cs="仿宋"/>
          <w:b w:val="0"/>
          <w:bCs/>
          <w:kern w:val="2"/>
          <w:sz w:val="24"/>
          <w:szCs w:val="24"/>
          <w:highlight w:val="none"/>
          <w:lang w:val="en-US" w:eastAsia="zh-CN" w:bidi="ar-SA"/>
        </w:rPr>
        <w:t>。</w:t>
      </w:r>
    </w:p>
    <w:p>
      <w:pPr>
        <w:pageBreakBefore w:val="0"/>
        <w:bidi w:val="0"/>
        <w:spacing w:line="312" w:lineRule="auto"/>
        <w:rPr>
          <w:rFonts w:hint="eastAsia" w:ascii="仿宋" w:hAnsi="仿宋" w:eastAsia="仿宋" w:cs="仿宋"/>
          <w:b/>
          <w:bCs/>
          <w:color w:val="333333"/>
          <w:kern w:val="0"/>
          <w:sz w:val="28"/>
          <w:szCs w:val="28"/>
          <w:highlight w:val="none"/>
        </w:rPr>
      </w:pPr>
      <w:r>
        <w:rPr>
          <w:rFonts w:hint="eastAsia" w:ascii="仿宋" w:hAnsi="仿宋" w:eastAsia="仿宋" w:cs="仿宋"/>
          <w:b/>
          <w:bCs/>
          <w:color w:val="333333"/>
          <w:kern w:val="0"/>
          <w:sz w:val="28"/>
          <w:szCs w:val="28"/>
          <w:highlight w:val="none"/>
        </w:rPr>
        <w:br w:type="page"/>
      </w:r>
    </w:p>
    <w:p>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textAlignment w:val="auto"/>
        <w:rPr>
          <w:rFonts w:hint="eastAsia" w:ascii="仿宋" w:hAnsi="仿宋" w:eastAsia="仿宋" w:cs="仿宋"/>
          <w:b/>
          <w:bCs/>
          <w:color w:val="333333"/>
          <w:kern w:val="0"/>
          <w:sz w:val="28"/>
          <w:szCs w:val="28"/>
          <w:highlight w:val="none"/>
        </w:rPr>
      </w:pPr>
      <w:r>
        <w:rPr>
          <w:rFonts w:hint="eastAsia" w:ascii="仿宋" w:hAnsi="仿宋" w:eastAsia="仿宋" w:cs="仿宋"/>
          <w:b/>
          <w:bCs/>
          <w:color w:val="333333"/>
          <w:kern w:val="0"/>
          <w:sz w:val="28"/>
          <w:szCs w:val="28"/>
          <w:highlight w:val="none"/>
        </w:rPr>
        <w:t>附件一：具备履行合同所必需的设备和专业技术能力的承诺书格式</w:t>
      </w:r>
    </w:p>
    <w:p>
      <w:pPr>
        <w:pageBreakBefore w:val="0"/>
        <w:kinsoku/>
        <w:autoSpaceDE w:val="0"/>
        <w:autoSpaceDN w:val="0"/>
        <w:bidi w:val="0"/>
        <w:adjustRightInd w:val="0"/>
        <w:spacing w:line="312" w:lineRule="auto"/>
        <w:ind w:firstLine="480" w:firstLineChars="200"/>
        <w:rPr>
          <w:rFonts w:hint="eastAsia" w:ascii="仿宋" w:hAnsi="仿宋" w:eastAsia="仿宋" w:cs="仿宋"/>
          <w:bCs/>
          <w:sz w:val="24"/>
          <w:szCs w:val="24"/>
          <w:highlight w:val="none"/>
          <w:lang w:val="en-US" w:eastAsia="zh-CN"/>
        </w:rPr>
      </w:pPr>
    </w:p>
    <w:p>
      <w:pPr>
        <w:pageBreakBefore w:val="0"/>
        <w:kinsoku/>
        <w:autoSpaceDE w:val="0"/>
        <w:autoSpaceDN w:val="0"/>
        <w:bidi w:val="0"/>
        <w:adjustRightInd w:val="0"/>
        <w:spacing w:line="312" w:lineRule="auto"/>
        <w:jc w:val="center"/>
        <w:rPr>
          <w:rFonts w:hint="eastAsia" w:ascii="仿宋" w:hAnsi="仿宋" w:eastAsia="仿宋" w:cs="仿宋"/>
          <w:b/>
          <w:bCs w:val="0"/>
          <w:sz w:val="28"/>
          <w:szCs w:val="28"/>
          <w:highlight w:val="none"/>
          <w:lang w:val="en-US" w:eastAsia="zh-CN"/>
        </w:rPr>
      </w:pPr>
    </w:p>
    <w:p>
      <w:pPr>
        <w:pageBreakBefore w:val="0"/>
        <w:kinsoku/>
        <w:autoSpaceDE w:val="0"/>
        <w:autoSpaceDN w:val="0"/>
        <w:bidi w:val="0"/>
        <w:adjustRightInd w:val="0"/>
        <w:spacing w:line="312" w:lineRule="auto"/>
        <w:jc w:val="center"/>
        <w:rPr>
          <w:rFonts w:hint="eastAsia" w:ascii="仿宋" w:hAnsi="仿宋" w:eastAsia="仿宋" w:cs="仿宋"/>
          <w:b/>
          <w:bCs w:val="0"/>
          <w:sz w:val="28"/>
          <w:szCs w:val="28"/>
          <w:highlight w:val="none"/>
          <w:lang w:val="en-US" w:eastAsia="zh-CN"/>
        </w:rPr>
      </w:pPr>
      <w:r>
        <w:rPr>
          <w:rFonts w:hint="eastAsia" w:ascii="仿宋" w:hAnsi="仿宋" w:eastAsia="仿宋" w:cs="仿宋"/>
          <w:b/>
          <w:bCs w:val="0"/>
          <w:sz w:val="28"/>
          <w:szCs w:val="28"/>
          <w:highlight w:val="none"/>
          <w:lang w:val="en-US" w:eastAsia="zh-CN"/>
        </w:rPr>
        <w:t>具备履行合同所必需的设备和专业技术能力的承诺书</w:t>
      </w:r>
    </w:p>
    <w:p>
      <w:pPr>
        <w:pageBreakBefore w:val="0"/>
        <w:kinsoku/>
        <w:autoSpaceDE w:val="0"/>
        <w:autoSpaceDN w:val="0"/>
        <w:bidi w:val="0"/>
        <w:adjustRightInd w:val="0"/>
        <w:spacing w:line="312" w:lineRule="auto"/>
        <w:ind w:firstLine="480" w:firstLineChars="200"/>
        <w:rPr>
          <w:rFonts w:hint="eastAsia" w:ascii="仿宋" w:hAnsi="仿宋" w:eastAsia="仿宋" w:cs="仿宋"/>
          <w:bCs/>
          <w:sz w:val="24"/>
          <w:szCs w:val="24"/>
          <w:highlight w:val="none"/>
          <w:lang w:val="en-US" w:eastAsia="zh-CN"/>
        </w:rPr>
      </w:pPr>
    </w:p>
    <w:p>
      <w:pPr>
        <w:pageBreakBefore w:val="0"/>
        <w:kinsoku/>
        <w:autoSpaceDE w:val="0"/>
        <w:autoSpaceDN w:val="0"/>
        <w:bidi w:val="0"/>
        <w:adjustRightInd w:val="0"/>
        <w:spacing w:line="312" w:lineRule="auto"/>
        <w:rPr>
          <w:rFonts w:hint="eastAsia" w:ascii="仿宋" w:hAnsi="仿宋" w:eastAsia="仿宋" w:cs="仿宋"/>
          <w:bCs/>
          <w:sz w:val="24"/>
          <w:szCs w:val="24"/>
          <w:highlight w:val="none"/>
          <w:u w:val="single"/>
          <w:lang w:val="zh-CN" w:eastAsia="zh-CN"/>
        </w:rPr>
      </w:pPr>
      <w:r>
        <w:rPr>
          <w:rFonts w:hint="eastAsia" w:ascii="仿宋" w:hAnsi="仿宋" w:eastAsia="仿宋" w:cs="仿宋"/>
          <w:bCs/>
          <w:sz w:val="24"/>
          <w:szCs w:val="24"/>
          <w:highlight w:val="none"/>
          <w:lang w:val="en-US" w:eastAsia="zh-CN"/>
        </w:rPr>
        <w:t>致：</w:t>
      </w:r>
      <w:r>
        <w:rPr>
          <w:rFonts w:hint="eastAsia" w:ascii="仿宋" w:hAnsi="仿宋" w:eastAsia="仿宋" w:cs="仿宋"/>
          <w:bCs/>
          <w:sz w:val="24"/>
          <w:szCs w:val="24"/>
          <w:highlight w:val="none"/>
          <w:u w:val="single"/>
          <w:lang w:val="en-US" w:eastAsia="zh-CN"/>
        </w:rPr>
        <w:t xml:space="preserve">        （采购人）</w:t>
      </w:r>
    </w:p>
    <w:p>
      <w:pPr>
        <w:pageBreakBefore w:val="0"/>
        <w:kinsoku/>
        <w:autoSpaceDE w:val="0"/>
        <w:autoSpaceDN w:val="0"/>
        <w:bidi w:val="0"/>
        <w:adjustRightInd w:val="0"/>
        <w:spacing w:line="312" w:lineRule="auto"/>
        <w:ind w:firstLine="480" w:firstLineChars="200"/>
        <w:rPr>
          <w:rFonts w:hint="eastAsia" w:ascii="仿宋" w:hAnsi="仿宋" w:eastAsia="仿宋" w:cs="仿宋"/>
          <w:bCs/>
          <w:sz w:val="24"/>
          <w:szCs w:val="24"/>
          <w:highlight w:val="none"/>
          <w:lang w:val="en-US" w:eastAsia="zh-CN"/>
        </w:rPr>
      </w:pPr>
    </w:p>
    <w:p>
      <w:pPr>
        <w:pStyle w:val="19"/>
        <w:pageBreakBefore w:val="0"/>
        <w:bidi w:val="0"/>
        <w:adjustRightInd w:val="0"/>
        <w:snapToGrid w:val="0"/>
        <w:spacing w:line="312" w:lineRule="auto"/>
        <w:ind w:firstLine="496"/>
        <w:rPr>
          <w:rFonts w:hint="eastAsia" w:ascii="仿宋" w:hAnsi="仿宋" w:eastAsia="仿宋" w:cs="仿宋"/>
          <w:bCs/>
          <w:sz w:val="24"/>
          <w:szCs w:val="24"/>
          <w:highlight w:val="none"/>
          <w:lang w:val="en-US" w:eastAsia="zh-CN"/>
        </w:rPr>
      </w:pPr>
      <w:r>
        <w:rPr>
          <w:rFonts w:hint="eastAsia" w:ascii="仿宋" w:hAnsi="仿宋" w:eastAsia="仿宋" w:cs="仿宋"/>
          <w:bCs/>
          <w:kern w:val="2"/>
          <w:sz w:val="24"/>
          <w:szCs w:val="24"/>
          <w:highlight w:val="none"/>
          <w:u w:val="single"/>
          <w:lang w:val="en-US" w:eastAsia="zh-CN" w:bidi="ar-SA"/>
        </w:rPr>
        <w:t xml:space="preserve"> （供应商名称） </w:t>
      </w:r>
      <w:r>
        <w:rPr>
          <w:rFonts w:hint="eastAsia" w:ascii="仿宋" w:hAnsi="仿宋" w:eastAsia="仿宋" w:cs="仿宋"/>
          <w:bCs/>
          <w:kern w:val="2"/>
          <w:sz w:val="24"/>
          <w:szCs w:val="24"/>
          <w:highlight w:val="none"/>
          <w:lang w:val="en-US" w:eastAsia="zh-CN" w:bidi="ar-SA"/>
        </w:rPr>
        <w:t>于</w:t>
      </w:r>
      <w:r>
        <w:rPr>
          <w:rFonts w:hint="eastAsia" w:ascii="仿宋" w:hAnsi="仿宋" w:eastAsia="仿宋" w:cs="仿宋"/>
          <w:bCs/>
          <w:kern w:val="2"/>
          <w:sz w:val="24"/>
          <w:szCs w:val="24"/>
          <w:highlight w:val="none"/>
          <w:u w:val="single"/>
          <w:lang w:val="en-US" w:eastAsia="zh-CN" w:bidi="ar-SA"/>
        </w:rPr>
        <w:t xml:space="preserve">    </w:t>
      </w:r>
      <w:r>
        <w:rPr>
          <w:rFonts w:hint="eastAsia" w:ascii="仿宋" w:hAnsi="仿宋" w:eastAsia="仿宋" w:cs="仿宋"/>
          <w:bCs/>
          <w:kern w:val="2"/>
          <w:sz w:val="24"/>
          <w:szCs w:val="24"/>
          <w:highlight w:val="none"/>
          <w:lang w:val="en-US" w:eastAsia="zh-CN" w:bidi="ar-SA"/>
        </w:rPr>
        <w:t>年</w:t>
      </w:r>
      <w:r>
        <w:rPr>
          <w:rFonts w:hint="eastAsia" w:ascii="仿宋" w:hAnsi="仿宋" w:eastAsia="仿宋" w:cs="仿宋"/>
          <w:bCs/>
          <w:kern w:val="2"/>
          <w:sz w:val="24"/>
          <w:szCs w:val="24"/>
          <w:highlight w:val="none"/>
          <w:u w:val="single"/>
          <w:lang w:val="en-US" w:eastAsia="zh-CN" w:bidi="ar-SA"/>
        </w:rPr>
        <w:t xml:space="preserve">    </w:t>
      </w:r>
      <w:r>
        <w:rPr>
          <w:rFonts w:hint="eastAsia" w:ascii="仿宋" w:hAnsi="仿宋" w:eastAsia="仿宋" w:cs="仿宋"/>
          <w:bCs/>
          <w:kern w:val="2"/>
          <w:sz w:val="24"/>
          <w:szCs w:val="24"/>
          <w:highlight w:val="none"/>
          <w:lang w:val="en-US" w:eastAsia="zh-CN" w:bidi="ar-SA"/>
        </w:rPr>
        <w:t>月</w:t>
      </w:r>
      <w:r>
        <w:rPr>
          <w:rFonts w:hint="eastAsia" w:ascii="仿宋" w:hAnsi="仿宋" w:eastAsia="仿宋" w:cs="仿宋"/>
          <w:bCs/>
          <w:kern w:val="2"/>
          <w:sz w:val="24"/>
          <w:szCs w:val="24"/>
          <w:highlight w:val="none"/>
          <w:u w:val="single"/>
          <w:lang w:val="en-US" w:eastAsia="zh-CN" w:bidi="ar-SA"/>
        </w:rPr>
        <w:t xml:space="preserve">    </w:t>
      </w:r>
      <w:r>
        <w:rPr>
          <w:rFonts w:hint="eastAsia" w:ascii="仿宋" w:hAnsi="仿宋" w:eastAsia="仿宋" w:cs="仿宋"/>
          <w:bCs/>
          <w:kern w:val="2"/>
          <w:sz w:val="24"/>
          <w:szCs w:val="24"/>
          <w:highlight w:val="none"/>
          <w:lang w:val="en-US" w:eastAsia="zh-CN" w:bidi="ar-SA"/>
        </w:rPr>
        <w:t>日在中华人民共和国境内</w:t>
      </w:r>
      <w:r>
        <w:rPr>
          <w:rFonts w:hint="eastAsia" w:ascii="仿宋" w:hAnsi="仿宋" w:eastAsia="仿宋" w:cs="仿宋"/>
          <w:bCs/>
          <w:kern w:val="2"/>
          <w:sz w:val="24"/>
          <w:szCs w:val="24"/>
          <w:highlight w:val="none"/>
          <w:u w:val="single"/>
          <w:lang w:val="en-US" w:eastAsia="zh-CN" w:bidi="ar-SA"/>
        </w:rPr>
        <w:t xml:space="preserve"> （详细注册地址） </w:t>
      </w:r>
      <w:r>
        <w:rPr>
          <w:rFonts w:hint="eastAsia" w:ascii="仿宋" w:hAnsi="仿宋" w:eastAsia="仿宋" w:cs="仿宋"/>
          <w:bCs/>
          <w:kern w:val="2"/>
          <w:sz w:val="24"/>
          <w:szCs w:val="24"/>
          <w:highlight w:val="none"/>
          <w:lang w:val="en-US" w:eastAsia="zh-CN" w:bidi="ar-SA"/>
        </w:rPr>
        <w:t>合法注册并经营，公司主营业务为</w:t>
      </w:r>
      <w:r>
        <w:rPr>
          <w:rFonts w:hint="eastAsia" w:ascii="仿宋" w:hAnsi="仿宋" w:eastAsia="仿宋" w:cs="仿宋"/>
          <w:bCs/>
          <w:kern w:val="2"/>
          <w:sz w:val="24"/>
          <w:szCs w:val="24"/>
          <w:highlight w:val="none"/>
          <w:u w:val="single"/>
          <w:lang w:val="en-US" w:eastAsia="zh-CN" w:bidi="ar-SA"/>
        </w:rPr>
        <w:t xml:space="preserve">             </w:t>
      </w:r>
      <w:r>
        <w:rPr>
          <w:rFonts w:hint="eastAsia" w:ascii="仿宋" w:hAnsi="仿宋" w:eastAsia="仿宋" w:cs="仿宋"/>
          <w:bCs/>
          <w:kern w:val="2"/>
          <w:sz w:val="24"/>
          <w:szCs w:val="24"/>
          <w:highlight w:val="none"/>
          <w:lang w:val="en-US" w:eastAsia="zh-CN" w:bidi="ar-SA"/>
        </w:rPr>
        <w:t>，营业（生产经营）面积为</w:t>
      </w:r>
      <w:r>
        <w:rPr>
          <w:rFonts w:hint="eastAsia" w:ascii="仿宋" w:hAnsi="仿宋" w:eastAsia="仿宋" w:cs="仿宋"/>
          <w:bCs/>
          <w:kern w:val="2"/>
          <w:sz w:val="24"/>
          <w:szCs w:val="24"/>
          <w:highlight w:val="none"/>
          <w:u w:val="single"/>
          <w:lang w:val="en-US" w:eastAsia="zh-CN" w:bidi="ar-SA"/>
        </w:rPr>
        <w:t xml:space="preserve">      </w:t>
      </w:r>
      <w:r>
        <w:rPr>
          <w:rFonts w:hint="eastAsia" w:ascii="仿宋" w:hAnsi="仿宋" w:eastAsia="仿宋" w:cs="仿宋"/>
          <w:bCs/>
          <w:kern w:val="2"/>
          <w:sz w:val="24"/>
          <w:szCs w:val="24"/>
          <w:highlight w:val="none"/>
          <w:lang w:val="en-US" w:eastAsia="zh-CN" w:bidi="ar-SA"/>
        </w:rPr>
        <w:t xml:space="preserve">，现有员工数量为 </w:t>
      </w:r>
      <w:r>
        <w:rPr>
          <w:rFonts w:hint="eastAsia" w:ascii="仿宋" w:hAnsi="仿宋" w:eastAsia="仿宋" w:cs="仿宋"/>
          <w:bCs/>
          <w:kern w:val="2"/>
          <w:sz w:val="24"/>
          <w:szCs w:val="24"/>
          <w:highlight w:val="none"/>
          <w:u w:val="single"/>
          <w:lang w:val="en-US" w:eastAsia="zh-CN" w:bidi="ar-SA"/>
        </w:rPr>
        <w:t xml:space="preserve">      </w:t>
      </w:r>
      <w:r>
        <w:rPr>
          <w:rFonts w:hint="eastAsia" w:ascii="仿宋" w:hAnsi="仿宋" w:eastAsia="仿宋" w:cs="仿宋"/>
          <w:bCs/>
          <w:kern w:val="2"/>
          <w:sz w:val="24"/>
          <w:szCs w:val="24"/>
          <w:highlight w:val="none"/>
          <w:lang w:val="en-US" w:eastAsia="zh-CN" w:bidi="ar-SA"/>
        </w:rPr>
        <w:t>，本公司郑重承诺，具有履行本合同所必需的设备和专业技术能力。</w:t>
      </w:r>
    </w:p>
    <w:p>
      <w:pPr>
        <w:pageBreakBefore w:val="0"/>
        <w:kinsoku/>
        <w:autoSpaceDE w:val="0"/>
        <w:autoSpaceDN w:val="0"/>
        <w:bidi w:val="0"/>
        <w:adjustRightInd w:val="0"/>
        <w:spacing w:line="312" w:lineRule="auto"/>
        <w:ind w:firstLine="480" w:firstLineChars="200"/>
        <w:rPr>
          <w:rFonts w:hint="eastAsia" w:ascii="仿宋" w:hAnsi="仿宋" w:eastAsia="仿宋" w:cs="仿宋"/>
          <w:bCs/>
          <w:sz w:val="24"/>
          <w:szCs w:val="24"/>
          <w:highlight w:val="none"/>
          <w:lang w:val="en-US" w:eastAsia="zh-CN"/>
        </w:rPr>
      </w:pPr>
    </w:p>
    <w:p>
      <w:pPr>
        <w:pageBreakBefore w:val="0"/>
        <w:kinsoku/>
        <w:autoSpaceDE w:val="0"/>
        <w:autoSpaceDN w:val="0"/>
        <w:bidi w:val="0"/>
        <w:adjustRightInd w:val="0"/>
        <w:spacing w:line="312" w:lineRule="auto"/>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特此声明！</w:t>
      </w:r>
    </w:p>
    <w:p>
      <w:pPr>
        <w:pageBreakBefore w:val="0"/>
        <w:kinsoku/>
        <w:autoSpaceDE w:val="0"/>
        <w:autoSpaceDN w:val="0"/>
        <w:bidi w:val="0"/>
        <w:adjustRightInd w:val="0"/>
        <w:spacing w:line="312" w:lineRule="auto"/>
        <w:ind w:firstLine="480" w:firstLineChars="200"/>
        <w:rPr>
          <w:rFonts w:hint="eastAsia" w:ascii="仿宋" w:hAnsi="仿宋" w:eastAsia="仿宋" w:cs="仿宋"/>
          <w:bCs/>
          <w:sz w:val="24"/>
          <w:szCs w:val="24"/>
          <w:highlight w:val="none"/>
          <w:lang w:val="en-US" w:eastAsia="zh-CN"/>
        </w:rPr>
      </w:pPr>
    </w:p>
    <w:p>
      <w:pPr>
        <w:pStyle w:val="4"/>
        <w:pageBreakBefore w:val="0"/>
        <w:kinsoku/>
        <w:bidi w:val="0"/>
        <w:spacing w:line="312" w:lineRule="auto"/>
        <w:outlineLvl w:val="9"/>
        <w:rPr>
          <w:rFonts w:hint="eastAsia" w:ascii="仿宋" w:hAnsi="仿宋" w:eastAsia="仿宋" w:cs="仿宋"/>
          <w:color w:val="333333"/>
          <w:kern w:val="0"/>
          <w:sz w:val="28"/>
          <w:szCs w:val="28"/>
          <w:highlight w:val="none"/>
        </w:rPr>
      </w:pPr>
    </w:p>
    <w:p>
      <w:pPr>
        <w:pageBreakBefore w:val="0"/>
        <w:kinsoku/>
        <w:bidi w:val="0"/>
        <w:spacing w:line="312" w:lineRule="auto"/>
        <w:rPr>
          <w:rFonts w:hint="eastAsia" w:ascii="仿宋" w:hAnsi="仿宋" w:eastAsia="仿宋" w:cs="仿宋"/>
          <w:color w:val="333333"/>
          <w:kern w:val="0"/>
          <w:sz w:val="28"/>
          <w:szCs w:val="28"/>
          <w:highlight w:val="none"/>
        </w:rPr>
      </w:pP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（盖</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章）</w:t>
      </w: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lang w:val="zh-CN"/>
        </w:rPr>
        <w:t>或委托代理人：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（签字或盖章）</w:t>
      </w:r>
    </w:p>
    <w:p>
      <w:pPr>
        <w:pageBreakBefore w:val="0"/>
        <w:kinsoku/>
        <w:bidi w:val="0"/>
        <w:spacing w:line="312" w:lineRule="auto"/>
        <w:ind w:firstLine="4080" w:firstLineChars="1700"/>
        <w:rPr>
          <w:rFonts w:hint="eastAsia" w:ascii="仿宋" w:hAnsi="仿宋" w:eastAsia="仿宋" w:cs="仿宋"/>
          <w:color w:val="333333"/>
          <w:kern w:val="0"/>
          <w:sz w:val="28"/>
          <w:szCs w:val="28"/>
          <w:highlight w:val="none"/>
        </w:rPr>
      </w:pPr>
      <w:r>
        <w:rPr>
          <w:rFonts w:hint="eastAsia" w:ascii="仿宋" w:hAnsi="仿宋" w:eastAsia="仿宋" w:cs="仿宋"/>
          <w:sz w:val="24"/>
          <w:highlight w:val="none"/>
          <w:lang w:val="zh-CN"/>
        </w:rPr>
        <w:t>日期：</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p>
    <w:p>
      <w:pPr>
        <w:pageBreakBefore w:val="0"/>
        <w:kinsoku/>
        <w:autoSpaceDE w:val="0"/>
        <w:autoSpaceDN w:val="0"/>
        <w:bidi w:val="0"/>
        <w:adjustRightInd w:val="0"/>
        <w:spacing w:line="312" w:lineRule="auto"/>
        <w:rPr>
          <w:rFonts w:hint="eastAsia" w:ascii="仿宋" w:hAnsi="仿宋" w:eastAsia="仿宋" w:cs="仿宋"/>
          <w:b/>
          <w:bCs/>
          <w:color w:val="333333"/>
          <w:kern w:val="0"/>
          <w:sz w:val="28"/>
          <w:szCs w:val="28"/>
          <w:highlight w:val="none"/>
          <w:lang w:val="en-US" w:eastAsia="zh-CN" w:bidi="ar-SA"/>
        </w:rPr>
      </w:pPr>
      <w:r>
        <w:rPr>
          <w:rFonts w:hint="eastAsia" w:ascii="仿宋" w:hAnsi="仿宋" w:eastAsia="仿宋" w:cs="仿宋"/>
          <w:b/>
          <w:bCs/>
          <w:color w:val="333333"/>
          <w:kern w:val="0"/>
          <w:sz w:val="28"/>
          <w:szCs w:val="28"/>
          <w:highlight w:val="none"/>
          <w:lang w:val="en-US" w:eastAsia="zh-CN" w:bidi="ar-SA"/>
        </w:rPr>
        <w:br w:type="page"/>
      </w:r>
      <w:r>
        <w:rPr>
          <w:rFonts w:hint="eastAsia" w:ascii="仿宋" w:hAnsi="仿宋" w:eastAsia="仿宋" w:cs="仿宋"/>
          <w:b/>
          <w:bCs/>
          <w:color w:val="333333"/>
          <w:kern w:val="0"/>
          <w:sz w:val="28"/>
          <w:szCs w:val="28"/>
          <w:highlight w:val="none"/>
          <w:lang w:val="en-US" w:eastAsia="zh-CN" w:bidi="ar-SA"/>
        </w:rPr>
        <w:t>附件二：在经营活动中没有重大违法记录的书面声明格式</w:t>
      </w:r>
    </w:p>
    <w:p>
      <w:pPr>
        <w:pageBreakBefore w:val="0"/>
        <w:kinsoku/>
        <w:autoSpaceDE w:val="0"/>
        <w:autoSpaceDN w:val="0"/>
        <w:bidi w:val="0"/>
        <w:adjustRightInd w:val="0"/>
        <w:spacing w:line="312" w:lineRule="auto"/>
        <w:ind w:firstLine="480" w:firstLineChars="200"/>
        <w:rPr>
          <w:rFonts w:hint="eastAsia" w:ascii="仿宋" w:hAnsi="仿宋" w:eastAsia="仿宋" w:cs="仿宋"/>
          <w:bCs/>
          <w:sz w:val="24"/>
          <w:szCs w:val="24"/>
          <w:highlight w:val="none"/>
          <w:lang w:val="en-US" w:eastAsia="zh-CN"/>
        </w:rPr>
      </w:pPr>
    </w:p>
    <w:p>
      <w:pPr>
        <w:pStyle w:val="12"/>
        <w:pageBreakBefore w:val="0"/>
        <w:kinsoku/>
        <w:bidi w:val="0"/>
        <w:spacing w:line="312" w:lineRule="auto"/>
        <w:ind w:left="0" w:leftChars="0" w:firstLine="0" w:firstLineChars="0"/>
        <w:jc w:val="center"/>
        <w:rPr>
          <w:rFonts w:hint="eastAsia" w:ascii="仿宋" w:hAnsi="仿宋" w:eastAsia="仿宋" w:cs="仿宋"/>
          <w:b/>
          <w:bCs/>
          <w:color w:val="333333"/>
          <w:kern w:val="0"/>
          <w:sz w:val="28"/>
          <w:szCs w:val="28"/>
          <w:highlight w:val="none"/>
          <w:lang w:val="en-US" w:eastAsia="zh-CN" w:bidi="ar-SA"/>
        </w:rPr>
      </w:pPr>
      <w:r>
        <w:rPr>
          <w:rFonts w:hint="eastAsia" w:ascii="仿宋" w:hAnsi="仿宋" w:eastAsia="仿宋" w:cs="仿宋"/>
          <w:b/>
          <w:bCs/>
          <w:color w:val="333333"/>
          <w:kern w:val="0"/>
          <w:sz w:val="28"/>
          <w:szCs w:val="28"/>
          <w:highlight w:val="none"/>
          <w:lang w:val="en-US" w:eastAsia="zh-CN" w:bidi="ar-SA"/>
        </w:rPr>
        <w:t>在经营活动中没有重大违法记录的书面声明</w:t>
      </w:r>
    </w:p>
    <w:p>
      <w:pPr>
        <w:pageBreakBefore w:val="0"/>
        <w:kinsoku/>
        <w:autoSpaceDE w:val="0"/>
        <w:autoSpaceDN w:val="0"/>
        <w:bidi w:val="0"/>
        <w:adjustRightInd w:val="0"/>
        <w:spacing w:line="312" w:lineRule="auto"/>
        <w:ind w:firstLine="480" w:firstLineChars="200"/>
        <w:rPr>
          <w:rFonts w:hint="eastAsia" w:ascii="仿宋" w:hAnsi="仿宋" w:eastAsia="仿宋" w:cs="仿宋"/>
          <w:bCs/>
          <w:sz w:val="24"/>
          <w:szCs w:val="24"/>
          <w:highlight w:val="none"/>
          <w:lang w:val="en-US" w:eastAsia="zh-CN"/>
        </w:rPr>
      </w:pPr>
    </w:p>
    <w:p>
      <w:pPr>
        <w:pageBreakBefore w:val="0"/>
        <w:kinsoku/>
        <w:autoSpaceDE w:val="0"/>
        <w:autoSpaceDN w:val="0"/>
        <w:bidi w:val="0"/>
        <w:adjustRightInd w:val="0"/>
        <w:spacing w:line="312" w:lineRule="auto"/>
        <w:rPr>
          <w:rFonts w:hint="eastAsia" w:ascii="仿宋" w:hAnsi="仿宋" w:eastAsia="仿宋" w:cs="仿宋"/>
          <w:bCs/>
          <w:sz w:val="24"/>
          <w:szCs w:val="24"/>
          <w:highlight w:val="none"/>
          <w:u w:val="single"/>
          <w:lang w:val="zh-CN" w:eastAsia="zh-CN"/>
        </w:rPr>
      </w:pPr>
      <w:r>
        <w:rPr>
          <w:rFonts w:hint="eastAsia" w:ascii="仿宋" w:hAnsi="仿宋" w:eastAsia="仿宋" w:cs="仿宋"/>
          <w:bCs/>
          <w:sz w:val="24"/>
          <w:szCs w:val="24"/>
          <w:highlight w:val="none"/>
          <w:lang w:val="en-US" w:eastAsia="zh-CN"/>
        </w:rPr>
        <w:t>致</w:t>
      </w:r>
      <w:r>
        <w:rPr>
          <w:rFonts w:hint="eastAsia" w:ascii="仿宋" w:hAnsi="仿宋" w:eastAsia="仿宋" w:cs="仿宋"/>
          <w:bCs/>
          <w:sz w:val="24"/>
          <w:szCs w:val="24"/>
          <w:highlight w:val="none"/>
          <w:u w:val="single"/>
          <w:lang w:val="en-US" w:eastAsia="zh-CN"/>
        </w:rPr>
        <w:t>：        （采购人）</w:t>
      </w:r>
    </w:p>
    <w:p>
      <w:pPr>
        <w:pageBreakBefore w:val="0"/>
        <w:kinsoku/>
        <w:autoSpaceDE w:val="0"/>
        <w:autoSpaceDN w:val="0"/>
        <w:bidi w:val="0"/>
        <w:adjustRightInd w:val="0"/>
        <w:spacing w:line="312" w:lineRule="auto"/>
        <w:ind w:firstLine="480" w:firstLineChars="200"/>
        <w:rPr>
          <w:rFonts w:hint="eastAsia" w:ascii="仿宋" w:hAnsi="仿宋" w:eastAsia="仿宋" w:cs="仿宋"/>
          <w:bCs/>
          <w:sz w:val="24"/>
          <w:szCs w:val="24"/>
          <w:highlight w:val="none"/>
          <w:lang w:val="en-US" w:eastAsia="zh-CN"/>
        </w:rPr>
      </w:pPr>
    </w:p>
    <w:p>
      <w:pPr>
        <w:pageBreakBefore w:val="0"/>
        <w:kinsoku/>
        <w:autoSpaceDE w:val="0"/>
        <w:autoSpaceDN w:val="0"/>
        <w:bidi w:val="0"/>
        <w:adjustRightInd w:val="0"/>
        <w:spacing w:line="312" w:lineRule="auto"/>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我公司</w:t>
      </w:r>
      <w:r>
        <w:rPr>
          <w:rFonts w:hint="eastAsia" w:ascii="仿宋" w:hAnsi="仿宋" w:eastAsia="仿宋" w:cs="仿宋"/>
          <w:bCs/>
          <w:sz w:val="24"/>
          <w:szCs w:val="24"/>
          <w:highlight w:val="none"/>
          <w:u w:val="single"/>
          <w:lang w:val="en-US" w:eastAsia="zh-CN"/>
        </w:rPr>
        <w:t xml:space="preserve"> （供应商名称）</w:t>
      </w:r>
      <w:r>
        <w:rPr>
          <w:rFonts w:hint="eastAsia" w:ascii="仿宋" w:hAnsi="仿宋" w:eastAsia="仿宋" w:cs="仿宋"/>
          <w:bCs/>
          <w:sz w:val="24"/>
          <w:szCs w:val="24"/>
          <w:highlight w:val="none"/>
          <w:lang w:val="en-US" w:eastAsia="zh-CN"/>
        </w:rPr>
        <w:t>，就参加</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lang w:val="en-US" w:eastAsia="zh-CN"/>
        </w:rPr>
        <w:t>采购项目（采购项目编号：</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lang w:val="en-US" w:eastAsia="zh-CN"/>
        </w:rPr>
        <w:t>）磋商事宜，在此郑重声明：</w:t>
      </w:r>
    </w:p>
    <w:p>
      <w:pPr>
        <w:pageBreakBefore w:val="0"/>
        <w:numPr>
          <w:ilvl w:val="0"/>
          <w:numId w:val="43"/>
        </w:numPr>
        <w:kinsoku/>
        <w:autoSpaceDE w:val="0"/>
        <w:autoSpaceDN w:val="0"/>
        <w:bidi w:val="0"/>
        <w:adjustRightInd w:val="0"/>
        <w:spacing w:line="312" w:lineRule="auto"/>
        <w:ind w:left="5" w:leftChars="0" w:firstLine="415" w:firstLineChars="0"/>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Cs/>
          <w:sz w:val="24"/>
          <w:szCs w:val="24"/>
          <w:highlight w:val="none"/>
          <w:lang w:val="en-US" w:eastAsia="zh-CN"/>
        </w:rPr>
        <w:t>我公</w:t>
      </w:r>
      <w:r>
        <w:rPr>
          <w:rFonts w:hint="eastAsia" w:ascii="仿宋" w:hAnsi="仿宋" w:eastAsia="仿宋" w:cs="仿宋"/>
          <w:b w:val="0"/>
          <w:bCs/>
          <w:kern w:val="2"/>
          <w:sz w:val="24"/>
          <w:szCs w:val="24"/>
          <w:highlight w:val="none"/>
          <w:lang w:val="en-US" w:eastAsia="zh-CN" w:bidi="ar-SA"/>
        </w:rPr>
        <w:t>司所提交的磋商响应文件全部真实有效。</w:t>
      </w:r>
    </w:p>
    <w:p>
      <w:pPr>
        <w:pageBreakBefore w:val="0"/>
        <w:numPr>
          <w:ilvl w:val="0"/>
          <w:numId w:val="43"/>
        </w:numPr>
        <w:kinsoku/>
        <w:autoSpaceDE w:val="0"/>
        <w:autoSpaceDN w:val="0"/>
        <w:bidi w:val="0"/>
        <w:adjustRightInd w:val="0"/>
        <w:spacing w:line="312" w:lineRule="auto"/>
        <w:ind w:left="5" w:leftChars="0" w:firstLine="415" w:firstLineChars="0"/>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我公司近3年来无因安全事故.质量事故.违规等不良记录被政府有关部门处罚或仍在处罚期限内的情形存在。</w:t>
      </w:r>
    </w:p>
    <w:p>
      <w:pPr>
        <w:pageBreakBefore w:val="0"/>
        <w:numPr>
          <w:ilvl w:val="0"/>
          <w:numId w:val="43"/>
        </w:numPr>
        <w:kinsoku/>
        <w:autoSpaceDE w:val="0"/>
        <w:autoSpaceDN w:val="0"/>
        <w:bidi w:val="0"/>
        <w:adjustRightInd w:val="0"/>
        <w:spacing w:line="312" w:lineRule="auto"/>
        <w:ind w:left="5" w:leftChars="0" w:firstLine="415" w:firstLineChars="0"/>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我公司近3年来无违规违法经营受到责令停产(或停止经营). 吊销生产许可证（或经营许可证）.较大数额罚款等行政处罚的情形存在。</w:t>
      </w:r>
    </w:p>
    <w:p>
      <w:pPr>
        <w:pageBreakBefore w:val="0"/>
        <w:numPr>
          <w:ilvl w:val="0"/>
          <w:numId w:val="43"/>
        </w:numPr>
        <w:kinsoku/>
        <w:autoSpaceDE w:val="0"/>
        <w:autoSpaceDN w:val="0"/>
        <w:bidi w:val="0"/>
        <w:adjustRightInd w:val="0"/>
        <w:spacing w:line="312" w:lineRule="auto"/>
        <w:ind w:left="5" w:leftChars="0" w:firstLine="415" w:firstLineChars="0"/>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我公司无企业财产被查封.冻结或处于破产状态或严重亏损状态等情形存在。</w:t>
      </w:r>
    </w:p>
    <w:p>
      <w:pPr>
        <w:pageBreakBefore w:val="0"/>
        <w:numPr>
          <w:ilvl w:val="0"/>
          <w:numId w:val="43"/>
        </w:numPr>
        <w:kinsoku/>
        <w:autoSpaceDE w:val="0"/>
        <w:autoSpaceDN w:val="0"/>
        <w:bidi w:val="0"/>
        <w:adjustRightInd w:val="0"/>
        <w:spacing w:line="312" w:lineRule="auto"/>
        <w:ind w:left="5" w:leftChars="0" w:firstLine="415" w:firstLineChars="0"/>
        <w:rPr>
          <w:rFonts w:hint="eastAsia" w:ascii="仿宋" w:hAnsi="仿宋" w:eastAsia="仿宋" w:cs="仿宋"/>
          <w:bCs/>
          <w:sz w:val="24"/>
          <w:szCs w:val="24"/>
          <w:highlight w:val="none"/>
          <w:lang w:val="en-US" w:eastAsia="zh-CN"/>
        </w:rPr>
      </w:pPr>
      <w:r>
        <w:rPr>
          <w:rFonts w:hint="eastAsia" w:ascii="仿宋" w:hAnsi="仿宋" w:eastAsia="仿宋" w:cs="仿宋"/>
          <w:b w:val="0"/>
          <w:bCs/>
          <w:kern w:val="2"/>
          <w:sz w:val="24"/>
          <w:szCs w:val="24"/>
          <w:highlight w:val="none"/>
          <w:lang w:val="en-US" w:eastAsia="zh-CN" w:bidi="ar-SA"/>
        </w:rPr>
        <w:t>我公司承诺在磋商过程中，保证不予其他单位围标.串标，不出让磋商资格，不采取不正当手段诋毁.排挤其他供应商，不向招标方.磋商小组行贿。</w:t>
      </w:r>
    </w:p>
    <w:p>
      <w:pPr>
        <w:pageBreakBefore w:val="0"/>
        <w:numPr>
          <w:ilvl w:val="0"/>
          <w:numId w:val="43"/>
        </w:numPr>
        <w:kinsoku/>
        <w:autoSpaceDE w:val="0"/>
        <w:autoSpaceDN w:val="0"/>
        <w:bidi w:val="0"/>
        <w:adjustRightInd w:val="0"/>
        <w:spacing w:line="312" w:lineRule="auto"/>
        <w:ind w:left="5" w:leftChars="0" w:firstLine="415" w:firstLineChars="0"/>
        <w:rPr>
          <w:rFonts w:hint="eastAsia" w:ascii="仿宋" w:hAnsi="仿宋" w:eastAsia="仿宋" w:cs="仿宋"/>
          <w:bCs/>
          <w:sz w:val="24"/>
          <w:szCs w:val="24"/>
          <w:highlight w:val="none"/>
          <w:lang w:val="en-US" w:eastAsia="zh-CN"/>
        </w:rPr>
      </w:pPr>
      <w:r>
        <w:rPr>
          <w:rFonts w:hint="eastAsia" w:ascii="仿宋" w:hAnsi="仿宋" w:eastAsia="仿宋" w:cs="仿宋"/>
          <w:b w:val="0"/>
          <w:bCs/>
          <w:kern w:val="2"/>
          <w:sz w:val="24"/>
          <w:szCs w:val="24"/>
          <w:highlight w:val="none"/>
          <w:lang w:val="en-US" w:eastAsia="zh-CN" w:bidi="ar-SA"/>
        </w:rPr>
        <w:t>我公司承诺在投标</w:t>
      </w:r>
      <w:r>
        <w:rPr>
          <w:rFonts w:hint="eastAsia" w:ascii="仿宋" w:hAnsi="仿宋" w:eastAsia="仿宋" w:cs="仿宋"/>
          <w:bCs/>
          <w:sz w:val="24"/>
          <w:szCs w:val="24"/>
          <w:highlight w:val="none"/>
          <w:lang w:val="en-US" w:eastAsia="zh-CN"/>
        </w:rPr>
        <w:t>过程中不存在单位负责人为同一人或者存在直接控股.管理关系的不同供应商。</w:t>
      </w:r>
    </w:p>
    <w:p>
      <w:pPr>
        <w:pageBreakBefore w:val="0"/>
        <w:numPr>
          <w:ilvl w:val="0"/>
          <w:numId w:val="0"/>
        </w:numPr>
        <w:kinsoku/>
        <w:autoSpaceDE w:val="0"/>
        <w:autoSpaceDN w:val="0"/>
        <w:bidi w:val="0"/>
        <w:adjustRightInd w:val="0"/>
        <w:spacing w:line="312" w:lineRule="auto"/>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以上声明若有违反，一经查实，本公司愿意接受政府有关部门的相应处罚，并愿意承担由此带来的法律后果。</w:t>
      </w:r>
    </w:p>
    <w:p>
      <w:pPr>
        <w:pageBreakBefore w:val="0"/>
        <w:kinsoku/>
        <w:autoSpaceDE w:val="0"/>
        <w:autoSpaceDN w:val="0"/>
        <w:bidi w:val="0"/>
        <w:adjustRightInd w:val="0"/>
        <w:spacing w:line="312" w:lineRule="auto"/>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特此声明！</w:t>
      </w:r>
    </w:p>
    <w:p>
      <w:pPr>
        <w:pageBreakBefore w:val="0"/>
        <w:kinsoku/>
        <w:autoSpaceDE w:val="0"/>
        <w:autoSpaceDN w:val="0"/>
        <w:bidi w:val="0"/>
        <w:adjustRightInd w:val="0"/>
        <w:spacing w:line="312" w:lineRule="auto"/>
        <w:ind w:firstLine="480" w:firstLineChars="200"/>
        <w:rPr>
          <w:rFonts w:hint="eastAsia" w:ascii="仿宋" w:hAnsi="仿宋" w:eastAsia="仿宋" w:cs="仿宋"/>
          <w:bCs/>
          <w:sz w:val="24"/>
          <w:szCs w:val="24"/>
          <w:highlight w:val="none"/>
          <w:lang w:val="en-US" w:eastAsia="zh-CN"/>
        </w:rPr>
      </w:pPr>
    </w:p>
    <w:p>
      <w:pPr>
        <w:pageBreakBefore w:val="0"/>
        <w:kinsoku/>
        <w:autoSpaceDE w:val="0"/>
        <w:autoSpaceDN w:val="0"/>
        <w:bidi w:val="0"/>
        <w:adjustRightInd w:val="0"/>
        <w:spacing w:line="312" w:lineRule="auto"/>
        <w:ind w:firstLine="480" w:firstLineChars="200"/>
        <w:rPr>
          <w:rFonts w:hint="eastAsia" w:ascii="仿宋" w:hAnsi="仿宋" w:eastAsia="仿宋" w:cs="仿宋"/>
          <w:bCs/>
          <w:sz w:val="24"/>
          <w:szCs w:val="24"/>
          <w:highlight w:val="none"/>
          <w:lang w:val="en-US" w:eastAsia="zh-CN"/>
        </w:rPr>
      </w:pP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（盖</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章）</w:t>
      </w: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lang w:val="zh-CN"/>
        </w:rPr>
        <w:t>或委托代理人：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（签字或盖章）</w:t>
      </w: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日期：</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p>
    <w:p>
      <w:pPr>
        <w:pStyle w:val="11"/>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both"/>
        <w:textAlignment w:val="auto"/>
        <w:rPr>
          <w:rFonts w:hint="eastAsia" w:ascii="仿宋" w:hAnsi="仿宋" w:eastAsia="仿宋" w:cs="仿宋"/>
          <w:b/>
          <w:bCs/>
          <w:color w:val="333333"/>
          <w:kern w:val="0"/>
          <w:sz w:val="28"/>
          <w:szCs w:val="28"/>
          <w:highlight w:val="none"/>
          <w:lang w:val="en-US" w:eastAsia="zh-CN" w:bidi="ar-SA"/>
        </w:rPr>
      </w:pPr>
      <w:r>
        <w:rPr>
          <w:rFonts w:hint="eastAsia" w:ascii="仿宋" w:hAnsi="仿宋" w:eastAsia="仿宋" w:cs="仿宋"/>
          <w:b/>
          <w:bCs/>
          <w:color w:val="333333"/>
          <w:kern w:val="0"/>
          <w:sz w:val="28"/>
          <w:szCs w:val="28"/>
          <w:highlight w:val="none"/>
          <w:lang w:val="en-US" w:eastAsia="zh-CN" w:bidi="ar-SA"/>
        </w:rPr>
        <w:br w:type="page"/>
      </w:r>
      <w:r>
        <w:rPr>
          <w:rFonts w:hint="eastAsia" w:ascii="仿宋" w:hAnsi="仿宋" w:eastAsia="仿宋" w:cs="仿宋"/>
          <w:b/>
          <w:bCs/>
          <w:color w:val="333333"/>
          <w:kern w:val="0"/>
          <w:sz w:val="28"/>
          <w:szCs w:val="28"/>
          <w:highlight w:val="none"/>
          <w:lang w:val="en-US" w:eastAsia="zh-CN" w:bidi="ar-SA"/>
        </w:rPr>
        <w:t>附件三：申请人关联关系书面声明</w:t>
      </w:r>
    </w:p>
    <w:p>
      <w:pPr>
        <w:pStyle w:val="12"/>
        <w:pageBreakBefore w:val="0"/>
        <w:kinsoku/>
        <w:bidi w:val="0"/>
        <w:spacing w:line="312" w:lineRule="auto"/>
        <w:rPr>
          <w:rFonts w:hint="eastAsia" w:ascii="仿宋" w:hAnsi="仿宋" w:eastAsia="仿宋" w:cs="仿宋"/>
          <w:highlight w:val="none"/>
          <w:lang w:val="en-US" w:eastAsia="zh-CN"/>
        </w:rPr>
      </w:pPr>
    </w:p>
    <w:p>
      <w:pPr>
        <w:pStyle w:val="12"/>
        <w:pageBreakBefore w:val="0"/>
        <w:kinsoku/>
        <w:bidi w:val="0"/>
        <w:spacing w:line="312" w:lineRule="auto"/>
        <w:ind w:left="0" w:leftChars="0" w:firstLine="0" w:firstLineChars="0"/>
        <w:jc w:val="center"/>
        <w:rPr>
          <w:rFonts w:hint="eastAsia" w:ascii="仿宋" w:hAnsi="仿宋" w:eastAsia="仿宋" w:cs="仿宋"/>
          <w:b/>
          <w:bCs/>
          <w:color w:val="333333"/>
          <w:kern w:val="0"/>
          <w:sz w:val="28"/>
          <w:szCs w:val="28"/>
          <w:highlight w:val="none"/>
          <w:lang w:val="en-US" w:eastAsia="zh-CN" w:bidi="ar-SA"/>
        </w:rPr>
      </w:pPr>
      <w:r>
        <w:rPr>
          <w:rFonts w:hint="eastAsia" w:ascii="仿宋" w:hAnsi="仿宋" w:eastAsia="仿宋" w:cs="仿宋"/>
          <w:b/>
          <w:bCs/>
          <w:color w:val="333333"/>
          <w:kern w:val="0"/>
          <w:sz w:val="28"/>
          <w:szCs w:val="28"/>
          <w:highlight w:val="none"/>
          <w:lang w:val="en-US" w:eastAsia="zh-CN" w:bidi="ar-SA"/>
        </w:rPr>
        <w:t>申请人关联关系书面声明</w:t>
      </w:r>
    </w:p>
    <w:p>
      <w:pPr>
        <w:pageBreakBefore w:val="0"/>
        <w:kinsoku/>
        <w:bidi w:val="0"/>
        <w:spacing w:line="312" w:lineRule="auto"/>
        <w:rPr>
          <w:rFonts w:hint="eastAsia" w:ascii="仿宋" w:hAnsi="仿宋" w:eastAsia="仿宋" w:cs="仿宋"/>
          <w:highlight w:val="none"/>
          <w:lang w:val="en-US" w:eastAsia="zh-CN"/>
        </w:rPr>
      </w:pPr>
    </w:p>
    <w:p>
      <w:pPr>
        <w:pageBreakBefore w:val="0"/>
        <w:kinsoku/>
        <w:bidi w:val="0"/>
        <w:spacing w:line="312" w:lineRule="auto"/>
        <w:rPr>
          <w:rFonts w:hint="eastAsia" w:ascii="仿宋" w:hAnsi="仿宋" w:eastAsia="仿宋" w:cs="仿宋"/>
          <w:highlight w:val="none"/>
          <w:lang w:val="en-US" w:eastAsia="zh-CN"/>
        </w:rPr>
      </w:pPr>
    </w:p>
    <w:p>
      <w:pPr>
        <w:pStyle w:val="2"/>
        <w:pageBreakBefore w:val="0"/>
        <w:numPr>
          <w:ilvl w:val="0"/>
          <w:numId w:val="44"/>
        </w:numPr>
        <w:kinsoku/>
        <w:bidi w:val="0"/>
        <w:spacing w:line="312" w:lineRule="auto"/>
        <w:ind w:firstLine="480" w:firstLineChars="200"/>
        <w:rPr>
          <w:rFonts w:hint="eastAsia" w:ascii="仿宋" w:hAnsi="仿宋" w:eastAsia="仿宋" w:cs="仿宋"/>
          <w:color w:val="000000"/>
          <w:kern w:val="2"/>
          <w:sz w:val="24"/>
          <w:szCs w:val="24"/>
          <w:highlight w:val="none"/>
          <w:u w:val="single"/>
          <w:lang w:val="en-US" w:eastAsia="zh-CN" w:bidi="ar-SA"/>
        </w:rPr>
      </w:pPr>
      <w:r>
        <w:rPr>
          <w:rFonts w:hint="eastAsia" w:ascii="仿宋" w:hAnsi="仿宋" w:eastAsia="仿宋" w:cs="仿宋"/>
          <w:color w:val="000000"/>
          <w:kern w:val="2"/>
          <w:sz w:val="24"/>
          <w:szCs w:val="24"/>
          <w:highlight w:val="none"/>
          <w:lang w:val="en-US" w:eastAsia="zh-CN" w:bidi="ar-SA"/>
        </w:rPr>
        <w:t>申请人单位负责人在其他单位任职情况：</w:t>
      </w:r>
      <w:r>
        <w:rPr>
          <w:rFonts w:hint="eastAsia" w:ascii="仿宋" w:hAnsi="仿宋" w:eastAsia="仿宋" w:cs="仿宋"/>
          <w:color w:val="000000"/>
          <w:kern w:val="2"/>
          <w:sz w:val="24"/>
          <w:szCs w:val="24"/>
          <w:highlight w:val="none"/>
          <w:u w:val="single"/>
          <w:lang w:val="en-US" w:eastAsia="zh-CN" w:bidi="ar-SA"/>
        </w:rPr>
        <w:t xml:space="preserve">              </w:t>
      </w:r>
    </w:p>
    <w:p>
      <w:pPr>
        <w:pageBreakBefore w:val="0"/>
        <w:numPr>
          <w:ilvl w:val="0"/>
          <w:numId w:val="0"/>
        </w:numPr>
        <w:bidi w:val="0"/>
        <w:spacing w:line="312" w:lineRule="auto"/>
        <w:rPr>
          <w:rFonts w:hint="eastAsia" w:ascii="仿宋" w:hAnsi="仿宋" w:eastAsia="仿宋" w:cs="仿宋"/>
          <w:highlight w:val="none"/>
          <w:lang w:val="en-US" w:eastAsia="zh-CN"/>
        </w:rPr>
      </w:pPr>
    </w:p>
    <w:p>
      <w:pPr>
        <w:pStyle w:val="2"/>
        <w:pageBreakBefore w:val="0"/>
        <w:kinsoku/>
        <w:bidi w:val="0"/>
        <w:spacing w:line="312" w:lineRule="auto"/>
        <w:ind w:firstLine="480" w:firstLineChars="20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2、申请人控股关系说明</w:t>
      </w:r>
    </w:p>
    <w:p>
      <w:pPr>
        <w:pStyle w:val="2"/>
        <w:pageBreakBefore w:val="0"/>
        <w:kinsoku/>
        <w:bidi w:val="0"/>
        <w:spacing w:line="312" w:lineRule="auto"/>
        <w:ind w:firstLine="480" w:firstLineChars="20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 xml:space="preserve">申请人下属控股单位： </w:t>
      </w:r>
      <w:r>
        <w:rPr>
          <w:rFonts w:hint="eastAsia" w:ascii="仿宋" w:hAnsi="仿宋" w:eastAsia="仿宋" w:cs="仿宋"/>
          <w:color w:val="000000"/>
          <w:kern w:val="2"/>
          <w:sz w:val="24"/>
          <w:szCs w:val="24"/>
          <w:highlight w:val="none"/>
          <w:u w:val="single"/>
          <w:lang w:val="en-US" w:eastAsia="zh-CN" w:bidi="ar-SA"/>
        </w:rPr>
        <w:t xml:space="preserve">                 </w:t>
      </w:r>
    </w:p>
    <w:p>
      <w:pPr>
        <w:pStyle w:val="2"/>
        <w:pageBreakBefore w:val="0"/>
        <w:kinsoku/>
        <w:bidi w:val="0"/>
        <w:spacing w:line="312" w:lineRule="auto"/>
        <w:ind w:firstLine="480" w:firstLineChars="20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申请人上属被控股单位：</w:t>
      </w:r>
      <w:r>
        <w:rPr>
          <w:rFonts w:hint="eastAsia" w:ascii="仿宋" w:hAnsi="仿宋" w:eastAsia="仿宋" w:cs="仿宋"/>
          <w:color w:val="000000"/>
          <w:kern w:val="2"/>
          <w:sz w:val="24"/>
          <w:szCs w:val="24"/>
          <w:highlight w:val="none"/>
          <w:u w:val="single"/>
          <w:lang w:val="en-US" w:eastAsia="zh-CN" w:bidi="ar-SA"/>
        </w:rPr>
        <w:t xml:space="preserve">                </w:t>
      </w:r>
    </w:p>
    <w:p>
      <w:pPr>
        <w:pStyle w:val="2"/>
        <w:pageBreakBefore w:val="0"/>
        <w:kinsoku/>
        <w:bidi w:val="0"/>
        <w:spacing w:line="312" w:lineRule="auto"/>
        <w:ind w:firstLine="480" w:firstLineChars="200"/>
        <w:rPr>
          <w:rFonts w:hint="eastAsia" w:ascii="仿宋" w:hAnsi="仿宋" w:eastAsia="仿宋" w:cs="仿宋"/>
          <w:color w:val="000000"/>
          <w:kern w:val="2"/>
          <w:sz w:val="24"/>
          <w:szCs w:val="24"/>
          <w:highlight w:val="none"/>
          <w:lang w:val="en-US" w:eastAsia="zh-CN" w:bidi="ar-SA"/>
        </w:rPr>
      </w:pPr>
    </w:p>
    <w:p>
      <w:pPr>
        <w:pStyle w:val="2"/>
        <w:pageBreakBefore w:val="0"/>
        <w:kinsoku/>
        <w:bidi w:val="0"/>
        <w:spacing w:line="312" w:lineRule="auto"/>
        <w:ind w:firstLine="480" w:firstLineChars="20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3、申请人管理关系说明</w:t>
      </w:r>
    </w:p>
    <w:p>
      <w:pPr>
        <w:pStyle w:val="2"/>
        <w:pageBreakBefore w:val="0"/>
        <w:kinsoku/>
        <w:bidi w:val="0"/>
        <w:spacing w:line="312" w:lineRule="auto"/>
        <w:ind w:firstLine="480" w:firstLineChars="200"/>
        <w:rPr>
          <w:rFonts w:hint="eastAsia" w:ascii="仿宋" w:hAnsi="仿宋" w:eastAsia="仿宋" w:cs="仿宋"/>
          <w:color w:val="000000"/>
          <w:kern w:val="2"/>
          <w:sz w:val="24"/>
          <w:szCs w:val="24"/>
          <w:highlight w:val="none"/>
          <w:u w:val="single"/>
          <w:lang w:val="en-US" w:eastAsia="zh-CN" w:bidi="ar-SA"/>
        </w:rPr>
      </w:pPr>
      <w:r>
        <w:rPr>
          <w:rFonts w:hint="eastAsia" w:ascii="仿宋" w:hAnsi="仿宋" w:eastAsia="仿宋" w:cs="仿宋"/>
          <w:color w:val="000000"/>
          <w:kern w:val="2"/>
          <w:sz w:val="24"/>
          <w:szCs w:val="24"/>
          <w:highlight w:val="none"/>
          <w:lang w:val="en-US" w:eastAsia="zh-CN" w:bidi="ar-SA"/>
        </w:rPr>
        <w:t xml:space="preserve">申请人下属管理单位： </w:t>
      </w:r>
      <w:r>
        <w:rPr>
          <w:rFonts w:hint="eastAsia" w:ascii="仿宋" w:hAnsi="仿宋" w:eastAsia="仿宋" w:cs="仿宋"/>
          <w:color w:val="000000"/>
          <w:kern w:val="2"/>
          <w:sz w:val="24"/>
          <w:szCs w:val="24"/>
          <w:highlight w:val="none"/>
          <w:u w:val="single"/>
          <w:lang w:val="en-US" w:eastAsia="zh-CN" w:bidi="ar-SA"/>
        </w:rPr>
        <w:t xml:space="preserve">                   </w:t>
      </w:r>
    </w:p>
    <w:p>
      <w:pPr>
        <w:pStyle w:val="2"/>
        <w:pageBreakBefore w:val="0"/>
        <w:kinsoku/>
        <w:bidi w:val="0"/>
        <w:spacing w:line="312" w:lineRule="auto"/>
        <w:ind w:firstLine="480" w:firstLineChars="20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管理职责（行政、人事等）：</w:t>
      </w:r>
      <w:r>
        <w:rPr>
          <w:rFonts w:hint="eastAsia" w:ascii="仿宋" w:hAnsi="仿宋" w:eastAsia="仿宋" w:cs="仿宋"/>
          <w:color w:val="000000"/>
          <w:kern w:val="2"/>
          <w:sz w:val="24"/>
          <w:szCs w:val="24"/>
          <w:highlight w:val="none"/>
          <w:u w:val="single"/>
          <w:lang w:val="en-US" w:eastAsia="zh-CN" w:bidi="ar-SA"/>
        </w:rPr>
        <w:t xml:space="preserve">              </w:t>
      </w:r>
    </w:p>
    <w:p>
      <w:pPr>
        <w:pStyle w:val="2"/>
        <w:pageBreakBefore w:val="0"/>
        <w:kinsoku/>
        <w:bidi w:val="0"/>
        <w:spacing w:line="312" w:lineRule="auto"/>
        <w:ind w:firstLine="480" w:firstLineChars="20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 xml:space="preserve">申请人上属被管理管理： </w:t>
      </w:r>
      <w:r>
        <w:rPr>
          <w:rFonts w:hint="eastAsia" w:ascii="仿宋" w:hAnsi="仿宋" w:eastAsia="仿宋" w:cs="仿宋"/>
          <w:color w:val="000000"/>
          <w:kern w:val="2"/>
          <w:sz w:val="24"/>
          <w:szCs w:val="24"/>
          <w:highlight w:val="none"/>
          <w:u w:val="single"/>
          <w:lang w:val="en-US" w:eastAsia="zh-CN" w:bidi="ar-SA"/>
        </w:rPr>
        <w:t xml:space="preserve">                 </w:t>
      </w:r>
    </w:p>
    <w:p>
      <w:pPr>
        <w:pStyle w:val="2"/>
        <w:pageBreakBefore w:val="0"/>
        <w:kinsoku/>
        <w:bidi w:val="0"/>
        <w:spacing w:line="312" w:lineRule="auto"/>
        <w:ind w:firstLine="480" w:firstLineChars="20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管理职责（行政、人事等）：</w:t>
      </w:r>
      <w:r>
        <w:rPr>
          <w:rFonts w:hint="eastAsia" w:ascii="仿宋" w:hAnsi="仿宋" w:eastAsia="仿宋" w:cs="仿宋"/>
          <w:color w:val="000000"/>
          <w:kern w:val="2"/>
          <w:sz w:val="24"/>
          <w:szCs w:val="24"/>
          <w:highlight w:val="none"/>
          <w:u w:val="single"/>
          <w:lang w:val="en-US" w:eastAsia="zh-CN" w:bidi="ar-SA"/>
        </w:rPr>
        <w:t xml:space="preserve">              </w:t>
      </w:r>
    </w:p>
    <w:p>
      <w:pPr>
        <w:pStyle w:val="2"/>
        <w:pageBreakBefore w:val="0"/>
        <w:kinsoku/>
        <w:bidi w:val="0"/>
        <w:spacing w:line="312" w:lineRule="auto"/>
        <w:ind w:firstLine="480" w:firstLineChars="200"/>
        <w:rPr>
          <w:rFonts w:hint="eastAsia" w:ascii="仿宋" w:hAnsi="仿宋" w:eastAsia="仿宋" w:cs="仿宋"/>
          <w:color w:val="000000"/>
          <w:kern w:val="2"/>
          <w:sz w:val="24"/>
          <w:szCs w:val="24"/>
          <w:highlight w:val="none"/>
          <w:lang w:val="en-US" w:eastAsia="zh-CN" w:bidi="ar-SA"/>
        </w:rPr>
      </w:pPr>
    </w:p>
    <w:p>
      <w:pPr>
        <w:pStyle w:val="2"/>
        <w:pageBreakBefore w:val="0"/>
        <w:kinsoku/>
        <w:bidi w:val="0"/>
        <w:spacing w:line="312" w:lineRule="auto"/>
        <w:ind w:firstLine="480" w:firstLineChars="20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我单位承诺以上说明真实有效，无虚假内容或隐瞒。</w:t>
      </w:r>
    </w:p>
    <w:p>
      <w:pPr>
        <w:pageBreakBefore w:val="0"/>
        <w:kinsoku/>
        <w:bidi w:val="0"/>
        <w:spacing w:line="312" w:lineRule="auto"/>
        <w:ind w:firstLine="4080" w:firstLineChars="1700"/>
        <w:rPr>
          <w:rFonts w:hint="eastAsia" w:ascii="仿宋" w:hAnsi="仿宋" w:eastAsia="仿宋" w:cs="仿宋"/>
          <w:sz w:val="24"/>
          <w:szCs w:val="24"/>
          <w:highlight w:val="none"/>
          <w:lang w:val="zh-CN"/>
        </w:rPr>
      </w:pPr>
    </w:p>
    <w:p>
      <w:pPr>
        <w:pageBreakBefore w:val="0"/>
        <w:kinsoku/>
        <w:bidi w:val="0"/>
        <w:spacing w:line="312" w:lineRule="auto"/>
        <w:rPr>
          <w:rFonts w:hint="eastAsia" w:ascii="仿宋" w:hAnsi="仿宋" w:eastAsia="仿宋" w:cs="仿宋"/>
          <w:sz w:val="24"/>
          <w:highlight w:val="none"/>
          <w:lang w:val="zh-CN"/>
        </w:rPr>
      </w:pP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（盖</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章）</w:t>
      </w: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lang w:val="zh-CN"/>
        </w:rPr>
        <w:t>或委托代理人：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（签字或盖章）</w:t>
      </w:r>
    </w:p>
    <w:p>
      <w:pPr>
        <w:pageBreakBefore w:val="0"/>
        <w:kinsoku/>
        <w:bidi w:val="0"/>
        <w:spacing w:line="312" w:lineRule="auto"/>
        <w:ind w:firstLine="4080" w:firstLineChars="1700"/>
        <w:rPr>
          <w:rFonts w:hint="eastAsia" w:ascii="仿宋" w:hAnsi="仿宋" w:eastAsia="仿宋" w:cs="仿宋"/>
          <w:highlight w:val="none"/>
          <w:lang w:val="en-US" w:eastAsia="zh-CN"/>
        </w:rPr>
      </w:pPr>
      <w:r>
        <w:rPr>
          <w:rFonts w:hint="eastAsia" w:ascii="仿宋" w:hAnsi="仿宋" w:eastAsia="仿宋" w:cs="仿宋"/>
          <w:sz w:val="24"/>
          <w:highlight w:val="none"/>
          <w:lang w:val="zh-CN"/>
        </w:rPr>
        <w:t>日期：</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p>
    <w:p>
      <w:pPr>
        <w:pageBreakBefore w:val="0"/>
        <w:bidi w:val="0"/>
        <w:spacing w:line="312" w:lineRule="auto"/>
        <w:rPr>
          <w:rFonts w:hint="eastAsia" w:ascii="仿宋" w:hAnsi="仿宋" w:eastAsia="仿宋" w:cs="仿宋"/>
          <w:b/>
          <w:sz w:val="28"/>
          <w:szCs w:val="28"/>
          <w:highlight w:val="none"/>
        </w:rPr>
      </w:pPr>
      <w:r>
        <w:rPr>
          <w:rFonts w:hint="eastAsia" w:ascii="仿宋" w:hAnsi="仿宋" w:eastAsia="仿宋" w:cs="仿宋"/>
          <w:b/>
          <w:sz w:val="28"/>
          <w:szCs w:val="28"/>
          <w:highlight w:val="none"/>
        </w:rPr>
        <w:br w:type="page"/>
      </w:r>
    </w:p>
    <w:p>
      <w:pPr>
        <w:pageBreakBefore w:val="0"/>
        <w:numPr>
          <w:ilvl w:val="0"/>
          <w:numId w:val="39"/>
        </w:numPr>
        <w:kinsoku/>
        <w:overflowPunct/>
        <w:bidi w:val="0"/>
        <w:spacing w:line="312" w:lineRule="auto"/>
        <w:ind w:firstLine="0"/>
        <w:jc w:val="center"/>
        <w:outlineLvl w:val="0"/>
        <w:rPr>
          <w:rFonts w:hint="eastAsia" w:ascii="仿宋" w:hAnsi="仿宋" w:eastAsia="仿宋" w:cs="仿宋"/>
          <w:b/>
          <w:color w:val="000000"/>
          <w:sz w:val="36"/>
          <w:szCs w:val="36"/>
          <w:highlight w:val="none"/>
        </w:rPr>
      </w:pPr>
      <w:r>
        <w:rPr>
          <w:rFonts w:hint="eastAsia" w:ascii="仿宋" w:hAnsi="仿宋" w:eastAsia="仿宋" w:cs="仿宋"/>
          <w:b/>
          <w:color w:val="000000"/>
          <w:sz w:val="36"/>
          <w:szCs w:val="36"/>
          <w:highlight w:val="none"/>
          <w:lang w:val="en-US" w:eastAsia="zh-CN"/>
        </w:rPr>
        <w:t>服务及商务</w:t>
      </w:r>
      <w:r>
        <w:rPr>
          <w:rFonts w:hint="eastAsia" w:ascii="仿宋" w:hAnsi="仿宋" w:eastAsia="仿宋" w:cs="仿宋"/>
          <w:b/>
          <w:color w:val="000000"/>
          <w:sz w:val="36"/>
          <w:szCs w:val="36"/>
          <w:highlight w:val="none"/>
        </w:rPr>
        <w:t>偏离表</w:t>
      </w:r>
    </w:p>
    <w:p>
      <w:pPr>
        <w:pStyle w:val="2"/>
        <w:pageBreakBefore w:val="0"/>
        <w:bidi w:val="0"/>
        <w:spacing w:line="312" w:lineRule="auto"/>
        <w:rPr>
          <w:rFonts w:hint="eastAsia" w:ascii="仿宋" w:hAnsi="仿宋" w:eastAsia="仿宋" w:cs="仿宋"/>
          <w:highlight w:val="none"/>
        </w:rPr>
      </w:pPr>
    </w:p>
    <w:p>
      <w:pPr>
        <w:pageBreakBefore w:val="0"/>
        <w:kinsoku/>
        <w:bidi w:val="0"/>
        <w:spacing w:line="312" w:lineRule="auto"/>
        <w:ind w:firstLine="480" w:firstLineChars="200"/>
        <w:rPr>
          <w:rFonts w:hint="eastAsia" w:ascii="仿宋" w:hAnsi="仿宋" w:eastAsia="仿宋" w:cs="仿宋"/>
          <w:sz w:val="24"/>
          <w:szCs w:val="24"/>
          <w:highlight w:val="none"/>
          <w:u w:val="single"/>
        </w:rPr>
      </w:pPr>
      <w:bookmarkStart w:id="47" w:name="_Toc47418731"/>
      <w:bookmarkStart w:id="48" w:name="_Toc47261885"/>
      <w:bookmarkStart w:id="49" w:name="_Toc48791235"/>
      <w:bookmarkStart w:id="50" w:name="_Toc47418255"/>
      <w:bookmarkStart w:id="51" w:name="_Toc47418938"/>
      <w:bookmarkStart w:id="52" w:name="_Toc48995851"/>
      <w:bookmarkStart w:id="53" w:name="_Toc49019236"/>
      <w:bookmarkStart w:id="54" w:name="_Toc47262069"/>
      <w:bookmarkStart w:id="55" w:name="_Toc193187104"/>
      <w:bookmarkStart w:id="56" w:name="_Toc188808839"/>
      <w:bookmarkStart w:id="57" w:name="_Toc194663925"/>
      <w:bookmarkStart w:id="58" w:name="_Toc47261690"/>
      <w:bookmarkStart w:id="59" w:name="_Toc193126888"/>
      <w:bookmarkStart w:id="60" w:name="_Toc49019497"/>
      <w:r>
        <w:rPr>
          <w:rFonts w:hint="eastAsia" w:ascii="仿宋" w:hAnsi="仿宋" w:eastAsia="仿宋" w:cs="仿宋"/>
          <w:sz w:val="24"/>
          <w:szCs w:val="24"/>
          <w:highlight w:val="none"/>
        </w:rPr>
        <w:t>项目名称：</w:t>
      </w:r>
    </w:p>
    <w:p>
      <w:pPr>
        <w:pageBreakBefore w:val="0"/>
        <w:kinsoku/>
        <w:bidi w:val="0"/>
        <w:spacing w:line="312"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项目编号：</w:t>
      </w:r>
    </w:p>
    <w:tbl>
      <w:tblPr>
        <w:tblStyle w:val="38"/>
        <w:tblW w:w="953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368"/>
        <w:gridCol w:w="2326"/>
        <w:gridCol w:w="2345"/>
        <w:gridCol w:w="1433"/>
        <w:gridCol w:w="124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815" w:type="dxa"/>
            <w:tcMar>
              <w:top w:w="57" w:type="dxa"/>
              <w:left w:w="28" w:type="dxa"/>
              <w:bottom w:w="57" w:type="dxa"/>
              <w:right w:w="28" w:type="dxa"/>
            </w:tcMar>
            <w:vAlign w:val="center"/>
          </w:tcPr>
          <w:p>
            <w:pPr>
              <w:pageBreakBefore w:val="0"/>
              <w:bidi w:val="0"/>
              <w:spacing w:line="312"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368" w:type="dxa"/>
            <w:tcMar>
              <w:top w:w="57" w:type="dxa"/>
              <w:left w:w="28" w:type="dxa"/>
              <w:bottom w:w="57" w:type="dxa"/>
              <w:right w:w="28" w:type="dxa"/>
            </w:tcMar>
            <w:vAlign w:val="center"/>
          </w:tcPr>
          <w:p>
            <w:pPr>
              <w:pageBreakBefore w:val="0"/>
              <w:bidi w:val="0"/>
              <w:spacing w:line="312" w:lineRule="auto"/>
              <w:jc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磋商文件</w:t>
            </w:r>
          </w:p>
          <w:p>
            <w:pPr>
              <w:pageBreakBefore w:val="0"/>
              <w:bidi w:val="0"/>
              <w:spacing w:line="312" w:lineRule="auto"/>
              <w:jc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条目号</w:t>
            </w:r>
          </w:p>
        </w:tc>
        <w:tc>
          <w:tcPr>
            <w:tcW w:w="2326" w:type="dxa"/>
            <w:tcMar>
              <w:top w:w="57" w:type="dxa"/>
              <w:left w:w="28" w:type="dxa"/>
              <w:bottom w:w="57" w:type="dxa"/>
              <w:right w:w="28" w:type="dxa"/>
            </w:tcMar>
            <w:vAlign w:val="center"/>
          </w:tcPr>
          <w:p>
            <w:pPr>
              <w:pageBreakBefore w:val="0"/>
              <w:bidi w:val="0"/>
              <w:spacing w:line="312"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竞争性磋商文件</w:t>
            </w:r>
          </w:p>
          <w:p>
            <w:pPr>
              <w:pageBreakBefore w:val="0"/>
              <w:bidi w:val="0"/>
              <w:spacing w:line="312"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服务、商务要求</w:t>
            </w:r>
          </w:p>
        </w:tc>
        <w:tc>
          <w:tcPr>
            <w:tcW w:w="2345" w:type="dxa"/>
            <w:tcMar>
              <w:top w:w="57" w:type="dxa"/>
              <w:left w:w="28" w:type="dxa"/>
              <w:bottom w:w="57" w:type="dxa"/>
              <w:right w:w="28" w:type="dxa"/>
            </w:tcMar>
            <w:vAlign w:val="center"/>
          </w:tcPr>
          <w:p>
            <w:pPr>
              <w:pageBreakBefore w:val="0"/>
              <w:bidi w:val="0"/>
              <w:spacing w:line="312"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竞争性磋商响应文件</w:t>
            </w:r>
          </w:p>
          <w:p>
            <w:pPr>
              <w:pageBreakBefore w:val="0"/>
              <w:bidi w:val="0"/>
              <w:spacing w:line="312"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服务、商务响应</w:t>
            </w:r>
          </w:p>
        </w:tc>
        <w:tc>
          <w:tcPr>
            <w:tcW w:w="1433" w:type="dxa"/>
            <w:tcMar>
              <w:top w:w="57" w:type="dxa"/>
              <w:left w:w="28" w:type="dxa"/>
              <w:bottom w:w="57" w:type="dxa"/>
              <w:right w:w="28" w:type="dxa"/>
            </w:tcMar>
            <w:vAlign w:val="center"/>
          </w:tcPr>
          <w:p>
            <w:pPr>
              <w:pageBreakBefore w:val="0"/>
              <w:bidi w:val="0"/>
              <w:spacing w:line="312"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偏离情况</w:t>
            </w:r>
          </w:p>
        </w:tc>
        <w:tc>
          <w:tcPr>
            <w:tcW w:w="1249" w:type="dxa"/>
            <w:vAlign w:val="center"/>
          </w:tcPr>
          <w:p>
            <w:pPr>
              <w:pageBreakBefore w:val="0"/>
              <w:bidi w:val="0"/>
              <w:spacing w:line="312"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5" w:type="dxa"/>
            <w:tcBorders>
              <w:bottom w:val="single" w:color="auto" w:sz="4" w:space="0"/>
            </w:tcBorders>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368" w:type="dxa"/>
            <w:tcBorders>
              <w:bottom w:val="single" w:color="auto" w:sz="4" w:space="0"/>
            </w:tcBorders>
            <w:tcMar>
              <w:top w:w="57" w:type="dxa"/>
              <w:left w:w="28" w:type="dxa"/>
              <w:bottom w:w="57" w:type="dxa"/>
              <w:right w:w="28" w:type="dxa"/>
            </w:tcMar>
            <w:vAlign w:val="center"/>
          </w:tcPr>
          <w:p>
            <w:pPr>
              <w:pageBreakBefore w:val="0"/>
              <w:bidi w:val="0"/>
              <w:spacing w:line="312" w:lineRule="auto"/>
              <w:jc w:val="center"/>
              <w:rPr>
                <w:rFonts w:hint="eastAsia" w:ascii="仿宋" w:hAnsi="仿宋" w:eastAsia="仿宋" w:cs="仿宋"/>
                <w:b/>
                <w:color w:val="auto"/>
                <w:sz w:val="24"/>
                <w:szCs w:val="24"/>
              </w:rPr>
            </w:pPr>
          </w:p>
        </w:tc>
        <w:tc>
          <w:tcPr>
            <w:tcW w:w="2326" w:type="dxa"/>
            <w:tcBorders>
              <w:bottom w:val="single" w:color="auto" w:sz="4" w:space="0"/>
            </w:tcBorders>
            <w:tcMar>
              <w:top w:w="57" w:type="dxa"/>
              <w:left w:w="28" w:type="dxa"/>
              <w:bottom w:w="57" w:type="dxa"/>
              <w:right w:w="28" w:type="dxa"/>
            </w:tcMar>
            <w:vAlign w:val="center"/>
          </w:tcPr>
          <w:p>
            <w:pPr>
              <w:pageBreakBefore w:val="0"/>
              <w:bidi w:val="0"/>
              <w:spacing w:line="312" w:lineRule="auto"/>
              <w:jc w:val="center"/>
              <w:rPr>
                <w:rFonts w:hint="eastAsia" w:ascii="仿宋" w:hAnsi="仿宋" w:eastAsia="仿宋" w:cs="仿宋"/>
                <w:b/>
                <w:color w:val="auto"/>
                <w:sz w:val="24"/>
                <w:szCs w:val="24"/>
              </w:rPr>
            </w:pPr>
          </w:p>
        </w:tc>
        <w:tc>
          <w:tcPr>
            <w:tcW w:w="2345" w:type="dxa"/>
            <w:tcBorders>
              <w:bottom w:val="single" w:color="auto" w:sz="4" w:space="0"/>
            </w:tcBorders>
            <w:tcMar>
              <w:top w:w="57" w:type="dxa"/>
              <w:left w:w="28" w:type="dxa"/>
              <w:bottom w:w="57" w:type="dxa"/>
              <w:right w:w="28" w:type="dxa"/>
            </w:tcMar>
            <w:vAlign w:val="center"/>
          </w:tcPr>
          <w:p>
            <w:pPr>
              <w:pageBreakBefore w:val="0"/>
              <w:bidi w:val="0"/>
              <w:spacing w:line="312" w:lineRule="auto"/>
              <w:jc w:val="center"/>
              <w:rPr>
                <w:rFonts w:hint="eastAsia" w:ascii="仿宋" w:hAnsi="仿宋" w:eastAsia="仿宋" w:cs="仿宋"/>
                <w:b/>
                <w:color w:val="auto"/>
                <w:sz w:val="24"/>
                <w:szCs w:val="24"/>
              </w:rPr>
            </w:pPr>
          </w:p>
        </w:tc>
        <w:tc>
          <w:tcPr>
            <w:tcW w:w="1433" w:type="dxa"/>
            <w:tcBorders>
              <w:bottom w:val="single" w:color="auto" w:sz="4" w:space="0"/>
            </w:tcBorders>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249" w:type="dxa"/>
            <w:tcBorders>
              <w:bottom w:val="single" w:color="auto" w:sz="4" w:space="0"/>
            </w:tcBorders>
            <w:vAlign w:val="center"/>
          </w:tcPr>
          <w:p>
            <w:pPr>
              <w:pageBreakBefore w:val="0"/>
              <w:bidi w:val="0"/>
              <w:spacing w:line="312" w:lineRule="auto"/>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5" w:type="dxa"/>
            <w:tcBorders>
              <w:bottom w:val="single" w:color="auto" w:sz="4" w:space="0"/>
            </w:tcBorders>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368" w:type="dxa"/>
            <w:tcBorders>
              <w:bottom w:val="single" w:color="auto" w:sz="4" w:space="0"/>
            </w:tcBorders>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326" w:type="dxa"/>
            <w:tcBorders>
              <w:bottom w:val="single" w:color="auto" w:sz="4" w:space="0"/>
            </w:tcBorders>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345" w:type="dxa"/>
            <w:tcBorders>
              <w:bottom w:val="single" w:color="auto" w:sz="4" w:space="0"/>
            </w:tcBorders>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433" w:type="dxa"/>
            <w:tcBorders>
              <w:bottom w:val="single" w:color="auto" w:sz="4" w:space="0"/>
            </w:tcBorders>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249" w:type="dxa"/>
            <w:tcBorders>
              <w:bottom w:val="single" w:color="auto" w:sz="4" w:space="0"/>
            </w:tcBorders>
            <w:vAlign w:val="center"/>
          </w:tcPr>
          <w:p>
            <w:pPr>
              <w:pageBreakBefore w:val="0"/>
              <w:bidi w:val="0"/>
              <w:spacing w:line="312" w:lineRule="auto"/>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15"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368"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326"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345"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433"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249" w:type="dxa"/>
            <w:vAlign w:val="center"/>
          </w:tcPr>
          <w:p>
            <w:pPr>
              <w:pageBreakBefore w:val="0"/>
              <w:bidi w:val="0"/>
              <w:spacing w:line="312" w:lineRule="auto"/>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15"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368"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326"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345"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433"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249" w:type="dxa"/>
            <w:vAlign w:val="center"/>
          </w:tcPr>
          <w:p>
            <w:pPr>
              <w:pageBreakBefore w:val="0"/>
              <w:bidi w:val="0"/>
              <w:spacing w:line="312" w:lineRule="auto"/>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15"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368"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326"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345"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433"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249" w:type="dxa"/>
            <w:vAlign w:val="center"/>
          </w:tcPr>
          <w:p>
            <w:pPr>
              <w:pageBreakBefore w:val="0"/>
              <w:bidi w:val="0"/>
              <w:spacing w:line="312" w:lineRule="auto"/>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15"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368"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326"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345"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433"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249" w:type="dxa"/>
            <w:vAlign w:val="center"/>
          </w:tcPr>
          <w:p>
            <w:pPr>
              <w:pageBreakBefore w:val="0"/>
              <w:bidi w:val="0"/>
              <w:spacing w:line="312" w:lineRule="auto"/>
              <w:rPr>
                <w:rFonts w:hint="eastAsia" w:ascii="仿宋" w:hAnsi="仿宋" w:eastAsia="仿宋" w:cs="仿宋"/>
                <w:color w:val="auto"/>
                <w:sz w:val="24"/>
                <w:szCs w:val="24"/>
              </w:rPr>
            </w:pPr>
          </w:p>
        </w:tc>
      </w:tr>
    </w:tbl>
    <w:p>
      <w:pPr>
        <w:pStyle w:val="45"/>
        <w:pageBreakBefore w:val="0"/>
        <w:bidi w:val="0"/>
        <w:spacing w:line="312" w:lineRule="auto"/>
        <w:rPr>
          <w:rFonts w:hint="eastAsia" w:ascii="仿宋" w:hAnsi="仿宋" w:eastAsia="仿宋" w:cs="仿宋"/>
        </w:rPr>
      </w:pPr>
    </w:p>
    <w:p>
      <w:pPr>
        <w:pageBreakBefore w:val="0"/>
        <w:kinsoku/>
        <w:bidi w:val="0"/>
        <w:spacing w:line="312" w:lineRule="auto"/>
        <w:rPr>
          <w:rFonts w:hint="eastAsia" w:ascii="仿宋" w:hAnsi="仿宋" w:eastAsia="仿宋" w:cs="仿宋"/>
          <w:szCs w:val="21"/>
          <w:highlight w:val="none"/>
        </w:rPr>
      </w:pPr>
      <w:r>
        <w:rPr>
          <w:rFonts w:hint="eastAsia" w:ascii="仿宋" w:hAnsi="仿宋" w:eastAsia="仿宋" w:cs="仿宋"/>
          <w:szCs w:val="21"/>
          <w:highlight w:val="none"/>
        </w:rPr>
        <w:t>声明：</w:t>
      </w:r>
    </w:p>
    <w:p>
      <w:pPr>
        <w:pageBreakBefore w:val="0"/>
        <w:kinsoku/>
        <w:bidi w:val="0"/>
        <w:spacing w:line="312" w:lineRule="auto"/>
        <w:ind w:firstLine="420" w:firstLineChars="200"/>
        <w:rPr>
          <w:rFonts w:hint="eastAsia" w:ascii="仿宋" w:hAnsi="仿宋" w:eastAsia="仿宋" w:cs="仿宋"/>
          <w:szCs w:val="21"/>
          <w:highlight w:val="none"/>
        </w:rPr>
      </w:pPr>
      <w:r>
        <w:rPr>
          <w:rFonts w:hint="eastAsia" w:ascii="仿宋" w:hAnsi="仿宋" w:eastAsia="仿宋" w:cs="仿宋"/>
          <w:szCs w:val="21"/>
          <w:highlight w:val="none"/>
          <w:lang w:val="en-US" w:eastAsia="zh-CN"/>
        </w:rPr>
        <w:t>1.</w:t>
      </w:r>
      <w:r>
        <w:rPr>
          <w:rFonts w:hint="eastAsia" w:ascii="仿宋" w:hAnsi="仿宋" w:eastAsia="仿宋" w:cs="仿宋"/>
          <w:szCs w:val="21"/>
          <w:highlight w:val="none"/>
        </w:rPr>
        <w:t>本表只填写</w:t>
      </w:r>
      <w:r>
        <w:rPr>
          <w:rFonts w:hint="eastAsia" w:ascii="仿宋" w:hAnsi="仿宋" w:eastAsia="仿宋" w:cs="仿宋"/>
          <w:szCs w:val="21"/>
          <w:highlight w:val="none"/>
          <w:lang w:eastAsia="zh-CN"/>
        </w:rPr>
        <w:t>响应文件</w:t>
      </w:r>
      <w:r>
        <w:rPr>
          <w:rFonts w:hint="eastAsia" w:ascii="仿宋" w:hAnsi="仿宋" w:eastAsia="仿宋" w:cs="仿宋"/>
          <w:szCs w:val="21"/>
          <w:highlight w:val="none"/>
        </w:rPr>
        <w:t>中与</w:t>
      </w:r>
      <w:r>
        <w:rPr>
          <w:rFonts w:hint="eastAsia" w:ascii="仿宋" w:hAnsi="仿宋" w:eastAsia="仿宋" w:cs="仿宋"/>
          <w:szCs w:val="21"/>
          <w:highlight w:val="none"/>
          <w:lang w:eastAsia="zh-CN"/>
        </w:rPr>
        <w:t>磋商文件</w:t>
      </w:r>
      <w:r>
        <w:rPr>
          <w:rFonts w:hint="eastAsia" w:ascii="仿宋" w:hAnsi="仿宋" w:eastAsia="仿宋" w:cs="仿宋"/>
          <w:szCs w:val="21"/>
          <w:highlight w:val="none"/>
        </w:rPr>
        <w:t>有偏离（包括正偏离和负偏离）的内容，</w:t>
      </w:r>
      <w:r>
        <w:rPr>
          <w:rFonts w:hint="eastAsia" w:ascii="仿宋" w:hAnsi="仿宋" w:eastAsia="仿宋" w:cs="仿宋"/>
          <w:b/>
          <w:bCs/>
          <w:szCs w:val="21"/>
          <w:highlight w:val="none"/>
          <w:lang w:eastAsia="zh-CN"/>
        </w:rPr>
        <w:t>响应文件</w:t>
      </w:r>
      <w:r>
        <w:rPr>
          <w:rFonts w:hint="eastAsia" w:ascii="仿宋" w:hAnsi="仿宋" w:eastAsia="仿宋" w:cs="仿宋"/>
          <w:b/>
          <w:bCs/>
          <w:szCs w:val="21"/>
          <w:highlight w:val="none"/>
        </w:rPr>
        <w:t>中的</w:t>
      </w:r>
      <w:r>
        <w:rPr>
          <w:rFonts w:hint="eastAsia" w:ascii="仿宋" w:hAnsi="仿宋" w:eastAsia="仿宋" w:cs="仿宋"/>
          <w:b/>
          <w:bCs/>
          <w:szCs w:val="21"/>
          <w:highlight w:val="none"/>
          <w:lang w:val="en-US" w:eastAsia="zh-CN"/>
        </w:rPr>
        <w:t>服务及</w:t>
      </w:r>
      <w:r>
        <w:rPr>
          <w:rFonts w:hint="eastAsia" w:ascii="仿宋" w:hAnsi="仿宋" w:eastAsia="仿宋" w:cs="仿宋"/>
          <w:b/>
          <w:bCs/>
          <w:szCs w:val="21"/>
          <w:highlight w:val="none"/>
        </w:rPr>
        <w:t>商务响应与</w:t>
      </w:r>
      <w:r>
        <w:rPr>
          <w:rFonts w:hint="eastAsia" w:ascii="仿宋" w:hAnsi="仿宋" w:eastAsia="仿宋" w:cs="仿宋"/>
          <w:b/>
          <w:bCs/>
          <w:szCs w:val="21"/>
          <w:highlight w:val="none"/>
          <w:lang w:eastAsia="zh-CN"/>
        </w:rPr>
        <w:t>磋商文件</w:t>
      </w:r>
      <w:r>
        <w:rPr>
          <w:rFonts w:hint="eastAsia" w:ascii="仿宋" w:hAnsi="仿宋" w:eastAsia="仿宋" w:cs="仿宋"/>
          <w:b/>
          <w:bCs/>
          <w:szCs w:val="21"/>
          <w:highlight w:val="none"/>
        </w:rPr>
        <w:t>要求完全一致的，不用在此表中列出，但必须提交空白表</w:t>
      </w:r>
      <w:r>
        <w:rPr>
          <w:rFonts w:hint="eastAsia" w:ascii="仿宋" w:hAnsi="仿宋" w:eastAsia="仿宋" w:cs="仿宋"/>
          <w:szCs w:val="21"/>
          <w:highlight w:val="none"/>
        </w:rPr>
        <w:t>。</w:t>
      </w:r>
    </w:p>
    <w:p>
      <w:pPr>
        <w:pStyle w:val="114"/>
        <w:pageBreakBefore w:val="0"/>
        <w:widowControl/>
        <w:numPr>
          <w:ilvl w:val="0"/>
          <w:numId w:val="45"/>
        </w:numPr>
        <w:tabs>
          <w:tab w:val="left" w:pos="630"/>
        </w:tabs>
        <w:kinsoku/>
        <w:bidi w:val="0"/>
        <w:spacing w:line="312" w:lineRule="auto"/>
        <w:ind w:firstLine="420" w:firstLineChars="200"/>
        <w:rPr>
          <w:rFonts w:hint="eastAsia" w:ascii="仿宋" w:hAnsi="仿宋" w:eastAsia="仿宋" w:cs="仿宋"/>
          <w:highlight w:val="none"/>
        </w:rPr>
      </w:pPr>
      <w:r>
        <w:rPr>
          <w:rFonts w:hint="eastAsia" w:ascii="仿宋" w:hAnsi="仿宋" w:eastAsia="仿宋" w:cs="仿宋"/>
          <w:highlight w:val="none"/>
        </w:rPr>
        <w:t>“偏离情况”栏注明“正偏离”</w:t>
      </w:r>
      <w:r>
        <w:rPr>
          <w:rFonts w:hint="eastAsia" w:ascii="仿宋" w:hAnsi="仿宋" w:eastAsia="仿宋" w:cs="仿宋"/>
          <w:highlight w:val="none"/>
          <w:lang w:eastAsia="zh-CN"/>
        </w:rPr>
        <w:t>、</w:t>
      </w:r>
      <w:r>
        <w:rPr>
          <w:rFonts w:hint="eastAsia" w:ascii="仿宋" w:hAnsi="仿宋" w:eastAsia="仿宋" w:cs="仿宋"/>
          <w:highlight w:val="none"/>
        </w:rPr>
        <w:t>“负偏离”</w:t>
      </w:r>
      <w:r>
        <w:rPr>
          <w:rFonts w:hint="eastAsia" w:ascii="仿宋" w:hAnsi="仿宋" w:eastAsia="仿宋" w:cs="仿宋"/>
          <w:highlight w:val="none"/>
          <w:lang w:val="en-US" w:eastAsia="zh-CN"/>
        </w:rPr>
        <w:t>或“无偏离”</w:t>
      </w:r>
      <w:r>
        <w:rPr>
          <w:rFonts w:hint="eastAsia" w:ascii="仿宋" w:hAnsi="仿宋" w:eastAsia="仿宋" w:cs="仿宋"/>
          <w:highlight w:val="none"/>
        </w:rPr>
        <w:t>。</w:t>
      </w:r>
    </w:p>
    <w:p>
      <w:pPr>
        <w:pStyle w:val="114"/>
        <w:pageBreakBefore w:val="0"/>
        <w:widowControl/>
        <w:numPr>
          <w:ilvl w:val="0"/>
          <w:numId w:val="45"/>
        </w:numPr>
        <w:tabs>
          <w:tab w:val="left" w:pos="630"/>
        </w:tabs>
        <w:kinsoku/>
        <w:bidi w:val="0"/>
        <w:spacing w:line="312" w:lineRule="auto"/>
        <w:ind w:firstLine="420" w:firstLineChars="200"/>
        <w:rPr>
          <w:rFonts w:hint="eastAsia" w:ascii="仿宋" w:hAnsi="仿宋" w:eastAsia="仿宋" w:cs="仿宋"/>
          <w:highlight w:val="none"/>
          <w:lang w:val="zh-CN"/>
        </w:rPr>
      </w:pPr>
      <w:r>
        <w:rPr>
          <w:rFonts w:hint="eastAsia" w:ascii="仿宋" w:hAnsi="仿宋" w:eastAsia="仿宋" w:cs="仿宋"/>
          <w:highlight w:val="none"/>
          <w:lang w:eastAsia="zh-CN"/>
        </w:rPr>
        <w:t>供应商</w:t>
      </w:r>
      <w:r>
        <w:rPr>
          <w:rFonts w:hint="eastAsia" w:ascii="仿宋" w:hAnsi="仿宋" w:eastAsia="仿宋" w:cs="仿宋"/>
          <w:highlight w:val="none"/>
        </w:rPr>
        <w:t>必须据实填写，不得虚假投标，否则将取消其中标资格，并按有关规定进行处罚。</w:t>
      </w:r>
    </w:p>
    <w:p>
      <w:pPr>
        <w:pStyle w:val="114"/>
        <w:pageBreakBefore w:val="0"/>
        <w:widowControl/>
        <w:numPr>
          <w:ilvl w:val="0"/>
          <w:numId w:val="45"/>
        </w:numPr>
        <w:tabs>
          <w:tab w:val="left" w:pos="630"/>
        </w:tabs>
        <w:kinsoku/>
        <w:bidi w:val="0"/>
        <w:spacing w:line="312"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rPr>
        <w:t>除本表中所列的偏离项目外，其他所有</w:t>
      </w:r>
      <w:r>
        <w:rPr>
          <w:rFonts w:hint="eastAsia" w:ascii="仿宋" w:hAnsi="仿宋" w:eastAsia="仿宋" w:cs="仿宋"/>
          <w:highlight w:val="none"/>
          <w:lang w:val="en-US" w:eastAsia="zh-CN"/>
        </w:rPr>
        <w:t>服务及</w:t>
      </w:r>
      <w:r>
        <w:rPr>
          <w:rFonts w:hint="eastAsia" w:ascii="仿宋" w:hAnsi="仿宋" w:eastAsia="仿宋" w:cs="仿宋"/>
          <w:highlight w:val="none"/>
        </w:rPr>
        <w:t>商务均完全响应“磋商文件”中的要求。</w:t>
      </w:r>
    </w:p>
    <w:p>
      <w:pPr>
        <w:pageBreakBefore w:val="0"/>
        <w:kinsoku/>
        <w:bidi w:val="0"/>
        <w:spacing w:line="312" w:lineRule="auto"/>
        <w:ind w:firstLine="4080" w:firstLineChars="1700"/>
        <w:rPr>
          <w:rFonts w:hint="eastAsia" w:ascii="仿宋" w:hAnsi="仿宋" w:eastAsia="仿宋" w:cs="仿宋"/>
          <w:sz w:val="24"/>
          <w:highlight w:val="none"/>
          <w:lang w:val="zh-CN"/>
        </w:rPr>
      </w:pPr>
    </w:p>
    <w:p>
      <w:pPr>
        <w:pageBreakBefore w:val="0"/>
        <w:kinsoku/>
        <w:bidi w:val="0"/>
        <w:spacing w:line="312" w:lineRule="auto"/>
        <w:ind w:firstLine="4080" w:firstLineChars="1700"/>
        <w:rPr>
          <w:rFonts w:hint="eastAsia" w:ascii="仿宋" w:hAnsi="仿宋" w:eastAsia="仿宋" w:cs="仿宋"/>
          <w:sz w:val="24"/>
          <w:highlight w:val="none"/>
          <w:lang w:val="zh-CN"/>
        </w:rPr>
      </w:pPr>
    </w:p>
    <w:p>
      <w:pPr>
        <w:pageBreakBefore w:val="0"/>
        <w:kinsoku/>
        <w:bidi w:val="0"/>
        <w:spacing w:line="312" w:lineRule="auto"/>
        <w:ind w:firstLine="4080" w:firstLineChars="1700"/>
        <w:rPr>
          <w:rFonts w:hint="eastAsia" w:ascii="仿宋" w:hAnsi="仿宋" w:eastAsia="仿宋" w:cs="仿宋"/>
          <w:sz w:val="24"/>
          <w:highlight w:val="none"/>
          <w:lang w:val="zh-CN"/>
        </w:rPr>
      </w:pP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（盖</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章）</w:t>
      </w: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lang w:val="zh-CN"/>
        </w:rPr>
        <w:t>或委托代理人：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（签字或盖章）</w:t>
      </w:r>
    </w:p>
    <w:p>
      <w:pPr>
        <w:pageBreakBefore w:val="0"/>
        <w:kinsoku/>
        <w:bidi w:val="0"/>
        <w:spacing w:line="312" w:lineRule="auto"/>
        <w:ind w:firstLine="4080" w:firstLineChars="1700"/>
        <w:rPr>
          <w:rFonts w:hint="eastAsia" w:ascii="仿宋" w:hAnsi="仿宋" w:eastAsia="仿宋" w:cs="仿宋"/>
          <w:b/>
          <w:color w:val="auto"/>
          <w:sz w:val="28"/>
          <w:szCs w:val="28"/>
          <w:highlight w:val="none"/>
          <w:lang w:val="en-US" w:eastAsia="zh-CN"/>
        </w:rPr>
      </w:pPr>
      <w:r>
        <w:rPr>
          <w:rFonts w:hint="eastAsia" w:ascii="仿宋" w:hAnsi="仿宋" w:eastAsia="仿宋" w:cs="仿宋"/>
          <w:sz w:val="24"/>
          <w:highlight w:val="none"/>
          <w:lang w:val="zh-CN"/>
        </w:rPr>
        <w:t>日期：</w:t>
      </w:r>
      <w:r>
        <w:rPr>
          <w:rFonts w:hint="eastAsia" w:ascii="仿宋" w:hAnsi="仿宋" w:eastAsia="仿宋" w:cs="仿宋"/>
          <w:szCs w:val="24"/>
          <w:highlight w:val="none"/>
          <w:u w:val="single"/>
          <w:lang w:val="zh-CN"/>
        </w:rPr>
        <w:t xml:space="preserve">       </w:t>
      </w:r>
      <w:r>
        <w:rPr>
          <w:rFonts w:hint="eastAsia" w:ascii="仿宋" w:hAnsi="仿宋" w:eastAsia="仿宋" w:cs="仿宋"/>
          <w:szCs w:val="24"/>
          <w:highlight w:val="none"/>
          <w:lang w:val="zh-CN"/>
        </w:rPr>
        <w:t>年</w:t>
      </w:r>
      <w:r>
        <w:rPr>
          <w:rFonts w:hint="eastAsia" w:ascii="仿宋" w:hAnsi="仿宋" w:eastAsia="仿宋" w:cs="仿宋"/>
          <w:szCs w:val="24"/>
          <w:highlight w:val="none"/>
          <w:u w:val="single"/>
          <w:lang w:val="zh-CN"/>
        </w:rPr>
        <w:t xml:space="preserve">      </w:t>
      </w:r>
      <w:r>
        <w:rPr>
          <w:rFonts w:hint="eastAsia" w:ascii="仿宋" w:hAnsi="仿宋" w:eastAsia="仿宋" w:cs="仿宋"/>
          <w:szCs w:val="24"/>
          <w:highlight w:val="none"/>
          <w:lang w:val="zh-CN"/>
        </w:rPr>
        <w:t>月</w:t>
      </w:r>
      <w:r>
        <w:rPr>
          <w:rFonts w:hint="eastAsia" w:ascii="仿宋" w:hAnsi="仿宋" w:eastAsia="仿宋" w:cs="仿宋"/>
          <w:szCs w:val="24"/>
          <w:highlight w:val="none"/>
          <w:u w:val="single"/>
          <w:lang w:val="zh-CN"/>
        </w:rPr>
        <w:t xml:space="preserve">      </w:t>
      </w:r>
      <w:r>
        <w:rPr>
          <w:rFonts w:hint="eastAsia" w:ascii="仿宋" w:hAnsi="仿宋" w:eastAsia="仿宋" w:cs="仿宋"/>
          <w:szCs w:val="24"/>
          <w:highlight w:val="none"/>
          <w:lang w:val="zh-CN"/>
        </w:rPr>
        <w:t>日</w:t>
      </w:r>
      <w:bookmarkEnd w:id="47"/>
      <w:bookmarkEnd w:id="48"/>
      <w:bookmarkEnd w:id="49"/>
      <w:bookmarkEnd w:id="50"/>
      <w:bookmarkEnd w:id="51"/>
      <w:bookmarkEnd w:id="52"/>
      <w:bookmarkEnd w:id="53"/>
      <w:bookmarkEnd w:id="54"/>
      <w:bookmarkEnd w:id="55"/>
      <w:bookmarkEnd w:id="56"/>
      <w:bookmarkEnd w:id="57"/>
      <w:bookmarkEnd w:id="58"/>
      <w:bookmarkEnd w:id="59"/>
      <w:bookmarkEnd w:id="60"/>
    </w:p>
    <w:p>
      <w:pPr>
        <w:pageBreakBefore w:val="0"/>
        <w:bidi w:val="0"/>
        <w:spacing w:line="312" w:lineRule="auto"/>
        <w:rPr>
          <w:rFonts w:hint="eastAsia" w:ascii="仿宋" w:hAnsi="仿宋" w:eastAsia="仿宋" w:cs="仿宋"/>
          <w:b/>
          <w:color w:val="000000"/>
          <w:sz w:val="36"/>
          <w:szCs w:val="36"/>
          <w:highlight w:val="none"/>
        </w:rPr>
      </w:pPr>
      <w:bookmarkStart w:id="61" w:name="_Toc26902"/>
      <w:r>
        <w:rPr>
          <w:rFonts w:hint="eastAsia" w:ascii="仿宋" w:hAnsi="仿宋" w:eastAsia="仿宋" w:cs="仿宋"/>
          <w:b/>
          <w:color w:val="000000"/>
          <w:sz w:val="36"/>
          <w:szCs w:val="36"/>
          <w:highlight w:val="none"/>
          <w:lang w:eastAsia="zh-CN"/>
        </w:rPr>
        <w:br w:type="page"/>
      </w:r>
    </w:p>
    <w:p>
      <w:pPr>
        <w:pageBreakBefore w:val="0"/>
        <w:numPr>
          <w:ilvl w:val="0"/>
          <w:numId w:val="39"/>
        </w:numPr>
        <w:kinsoku/>
        <w:overflowPunct/>
        <w:bidi w:val="0"/>
        <w:spacing w:line="312" w:lineRule="auto"/>
        <w:ind w:firstLine="0"/>
        <w:jc w:val="center"/>
        <w:outlineLvl w:val="0"/>
        <w:rPr>
          <w:rFonts w:hint="eastAsia" w:ascii="仿宋" w:hAnsi="仿宋" w:eastAsia="仿宋" w:cs="仿宋"/>
          <w:b/>
          <w:color w:val="000000"/>
          <w:sz w:val="36"/>
          <w:szCs w:val="36"/>
          <w:highlight w:val="none"/>
        </w:rPr>
      </w:pPr>
      <w:r>
        <w:rPr>
          <w:rFonts w:hint="eastAsia" w:ascii="仿宋" w:hAnsi="仿宋" w:eastAsia="仿宋" w:cs="仿宋"/>
          <w:b/>
          <w:color w:val="000000"/>
          <w:sz w:val="36"/>
          <w:szCs w:val="36"/>
          <w:highlight w:val="none"/>
          <w:lang w:val="en-US" w:eastAsia="zh-CN"/>
        </w:rPr>
        <w:t>技术规格偏离表</w:t>
      </w:r>
    </w:p>
    <w:p>
      <w:pPr>
        <w:pageBreakBefore w:val="0"/>
        <w:kinsoku/>
        <w:bidi w:val="0"/>
        <w:spacing w:line="312" w:lineRule="auto"/>
        <w:rPr>
          <w:rFonts w:hint="eastAsia" w:ascii="仿宋" w:hAnsi="仿宋" w:eastAsia="仿宋" w:cs="仿宋"/>
          <w:sz w:val="24"/>
          <w:szCs w:val="24"/>
          <w:highlight w:val="none"/>
        </w:rPr>
      </w:pPr>
    </w:p>
    <w:p>
      <w:pPr>
        <w:pageBreakBefore w:val="0"/>
        <w:kinsoku/>
        <w:bidi w:val="0"/>
        <w:spacing w:line="312" w:lineRule="auto"/>
        <w:ind w:firstLine="480" w:firstLineChars="200"/>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项目名称：</w:t>
      </w:r>
    </w:p>
    <w:p>
      <w:pPr>
        <w:pageBreakBefore w:val="0"/>
        <w:kinsoku/>
        <w:bidi w:val="0"/>
        <w:spacing w:line="312"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项目编号：</w:t>
      </w:r>
    </w:p>
    <w:tbl>
      <w:tblPr>
        <w:tblStyle w:val="38"/>
        <w:tblW w:w="929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678"/>
        <w:gridCol w:w="2700"/>
        <w:gridCol w:w="1650"/>
        <w:gridCol w:w="143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pPr>
              <w:pageBreakBefore w:val="0"/>
              <w:bidi w:val="0"/>
              <w:spacing w:line="312"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2678" w:type="dxa"/>
            <w:tcMar>
              <w:top w:w="57" w:type="dxa"/>
              <w:left w:w="28" w:type="dxa"/>
              <w:bottom w:w="57" w:type="dxa"/>
              <w:right w:w="28" w:type="dxa"/>
            </w:tcMar>
            <w:vAlign w:val="center"/>
          </w:tcPr>
          <w:p>
            <w:pPr>
              <w:pageBreakBefore w:val="0"/>
              <w:bidi w:val="0"/>
              <w:spacing w:line="312"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竞争性磋商文件</w:t>
            </w:r>
          </w:p>
          <w:p>
            <w:pPr>
              <w:pageBreakBefore w:val="0"/>
              <w:bidi w:val="0"/>
              <w:spacing w:line="312"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技术规格</w:t>
            </w:r>
          </w:p>
        </w:tc>
        <w:tc>
          <w:tcPr>
            <w:tcW w:w="2700" w:type="dxa"/>
            <w:tcMar>
              <w:top w:w="57" w:type="dxa"/>
              <w:left w:w="28" w:type="dxa"/>
              <w:bottom w:w="57" w:type="dxa"/>
              <w:right w:w="28" w:type="dxa"/>
            </w:tcMar>
            <w:vAlign w:val="center"/>
          </w:tcPr>
          <w:p>
            <w:pPr>
              <w:pageBreakBefore w:val="0"/>
              <w:bidi w:val="0"/>
              <w:spacing w:line="312"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竞争性磋商响应文件</w:t>
            </w:r>
          </w:p>
          <w:p>
            <w:pPr>
              <w:pageBreakBefore w:val="0"/>
              <w:bidi w:val="0"/>
              <w:spacing w:line="312"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技术规格</w:t>
            </w:r>
          </w:p>
        </w:tc>
        <w:tc>
          <w:tcPr>
            <w:tcW w:w="1650" w:type="dxa"/>
            <w:tcMar>
              <w:top w:w="57" w:type="dxa"/>
              <w:left w:w="28" w:type="dxa"/>
              <w:bottom w:w="57" w:type="dxa"/>
              <w:right w:w="28" w:type="dxa"/>
            </w:tcMar>
            <w:vAlign w:val="center"/>
          </w:tcPr>
          <w:p>
            <w:pPr>
              <w:pageBreakBefore w:val="0"/>
              <w:bidi w:val="0"/>
              <w:spacing w:line="312"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偏离情况</w:t>
            </w:r>
          </w:p>
        </w:tc>
        <w:tc>
          <w:tcPr>
            <w:tcW w:w="1438" w:type="dxa"/>
            <w:vAlign w:val="center"/>
          </w:tcPr>
          <w:p>
            <w:pPr>
              <w:pageBreakBefore w:val="0"/>
              <w:bidi w:val="0"/>
              <w:spacing w:line="312"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6" w:type="dxa"/>
            <w:tcBorders>
              <w:bottom w:val="single" w:color="auto" w:sz="4" w:space="0"/>
            </w:tcBorders>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678" w:type="dxa"/>
            <w:tcBorders>
              <w:bottom w:val="single" w:color="auto" w:sz="4" w:space="0"/>
            </w:tcBorders>
            <w:tcMar>
              <w:top w:w="57" w:type="dxa"/>
              <w:left w:w="28" w:type="dxa"/>
              <w:bottom w:w="57" w:type="dxa"/>
              <w:right w:w="28" w:type="dxa"/>
            </w:tcMar>
            <w:vAlign w:val="center"/>
          </w:tcPr>
          <w:p>
            <w:pPr>
              <w:pageBreakBefore w:val="0"/>
              <w:bidi w:val="0"/>
              <w:spacing w:line="312" w:lineRule="auto"/>
              <w:jc w:val="center"/>
              <w:rPr>
                <w:rFonts w:hint="eastAsia" w:ascii="仿宋" w:hAnsi="仿宋" w:eastAsia="仿宋" w:cs="仿宋"/>
                <w:b/>
                <w:color w:val="auto"/>
                <w:sz w:val="24"/>
                <w:szCs w:val="24"/>
              </w:rPr>
            </w:pPr>
          </w:p>
        </w:tc>
        <w:tc>
          <w:tcPr>
            <w:tcW w:w="2700" w:type="dxa"/>
            <w:tcBorders>
              <w:bottom w:val="single" w:color="auto" w:sz="4" w:space="0"/>
            </w:tcBorders>
            <w:tcMar>
              <w:top w:w="57" w:type="dxa"/>
              <w:left w:w="28" w:type="dxa"/>
              <w:bottom w:w="57" w:type="dxa"/>
              <w:right w:w="28" w:type="dxa"/>
            </w:tcMar>
            <w:vAlign w:val="center"/>
          </w:tcPr>
          <w:p>
            <w:pPr>
              <w:pageBreakBefore w:val="0"/>
              <w:bidi w:val="0"/>
              <w:spacing w:line="312" w:lineRule="auto"/>
              <w:jc w:val="center"/>
              <w:rPr>
                <w:rFonts w:hint="eastAsia" w:ascii="仿宋" w:hAnsi="仿宋" w:eastAsia="仿宋" w:cs="仿宋"/>
                <w:b/>
                <w:color w:val="auto"/>
                <w:sz w:val="24"/>
                <w:szCs w:val="24"/>
              </w:rPr>
            </w:pPr>
          </w:p>
        </w:tc>
        <w:tc>
          <w:tcPr>
            <w:tcW w:w="1650" w:type="dxa"/>
            <w:tcBorders>
              <w:bottom w:val="single" w:color="auto" w:sz="4" w:space="0"/>
            </w:tcBorders>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438" w:type="dxa"/>
            <w:tcBorders>
              <w:bottom w:val="single" w:color="auto" w:sz="4" w:space="0"/>
            </w:tcBorders>
            <w:vAlign w:val="center"/>
          </w:tcPr>
          <w:p>
            <w:pPr>
              <w:pageBreakBefore w:val="0"/>
              <w:bidi w:val="0"/>
              <w:spacing w:line="312" w:lineRule="auto"/>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6" w:type="dxa"/>
            <w:tcBorders>
              <w:bottom w:val="single" w:color="auto" w:sz="4" w:space="0"/>
            </w:tcBorders>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678" w:type="dxa"/>
            <w:tcBorders>
              <w:bottom w:val="single" w:color="auto" w:sz="4" w:space="0"/>
            </w:tcBorders>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700" w:type="dxa"/>
            <w:tcBorders>
              <w:bottom w:val="single" w:color="auto" w:sz="4" w:space="0"/>
            </w:tcBorders>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650" w:type="dxa"/>
            <w:tcBorders>
              <w:bottom w:val="single" w:color="auto" w:sz="4" w:space="0"/>
            </w:tcBorders>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438" w:type="dxa"/>
            <w:tcBorders>
              <w:bottom w:val="single" w:color="auto" w:sz="4" w:space="0"/>
            </w:tcBorders>
            <w:vAlign w:val="center"/>
          </w:tcPr>
          <w:p>
            <w:pPr>
              <w:pageBreakBefore w:val="0"/>
              <w:bidi w:val="0"/>
              <w:spacing w:line="312" w:lineRule="auto"/>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678"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700"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650"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438" w:type="dxa"/>
            <w:vAlign w:val="center"/>
          </w:tcPr>
          <w:p>
            <w:pPr>
              <w:pageBreakBefore w:val="0"/>
              <w:bidi w:val="0"/>
              <w:spacing w:line="312" w:lineRule="auto"/>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678"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700"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650"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438" w:type="dxa"/>
            <w:vAlign w:val="center"/>
          </w:tcPr>
          <w:p>
            <w:pPr>
              <w:pageBreakBefore w:val="0"/>
              <w:bidi w:val="0"/>
              <w:spacing w:line="312" w:lineRule="auto"/>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678"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700"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650"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438" w:type="dxa"/>
            <w:vAlign w:val="center"/>
          </w:tcPr>
          <w:p>
            <w:pPr>
              <w:pageBreakBefore w:val="0"/>
              <w:bidi w:val="0"/>
              <w:spacing w:line="312" w:lineRule="auto"/>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678"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700"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650"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438" w:type="dxa"/>
            <w:vAlign w:val="center"/>
          </w:tcPr>
          <w:p>
            <w:pPr>
              <w:pageBreakBefore w:val="0"/>
              <w:bidi w:val="0"/>
              <w:spacing w:line="312" w:lineRule="auto"/>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678"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700"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650"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438" w:type="dxa"/>
            <w:vAlign w:val="center"/>
          </w:tcPr>
          <w:p>
            <w:pPr>
              <w:pageBreakBefore w:val="0"/>
              <w:bidi w:val="0"/>
              <w:spacing w:line="312" w:lineRule="auto"/>
              <w:rPr>
                <w:rFonts w:hint="eastAsia" w:ascii="仿宋" w:hAnsi="仿宋" w:eastAsia="仿宋" w:cs="仿宋"/>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678"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2700"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650" w:type="dxa"/>
            <w:tcMar>
              <w:top w:w="57" w:type="dxa"/>
              <w:left w:w="28" w:type="dxa"/>
              <w:bottom w:w="57" w:type="dxa"/>
              <w:right w:w="28" w:type="dxa"/>
            </w:tcMar>
            <w:vAlign w:val="center"/>
          </w:tcPr>
          <w:p>
            <w:pPr>
              <w:pageBreakBefore w:val="0"/>
              <w:bidi w:val="0"/>
              <w:spacing w:line="312" w:lineRule="auto"/>
              <w:rPr>
                <w:rFonts w:hint="eastAsia" w:ascii="仿宋" w:hAnsi="仿宋" w:eastAsia="仿宋" w:cs="仿宋"/>
                <w:color w:val="auto"/>
                <w:sz w:val="24"/>
                <w:szCs w:val="24"/>
              </w:rPr>
            </w:pPr>
          </w:p>
        </w:tc>
        <w:tc>
          <w:tcPr>
            <w:tcW w:w="1438" w:type="dxa"/>
            <w:vAlign w:val="center"/>
          </w:tcPr>
          <w:p>
            <w:pPr>
              <w:pageBreakBefore w:val="0"/>
              <w:bidi w:val="0"/>
              <w:spacing w:line="312" w:lineRule="auto"/>
              <w:rPr>
                <w:rFonts w:hint="eastAsia" w:ascii="仿宋" w:hAnsi="仿宋" w:eastAsia="仿宋" w:cs="仿宋"/>
                <w:color w:val="auto"/>
                <w:sz w:val="24"/>
                <w:szCs w:val="24"/>
              </w:rPr>
            </w:pPr>
          </w:p>
        </w:tc>
      </w:tr>
    </w:tbl>
    <w:p>
      <w:pPr>
        <w:pStyle w:val="118"/>
        <w:pageBreakBefore w:val="0"/>
        <w:bidi w:val="0"/>
        <w:spacing w:line="312" w:lineRule="auto"/>
        <w:rPr>
          <w:rFonts w:hint="eastAsia" w:ascii="仿宋" w:hAnsi="仿宋" w:eastAsia="仿宋" w:cs="仿宋"/>
          <w:kern w:val="2"/>
          <w:sz w:val="21"/>
          <w:szCs w:val="21"/>
          <w:highlight w:val="none"/>
          <w:lang w:val="en-US" w:eastAsia="zh-CN" w:bidi="ar-SA"/>
        </w:rPr>
      </w:pPr>
    </w:p>
    <w:p>
      <w:pPr>
        <w:pStyle w:val="118"/>
        <w:pageBreakBefore w:val="0"/>
        <w:bidi w:val="0"/>
        <w:spacing w:line="312" w:lineRule="auto"/>
        <w:ind w:firstLine="210" w:firstLineChars="10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声明：</w:t>
      </w:r>
    </w:p>
    <w:p>
      <w:pPr>
        <w:pStyle w:val="118"/>
        <w:pageBreakBefore w:val="0"/>
        <w:numPr>
          <w:ilvl w:val="0"/>
          <w:numId w:val="46"/>
        </w:numPr>
        <w:bidi w:val="0"/>
        <w:spacing w:line="312" w:lineRule="auto"/>
        <w:ind w:firstLine="422" w:firstLineChars="200"/>
        <w:rPr>
          <w:rFonts w:hint="eastAsia" w:ascii="仿宋" w:hAnsi="仿宋" w:eastAsia="仿宋" w:cs="仿宋"/>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w:t>
      </w:r>
      <w:r>
        <w:rPr>
          <w:rFonts w:hint="eastAsia" w:ascii="仿宋" w:hAnsi="仿宋" w:eastAsia="仿宋" w:cs="仿宋"/>
          <w:kern w:val="2"/>
          <w:sz w:val="21"/>
          <w:szCs w:val="21"/>
          <w:lang w:val="en-US" w:eastAsia="zh-CN" w:bidi="ar-SA"/>
        </w:rPr>
        <w:t>磋商文件中的技术规格（参数），供应商应按照磋商文件中的内容逐条抄写</w:t>
      </w:r>
      <w:r>
        <w:rPr>
          <w:rFonts w:hint="eastAsia" w:ascii="仿宋" w:hAnsi="仿宋" w:eastAsia="仿宋" w:cs="仿宋"/>
          <w:kern w:val="2"/>
          <w:sz w:val="21"/>
          <w:szCs w:val="21"/>
          <w:highlight w:val="none"/>
          <w:lang w:val="en-US" w:eastAsia="zh-CN" w:bidi="ar-SA"/>
        </w:rPr>
        <w:t>。</w:t>
      </w:r>
    </w:p>
    <w:p>
      <w:pPr>
        <w:pStyle w:val="118"/>
        <w:pageBreakBefore w:val="0"/>
        <w:numPr>
          <w:ilvl w:val="0"/>
          <w:numId w:val="46"/>
        </w:numPr>
        <w:bidi w:val="0"/>
        <w:spacing w:line="312" w:lineRule="auto"/>
        <w:ind w:firstLine="420" w:firstLineChars="20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lang w:val="en-US" w:eastAsia="zh-CN" w:bidi="ar-SA"/>
        </w:rPr>
        <w:t>供应商拟提供产品的主要技术参数，供应商应逐条如实填写</w:t>
      </w:r>
    </w:p>
    <w:p>
      <w:pPr>
        <w:pStyle w:val="118"/>
        <w:pageBreakBefore w:val="0"/>
        <w:numPr>
          <w:ilvl w:val="0"/>
          <w:numId w:val="46"/>
        </w:numPr>
        <w:bidi w:val="0"/>
        <w:spacing w:line="312" w:lineRule="auto"/>
        <w:ind w:firstLine="420" w:firstLineChars="200"/>
        <w:rPr>
          <w:rFonts w:hint="eastAsia" w:ascii="仿宋" w:hAnsi="仿宋" w:eastAsia="仿宋" w:cs="仿宋"/>
          <w:kern w:val="2"/>
          <w:sz w:val="21"/>
          <w:szCs w:val="21"/>
          <w:highlight w:val="none"/>
          <w:lang w:val="en-US" w:eastAsia="zh-CN" w:bidi="ar-SA"/>
        </w:rPr>
      </w:pPr>
      <w:r>
        <w:rPr>
          <w:rFonts w:hint="eastAsia" w:ascii="仿宋" w:hAnsi="仿宋" w:eastAsia="仿宋" w:cs="仿宋"/>
          <w:highlight w:val="none"/>
          <w:lang w:eastAsia="zh-CN"/>
        </w:rPr>
        <w:t>供应商</w:t>
      </w:r>
      <w:r>
        <w:rPr>
          <w:rFonts w:hint="eastAsia" w:ascii="仿宋" w:hAnsi="仿宋" w:eastAsia="仿宋" w:cs="仿宋"/>
          <w:highlight w:val="none"/>
        </w:rPr>
        <w:t>必须据实填写，不得虚假投标，否则将取消其中标资格，并按有关规定进行处罚</w:t>
      </w:r>
    </w:p>
    <w:p>
      <w:pPr>
        <w:pStyle w:val="118"/>
        <w:pageBreakBefore w:val="0"/>
        <w:numPr>
          <w:ilvl w:val="0"/>
          <w:numId w:val="46"/>
        </w:numPr>
        <w:bidi w:val="0"/>
        <w:spacing w:line="312" w:lineRule="auto"/>
        <w:ind w:firstLine="420" w:firstLineChars="20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“偏离情况”栏注明“正偏离”、“负偏离”或“无偏离”。</w:t>
      </w:r>
    </w:p>
    <w:p>
      <w:pPr>
        <w:pageBreakBefore w:val="0"/>
        <w:kinsoku/>
        <w:bidi w:val="0"/>
        <w:spacing w:line="312" w:lineRule="auto"/>
        <w:ind w:firstLine="4080" w:firstLineChars="1700"/>
        <w:rPr>
          <w:rFonts w:hint="eastAsia" w:ascii="仿宋" w:hAnsi="仿宋" w:eastAsia="仿宋" w:cs="仿宋"/>
          <w:sz w:val="24"/>
          <w:highlight w:val="none"/>
          <w:lang w:val="zh-CN"/>
        </w:rPr>
      </w:pPr>
    </w:p>
    <w:p>
      <w:pPr>
        <w:pageBreakBefore w:val="0"/>
        <w:kinsoku/>
        <w:bidi w:val="0"/>
        <w:spacing w:line="312" w:lineRule="auto"/>
        <w:ind w:firstLine="4080" w:firstLineChars="1700"/>
        <w:rPr>
          <w:rFonts w:hint="eastAsia" w:ascii="仿宋" w:hAnsi="仿宋" w:eastAsia="仿宋" w:cs="仿宋"/>
          <w:sz w:val="24"/>
          <w:highlight w:val="none"/>
          <w:lang w:val="zh-CN"/>
        </w:rPr>
      </w:pP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（盖</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章）</w:t>
      </w: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lang w:val="zh-CN"/>
        </w:rPr>
        <w:t>或委托代理人：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（签字或盖章）</w:t>
      </w:r>
    </w:p>
    <w:p>
      <w:pPr>
        <w:pageBreakBefore w:val="0"/>
        <w:kinsoku/>
        <w:bidi w:val="0"/>
        <w:spacing w:line="312" w:lineRule="auto"/>
        <w:ind w:firstLine="4080" w:firstLineChars="1700"/>
        <w:rPr>
          <w:rFonts w:hint="eastAsia" w:ascii="仿宋" w:hAnsi="仿宋" w:eastAsia="仿宋" w:cs="仿宋"/>
        </w:rPr>
      </w:pPr>
      <w:r>
        <w:rPr>
          <w:rFonts w:hint="eastAsia" w:ascii="仿宋" w:hAnsi="仿宋" w:eastAsia="仿宋" w:cs="仿宋"/>
          <w:sz w:val="24"/>
          <w:highlight w:val="none"/>
          <w:lang w:val="zh-CN"/>
        </w:rPr>
        <w:t>日期：</w:t>
      </w:r>
      <w:r>
        <w:rPr>
          <w:rFonts w:hint="eastAsia" w:ascii="仿宋" w:hAnsi="仿宋" w:eastAsia="仿宋" w:cs="仿宋"/>
          <w:szCs w:val="24"/>
          <w:highlight w:val="none"/>
          <w:u w:val="single"/>
          <w:lang w:val="zh-CN"/>
        </w:rPr>
        <w:t xml:space="preserve">       </w:t>
      </w:r>
      <w:r>
        <w:rPr>
          <w:rFonts w:hint="eastAsia" w:ascii="仿宋" w:hAnsi="仿宋" w:eastAsia="仿宋" w:cs="仿宋"/>
          <w:szCs w:val="24"/>
          <w:highlight w:val="none"/>
          <w:lang w:val="zh-CN"/>
        </w:rPr>
        <w:t>年</w:t>
      </w:r>
      <w:r>
        <w:rPr>
          <w:rFonts w:hint="eastAsia" w:ascii="仿宋" w:hAnsi="仿宋" w:eastAsia="仿宋" w:cs="仿宋"/>
          <w:szCs w:val="24"/>
          <w:highlight w:val="none"/>
          <w:u w:val="single"/>
          <w:lang w:val="zh-CN"/>
        </w:rPr>
        <w:t xml:space="preserve">      </w:t>
      </w:r>
      <w:r>
        <w:rPr>
          <w:rFonts w:hint="eastAsia" w:ascii="仿宋" w:hAnsi="仿宋" w:eastAsia="仿宋" w:cs="仿宋"/>
          <w:szCs w:val="24"/>
          <w:highlight w:val="none"/>
          <w:lang w:val="zh-CN"/>
        </w:rPr>
        <w:t>月</w:t>
      </w:r>
      <w:r>
        <w:rPr>
          <w:rFonts w:hint="eastAsia" w:ascii="仿宋" w:hAnsi="仿宋" w:eastAsia="仿宋" w:cs="仿宋"/>
          <w:szCs w:val="24"/>
          <w:highlight w:val="none"/>
          <w:u w:val="single"/>
          <w:lang w:val="zh-CN"/>
        </w:rPr>
        <w:t xml:space="preserve">      </w:t>
      </w:r>
      <w:r>
        <w:rPr>
          <w:rFonts w:hint="eastAsia" w:ascii="仿宋" w:hAnsi="仿宋" w:eastAsia="仿宋" w:cs="仿宋"/>
          <w:szCs w:val="24"/>
          <w:highlight w:val="none"/>
          <w:lang w:val="zh-CN"/>
        </w:rPr>
        <w:t>日</w:t>
      </w:r>
    </w:p>
    <w:p>
      <w:pPr>
        <w:pageBreakBefore w:val="0"/>
        <w:bidi w:val="0"/>
        <w:spacing w:line="312" w:lineRule="auto"/>
        <w:rPr>
          <w:rFonts w:hint="eastAsia" w:ascii="仿宋" w:hAnsi="仿宋" w:eastAsia="仿宋" w:cs="仿宋"/>
          <w:b/>
          <w:color w:val="000000"/>
          <w:sz w:val="36"/>
          <w:szCs w:val="36"/>
          <w:highlight w:val="none"/>
        </w:rPr>
      </w:pPr>
      <w:r>
        <w:rPr>
          <w:rFonts w:hint="eastAsia" w:ascii="仿宋" w:hAnsi="仿宋" w:eastAsia="仿宋" w:cs="仿宋"/>
          <w:b/>
          <w:color w:val="000000"/>
          <w:sz w:val="36"/>
          <w:szCs w:val="36"/>
          <w:highlight w:val="none"/>
          <w:lang w:eastAsia="zh-CN"/>
        </w:rPr>
        <w:br w:type="page"/>
      </w:r>
    </w:p>
    <w:p>
      <w:pPr>
        <w:pageBreakBefore w:val="0"/>
        <w:numPr>
          <w:ilvl w:val="0"/>
          <w:numId w:val="39"/>
        </w:numPr>
        <w:kinsoku/>
        <w:overflowPunct/>
        <w:bidi w:val="0"/>
        <w:spacing w:line="312" w:lineRule="auto"/>
        <w:ind w:firstLine="0"/>
        <w:jc w:val="center"/>
        <w:outlineLvl w:val="0"/>
        <w:rPr>
          <w:rFonts w:hint="eastAsia" w:ascii="仿宋" w:hAnsi="仿宋" w:eastAsia="仿宋" w:cs="仿宋"/>
          <w:b/>
          <w:color w:val="000000"/>
          <w:sz w:val="36"/>
          <w:szCs w:val="36"/>
          <w:highlight w:val="none"/>
        </w:rPr>
      </w:pPr>
      <w:r>
        <w:rPr>
          <w:rFonts w:hint="eastAsia" w:ascii="仿宋" w:hAnsi="仿宋" w:eastAsia="仿宋" w:cs="仿宋"/>
          <w:b/>
          <w:color w:val="000000"/>
          <w:sz w:val="36"/>
          <w:szCs w:val="36"/>
          <w:highlight w:val="none"/>
          <w:lang w:eastAsia="zh-CN"/>
        </w:rPr>
        <w:t>人员配置</w:t>
      </w:r>
      <w:bookmarkEnd w:id="61"/>
    </w:p>
    <w:p>
      <w:pPr>
        <w:pageBreakBefore w:val="0"/>
        <w:numPr>
          <w:ilvl w:val="0"/>
          <w:numId w:val="0"/>
        </w:numPr>
        <w:kinsoku/>
        <w:bidi w:val="0"/>
        <w:spacing w:line="312" w:lineRule="auto"/>
        <w:jc w:val="center"/>
        <w:rPr>
          <w:rFonts w:hint="eastAsia" w:ascii="仿宋" w:hAnsi="仿宋" w:eastAsia="仿宋" w:cs="仿宋"/>
          <w:b/>
          <w:sz w:val="32"/>
          <w:szCs w:val="21"/>
          <w:highlight w:val="none"/>
        </w:rPr>
      </w:pPr>
    </w:p>
    <w:p>
      <w:pPr>
        <w:pageBreakBefore w:val="0"/>
        <w:numPr>
          <w:ilvl w:val="0"/>
          <w:numId w:val="0"/>
        </w:numPr>
        <w:kinsoku/>
        <w:bidi w:val="0"/>
        <w:spacing w:line="312" w:lineRule="auto"/>
        <w:jc w:val="center"/>
        <w:rPr>
          <w:rFonts w:hint="eastAsia" w:ascii="仿宋" w:hAnsi="仿宋" w:eastAsia="仿宋" w:cs="仿宋"/>
          <w:b/>
          <w:sz w:val="32"/>
          <w:szCs w:val="21"/>
          <w:highlight w:val="none"/>
        </w:rPr>
      </w:pPr>
      <w:r>
        <w:rPr>
          <w:rFonts w:hint="eastAsia" w:ascii="仿宋" w:hAnsi="仿宋" w:eastAsia="仿宋" w:cs="仿宋"/>
          <w:b/>
          <w:sz w:val="32"/>
          <w:szCs w:val="21"/>
          <w:highlight w:val="none"/>
        </w:rPr>
        <w:t>拟投入项目人员</w:t>
      </w:r>
      <w:r>
        <w:rPr>
          <w:rFonts w:hint="eastAsia" w:ascii="仿宋" w:hAnsi="仿宋" w:eastAsia="仿宋" w:cs="仿宋"/>
          <w:b/>
          <w:sz w:val="32"/>
          <w:szCs w:val="21"/>
          <w:highlight w:val="none"/>
          <w:lang w:eastAsia="zh-CN"/>
        </w:rPr>
        <w:t>汇总</w:t>
      </w:r>
      <w:r>
        <w:rPr>
          <w:rFonts w:hint="eastAsia" w:ascii="仿宋" w:hAnsi="仿宋" w:eastAsia="仿宋" w:cs="仿宋"/>
          <w:b/>
          <w:sz w:val="32"/>
          <w:szCs w:val="21"/>
          <w:highlight w:val="none"/>
        </w:rPr>
        <w:t>表</w:t>
      </w:r>
    </w:p>
    <w:p>
      <w:pPr>
        <w:pStyle w:val="36"/>
        <w:pageBreakBefore w:val="0"/>
        <w:kinsoku/>
        <w:bidi w:val="0"/>
        <w:spacing w:line="312" w:lineRule="auto"/>
        <w:ind w:firstLine="0"/>
        <w:rPr>
          <w:rFonts w:hint="eastAsia" w:ascii="仿宋" w:hAnsi="仿宋" w:eastAsia="仿宋" w:cs="仿宋"/>
          <w:b/>
          <w:sz w:val="32"/>
          <w:szCs w:val="21"/>
          <w:highlight w:val="none"/>
        </w:rPr>
      </w:pPr>
    </w:p>
    <w:tbl>
      <w:tblPr>
        <w:tblStyle w:val="38"/>
        <w:tblW w:w="9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944"/>
        <w:gridCol w:w="944"/>
        <w:gridCol w:w="944"/>
        <w:gridCol w:w="947"/>
        <w:gridCol w:w="1055"/>
        <w:gridCol w:w="1055"/>
        <w:gridCol w:w="1055"/>
        <w:gridCol w:w="1055"/>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4" w:hRule="atLeast"/>
          <w:jc w:val="center"/>
        </w:trPr>
        <w:tc>
          <w:tcPr>
            <w:tcW w:w="763" w:type="dxa"/>
            <w:noWrap w:val="0"/>
            <w:vAlign w:val="center"/>
          </w:tcPr>
          <w:p>
            <w:pPr>
              <w:pageBreakBefore w:val="0"/>
              <w:kinsoku/>
              <w:bidi w:val="0"/>
              <w:spacing w:line="312" w:lineRule="auto"/>
              <w:jc w:val="center"/>
              <w:rPr>
                <w:rFonts w:hint="eastAsia" w:ascii="仿宋" w:hAnsi="仿宋" w:eastAsia="仿宋" w:cs="仿宋"/>
                <w:b/>
                <w:bCs w:val="0"/>
                <w:sz w:val="22"/>
                <w:szCs w:val="22"/>
                <w:highlight w:val="none"/>
              </w:rPr>
            </w:pPr>
            <w:r>
              <w:rPr>
                <w:rFonts w:hint="eastAsia" w:ascii="仿宋" w:hAnsi="仿宋" w:eastAsia="仿宋" w:cs="仿宋"/>
                <w:b/>
                <w:bCs w:val="0"/>
                <w:sz w:val="22"/>
                <w:szCs w:val="22"/>
                <w:highlight w:val="none"/>
              </w:rPr>
              <w:t>序号</w:t>
            </w:r>
          </w:p>
        </w:tc>
        <w:tc>
          <w:tcPr>
            <w:tcW w:w="944" w:type="dxa"/>
            <w:noWrap w:val="0"/>
            <w:vAlign w:val="center"/>
          </w:tcPr>
          <w:p>
            <w:pPr>
              <w:pageBreakBefore w:val="0"/>
              <w:kinsoku/>
              <w:bidi w:val="0"/>
              <w:spacing w:line="312" w:lineRule="auto"/>
              <w:jc w:val="center"/>
              <w:rPr>
                <w:rFonts w:hint="eastAsia" w:ascii="仿宋" w:hAnsi="仿宋" w:eastAsia="仿宋" w:cs="仿宋"/>
                <w:b/>
                <w:bCs w:val="0"/>
                <w:sz w:val="22"/>
                <w:szCs w:val="22"/>
                <w:highlight w:val="none"/>
              </w:rPr>
            </w:pPr>
            <w:r>
              <w:rPr>
                <w:rFonts w:hint="eastAsia" w:ascii="仿宋" w:hAnsi="仿宋" w:eastAsia="仿宋" w:cs="仿宋"/>
                <w:b/>
                <w:bCs w:val="0"/>
                <w:sz w:val="22"/>
                <w:szCs w:val="22"/>
                <w:highlight w:val="none"/>
              </w:rPr>
              <w:t>姓名</w:t>
            </w:r>
          </w:p>
        </w:tc>
        <w:tc>
          <w:tcPr>
            <w:tcW w:w="944" w:type="dxa"/>
            <w:noWrap w:val="0"/>
            <w:vAlign w:val="center"/>
          </w:tcPr>
          <w:p>
            <w:pPr>
              <w:pageBreakBefore w:val="0"/>
              <w:kinsoku/>
              <w:bidi w:val="0"/>
              <w:spacing w:line="312" w:lineRule="auto"/>
              <w:jc w:val="center"/>
              <w:rPr>
                <w:rFonts w:hint="eastAsia" w:ascii="仿宋" w:hAnsi="仿宋" w:eastAsia="仿宋" w:cs="仿宋"/>
                <w:b/>
                <w:bCs w:val="0"/>
                <w:sz w:val="22"/>
                <w:szCs w:val="22"/>
                <w:highlight w:val="none"/>
                <w:lang w:val="en-US" w:eastAsia="zh-CN"/>
              </w:rPr>
            </w:pPr>
            <w:r>
              <w:rPr>
                <w:rFonts w:hint="eastAsia" w:ascii="仿宋" w:hAnsi="仿宋" w:eastAsia="仿宋" w:cs="仿宋"/>
                <w:b/>
                <w:bCs w:val="0"/>
                <w:sz w:val="22"/>
                <w:szCs w:val="22"/>
                <w:highlight w:val="none"/>
                <w:lang w:val="en-US" w:eastAsia="zh-CN"/>
              </w:rPr>
              <w:t>性别</w:t>
            </w:r>
          </w:p>
        </w:tc>
        <w:tc>
          <w:tcPr>
            <w:tcW w:w="944" w:type="dxa"/>
            <w:noWrap w:val="0"/>
            <w:vAlign w:val="center"/>
          </w:tcPr>
          <w:p>
            <w:pPr>
              <w:pageBreakBefore w:val="0"/>
              <w:kinsoku/>
              <w:bidi w:val="0"/>
              <w:spacing w:line="312" w:lineRule="auto"/>
              <w:jc w:val="center"/>
              <w:rPr>
                <w:rFonts w:hint="eastAsia" w:ascii="仿宋" w:hAnsi="仿宋" w:eastAsia="仿宋" w:cs="仿宋"/>
                <w:b/>
                <w:bCs w:val="0"/>
                <w:sz w:val="22"/>
                <w:szCs w:val="22"/>
                <w:highlight w:val="none"/>
              </w:rPr>
            </w:pPr>
            <w:r>
              <w:rPr>
                <w:rFonts w:hint="eastAsia" w:ascii="仿宋" w:hAnsi="仿宋" w:eastAsia="仿宋" w:cs="仿宋"/>
                <w:b/>
                <w:bCs w:val="0"/>
                <w:sz w:val="22"/>
                <w:szCs w:val="22"/>
                <w:highlight w:val="none"/>
              </w:rPr>
              <w:t>年龄</w:t>
            </w:r>
          </w:p>
        </w:tc>
        <w:tc>
          <w:tcPr>
            <w:tcW w:w="947" w:type="dxa"/>
            <w:noWrap w:val="0"/>
            <w:vAlign w:val="center"/>
          </w:tcPr>
          <w:p>
            <w:pPr>
              <w:pageBreakBefore w:val="0"/>
              <w:kinsoku/>
              <w:bidi w:val="0"/>
              <w:spacing w:line="312" w:lineRule="auto"/>
              <w:jc w:val="center"/>
              <w:rPr>
                <w:rFonts w:hint="eastAsia" w:ascii="仿宋" w:hAnsi="仿宋" w:eastAsia="仿宋" w:cs="仿宋"/>
                <w:b/>
                <w:bCs w:val="0"/>
                <w:sz w:val="22"/>
                <w:szCs w:val="22"/>
                <w:highlight w:val="none"/>
                <w:lang w:val="en-US" w:eastAsia="zh-CN"/>
              </w:rPr>
            </w:pPr>
            <w:r>
              <w:rPr>
                <w:rFonts w:hint="eastAsia" w:ascii="仿宋" w:hAnsi="仿宋" w:eastAsia="仿宋" w:cs="仿宋"/>
                <w:b/>
                <w:bCs w:val="0"/>
                <w:sz w:val="22"/>
                <w:szCs w:val="22"/>
                <w:highlight w:val="none"/>
                <w:lang w:val="en-US" w:eastAsia="zh-CN"/>
              </w:rPr>
              <w:t>学历</w:t>
            </w:r>
          </w:p>
        </w:tc>
        <w:tc>
          <w:tcPr>
            <w:tcW w:w="1055" w:type="dxa"/>
            <w:noWrap w:val="0"/>
            <w:vAlign w:val="center"/>
          </w:tcPr>
          <w:p>
            <w:pPr>
              <w:pageBreakBefore w:val="0"/>
              <w:kinsoku/>
              <w:bidi w:val="0"/>
              <w:spacing w:line="312" w:lineRule="auto"/>
              <w:jc w:val="center"/>
              <w:rPr>
                <w:rFonts w:hint="eastAsia" w:ascii="仿宋" w:hAnsi="仿宋" w:eastAsia="仿宋" w:cs="仿宋"/>
                <w:b/>
                <w:bCs w:val="0"/>
                <w:sz w:val="22"/>
                <w:szCs w:val="22"/>
                <w:highlight w:val="none"/>
                <w:lang w:val="en-US" w:eastAsia="zh-CN"/>
              </w:rPr>
            </w:pPr>
            <w:r>
              <w:rPr>
                <w:rFonts w:hint="eastAsia" w:ascii="仿宋" w:hAnsi="仿宋" w:eastAsia="仿宋" w:cs="仿宋"/>
                <w:b/>
                <w:bCs w:val="0"/>
                <w:sz w:val="22"/>
                <w:szCs w:val="22"/>
                <w:highlight w:val="none"/>
                <w:lang w:val="en-US" w:eastAsia="zh-CN"/>
              </w:rPr>
              <w:t>技术</w:t>
            </w:r>
          </w:p>
          <w:p>
            <w:pPr>
              <w:pageBreakBefore w:val="0"/>
              <w:kinsoku/>
              <w:bidi w:val="0"/>
              <w:spacing w:line="312" w:lineRule="auto"/>
              <w:jc w:val="center"/>
              <w:rPr>
                <w:rFonts w:hint="eastAsia" w:ascii="仿宋" w:hAnsi="仿宋" w:eastAsia="仿宋" w:cs="仿宋"/>
                <w:b/>
                <w:bCs w:val="0"/>
                <w:sz w:val="22"/>
                <w:szCs w:val="22"/>
                <w:highlight w:val="none"/>
                <w:lang w:val="en-US" w:eastAsia="zh-CN"/>
              </w:rPr>
            </w:pPr>
            <w:r>
              <w:rPr>
                <w:rFonts w:hint="eastAsia" w:ascii="仿宋" w:hAnsi="仿宋" w:eastAsia="仿宋" w:cs="仿宋"/>
                <w:b/>
                <w:bCs w:val="0"/>
                <w:sz w:val="22"/>
                <w:szCs w:val="22"/>
                <w:highlight w:val="none"/>
                <w:lang w:val="en-US" w:eastAsia="zh-CN"/>
              </w:rPr>
              <w:t>职称</w:t>
            </w:r>
          </w:p>
        </w:tc>
        <w:tc>
          <w:tcPr>
            <w:tcW w:w="1055" w:type="dxa"/>
            <w:noWrap w:val="0"/>
            <w:vAlign w:val="center"/>
          </w:tcPr>
          <w:p>
            <w:pPr>
              <w:pageBreakBefore w:val="0"/>
              <w:kinsoku/>
              <w:bidi w:val="0"/>
              <w:spacing w:line="312" w:lineRule="auto"/>
              <w:jc w:val="center"/>
              <w:rPr>
                <w:rFonts w:hint="eastAsia" w:ascii="仿宋" w:hAnsi="仿宋" w:eastAsia="仿宋" w:cs="仿宋"/>
                <w:b/>
                <w:bCs w:val="0"/>
                <w:sz w:val="22"/>
                <w:szCs w:val="22"/>
                <w:highlight w:val="none"/>
                <w:lang w:val="en-US" w:eastAsia="zh-CN"/>
              </w:rPr>
            </w:pPr>
            <w:r>
              <w:rPr>
                <w:rFonts w:hint="eastAsia" w:ascii="仿宋" w:hAnsi="仿宋" w:eastAsia="仿宋" w:cs="仿宋"/>
                <w:b/>
                <w:bCs w:val="0"/>
                <w:sz w:val="22"/>
                <w:szCs w:val="22"/>
                <w:highlight w:val="none"/>
                <w:lang w:val="en-US" w:eastAsia="zh-CN"/>
              </w:rPr>
              <w:t>资格证</w:t>
            </w:r>
          </w:p>
          <w:p>
            <w:pPr>
              <w:pageBreakBefore w:val="0"/>
              <w:kinsoku/>
              <w:bidi w:val="0"/>
              <w:spacing w:line="312" w:lineRule="auto"/>
              <w:jc w:val="center"/>
              <w:rPr>
                <w:rFonts w:hint="eastAsia" w:ascii="仿宋" w:hAnsi="仿宋" w:eastAsia="仿宋" w:cs="仿宋"/>
                <w:b/>
                <w:bCs w:val="0"/>
                <w:sz w:val="22"/>
                <w:szCs w:val="22"/>
                <w:highlight w:val="none"/>
                <w:lang w:val="en-US" w:eastAsia="zh-CN"/>
              </w:rPr>
            </w:pPr>
            <w:r>
              <w:rPr>
                <w:rFonts w:hint="eastAsia" w:ascii="仿宋" w:hAnsi="仿宋" w:eastAsia="仿宋" w:cs="仿宋"/>
                <w:b/>
                <w:bCs w:val="0"/>
                <w:sz w:val="22"/>
                <w:szCs w:val="22"/>
                <w:highlight w:val="none"/>
                <w:lang w:val="en-US" w:eastAsia="zh-CN"/>
              </w:rPr>
              <w:t>书种类</w:t>
            </w:r>
          </w:p>
        </w:tc>
        <w:tc>
          <w:tcPr>
            <w:tcW w:w="1055" w:type="dxa"/>
            <w:noWrap w:val="0"/>
            <w:vAlign w:val="center"/>
          </w:tcPr>
          <w:p>
            <w:pPr>
              <w:pageBreakBefore w:val="0"/>
              <w:kinsoku/>
              <w:bidi w:val="0"/>
              <w:spacing w:line="312" w:lineRule="auto"/>
              <w:jc w:val="center"/>
              <w:rPr>
                <w:rFonts w:hint="eastAsia" w:ascii="仿宋" w:hAnsi="仿宋" w:eastAsia="仿宋" w:cs="仿宋"/>
                <w:b/>
                <w:bCs w:val="0"/>
                <w:sz w:val="22"/>
                <w:szCs w:val="22"/>
                <w:highlight w:val="none"/>
                <w:lang w:val="en-US" w:eastAsia="zh-CN"/>
              </w:rPr>
            </w:pPr>
            <w:r>
              <w:rPr>
                <w:rFonts w:hint="eastAsia" w:ascii="仿宋" w:hAnsi="仿宋" w:eastAsia="仿宋" w:cs="仿宋"/>
                <w:b/>
                <w:bCs w:val="0"/>
                <w:sz w:val="22"/>
                <w:szCs w:val="22"/>
                <w:highlight w:val="none"/>
                <w:lang w:val="en-US" w:eastAsia="zh-CN"/>
              </w:rPr>
              <w:t>工作</w:t>
            </w:r>
          </w:p>
          <w:p>
            <w:pPr>
              <w:pageBreakBefore w:val="0"/>
              <w:kinsoku/>
              <w:bidi w:val="0"/>
              <w:spacing w:line="312" w:lineRule="auto"/>
              <w:jc w:val="center"/>
              <w:rPr>
                <w:rFonts w:hint="eastAsia" w:ascii="仿宋" w:hAnsi="仿宋" w:eastAsia="仿宋" w:cs="仿宋"/>
                <w:b/>
                <w:bCs w:val="0"/>
                <w:sz w:val="22"/>
                <w:szCs w:val="22"/>
                <w:highlight w:val="none"/>
                <w:lang w:val="en-US" w:eastAsia="zh-CN"/>
              </w:rPr>
            </w:pPr>
            <w:r>
              <w:rPr>
                <w:rFonts w:hint="eastAsia" w:ascii="仿宋" w:hAnsi="仿宋" w:eastAsia="仿宋" w:cs="仿宋"/>
                <w:b/>
                <w:bCs w:val="0"/>
                <w:sz w:val="22"/>
                <w:szCs w:val="22"/>
                <w:highlight w:val="none"/>
                <w:lang w:val="en-US" w:eastAsia="zh-CN"/>
              </w:rPr>
              <w:t>年限</w:t>
            </w:r>
          </w:p>
        </w:tc>
        <w:tc>
          <w:tcPr>
            <w:tcW w:w="1055" w:type="dxa"/>
            <w:noWrap w:val="0"/>
            <w:vAlign w:val="center"/>
          </w:tcPr>
          <w:p>
            <w:pPr>
              <w:pageBreakBefore w:val="0"/>
              <w:kinsoku/>
              <w:bidi w:val="0"/>
              <w:spacing w:line="312" w:lineRule="auto"/>
              <w:jc w:val="center"/>
              <w:rPr>
                <w:rFonts w:hint="eastAsia" w:ascii="仿宋" w:hAnsi="仿宋" w:eastAsia="仿宋" w:cs="仿宋"/>
                <w:b/>
                <w:bCs w:val="0"/>
                <w:sz w:val="22"/>
                <w:szCs w:val="22"/>
                <w:highlight w:val="none"/>
              </w:rPr>
            </w:pPr>
            <w:r>
              <w:rPr>
                <w:rFonts w:hint="eastAsia" w:ascii="仿宋" w:hAnsi="仿宋" w:eastAsia="仿宋" w:cs="仿宋"/>
                <w:b/>
                <w:bCs w:val="0"/>
                <w:sz w:val="22"/>
                <w:szCs w:val="22"/>
                <w:highlight w:val="none"/>
              </w:rPr>
              <w:t>拟任</w:t>
            </w:r>
          </w:p>
          <w:p>
            <w:pPr>
              <w:pageBreakBefore w:val="0"/>
              <w:kinsoku/>
              <w:bidi w:val="0"/>
              <w:spacing w:line="312" w:lineRule="auto"/>
              <w:jc w:val="center"/>
              <w:rPr>
                <w:rFonts w:hint="eastAsia" w:ascii="仿宋" w:hAnsi="仿宋" w:eastAsia="仿宋" w:cs="仿宋"/>
                <w:b/>
                <w:bCs w:val="0"/>
                <w:sz w:val="22"/>
                <w:szCs w:val="22"/>
                <w:highlight w:val="none"/>
              </w:rPr>
            </w:pPr>
            <w:r>
              <w:rPr>
                <w:rFonts w:hint="eastAsia" w:ascii="仿宋" w:hAnsi="仿宋" w:eastAsia="仿宋" w:cs="仿宋"/>
                <w:b/>
                <w:bCs w:val="0"/>
                <w:sz w:val="22"/>
                <w:szCs w:val="22"/>
                <w:highlight w:val="none"/>
              </w:rPr>
              <w:t>职务</w:t>
            </w:r>
          </w:p>
        </w:tc>
        <w:tc>
          <w:tcPr>
            <w:tcW w:w="1055" w:type="dxa"/>
            <w:noWrap w:val="0"/>
            <w:vAlign w:val="center"/>
          </w:tcPr>
          <w:p>
            <w:pPr>
              <w:pageBreakBefore w:val="0"/>
              <w:kinsoku/>
              <w:bidi w:val="0"/>
              <w:spacing w:line="312" w:lineRule="auto"/>
              <w:jc w:val="center"/>
              <w:rPr>
                <w:rFonts w:hint="eastAsia" w:ascii="仿宋" w:hAnsi="仿宋" w:eastAsia="仿宋" w:cs="仿宋"/>
                <w:b/>
                <w:bCs w:val="0"/>
                <w:sz w:val="22"/>
                <w:szCs w:val="22"/>
                <w:highlight w:val="none"/>
                <w:lang w:val="en-US" w:eastAsia="zh-CN"/>
              </w:rPr>
            </w:pPr>
            <w:r>
              <w:rPr>
                <w:rFonts w:hint="eastAsia" w:ascii="仿宋" w:hAnsi="仿宋" w:eastAsia="仿宋" w:cs="仿宋"/>
                <w:b/>
                <w:bCs w:val="0"/>
                <w:sz w:val="22"/>
                <w:szCs w:val="22"/>
                <w:highlight w:val="none"/>
                <w:lang w:val="en-US" w:eastAsia="zh-CN"/>
              </w:rPr>
              <w:t>岗位</w:t>
            </w:r>
          </w:p>
          <w:p>
            <w:pPr>
              <w:pageBreakBefore w:val="0"/>
              <w:kinsoku/>
              <w:bidi w:val="0"/>
              <w:spacing w:line="312" w:lineRule="auto"/>
              <w:jc w:val="center"/>
              <w:rPr>
                <w:rFonts w:hint="eastAsia" w:ascii="仿宋" w:hAnsi="仿宋" w:eastAsia="仿宋" w:cs="仿宋"/>
                <w:b/>
                <w:bCs w:val="0"/>
                <w:sz w:val="22"/>
                <w:szCs w:val="22"/>
                <w:highlight w:val="none"/>
                <w:lang w:val="en-US" w:eastAsia="zh-CN"/>
              </w:rPr>
            </w:pPr>
            <w:r>
              <w:rPr>
                <w:rFonts w:hint="eastAsia" w:ascii="仿宋" w:hAnsi="仿宋" w:eastAsia="仿宋" w:cs="仿宋"/>
                <w:b/>
                <w:bCs w:val="0"/>
                <w:sz w:val="22"/>
                <w:szCs w:val="22"/>
                <w:highlight w:val="none"/>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763"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7"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763"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7"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763"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7"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763"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7"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763"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7"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763"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4" w:type="dxa"/>
            <w:noWrap w:val="0"/>
            <w:vAlign w:val="center"/>
          </w:tcPr>
          <w:p>
            <w:pPr>
              <w:pageBreakBefore w:val="0"/>
              <w:kinsoku/>
              <w:bidi w:val="0"/>
              <w:spacing w:line="312" w:lineRule="auto"/>
              <w:jc w:val="center"/>
              <w:rPr>
                <w:rFonts w:hint="eastAsia" w:ascii="仿宋" w:hAnsi="仿宋" w:eastAsia="仿宋" w:cs="仿宋"/>
                <w:sz w:val="18"/>
                <w:szCs w:val="20"/>
                <w:highlight w:val="none"/>
              </w:rPr>
            </w:pPr>
          </w:p>
        </w:tc>
        <w:tc>
          <w:tcPr>
            <w:tcW w:w="947"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c>
          <w:tcPr>
            <w:tcW w:w="1055" w:type="dxa"/>
            <w:noWrap w:val="0"/>
            <w:vAlign w:val="top"/>
          </w:tcPr>
          <w:p>
            <w:pPr>
              <w:pageBreakBefore w:val="0"/>
              <w:kinsoku/>
              <w:bidi w:val="0"/>
              <w:spacing w:line="312" w:lineRule="auto"/>
              <w:jc w:val="center"/>
              <w:rPr>
                <w:rFonts w:hint="eastAsia" w:ascii="仿宋" w:hAnsi="仿宋" w:eastAsia="仿宋" w:cs="仿宋"/>
                <w:sz w:val="18"/>
                <w:szCs w:val="20"/>
                <w:highlight w:val="none"/>
              </w:rPr>
            </w:pPr>
          </w:p>
        </w:tc>
      </w:tr>
    </w:tbl>
    <w:p>
      <w:pPr>
        <w:pageBreakBefore w:val="0"/>
        <w:kinsoku/>
        <w:autoSpaceDE w:val="0"/>
        <w:autoSpaceDN w:val="0"/>
        <w:bidi w:val="0"/>
        <w:spacing w:line="312" w:lineRule="auto"/>
        <w:ind w:firstLine="234" w:firstLineChars="100"/>
        <w:rPr>
          <w:rFonts w:hint="eastAsia" w:ascii="仿宋" w:hAnsi="仿宋" w:eastAsia="仿宋" w:cs="仿宋"/>
          <w:spacing w:val="-3"/>
          <w:sz w:val="24"/>
          <w:highlight w:val="none"/>
        </w:rPr>
      </w:pPr>
    </w:p>
    <w:p>
      <w:pPr>
        <w:pStyle w:val="102"/>
        <w:pageBreakBefore w:val="0"/>
        <w:tabs>
          <w:tab w:val="left" w:pos="2040"/>
        </w:tabs>
        <w:bidi w:val="0"/>
        <w:spacing w:beforeLines="0" w:line="312" w:lineRule="auto"/>
        <w:ind w:left="843" w:leftChars="115" w:hanging="602" w:hangingChars="25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说明：</w:t>
      </w:r>
    </w:p>
    <w:p>
      <w:pPr>
        <w:pStyle w:val="102"/>
        <w:pageBreakBefore w:val="0"/>
        <w:tabs>
          <w:tab w:val="left" w:pos="2040"/>
        </w:tabs>
        <w:bidi w:val="0"/>
        <w:spacing w:beforeLines="0" w:line="312" w:lineRule="auto"/>
        <w:ind w:left="0" w:firstLine="723" w:firstLineChars="3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1.“岗位情况”须注明该人在本单位是在岗、返聘还是外聘。</w:t>
      </w:r>
    </w:p>
    <w:p>
      <w:pPr>
        <w:pStyle w:val="102"/>
        <w:pageBreakBefore w:val="0"/>
        <w:tabs>
          <w:tab w:val="left" w:pos="2040"/>
        </w:tabs>
        <w:bidi w:val="0"/>
        <w:spacing w:beforeLines="0" w:line="312" w:lineRule="auto"/>
        <w:ind w:left="0" w:firstLine="723" w:firstLineChars="3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2.供应商可适当调整该表格式，但不得减少信息内容。</w:t>
      </w:r>
    </w:p>
    <w:p>
      <w:pPr>
        <w:pStyle w:val="102"/>
        <w:pageBreakBefore w:val="0"/>
        <w:tabs>
          <w:tab w:val="left" w:pos="2040"/>
        </w:tabs>
        <w:bidi w:val="0"/>
        <w:spacing w:beforeLines="0" w:line="312" w:lineRule="auto"/>
        <w:ind w:left="0" w:firstLine="723" w:firstLineChars="300"/>
        <w:rPr>
          <w:rFonts w:hint="eastAsia" w:ascii="仿宋" w:hAnsi="仿宋" w:eastAsia="仿宋" w:cs="仿宋"/>
          <w:b/>
          <w:bCs/>
          <w:color w:val="auto"/>
          <w:kern w:val="2"/>
          <w:sz w:val="24"/>
          <w:szCs w:val="24"/>
          <w:highlight w:val="none"/>
          <w:lang w:val="en-US" w:eastAsia="zh-CN" w:bidi="ar-SA"/>
        </w:rPr>
      </w:pPr>
    </w:p>
    <w:p>
      <w:pPr>
        <w:pageBreakBefore w:val="0"/>
        <w:kinsoku/>
        <w:bidi w:val="0"/>
        <w:spacing w:line="312" w:lineRule="auto"/>
        <w:rPr>
          <w:rFonts w:hint="eastAsia" w:ascii="仿宋" w:hAnsi="仿宋" w:eastAsia="仿宋" w:cs="仿宋"/>
          <w:highlight w:val="none"/>
        </w:rPr>
      </w:pP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（盖</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章）</w:t>
      </w: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lang w:val="zh-CN"/>
        </w:rPr>
        <w:t>或委托代理人：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（签字或盖章）</w:t>
      </w: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日期：</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p>
    <w:p>
      <w:pPr>
        <w:pageBreakBefore w:val="0"/>
        <w:bidi w:val="0"/>
        <w:spacing w:line="312"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pStyle w:val="100"/>
        <w:keepNext w:val="0"/>
        <w:keepLines w:val="0"/>
        <w:pageBreakBefore w:val="0"/>
        <w:widowControl w:val="0"/>
        <w:kinsoku/>
        <w:wordWrap/>
        <w:overflowPunct/>
        <w:topLinePunct w:val="0"/>
        <w:autoSpaceDE w:val="0"/>
        <w:autoSpaceDN w:val="0"/>
        <w:bidi w:val="0"/>
        <w:adjustRightInd w:val="0"/>
        <w:snapToGrid/>
        <w:spacing w:line="312" w:lineRule="auto"/>
        <w:ind w:firstLine="0" w:firstLineChars="0"/>
        <w:jc w:val="center"/>
        <w:textAlignment w:val="baseline"/>
        <w:outlineLvl w:val="9"/>
        <w:rPr>
          <w:rFonts w:hint="eastAsia" w:ascii="仿宋" w:hAnsi="仿宋" w:eastAsia="仿宋" w:cs="仿宋"/>
          <w:b/>
          <w:bCs w:val="0"/>
          <w:color w:val="auto"/>
          <w:kern w:val="2"/>
          <w:sz w:val="32"/>
          <w:szCs w:val="21"/>
          <w:highlight w:val="none"/>
          <w:lang w:val="en-US" w:eastAsia="zh-CN" w:bidi="ar-SA"/>
        </w:rPr>
      </w:pPr>
      <w:bookmarkStart w:id="62" w:name="_Toc426457712"/>
      <w:bookmarkStart w:id="63" w:name="_Toc23655"/>
      <w:bookmarkStart w:id="64" w:name="_Toc396304716"/>
      <w:bookmarkStart w:id="65" w:name="_Toc403077654"/>
      <w:bookmarkStart w:id="66" w:name="_Toc1696"/>
      <w:bookmarkStart w:id="67" w:name="_Toc12576"/>
      <w:bookmarkStart w:id="68" w:name="_Toc21195"/>
      <w:bookmarkStart w:id="69" w:name="_Toc23862"/>
      <w:bookmarkStart w:id="70" w:name="_Toc4640"/>
      <w:bookmarkStart w:id="71" w:name="_Toc7987"/>
      <w:bookmarkStart w:id="72" w:name="_Toc26268"/>
      <w:bookmarkStart w:id="73" w:name="_Toc30540"/>
      <w:r>
        <w:rPr>
          <w:rFonts w:hint="eastAsia" w:ascii="仿宋" w:hAnsi="仿宋" w:eastAsia="仿宋" w:cs="仿宋"/>
          <w:b/>
          <w:bCs w:val="0"/>
          <w:color w:val="auto"/>
          <w:kern w:val="2"/>
          <w:sz w:val="32"/>
          <w:szCs w:val="21"/>
          <w:highlight w:val="none"/>
          <w:lang w:val="en-US" w:eastAsia="zh-CN" w:bidi="ar-SA"/>
        </w:rPr>
        <w:t>本项目拟投入主要人员简历表</w:t>
      </w:r>
      <w:bookmarkEnd w:id="62"/>
      <w:bookmarkEnd w:id="63"/>
      <w:bookmarkEnd w:id="64"/>
      <w:bookmarkEnd w:id="65"/>
      <w:bookmarkEnd w:id="66"/>
      <w:bookmarkEnd w:id="67"/>
      <w:bookmarkEnd w:id="68"/>
      <w:bookmarkEnd w:id="69"/>
      <w:bookmarkEnd w:id="70"/>
      <w:bookmarkEnd w:id="71"/>
      <w:bookmarkEnd w:id="72"/>
      <w:bookmarkEnd w:id="73"/>
    </w:p>
    <w:p>
      <w:pPr>
        <w:pStyle w:val="100"/>
        <w:keepNext w:val="0"/>
        <w:keepLines w:val="0"/>
        <w:pageBreakBefore w:val="0"/>
        <w:widowControl w:val="0"/>
        <w:kinsoku/>
        <w:wordWrap/>
        <w:overflowPunct/>
        <w:topLinePunct w:val="0"/>
        <w:autoSpaceDE w:val="0"/>
        <w:autoSpaceDN w:val="0"/>
        <w:bidi w:val="0"/>
        <w:adjustRightInd w:val="0"/>
        <w:snapToGrid/>
        <w:spacing w:line="312" w:lineRule="auto"/>
        <w:ind w:firstLine="0" w:firstLineChars="0"/>
        <w:jc w:val="center"/>
        <w:textAlignment w:val="baseline"/>
        <w:outlineLvl w:val="9"/>
        <w:rPr>
          <w:rFonts w:hint="eastAsia" w:ascii="仿宋" w:hAnsi="仿宋" w:eastAsia="仿宋" w:cs="仿宋"/>
          <w:b/>
          <w:bCs w:val="0"/>
          <w:color w:val="auto"/>
          <w:kern w:val="2"/>
          <w:sz w:val="32"/>
          <w:szCs w:val="21"/>
          <w:highlight w:val="none"/>
          <w:lang w:val="en-US" w:eastAsia="zh-CN" w:bidi="ar-SA"/>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290"/>
        <w:gridCol w:w="1682"/>
        <w:gridCol w:w="1627"/>
        <w:gridCol w:w="1372"/>
        <w:gridCol w:w="48"/>
        <w:gridCol w:w="1823"/>
        <w:gridCol w:w="8"/>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890" w:type="dxa"/>
            <w:gridSpan w:val="2"/>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姓  名</w:t>
            </w:r>
          </w:p>
        </w:tc>
        <w:tc>
          <w:tcPr>
            <w:tcW w:w="1682" w:type="dxa"/>
            <w:noWrap w:val="0"/>
            <w:vAlign w:val="center"/>
          </w:tcPr>
          <w:p>
            <w:pPr>
              <w:pStyle w:val="101"/>
              <w:pageBreakBefore w:val="0"/>
              <w:bidi w:val="0"/>
              <w:spacing w:line="312" w:lineRule="auto"/>
              <w:ind w:left="0" w:leftChars="0"/>
              <w:rPr>
                <w:rFonts w:hint="eastAsia" w:ascii="仿宋" w:hAnsi="仿宋" w:eastAsia="仿宋" w:cs="仿宋"/>
              </w:rPr>
            </w:pPr>
          </w:p>
        </w:tc>
        <w:tc>
          <w:tcPr>
            <w:tcW w:w="1627" w:type="dxa"/>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性 别</w:t>
            </w:r>
          </w:p>
        </w:tc>
        <w:tc>
          <w:tcPr>
            <w:tcW w:w="1420" w:type="dxa"/>
            <w:gridSpan w:val="2"/>
            <w:noWrap w:val="0"/>
            <w:vAlign w:val="center"/>
          </w:tcPr>
          <w:p>
            <w:pPr>
              <w:pStyle w:val="101"/>
              <w:pageBreakBefore w:val="0"/>
              <w:bidi w:val="0"/>
              <w:spacing w:line="312" w:lineRule="auto"/>
              <w:ind w:left="0" w:leftChars="0"/>
              <w:rPr>
                <w:rFonts w:hint="eastAsia" w:ascii="仿宋" w:hAnsi="仿宋" w:eastAsia="仿宋" w:cs="仿宋"/>
              </w:rPr>
            </w:pPr>
          </w:p>
        </w:tc>
        <w:tc>
          <w:tcPr>
            <w:tcW w:w="1823" w:type="dxa"/>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年 龄</w:t>
            </w:r>
          </w:p>
        </w:tc>
        <w:tc>
          <w:tcPr>
            <w:tcW w:w="1215" w:type="dxa"/>
            <w:gridSpan w:val="2"/>
            <w:noWrap w:val="0"/>
            <w:vAlign w:val="center"/>
          </w:tcPr>
          <w:p>
            <w:pPr>
              <w:pStyle w:val="101"/>
              <w:pageBreakBefore w:val="0"/>
              <w:bidi w:val="0"/>
              <w:spacing w:line="312" w:lineRule="auto"/>
              <w:ind w:left="0" w:leftChars="0" w:firstLine="420" w:firstLineChars="200"/>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890" w:type="dxa"/>
            <w:gridSpan w:val="2"/>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职  称</w:t>
            </w:r>
          </w:p>
        </w:tc>
        <w:tc>
          <w:tcPr>
            <w:tcW w:w="1682" w:type="dxa"/>
            <w:noWrap w:val="0"/>
            <w:vAlign w:val="center"/>
          </w:tcPr>
          <w:p>
            <w:pPr>
              <w:pStyle w:val="101"/>
              <w:pageBreakBefore w:val="0"/>
              <w:bidi w:val="0"/>
              <w:spacing w:line="312" w:lineRule="auto"/>
              <w:ind w:left="0" w:leftChars="0"/>
              <w:rPr>
                <w:rFonts w:hint="eastAsia" w:ascii="仿宋" w:hAnsi="仿宋" w:eastAsia="仿宋" w:cs="仿宋"/>
              </w:rPr>
            </w:pPr>
          </w:p>
        </w:tc>
        <w:tc>
          <w:tcPr>
            <w:tcW w:w="1627" w:type="dxa"/>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身份证号</w:t>
            </w:r>
          </w:p>
        </w:tc>
        <w:tc>
          <w:tcPr>
            <w:tcW w:w="1420" w:type="dxa"/>
            <w:gridSpan w:val="2"/>
            <w:noWrap w:val="0"/>
            <w:vAlign w:val="center"/>
          </w:tcPr>
          <w:p>
            <w:pPr>
              <w:pStyle w:val="101"/>
              <w:pageBreakBefore w:val="0"/>
              <w:bidi w:val="0"/>
              <w:spacing w:line="312" w:lineRule="auto"/>
              <w:ind w:left="0" w:leftChars="0"/>
              <w:rPr>
                <w:rFonts w:hint="eastAsia" w:ascii="仿宋" w:hAnsi="仿宋" w:eastAsia="仿宋" w:cs="仿宋"/>
              </w:rPr>
            </w:pPr>
          </w:p>
        </w:tc>
        <w:tc>
          <w:tcPr>
            <w:tcW w:w="1823" w:type="dxa"/>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专业/年限</w:t>
            </w:r>
          </w:p>
        </w:tc>
        <w:tc>
          <w:tcPr>
            <w:tcW w:w="1215" w:type="dxa"/>
            <w:gridSpan w:val="2"/>
            <w:noWrap w:val="0"/>
            <w:vAlign w:val="center"/>
          </w:tcPr>
          <w:p>
            <w:pPr>
              <w:pStyle w:val="101"/>
              <w:pageBreakBefore w:val="0"/>
              <w:bidi w:val="0"/>
              <w:spacing w:line="312" w:lineRule="auto"/>
              <w:ind w:left="0" w:leftChars="0" w:firstLine="420" w:firstLineChars="200"/>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890" w:type="dxa"/>
            <w:gridSpan w:val="2"/>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毕业时间</w:t>
            </w:r>
          </w:p>
        </w:tc>
        <w:tc>
          <w:tcPr>
            <w:tcW w:w="1682" w:type="dxa"/>
            <w:noWrap w:val="0"/>
            <w:vAlign w:val="center"/>
          </w:tcPr>
          <w:p>
            <w:pPr>
              <w:pStyle w:val="101"/>
              <w:pageBreakBefore w:val="0"/>
              <w:bidi w:val="0"/>
              <w:spacing w:line="312" w:lineRule="auto"/>
              <w:ind w:left="0" w:leftChars="0"/>
              <w:rPr>
                <w:rFonts w:hint="eastAsia" w:ascii="仿宋" w:hAnsi="仿宋" w:eastAsia="仿宋" w:cs="仿宋"/>
              </w:rPr>
            </w:pPr>
          </w:p>
        </w:tc>
        <w:tc>
          <w:tcPr>
            <w:tcW w:w="1627" w:type="dxa"/>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毕业学校</w:t>
            </w:r>
          </w:p>
        </w:tc>
        <w:tc>
          <w:tcPr>
            <w:tcW w:w="1420" w:type="dxa"/>
            <w:gridSpan w:val="2"/>
            <w:noWrap w:val="0"/>
            <w:vAlign w:val="center"/>
          </w:tcPr>
          <w:p>
            <w:pPr>
              <w:pStyle w:val="101"/>
              <w:pageBreakBefore w:val="0"/>
              <w:bidi w:val="0"/>
              <w:spacing w:line="312" w:lineRule="auto"/>
              <w:ind w:left="0" w:leftChars="0"/>
              <w:rPr>
                <w:rFonts w:hint="eastAsia" w:ascii="仿宋" w:hAnsi="仿宋" w:eastAsia="仿宋" w:cs="仿宋"/>
              </w:rPr>
            </w:pPr>
          </w:p>
        </w:tc>
        <w:tc>
          <w:tcPr>
            <w:tcW w:w="1823" w:type="dxa"/>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学历/专业</w:t>
            </w:r>
          </w:p>
        </w:tc>
        <w:tc>
          <w:tcPr>
            <w:tcW w:w="1215" w:type="dxa"/>
            <w:gridSpan w:val="2"/>
            <w:noWrap w:val="0"/>
            <w:vAlign w:val="center"/>
          </w:tcPr>
          <w:p>
            <w:pPr>
              <w:pStyle w:val="101"/>
              <w:pageBreakBefore w:val="0"/>
              <w:bidi w:val="0"/>
              <w:spacing w:line="312" w:lineRule="auto"/>
              <w:ind w:left="0" w:leftChars="0" w:firstLine="420" w:firstLineChars="200"/>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890" w:type="dxa"/>
            <w:gridSpan w:val="2"/>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资格证书</w:t>
            </w:r>
          </w:p>
        </w:tc>
        <w:tc>
          <w:tcPr>
            <w:tcW w:w="1682" w:type="dxa"/>
            <w:noWrap w:val="0"/>
            <w:vAlign w:val="center"/>
          </w:tcPr>
          <w:p>
            <w:pPr>
              <w:pStyle w:val="101"/>
              <w:pageBreakBefore w:val="0"/>
              <w:bidi w:val="0"/>
              <w:spacing w:line="312" w:lineRule="auto"/>
              <w:ind w:left="0" w:leftChars="0"/>
              <w:rPr>
                <w:rFonts w:hint="eastAsia" w:ascii="仿宋" w:hAnsi="仿宋" w:eastAsia="仿宋" w:cs="仿宋"/>
              </w:rPr>
            </w:pPr>
          </w:p>
        </w:tc>
        <w:tc>
          <w:tcPr>
            <w:tcW w:w="1627" w:type="dxa"/>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注册时间</w:t>
            </w:r>
          </w:p>
        </w:tc>
        <w:tc>
          <w:tcPr>
            <w:tcW w:w="1420" w:type="dxa"/>
            <w:gridSpan w:val="2"/>
            <w:noWrap w:val="0"/>
            <w:vAlign w:val="center"/>
          </w:tcPr>
          <w:p>
            <w:pPr>
              <w:pStyle w:val="101"/>
              <w:pageBreakBefore w:val="0"/>
              <w:bidi w:val="0"/>
              <w:spacing w:line="312" w:lineRule="auto"/>
              <w:ind w:left="0" w:leftChars="0"/>
              <w:rPr>
                <w:rFonts w:hint="eastAsia" w:ascii="仿宋" w:hAnsi="仿宋" w:eastAsia="仿宋" w:cs="仿宋"/>
              </w:rPr>
            </w:pPr>
          </w:p>
        </w:tc>
        <w:tc>
          <w:tcPr>
            <w:tcW w:w="1823" w:type="dxa"/>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从业时间</w:t>
            </w:r>
          </w:p>
        </w:tc>
        <w:tc>
          <w:tcPr>
            <w:tcW w:w="1215" w:type="dxa"/>
            <w:gridSpan w:val="2"/>
            <w:noWrap w:val="0"/>
            <w:vAlign w:val="center"/>
          </w:tcPr>
          <w:p>
            <w:pPr>
              <w:pStyle w:val="101"/>
              <w:pageBreakBefore w:val="0"/>
              <w:bidi w:val="0"/>
              <w:spacing w:line="312" w:lineRule="auto"/>
              <w:ind w:left="0" w:leftChars="0" w:firstLine="420" w:firstLineChars="200"/>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572" w:type="dxa"/>
            <w:gridSpan w:val="3"/>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是否属</w:t>
            </w:r>
            <w:r>
              <w:rPr>
                <w:rFonts w:hint="eastAsia" w:ascii="仿宋" w:hAnsi="仿宋" w:eastAsia="仿宋" w:cs="仿宋"/>
                <w:lang w:eastAsia="zh-CN"/>
              </w:rPr>
              <w:t>供应商</w:t>
            </w:r>
            <w:r>
              <w:rPr>
                <w:rFonts w:hint="eastAsia" w:ascii="仿宋" w:hAnsi="仿宋" w:eastAsia="仿宋" w:cs="仿宋"/>
              </w:rPr>
              <w:t>固定雇员</w:t>
            </w:r>
          </w:p>
        </w:tc>
        <w:tc>
          <w:tcPr>
            <w:tcW w:w="1627" w:type="dxa"/>
            <w:noWrap w:val="0"/>
            <w:vAlign w:val="center"/>
          </w:tcPr>
          <w:p>
            <w:pPr>
              <w:pStyle w:val="101"/>
              <w:pageBreakBefore w:val="0"/>
              <w:bidi w:val="0"/>
              <w:spacing w:line="312" w:lineRule="auto"/>
              <w:ind w:left="0" w:leftChars="0"/>
              <w:rPr>
                <w:rFonts w:hint="eastAsia" w:ascii="仿宋" w:hAnsi="仿宋" w:eastAsia="仿宋" w:cs="仿宋"/>
              </w:rPr>
            </w:pPr>
          </w:p>
        </w:tc>
        <w:tc>
          <w:tcPr>
            <w:tcW w:w="3243" w:type="dxa"/>
            <w:gridSpan w:val="3"/>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为</w:t>
            </w:r>
            <w:r>
              <w:rPr>
                <w:rFonts w:hint="eastAsia" w:ascii="仿宋" w:hAnsi="仿宋" w:eastAsia="仿宋" w:cs="仿宋"/>
                <w:lang w:eastAsia="zh-CN"/>
              </w:rPr>
              <w:t>供应商</w:t>
            </w:r>
            <w:r>
              <w:rPr>
                <w:rFonts w:hint="eastAsia" w:ascii="仿宋" w:hAnsi="仿宋" w:eastAsia="仿宋" w:cs="仿宋"/>
              </w:rPr>
              <w:t>服务时间</w:t>
            </w:r>
          </w:p>
        </w:tc>
        <w:tc>
          <w:tcPr>
            <w:tcW w:w="1215" w:type="dxa"/>
            <w:gridSpan w:val="2"/>
            <w:noWrap w:val="0"/>
            <w:vAlign w:val="center"/>
          </w:tcPr>
          <w:p>
            <w:pPr>
              <w:pStyle w:val="101"/>
              <w:pageBreakBefore w:val="0"/>
              <w:bidi w:val="0"/>
              <w:spacing w:line="312" w:lineRule="auto"/>
              <w:ind w:left="0" w:leftChars="0" w:firstLine="420" w:firstLineChars="200"/>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572" w:type="dxa"/>
            <w:gridSpan w:val="3"/>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拟在本项目担任职务</w:t>
            </w:r>
          </w:p>
        </w:tc>
        <w:tc>
          <w:tcPr>
            <w:tcW w:w="6085" w:type="dxa"/>
            <w:gridSpan w:val="6"/>
            <w:noWrap w:val="0"/>
            <w:vAlign w:val="center"/>
          </w:tcPr>
          <w:p>
            <w:pPr>
              <w:pStyle w:val="101"/>
              <w:pageBreakBefore w:val="0"/>
              <w:bidi w:val="0"/>
              <w:spacing w:line="312" w:lineRule="auto"/>
              <w:ind w:left="0" w:leftChars="0"/>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657" w:type="dxa"/>
            <w:gridSpan w:val="9"/>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教育和培训背景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9657" w:type="dxa"/>
            <w:gridSpan w:val="9"/>
            <w:noWrap w:val="0"/>
            <w:vAlign w:val="top"/>
          </w:tcPr>
          <w:p>
            <w:pPr>
              <w:pStyle w:val="101"/>
              <w:pageBreakBefore w:val="0"/>
              <w:bidi w:val="0"/>
              <w:spacing w:line="312" w:lineRule="auto"/>
              <w:ind w:left="0" w:leftChars="0"/>
              <w:jc w:val="both"/>
              <w:rPr>
                <w:rFonts w:hint="eastAsia" w:ascii="仿宋" w:hAnsi="仿宋" w:eastAsia="仿宋" w:cs="仿宋"/>
              </w:rPr>
            </w:pPr>
            <w:r>
              <w:rPr>
                <w:rFonts w:hint="eastAsia" w:ascii="仿宋" w:hAnsi="仿宋" w:eastAsia="仿宋" w:cs="仿宋"/>
              </w:rPr>
              <w:t>（教育背景从大学开始，包括毕业院校名称、专业、起始时间。培训填写与专业技术、业务有关的内容）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9657" w:type="dxa"/>
            <w:gridSpan w:val="9"/>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600" w:type="dxa"/>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时  间</w:t>
            </w:r>
          </w:p>
        </w:tc>
        <w:tc>
          <w:tcPr>
            <w:tcW w:w="3599" w:type="dxa"/>
            <w:gridSpan w:val="3"/>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参加过的项目名称</w:t>
            </w:r>
          </w:p>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及当时所在单位</w:t>
            </w:r>
          </w:p>
        </w:tc>
        <w:tc>
          <w:tcPr>
            <w:tcW w:w="1372" w:type="dxa"/>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担任何职</w:t>
            </w:r>
          </w:p>
        </w:tc>
        <w:tc>
          <w:tcPr>
            <w:tcW w:w="1879" w:type="dxa"/>
            <w:gridSpan w:val="3"/>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主要工作内容</w:t>
            </w:r>
          </w:p>
        </w:tc>
        <w:tc>
          <w:tcPr>
            <w:tcW w:w="1207" w:type="dxa"/>
            <w:noWrap w:val="0"/>
            <w:vAlign w:val="center"/>
          </w:tcPr>
          <w:p>
            <w:pPr>
              <w:pStyle w:val="101"/>
              <w:pageBreakBefore w:val="0"/>
              <w:bidi w:val="0"/>
              <w:spacing w:line="312" w:lineRule="auto"/>
              <w:ind w:left="0" w:leftChars="0"/>
              <w:rPr>
                <w:rFonts w:hint="eastAsia" w:ascii="仿宋" w:hAnsi="仿宋" w:eastAsia="仿宋" w:cs="仿宋"/>
              </w:rPr>
            </w:pPr>
            <w:r>
              <w:rPr>
                <w:rFonts w:hint="eastAsia" w:ascii="仿宋" w:hAnsi="仿宋" w:eastAsia="仿宋" w:cs="仿宋"/>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600" w:type="dxa"/>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3599" w:type="dxa"/>
            <w:gridSpan w:val="3"/>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1372" w:type="dxa"/>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1879" w:type="dxa"/>
            <w:gridSpan w:val="3"/>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1207" w:type="dxa"/>
            <w:noWrap w:val="0"/>
            <w:vAlign w:val="center"/>
          </w:tcPr>
          <w:p>
            <w:pPr>
              <w:pStyle w:val="101"/>
              <w:pageBreakBefore w:val="0"/>
              <w:bidi w:val="0"/>
              <w:spacing w:line="312" w:lineRule="auto"/>
              <w:ind w:left="0" w:leftChars="0"/>
              <w:jc w:val="both"/>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600" w:type="dxa"/>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3599" w:type="dxa"/>
            <w:gridSpan w:val="3"/>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1372" w:type="dxa"/>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1879" w:type="dxa"/>
            <w:gridSpan w:val="3"/>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1207" w:type="dxa"/>
            <w:noWrap w:val="0"/>
            <w:vAlign w:val="center"/>
          </w:tcPr>
          <w:p>
            <w:pPr>
              <w:pStyle w:val="101"/>
              <w:pageBreakBefore w:val="0"/>
              <w:bidi w:val="0"/>
              <w:spacing w:line="312" w:lineRule="auto"/>
              <w:ind w:left="0" w:leftChars="0"/>
              <w:jc w:val="both"/>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600" w:type="dxa"/>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3599" w:type="dxa"/>
            <w:gridSpan w:val="3"/>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1372" w:type="dxa"/>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1879" w:type="dxa"/>
            <w:gridSpan w:val="3"/>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1207" w:type="dxa"/>
            <w:noWrap w:val="0"/>
            <w:vAlign w:val="center"/>
          </w:tcPr>
          <w:p>
            <w:pPr>
              <w:pStyle w:val="101"/>
              <w:pageBreakBefore w:val="0"/>
              <w:bidi w:val="0"/>
              <w:spacing w:line="312" w:lineRule="auto"/>
              <w:ind w:left="0" w:leftChars="0"/>
              <w:jc w:val="both"/>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600" w:type="dxa"/>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3599" w:type="dxa"/>
            <w:gridSpan w:val="3"/>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1372" w:type="dxa"/>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1879" w:type="dxa"/>
            <w:gridSpan w:val="3"/>
            <w:noWrap w:val="0"/>
            <w:vAlign w:val="center"/>
          </w:tcPr>
          <w:p>
            <w:pPr>
              <w:pStyle w:val="101"/>
              <w:pageBreakBefore w:val="0"/>
              <w:bidi w:val="0"/>
              <w:spacing w:line="312" w:lineRule="auto"/>
              <w:ind w:left="0" w:leftChars="0"/>
              <w:jc w:val="both"/>
              <w:rPr>
                <w:rFonts w:hint="eastAsia" w:ascii="仿宋" w:hAnsi="仿宋" w:eastAsia="仿宋" w:cs="仿宋"/>
              </w:rPr>
            </w:pPr>
          </w:p>
        </w:tc>
        <w:tc>
          <w:tcPr>
            <w:tcW w:w="1207" w:type="dxa"/>
            <w:noWrap w:val="0"/>
            <w:vAlign w:val="center"/>
          </w:tcPr>
          <w:p>
            <w:pPr>
              <w:pStyle w:val="101"/>
              <w:pageBreakBefore w:val="0"/>
              <w:bidi w:val="0"/>
              <w:spacing w:line="312" w:lineRule="auto"/>
              <w:ind w:left="0" w:leftChars="0"/>
              <w:jc w:val="both"/>
              <w:rPr>
                <w:rFonts w:hint="eastAsia" w:ascii="仿宋" w:hAnsi="仿宋" w:eastAsia="仿宋" w:cs="仿宋"/>
              </w:rPr>
            </w:pPr>
          </w:p>
        </w:tc>
      </w:tr>
    </w:tbl>
    <w:p>
      <w:pPr>
        <w:pStyle w:val="2"/>
        <w:pageBreakBefore w:val="0"/>
        <w:kinsoku/>
        <w:overflowPunct/>
        <w:bidi w:val="0"/>
        <w:spacing w:line="312" w:lineRule="auto"/>
        <w:ind w:firstLine="482" w:firstLineChars="200"/>
        <w:rPr>
          <w:rFonts w:hint="eastAsia" w:ascii="仿宋" w:hAnsi="仿宋" w:eastAsia="仿宋" w:cs="仿宋"/>
          <w:b/>
          <w:bCs/>
          <w:color w:val="auto"/>
          <w:sz w:val="24"/>
          <w:highlight w:val="none"/>
        </w:rPr>
      </w:pPr>
    </w:p>
    <w:p>
      <w:pPr>
        <w:pStyle w:val="2"/>
        <w:pageBreakBefore w:val="0"/>
        <w:kinsoku/>
        <w:overflowPunct/>
        <w:bidi w:val="0"/>
        <w:spacing w:line="312" w:lineRule="auto"/>
        <w:ind w:firstLine="482" w:firstLineChars="200"/>
        <w:rPr>
          <w:rFonts w:hint="eastAsia" w:ascii="仿宋" w:hAnsi="仿宋" w:eastAsia="仿宋" w:cs="仿宋"/>
          <w:b/>
          <w:bCs/>
          <w:sz w:val="24"/>
          <w:highlight w:val="none"/>
          <w:lang w:eastAsia="zh-CN"/>
        </w:rPr>
      </w:pPr>
      <w:r>
        <w:rPr>
          <w:rFonts w:hint="eastAsia" w:ascii="仿宋" w:hAnsi="仿宋" w:eastAsia="仿宋" w:cs="仿宋"/>
          <w:b/>
          <w:bCs/>
          <w:color w:val="auto"/>
          <w:sz w:val="24"/>
          <w:highlight w:val="none"/>
          <w:lang w:val="en-US" w:eastAsia="zh-CN"/>
        </w:rPr>
        <w:t>说明：表后附身份证、毕业证、职称证、执业资格证、获奖证书（如果有）复印件。</w:t>
      </w:r>
    </w:p>
    <w:p>
      <w:pPr>
        <w:pStyle w:val="2"/>
        <w:pageBreakBefore w:val="0"/>
        <w:kinsoku/>
        <w:bidi w:val="0"/>
        <w:spacing w:line="312" w:lineRule="auto"/>
        <w:rPr>
          <w:rFonts w:hint="eastAsia" w:ascii="仿宋" w:hAnsi="仿宋" w:eastAsia="仿宋" w:cs="仿宋"/>
          <w:highlight w:val="none"/>
        </w:rPr>
      </w:pP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（盖</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章）</w:t>
      </w: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lang w:val="zh-CN"/>
        </w:rPr>
        <w:t>或委托代理人：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（签字或盖章）</w:t>
      </w: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日期：</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p>
    <w:p>
      <w:pPr>
        <w:pageBreakBefore w:val="0"/>
        <w:bidi w:val="0"/>
        <w:spacing w:line="312" w:lineRule="auto"/>
        <w:rPr>
          <w:rFonts w:hint="eastAsia" w:ascii="仿宋" w:hAnsi="仿宋" w:eastAsia="仿宋" w:cs="仿宋"/>
          <w:highlight w:val="none"/>
        </w:rPr>
      </w:pPr>
      <w:r>
        <w:rPr>
          <w:rFonts w:hint="eastAsia" w:ascii="仿宋" w:hAnsi="仿宋" w:eastAsia="仿宋" w:cs="仿宋"/>
          <w:highlight w:val="none"/>
        </w:rPr>
        <w:br w:type="page"/>
      </w:r>
    </w:p>
    <w:p>
      <w:pPr>
        <w:pageBreakBefore w:val="0"/>
        <w:numPr>
          <w:ilvl w:val="0"/>
          <w:numId w:val="39"/>
        </w:numPr>
        <w:kinsoku/>
        <w:overflowPunct/>
        <w:bidi w:val="0"/>
        <w:spacing w:line="312" w:lineRule="auto"/>
        <w:ind w:firstLine="0"/>
        <w:jc w:val="center"/>
        <w:outlineLvl w:val="0"/>
        <w:rPr>
          <w:rFonts w:hint="eastAsia" w:ascii="仿宋" w:hAnsi="仿宋" w:eastAsia="仿宋" w:cs="仿宋"/>
          <w:b/>
          <w:color w:val="000000"/>
          <w:sz w:val="36"/>
          <w:szCs w:val="36"/>
          <w:highlight w:val="none"/>
          <w:lang w:eastAsia="zh-CN"/>
        </w:rPr>
      </w:pPr>
      <w:bookmarkStart w:id="74" w:name="_Toc8821"/>
      <w:r>
        <w:rPr>
          <w:rFonts w:hint="eastAsia" w:ascii="仿宋" w:hAnsi="仿宋" w:eastAsia="仿宋" w:cs="仿宋"/>
          <w:b/>
          <w:color w:val="000000"/>
          <w:sz w:val="36"/>
          <w:szCs w:val="36"/>
          <w:highlight w:val="none"/>
          <w:lang w:eastAsia="zh-CN"/>
        </w:rPr>
        <w:t>磋商响应方案说明书</w:t>
      </w:r>
      <w:bookmarkEnd w:id="74"/>
    </w:p>
    <w:p>
      <w:pPr>
        <w:pStyle w:val="2"/>
        <w:pageBreakBefore w:val="0"/>
        <w:kinsoku/>
        <w:bidi w:val="0"/>
        <w:spacing w:line="312" w:lineRule="auto"/>
        <w:rPr>
          <w:rFonts w:hint="eastAsia" w:ascii="仿宋" w:hAnsi="仿宋" w:eastAsia="仿宋" w:cs="仿宋"/>
          <w:b/>
          <w:color w:val="000000"/>
          <w:sz w:val="32"/>
          <w:szCs w:val="32"/>
          <w:highlight w:val="none"/>
          <w:lang w:eastAsia="zh-CN"/>
        </w:rPr>
      </w:pPr>
    </w:p>
    <w:p>
      <w:pPr>
        <w:pageBreakBefore w:val="0"/>
        <w:kinsoku w:val="0"/>
        <w:bidi w:val="0"/>
        <w:spacing w:line="312" w:lineRule="auto"/>
        <w:ind w:firstLine="482" w:firstLineChars="200"/>
        <w:rPr>
          <w:rFonts w:hint="eastAsia" w:ascii="仿宋" w:hAnsi="仿宋" w:eastAsia="仿宋" w:cs="仿宋"/>
          <w:b/>
          <w:bCs/>
          <w:sz w:val="24"/>
          <w:szCs w:val="32"/>
          <w:highlight w:val="none"/>
        </w:rPr>
      </w:pPr>
      <w:r>
        <w:rPr>
          <w:rFonts w:hint="eastAsia" w:ascii="仿宋" w:hAnsi="仿宋" w:eastAsia="仿宋" w:cs="仿宋"/>
          <w:b/>
          <w:bCs/>
          <w:sz w:val="24"/>
          <w:szCs w:val="32"/>
          <w:highlight w:val="none"/>
        </w:rPr>
        <w:t>按照磋商文件的要求编制响应方案说明书，参照磋商文件《</w:t>
      </w:r>
      <w:r>
        <w:rPr>
          <w:rFonts w:hint="eastAsia" w:ascii="仿宋" w:hAnsi="仿宋" w:eastAsia="仿宋" w:cs="仿宋"/>
          <w:b/>
          <w:bCs/>
          <w:sz w:val="24"/>
          <w:szCs w:val="32"/>
          <w:highlight w:val="none"/>
          <w:lang w:eastAsia="zh-CN"/>
        </w:rPr>
        <w:t>详细评审标准</w:t>
      </w:r>
      <w:r>
        <w:rPr>
          <w:rFonts w:hint="eastAsia" w:ascii="仿宋" w:hAnsi="仿宋" w:eastAsia="仿宋" w:cs="仿宋"/>
          <w:b/>
          <w:bCs/>
          <w:sz w:val="24"/>
          <w:szCs w:val="32"/>
          <w:highlight w:val="none"/>
        </w:rPr>
        <w:t>》各条款的要求，结合</w:t>
      </w:r>
      <w:r>
        <w:rPr>
          <w:rFonts w:hint="eastAsia" w:ascii="仿宋" w:hAnsi="仿宋" w:eastAsia="仿宋" w:cs="仿宋"/>
          <w:b/>
          <w:bCs/>
          <w:sz w:val="24"/>
          <w:szCs w:val="32"/>
          <w:highlight w:val="none"/>
          <w:lang w:val="en-US" w:eastAsia="zh-CN"/>
        </w:rPr>
        <w:t>服务</w:t>
      </w:r>
      <w:r>
        <w:rPr>
          <w:rFonts w:hint="eastAsia" w:ascii="仿宋" w:hAnsi="仿宋" w:eastAsia="仿宋" w:cs="仿宋"/>
          <w:b/>
          <w:bCs/>
          <w:sz w:val="24"/>
          <w:szCs w:val="32"/>
          <w:highlight w:val="none"/>
        </w:rPr>
        <w:t>内容及要求编制磋商响应方案。</w:t>
      </w:r>
    </w:p>
    <w:p>
      <w:pPr>
        <w:pageBreakBefore w:val="0"/>
        <w:kinsoku w:val="0"/>
        <w:bidi w:val="0"/>
        <w:spacing w:line="312" w:lineRule="auto"/>
        <w:ind w:firstLine="420" w:firstLineChars="200"/>
        <w:jc w:val="center"/>
        <w:rPr>
          <w:rFonts w:hint="eastAsia" w:ascii="仿宋" w:hAnsi="仿宋" w:eastAsia="仿宋" w:cs="仿宋"/>
          <w:bCs/>
          <w:szCs w:val="24"/>
          <w:highlight w:val="none"/>
        </w:rPr>
      </w:pPr>
    </w:p>
    <w:p>
      <w:pPr>
        <w:pageBreakBefore w:val="0"/>
        <w:kinsoku w:val="0"/>
        <w:bidi w:val="0"/>
        <w:spacing w:line="312" w:lineRule="auto"/>
        <w:ind w:firstLine="420" w:firstLineChars="200"/>
        <w:jc w:val="center"/>
        <w:rPr>
          <w:rFonts w:hint="eastAsia" w:ascii="仿宋" w:hAnsi="仿宋" w:eastAsia="仿宋" w:cs="仿宋"/>
          <w:bCs/>
          <w:szCs w:val="24"/>
          <w:highlight w:val="none"/>
        </w:rPr>
      </w:pPr>
    </w:p>
    <w:p>
      <w:pPr>
        <w:pageBreakBefore w:val="0"/>
        <w:kinsoku/>
        <w:bidi w:val="0"/>
        <w:spacing w:line="312" w:lineRule="auto"/>
        <w:jc w:val="center"/>
        <w:rPr>
          <w:rFonts w:hint="eastAsia" w:ascii="仿宋" w:hAnsi="仿宋" w:eastAsia="仿宋" w:cs="仿宋"/>
          <w:b/>
          <w:color w:val="000000"/>
          <w:sz w:val="32"/>
          <w:szCs w:val="32"/>
          <w:highlight w:val="none"/>
        </w:rPr>
      </w:pPr>
      <w:r>
        <w:rPr>
          <w:rFonts w:hint="eastAsia" w:ascii="仿宋" w:hAnsi="仿宋" w:eastAsia="仿宋" w:cs="仿宋"/>
          <w:b/>
          <w:sz w:val="24"/>
          <w:szCs w:val="24"/>
          <w:highlight w:val="none"/>
        </w:rPr>
        <w:t>（格式自拟）</w:t>
      </w:r>
    </w:p>
    <w:p>
      <w:pPr>
        <w:pageBreakBefore w:val="0"/>
        <w:kinsoku/>
        <w:bidi w:val="0"/>
        <w:spacing w:line="312" w:lineRule="auto"/>
        <w:rPr>
          <w:rFonts w:hint="eastAsia" w:ascii="仿宋" w:hAnsi="仿宋" w:eastAsia="仿宋" w:cs="仿宋"/>
          <w:highlight w:val="none"/>
          <w:lang w:eastAsia="zh-CN"/>
        </w:rPr>
      </w:pPr>
    </w:p>
    <w:p>
      <w:pPr>
        <w:pageBreakBefore w:val="0"/>
        <w:bidi w:val="0"/>
        <w:spacing w:line="312" w:lineRule="auto"/>
        <w:rPr>
          <w:rFonts w:hint="eastAsia" w:ascii="仿宋" w:hAnsi="仿宋" w:eastAsia="仿宋" w:cs="仿宋"/>
          <w:b/>
          <w:color w:val="000000"/>
          <w:sz w:val="36"/>
          <w:szCs w:val="36"/>
          <w:highlight w:val="none"/>
          <w:lang w:eastAsia="zh-CN"/>
        </w:rPr>
      </w:pPr>
      <w:bookmarkStart w:id="75" w:name="_Toc12579"/>
      <w:r>
        <w:rPr>
          <w:rFonts w:hint="eastAsia" w:ascii="仿宋" w:hAnsi="仿宋" w:eastAsia="仿宋" w:cs="仿宋"/>
          <w:b/>
          <w:color w:val="000000"/>
          <w:sz w:val="36"/>
          <w:szCs w:val="36"/>
          <w:highlight w:val="none"/>
          <w:lang w:eastAsia="zh-CN"/>
        </w:rPr>
        <w:br w:type="page"/>
      </w:r>
    </w:p>
    <w:bookmarkEnd w:id="75"/>
    <w:p>
      <w:pPr>
        <w:pageBreakBefore w:val="0"/>
        <w:numPr>
          <w:ilvl w:val="0"/>
          <w:numId w:val="39"/>
        </w:numPr>
        <w:kinsoku/>
        <w:bidi w:val="0"/>
        <w:spacing w:line="312" w:lineRule="auto"/>
        <w:ind w:firstLine="0"/>
        <w:jc w:val="center"/>
        <w:outlineLvl w:val="0"/>
        <w:rPr>
          <w:rFonts w:hint="eastAsia" w:ascii="仿宋" w:hAnsi="仿宋" w:eastAsia="仿宋" w:cs="仿宋"/>
          <w:b/>
          <w:color w:val="000000"/>
          <w:sz w:val="36"/>
          <w:szCs w:val="36"/>
          <w:highlight w:val="none"/>
          <w:lang w:val="zh-CN"/>
        </w:rPr>
      </w:pPr>
      <w:bookmarkStart w:id="76" w:name="_Toc1828"/>
      <w:bookmarkStart w:id="77" w:name="_Toc1636"/>
      <w:r>
        <w:rPr>
          <w:rFonts w:hint="eastAsia" w:ascii="仿宋" w:hAnsi="仿宋" w:eastAsia="仿宋" w:cs="仿宋"/>
          <w:b/>
          <w:color w:val="000000"/>
          <w:sz w:val="36"/>
          <w:szCs w:val="36"/>
          <w:highlight w:val="none"/>
          <w:lang w:val="en-US" w:eastAsia="zh-CN"/>
        </w:rPr>
        <w:t>中小企业声明函</w:t>
      </w:r>
      <w:bookmarkEnd w:id="76"/>
    </w:p>
    <w:p>
      <w:pPr>
        <w:pageBreakBefore w:val="0"/>
        <w:bidi w:val="0"/>
        <w:spacing w:line="312" w:lineRule="auto"/>
        <w:rPr>
          <w:rFonts w:hint="eastAsia" w:ascii="仿宋" w:hAnsi="仿宋" w:eastAsia="仿宋" w:cs="仿宋"/>
          <w:b/>
          <w:bCs/>
          <w:sz w:val="24"/>
          <w:szCs w:val="24"/>
          <w:highlight w:val="none"/>
          <w:lang w:eastAsia="zh-CN"/>
        </w:rPr>
      </w:pPr>
    </w:p>
    <w:p>
      <w:pPr>
        <w:pageBreakBefore w:val="0"/>
        <w:bidi w:val="0"/>
        <w:spacing w:line="312" w:lineRule="auto"/>
        <w:rPr>
          <w:rFonts w:hint="eastAsia" w:ascii="仿宋" w:hAnsi="仿宋" w:eastAsia="仿宋" w:cs="仿宋"/>
          <w:b w:val="0"/>
          <w:bCs w:val="0"/>
          <w:sz w:val="24"/>
          <w:szCs w:val="24"/>
          <w:highlight w:val="none"/>
          <w:lang w:eastAsia="zh-CN"/>
        </w:rPr>
      </w:pPr>
      <w:r>
        <w:rPr>
          <w:rFonts w:hint="eastAsia" w:ascii="仿宋" w:hAnsi="仿宋" w:eastAsia="仿宋" w:cs="仿宋"/>
          <w:b/>
          <w:bCs/>
          <w:sz w:val="24"/>
          <w:szCs w:val="24"/>
          <w:highlight w:val="none"/>
          <w:lang w:eastAsia="zh-CN"/>
        </w:rPr>
        <w:t>附件1：中小企业声明函（货物）</w:t>
      </w: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p>
    <w:p>
      <w:pPr>
        <w:pStyle w:val="11"/>
        <w:pageBreakBefore w:val="0"/>
        <w:bidi w:val="0"/>
        <w:spacing w:line="312" w:lineRule="auto"/>
        <w:ind w:left="0" w:leftChars="0" w:firstLine="0" w:firstLineChars="0"/>
        <w:jc w:val="center"/>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lang w:eastAsia="zh-CN"/>
        </w:rPr>
        <w:t>中小企业声明函(货物)</w:t>
      </w: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p>
    <w:p>
      <w:pPr>
        <w:pStyle w:val="11"/>
        <w:pageBreakBefore w:val="0"/>
        <w:bidi w:val="0"/>
        <w:spacing w:line="312" w:lineRule="auto"/>
        <w:ind w:left="0" w:leftChars="0" w:firstLine="480" w:firstLineChars="20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本公司(联合体)郑重声明，根据《政府采购促进中小企业发展管理办法》(财库(2020)46号)的规定，本公司(联合体)参加</w:t>
      </w:r>
      <w:r>
        <w:rPr>
          <w:rFonts w:hint="eastAsia" w:ascii="仿宋" w:hAnsi="仿宋" w:eastAsia="仿宋" w:cs="仿宋"/>
          <w:b w:val="0"/>
          <w:bCs w:val="0"/>
          <w:sz w:val="24"/>
          <w:szCs w:val="24"/>
          <w:highlight w:val="none"/>
          <w:u w:val="single"/>
          <w:lang w:eastAsia="zh-CN"/>
        </w:rPr>
        <w:t xml:space="preserve">  (</w:t>
      </w:r>
      <w:r>
        <w:rPr>
          <w:rFonts w:hint="eastAsia" w:ascii="仿宋" w:hAnsi="仿宋" w:eastAsia="仿宋" w:cs="仿宋"/>
          <w:b w:val="0"/>
          <w:bCs w:val="0"/>
          <w:sz w:val="24"/>
          <w:szCs w:val="24"/>
          <w:highlight w:val="none"/>
          <w:u w:val="single"/>
          <w:lang w:val="en-US" w:eastAsia="zh-CN"/>
        </w:rPr>
        <w:t>采购</w:t>
      </w:r>
      <w:r>
        <w:rPr>
          <w:rFonts w:hint="eastAsia" w:ascii="仿宋" w:hAnsi="仿宋" w:eastAsia="仿宋" w:cs="仿宋"/>
          <w:b w:val="0"/>
          <w:bCs w:val="0"/>
          <w:sz w:val="24"/>
          <w:szCs w:val="24"/>
          <w:highlight w:val="none"/>
          <w:u w:val="single"/>
          <w:lang w:eastAsia="zh-CN"/>
        </w:rPr>
        <w:t xml:space="preserve">单位名称)  </w:t>
      </w:r>
      <w:r>
        <w:rPr>
          <w:rFonts w:hint="eastAsia" w:ascii="仿宋" w:hAnsi="仿宋" w:eastAsia="仿宋" w:cs="仿宋"/>
          <w:b w:val="0"/>
          <w:bCs w:val="0"/>
          <w:sz w:val="24"/>
          <w:szCs w:val="24"/>
          <w:highlight w:val="none"/>
          <w:lang w:eastAsia="zh-CN"/>
        </w:rPr>
        <w:t>的</w:t>
      </w:r>
      <w:r>
        <w:rPr>
          <w:rFonts w:hint="eastAsia" w:ascii="仿宋" w:hAnsi="仿宋" w:eastAsia="仿宋" w:cs="仿宋"/>
          <w:b w:val="0"/>
          <w:bCs w:val="0"/>
          <w:sz w:val="24"/>
          <w:szCs w:val="24"/>
          <w:highlight w:val="none"/>
          <w:u w:val="single"/>
          <w:lang w:eastAsia="zh-CN"/>
        </w:rPr>
        <w:t xml:space="preserve"> (项目名称) </w:t>
      </w:r>
      <w:r>
        <w:rPr>
          <w:rFonts w:hint="eastAsia" w:ascii="仿宋" w:hAnsi="仿宋" w:eastAsia="仿宋" w:cs="仿宋"/>
          <w:b w:val="0"/>
          <w:bCs w:val="0"/>
          <w:sz w:val="24"/>
          <w:szCs w:val="24"/>
          <w:highlight w:val="none"/>
          <w:lang w:eastAsia="zh-CN"/>
        </w:rPr>
        <w:t>采购活动，提供的货物全部由符合政策要求的中小企业制造。相关企业(含联合体中的中小企业、签订分包意向协议的中小企业)的具体情况如下：</w:t>
      </w:r>
    </w:p>
    <w:p>
      <w:pPr>
        <w:pStyle w:val="11"/>
        <w:pageBreakBefore w:val="0"/>
        <w:numPr>
          <w:ilvl w:val="0"/>
          <w:numId w:val="0"/>
        </w:numPr>
        <w:bidi w:val="0"/>
        <w:spacing w:line="312" w:lineRule="auto"/>
        <w:ind w:firstLine="480" w:firstLineChars="20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u w:val="none"/>
          <w:lang w:val="en-US" w:eastAsia="zh-CN"/>
        </w:rPr>
        <w:t>1.</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eastAsia="zh-CN"/>
        </w:rPr>
        <w:t xml:space="preserve">(标的名称)  </w:t>
      </w:r>
      <w:r>
        <w:rPr>
          <w:rFonts w:hint="eastAsia" w:ascii="仿宋" w:hAnsi="仿宋" w:eastAsia="仿宋" w:cs="仿宋"/>
          <w:b w:val="0"/>
          <w:bCs w:val="0"/>
          <w:sz w:val="24"/>
          <w:szCs w:val="24"/>
          <w:highlight w:val="none"/>
          <w:lang w:eastAsia="zh-CN"/>
        </w:rPr>
        <w:t>，属于</w:t>
      </w:r>
      <w:r>
        <w:rPr>
          <w:rFonts w:hint="eastAsia" w:ascii="仿宋" w:hAnsi="仿宋" w:eastAsia="仿宋" w:cs="仿宋"/>
          <w:b w:val="0"/>
          <w:bCs w:val="0"/>
          <w:sz w:val="24"/>
          <w:szCs w:val="24"/>
          <w:highlight w:val="none"/>
          <w:u w:val="single"/>
          <w:lang w:eastAsia="zh-CN"/>
        </w:rPr>
        <w:t xml:space="preserve">  ( 采购文件中明确的所属行业) </w:t>
      </w:r>
      <w:r>
        <w:rPr>
          <w:rFonts w:hint="eastAsia" w:ascii="仿宋" w:hAnsi="仿宋" w:eastAsia="仿宋" w:cs="仿宋"/>
          <w:b w:val="0"/>
          <w:bCs w:val="0"/>
          <w:sz w:val="24"/>
          <w:szCs w:val="24"/>
          <w:highlight w:val="none"/>
          <w:lang w:eastAsia="zh-CN"/>
        </w:rPr>
        <w:t>行业 ；制造商为</w:t>
      </w:r>
      <w:r>
        <w:rPr>
          <w:rFonts w:hint="eastAsia" w:ascii="仿宋" w:hAnsi="仿宋" w:eastAsia="仿宋" w:cs="仿宋"/>
          <w:b w:val="0"/>
          <w:bCs w:val="0"/>
          <w:sz w:val="24"/>
          <w:szCs w:val="24"/>
          <w:highlight w:val="none"/>
          <w:u w:val="single"/>
          <w:lang w:eastAsia="zh-CN"/>
        </w:rPr>
        <w:t xml:space="preserve"> (企业名称)  </w:t>
      </w:r>
      <w:r>
        <w:rPr>
          <w:rFonts w:hint="eastAsia" w:ascii="仿宋" w:hAnsi="仿宋" w:eastAsia="仿宋" w:cs="仿宋"/>
          <w:b w:val="0"/>
          <w:bCs w:val="0"/>
          <w:sz w:val="24"/>
          <w:szCs w:val="24"/>
          <w:highlight w:val="none"/>
          <w:lang w:eastAsia="zh-CN"/>
        </w:rPr>
        <w:t>，从业人员</w:t>
      </w:r>
      <w:r>
        <w:rPr>
          <w:rFonts w:hint="eastAsia" w:ascii="仿宋" w:hAnsi="仿宋" w:eastAsia="仿宋" w:cs="仿宋"/>
          <w:b w:val="0"/>
          <w:bCs w:val="0"/>
          <w:sz w:val="24"/>
          <w:szCs w:val="24"/>
          <w:highlight w:val="none"/>
          <w:u w:val="single"/>
          <w:lang w:eastAsia="zh-CN"/>
        </w:rPr>
        <w:t xml:space="preserve">      </w:t>
      </w:r>
      <w:r>
        <w:rPr>
          <w:rFonts w:hint="eastAsia" w:ascii="仿宋" w:hAnsi="仿宋" w:eastAsia="仿宋" w:cs="仿宋"/>
          <w:b w:val="0"/>
          <w:bCs w:val="0"/>
          <w:sz w:val="24"/>
          <w:szCs w:val="24"/>
          <w:highlight w:val="none"/>
          <w:lang w:eastAsia="zh-CN"/>
        </w:rPr>
        <w:t>人，营业收入为</w:t>
      </w:r>
      <w:r>
        <w:rPr>
          <w:rFonts w:hint="eastAsia" w:ascii="仿宋" w:hAnsi="仿宋" w:eastAsia="仿宋" w:cs="仿宋"/>
          <w:b w:val="0"/>
          <w:bCs w:val="0"/>
          <w:sz w:val="24"/>
          <w:szCs w:val="24"/>
          <w:highlight w:val="none"/>
          <w:u w:val="single"/>
          <w:lang w:eastAsia="zh-CN"/>
        </w:rPr>
        <w:t xml:space="preserve">     </w:t>
      </w:r>
      <w:r>
        <w:rPr>
          <w:rFonts w:hint="eastAsia" w:ascii="仿宋" w:hAnsi="仿宋" w:eastAsia="仿宋" w:cs="仿宋"/>
          <w:b w:val="0"/>
          <w:bCs w:val="0"/>
          <w:sz w:val="24"/>
          <w:szCs w:val="24"/>
          <w:highlight w:val="none"/>
          <w:lang w:eastAsia="zh-CN"/>
        </w:rPr>
        <w:t>万元，资产总额为</w:t>
      </w:r>
      <w:r>
        <w:rPr>
          <w:rFonts w:hint="eastAsia" w:ascii="仿宋" w:hAnsi="仿宋" w:eastAsia="仿宋" w:cs="仿宋"/>
          <w:b w:val="0"/>
          <w:bCs w:val="0"/>
          <w:sz w:val="24"/>
          <w:szCs w:val="24"/>
          <w:highlight w:val="none"/>
          <w:u w:val="single"/>
          <w:lang w:eastAsia="zh-CN"/>
        </w:rPr>
        <w:t xml:space="preserve">     </w:t>
      </w:r>
      <w:r>
        <w:rPr>
          <w:rFonts w:hint="eastAsia" w:ascii="仿宋" w:hAnsi="仿宋" w:eastAsia="仿宋" w:cs="仿宋"/>
          <w:b w:val="0"/>
          <w:bCs w:val="0"/>
          <w:sz w:val="24"/>
          <w:szCs w:val="24"/>
          <w:highlight w:val="none"/>
          <w:lang w:eastAsia="zh-CN"/>
        </w:rPr>
        <w:t>万元，属于</w:t>
      </w:r>
      <w:r>
        <w:rPr>
          <w:rFonts w:hint="eastAsia" w:ascii="仿宋" w:hAnsi="仿宋" w:eastAsia="仿宋" w:cs="仿宋"/>
          <w:b w:val="0"/>
          <w:bCs w:val="0"/>
          <w:sz w:val="24"/>
          <w:szCs w:val="24"/>
          <w:highlight w:val="none"/>
          <w:u w:val="single"/>
          <w:lang w:eastAsia="zh-CN"/>
        </w:rPr>
        <w:t xml:space="preserve"> (中型企业、小型企业、微型企业）</w:t>
      </w:r>
      <w:r>
        <w:rPr>
          <w:rFonts w:hint="eastAsia" w:ascii="仿宋" w:hAnsi="仿宋" w:eastAsia="仿宋" w:cs="仿宋"/>
          <w:b w:val="0"/>
          <w:bCs w:val="0"/>
          <w:sz w:val="24"/>
          <w:szCs w:val="24"/>
          <w:highlight w:val="none"/>
          <w:lang w:eastAsia="zh-CN"/>
        </w:rPr>
        <w:t>；</w:t>
      </w:r>
    </w:p>
    <w:p>
      <w:pPr>
        <w:pStyle w:val="11"/>
        <w:pageBreakBefore w:val="0"/>
        <w:bidi w:val="0"/>
        <w:spacing w:line="312" w:lineRule="auto"/>
        <w:ind w:left="0" w:leftChars="0" w:firstLine="480" w:firstLineChars="20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2.</w:t>
      </w:r>
      <w:r>
        <w:rPr>
          <w:rFonts w:hint="eastAsia" w:ascii="仿宋" w:hAnsi="仿宋" w:eastAsia="仿宋" w:cs="仿宋"/>
          <w:b w:val="0"/>
          <w:bCs w:val="0"/>
          <w:sz w:val="24"/>
          <w:szCs w:val="24"/>
          <w:highlight w:val="none"/>
          <w:u w:val="single"/>
          <w:lang w:eastAsia="zh-CN"/>
        </w:rPr>
        <w:t xml:space="preserve"> </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eastAsia="zh-CN"/>
        </w:rPr>
        <w:t xml:space="preserve">(标的名称)  </w:t>
      </w:r>
      <w:r>
        <w:rPr>
          <w:rFonts w:hint="eastAsia" w:ascii="仿宋" w:hAnsi="仿宋" w:eastAsia="仿宋" w:cs="仿宋"/>
          <w:b w:val="0"/>
          <w:bCs w:val="0"/>
          <w:sz w:val="24"/>
          <w:szCs w:val="24"/>
          <w:highlight w:val="none"/>
          <w:lang w:eastAsia="zh-CN"/>
        </w:rPr>
        <w:t>，属于</w:t>
      </w:r>
      <w:r>
        <w:rPr>
          <w:rFonts w:hint="eastAsia" w:ascii="仿宋" w:hAnsi="仿宋" w:eastAsia="仿宋" w:cs="仿宋"/>
          <w:b w:val="0"/>
          <w:bCs w:val="0"/>
          <w:sz w:val="24"/>
          <w:szCs w:val="24"/>
          <w:highlight w:val="none"/>
          <w:u w:val="single"/>
          <w:lang w:eastAsia="zh-CN"/>
        </w:rPr>
        <w:t xml:space="preserve">  ( 采购文件中明确的所属行业) </w:t>
      </w:r>
      <w:r>
        <w:rPr>
          <w:rFonts w:hint="eastAsia" w:ascii="仿宋" w:hAnsi="仿宋" w:eastAsia="仿宋" w:cs="仿宋"/>
          <w:b w:val="0"/>
          <w:bCs w:val="0"/>
          <w:sz w:val="24"/>
          <w:szCs w:val="24"/>
          <w:highlight w:val="none"/>
          <w:lang w:eastAsia="zh-CN"/>
        </w:rPr>
        <w:t>行业 ；</w:t>
      </w:r>
      <w:r>
        <w:rPr>
          <w:rFonts w:hint="eastAsia" w:ascii="仿宋" w:hAnsi="仿宋" w:eastAsia="仿宋" w:cs="仿宋"/>
          <w:b w:val="0"/>
          <w:bCs w:val="0"/>
          <w:sz w:val="24"/>
          <w:szCs w:val="24"/>
          <w:highlight w:val="none"/>
          <w:u w:val="single"/>
          <w:lang w:eastAsia="zh-CN"/>
        </w:rPr>
        <w:t xml:space="preserve">制造商为 (企业名称)  </w:t>
      </w:r>
      <w:r>
        <w:rPr>
          <w:rFonts w:hint="eastAsia" w:ascii="仿宋" w:hAnsi="仿宋" w:eastAsia="仿宋" w:cs="仿宋"/>
          <w:b w:val="0"/>
          <w:bCs w:val="0"/>
          <w:sz w:val="24"/>
          <w:szCs w:val="24"/>
          <w:highlight w:val="none"/>
          <w:lang w:eastAsia="zh-CN"/>
        </w:rPr>
        <w:t>，从业人员</w:t>
      </w:r>
      <w:r>
        <w:rPr>
          <w:rFonts w:hint="eastAsia" w:ascii="仿宋" w:hAnsi="仿宋" w:eastAsia="仿宋" w:cs="仿宋"/>
          <w:b w:val="0"/>
          <w:bCs w:val="0"/>
          <w:sz w:val="24"/>
          <w:szCs w:val="24"/>
          <w:highlight w:val="none"/>
          <w:u w:val="single"/>
          <w:lang w:eastAsia="zh-CN"/>
        </w:rPr>
        <w:t xml:space="preserve">      </w:t>
      </w:r>
      <w:r>
        <w:rPr>
          <w:rFonts w:hint="eastAsia" w:ascii="仿宋" w:hAnsi="仿宋" w:eastAsia="仿宋" w:cs="仿宋"/>
          <w:b w:val="0"/>
          <w:bCs w:val="0"/>
          <w:sz w:val="24"/>
          <w:szCs w:val="24"/>
          <w:highlight w:val="none"/>
          <w:lang w:eastAsia="zh-CN"/>
        </w:rPr>
        <w:t>人，营业收入为</w:t>
      </w:r>
      <w:r>
        <w:rPr>
          <w:rFonts w:hint="eastAsia" w:ascii="仿宋" w:hAnsi="仿宋" w:eastAsia="仿宋" w:cs="仿宋"/>
          <w:b w:val="0"/>
          <w:bCs w:val="0"/>
          <w:sz w:val="24"/>
          <w:szCs w:val="24"/>
          <w:highlight w:val="none"/>
          <w:u w:val="single"/>
          <w:lang w:eastAsia="zh-CN"/>
        </w:rPr>
        <w:t xml:space="preserve">     </w:t>
      </w:r>
      <w:r>
        <w:rPr>
          <w:rFonts w:hint="eastAsia" w:ascii="仿宋" w:hAnsi="仿宋" w:eastAsia="仿宋" w:cs="仿宋"/>
          <w:b w:val="0"/>
          <w:bCs w:val="0"/>
          <w:sz w:val="24"/>
          <w:szCs w:val="24"/>
          <w:highlight w:val="none"/>
          <w:lang w:eastAsia="zh-CN"/>
        </w:rPr>
        <w:t>万元，资产总额为</w:t>
      </w:r>
      <w:r>
        <w:rPr>
          <w:rFonts w:hint="eastAsia" w:ascii="仿宋" w:hAnsi="仿宋" w:eastAsia="仿宋" w:cs="仿宋"/>
          <w:b w:val="0"/>
          <w:bCs w:val="0"/>
          <w:sz w:val="24"/>
          <w:szCs w:val="24"/>
          <w:highlight w:val="none"/>
          <w:u w:val="single"/>
          <w:lang w:eastAsia="zh-CN"/>
        </w:rPr>
        <w:t xml:space="preserve">     </w:t>
      </w:r>
      <w:r>
        <w:rPr>
          <w:rFonts w:hint="eastAsia" w:ascii="仿宋" w:hAnsi="仿宋" w:eastAsia="仿宋" w:cs="仿宋"/>
          <w:b w:val="0"/>
          <w:bCs w:val="0"/>
          <w:sz w:val="24"/>
          <w:szCs w:val="24"/>
          <w:highlight w:val="none"/>
          <w:lang w:eastAsia="zh-CN"/>
        </w:rPr>
        <w:t>万元，属于</w:t>
      </w:r>
      <w:r>
        <w:rPr>
          <w:rFonts w:hint="eastAsia" w:ascii="仿宋" w:hAnsi="仿宋" w:eastAsia="仿宋" w:cs="仿宋"/>
          <w:b w:val="0"/>
          <w:bCs w:val="0"/>
          <w:sz w:val="24"/>
          <w:szCs w:val="24"/>
          <w:highlight w:val="none"/>
          <w:u w:val="single"/>
          <w:lang w:eastAsia="zh-CN"/>
        </w:rPr>
        <w:t xml:space="preserve"> (中型企业、小型企业、微型企业）</w:t>
      </w:r>
      <w:r>
        <w:rPr>
          <w:rFonts w:hint="eastAsia" w:ascii="仿宋" w:hAnsi="仿宋" w:eastAsia="仿宋" w:cs="仿宋"/>
          <w:b w:val="0"/>
          <w:bCs w:val="0"/>
          <w:sz w:val="24"/>
          <w:szCs w:val="24"/>
          <w:highlight w:val="none"/>
          <w:lang w:eastAsia="zh-CN"/>
        </w:rPr>
        <w:t>；</w:t>
      </w: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w:t>
      </w:r>
    </w:p>
    <w:p>
      <w:pPr>
        <w:pStyle w:val="11"/>
        <w:pageBreakBefore w:val="0"/>
        <w:bidi w:val="0"/>
        <w:spacing w:line="312" w:lineRule="auto"/>
        <w:ind w:left="0" w:leftChars="0" w:firstLine="480" w:firstLineChars="20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以上企业，不属于大企业的分支机构，不存在控股股东为大企业的情形，也不存在与大企业的负责人为同一人的情形。</w:t>
      </w:r>
    </w:p>
    <w:p>
      <w:pPr>
        <w:pStyle w:val="11"/>
        <w:pageBreakBefore w:val="0"/>
        <w:bidi w:val="0"/>
        <w:spacing w:line="312" w:lineRule="auto"/>
        <w:ind w:left="0" w:leftChars="0" w:firstLine="480" w:firstLineChars="20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本企业对上述声明内容的真实性负责。如有虚假，将依法承担相应责任。</w:t>
      </w:r>
    </w:p>
    <w:p>
      <w:pPr>
        <w:pStyle w:val="11"/>
        <w:pageBreakBefore w:val="0"/>
        <w:bidi w:val="0"/>
        <w:spacing w:line="312" w:lineRule="auto"/>
        <w:ind w:left="0" w:leftChars="0" w:firstLine="0" w:firstLineChars="0"/>
        <w:jc w:val="right"/>
        <w:rPr>
          <w:rFonts w:hint="eastAsia" w:ascii="仿宋" w:hAnsi="仿宋" w:eastAsia="仿宋" w:cs="仿宋"/>
          <w:b w:val="0"/>
          <w:bCs w:val="0"/>
          <w:sz w:val="24"/>
          <w:szCs w:val="24"/>
          <w:highlight w:val="none"/>
          <w:lang w:eastAsia="zh-CN"/>
        </w:rPr>
      </w:pPr>
    </w:p>
    <w:p>
      <w:pPr>
        <w:pStyle w:val="11"/>
        <w:pageBreakBefore w:val="0"/>
        <w:bidi w:val="0"/>
        <w:spacing w:line="312" w:lineRule="auto"/>
        <w:ind w:left="0" w:leftChars="0" w:firstLine="0" w:firstLineChars="0"/>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      </w:t>
      </w:r>
    </w:p>
    <w:p>
      <w:pPr>
        <w:pStyle w:val="11"/>
        <w:pageBreakBefore w:val="0"/>
        <w:bidi w:val="0"/>
        <w:spacing w:line="312" w:lineRule="auto"/>
        <w:ind w:left="0" w:leftChars="0" w:firstLine="0" w:firstLineChars="0"/>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         </w:t>
      </w: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（盖</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章）</w:t>
      </w: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lang w:val="zh-CN"/>
        </w:rPr>
        <w:t>或委托代理人：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（签字或盖章）</w:t>
      </w:r>
    </w:p>
    <w:p>
      <w:pPr>
        <w:pageBreakBefore w:val="0"/>
        <w:kinsoku/>
        <w:bidi w:val="0"/>
        <w:spacing w:line="312" w:lineRule="auto"/>
        <w:ind w:firstLine="4080" w:firstLineChars="1700"/>
        <w:rPr>
          <w:rFonts w:hint="eastAsia" w:ascii="仿宋" w:hAnsi="仿宋" w:eastAsia="仿宋" w:cs="仿宋"/>
          <w:b w:val="0"/>
          <w:bCs w:val="0"/>
          <w:sz w:val="24"/>
          <w:szCs w:val="24"/>
          <w:highlight w:val="none"/>
          <w:lang w:eastAsia="zh-CN"/>
        </w:rPr>
      </w:pPr>
      <w:r>
        <w:rPr>
          <w:rFonts w:hint="eastAsia" w:ascii="仿宋" w:hAnsi="仿宋" w:eastAsia="仿宋" w:cs="仿宋"/>
          <w:sz w:val="24"/>
          <w:szCs w:val="24"/>
          <w:highlight w:val="none"/>
          <w:lang w:val="zh-CN"/>
        </w:rPr>
        <w:t>日期：</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年</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月</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日</w:t>
      </w: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p>
    <w:p>
      <w:pPr>
        <w:pageBreakBefore w:val="0"/>
        <w:bidi w:val="0"/>
        <w:spacing w:line="312" w:lineRule="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br w:type="page"/>
      </w:r>
    </w:p>
    <w:p>
      <w:pPr>
        <w:pStyle w:val="11"/>
        <w:pageBreakBefore w:val="0"/>
        <w:bidi w:val="0"/>
        <w:spacing w:line="312" w:lineRule="auto"/>
        <w:ind w:left="0" w:leftChars="0" w:firstLine="0" w:firstLineChars="0"/>
        <w:outlineLvl w:val="0"/>
        <w:rPr>
          <w:rFonts w:hint="eastAsia" w:ascii="仿宋" w:hAnsi="仿宋" w:eastAsia="仿宋" w:cs="仿宋"/>
          <w:b w:val="0"/>
          <w:bCs w:val="0"/>
          <w:sz w:val="24"/>
          <w:szCs w:val="24"/>
          <w:highlight w:val="none"/>
          <w:lang w:eastAsia="zh-CN"/>
        </w:rPr>
      </w:pPr>
      <w:bookmarkStart w:id="78" w:name="_Toc620"/>
      <w:bookmarkStart w:id="79" w:name="_Toc23366"/>
      <w:r>
        <w:rPr>
          <w:rFonts w:hint="eastAsia" w:ascii="仿宋" w:hAnsi="仿宋" w:eastAsia="仿宋" w:cs="仿宋"/>
          <w:b/>
          <w:bCs/>
          <w:sz w:val="24"/>
          <w:szCs w:val="24"/>
          <w:highlight w:val="none"/>
          <w:lang w:eastAsia="zh-CN"/>
        </w:rPr>
        <w:t>附件2：中小企业声明函（工程、服务）</w:t>
      </w:r>
      <w:bookmarkEnd w:id="78"/>
      <w:bookmarkEnd w:id="79"/>
    </w:p>
    <w:p>
      <w:pPr>
        <w:pStyle w:val="11"/>
        <w:pageBreakBefore w:val="0"/>
        <w:bidi w:val="0"/>
        <w:spacing w:line="312" w:lineRule="auto"/>
        <w:ind w:left="0" w:leftChars="0" w:firstLine="0" w:firstLineChars="0"/>
        <w:rPr>
          <w:rFonts w:hint="eastAsia" w:ascii="仿宋" w:hAnsi="仿宋" w:eastAsia="仿宋" w:cs="仿宋"/>
          <w:b/>
          <w:bCs/>
          <w:sz w:val="24"/>
          <w:szCs w:val="24"/>
          <w:highlight w:val="none"/>
          <w:lang w:eastAsia="zh-CN"/>
        </w:rPr>
      </w:pPr>
    </w:p>
    <w:p>
      <w:pPr>
        <w:pStyle w:val="11"/>
        <w:pageBreakBefore w:val="0"/>
        <w:bidi w:val="0"/>
        <w:spacing w:line="312" w:lineRule="auto"/>
        <w:ind w:left="0" w:leftChars="0" w:firstLine="0" w:firstLineChars="0"/>
        <w:jc w:val="center"/>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lang w:eastAsia="zh-CN"/>
        </w:rPr>
        <w:t>中小企业声明函（工程、服务）</w:t>
      </w:r>
    </w:p>
    <w:p>
      <w:pPr>
        <w:pStyle w:val="12"/>
        <w:pageBreakBefore w:val="0"/>
        <w:bidi w:val="0"/>
        <w:spacing w:line="312" w:lineRule="auto"/>
        <w:rPr>
          <w:rFonts w:hint="eastAsia" w:ascii="仿宋" w:hAnsi="仿宋" w:eastAsia="仿宋" w:cs="仿宋"/>
          <w:highlight w:val="none"/>
          <w:lang w:eastAsia="zh-CN"/>
        </w:rPr>
      </w:pPr>
    </w:p>
    <w:p>
      <w:pPr>
        <w:pStyle w:val="11"/>
        <w:pageBreakBefore w:val="0"/>
        <w:bidi w:val="0"/>
        <w:spacing w:line="312" w:lineRule="auto"/>
        <w:ind w:left="0" w:leftChars="0" w:firstLine="480" w:firstLineChars="20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本公司（联合体）郑重声明，根据《政府采购促进中小企业发展管理办法》（财库﹝2020﹞46 号）的规定，本公司（联合体）参加</w:t>
      </w:r>
      <w:r>
        <w:rPr>
          <w:rFonts w:hint="eastAsia" w:ascii="仿宋" w:hAnsi="仿宋" w:eastAsia="仿宋" w:cs="仿宋"/>
          <w:b w:val="0"/>
          <w:bCs w:val="0"/>
          <w:sz w:val="24"/>
          <w:szCs w:val="24"/>
          <w:highlight w:val="none"/>
          <w:u w:val="single"/>
          <w:lang w:eastAsia="zh-CN"/>
        </w:rPr>
        <w:t>（</w:t>
      </w:r>
      <w:r>
        <w:rPr>
          <w:rFonts w:hint="eastAsia" w:ascii="仿宋" w:hAnsi="仿宋" w:eastAsia="仿宋" w:cs="仿宋"/>
          <w:b w:val="0"/>
          <w:bCs w:val="0"/>
          <w:sz w:val="24"/>
          <w:szCs w:val="24"/>
          <w:highlight w:val="none"/>
          <w:u w:val="single"/>
          <w:lang w:val="en-US" w:eastAsia="zh-CN"/>
        </w:rPr>
        <w:t>采购</w:t>
      </w:r>
      <w:r>
        <w:rPr>
          <w:rFonts w:hint="eastAsia" w:ascii="仿宋" w:hAnsi="仿宋" w:eastAsia="仿宋" w:cs="仿宋"/>
          <w:b w:val="0"/>
          <w:bCs w:val="0"/>
          <w:sz w:val="24"/>
          <w:szCs w:val="24"/>
          <w:highlight w:val="none"/>
          <w:u w:val="single"/>
          <w:lang w:eastAsia="zh-CN"/>
        </w:rPr>
        <w:t>单位名称）</w:t>
      </w:r>
      <w:r>
        <w:rPr>
          <w:rFonts w:hint="eastAsia" w:ascii="仿宋" w:hAnsi="仿宋" w:eastAsia="仿宋" w:cs="仿宋"/>
          <w:b w:val="0"/>
          <w:bCs w:val="0"/>
          <w:sz w:val="24"/>
          <w:szCs w:val="24"/>
          <w:highlight w:val="none"/>
          <w:lang w:eastAsia="zh-CN"/>
        </w:rPr>
        <w:t>的</w:t>
      </w:r>
      <w:r>
        <w:rPr>
          <w:rFonts w:hint="eastAsia" w:ascii="仿宋" w:hAnsi="仿宋" w:eastAsia="仿宋" w:cs="仿宋"/>
          <w:b w:val="0"/>
          <w:bCs w:val="0"/>
          <w:sz w:val="24"/>
          <w:szCs w:val="24"/>
          <w:highlight w:val="none"/>
          <w:u w:val="single"/>
          <w:lang w:eastAsia="zh-CN"/>
        </w:rPr>
        <w:t>（项目名称）</w:t>
      </w:r>
      <w:r>
        <w:rPr>
          <w:rFonts w:hint="eastAsia" w:ascii="仿宋" w:hAnsi="仿宋" w:eastAsia="仿宋" w:cs="仿宋"/>
          <w:b w:val="0"/>
          <w:bCs w:val="0"/>
          <w:sz w:val="24"/>
          <w:szCs w:val="24"/>
          <w:highlight w:val="none"/>
          <w:lang w:eastAsia="zh-CN"/>
        </w:rPr>
        <w:t>采购活动，工程的施工单位全部为符合政策要求的中小企业（或者：服务全部由符合政策要求的中小企业承接）。相关企业（含联合 体中的中小企业、签订分包意向协议的中小企业）的具体情况如下：</w:t>
      </w: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p>
    <w:p>
      <w:pPr>
        <w:pStyle w:val="11"/>
        <w:pageBreakBefore w:val="0"/>
        <w:bidi w:val="0"/>
        <w:spacing w:line="312" w:lineRule="auto"/>
        <w:ind w:left="0" w:leftChars="0" w:firstLine="480" w:firstLineChars="20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1.</w:t>
      </w:r>
      <w:r>
        <w:rPr>
          <w:rFonts w:hint="eastAsia" w:ascii="仿宋" w:hAnsi="仿宋" w:eastAsia="仿宋" w:cs="仿宋"/>
          <w:b w:val="0"/>
          <w:bCs w:val="0"/>
          <w:sz w:val="24"/>
          <w:szCs w:val="24"/>
          <w:highlight w:val="none"/>
          <w:u w:val="single"/>
          <w:lang w:eastAsia="zh-CN"/>
        </w:rPr>
        <w:t>（标的名称）</w:t>
      </w:r>
      <w:r>
        <w:rPr>
          <w:rFonts w:hint="eastAsia" w:ascii="仿宋" w:hAnsi="仿宋" w:eastAsia="仿宋" w:cs="仿宋"/>
          <w:b w:val="0"/>
          <w:bCs w:val="0"/>
          <w:sz w:val="24"/>
          <w:szCs w:val="24"/>
          <w:highlight w:val="none"/>
          <w:lang w:eastAsia="zh-CN"/>
        </w:rPr>
        <w:t>，属于</w:t>
      </w:r>
      <w:r>
        <w:rPr>
          <w:rFonts w:hint="eastAsia" w:ascii="仿宋" w:hAnsi="仿宋" w:eastAsia="仿宋" w:cs="仿宋"/>
          <w:b w:val="0"/>
          <w:bCs w:val="0"/>
          <w:sz w:val="24"/>
          <w:szCs w:val="24"/>
          <w:highlight w:val="none"/>
          <w:u w:val="single"/>
          <w:lang w:eastAsia="zh-CN"/>
        </w:rPr>
        <w:t>（采购文件中明确的所属行业）</w:t>
      </w:r>
      <w:r>
        <w:rPr>
          <w:rFonts w:hint="eastAsia" w:ascii="仿宋" w:hAnsi="仿宋" w:eastAsia="仿宋" w:cs="仿宋"/>
          <w:b w:val="0"/>
          <w:bCs w:val="0"/>
          <w:sz w:val="24"/>
          <w:szCs w:val="24"/>
          <w:highlight w:val="none"/>
          <w:lang w:eastAsia="zh-CN"/>
        </w:rPr>
        <w:t>；承建（承接）企业为</w:t>
      </w:r>
      <w:r>
        <w:rPr>
          <w:rFonts w:hint="eastAsia" w:ascii="仿宋" w:hAnsi="仿宋" w:eastAsia="仿宋" w:cs="仿宋"/>
          <w:b w:val="0"/>
          <w:bCs w:val="0"/>
          <w:sz w:val="24"/>
          <w:szCs w:val="24"/>
          <w:highlight w:val="none"/>
          <w:u w:val="single"/>
          <w:lang w:eastAsia="zh-CN"/>
        </w:rPr>
        <w:t>（企业名称）</w:t>
      </w:r>
      <w:r>
        <w:rPr>
          <w:rFonts w:hint="eastAsia" w:ascii="仿宋" w:hAnsi="仿宋" w:eastAsia="仿宋" w:cs="仿宋"/>
          <w:b w:val="0"/>
          <w:bCs w:val="0"/>
          <w:sz w:val="24"/>
          <w:szCs w:val="24"/>
          <w:highlight w:val="none"/>
          <w:lang w:eastAsia="zh-CN"/>
        </w:rPr>
        <w:t>，从业人员</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lang w:eastAsia="zh-CN"/>
        </w:rPr>
        <w:t>人，营业收入为</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lang w:eastAsia="zh-CN"/>
        </w:rPr>
        <w:t>万元，资产总额为</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lang w:eastAsia="zh-CN"/>
        </w:rPr>
        <w:t>万元，属于</w:t>
      </w:r>
      <w:r>
        <w:rPr>
          <w:rFonts w:hint="eastAsia" w:ascii="仿宋" w:hAnsi="仿宋" w:eastAsia="仿宋" w:cs="仿宋"/>
          <w:b w:val="0"/>
          <w:bCs w:val="0"/>
          <w:sz w:val="24"/>
          <w:szCs w:val="24"/>
          <w:highlight w:val="none"/>
          <w:u w:val="single"/>
          <w:lang w:eastAsia="zh-CN"/>
        </w:rPr>
        <w:t>（中型企业、小型企业、微型企业）</w:t>
      </w:r>
      <w:r>
        <w:rPr>
          <w:rFonts w:hint="eastAsia" w:ascii="仿宋" w:hAnsi="仿宋" w:eastAsia="仿宋" w:cs="仿宋"/>
          <w:b w:val="0"/>
          <w:bCs w:val="0"/>
          <w:sz w:val="24"/>
          <w:szCs w:val="24"/>
          <w:highlight w:val="none"/>
          <w:lang w:eastAsia="zh-CN"/>
        </w:rPr>
        <w:t>；</w:t>
      </w:r>
    </w:p>
    <w:p>
      <w:pPr>
        <w:pStyle w:val="11"/>
        <w:pageBreakBefore w:val="0"/>
        <w:bidi w:val="0"/>
        <w:spacing w:line="312" w:lineRule="auto"/>
        <w:ind w:left="0" w:leftChars="0" w:firstLine="480" w:firstLineChars="20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2.</w:t>
      </w:r>
      <w:r>
        <w:rPr>
          <w:rFonts w:hint="eastAsia" w:ascii="仿宋" w:hAnsi="仿宋" w:eastAsia="仿宋" w:cs="仿宋"/>
          <w:b w:val="0"/>
          <w:bCs w:val="0"/>
          <w:sz w:val="24"/>
          <w:szCs w:val="24"/>
          <w:highlight w:val="none"/>
          <w:u w:val="single"/>
          <w:lang w:eastAsia="zh-CN"/>
        </w:rPr>
        <w:t>（标的名称）</w:t>
      </w:r>
      <w:r>
        <w:rPr>
          <w:rFonts w:hint="eastAsia" w:ascii="仿宋" w:hAnsi="仿宋" w:eastAsia="仿宋" w:cs="仿宋"/>
          <w:b w:val="0"/>
          <w:bCs w:val="0"/>
          <w:sz w:val="24"/>
          <w:szCs w:val="24"/>
          <w:highlight w:val="none"/>
          <w:lang w:eastAsia="zh-CN"/>
        </w:rPr>
        <w:t>，属于</w:t>
      </w:r>
      <w:r>
        <w:rPr>
          <w:rFonts w:hint="eastAsia" w:ascii="仿宋" w:hAnsi="仿宋" w:eastAsia="仿宋" w:cs="仿宋"/>
          <w:b w:val="0"/>
          <w:bCs w:val="0"/>
          <w:sz w:val="24"/>
          <w:szCs w:val="24"/>
          <w:highlight w:val="none"/>
          <w:u w:val="single"/>
          <w:lang w:eastAsia="zh-CN"/>
        </w:rPr>
        <w:t>（采购文件中明确的所属行业）</w:t>
      </w:r>
      <w:r>
        <w:rPr>
          <w:rFonts w:hint="eastAsia" w:ascii="仿宋" w:hAnsi="仿宋" w:eastAsia="仿宋" w:cs="仿宋"/>
          <w:b w:val="0"/>
          <w:bCs w:val="0"/>
          <w:sz w:val="24"/>
          <w:szCs w:val="24"/>
          <w:highlight w:val="none"/>
          <w:lang w:eastAsia="zh-CN"/>
        </w:rPr>
        <w:t>；承建（承接）企业为</w:t>
      </w:r>
      <w:r>
        <w:rPr>
          <w:rFonts w:hint="eastAsia" w:ascii="仿宋" w:hAnsi="仿宋" w:eastAsia="仿宋" w:cs="仿宋"/>
          <w:b w:val="0"/>
          <w:bCs w:val="0"/>
          <w:sz w:val="24"/>
          <w:szCs w:val="24"/>
          <w:highlight w:val="none"/>
          <w:u w:val="single"/>
          <w:lang w:eastAsia="zh-CN"/>
        </w:rPr>
        <w:t>（企业名称）</w:t>
      </w:r>
      <w:r>
        <w:rPr>
          <w:rFonts w:hint="eastAsia" w:ascii="仿宋" w:hAnsi="仿宋" w:eastAsia="仿宋" w:cs="仿宋"/>
          <w:b w:val="0"/>
          <w:bCs w:val="0"/>
          <w:sz w:val="24"/>
          <w:szCs w:val="24"/>
          <w:highlight w:val="none"/>
          <w:lang w:eastAsia="zh-CN"/>
        </w:rPr>
        <w:t>，从业人员</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lang w:eastAsia="zh-CN"/>
        </w:rPr>
        <w:t>人，营业收入为</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lang w:eastAsia="zh-CN"/>
        </w:rPr>
        <w:t>万元，资产总额为</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lang w:eastAsia="zh-CN"/>
        </w:rPr>
        <w:t>万元，属于</w:t>
      </w:r>
      <w:r>
        <w:rPr>
          <w:rFonts w:hint="eastAsia" w:ascii="仿宋" w:hAnsi="仿宋" w:eastAsia="仿宋" w:cs="仿宋"/>
          <w:b w:val="0"/>
          <w:bCs w:val="0"/>
          <w:sz w:val="24"/>
          <w:szCs w:val="24"/>
          <w:highlight w:val="none"/>
          <w:u w:val="single"/>
          <w:lang w:eastAsia="zh-CN"/>
        </w:rPr>
        <w:t>（中型企业、小型企业、微型企业）</w:t>
      </w:r>
      <w:r>
        <w:rPr>
          <w:rFonts w:hint="eastAsia" w:ascii="仿宋" w:hAnsi="仿宋" w:eastAsia="仿宋" w:cs="仿宋"/>
          <w:b w:val="0"/>
          <w:bCs w:val="0"/>
          <w:sz w:val="24"/>
          <w:szCs w:val="24"/>
          <w:highlight w:val="none"/>
          <w:lang w:eastAsia="zh-CN"/>
        </w:rPr>
        <w:t>；</w:t>
      </w: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w:t>
      </w:r>
    </w:p>
    <w:p>
      <w:pPr>
        <w:pStyle w:val="11"/>
        <w:pageBreakBefore w:val="0"/>
        <w:bidi w:val="0"/>
        <w:spacing w:line="312" w:lineRule="auto"/>
        <w:ind w:left="0" w:leftChars="0" w:firstLine="480" w:firstLineChars="20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以上企业，不属于大企业的分支机构，不存在控股股东为大企业的情形，也不存在与大企业的负责人为同一人的情形。</w:t>
      </w:r>
    </w:p>
    <w:p>
      <w:pPr>
        <w:pStyle w:val="11"/>
        <w:pageBreakBefore w:val="0"/>
        <w:bidi w:val="0"/>
        <w:spacing w:line="312" w:lineRule="auto"/>
        <w:ind w:left="0" w:leftChars="0" w:firstLine="480" w:firstLineChars="20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本企业对上述声明内容的真实性负责。如有虚假，将依法承担相应责任。</w:t>
      </w:r>
    </w:p>
    <w:p>
      <w:pPr>
        <w:pStyle w:val="11"/>
        <w:pageBreakBefore w:val="0"/>
        <w:bidi w:val="0"/>
        <w:spacing w:line="312" w:lineRule="auto"/>
        <w:ind w:left="0" w:leftChars="0" w:firstLine="3600" w:firstLineChars="1500"/>
        <w:rPr>
          <w:rFonts w:hint="eastAsia" w:ascii="仿宋" w:hAnsi="仿宋" w:eastAsia="仿宋" w:cs="仿宋"/>
          <w:b w:val="0"/>
          <w:bCs w:val="0"/>
          <w:sz w:val="24"/>
          <w:szCs w:val="24"/>
          <w:highlight w:val="none"/>
          <w:lang w:eastAsia="zh-CN"/>
        </w:rPr>
      </w:pPr>
    </w:p>
    <w:p>
      <w:pPr>
        <w:pStyle w:val="11"/>
        <w:pageBreakBefore w:val="0"/>
        <w:bidi w:val="0"/>
        <w:spacing w:line="312" w:lineRule="auto"/>
        <w:ind w:left="0" w:leftChars="0" w:firstLine="3840" w:firstLineChars="1600"/>
        <w:rPr>
          <w:rFonts w:hint="eastAsia" w:ascii="仿宋" w:hAnsi="仿宋" w:eastAsia="仿宋" w:cs="仿宋"/>
          <w:b w:val="0"/>
          <w:bCs w:val="0"/>
          <w:sz w:val="24"/>
          <w:szCs w:val="24"/>
          <w:highlight w:val="none"/>
          <w:lang w:eastAsia="zh-CN"/>
        </w:rPr>
      </w:pPr>
    </w:p>
    <w:p>
      <w:pPr>
        <w:pStyle w:val="11"/>
        <w:pageBreakBefore w:val="0"/>
        <w:bidi w:val="0"/>
        <w:spacing w:line="312" w:lineRule="auto"/>
        <w:ind w:left="0" w:leftChars="0" w:firstLine="3840" w:firstLineChars="1600"/>
        <w:rPr>
          <w:rFonts w:hint="eastAsia" w:ascii="仿宋" w:hAnsi="仿宋" w:eastAsia="仿宋" w:cs="仿宋"/>
          <w:b w:val="0"/>
          <w:bCs w:val="0"/>
          <w:sz w:val="24"/>
          <w:szCs w:val="24"/>
          <w:highlight w:val="none"/>
          <w:lang w:eastAsia="zh-CN"/>
        </w:rPr>
      </w:pPr>
    </w:p>
    <w:p>
      <w:pPr>
        <w:pageBreakBefore w:val="0"/>
        <w:kinsoku/>
        <w:bidi w:val="0"/>
        <w:spacing w:line="312" w:lineRule="auto"/>
        <w:ind w:firstLine="4080" w:firstLineChars="1700"/>
        <w:rPr>
          <w:rFonts w:hint="eastAsia" w:ascii="仿宋" w:hAnsi="仿宋" w:eastAsia="仿宋" w:cs="仿宋"/>
          <w:sz w:val="24"/>
          <w:highlight w:val="none"/>
          <w:lang w:val="zh-CN"/>
        </w:rPr>
      </w:pPr>
      <w:bookmarkStart w:id="80" w:name="_Toc15440"/>
      <w:bookmarkStart w:id="81" w:name="_Toc16144"/>
      <w:r>
        <w:rPr>
          <w:rFonts w:hint="eastAsia" w:ascii="仿宋" w:hAnsi="仿宋" w:eastAsia="仿宋" w:cs="仿宋"/>
          <w:sz w:val="24"/>
          <w:highlight w:val="none"/>
          <w:lang w:val="zh-CN"/>
        </w:rPr>
        <w:t>供应商：</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（盖</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章）</w:t>
      </w: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lang w:val="zh-CN"/>
        </w:rPr>
        <w:t>或委托代理人：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（签字或盖章）</w:t>
      </w:r>
    </w:p>
    <w:p>
      <w:pPr>
        <w:pageBreakBefore w:val="0"/>
        <w:kinsoku/>
        <w:bidi w:val="0"/>
        <w:spacing w:line="312" w:lineRule="auto"/>
        <w:ind w:firstLine="4080" w:firstLineChars="1700"/>
        <w:rPr>
          <w:rFonts w:hint="eastAsia" w:ascii="仿宋" w:hAnsi="仿宋" w:eastAsia="仿宋" w:cs="仿宋"/>
          <w:b/>
          <w:bCs/>
          <w:sz w:val="24"/>
          <w:szCs w:val="24"/>
          <w:highlight w:val="none"/>
          <w:lang w:eastAsia="zh-CN"/>
        </w:rPr>
      </w:pPr>
      <w:r>
        <w:rPr>
          <w:rFonts w:hint="eastAsia" w:ascii="仿宋" w:hAnsi="仿宋" w:eastAsia="仿宋" w:cs="仿宋"/>
          <w:sz w:val="24"/>
          <w:szCs w:val="24"/>
          <w:highlight w:val="none"/>
          <w:lang w:val="zh-CN"/>
        </w:rPr>
        <w:t>日期：</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年</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月</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日</w:t>
      </w:r>
      <w:r>
        <w:rPr>
          <w:rFonts w:hint="eastAsia" w:ascii="仿宋" w:hAnsi="仿宋" w:eastAsia="仿宋" w:cs="仿宋"/>
          <w:b/>
          <w:bCs/>
          <w:sz w:val="24"/>
          <w:szCs w:val="24"/>
          <w:highlight w:val="none"/>
          <w:lang w:eastAsia="zh-CN"/>
        </w:rPr>
        <w:br w:type="page"/>
      </w:r>
    </w:p>
    <w:p>
      <w:pPr>
        <w:pStyle w:val="11"/>
        <w:pageBreakBefore w:val="0"/>
        <w:bidi w:val="0"/>
        <w:spacing w:line="312" w:lineRule="auto"/>
        <w:ind w:left="0" w:leftChars="0" w:firstLine="0" w:firstLineChars="0"/>
        <w:outlineLvl w:val="0"/>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附件3：残疾人福利性单位声明函（非残疾人福利企业不填写）</w:t>
      </w:r>
      <w:bookmarkEnd w:id="80"/>
      <w:bookmarkEnd w:id="81"/>
    </w:p>
    <w:p>
      <w:pPr>
        <w:pStyle w:val="12"/>
        <w:pageBreakBefore w:val="0"/>
        <w:bidi w:val="0"/>
        <w:spacing w:line="312" w:lineRule="auto"/>
        <w:ind w:left="0" w:leftChars="0" w:firstLine="0" w:firstLineChars="0"/>
        <w:jc w:val="center"/>
        <w:rPr>
          <w:rFonts w:hint="eastAsia" w:ascii="仿宋" w:hAnsi="仿宋" w:eastAsia="仿宋" w:cs="仿宋"/>
          <w:b/>
          <w:bCs/>
          <w:kern w:val="2"/>
          <w:sz w:val="32"/>
          <w:szCs w:val="32"/>
          <w:highlight w:val="none"/>
          <w:lang w:val="en-US" w:eastAsia="zh-CN" w:bidi="ar-SA"/>
        </w:rPr>
      </w:pPr>
    </w:p>
    <w:p>
      <w:pPr>
        <w:pStyle w:val="12"/>
        <w:pageBreakBefore w:val="0"/>
        <w:bidi w:val="0"/>
        <w:spacing w:line="312" w:lineRule="auto"/>
        <w:ind w:left="0" w:leftChars="0" w:firstLine="0" w:firstLineChars="0"/>
        <w:jc w:val="center"/>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残疾人福利性单位声明函</w:t>
      </w:r>
    </w:p>
    <w:p>
      <w:pPr>
        <w:pStyle w:val="11"/>
        <w:pageBreakBefore w:val="0"/>
        <w:bidi w:val="0"/>
        <w:spacing w:line="312" w:lineRule="auto"/>
        <w:ind w:left="0" w:leftChars="0" w:firstLine="0" w:firstLineChars="0"/>
        <w:rPr>
          <w:rFonts w:hint="eastAsia" w:ascii="仿宋" w:hAnsi="仿宋" w:eastAsia="仿宋" w:cs="仿宋"/>
          <w:b/>
          <w:bCs/>
          <w:sz w:val="24"/>
          <w:szCs w:val="24"/>
          <w:highlight w:val="none"/>
          <w:lang w:eastAsia="zh-CN"/>
        </w:rPr>
      </w:pPr>
    </w:p>
    <w:p>
      <w:pPr>
        <w:pStyle w:val="11"/>
        <w:pageBreakBefore w:val="0"/>
        <w:bidi w:val="0"/>
        <w:spacing w:line="312" w:lineRule="auto"/>
        <w:ind w:left="0" w:leftChars="0" w:firstLine="480" w:firstLineChars="20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本单位郑重声明，根据《财政部 民政部 中国残疾人联合会关于促进残疾人就业政府采购政策的通知》（财库〔2017〕141号）的规定，本单位为符合条件的残疾人福利性单位，且本单位参加的</w:t>
      </w:r>
      <w:r>
        <w:rPr>
          <w:rFonts w:hint="eastAsia" w:ascii="仿宋" w:hAnsi="仿宋" w:eastAsia="仿宋" w:cs="仿宋"/>
          <w:b w:val="0"/>
          <w:bCs w:val="0"/>
          <w:sz w:val="24"/>
          <w:szCs w:val="24"/>
          <w:highlight w:val="none"/>
          <w:u w:val="single"/>
          <w:lang w:eastAsia="zh-CN"/>
        </w:rPr>
        <w:t xml:space="preserve">     </w:t>
      </w:r>
      <w:r>
        <w:rPr>
          <w:rFonts w:hint="eastAsia" w:ascii="仿宋" w:hAnsi="仿宋" w:eastAsia="仿宋" w:cs="仿宋"/>
          <w:b w:val="0"/>
          <w:bCs w:val="0"/>
          <w:sz w:val="24"/>
          <w:szCs w:val="24"/>
          <w:highlight w:val="none"/>
          <w:lang w:eastAsia="zh-CN"/>
        </w:rPr>
        <w:t>项目采购活动提供本单位制造的货物（由本单位承担工程/提供服务），或者提供其他残疾人福利性单位制造的货物（不包括使用非残疾人福利性单位注册商标的货物）。</w:t>
      </w: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本单位对上述声明的真实性负责。如有虚假，将依法承担相应责任。</w:t>
      </w: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（盖</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章）</w:t>
      </w: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lang w:val="zh-CN"/>
        </w:rPr>
        <w:t>或委托代理人：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（签字或盖章）</w:t>
      </w:r>
    </w:p>
    <w:p>
      <w:pPr>
        <w:pageBreakBefore w:val="0"/>
        <w:kinsoku/>
        <w:bidi w:val="0"/>
        <w:spacing w:line="312" w:lineRule="auto"/>
        <w:ind w:firstLine="4080" w:firstLineChars="1700"/>
        <w:rPr>
          <w:rFonts w:hint="eastAsia" w:ascii="仿宋" w:hAnsi="仿宋" w:eastAsia="仿宋" w:cs="仿宋"/>
          <w:b w:val="0"/>
          <w:bCs w:val="0"/>
          <w:sz w:val="24"/>
          <w:szCs w:val="24"/>
          <w:highlight w:val="none"/>
          <w:lang w:eastAsia="zh-CN"/>
        </w:rPr>
      </w:pPr>
      <w:r>
        <w:rPr>
          <w:rFonts w:hint="eastAsia" w:ascii="仿宋" w:hAnsi="仿宋" w:eastAsia="仿宋" w:cs="仿宋"/>
          <w:sz w:val="24"/>
          <w:szCs w:val="24"/>
          <w:highlight w:val="none"/>
          <w:lang w:val="zh-CN"/>
        </w:rPr>
        <w:t>日期：</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年</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月</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日</w:t>
      </w: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p>
    <w:p>
      <w:pPr>
        <w:pStyle w:val="11"/>
        <w:pageBreakBefore w:val="0"/>
        <w:bidi w:val="0"/>
        <w:spacing w:line="312" w:lineRule="auto"/>
        <w:ind w:left="0" w:leftChars="0" w:firstLine="480" w:firstLineChars="20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备注：供应商提供的《残疾人福利性单位声明函》必须真实有效，如果被举报经查实出具虚假声明函的，将被取消投标资格，并按有关规定予以处理。</w:t>
      </w: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p>
    <w:p>
      <w:pPr>
        <w:pStyle w:val="11"/>
        <w:pageBreakBefore w:val="0"/>
        <w:bidi w:val="0"/>
        <w:spacing w:line="312" w:lineRule="auto"/>
        <w:ind w:left="0" w:leftChars="0" w:firstLine="0" w:firstLineChars="0"/>
        <w:rPr>
          <w:rFonts w:hint="eastAsia" w:ascii="仿宋" w:hAnsi="仿宋" w:eastAsia="仿宋" w:cs="仿宋"/>
          <w:b/>
          <w:bCs/>
          <w:sz w:val="24"/>
          <w:szCs w:val="24"/>
          <w:highlight w:val="none"/>
          <w:lang w:eastAsia="zh-CN"/>
        </w:rPr>
      </w:pPr>
    </w:p>
    <w:p>
      <w:pPr>
        <w:pStyle w:val="11"/>
        <w:pageBreakBefore w:val="0"/>
        <w:bidi w:val="0"/>
        <w:spacing w:line="312" w:lineRule="auto"/>
        <w:ind w:left="0" w:leftChars="0" w:firstLine="0" w:firstLineChars="0"/>
        <w:rPr>
          <w:rFonts w:hint="eastAsia" w:ascii="仿宋" w:hAnsi="仿宋" w:eastAsia="仿宋" w:cs="仿宋"/>
          <w:b/>
          <w:bCs/>
          <w:sz w:val="24"/>
          <w:szCs w:val="24"/>
          <w:highlight w:val="none"/>
          <w:lang w:eastAsia="zh-CN"/>
        </w:rPr>
      </w:pPr>
    </w:p>
    <w:p>
      <w:pPr>
        <w:pStyle w:val="11"/>
        <w:pageBreakBefore w:val="0"/>
        <w:bidi w:val="0"/>
        <w:spacing w:line="312" w:lineRule="auto"/>
        <w:ind w:left="0" w:leftChars="0" w:firstLine="0" w:firstLineChars="0"/>
        <w:rPr>
          <w:rFonts w:hint="eastAsia" w:ascii="仿宋" w:hAnsi="仿宋" w:eastAsia="仿宋" w:cs="仿宋"/>
          <w:b/>
          <w:bCs/>
          <w:sz w:val="24"/>
          <w:szCs w:val="24"/>
          <w:highlight w:val="none"/>
          <w:lang w:eastAsia="zh-CN"/>
        </w:rPr>
      </w:pPr>
    </w:p>
    <w:p>
      <w:pPr>
        <w:pStyle w:val="11"/>
        <w:pageBreakBefore w:val="0"/>
        <w:bidi w:val="0"/>
        <w:spacing w:line="312" w:lineRule="auto"/>
        <w:ind w:left="0" w:leftChars="0" w:firstLine="0" w:firstLineChars="0"/>
        <w:rPr>
          <w:rFonts w:hint="eastAsia" w:ascii="仿宋" w:hAnsi="仿宋" w:eastAsia="仿宋" w:cs="仿宋"/>
          <w:b/>
          <w:bCs/>
          <w:sz w:val="24"/>
          <w:szCs w:val="24"/>
          <w:highlight w:val="none"/>
          <w:lang w:eastAsia="zh-CN"/>
        </w:rPr>
      </w:pPr>
    </w:p>
    <w:p>
      <w:pPr>
        <w:pStyle w:val="11"/>
        <w:pageBreakBefore w:val="0"/>
        <w:bidi w:val="0"/>
        <w:spacing w:line="312" w:lineRule="auto"/>
        <w:ind w:left="0" w:leftChars="0" w:firstLine="0" w:firstLineChars="0"/>
        <w:rPr>
          <w:rFonts w:hint="eastAsia" w:ascii="仿宋" w:hAnsi="仿宋" w:eastAsia="仿宋" w:cs="仿宋"/>
          <w:b/>
          <w:bCs/>
          <w:sz w:val="24"/>
          <w:szCs w:val="24"/>
          <w:highlight w:val="none"/>
          <w:lang w:eastAsia="zh-CN"/>
        </w:rPr>
      </w:pPr>
    </w:p>
    <w:p>
      <w:pPr>
        <w:pageBreakBefore w:val="0"/>
        <w:bidi w:val="0"/>
        <w:spacing w:line="312" w:lineRule="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br w:type="page"/>
      </w:r>
    </w:p>
    <w:p>
      <w:pPr>
        <w:pStyle w:val="11"/>
        <w:pageBreakBefore w:val="0"/>
        <w:bidi w:val="0"/>
        <w:spacing w:line="312" w:lineRule="auto"/>
        <w:ind w:left="0" w:leftChars="0" w:firstLine="0" w:firstLineChars="0"/>
        <w:outlineLvl w:val="0"/>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附件4：监狱、戒毒企业声明函（非监狱、戒毒企业不填写）</w:t>
      </w:r>
    </w:p>
    <w:p>
      <w:pPr>
        <w:pStyle w:val="11"/>
        <w:pageBreakBefore w:val="0"/>
        <w:bidi w:val="0"/>
        <w:spacing w:line="312" w:lineRule="auto"/>
        <w:ind w:left="0" w:leftChars="0" w:firstLine="0" w:firstLineChars="0"/>
        <w:jc w:val="center"/>
        <w:rPr>
          <w:rFonts w:hint="eastAsia" w:ascii="仿宋" w:hAnsi="仿宋" w:eastAsia="仿宋" w:cs="仿宋"/>
          <w:b/>
          <w:bCs/>
          <w:kern w:val="2"/>
          <w:sz w:val="32"/>
          <w:szCs w:val="32"/>
          <w:highlight w:val="none"/>
          <w:lang w:val="en-US" w:eastAsia="zh-CN" w:bidi="ar-SA"/>
        </w:rPr>
      </w:pPr>
    </w:p>
    <w:p>
      <w:pPr>
        <w:pStyle w:val="11"/>
        <w:pageBreakBefore w:val="0"/>
        <w:bidi w:val="0"/>
        <w:spacing w:line="312" w:lineRule="auto"/>
        <w:ind w:left="0" w:leftChars="0" w:firstLine="0" w:firstLineChars="0"/>
        <w:jc w:val="center"/>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监狱、戒毒企业声明函</w:t>
      </w:r>
    </w:p>
    <w:p>
      <w:pPr>
        <w:pStyle w:val="12"/>
        <w:pageBreakBefore w:val="0"/>
        <w:bidi w:val="0"/>
        <w:spacing w:line="312" w:lineRule="auto"/>
        <w:rPr>
          <w:rFonts w:hint="eastAsia" w:ascii="仿宋" w:hAnsi="仿宋" w:eastAsia="仿宋" w:cs="仿宋"/>
          <w:highlight w:val="none"/>
          <w:lang w:val="en-US" w:eastAsia="zh-CN"/>
        </w:rPr>
      </w:pPr>
    </w:p>
    <w:p>
      <w:pPr>
        <w:pStyle w:val="11"/>
        <w:pageBreakBefore w:val="0"/>
        <w:bidi w:val="0"/>
        <w:spacing w:line="312" w:lineRule="auto"/>
        <w:ind w:left="0" w:leftChars="0" w:firstLine="480" w:firstLineChars="20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本单位郑重声明，根据《财政部 司法部 关于政府采购支持监狱企业发展有关问题的通知》（财库〔2014〕 68号）的规定，本单位为符合条件的监狱、戒毒企业，且本单位参加的</w:t>
      </w:r>
      <w:r>
        <w:rPr>
          <w:rFonts w:hint="eastAsia" w:ascii="仿宋" w:hAnsi="仿宋" w:eastAsia="仿宋" w:cs="仿宋"/>
          <w:b w:val="0"/>
          <w:bCs w:val="0"/>
          <w:sz w:val="24"/>
          <w:szCs w:val="24"/>
          <w:highlight w:val="none"/>
          <w:u w:val="single"/>
          <w:lang w:eastAsia="zh-CN"/>
        </w:rPr>
        <w:t xml:space="preserve">      </w:t>
      </w:r>
      <w:r>
        <w:rPr>
          <w:rFonts w:hint="eastAsia" w:ascii="仿宋" w:hAnsi="仿宋" w:eastAsia="仿宋" w:cs="仿宋"/>
          <w:b w:val="0"/>
          <w:bCs w:val="0"/>
          <w:sz w:val="24"/>
          <w:szCs w:val="24"/>
          <w:highlight w:val="none"/>
          <w:lang w:eastAsia="zh-CN"/>
        </w:rPr>
        <w:t>项目采购活动提供本单位制造的货物（由本单位承担工程/提供服务），或者提供其他监狱、戒毒企业制造的货物（不包括使用非监狱、戒毒企业注册商标的货物）。</w:t>
      </w:r>
    </w:p>
    <w:p>
      <w:pPr>
        <w:pStyle w:val="11"/>
        <w:pageBreakBefore w:val="0"/>
        <w:bidi w:val="0"/>
        <w:spacing w:line="312" w:lineRule="auto"/>
        <w:ind w:left="0" w:leftChars="0" w:firstLine="480" w:firstLineChars="200"/>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本单位对上述声明的真实性负责。如有虚假，将依法承担相应责任。</w:t>
      </w: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供应商：</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（盖</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章）</w:t>
      </w:r>
    </w:p>
    <w:p>
      <w:pPr>
        <w:pageBreakBefore w:val="0"/>
        <w:kinsoku/>
        <w:bidi w:val="0"/>
        <w:spacing w:line="312" w:lineRule="auto"/>
        <w:ind w:firstLine="4080" w:firstLineChars="1700"/>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w:t>
      </w:r>
      <w:r>
        <w:rPr>
          <w:rFonts w:hint="eastAsia" w:ascii="仿宋" w:hAnsi="仿宋" w:eastAsia="仿宋" w:cs="仿宋"/>
          <w:sz w:val="24"/>
          <w:highlight w:val="none"/>
          <w:lang w:val="en-US" w:eastAsia="zh-CN"/>
        </w:rPr>
        <w:t>/负责人</w:t>
      </w:r>
      <w:r>
        <w:rPr>
          <w:rFonts w:hint="eastAsia" w:ascii="仿宋" w:hAnsi="仿宋" w:eastAsia="仿宋" w:cs="仿宋"/>
          <w:sz w:val="24"/>
          <w:highlight w:val="none"/>
          <w:lang w:val="zh-CN"/>
        </w:rPr>
        <w:t>或委托代理人：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（签字或盖章）</w:t>
      </w:r>
    </w:p>
    <w:p>
      <w:pPr>
        <w:pageBreakBefore w:val="0"/>
        <w:kinsoku/>
        <w:bidi w:val="0"/>
        <w:spacing w:line="312" w:lineRule="auto"/>
        <w:ind w:firstLine="4080" w:firstLineChars="1700"/>
        <w:rPr>
          <w:rFonts w:hint="eastAsia" w:ascii="仿宋" w:hAnsi="仿宋" w:eastAsia="仿宋" w:cs="仿宋"/>
          <w:b w:val="0"/>
          <w:bCs w:val="0"/>
          <w:sz w:val="24"/>
          <w:szCs w:val="24"/>
          <w:highlight w:val="none"/>
          <w:lang w:eastAsia="zh-CN"/>
        </w:rPr>
      </w:pPr>
      <w:r>
        <w:rPr>
          <w:rFonts w:hint="eastAsia" w:ascii="仿宋" w:hAnsi="仿宋" w:eastAsia="仿宋" w:cs="仿宋"/>
          <w:sz w:val="24"/>
          <w:szCs w:val="24"/>
          <w:highlight w:val="none"/>
          <w:lang w:val="zh-CN"/>
        </w:rPr>
        <w:t>日期：</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年</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月</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日</w:t>
      </w: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p>
    <w:p>
      <w:pPr>
        <w:pStyle w:val="11"/>
        <w:pageBreakBefore w:val="0"/>
        <w:bidi w:val="0"/>
        <w:spacing w:line="312" w:lineRule="auto"/>
        <w:ind w:left="0" w:leftChars="0" w:firstLine="0" w:firstLineChars="0"/>
        <w:rPr>
          <w:rFonts w:hint="eastAsia" w:ascii="仿宋" w:hAnsi="仿宋" w:eastAsia="仿宋" w:cs="仿宋"/>
          <w:b w:val="0"/>
          <w:bCs w:val="0"/>
          <w:sz w:val="24"/>
          <w:szCs w:val="24"/>
          <w:highlight w:val="none"/>
          <w:lang w:eastAsia="zh-CN"/>
        </w:rPr>
      </w:pPr>
    </w:p>
    <w:p>
      <w:pPr>
        <w:pStyle w:val="18"/>
        <w:pageBreakBefore w:val="0"/>
        <w:kinsoku/>
        <w:bidi w:val="0"/>
        <w:spacing w:line="312" w:lineRule="auto"/>
        <w:ind w:left="0" w:leftChars="0" w:firstLine="480" w:firstLineChars="200"/>
        <w:rPr>
          <w:rFonts w:hint="eastAsia" w:ascii="仿宋" w:hAnsi="仿宋" w:eastAsia="仿宋" w:cs="仿宋"/>
          <w:sz w:val="24"/>
          <w:szCs w:val="18"/>
          <w:highlight w:val="none"/>
          <w:lang w:val="zh-CN"/>
        </w:rPr>
      </w:pPr>
      <w:r>
        <w:rPr>
          <w:rFonts w:hint="eastAsia" w:ascii="仿宋" w:hAnsi="仿宋" w:eastAsia="仿宋" w:cs="仿宋"/>
          <w:b w:val="0"/>
          <w:bCs w:val="0"/>
          <w:sz w:val="24"/>
          <w:szCs w:val="24"/>
          <w:highlight w:val="none"/>
          <w:lang w:eastAsia="zh-CN"/>
        </w:rPr>
        <w:t>备注：供应商提供的《监狱、戒毒企业声明函》必须真实有效，供应商应当提供由省级以上监狱管理局、戒毒管理局(含新疆生产建设兵团)出具的属于监狱企业的证明文件。</w:t>
      </w:r>
    </w:p>
    <w:p>
      <w:pPr>
        <w:pageBreakBefore w:val="0"/>
        <w:bidi w:val="0"/>
        <w:spacing w:line="312" w:lineRule="auto"/>
        <w:rPr>
          <w:rFonts w:hint="eastAsia" w:ascii="仿宋" w:hAnsi="仿宋" w:eastAsia="仿宋" w:cs="仿宋"/>
          <w:b/>
          <w:bCs/>
          <w:spacing w:val="6"/>
          <w:sz w:val="28"/>
          <w:szCs w:val="28"/>
          <w:highlight w:val="none"/>
        </w:rPr>
      </w:pPr>
      <w:r>
        <w:rPr>
          <w:rFonts w:hint="eastAsia" w:ascii="仿宋" w:hAnsi="仿宋" w:eastAsia="仿宋" w:cs="仿宋"/>
          <w:b/>
          <w:bCs/>
          <w:spacing w:val="6"/>
          <w:sz w:val="28"/>
          <w:szCs w:val="28"/>
          <w:highlight w:val="none"/>
        </w:rPr>
        <w:br w:type="page"/>
      </w:r>
    </w:p>
    <w:p>
      <w:pPr>
        <w:pStyle w:val="11"/>
        <w:pageBreakBefore w:val="0"/>
        <w:bidi w:val="0"/>
        <w:spacing w:line="312" w:lineRule="auto"/>
        <w:ind w:left="0" w:leftChars="0" w:firstLine="0" w:firstLineChars="0"/>
        <w:outlineLvl w:val="0"/>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eastAsia="zh-CN"/>
        </w:rPr>
        <w:t>附件</w:t>
      </w:r>
      <w:r>
        <w:rPr>
          <w:rFonts w:hint="eastAsia" w:ascii="仿宋" w:hAnsi="仿宋" w:eastAsia="仿宋" w:cs="仿宋"/>
          <w:b/>
          <w:bCs/>
          <w:sz w:val="24"/>
          <w:szCs w:val="24"/>
          <w:highlight w:val="none"/>
          <w:lang w:val="en-US" w:eastAsia="zh-CN"/>
        </w:rPr>
        <w:t>5</w:t>
      </w:r>
      <w:r>
        <w:rPr>
          <w:rFonts w:hint="eastAsia" w:ascii="仿宋" w:hAnsi="仿宋" w:eastAsia="仿宋" w:cs="仿宋"/>
          <w:b/>
          <w:bCs/>
          <w:sz w:val="24"/>
          <w:szCs w:val="24"/>
          <w:highlight w:val="none"/>
          <w:lang w:eastAsia="zh-CN"/>
        </w:rPr>
        <w:t>：“节能产品”、“环境标志产品”证明</w:t>
      </w:r>
      <w:r>
        <w:rPr>
          <w:rFonts w:hint="eastAsia" w:ascii="仿宋" w:hAnsi="仿宋" w:eastAsia="仿宋" w:cs="仿宋"/>
          <w:b/>
          <w:bCs/>
          <w:sz w:val="24"/>
          <w:szCs w:val="24"/>
          <w:highlight w:val="none"/>
          <w:lang w:val="en-US" w:eastAsia="zh-CN"/>
        </w:rPr>
        <w:t>材料</w:t>
      </w:r>
    </w:p>
    <w:p>
      <w:pPr>
        <w:pageBreakBefore w:val="0"/>
        <w:kinsoku/>
        <w:bidi w:val="0"/>
        <w:adjustRightInd w:val="0"/>
        <w:snapToGrid w:val="0"/>
        <w:spacing w:line="312" w:lineRule="auto"/>
        <w:jc w:val="both"/>
        <w:rPr>
          <w:rFonts w:hint="eastAsia" w:ascii="仿宋" w:hAnsi="仿宋" w:eastAsia="仿宋" w:cs="仿宋"/>
          <w:b/>
          <w:bCs/>
          <w:spacing w:val="6"/>
          <w:sz w:val="28"/>
          <w:szCs w:val="28"/>
          <w:highlight w:val="none"/>
        </w:rPr>
      </w:pPr>
    </w:p>
    <w:p>
      <w:pPr>
        <w:pageBreakBefore w:val="0"/>
        <w:kinsoku/>
        <w:bidi w:val="0"/>
        <w:adjustRightInd w:val="0"/>
        <w:snapToGrid w:val="0"/>
        <w:spacing w:line="312" w:lineRule="auto"/>
        <w:jc w:val="center"/>
        <w:rPr>
          <w:rFonts w:hint="eastAsia" w:ascii="仿宋" w:hAnsi="仿宋" w:eastAsia="仿宋" w:cs="仿宋"/>
          <w:b/>
          <w:bCs/>
          <w:szCs w:val="21"/>
          <w:highlight w:val="none"/>
        </w:rPr>
      </w:pPr>
      <w:r>
        <w:rPr>
          <w:rFonts w:hint="eastAsia" w:ascii="仿宋" w:hAnsi="仿宋" w:eastAsia="仿宋" w:cs="仿宋"/>
          <w:b/>
          <w:bCs/>
          <w:spacing w:val="6"/>
          <w:sz w:val="28"/>
          <w:szCs w:val="28"/>
          <w:highlight w:val="none"/>
        </w:rPr>
        <w:t>“节能产品”、“环境标志产品”证明材料</w:t>
      </w:r>
    </w:p>
    <w:p>
      <w:pPr>
        <w:pageBreakBefore w:val="0"/>
        <w:kinsoku/>
        <w:bidi w:val="0"/>
        <w:spacing w:line="312" w:lineRule="auto"/>
        <w:rPr>
          <w:rFonts w:hint="eastAsia" w:ascii="仿宋" w:hAnsi="仿宋" w:eastAsia="仿宋" w:cs="仿宋"/>
          <w:szCs w:val="21"/>
          <w:highlight w:val="none"/>
        </w:rPr>
      </w:pPr>
    </w:p>
    <w:p>
      <w:pPr>
        <w:pageBreakBefore w:val="0"/>
        <w:kinsoku/>
        <w:bidi w:val="0"/>
        <w:adjustRightInd w:val="0"/>
        <w:snapToGrid w:val="0"/>
        <w:spacing w:line="312"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说明：</w:t>
      </w:r>
    </w:p>
    <w:p>
      <w:pPr>
        <w:pageBreakBefore w:val="0"/>
        <w:numPr>
          <w:ilvl w:val="0"/>
          <w:numId w:val="0"/>
        </w:numPr>
        <w:tabs>
          <w:tab w:val="left" w:pos="630"/>
          <w:tab w:val="left" w:pos="840"/>
        </w:tabs>
        <w:kinsoku/>
        <w:bidi w:val="0"/>
        <w:adjustRightInd w:val="0"/>
        <w:snapToGrid w:val="0"/>
        <w:spacing w:line="312"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提供的产品属于下列情形，应按规定提供相关证明材料(清单或目录所在页复印件)，并在《货物分项报价表》中提供相应数据。</w:t>
      </w:r>
    </w:p>
    <w:p>
      <w:pPr>
        <w:pageBreakBefore w:val="0"/>
        <w:numPr>
          <w:ilvl w:val="0"/>
          <w:numId w:val="0"/>
        </w:numPr>
        <w:tabs>
          <w:tab w:val="left" w:pos="630"/>
          <w:tab w:val="left" w:pos="840"/>
        </w:tabs>
        <w:kinsoku/>
        <w:bidi w:val="0"/>
        <w:adjustRightInd w:val="0"/>
        <w:snapToGrid w:val="0"/>
        <w:spacing w:line="312"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lang w:val="en-US" w:eastAsia="zh-CN"/>
        </w:rPr>
        <w:t>1</w:t>
      </w: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rPr>
        <w:t>符合</w:t>
      </w:r>
      <w:r>
        <w:rPr>
          <w:rFonts w:hint="eastAsia" w:ascii="仿宋" w:hAnsi="仿宋" w:eastAsia="仿宋" w:cs="仿宋"/>
          <w:sz w:val="24"/>
          <w:szCs w:val="24"/>
          <w:highlight w:val="none"/>
        </w:rPr>
        <w:t>政府采购强制采购政策的(《节能产品政府采购清单》中标记★符号节能产品及其他强制采购产品)；</w:t>
      </w:r>
    </w:p>
    <w:p>
      <w:pPr>
        <w:pageBreakBefore w:val="0"/>
        <w:numPr>
          <w:ilvl w:val="0"/>
          <w:numId w:val="0"/>
        </w:numPr>
        <w:tabs>
          <w:tab w:val="left" w:pos="630"/>
          <w:tab w:val="left" w:pos="840"/>
        </w:tabs>
        <w:kinsoku/>
        <w:bidi w:val="0"/>
        <w:adjustRightInd w:val="0"/>
        <w:snapToGrid w:val="0"/>
        <w:spacing w:line="312"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符合政府采购优先采购政策的(《节能产品政府采购清单》中非标记★符号节能产品，《环境标志产品政府采购清单》中环境标志产品。</w:t>
      </w:r>
    </w:p>
    <w:p>
      <w:pPr>
        <w:pageBreakBefore w:val="0"/>
        <w:numPr>
          <w:ilvl w:val="0"/>
          <w:numId w:val="0"/>
        </w:numPr>
        <w:tabs>
          <w:tab w:val="left" w:pos="630"/>
          <w:tab w:val="left" w:pos="840"/>
        </w:tabs>
        <w:kinsoku/>
        <w:bidi w:val="0"/>
        <w:adjustRightInd w:val="0"/>
        <w:snapToGrid w:val="0"/>
        <w:spacing w:line="312" w:lineRule="auto"/>
        <w:ind w:firstLine="480" w:firstLineChars="200"/>
        <w:rPr>
          <w:rFonts w:hint="eastAsia" w:ascii="仿宋" w:hAnsi="仿宋" w:eastAsia="仿宋" w:cs="仿宋"/>
          <w:b/>
          <w:color w:val="000000"/>
          <w:sz w:val="36"/>
          <w:szCs w:val="36"/>
          <w:highlight w:val="none"/>
          <w:lang w:val="zh-CN"/>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未按上述要求提供、填写的，评审时不予以考虑。</w:t>
      </w:r>
    </w:p>
    <w:p>
      <w:pPr>
        <w:pageBreakBefore w:val="0"/>
        <w:bidi w:val="0"/>
        <w:spacing w:line="312" w:lineRule="auto"/>
        <w:rPr>
          <w:rFonts w:hint="eastAsia" w:ascii="仿宋" w:hAnsi="仿宋" w:eastAsia="仿宋" w:cs="仿宋"/>
          <w:b/>
          <w:color w:val="000000"/>
          <w:sz w:val="36"/>
          <w:szCs w:val="36"/>
          <w:highlight w:val="none"/>
          <w:lang w:val="zh-CN"/>
        </w:rPr>
      </w:pPr>
      <w:r>
        <w:rPr>
          <w:rFonts w:hint="eastAsia" w:ascii="仿宋" w:hAnsi="仿宋" w:eastAsia="仿宋" w:cs="仿宋"/>
          <w:b/>
          <w:color w:val="000000"/>
          <w:sz w:val="36"/>
          <w:szCs w:val="36"/>
          <w:highlight w:val="none"/>
          <w:lang w:val="zh-CN"/>
        </w:rPr>
        <w:br w:type="page"/>
      </w:r>
    </w:p>
    <w:p>
      <w:pPr>
        <w:pageBreakBefore w:val="0"/>
        <w:numPr>
          <w:ilvl w:val="0"/>
          <w:numId w:val="39"/>
        </w:numPr>
        <w:kinsoku/>
        <w:bidi w:val="0"/>
        <w:spacing w:line="312" w:lineRule="auto"/>
        <w:ind w:firstLine="0"/>
        <w:jc w:val="center"/>
        <w:outlineLvl w:val="0"/>
        <w:rPr>
          <w:rFonts w:hint="eastAsia" w:ascii="仿宋" w:hAnsi="仿宋" w:eastAsia="仿宋" w:cs="仿宋"/>
          <w:b/>
          <w:color w:val="000000"/>
          <w:sz w:val="36"/>
          <w:szCs w:val="36"/>
          <w:highlight w:val="none"/>
          <w:lang w:val="zh-CN"/>
        </w:rPr>
      </w:pPr>
      <w:r>
        <w:rPr>
          <w:rFonts w:hint="eastAsia" w:ascii="仿宋" w:hAnsi="仿宋" w:eastAsia="仿宋" w:cs="仿宋"/>
          <w:b/>
          <w:color w:val="000000"/>
          <w:sz w:val="36"/>
          <w:szCs w:val="36"/>
          <w:highlight w:val="none"/>
          <w:lang w:val="zh-CN"/>
        </w:rPr>
        <w:t>供应商承诺书</w:t>
      </w:r>
    </w:p>
    <w:p>
      <w:pPr>
        <w:pageBreakBefore w:val="0"/>
        <w:widowControl/>
        <w:bidi w:val="0"/>
        <w:spacing w:line="312"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承诺书（一）</w:t>
      </w:r>
    </w:p>
    <w:p>
      <w:pPr>
        <w:pageBreakBefore w:val="0"/>
        <w:bidi w:val="0"/>
        <w:spacing w:line="312" w:lineRule="auto"/>
        <w:jc w:val="center"/>
        <w:rPr>
          <w:rFonts w:hint="eastAsia" w:ascii="仿宋" w:hAnsi="仿宋" w:eastAsia="仿宋" w:cs="仿宋"/>
          <w:b/>
          <w:color w:val="auto"/>
          <w:szCs w:val="21"/>
          <w:highlight w:val="none"/>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pageBreakBefore w:val="0"/>
              <w:bidi w:val="0"/>
              <w:spacing w:line="312" w:lineRule="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致：</w:t>
            </w:r>
            <w:r>
              <w:rPr>
                <w:rFonts w:hint="eastAsia" w:ascii="仿宋" w:hAnsi="仿宋" w:eastAsia="仿宋" w:cs="仿宋"/>
                <w:color w:val="auto"/>
                <w:szCs w:val="21"/>
                <w:highlight w:val="none"/>
                <w:lang w:eastAsia="zh-CN"/>
              </w:rPr>
              <w:t>陕西同昌成项目管理有限公司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pageBreakBefore w:val="0"/>
              <w:bidi w:val="0"/>
              <w:spacing w:line="312"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作为参加贵公司组织的采购项目的供应商，本公司承诺：在参加本项目磋商之前不存在被依法禁止经营行为、财产被接管或冻结的情况，如有隐瞒实情，愿承担一切责任及后果。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w:t>
            </w:r>
          </w:p>
        </w:tc>
        <w:tc>
          <w:tcPr>
            <w:tcW w:w="3420" w:type="dxa"/>
            <w:noWrap w:val="0"/>
            <w:vAlign w:val="center"/>
          </w:tcPr>
          <w:p>
            <w:pPr>
              <w:pageBreakBefore w:val="0"/>
              <w:bidi w:val="0"/>
              <w:spacing w:line="312"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zh-CN"/>
              </w:rPr>
              <w:t>法定代表人</w:t>
            </w:r>
            <w:r>
              <w:rPr>
                <w:rFonts w:hint="eastAsia" w:ascii="仿宋" w:hAnsi="仿宋" w:eastAsia="仿宋" w:cs="仿宋"/>
                <w:color w:val="auto"/>
                <w:szCs w:val="21"/>
                <w:highlight w:val="none"/>
                <w:lang w:val="en-US" w:eastAsia="zh-CN"/>
              </w:rPr>
              <w:t>/负责人</w:t>
            </w:r>
            <w:r>
              <w:rPr>
                <w:rFonts w:hint="eastAsia" w:ascii="仿宋" w:hAnsi="仿宋" w:eastAsia="仿宋" w:cs="仿宋"/>
                <w:color w:val="auto"/>
                <w:szCs w:val="21"/>
                <w:highlight w:val="none"/>
                <w:lang w:val="zh-CN"/>
              </w:rPr>
              <w:t>或委托代理人</w:t>
            </w:r>
          </w:p>
        </w:tc>
        <w:tc>
          <w:tcPr>
            <w:tcW w:w="2340"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jc w:val="center"/>
        </w:trPr>
        <w:tc>
          <w:tcPr>
            <w:tcW w:w="3240"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（公章）</w:t>
            </w:r>
          </w:p>
        </w:tc>
        <w:tc>
          <w:tcPr>
            <w:tcW w:w="3420"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（签字或盖章）</w:t>
            </w:r>
          </w:p>
        </w:tc>
        <w:tc>
          <w:tcPr>
            <w:tcW w:w="2340" w:type="dxa"/>
            <w:noWrap w:val="0"/>
            <w:vAlign w:val="center"/>
          </w:tcPr>
          <w:p>
            <w:pPr>
              <w:pageBreakBefore w:val="0"/>
              <w:bidi w:val="0"/>
              <w:spacing w:line="312" w:lineRule="auto"/>
              <w:ind w:firstLine="210" w:firstLineChars="10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  月  日</w:t>
            </w:r>
          </w:p>
        </w:tc>
      </w:tr>
    </w:tbl>
    <w:p>
      <w:pPr>
        <w:pageBreakBefore w:val="0"/>
        <w:bidi w:val="0"/>
        <w:spacing w:line="312" w:lineRule="auto"/>
        <w:jc w:val="center"/>
        <w:rPr>
          <w:rFonts w:hint="eastAsia" w:ascii="仿宋" w:hAnsi="仿宋" w:eastAsia="仿宋" w:cs="仿宋"/>
          <w:b/>
          <w:color w:val="auto"/>
          <w:szCs w:val="21"/>
          <w:highlight w:val="none"/>
        </w:rPr>
      </w:pPr>
    </w:p>
    <w:p>
      <w:pPr>
        <w:pageBreakBefore w:val="0"/>
        <w:widowControl/>
        <w:bidi w:val="0"/>
        <w:spacing w:line="312" w:lineRule="auto"/>
        <w:jc w:val="both"/>
        <w:rPr>
          <w:rFonts w:hint="eastAsia" w:ascii="仿宋" w:hAnsi="仿宋" w:eastAsia="仿宋" w:cs="仿宋"/>
          <w:b/>
          <w:color w:val="auto"/>
          <w:sz w:val="28"/>
          <w:szCs w:val="28"/>
          <w:highlight w:val="none"/>
        </w:rPr>
      </w:pPr>
    </w:p>
    <w:p>
      <w:pPr>
        <w:pageBreakBefore w:val="0"/>
        <w:widowControl/>
        <w:bidi w:val="0"/>
        <w:spacing w:line="312"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承诺书（二）</w:t>
      </w:r>
    </w:p>
    <w:p>
      <w:pPr>
        <w:pStyle w:val="2"/>
        <w:pageBreakBefore w:val="0"/>
        <w:bidi w:val="0"/>
        <w:spacing w:line="312" w:lineRule="auto"/>
        <w:rPr>
          <w:rFonts w:hint="eastAsia" w:ascii="仿宋" w:hAnsi="仿宋" w:eastAsia="仿宋" w:cs="仿宋"/>
          <w:highlight w:val="none"/>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pageBreakBefore w:val="0"/>
              <w:bidi w:val="0"/>
              <w:spacing w:line="312"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致：</w:t>
            </w:r>
            <w:r>
              <w:rPr>
                <w:rFonts w:hint="eastAsia" w:ascii="仿宋" w:hAnsi="仿宋" w:eastAsia="仿宋" w:cs="仿宋"/>
                <w:color w:val="auto"/>
                <w:szCs w:val="21"/>
                <w:highlight w:val="none"/>
                <w:lang w:eastAsia="zh-CN"/>
              </w:rPr>
              <w:t>陕西同昌成项目管理有限公司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pageBreakBefore w:val="0"/>
              <w:bidi w:val="0"/>
              <w:spacing w:line="312"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作为参加贵公司组织的采购项目的供应商，本公司郑重申告并承诺：近三年受到有关行政主管部门的行政处理、不良行为记录为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w:t>
            </w:r>
          </w:p>
        </w:tc>
        <w:tc>
          <w:tcPr>
            <w:tcW w:w="3420" w:type="dxa"/>
            <w:noWrap w:val="0"/>
            <w:vAlign w:val="center"/>
          </w:tcPr>
          <w:p>
            <w:pPr>
              <w:pageBreakBefore w:val="0"/>
              <w:bidi w:val="0"/>
              <w:spacing w:line="312"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zh-CN"/>
              </w:rPr>
              <w:t>法定代表人</w:t>
            </w:r>
            <w:r>
              <w:rPr>
                <w:rFonts w:hint="eastAsia" w:ascii="仿宋" w:hAnsi="仿宋" w:eastAsia="仿宋" w:cs="仿宋"/>
                <w:color w:val="auto"/>
                <w:szCs w:val="21"/>
                <w:highlight w:val="none"/>
                <w:lang w:val="en-US" w:eastAsia="zh-CN"/>
              </w:rPr>
              <w:t>/负责人</w:t>
            </w:r>
            <w:r>
              <w:rPr>
                <w:rFonts w:hint="eastAsia" w:ascii="仿宋" w:hAnsi="仿宋" w:eastAsia="仿宋" w:cs="仿宋"/>
                <w:color w:val="auto"/>
                <w:szCs w:val="21"/>
                <w:highlight w:val="none"/>
                <w:lang w:val="zh-CN"/>
              </w:rPr>
              <w:t>或委托代理人</w:t>
            </w:r>
          </w:p>
        </w:tc>
        <w:tc>
          <w:tcPr>
            <w:tcW w:w="2340"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3240"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（公章）</w:t>
            </w:r>
          </w:p>
        </w:tc>
        <w:tc>
          <w:tcPr>
            <w:tcW w:w="3420"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（签字或盖章）</w:t>
            </w:r>
          </w:p>
        </w:tc>
        <w:tc>
          <w:tcPr>
            <w:tcW w:w="2340" w:type="dxa"/>
            <w:noWrap w:val="0"/>
            <w:vAlign w:val="center"/>
          </w:tcPr>
          <w:p>
            <w:pPr>
              <w:pageBreakBefore w:val="0"/>
              <w:bidi w:val="0"/>
              <w:spacing w:line="312" w:lineRule="auto"/>
              <w:ind w:firstLine="210" w:firstLineChars="10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  月  日</w:t>
            </w:r>
          </w:p>
        </w:tc>
      </w:tr>
    </w:tbl>
    <w:p>
      <w:pPr>
        <w:pageBreakBefore w:val="0"/>
        <w:bidi w:val="0"/>
        <w:spacing w:line="312"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br w:type="page"/>
      </w:r>
    </w:p>
    <w:p>
      <w:pPr>
        <w:pageBreakBefore w:val="0"/>
        <w:bidi w:val="0"/>
        <w:spacing w:line="312" w:lineRule="auto"/>
        <w:jc w:val="center"/>
        <w:rPr>
          <w:rFonts w:hint="eastAsia" w:ascii="仿宋" w:hAnsi="仿宋" w:eastAsia="仿宋" w:cs="仿宋"/>
          <w:b/>
          <w:color w:val="auto"/>
          <w:szCs w:val="21"/>
          <w:highlight w:val="none"/>
        </w:rPr>
      </w:pPr>
    </w:p>
    <w:p>
      <w:pPr>
        <w:pageBreakBefore w:val="0"/>
        <w:bidi w:val="0"/>
        <w:spacing w:line="312" w:lineRule="auto"/>
        <w:jc w:val="center"/>
        <w:rPr>
          <w:rFonts w:hint="eastAsia" w:ascii="仿宋" w:hAnsi="仿宋" w:eastAsia="仿宋" w:cs="仿宋"/>
          <w:b/>
          <w:color w:val="auto"/>
          <w:szCs w:val="21"/>
          <w:highlight w:val="none"/>
        </w:rPr>
      </w:pPr>
      <w:r>
        <w:rPr>
          <w:rFonts w:hint="eastAsia" w:ascii="仿宋" w:hAnsi="仿宋" w:eastAsia="仿宋" w:cs="仿宋"/>
          <w:b/>
          <w:color w:val="auto"/>
          <w:sz w:val="28"/>
          <w:szCs w:val="28"/>
          <w:highlight w:val="none"/>
        </w:rPr>
        <w:t>承诺书（三）</w:t>
      </w:r>
    </w:p>
    <w:p>
      <w:pPr>
        <w:pageBreakBefore w:val="0"/>
        <w:bidi w:val="0"/>
        <w:spacing w:line="312" w:lineRule="auto"/>
        <w:jc w:val="center"/>
        <w:rPr>
          <w:rFonts w:hint="eastAsia" w:ascii="仿宋" w:hAnsi="仿宋" w:eastAsia="仿宋" w:cs="仿宋"/>
          <w:b/>
          <w:color w:val="auto"/>
          <w:szCs w:val="21"/>
          <w:highlight w:val="none"/>
        </w:rPr>
      </w:pPr>
    </w:p>
    <w:tbl>
      <w:tblPr>
        <w:tblStyle w:val="38"/>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3556"/>
        <w:gridCol w:w="2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9360" w:type="dxa"/>
            <w:gridSpan w:val="3"/>
            <w:noWrap w:val="0"/>
            <w:vAlign w:val="center"/>
          </w:tcPr>
          <w:p>
            <w:pPr>
              <w:pageBreakBefore w:val="0"/>
              <w:bidi w:val="0"/>
              <w:spacing w:line="312"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致：</w:t>
            </w:r>
            <w:r>
              <w:rPr>
                <w:rFonts w:hint="eastAsia" w:ascii="仿宋" w:hAnsi="仿宋" w:eastAsia="仿宋" w:cs="仿宋"/>
                <w:color w:val="auto"/>
                <w:szCs w:val="21"/>
                <w:highlight w:val="none"/>
                <w:lang w:eastAsia="zh-CN"/>
              </w:rPr>
              <w:t>陕西同昌成项目管理有限公司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9360" w:type="dxa"/>
            <w:gridSpan w:val="3"/>
            <w:noWrap w:val="0"/>
            <w:vAlign w:val="center"/>
          </w:tcPr>
          <w:p>
            <w:pPr>
              <w:pageBreakBefore w:val="0"/>
              <w:bidi w:val="0"/>
              <w:spacing w:line="312"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作为参加贵公司组织的采购项目的供应商，本公司郑重申告：近三年因服务质量问题的不法行为记录为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次（没有填零），如有隐瞒实情，愿承担一切责任及后果。</w:t>
            </w:r>
          </w:p>
          <w:p>
            <w:pPr>
              <w:pageBreakBefore w:val="0"/>
              <w:bidi w:val="0"/>
              <w:spacing w:line="312"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本公司承诺：本次采购标的物为正品行货。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69"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w:t>
            </w:r>
          </w:p>
        </w:tc>
        <w:tc>
          <w:tcPr>
            <w:tcW w:w="3556"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zh-CN"/>
              </w:rPr>
              <w:t>法定代表人</w:t>
            </w:r>
            <w:r>
              <w:rPr>
                <w:rFonts w:hint="eastAsia" w:ascii="仿宋" w:hAnsi="仿宋" w:eastAsia="仿宋" w:cs="仿宋"/>
                <w:color w:val="auto"/>
                <w:szCs w:val="21"/>
                <w:highlight w:val="none"/>
                <w:lang w:val="en-US" w:eastAsia="zh-CN"/>
              </w:rPr>
              <w:t>/负责人</w:t>
            </w:r>
            <w:r>
              <w:rPr>
                <w:rFonts w:hint="eastAsia" w:ascii="仿宋" w:hAnsi="仿宋" w:eastAsia="仿宋" w:cs="仿宋"/>
                <w:color w:val="auto"/>
                <w:szCs w:val="21"/>
                <w:highlight w:val="none"/>
                <w:lang w:val="zh-CN"/>
              </w:rPr>
              <w:t>或委托代理人</w:t>
            </w:r>
          </w:p>
        </w:tc>
        <w:tc>
          <w:tcPr>
            <w:tcW w:w="2435"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8" w:hRule="atLeast"/>
          <w:jc w:val="center"/>
        </w:trPr>
        <w:tc>
          <w:tcPr>
            <w:tcW w:w="3369"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（公章）</w:t>
            </w:r>
          </w:p>
        </w:tc>
        <w:tc>
          <w:tcPr>
            <w:tcW w:w="3556"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（签字或盖章）</w:t>
            </w:r>
          </w:p>
        </w:tc>
        <w:tc>
          <w:tcPr>
            <w:tcW w:w="2435" w:type="dxa"/>
            <w:noWrap w:val="0"/>
            <w:vAlign w:val="center"/>
          </w:tcPr>
          <w:p>
            <w:pPr>
              <w:pageBreakBefore w:val="0"/>
              <w:bidi w:val="0"/>
              <w:spacing w:line="312" w:lineRule="auto"/>
              <w:ind w:firstLine="210" w:firstLineChars="10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  月  日</w:t>
            </w:r>
          </w:p>
        </w:tc>
      </w:tr>
    </w:tbl>
    <w:p>
      <w:pPr>
        <w:pageBreakBefore w:val="0"/>
        <w:bidi w:val="0"/>
        <w:spacing w:line="312" w:lineRule="auto"/>
        <w:rPr>
          <w:rFonts w:hint="eastAsia" w:ascii="仿宋" w:hAnsi="仿宋" w:eastAsia="仿宋" w:cs="仿宋"/>
          <w:b/>
          <w:color w:val="auto"/>
          <w:szCs w:val="21"/>
          <w:highlight w:val="none"/>
        </w:rPr>
      </w:pPr>
    </w:p>
    <w:p>
      <w:pPr>
        <w:pStyle w:val="2"/>
        <w:pageBreakBefore w:val="0"/>
        <w:bidi w:val="0"/>
        <w:spacing w:line="312" w:lineRule="auto"/>
        <w:rPr>
          <w:rFonts w:hint="eastAsia" w:ascii="仿宋" w:hAnsi="仿宋" w:eastAsia="仿宋" w:cs="仿宋"/>
          <w:highlight w:val="none"/>
        </w:rPr>
      </w:pPr>
    </w:p>
    <w:p>
      <w:pPr>
        <w:pageBreakBefore w:val="0"/>
        <w:bidi w:val="0"/>
        <w:spacing w:line="312" w:lineRule="auto"/>
        <w:jc w:val="center"/>
        <w:rPr>
          <w:rFonts w:hint="eastAsia" w:ascii="仿宋" w:hAnsi="仿宋" w:eastAsia="仿宋" w:cs="仿宋"/>
          <w:b/>
          <w:color w:val="auto"/>
          <w:szCs w:val="21"/>
          <w:highlight w:val="none"/>
        </w:rPr>
      </w:pPr>
      <w:r>
        <w:rPr>
          <w:rFonts w:hint="eastAsia" w:ascii="仿宋" w:hAnsi="仿宋" w:eastAsia="仿宋" w:cs="仿宋"/>
          <w:b/>
          <w:color w:val="auto"/>
          <w:sz w:val="28"/>
          <w:szCs w:val="28"/>
          <w:highlight w:val="none"/>
        </w:rPr>
        <w:t>承诺书（四）</w:t>
      </w:r>
    </w:p>
    <w:p>
      <w:pPr>
        <w:pStyle w:val="36"/>
        <w:pageBreakBefore w:val="0"/>
        <w:bidi w:val="0"/>
        <w:spacing w:line="312" w:lineRule="auto"/>
        <w:ind w:left="0" w:leftChars="0" w:firstLine="0" w:firstLineChars="0"/>
        <w:rPr>
          <w:rFonts w:hint="eastAsia" w:ascii="仿宋" w:hAnsi="仿宋" w:eastAsia="仿宋" w:cs="仿宋"/>
          <w:color w:val="auto"/>
          <w:highlight w:val="none"/>
        </w:rPr>
      </w:pPr>
    </w:p>
    <w:tbl>
      <w:tblPr>
        <w:tblStyle w:val="38"/>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5"/>
        <w:gridCol w:w="3541"/>
        <w:gridCol w:w="2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9320" w:type="dxa"/>
            <w:gridSpan w:val="3"/>
            <w:noWrap w:val="0"/>
            <w:vAlign w:val="center"/>
          </w:tcPr>
          <w:p>
            <w:pPr>
              <w:pageBreakBefore w:val="0"/>
              <w:bidi w:val="0"/>
              <w:spacing w:line="312"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致：</w:t>
            </w:r>
            <w:r>
              <w:rPr>
                <w:rFonts w:hint="eastAsia" w:ascii="仿宋" w:hAnsi="仿宋" w:eastAsia="仿宋" w:cs="仿宋"/>
                <w:color w:val="auto"/>
                <w:szCs w:val="21"/>
                <w:highlight w:val="none"/>
                <w:lang w:eastAsia="zh-CN"/>
              </w:rPr>
              <w:t>陕西同昌成项目管理有限公司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jc w:val="center"/>
        </w:trPr>
        <w:tc>
          <w:tcPr>
            <w:tcW w:w="9320" w:type="dxa"/>
            <w:gridSpan w:val="3"/>
            <w:noWrap w:val="0"/>
            <w:vAlign w:val="center"/>
          </w:tcPr>
          <w:p>
            <w:pPr>
              <w:pageBreakBefore w:val="0"/>
              <w:bidi w:val="0"/>
              <w:spacing w:line="312"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作为参加贵公司组织的采购项目的供应商，本公司承诺：参加本次磋商活动提交的所有资质证明文件及业绩证明文件是真实的、有效的，如有隐瞒实情，愿承担一切责任及后果。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355"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w:t>
            </w:r>
          </w:p>
        </w:tc>
        <w:tc>
          <w:tcPr>
            <w:tcW w:w="3541"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zh-CN"/>
              </w:rPr>
              <w:t>法定代表人</w:t>
            </w:r>
            <w:r>
              <w:rPr>
                <w:rFonts w:hint="eastAsia" w:ascii="仿宋" w:hAnsi="仿宋" w:eastAsia="仿宋" w:cs="仿宋"/>
                <w:color w:val="auto"/>
                <w:szCs w:val="21"/>
                <w:highlight w:val="none"/>
                <w:lang w:val="en-US" w:eastAsia="zh-CN"/>
              </w:rPr>
              <w:t>/负责人</w:t>
            </w:r>
            <w:r>
              <w:rPr>
                <w:rFonts w:hint="eastAsia" w:ascii="仿宋" w:hAnsi="仿宋" w:eastAsia="仿宋" w:cs="仿宋"/>
                <w:color w:val="auto"/>
                <w:szCs w:val="21"/>
                <w:highlight w:val="none"/>
                <w:lang w:val="zh-CN"/>
              </w:rPr>
              <w:t>或委托代理人</w:t>
            </w:r>
          </w:p>
        </w:tc>
        <w:tc>
          <w:tcPr>
            <w:tcW w:w="2424"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3355"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（公章）</w:t>
            </w:r>
          </w:p>
        </w:tc>
        <w:tc>
          <w:tcPr>
            <w:tcW w:w="3541" w:type="dxa"/>
            <w:noWrap w:val="0"/>
            <w:vAlign w:val="center"/>
          </w:tcPr>
          <w:p>
            <w:pPr>
              <w:pageBreakBefore w:val="0"/>
              <w:bidi w:val="0"/>
              <w:spacing w:line="312"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（签字或盖章）</w:t>
            </w:r>
          </w:p>
        </w:tc>
        <w:tc>
          <w:tcPr>
            <w:tcW w:w="2424" w:type="dxa"/>
            <w:noWrap w:val="0"/>
            <w:vAlign w:val="center"/>
          </w:tcPr>
          <w:p>
            <w:pPr>
              <w:pageBreakBefore w:val="0"/>
              <w:bidi w:val="0"/>
              <w:spacing w:line="312" w:lineRule="auto"/>
              <w:ind w:firstLine="210" w:firstLineChars="10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  月  日</w:t>
            </w:r>
          </w:p>
        </w:tc>
      </w:tr>
    </w:tbl>
    <w:p>
      <w:pPr>
        <w:pageBreakBefore w:val="0"/>
        <w:bidi w:val="0"/>
        <w:spacing w:line="312"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br w:type="page"/>
      </w:r>
      <w:r>
        <w:rPr>
          <w:rFonts w:hint="eastAsia" w:ascii="仿宋" w:hAnsi="仿宋" w:eastAsia="仿宋" w:cs="仿宋"/>
          <w:b/>
          <w:color w:val="auto"/>
          <w:sz w:val="28"/>
          <w:szCs w:val="28"/>
          <w:highlight w:val="none"/>
        </w:rPr>
        <w:t>承诺书（五）</w:t>
      </w:r>
    </w:p>
    <w:p>
      <w:pPr>
        <w:pStyle w:val="2"/>
        <w:pageBreakBefore w:val="0"/>
        <w:bidi w:val="0"/>
        <w:spacing w:line="312" w:lineRule="auto"/>
        <w:rPr>
          <w:rFonts w:hint="eastAsia" w:ascii="仿宋" w:hAnsi="仿宋" w:eastAsia="仿宋" w:cs="仿宋"/>
          <w:color w:val="auto"/>
          <w:highlight w:val="none"/>
        </w:rPr>
      </w:pPr>
    </w:p>
    <w:p>
      <w:pPr>
        <w:pageBreakBefore w:val="0"/>
        <w:bidi w:val="0"/>
        <w:spacing w:line="312" w:lineRule="auto"/>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供应商拒绝政府采购领域商业贿赂承诺书</w:t>
      </w:r>
    </w:p>
    <w:p>
      <w:pPr>
        <w:pageBreakBefore w:val="0"/>
        <w:widowControl/>
        <w:bidi w:val="0"/>
        <w:spacing w:line="312" w:lineRule="auto"/>
        <w:rPr>
          <w:rFonts w:hint="eastAsia" w:ascii="仿宋" w:hAnsi="仿宋" w:eastAsia="仿宋" w:cs="仿宋"/>
          <w:color w:val="auto"/>
          <w:kern w:val="0"/>
          <w:sz w:val="24"/>
          <w:szCs w:val="24"/>
          <w:highlight w:val="none"/>
        </w:rPr>
      </w:pPr>
    </w:p>
    <w:p>
      <w:pPr>
        <w:pageBreakBefore w:val="0"/>
        <w:widowControl/>
        <w:bidi w:val="0"/>
        <w:spacing w:line="312" w:lineRule="auto"/>
        <w:ind w:firstLine="480" w:firstLineChars="200"/>
        <w:rPr>
          <w:rFonts w:hint="eastAsia" w:ascii="仿宋" w:hAnsi="仿宋" w:eastAsia="仿宋" w:cs="仿宋"/>
          <w:sz w:val="28"/>
          <w:szCs w:val="28"/>
          <w:highlight w:val="none"/>
        </w:rPr>
      </w:pPr>
      <w:r>
        <w:rPr>
          <w:rFonts w:hint="eastAsia" w:ascii="仿宋" w:hAnsi="仿宋" w:eastAsia="仿宋" w:cs="仿宋"/>
          <w:color w:val="auto"/>
          <w:kern w:val="0"/>
          <w:sz w:val="24"/>
          <w:szCs w:val="24"/>
          <w:highlight w:val="none"/>
        </w:rPr>
        <w:t>为响应党中央</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国务院关于治理政府采购领域商业贿赂行为的号召，我单位在此庄严承诺：</w:t>
      </w:r>
      <w:r>
        <w:rPr>
          <w:rFonts w:hint="eastAsia" w:ascii="仿宋" w:hAnsi="仿宋" w:eastAsia="仿宋" w:cs="仿宋"/>
          <w:sz w:val="28"/>
          <w:szCs w:val="28"/>
          <w:highlight w:val="none"/>
        </w:rPr>
        <w:t xml:space="preserve"> </w:t>
      </w:r>
    </w:p>
    <w:p>
      <w:pPr>
        <w:pageBreakBefore w:val="0"/>
        <w:widowControl/>
        <w:numPr>
          <w:ilvl w:val="0"/>
          <w:numId w:val="47"/>
        </w:numPr>
        <w:tabs>
          <w:tab w:val="left" w:pos="210"/>
          <w:tab w:val="left" w:pos="420"/>
          <w:tab w:val="left" w:pos="630"/>
          <w:tab w:val="left" w:pos="840"/>
          <w:tab w:val="left" w:pos="1050"/>
        </w:tabs>
        <w:bidi w:val="0"/>
        <w:spacing w:line="312" w:lineRule="auto"/>
        <w:ind w:left="0" w:leftChars="0" w:firstLine="420" w:firstLineChars="0"/>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在参与政府采购活动中遵纪守法</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诚信经营</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 xml:space="preserve">公平竞标。 </w:t>
      </w:r>
    </w:p>
    <w:p>
      <w:pPr>
        <w:pageBreakBefore w:val="0"/>
        <w:widowControl/>
        <w:numPr>
          <w:ilvl w:val="0"/>
          <w:numId w:val="47"/>
        </w:numPr>
        <w:tabs>
          <w:tab w:val="left" w:pos="420"/>
          <w:tab w:val="left" w:pos="630"/>
          <w:tab w:val="left" w:pos="840"/>
          <w:tab w:val="left" w:pos="1050"/>
        </w:tabs>
        <w:bidi w:val="0"/>
        <w:spacing w:line="312" w:lineRule="auto"/>
        <w:ind w:left="0" w:leftChars="0" w:firstLine="42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不向招标人</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 xml:space="preserve">采购代理机构和政府采购磋商专家进行任何形式的商业贿赂以谋取交易机会。 </w:t>
      </w:r>
    </w:p>
    <w:p>
      <w:pPr>
        <w:pageBreakBefore w:val="0"/>
        <w:widowControl/>
        <w:numPr>
          <w:ilvl w:val="0"/>
          <w:numId w:val="47"/>
        </w:numPr>
        <w:tabs>
          <w:tab w:val="left" w:pos="420"/>
          <w:tab w:val="left" w:pos="630"/>
          <w:tab w:val="left" w:pos="840"/>
          <w:tab w:val="left" w:pos="1050"/>
        </w:tabs>
        <w:bidi w:val="0"/>
        <w:spacing w:line="312" w:lineRule="auto"/>
        <w:ind w:left="0" w:leftChars="0" w:firstLine="42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不向政府采购采购代理机构和招标人提供虚假资质文件或采用虚假应标方式参与政府采购市场竞争并谋取成交。 </w:t>
      </w:r>
    </w:p>
    <w:p>
      <w:pPr>
        <w:pageBreakBefore w:val="0"/>
        <w:widowControl/>
        <w:numPr>
          <w:ilvl w:val="0"/>
          <w:numId w:val="47"/>
        </w:numPr>
        <w:tabs>
          <w:tab w:val="left" w:pos="420"/>
          <w:tab w:val="left" w:pos="630"/>
          <w:tab w:val="left" w:pos="840"/>
          <w:tab w:val="left" w:pos="1050"/>
        </w:tabs>
        <w:bidi w:val="0"/>
        <w:spacing w:line="312" w:lineRule="auto"/>
        <w:ind w:left="0" w:leftChars="0" w:firstLine="42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不采取“围标</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陪标”等商业欺诈手段获得政府采购定单。</w:t>
      </w:r>
    </w:p>
    <w:p>
      <w:pPr>
        <w:pageBreakBefore w:val="0"/>
        <w:widowControl/>
        <w:numPr>
          <w:ilvl w:val="0"/>
          <w:numId w:val="47"/>
        </w:numPr>
        <w:tabs>
          <w:tab w:val="left" w:pos="420"/>
          <w:tab w:val="left" w:pos="630"/>
          <w:tab w:val="left" w:pos="840"/>
          <w:tab w:val="left" w:pos="1050"/>
        </w:tabs>
        <w:bidi w:val="0"/>
        <w:spacing w:line="312" w:lineRule="auto"/>
        <w:ind w:left="0" w:leftChars="0" w:firstLine="42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不采取不正当手段诋毁</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排挤其他</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w:t>
      </w:r>
    </w:p>
    <w:p>
      <w:pPr>
        <w:pageBreakBefore w:val="0"/>
        <w:widowControl/>
        <w:numPr>
          <w:ilvl w:val="0"/>
          <w:numId w:val="47"/>
        </w:numPr>
        <w:tabs>
          <w:tab w:val="left" w:pos="420"/>
          <w:tab w:val="left" w:pos="630"/>
          <w:tab w:val="left" w:pos="840"/>
          <w:tab w:val="left" w:pos="1050"/>
        </w:tabs>
        <w:bidi w:val="0"/>
        <w:spacing w:line="312" w:lineRule="auto"/>
        <w:ind w:left="0" w:leftChars="0" w:firstLine="42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不在提供商品和服务时“偷梁换柱</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以次充好”损害招标人的合法权益。     </w:t>
      </w:r>
    </w:p>
    <w:p>
      <w:pPr>
        <w:pageBreakBefore w:val="0"/>
        <w:widowControl/>
        <w:numPr>
          <w:ilvl w:val="0"/>
          <w:numId w:val="47"/>
        </w:numPr>
        <w:tabs>
          <w:tab w:val="left" w:pos="420"/>
          <w:tab w:val="left" w:pos="630"/>
          <w:tab w:val="left" w:pos="840"/>
          <w:tab w:val="left" w:pos="1050"/>
        </w:tabs>
        <w:bidi w:val="0"/>
        <w:spacing w:line="312" w:lineRule="auto"/>
        <w:ind w:left="0" w:leftChars="0" w:firstLine="42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不与招标人</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采购代理机构政府采购磋商专家或其它</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恶意串通，进行质疑和投诉，维护政府采购市场秩序。</w:t>
      </w:r>
    </w:p>
    <w:p>
      <w:pPr>
        <w:pageBreakBefore w:val="0"/>
        <w:widowControl/>
        <w:numPr>
          <w:ilvl w:val="0"/>
          <w:numId w:val="47"/>
        </w:numPr>
        <w:tabs>
          <w:tab w:val="left" w:pos="420"/>
          <w:tab w:val="left" w:pos="630"/>
          <w:tab w:val="left" w:pos="840"/>
          <w:tab w:val="left" w:pos="1050"/>
        </w:tabs>
        <w:bidi w:val="0"/>
        <w:spacing w:line="312" w:lineRule="auto"/>
        <w:ind w:left="0" w:leftChars="0" w:firstLine="42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尊重和接受政府采购监督管理部门的监督和政府采购代理机构采购要求，承担因违约行为给招标人造成的损失。</w:t>
      </w:r>
    </w:p>
    <w:p>
      <w:pPr>
        <w:pageBreakBefore w:val="0"/>
        <w:widowControl/>
        <w:numPr>
          <w:ilvl w:val="0"/>
          <w:numId w:val="47"/>
        </w:numPr>
        <w:tabs>
          <w:tab w:val="left" w:pos="420"/>
          <w:tab w:val="left" w:pos="630"/>
          <w:tab w:val="left" w:pos="840"/>
          <w:tab w:val="left" w:pos="1050"/>
        </w:tabs>
        <w:bidi w:val="0"/>
        <w:spacing w:line="312" w:lineRule="auto"/>
        <w:ind w:left="0" w:leftChars="0" w:firstLine="42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不发生其他有悖于政府采购公开</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公平</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 xml:space="preserve">公正和诚信原则的行为。 </w:t>
      </w:r>
    </w:p>
    <w:p>
      <w:pPr>
        <w:pageBreakBefore w:val="0"/>
        <w:widowControl/>
        <w:bidi w:val="0"/>
        <w:spacing w:line="312" w:lineRule="auto"/>
        <w:ind w:firstLine="480" w:firstLineChars="200"/>
        <w:jc w:val="left"/>
        <w:rPr>
          <w:rFonts w:hint="eastAsia" w:ascii="仿宋" w:hAnsi="仿宋" w:eastAsia="仿宋" w:cs="仿宋"/>
          <w:color w:val="auto"/>
          <w:kern w:val="0"/>
          <w:sz w:val="24"/>
          <w:szCs w:val="24"/>
          <w:highlight w:val="none"/>
        </w:rPr>
      </w:pPr>
    </w:p>
    <w:p>
      <w:pPr>
        <w:pageBreakBefore w:val="0"/>
        <w:widowControl/>
        <w:bidi w:val="0"/>
        <w:spacing w:line="312" w:lineRule="auto"/>
        <w:ind w:firstLine="480" w:firstLineChars="200"/>
        <w:jc w:val="left"/>
        <w:rPr>
          <w:rFonts w:hint="eastAsia" w:ascii="仿宋" w:hAnsi="仿宋" w:eastAsia="仿宋" w:cs="仿宋"/>
          <w:color w:val="auto"/>
          <w:kern w:val="0"/>
          <w:sz w:val="24"/>
          <w:szCs w:val="24"/>
          <w:highlight w:val="none"/>
        </w:rPr>
      </w:pPr>
    </w:p>
    <w:p>
      <w:pPr>
        <w:pageBreakBefore w:val="0"/>
        <w:widowControl/>
        <w:bidi w:val="0"/>
        <w:spacing w:line="312" w:lineRule="auto"/>
        <w:ind w:firstLine="480" w:firstLineChars="200"/>
        <w:jc w:val="left"/>
        <w:rPr>
          <w:rFonts w:hint="eastAsia" w:ascii="仿宋" w:hAnsi="仿宋" w:eastAsia="仿宋" w:cs="仿宋"/>
          <w:color w:val="auto"/>
          <w:kern w:val="0"/>
          <w:sz w:val="24"/>
          <w:szCs w:val="24"/>
          <w:highlight w:val="none"/>
        </w:rPr>
      </w:pPr>
    </w:p>
    <w:p>
      <w:pPr>
        <w:pageBreakBefore w:val="0"/>
        <w:widowControl/>
        <w:bidi w:val="0"/>
        <w:spacing w:line="312" w:lineRule="auto"/>
        <w:ind w:firstLine="480" w:firstLineChars="200"/>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承诺单位：</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（盖章）</w:t>
      </w:r>
    </w:p>
    <w:p>
      <w:pPr>
        <w:pageBreakBefore w:val="0"/>
        <w:widowControl/>
        <w:bidi w:val="0"/>
        <w:spacing w:line="312"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法定</w:t>
      </w:r>
      <w:r>
        <w:rPr>
          <w:rFonts w:hint="eastAsia" w:ascii="仿宋" w:hAnsi="仿宋" w:eastAsia="仿宋" w:cs="仿宋"/>
          <w:color w:val="auto"/>
          <w:kern w:val="0"/>
          <w:sz w:val="24"/>
          <w:szCs w:val="24"/>
          <w:highlight w:val="none"/>
        </w:rPr>
        <w:t>代表</w:t>
      </w:r>
      <w:r>
        <w:rPr>
          <w:rFonts w:hint="eastAsia" w:ascii="仿宋" w:hAnsi="仿宋" w:eastAsia="仿宋" w:cs="仿宋"/>
          <w:color w:val="auto"/>
          <w:kern w:val="0"/>
          <w:sz w:val="24"/>
          <w:szCs w:val="24"/>
          <w:highlight w:val="none"/>
          <w:lang w:eastAsia="zh-CN"/>
        </w:rPr>
        <w:t>人</w:t>
      </w:r>
      <w:r>
        <w:rPr>
          <w:rFonts w:hint="eastAsia" w:ascii="仿宋" w:hAnsi="仿宋" w:eastAsia="仿宋" w:cs="仿宋"/>
          <w:color w:val="auto"/>
          <w:kern w:val="0"/>
          <w:sz w:val="24"/>
          <w:szCs w:val="24"/>
          <w:highlight w:val="none"/>
          <w:lang w:val="en-US" w:eastAsia="zh-CN"/>
        </w:rPr>
        <w:t>/负责人</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（签字）</w:t>
      </w:r>
    </w:p>
    <w:p>
      <w:pPr>
        <w:pageBreakBefore w:val="0"/>
        <w:widowControl/>
        <w:bidi w:val="0"/>
        <w:spacing w:line="312" w:lineRule="auto"/>
        <w:ind w:firstLine="480" w:firstLineChars="200"/>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地</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址：</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p>
    <w:p>
      <w:pPr>
        <w:pageBreakBefore w:val="0"/>
        <w:widowControl/>
        <w:bidi w:val="0"/>
        <w:spacing w:line="312"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话：</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p>
    <w:p>
      <w:pPr>
        <w:pageBreakBefore w:val="0"/>
        <w:widowControl/>
        <w:bidi w:val="0"/>
        <w:spacing w:line="312" w:lineRule="auto"/>
        <w:ind w:firstLine="480" w:firstLineChars="200"/>
        <w:jc w:val="left"/>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4"/>
          <w:szCs w:val="24"/>
          <w:highlight w:val="none"/>
        </w:rPr>
        <w:t>邮    编：</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p>
    <w:p>
      <w:pPr>
        <w:pageBreakBefore w:val="0"/>
        <w:bidi w:val="0"/>
        <w:spacing w:line="312" w:lineRule="auto"/>
        <w:rPr>
          <w:rFonts w:hint="eastAsia" w:ascii="仿宋" w:hAnsi="仿宋" w:eastAsia="仿宋" w:cs="仿宋"/>
          <w:b/>
          <w:color w:val="000000"/>
          <w:sz w:val="36"/>
          <w:szCs w:val="36"/>
          <w:highlight w:val="none"/>
        </w:rPr>
      </w:pPr>
      <w:r>
        <w:rPr>
          <w:rFonts w:hint="eastAsia" w:ascii="仿宋" w:hAnsi="仿宋" w:eastAsia="仿宋" w:cs="仿宋"/>
          <w:b/>
          <w:color w:val="000000"/>
          <w:sz w:val="36"/>
          <w:szCs w:val="36"/>
          <w:highlight w:val="none"/>
          <w:lang w:val="zh-CN"/>
        </w:rPr>
        <w:br w:type="page"/>
      </w:r>
    </w:p>
    <w:p>
      <w:pPr>
        <w:pageBreakBefore w:val="0"/>
        <w:numPr>
          <w:ilvl w:val="0"/>
          <w:numId w:val="39"/>
        </w:numPr>
        <w:kinsoku/>
        <w:bidi w:val="0"/>
        <w:spacing w:line="312" w:lineRule="auto"/>
        <w:ind w:firstLine="0"/>
        <w:jc w:val="center"/>
        <w:outlineLvl w:val="0"/>
        <w:rPr>
          <w:rFonts w:hint="eastAsia" w:ascii="仿宋" w:hAnsi="仿宋" w:eastAsia="仿宋" w:cs="仿宋"/>
          <w:b/>
          <w:color w:val="000000"/>
          <w:sz w:val="36"/>
          <w:szCs w:val="36"/>
          <w:highlight w:val="none"/>
        </w:rPr>
      </w:pPr>
      <w:r>
        <w:rPr>
          <w:rFonts w:hint="eastAsia" w:ascii="仿宋" w:hAnsi="仿宋" w:eastAsia="仿宋" w:cs="仿宋"/>
          <w:b/>
          <w:color w:val="000000"/>
          <w:sz w:val="36"/>
          <w:szCs w:val="36"/>
          <w:highlight w:val="none"/>
          <w:lang w:val="zh-CN"/>
        </w:rPr>
        <w:t>其他需要说明的内容</w:t>
      </w:r>
      <w:bookmarkEnd w:id="77"/>
    </w:p>
    <w:p>
      <w:pPr>
        <w:pStyle w:val="2"/>
        <w:pageBreakBefore w:val="0"/>
        <w:kinsoku/>
        <w:bidi w:val="0"/>
        <w:spacing w:line="312" w:lineRule="auto"/>
        <w:rPr>
          <w:rFonts w:hint="eastAsia" w:ascii="仿宋" w:hAnsi="仿宋" w:eastAsia="仿宋" w:cs="仿宋"/>
          <w:b/>
          <w:color w:val="000000"/>
          <w:sz w:val="32"/>
          <w:szCs w:val="32"/>
          <w:highlight w:val="none"/>
          <w:lang w:eastAsia="zh-CN"/>
        </w:rPr>
      </w:pPr>
    </w:p>
    <w:p>
      <w:pPr>
        <w:pageBreakBefore w:val="0"/>
        <w:bidi w:val="0"/>
        <w:spacing w:line="312" w:lineRule="auto"/>
        <w:rPr>
          <w:rFonts w:hint="eastAsia" w:ascii="仿宋" w:hAnsi="仿宋" w:eastAsia="仿宋" w:cs="仿宋"/>
          <w:highlight w:val="none"/>
          <w:lang w:eastAsia="zh-CN"/>
        </w:rPr>
      </w:pPr>
    </w:p>
    <w:p>
      <w:pPr>
        <w:pStyle w:val="2"/>
        <w:pageBreakBefore w:val="0"/>
        <w:kinsoku/>
        <w:bidi w:val="0"/>
        <w:spacing w:line="312" w:lineRule="auto"/>
        <w:ind w:firstLine="482" w:firstLineChars="200"/>
        <w:jc w:val="both"/>
        <w:rPr>
          <w:rFonts w:hint="eastAsia" w:ascii="仿宋" w:hAnsi="仿宋" w:eastAsia="仿宋" w:cs="仿宋"/>
          <w:highlight w:val="none"/>
        </w:rPr>
      </w:pPr>
      <w:r>
        <w:rPr>
          <w:rFonts w:hint="eastAsia" w:ascii="仿宋" w:hAnsi="仿宋" w:eastAsia="仿宋" w:cs="仿宋"/>
          <w:b/>
          <w:color w:val="auto"/>
          <w:sz w:val="24"/>
          <w:szCs w:val="24"/>
          <w:highlight w:val="none"/>
          <w:lang w:val="en-US" w:eastAsia="zh-CN"/>
        </w:rPr>
        <w:t>各供应商根据实际情况，自行添加有利于展现企业实力的相关材料。</w:t>
      </w:r>
    </w:p>
    <w:p>
      <w:pPr>
        <w:pStyle w:val="2"/>
        <w:pageBreakBefore w:val="0"/>
        <w:kinsoku/>
        <w:bidi w:val="0"/>
        <w:spacing w:line="312" w:lineRule="auto"/>
        <w:jc w:val="center"/>
        <w:rPr>
          <w:rFonts w:hint="eastAsia" w:ascii="仿宋" w:hAnsi="仿宋" w:eastAsia="仿宋" w:cs="仿宋"/>
          <w:b/>
          <w:color w:val="auto"/>
          <w:szCs w:val="28"/>
          <w:highlight w:val="none"/>
        </w:rPr>
      </w:pPr>
    </w:p>
    <w:p>
      <w:pPr>
        <w:pStyle w:val="2"/>
        <w:pageBreakBefore w:val="0"/>
        <w:kinsoku/>
        <w:bidi w:val="0"/>
        <w:spacing w:line="312" w:lineRule="auto"/>
        <w:jc w:val="center"/>
        <w:rPr>
          <w:rFonts w:hint="eastAsia" w:ascii="仿宋" w:hAnsi="仿宋" w:eastAsia="仿宋" w:cs="仿宋"/>
          <w:b/>
          <w:bCs/>
          <w:color w:val="auto"/>
          <w:szCs w:val="28"/>
          <w:highlight w:val="none"/>
        </w:rPr>
      </w:pPr>
    </w:p>
    <w:p>
      <w:pPr>
        <w:pStyle w:val="2"/>
        <w:pageBreakBefore w:val="0"/>
        <w:tabs>
          <w:tab w:val="left" w:pos="2408"/>
        </w:tabs>
        <w:kinsoku/>
        <w:bidi w:val="0"/>
        <w:spacing w:line="312" w:lineRule="auto"/>
        <w:rPr>
          <w:rFonts w:hint="eastAsia" w:ascii="仿宋" w:hAnsi="仿宋" w:eastAsia="仿宋" w:cs="仿宋"/>
          <w:highlight w:val="none"/>
        </w:rPr>
      </w:pPr>
    </w:p>
    <w:p>
      <w:pPr>
        <w:pageBreakBefore w:val="0"/>
        <w:bidi w:val="0"/>
        <w:spacing w:line="312" w:lineRule="auto"/>
        <w:rPr>
          <w:rFonts w:hint="eastAsia" w:ascii="仿宋" w:hAnsi="仿宋" w:eastAsia="仿宋" w:cs="仿宋"/>
          <w:highlight w:val="none"/>
        </w:rPr>
      </w:pPr>
    </w:p>
    <w:p>
      <w:pPr>
        <w:pageBreakBefore w:val="0"/>
        <w:overflowPunct/>
        <w:bidi w:val="0"/>
        <w:spacing w:afterAutospacing="0" w:line="312" w:lineRule="auto"/>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br w:type="page"/>
      </w:r>
    </w:p>
    <w:p>
      <w:pPr>
        <w:pStyle w:val="11"/>
        <w:pageBreakBefore w:val="0"/>
        <w:overflowPunct/>
        <w:bidi w:val="0"/>
        <w:spacing w:afterAutospacing="0" w:line="312" w:lineRule="auto"/>
        <w:rPr>
          <w:rFonts w:hint="eastAsia" w:ascii="仿宋" w:hAnsi="仿宋" w:eastAsia="仿宋" w:cs="仿宋"/>
          <w:b/>
          <w:sz w:val="44"/>
          <w:szCs w:val="44"/>
          <w:highlight w:val="none"/>
        </w:rPr>
      </w:pPr>
    </w:p>
    <w:p>
      <w:pPr>
        <w:pageBreakBefore w:val="0"/>
        <w:overflowPunct/>
        <w:bidi w:val="0"/>
        <w:spacing w:afterAutospacing="0" w:line="312" w:lineRule="auto"/>
        <w:rPr>
          <w:rFonts w:hint="eastAsia" w:ascii="仿宋" w:hAnsi="仿宋" w:eastAsia="仿宋" w:cs="仿宋"/>
          <w:b/>
          <w:sz w:val="44"/>
          <w:szCs w:val="44"/>
          <w:highlight w:val="none"/>
        </w:rPr>
      </w:pPr>
    </w:p>
    <w:p>
      <w:pPr>
        <w:pStyle w:val="26"/>
        <w:pageBreakBefore w:val="0"/>
        <w:bidi w:val="0"/>
        <w:spacing w:line="312" w:lineRule="auto"/>
        <w:rPr>
          <w:rFonts w:hint="eastAsia" w:ascii="仿宋" w:hAnsi="仿宋" w:eastAsia="仿宋" w:cs="仿宋"/>
          <w:b/>
          <w:sz w:val="44"/>
          <w:szCs w:val="44"/>
          <w:highlight w:val="none"/>
        </w:rPr>
      </w:pPr>
    </w:p>
    <w:p>
      <w:pPr>
        <w:pStyle w:val="22"/>
        <w:pageBreakBefore w:val="0"/>
        <w:bidi w:val="0"/>
        <w:spacing w:line="312" w:lineRule="auto"/>
        <w:rPr>
          <w:rFonts w:hint="eastAsia" w:ascii="仿宋" w:hAnsi="仿宋" w:eastAsia="仿宋" w:cs="仿宋"/>
          <w:b/>
          <w:sz w:val="44"/>
          <w:szCs w:val="44"/>
          <w:highlight w:val="none"/>
        </w:rPr>
      </w:pPr>
    </w:p>
    <w:p>
      <w:pPr>
        <w:pageBreakBefore w:val="0"/>
        <w:bidi w:val="0"/>
        <w:spacing w:line="312" w:lineRule="auto"/>
        <w:rPr>
          <w:rFonts w:hint="eastAsia" w:ascii="仿宋" w:hAnsi="仿宋" w:eastAsia="仿宋" w:cs="仿宋"/>
          <w:b/>
          <w:sz w:val="44"/>
          <w:szCs w:val="44"/>
          <w:highlight w:val="none"/>
        </w:rPr>
      </w:pPr>
    </w:p>
    <w:p>
      <w:pPr>
        <w:pStyle w:val="26"/>
        <w:pageBreakBefore w:val="0"/>
        <w:bidi w:val="0"/>
        <w:spacing w:line="312" w:lineRule="auto"/>
        <w:rPr>
          <w:rFonts w:hint="eastAsia" w:ascii="仿宋" w:hAnsi="仿宋" w:eastAsia="仿宋" w:cs="仿宋"/>
          <w:b/>
          <w:sz w:val="44"/>
          <w:szCs w:val="44"/>
          <w:highlight w:val="none"/>
        </w:rPr>
      </w:pPr>
    </w:p>
    <w:p>
      <w:pPr>
        <w:pStyle w:val="22"/>
        <w:pageBreakBefore w:val="0"/>
        <w:bidi w:val="0"/>
        <w:spacing w:line="312" w:lineRule="auto"/>
        <w:rPr>
          <w:rFonts w:hint="eastAsia" w:ascii="仿宋" w:hAnsi="仿宋" w:eastAsia="仿宋" w:cs="仿宋"/>
          <w:highlight w:val="none"/>
        </w:rPr>
      </w:pPr>
    </w:p>
    <w:p>
      <w:pPr>
        <w:pageBreakBefore w:val="0"/>
        <w:overflowPunct/>
        <w:bidi w:val="0"/>
        <w:spacing w:afterAutospacing="0" w:line="312" w:lineRule="auto"/>
        <w:jc w:val="center"/>
        <w:outlineLvl w:val="0"/>
        <w:rPr>
          <w:rFonts w:hint="eastAsia" w:ascii="仿宋" w:hAnsi="仿宋" w:eastAsia="仿宋" w:cs="仿宋"/>
          <w:b/>
          <w:sz w:val="44"/>
          <w:szCs w:val="44"/>
          <w:highlight w:val="none"/>
        </w:rPr>
      </w:pPr>
      <w:bookmarkStart w:id="82" w:name="_Toc20055"/>
      <w:bookmarkStart w:id="83" w:name="_Toc15264"/>
      <w:r>
        <w:rPr>
          <w:rFonts w:hint="eastAsia" w:ascii="仿宋" w:hAnsi="仿宋" w:eastAsia="仿宋" w:cs="仿宋"/>
          <w:b/>
          <w:sz w:val="44"/>
          <w:szCs w:val="44"/>
          <w:highlight w:val="none"/>
        </w:rPr>
        <w:t>本页以下无内容</w:t>
      </w:r>
      <w:bookmarkEnd w:id="82"/>
      <w:bookmarkEnd w:id="83"/>
    </w:p>
    <w:p>
      <w:pPr>
        <w:pStyle w:val="48"/>
        <w:pageBreakBefore w:val="0"/>
        <w:overflowPunct/>
        <w:bidi w:val="0"/>
        <w:spacing w:afterAutospacing="0" w:line="312" w:lineRule="auto"/>
        <w:rPr>
          <w:rFonts w:hint="eastAsia" w:ascii="仿宋" w:hAnsi="仿宋" w:eastAsia="仿宋" w:cs="仿宋"/>
          <w:b/>
          <w:sz w:val="44"/>
          <w:szCs w:val="44"/>
          <w:highlight w:val="none"/>
        </w:rPr>
      </w:pPr>
    </w:p>
    <w:p>
      <w:pPr>
        <w:pStyle w:val="48"/>
        <w:pageBreakBefore w:val="0"/>
        <w:overflowPunct/>
        <w:bidi w:val="0"/>
        <w:spacing w:afterAutospacing="0" w:line="312" w:lineRule="auto"/>
        <w:rPr>
          <w:rFonts w:hint="eastAsia" w:ascii="仿宋" w:hAnsi="仿宋" w:eastAsia="仿宋" w:cs="仿宋"/>
          <w:b/>
          <w:sz w:val="44"/>
          <w:szCs w:val="44"/>
          <w:highlight w:val="none"/>
        </w:rPr>
      </w:pPr>
    </w:p>
    <w:p>
      <w:pPr>
        <w:pStyle w:val="48"/>
        <w:pageBreakBefore w:val="0"/>
        <w:overflowPunct/>
        <w:bidi w:val="0"/>
        <w:spacing w:afterAutospacing="0" w:line="312" w:lineRule="auto"/>
        <w:rPr>
          <w:rFonts w:hint="eastAsia" w:ascii="仿宋" w:hAnsi="仿宋" w:eastAsia="仿宋" w:cs="仿宋"/>
          <w:b/>
          <w:sz w:val="44"/>
          <w:szCs w:val="44"/>
          <w:highlight w:val="none"/>
        </w:rPr>
      </w:pPr>
    </w:p>
    <w:p>
      <w:pPr>
        <w:pageBreakBefore w:val="0"/>
        <w:pBdr>
          <w:bottom w:val="single" w:color="auto" w:sz="6" w:space="1"/>
        </w:pBdr>
        <w:overflowPunct/>
        <w:bidi w:val="0"/>
        <w:spacing w:afterAutospacing="0" w:line="312" w:lineRule="auto"/>
        <w:rPr>
          <w:rFonts w:hint="eastAsia" w:ascii="仿宋" w:hAnsi="仿宋" w:eastAsia="仿宋" w:cs="仿宋"/>
          <w:b/>
          <w:sz w:val="44"/>
          <w:szCs w:val="44"/>
          <w:highlight w:val="none"/>
        </w:rPr>
      </w:pPr>
    </w:p>
    <w:p>
      <w:pPr>
        <w:pageBreakBefore w:val="0"/>
        <w:pBdr>
          <w:bottom w:val="single" w:color="auto" w:sz="6" w:space="1"/>
        </w:pBdr>
        <w:overflowPunct/>
        <w:bidi w:val="0"/>
        <w:spacing w:afterAutospacing="0" w:line="312" w:lineRule="auto"/>
        <w:rPr>
          <w:rFonts w:hint="eastAsia" w:ascii="仿宋" w:hAnsi="仿宋" w:eastAsia="仿宋" w:cs="仿宋"/>
          <w:b/>
          <w:sz w:val="44"/>
          <w:szCs w:val="44"/>
          <w:highlight w:val="none"/>
        </w:rPr>
      </w:pPr>
    </w:p>
    <w:p>
      <w:pPr>
        <w:pStyle w:val="48"/>
        <w:pageBreakBefore w:val="0"/>
        <w:overflowPunct/>
        <w:bidi w:val="0"/>
        <w:spacing w:afterAutospacing="0" w:line="312" w:lineRule="auto"/>
        <w:rPr>
          <w:rFonts w:hint="eastAsia" w:ascii="仿宋" w:hAnsi="仿宋" w:eastAsia="仿宋" w:cs="仿宋"/>
          <w:highlight w:val="none"/>
        </w:rPr>
      </w:pPr>
    </w:p>
    <w:p>
      <w:pPr>
        <w:pStyle w:val="48"/>
        <w:pageBreakBefore w:val="0"/>
        <w:overflowPunct/>
        <w:bidi w:val="0"/>
        <w:spacing w:afterAutospacing="0" w:line="312" w:lineRule="auto"/>
        <w:rPr>
          <w:rFonts w:hint="eastAsia" w:ascii="仿宋" w:hAnsi="仿宋" w:eastAsia="仿宋" w:cs="仿宋"/>
          <w:b/>
          <w:sz w:val="44"/>
          <w:szCs w:val="44"/>
          <w:highlight w:val="none"/>
        </w:rPr>
      </w:pPr>
    </w:p>
    <w:p>
      <w:pPr>
        <w:pStyle w:val="48"/>
        <w:pageBreakBefore w:val="0"/>
        <w:overflowPunct/>
        <w:bidi w:val="0"/>
        <w:spacing w:afterAutospacing="0" w:line="312" w:lineRule="auto"/>
        <w:rPr>
          <w:rFonts w:hint="eastAsia" w:ascii="仿宋" w:hAnsi="仿宋" w:eastAsia="仿宋" w:cs="仿宋"/>
          <w:b/>
          <w:sz w:val="44"/>
          <w:szCs w:val="44"/>
          <w:highlight w:val="none"/>
        </w:rPr>
      </w:pPr>
    </w:p>
    <w:sectPr>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Copperplate Gothic Bold">
    <w:altName w:val="Segoe Print"/>
    <w:panose1 w:val="020E0705020206020404"/>
    <w:charset w:val="00"/>
    <w:family w:val="swiss"/>
    <w:pitch w:val="default"/>
    <w:sig w:usb0="00000000" w:usb1="00000000" w:usb2="00000000" w:usb3="00000000" w:csb0="2000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auto"/>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rPr>
        <w:rFonts w:ascii="宋体" w:hAnsi="宋体" w:cs="宋体"/>
        <w:b/>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6"/>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wrap="none" lIns="0" tIns="0" rIns="0" bIns="0" upright="0">
                      <a:spAutoFit/>
                    </wps:bodyPr>
                  </wps:wsp>
                </a:graphicData>
              </a:graphic>
            </wp:anchor>
          </w:drawing>
        </mc:Choice>
        <mc:Fallback>
          <w:pict>
            <v:shape id="文本框 9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BzWDOrTAQAApAMAAA4AAAAAAAAAAQAgAAAA&#10;IgEAAGRycy9lMm9Eb2MueG1sUEsFBgAAAAAGAAYAWQEAAGcFAAAAAA==&#10;">
              <v:fill on="f" focussize="0,0"/>
              <v:stroke on="f" weight="1.25pt"/>
              <v:imagedata o:title=""/>
              <o:lock v:ext="edit" aspectratio="f"/>
              <v:textbox inset="0mm,0mm,0mm,0mm" style="mso-fit-shape-to-text:t;">
                <w:txbxContent>
                  <w:p>
                    <w:pPr>
                      <w:pStyle w:val="26"/>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6"/>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wrap="none" lIns="0" tIns="0" rIns="0" bIns="0" upright="0">
                      <a:spAutoFit/>
                    </wps:bodyPr>
                  </wps:wsp>
                </a:graphicData>
              </a:graphic>
            </wp:anchor>
          </w:drawing>
        </mc:Choice>
        <mc:Fallback>
          <w:pict>
            <v:shape id="文本框 9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BBIaL/TAQAApAMAAA4AAAAAAAAAAQAgAAAA&#10;IgEAAGRycy9lMm9Eb2MueG1sUEsFBgAAAAAGAAYAWQEAAGcFAAAAAA==&#10;">
              <v:fill on="f" focussize="0,0"/>
              <v:stroke on="f" weight="1.25pt"/>
              <v:imagedata o:title=""/>
              <o:lock v:ext="edit" aspectratio="f"/>
              <v:textbox inset="0mm,0mm,0mm,0mm" style="mso-fit-shape-to-text:t;">
                <w:txbxContent>
                  <w:p>
                    <w:pPr>
                      <w:pStyle w:val="26"/>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rPr>
        <w:rFonts w:hint="eastAsia" w:ascii="宋体" w:hAnsi="宋体"/>
        <w:b/>
        <w:bCs/>
        <w:sz w:val="20"/>
        <w:szCs w:val="20"/>
        <w:u w:val="single"/>
        <w:shd w:val="pct10" w:color="auto" w:fill="FFFFFF"/>
        <w:lang w:eastAsia="zh-CN"/>
      </w:rPr>
    </w:pPr>
    <w:r>
      <w:rPr>
        <w:rFonts w:hint="eastAsia" w:ascii="宋体" w:hAnsi="宋体"/>
        <w:b/>
        <w:bCs/>
        <w:sz w:val="20"/>
        <w:szCs w:val="20"/>
        <w:u w:val="single"/>
        <w:shd w:val="pct10" w:color="auto" w:fill="FFFFFF"/>
        <w:lang w:val="en-US" w:eastAsia="zh-CN"/>
      </w:rPr>
      <w:t>铜川市妇幼保健院脱贫地区儿童营养改善项目竞争性磋商文件                   项</w:t>
    </w:r>
    <w:r>
      <w:rPr>
        <w:rFonts w:hint="eastAsia" w:ascii="宋体" w:hAnsi="宋体"/>
        <w:b/>
        <w:bCs/>
        <w:sz w:val="20"/>
        <w:szCs w:val="20"/>
        <w:u w:val="single"/>
        <w:shd w:val="pct10" w:color="auto" w:fill="FFFFFF"/>
      </w:rPr>
      <w:t>目编号：</w:t>
    </w:r>
    <w:r>
      <w:rPr>
        <w:rFonts w:hint="eastAsia" w:ascii="宋体" w:hAnsi="宋体"/>
        <w:b/>
        <w:bCs/>
        <w:sz w:val="20"/>
        <w:szCs w:val="20"/>
        <w:u w:val="single"/>
        <w:shd w:val="pct10" w:color="auto" w:fill="FFFFFF"/>
        <w:lang w:val="en-US" w:eastAsia="zh-CN"/>
      </w:rPr>
      <w:t>TCC2022-1128Z</w:t>
    </w:r>
  </w:p>
  <w:p>
    <w:pPr>
      <w:pStyle w:val="27"/>
      <w:pBdr>
        <w:bottom w:val="none" w:color="auto" w:sz="0" w:space="1"/>
      </w:pBdr>
      <w:jc w:val="both"/>
      <w:rPr>
        <w:rFonts w:hint="default" w:ascii="仿宋" w:hAnsi="仿宋" w:eastAsia="仿宋" w:cs="仿宋"/>
        <w:b w:val="0"/>
        <w:bCs/>
        <w:spacing w:val="-17"/>
        <w:sz w:val="24"/>
        <w:szCs w:val="24"/>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rPr>
        <w:rFonts w:hint="default" w:eastAsia="宋体"/>
        <w:spacing w:val="-6"/>
        <w:sz w:val="20"/>
        <w:szCs w:val="22"/>
        <w:lang w:val="en-US" w:eastAsia="zh-CN"/>
      </w:rPr>
    </w:pPr>
    <w:r>
      <w:rPr>
        <w:rFonts w:hint="eastAsia" w:ascii="宋体" w:hAnsi="宋体" w:eastAsia="宋体" w:cs="Times New Roman"/>
        <w:b/>
        <w:bCs/>
        <w:sz w:val="20"/>
        <w:szCs w:val="20"/>
        <w:u w:val="single"/>
        <w:shd w:val="pct10" w:color="auto" w:fill="FFFFFF"/>
        <w:lang w:val="en-US" w:eastAsia="zh-CN"/>
      </w:rPr>
      <w:t>铜川市妇幼保健院脱贫地区儿童营养改善项目</w:t>
    </w:r>
    <w:r>
      <w:rPr>
        <w:rFonts w:hint="eastAsia" w:ascii="宋体" w:hAnsi="宋体" w:eastAsia="宋体" w:cs="Times New Roman"/>
        <w:b/>
        <w:bCs/>
        <w:sz w:val="20"/>
        <w:szCs w:val="20"/>
        <w:u w:val="single"/>
        <w:shd w:val="pct10" w:color="auto" w:fill="FFFFFF"/>
      </w:rPr>
      <w:t xml:space="preserve">竞争性磋商文件   </w:t>
    </w:r>
    <w:r>
      <w:rPr>
        <w:rFonts w:hint="eastAsia" w:ascii="宋体" w:hAnsi="宋体" w:eastAsia="宋体" w:cs="Times New Roman"/>
        <w:b/>
        <w:bCs/>
        <w:sz w:val="20"/>
        <w:szCs w:val="20"/>
        <w:u w:val="single"/>
        <w:shd w:val="pct10" w:color="auto" w:fill="FFFFFF"/>
        <w:lang w:val="en-US" w:eastAsia="zh-CN"/>
      </w:rPr>
      <w:t xml:space="preserve">             </w:t>
    </w:r>
    <w:r>
      <w:rPr>
        <w:rFonts w:hint="eastAsia" w:ascii="宋体" w:hAnsi="宋体"/>
        <w:b/>
        <w:bCs/>
        <w:sz w:val="20"/>
        <w:szCs w:val="20"/>
        <w:u w:val="single"/>
        <w:shd w:val="pct10" w:color="auto" w:fill="FFFFFF"/>
        <w:lang w:val="en-US" w:eastAsia="zh-CN"/>
      </w:rPr>
      <w:t xml:space="preserve"> </w:t>
    </w:r>
    <w:r>
      <w:rPr>
        <w:rFonts w:hint="eastAsia" w:ascii="宋体" w:hAnsi="宋体"/>
        <w:b/>
        <w:bCs/>
        <w:sz w:val="20"/>
        <w:szCs w:val="20"/>
        <w:u w:val="single"/>
        <w:shd w:val="pct10" w:color="auto" w:fill="FFFFFF"/>
      </w:rPr>
      <w:t xml:space="preserve"> 项目编号：</w:t>
    </w:r>
    <w:r>
      <w:rPr>
        <w:rFonts w:hint="eastAsia" w:ascii="宋体" w:hAnsi="宋体" w:cs="Times New Roman"/>
        <w:b/>
        <w:bCs/>
        <w:sz w:val="20"/>
        <w:szCs w:val="20"/>
        <w:u w:val="single"/>
        <w:shd w:val="pct10" w:color="auto" w:fill="FFFFFF"/>
        <w:lang w:eastAsia="zh-CN"/>
      </w:rPr>
      <w:t>TCC2022-11</w:t>
    </w:r>
    <w:r>
      <w:rPr>
        <w:rFonts w:hint="eastAsia" w:ascii="宋体" w:hAnsi="宋体" w:cs="Times New Roman"/>
        <w:b/>
        <w:bCs/>
        <w:sz w:val="20"/>
        <w:szCs w:val="20"/>
        <w:u w:val="single"/>
        <w:shd w:val="pct10" w:color="auto" w:fill="FFFFFF"/>
        <w:lang w:val="en-US" w:eastAsia="zh-CN"/>
      </w:rPr>
      <w:t>28</w:t>
    </w:r>
    <w:r>
      <w:rPr>
        <w:rFonts w:hint="eastAsia" w:ascii="宋体" w:hAnsi="宋体" w:cs="Times New Roman"/>
        <w:b/>
        <w:bCs/>
        <w:sz w:val="20"/>
        <w:szCs w:val="20"/>
        <w:u w:val="single"/>
        <w:shd w:val="pct10" w:color="auto" w:fill="FFFFFF"/>
        <w:lang w:eastAsia="zh-CN"/>
      </w:rPr>
      <w:t>Z</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rPr>
        <w:rFonts w:hint="eastAsia"/>
        <w:lang w:eastAsia="zh-CN"/>
      </w:rPr>
    </w:pPr>
    <w:r>
      <w:rPr>
        <w:rFonts w:hint="eastAsia" w:ascii="宋体" w:hAnsi="宋体" w:cs="Times New Roman"/>
        <w:b/>
        <w:bCs/>
        <w:sz w:val="20"/>
        <w:szCs w:val="20"/>
        <w:u w:val="single"/>
        <w:shd w:val="pct10" w:color="auto" w:fill="FFFFFF"/>
        <w:lang w:val="en-US" w:eastAsia="zh-CN"/>
      </w:rPr>
      <w:t>铜川市妇幼保健院脱贫地区儿童营养改善项目</w:t>
    </w:r>
    <w:r>
      <w:rPr>
        <w:rFonts w:hint="eastAsia" w:ascii="宋体" w:hAnsi="宋体"/>
        <w:b/>
        <w:bCs/>
        <w:sz w:val="20"/>
        <w:szCs w:val="20"/>
        <w:u w:val="single"/>
        <w:shd w:val="pct10" w:color="auto" w:fill="FFFFFF"/>
      </w:rPr>
      <w:t xml:space="preserve">竞争性磋商文件   </w:t>
    </w:r>
    <w:r>
      <w:rPr>
        <w:rFonts w:hint="eastAsia" w:ascii="宋体" w:hAnsi="宋体"/>
        <w:b/>
        <w:bCs/>
        <w:sz w:val="20"/>
        <w:szCs w:val="20"/>
        <w:u w:val="single"/>
        <w:shd w:val="pct10" w:color="auto" w:fill="FFFFFF"/>
        <w:lang w:val="en-US" w:eastAsia="zh-CN"/>
      </w:rPr>
      <w:t xml:space="preserve">              </w:t>
    </w:r>
    <w:r>
      <w:rPr>
        <w:rFonts w:hint="eastAsia" w:ascii="宋体" w:hAnsi="宋体"/>
        <w:b/>
        <w:bCs/>
        <w:sz w:val="20"/>
        <w:szCs w:val="20"/>
        <w:u w:val="single"/>
        <w:shd w:val="pct10" w:color="auto" w:fill="FFFFFF"/>
      </w:rPr>
      <w:t xml:space="preserve"> 项目编号：</w:t>
    </w:r>
    <w:r>
      <w:rPr>
        <w:rFonts w:hint="eastAsia" w:ascii="宋体" w:hAnsi="宋体" w:cs="Times New Roman"/>
        <w:b/>
        <w:bCs/>
        <w:sz w:val="20"/>
        <w:szCs w:val="20"/>
        <w:u w:val="single"/>
        <w:shd w:val="pct10" w:color="auto" w:fill="FFFFFF"/>
        <w:lang w:eastAsia="zh-CN"/>
      </w:rPr>
      <w:t>TCC2022-1128Z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4D6977"/>
    <w:multiLevelType w:val="multilevel"/>
    <w:tmpl w:val="824D6977"/>
    <w:lvl w:ilvl="0" w:tentative="0">
      <w:start w:val="1"/>
      <w:numFmt w:val="decimal"/>
      <w:lvlText w:val="(%1)"/>
      <w:lvlJc w:val="left"/>
      <w:pPr>
        <w:ind w:left="425" w:hanging="425"/>
      </w:pPr>
      <w:rPr>
        <w:rFonts w:hint="default" w:ascii="仿宋" w:hAnsi="仿宋" w:eastAsia="仿宋" w:cs="仿宋"/>
      </w:rPr>
    </w:lvl>
    <w:lvl w:ilvl="1" w:tentative="0">
      <w:start w:val="1"/>
      <w:numFmt w:val="decimalEnclosedCircleChinese"/>
      <w:lvlText w:val="%2"/>
      <w:lvlJc w:val="left"/>
      <w:pPr>
        <w:tabs>
          <w:tab w:val="left" w:pos="840"/>
        </w:tabs>
        <w:ind w:left="840" w:hanging="420"/>
      </w:pPr>
      <w:rPr>
        <w:rFonts w:hint="eastAsia" w:ascii="仿宋" w:hAnsi="仿宋" w:eastAsia="仿宋" w:cs="仿宋"/>
      </w:rPr>
    </w:lvl>
    <w:lvl w:ilvl="2" w:tentative="0">
      <w:start w:val="1"/>
      <w:numFmt w:val="decimal"/>
      <w:lvlText w:val="%3)"/>
      <w:lvlJc w:val="left"/>
      <w:pPr>
        <w:tabs>
          <w:tab w:val="left" w:pos="1260"/>
        </w:tabs>
        <w:ind w:left="1260" w:hanging="420"/>
      </w:pPr>
      <w:rPr>
        <w:rFonts w:hint="default"/>
      </w:rPr>
    </w:lvl>
    <w:lvl w:ilvl="3" w:tentative="0">
      <w:start w:val="1"/>
      <w:numFmt w:val="lowerLetter"/>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8286AB5E"/>
    <w:multiLevelType w:val="singleLevel"/>
    <w:tmpl w:val="8286AB5E"/>
    <w:lvl w:ilvl="0" w:tentative="0">
      <w:start w:val="1"/>
      <w:numFmt w:val="chineseCounting"/>
      <w:suff w:val="space"/>
      <w:lvlText w:val="第%1部分"/>
      <w:lvlJc w:val="left"/>
      <w:rPr>
        <w:rFonts w:hint="eastAsia"/>
      </w:rPr>
    </w:lvl>
  </w:abstractNum>
  <w:abstractNum w:abstractNumId="2">
    <w:nsid w:val="82D271A3"/>
    <w:multiLevelType w:val="singleLevel"/>
    <w:tmpl w:val="82D271A3"/>
    <w:lvl w:ilvl="0" w:tentative="0">
      <w:start w:val="1"/>
      <w:numFmt w:val="decimal"/>
      <w:lvlText w:val="(%1)"/>
      <w:lvlJc w:val="left"/>
      <w:pPr>
        <w:ind w:left="425" w:hanging="425"/>
      </w:pPr>
      <w:rPr>
        <w:rFonts w:hint="default" w:ascii="仿宋" w:hAnsi="仿宋" w:eastAsia="仿宋" w:cs="仿宋"/>
      </w:rPr>
    </w:lvl>
  </w:abstractNum>
  <w:abstractNum w:abstractNumId="3">
    <w:nsid w:val="86576591"/>
    <w:multiLevelType w:val="multilevel"/>
    <w:tmpl w:val="86576591"/>
    <w:lvl w:ilvl="0" w:tentative="0">
      <w:start w:val="1"/>
      <w:numFmt w:val="decimal"/>
      <w:lvlText w:val="%1."/>
      <w:lvlJc w:val="left"/>
      <w:pPr>
        <w:ind w:left="425" w:hanging="425"/>
      </w:pPr>
      <w:rPr>
        <w:rFonts w:hint="default" w:ascii="仿宋" w:hAnsi="仿宋" w:eastAsia="仿宋" w:cs="仿宋"/>
      </w:rPr>
    </w:lvl>
    <w:lvl w:ilvl="1" w:tentative="0">
      <w:start w:val="1"/>
      <w:numFmt w:val="decimal"/>
      <w:lvlText w:val="%1.%2."/>
      <w:lvlJc w:val="left"/>
      <w:pPr>
        <w:ind w:left="567" w:hanging="567"/>
      </w:pPr>
      <w:rPr>
        <w:rFonts w:hint="default" w:ascii="仿宋" w:hAnsi="仿宋" w:eastAsia="仿宋" w:cs="仿宋"/>
      </w:rPr>
    </w:lvl>
    <w:lvl w:ilvl="2" w:tentative="0">
      <w:start w:val="1"/>
      <w:numFmt w:val="decimal"/>
      <w:lvlText w:val="%1.%2.%3."/>
      <w:lvlJc w:val="left"/>
      <w:pPr>
        <w:ind w:left="3545" w:hanging="709"/>
      </w:pPr>
      <w:rPr>
        <w:rFonts w:hint="default" w:ascii="仿宋" w:hAnsi="仿宋" w:eastAsia="仿宋" w:cs="仿宋"/>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89D8604B"/>
    <w:multiLevelType w:val="singleLevel"/>
    <w:tmpl w:val="89D8604B"/>
    <w:lvl w:ilvl="0" w:tentative="0">
      <w:start w:val="1"/>
      <w:numFmt w:val="decimal"/>
      <w:lvlText w:val="(%1)"/>
      <w:lvlJc w:val="left"/>
      <w:pPr>
        <w:ind w:left="425" w:hanging="425"/>
      </w:pPr>
      <w:rPr>
        <w:rFonts w:hint="default" w:ascii="仿宋" w:hAnsi="仿宋" w:eastAsia="仿宋" w:cs="仿宋"/>
      </w:rPr>
    </w:lvl>
  </w:abstractNum>
  <w:abstractNum w:abstractNumId="5">
    <w:nsid w:val="9685E6B0"/>
    <w:multiLevelType w:val="singleLevel"/>
    <w:tmpl w:val="9685E6B0"/>
    <w:lvl w:ilvl="0" w:tentative="0">
      <w:start w:val="1"/>
      <w:numFmt w:val="chineseCounting"/>
      <w:suff w:val="nothing"/>
      <w:lvlText w:val="%1、"/>
      <w:lvlJc w:val="left"/>
      <w:pPr>
        <w:ind w:left="0" w:firstLine="420"/>
      </w:pPr>
      <w:rPr>
        <w:rFonts w:hint="eastAsia"/>
      </w:rPr>
    </w:lvl>
  </w:abstractNum>
  <w:abstractNum w:abstractNumId="6">
    <w:nsid w:val="9BD9F40B"/>
    <w:multiLevelType w:val="singleLevel"/>
    <w:tmpl w:val="9BD9F40B"/>
    <w:lvl w:ilvl="0" w:tentative="0">
      <w:start w:val="1"/>
      <w:numFmt w:val="decimal"/>
      <w:lvlText w:val="(%1)"/>
      <w:lvlJc w:val="left"/>
      <w:pPr>
        <w:ind w:left="425" w:hanging="425"/>
      </w:pPr>
      <w:rPr>
        <w:rFonts w:hint="default" w:ascii="仿宋" w:hAnsi="仿宋" w:eastAsia="仿宋" w:cs="仿宋"/>
      </w:rPr>
    </w:lvl>
  </w:abstractNum>
  <w:abstractNum w:abstractNumId="7">
    <w:nsid w:val="9C9B0654"/>
    <w:multiLevelType w:val="singleLevel"/>
    <w:tmpl w:val="9C9B0654"/>
    <w:lvl w:ilvl="0" w:tentative="0">
      <w:start w:val="1"/>
      <w:numFmt w:val="decimal"/>
      <w:suff w:val="nothing"/>
      <w:lvlText w:val="（%1）"/>
      <w:lvlJc w:val="left"/>
    </w:lvl>
  </w:abstractNum>
  <w:abstractNum w:abstractNumId="8">
    <w:nsid w:val="A22CD6B2"/>
    <w:multiLevelType w:val="singleLevel"/>
    <w:tmpl w:val="A22CD6B2"/>
    <w:lvl w:ilvl="0" w:tentative="0">
      <w:start w:val="1"/>
      <w:numFmt w:val="decimal"/>
      <w:lvlText w:val="(%1)"/>
      <w:lvlJc w:val="left"/>
      <w:pPr>
        <w:ind w:left="425" w:hanging="425"/>
      </w:pPr>
      <w:rPr>
        <w:rFonts w:hint="default" w:ascii="仿宋" w:hAnsi="仿宋" w:eastAsia="仿宋" w:cs="仿宋"/>
      </w:rPr>
    </w:lvl>
  </w:abstractNum>
  <w:abstractNum w:abstractNumId="9">
    <w:nsid w:val="A9411DEF"/>
    <w:multiLevelType w:val="singleLevel"/>
    <w:tmpl w:val="A9411DEF"/>
    <w:lvl w:ilvl="0" w:tentative="0">
      <w:start w:val="1"/>
      <w:numFmt w:val="decimal"/>
      <w:lvlText w:val="(%1)"/>
      <w:lvlJc w:val="left"/>
      <w:pPr>
        <w:ind w:left="425" w:hanging="425"/>
      </w:pPr>
      <w:rPr>
        <w:rFonts w:hint="default" w:ascii="仿宋" w:hAnsi="仿宋" w:eastAsia="仿宋" w:cs="仿宋"/>
      </w:rPr>
    </w:lvl>
  </w:abstractNum>
  <w:abstractNum w:abstractNumId="10">
    <w:nsid w:val="AABED577"/>
    <w:multiLevelType w:val="multilevel"/>
    <w:tmpl w:val="AABED577"/>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1">
    <w:nsid w:val="C534FB48"/>
    <w:multiLevelType w:val="singleLevel"/>
    <w:tmpl w:val="C534FB48"/>
    <w:lvl w:ilvl="0" w:tentative="0">
      <w:start w:val="1"/>
      <w:numFmt w:val="decimal"/>
      <w:lvlText w:val="(%1)"/>
      <w:lvlJc w:val="left"/>
      <w:pPr>
        <w:ind w:left="636" w:hanging="425"/>
      </w:pPr>
      <w:rPr>
        <w:rFonts w:hint="default" w:ascii="仿宋" w:hAnsi="仿宋" w:eastAsia="仿宋" w:cs="仿宋"/>
      </w:rPr>
    </w:lvl>
  </w:abstractNum>
  <w:abstractNum w:abstractNumId="12">
    <w:nsid w:val="C64A9BDC"/>
    <w:multiLevelType w:val="singleLevel"/>
    <w:tmpl w:val="C64A9BDC"/>
    <w:lvl w:ilvl="0" w:tentative="0">
      <w:start w:val="1"/>
      <w:numFmt w:val="decimal"/>
      <w:lvlText w:val="(%1)"/>
      <w:lvlJc w:val="left"/>
      <w:pPr>
        <w:ind w:left="425" w:hanging="425"/>
      </w:pPr>
      <w:rPr>
        <w:rFonts w:hint="default" w:ascii="仿宋" w:hAnsi="仿宋" w:eastAsia="仿宋" w:cs="仿宋"/>
      </w:rPr>
    </w:lvl>
  </w:abstractNum>
  <w:abstractNum w:abstractNumId="13">
    <w:nsid w:val="CD065708"/>
    <w:multiLevelType w:val="multilevel"/>
    <w:tmpl w:val="CD065708"/>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4">
    <w:nsid w:val="CD7DEECB"/>
    <w:multiLevelType w:val="singleLevel"/>
    <w:tmpl w:val="CD7DEECB"/>
    <w:lvl w:ilvl="0" w:tentative="0">
      <w:start w:val="1"/>
      <w:numFmt w:val="chineseCounting"/>
      <w:suff w:val="nothing"/>
      <w:lvlText w:val="%1、"/>
      <w:lvlJc w:val="left"/>
      <w:pPr>
        <w:ind w:left="0" w:firstLine="420"/>
      </w:pPr>
      <w:rPr>
        <w:rFonts w:hint="eastAsia"/>
      </w:rPr>
    </w:lvl>
  </w:abstractNum>
  <w:abstractNum w:abstractNumId="15">
    <w:nsid w:val="D137171C"/>
    <w:multiLevelType w:val="multilevel"/>
    <w:tmpl w:val="D137171C"/>
    <w:lvl w:ilvl="0" w:tentative="0">
      <w:start w:val="1"/>
      <w:numFmt w:val="decimal"/>
      <w:suff w:val="nothing"/>
      <w:lvlText w:val="（%1）"/>
      <w:lvlJc w:val="left"/>
      <w:rPr>
        <w:rFonts w:hint="default" w:ascii="仿宋" w:hAnsi="仿宋" w:eastAsia="仿宋" w:cs="仿宋"/>
      </w:rPr>
    </w:lvl>
    <w:lvl w:ilvl="1" w:tentative="0">
      <w:start w:val="1"/>
      <w:numFmt w:val="decimalEnclosedCircleChinese"/>
      <w:lvlText w:val="%2"/>
      <w:lvlJc w:val="left"/>
      <w:pPr>
        <w:tabs>
          <w:tab w:val="left" w:pos="840"/>
        </w:tabs>
        <w:ind w:left="840" w:leftChars="0" w:hanging="420" w:firstLineChars="0"/>
      </w:pPr>
      <w:rPr>
        <w:rFonts w:hint="default"/>
      </w:rPr>
    </w:lvl>
    <w:lvl w:ilvl="2" w:tentative="0">
      <w:start w:val="1"/>
      <w:numFmt w:val="decimal"/>
      <w:lvlText w:val="%3)"/>
      <w:lvlJc w:val="left"/>
      <w:pPr>
        <w:tabs>
          <w:tab w:val="left" w:pos="1260"/>
        </w:tabs>
        <w:ind w:left="1260" w:leftChars="0" w:hanging="420" w:firstLineChars="0"/>
      </w:pPr>
      <w:rPr>
        <w:rFonts w:hint="default"/>
      </w:rPr>
    </w:lvl>
    <w:lvl w:ilvl="3" w:tentative="0">
      <w:start w:val="1"/>
      <w:numFmt w:val="lowerLetter"/>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6">
    <w:nsid w:val="D17F8BFD"/>
    <w:multiLevelType w:val="multilevel"/>
    <w:tmpl w:val="D17F8BFD"/>
    <w:lvl w:ilvl="0" w:tentative="0">
      <w:start w:val="1"/>
      <w:numFmt w:val="decimal"/>
      <w:suff w:val="nothing"/>
      <w:lvlText w:val="（%1）"/>
      <w:lvlJc w:val="left"/>
      <w:rPr>
        <w:rFonts w:hint="default" w:ascii="仿宋" w:hAnsi="仿宋" w:eastAsia="仿宋" w:cs="仿宋"/>
      </w:rPr>
    </w:lvl>
    <w:lvl w:ilvl="1" w:tentative="0">
      <w:start w:val="1"/>
      <w:numFmt w:val="decimalEnclosedCircleChinese"/>
      <w:lvlText w:val="%2"/>
      <w:lvlJc w:val="left"/>
      <w:pPr>
        <w:tabs>
          <w:tab w:val="left" w:pos="840"/>
        </w:tabs>
        <w:ind w:left="840" w:leftChars="0" w:hanging="420" w:firstLineChars="0"/>
      </w:pPr>
      <w:rPr>
        <w:rFonts w:hint="default"/>
      </w:rPr>
    </w:lvl>
    <w:lvl w:ilvl="2" w:tentative="0">
      <w:start w:val="1"/>
      <w:numFmt w:val="decimal"/>
      <w:lvlText w:val="%3)"/>
      <w:lvlJc w:val="left"/>
      <w:pPr>
        <w:tabs>
          <w:tab w:val="left" w:pos="1260"/>
        </w:tabs>
        <w:ind w:left="1260" w:leftChars="0" w:hanging="420" w:firstLineChars="0"/>
      </w:pPr>
      <w:rPr>
        <w:rFonts w:hint="default"/>
      </w:rPr>
    </w:lvl>
    <w:lvl w:ilvl="3" w:tentative="0">
      <w:start w:val="1"/>
      <w:numFmt w:val="lowerLetter"/>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D1A594D9"/>
    <w:multiLevelType w:val="singleLevel"/>
    <w:tmpl w:val="D1A594D9"/>
    <w:lvl w:ilvl="0" w:tentative="0">
      <w:start w:val="1"/>
      <w:numFmt w:val="decimal"/>
      <w:lvlText w:val="(%1)"/>
      <w:lvlJc w:val="left"/>
      <w:pPr>
        <w:ind w:left="425" w:hanging="425"/>
      </w:pPr>
      <w:rPr>
        <w:rFonts w:hint="default"/>
      </w:rPr>
    </w:lvl>
  </w:abstractNum>
  <w:abstractNum w:abstractNumId="18">
    <w:nsid w:val="D68FD842"/>
    <w:multiLevelType w:val="singleLevel"/>
    <w:tmpl w:val="D68FD842"/>
    <w:lvl w:ilvl="0" w:tentative="0">
      <w:start w:val="1"/>
      <w:numFmt w:val="decimal"/>
      <w:lvlText w:val="%1."/>
      <w:lvlJc w:val="left"/>
      <w:pPr>
        <w:ind w:left="425" w:hanging="425"/>
      </w:pPr>
      <w:rPr>
        <w:rFonts w:hint="default"/>
      </w:rPr>
    </w:lvl>
  </w:abstractNum>
  <w:abstractNum w:abstractNumId="19">
    <w:nsid w:val="D950E6DC"/>
    <w:multiLevelType w:val="singleLevel"/>
    <w:tmpl w:val="D950E6DC"/>
    <w:lvl w:ilvl="0" w:tentative="0">
      <w:start w:val="1"/>
      <w:numFmt w:val="decimal"/>
      <w:lvlText w:val="(%1)"/>
      <w:lvlJc w:val="left"/>
      <w:pPr>
        <w:ind w:left="425" w:hanging="425"/>
      </w:pPr>
      <w:rPr>
        <w:rFonts w:hint="default" w:ascii="仿宋" w:hAnsi="仿宋" w:eastAsia="仿宋" w:cs="仿宋"/>
      </w:rPr>
    </w:lvl>
  </w:abstractNum>
  <w:abstractNum w:abstractNumId="20">
    <w:nsid w:val="ED995583"/>
    <w:multiLevelType w:val="multilevel"/>
    <w:tmpl w:val="ED995583"/>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1">
    <w:nsid w:val="EF9320ED"/>
    <w:multiLevelType w:val="singleLevel"/>
    <w:tmpl w:val="EF9320ED"/>
    <w:lvl w:ilvl="0" w:tentative="0">
      <w:start w:val="1"/>
      <w:numFmt w:val="decimal"/>
      <w:lvlText w:val="%1."/>
      <w:lvlJc w:val="left"/>
      <w:pPr>
        <w:tabs>
          <w:tab w:val="left" w:pos="312"/>
        </w:tabs>
      </w:pPr>
    </w:lvl>
  </w:abstractNum>
  <w:abstractNum w:abstractNumId="22">
    <w:nsid w:val="F0817CD4"/>
    <w:multiLevelType w:val="singleLevel"/>
    <w:tmpl w:val="F0817CD4"/>
    <w:lvl w:ilvl="0" w:tentative="0">
      <w:start w:val="1"/>
      <w:numFmt w:val="decimal"/>
      <w:lvlText w:val="%1."/>
      <w:lvlJc w:val="left"/>
      <w:pPr>
        <w:tabs>
          <w:tab w:val="left" w:pos="312"/>
        </w:tabs>
      </w:pPr>
    </w:lvl>
  </w:abstractNum>
  <w:abstractNum w:abstractNumId="23">
    <w:nsid w:val="F122D150"/>
    <w:multiLevelType w:val="singleLevel"/>
    <w:tmpl w:val="F122D150"/>
    <w:lvl w:ilvl="0" w:tentative="0">
      <w:start w:val="1"/>
      <w:numFmt w:val="decimal"/>
      <w:lvlText w:val="(%1)"/>
      <w:lvlJc w:val="left"/>
      <w:pPr>
        <w:ind w:left="425" w:hanging="425"/>
      </w:pPr>
      <w:rPr>
        <w:rFonts w:hint="default"/>
      </w:rPr>
    </w:lvl>
  </w:abstractNum>
  <w:abstractNum w:abstractNumId="24">
    <w:nsid w:val="F3324F33"/>
    <w:multiLevelType w:val="singleLevel"/>
    <w:tmpl w:val="F3324F33"/>
    <w:lvl w:ilvl="0" w:tentative="0">
      <w:start w:val="2"/>
      <w:numFmt w:val="chineseCounting"/>
      <w:suff w:val="space"/>
      <w:lvlText w:val="第%1部分"/>
      <w:lvlJc w:val="left"/>
      <w:rPr>
        <w:rFonts w:hint="eastAsia"/>
      </w:rPr>
    </w:lvl>
  </w:abstractNum>
  <w:abstractNum w:abstractNumId="25">
    <w:nsid w:val="F8A97BCF"/>
    <w:multiLevelType w:val="singleLevel"/>
    <w:tmpl w:val="F8A97BCF"/>
    <w:lvl w:ilvl="0" w:tentative="0">
      <w:start w:val="1"/>
      <w:numFmt w:val="decimal"/>
      <w:lvlText w:val="%1."/>
      <w:lvlJc w:val="left"/>
      <w:pPr>
        <w:tabs>
          <w:tab w:val="left" w:pos="312"/>
        </w:tabs>
      </w:pPr>
    </w:lvl>
  </w:abstractNum>
  <w:abstractNum w:abstractNumId="26">
    <w:nsid w:val="F8F1CB00"/>
    <w:multiLevelType w:val="singleLevel"/>
    <w:tmpl w:val="F8F1CB00"/>
    <w:lvl w:ilvl="0" w:tentative="0">
      <w:start w:val="1"/>
      <w:numFmt w:val="chineseCounting"/>
      <w:suff w:val="nothing"/>
      <w:lvlText w:val="（%1）"/>
      <w:lvlJc w:val="left"/>
      <w:pPr>
        <w:ind w:left="0" w:firstLine="420"/>
      </w:pPr>
      <w:rPr>
        <w:rFonts w:hint="eastAsia"/>
      </w:rPr>
    </w:lvl>
  </w:abstractNum>
  <w:abstractNum w:abstractNumId="27">
    <w:nsid w:val="0000000C"/>
    <w:multiLevelType w:val="multilevel"/>
    <w:tmpl w:val="0000000C"/>
    <w:lvl w:ilvl="0" w:tentative="0">
      <w:start w:val="1"/>
      <w:numFmt w:val="none"/>
      <w:suff w:val="nothing"/>
      <w:lvlText w:val=""/>
      <w:lvlJc w:val="left"/>
    </w:lvl>
    <w:lvl w:ilvl="1" w:tentative="0">
      <w:start w:val="1"/>
      <w:numFmt w:val="none"/>
      <w:lvlText w:val=""/>
      <w:legacy w:legacy="1" w:legacySpace="0" w:legacyIndent="0"/>
      <w:lvlJc w:val="left"/>
    </w:lvl>
    <w:lvl w:ilvl="2" w:tentative="0">
      <w:start w:val="1"/>
      <w:numFmt w:val="none"/>
      <w:lvlText w:val=""/>
      <w:legacy w:legacy="1" w:legacySpace="0" w:legacyIndent="0"/>
      <w:lvlJc w:val="left"/>
    </w:lvl>
    <w:lvl w:ilvl="3" w:tentative="0">
      <w:start w:val="1"/>
      <w:numFmt w:val="none"/>
      <w:pStyle w:val="6"/>
      <w:lvlText w:val=""/>
      <w:legacy w:legacy="1" w:legacySpace="0" w:legacyIndent="0"/>
      <w:lvlJc w:val="left"/>
    </w:lvl>
    <w:lvl w:ilvl="4" w:tentative="0">
      <w:start w:val="1"/>
      <w:numFmt w:val="none"/>
      <w:lvlText w:val=""/>
      <w:legacy w:legacy="1" w:legacySpace="0" w:legacyIndent="0"/>
      <w:lvlJc w:val="left"/>
    </w:lvl>
    <w:lvl w:ilvl="5" w:tentative="0">
      <w:start w:val="1"/>
      <w:numFmt w:val="decimal"/>
      <w:lvlText w:val=".%6"/>
      <w:legacy w:legacy="1" w:legacySpace="144" w:legacyIndent="0"/>
      <w:lvlJc w:val="left"/>
    </w:lvl>
    <w:lvl w:ilvl="6" w:tentative="0">
      <w:start w:val="1"/>
      <w:numFmt w:val="decimal"/>
      <w:lvlText w:val=".%6.%7"/>
      <w:legacy w:legacy="1" w:legacySpace="144" w:legacyIndent="0"/>
      <w:lvlJc w:val="left"/>
    </w:lvl>
    <w:lvl w:ilvl="7" w:tentative="0">
      <w:start w:val="1"/>
      <w:numFmt w:val="decimal"/>
      <w:lvlText w:val=".%6.%7.%8"/>
      <w:legacy w:legacy="1" w:legacySpace="144" w:legacyIndent="0"/>
      <w:lvlJc w:val="left"/>
    </w:lvl>
    <w:lvl w:ilvl="8" w:tentative="0">
      <w:start w:val="1"/>
      <w:numFmt w:val="decimal"/>
      <w:lvlText w:val=".%6.%7.%8.%9"/>
      <w:legacy w:legacy="1" w:legacySpace="144" w:legacyIndent="0"/>
      <w:lvlJc w:val="left"/>
    </w:lvl>
  </w:abstractNum>
  <w:abstractNum w:abstractNumId="28">
    <w:nsid w:val="00B430A4"/>
    <w:multiLevelType w:val="singleLevel"/>
    <w:tmpl w:val="00B430A4"/>
    <w:lvl w:ilvl="0" w:tentative="0">
      <w:start w:val="1"/>
      <w:numFmt w:val="decimal"/>
      <w:lvlText w:val="(%1)"/>
      <w:lvlJc w:val="left"/>
      <w:pPr>
        <w:ind w:left="425" w:hanging="425"/>
      </w:pPr>
      <w:rPr>
        <w:rFonts w:hint="default" w:ascii="仿宋" w:hAnsi="仿宋" w:eastAsia="仿宋" w:cs="仿宋"/>
      </w:rPr>
    </w:lvl>
  </w:abstractNum>
  <w:abstractNum w:abstractNumId="29">
    <w:nsid w:val="042784B5"/>
    <w:multiLevelType w:val="multilevel"/>
    <w:tmpl w:val="042784B5"/>
    <w:lvl w:ilvl="0" w:tentative="0">
      <w:start w:val="1"/>
      <w:numFmt w:val="decimal"/>
      <w:lvlText w:val="%1."/>
      <w:lvlJc w:val="left"/>
      <w:pPr>
        <w:ind w:left="425" w:hanging="425"/>
      </w:pPr>
      <w:rPr>
        <w:rFonts w:hint="default" w:ascii="仿宋" w:hAnsi="仿宋" w:eastAsia="仿宋" w:cs="仿宋"/>
        <w:sz w:val="24"/>
        <w:szCs w:val="24"/>
      </w:rPr>
    </w:lvl>
    <w:lvl w:ilvl="1" w:tentative="0">
      <w:start w:val="1"/>
      <w:numFmt w:val="decimal"/>
      <w:lvlText w:val="%1.%2."/>
      <w:lvlJc w:val="left"/>
      <w:pPr>
        <w:ind w:left="850" w:hanging="453"/>
      </w:pPr>
      <w:rPr>
        <w:rFonts w:hint="default" w:ascii="仿宋" w:hAnsi="仿宋" w:eastAsia="仿宋" w:cs="仿宋"/>
        <w:sz w:val="24"/>
        <w:szCs w:val="24"/>
      </w:rPr>
    </w:lvl>
    <w:lvl w:ilvl="2" w:tentative="0">
      <w:start w:val="1"/>
      <w:numFmt w:val="decimal"/>
      <w:lvlText w:val="%1.%2.%3."/>
      <w:lvlJc w:val="left"/>
      <w:pPr>
        <w:ind w:left="1508" w:hanging="708"/>
      </w:pPr>
      <w:rPr>
        <w:rFonts w:hint="default" w:ascii="仿宋" w:hAnsi="仿宋" w:eastAsia="仿宋" w:cs="仿宋"/>
        <w:sz w:val="24"/>
        <w:szCs w:val="24"/>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0">
    <w:nsid w:val="05B05D82"/>
    <w:multiLevelType w:val="singleLevel"/>
    <w:tmpl w:val="05B05D82"/>
    <w:lvl w:ilvl="0" w:tentative="0">
      <w:start w:val="1"/>
      <w:numFmt w:val="decimal"/>
      <w:lvlText w:val="%1."/>
      <w:lvlJc w:val="left"/>
      <w:pPr>
        <w:ind w:left="425" w:hanging="425"/>
      </w:pPr>
      <w:rPr>
        <w:rFonts w:hint="default"/>
      </w:rPr>
    </w:lvl>
  </w:abstractNum>
  <w:abstractNum w:abstractNumId="31">
    <w:nsid w:val="0B98D39C"/>
    <w:multiLevelType w:val="singleLevel"/>
    <w:tmpl w:val="0B98D39C"/>
    <w:lvl w:ilvl="0" w:tentative="0">
      <w:start w:val="1"/>
      <w:numFmt w:val="decimal"/>
      <w:suff w:val="nothing"/>
      <w:lvlText w:val="（%1）"/>
      <w:lvlJc w:val="left"/>
      <w:rPr>
        <w:rFonts w:hint="default" w:ascii="仿宋" w:hAnsi="仿宋" w:eastAsia="仿宋" w:cs="仿宋"/>
      </w:rPr>
    </w:lvl>
  </w:abstractNum>
  <w:abstractNum w:abstractNumId="32">
    <w:nsid w:val="1925C3D2"/>
    <w:multiLevelType w:val="singleLevel"/>
    <w:tmpl w:val="1925C3D2"/>
    <w:lvl w:ilvl="0" w:tentative="0">
      <w:start w:val="1"/>
      <w:numFmt w:val="decimal"/>
      <w:lvlText w:val="(%1)"/>
      <w:lvlJc w:val="left"/>
      <w:pPr>
        <w:ind w:left="425" w:hanging="425"/>
      </w:pPr>
      <w:rPr>
        <w:rFonts w:hint="default" w:ascii="仿宋" w:hAnsi="仿宋" w:eastAsia="仿宋" w:cs="仿宋"/>
      </w:rPr>
    </w:lvl>
  </w:abstractNum>
  <w:abstractNum w:abstractNumId="33">
    <w:nsid w:val="246342D1"/>
    <w:multiLevelType w:val="singleLevel"/>
    <w:tmpl w:val="246342D1"/>
    <w:lvl w:ilvl="0" w:tentative="0">
      <w:start w:val="1"/>
      <w:numFmt w:val="decimal"/>
      <w:suff w:val="nothing"/>
      <w:lvlText w:val="（%1）"/>
      <w:lvlJc w:val="left"/>
      <w:rPr>
        <w:rFonts w:hint="default" w:ascii="仿宋" w:hAnsi="仿宋" w:eastAsia="仿宋" w:cs="仿宋"/>
      </w:rPr>
    </w:lvl>
  </w:abstractNum>
  <w:abstractNum w:abstractNumId="34">
    <w:nsid w:val="24A39633"/>
    <w:multiLevelType w:val="singleLevel"/>
    <w:tmpl w:val="24A39633"/>
    <w:lvl w:ilvl="0" w:tentative="0">
      <w:start w:val="2"/>
      <w:numFmt w:val="decimal"/>
      <w:lvlText w:val="%1."/>
      <w:lvlJc w:val="left"/>
      <w:pPr>
        <w:tabs>
          <w:tab w:val="left" w:pos="312"/>
        </w:tabs>
      </w:pPr>
    </w:lvl>
  </w:abstractNum>
  <w:abstractNum w:abstractNumId="35">
    <w:nsid w:val="3574C716"/>
    <w:multiLevelType w:val="singleLevel"/>
    <w:tmpl w:val="3574C716"/>
    <w:lvl w:ilvl="0" w:tentative="0">
      <w:start w:val="1"/>
      <w:numFmt w:val="decimal"/>
      <w:lvlText w:val="(%1)"/>
      <w:lvlJc w:val="left"/>
      <w:pPr>
        <w:ind w:left="425" w:hanging="425"/>
      </w:pPr>
      <w:rPr>
        <w:rFonts w:hint="default" w:ascii="仿宋" w:hAnsi="仿宋" w:eastAsia="仿宋" w:cs="仿宋"/>
      </w:rPr>
    </w:lvl>
  </w:abstractNum>
  <w:abstractNum w:abstractNumId="36">
    <w:nsid w:val="394D0365"/>
    <w:multiLevelType w:val="singleLevel"/>
    <w:tmpl w:val="394D0365"/>
    <w:lvl w:ilvl="0" w:tentative="0">
      <w:start w:val="1"/>
      <w:numFmt w:val="decimal"/>
      <w:lvlText w:val="(%1)"/>
      <w:lvlJc w:val="left"/>
      <w:pPr>
        <w:ind w:left="425" w:hanging="425"/>
      </w:pPr>
      <w:rPr>
        <w:rFonts w:hint="default" w:ascii="仿宋" w:hAnsi="仿宋" w:eastAsia="仿宋" w:cs="仿宋"/>
      </w:rPr>
    </w:lvl>
  </w:abstractNum>
  <w:abstractNum w:abstractNumId="37">
    <w:nsid w:val="414C32C4"/>
    <w:multiLevelType w:val="singleLevel"/>
    <w:tmpl w:val="414C32C4"/>
    <w:lvl w:ilvl="0" w:tentative="0">
      <w:start w:val="1"/>
      <w:numFmt w:val="decimal"/>
      <w:lvlText w:val="%1."/>
      <w:lvlJc w:val="left"/>
      <w:pPr>
        <w:tabs>
          <w:tab w:val="left" w:pos="312"/>
        </w:tabs>
      </w:pPr>
    </w:lvl>
  </w:abstractNum>
  <w:abstractNum w:abstractNumId="38">
    <w:nsid w:val="49021BA7"/>
    <w:multiLevelType w:val="singleLevel"/>
    <w:tmpl w:val="49021BA7"/>
    <w:lvl w:ilvl="0" w:tentative="0">
      <w:start w:val="1"/>
      <w:numFmt w:val="decimal"/>
      <w:lvlText w:val="(%1)"/>
      <w:lvlJc w:val="left"/>
      <w:pPr>
        <w:ind w:left="425" w:hanging="425"/>
      </w:pPr>
      <w:rPr>
        <w:rFonts w:hint="default"/>
      </w:rPr>
    </w:lvl>
  </w:abstractNum>
  <w:abstractNum w:abstractNumId="39">
    <w:nsid w:val="4C03CEB8"/>
    <w:multiLevelType w:val="multilevel"/>
    <w:tmpl w:val="4C03CEB8"/>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0">
    <w:nsid w:val="4FC2CD3D"/>
    <w:multiLevelType w:val="singleLevel"/>
    <w:tmpl w:val="4FC2CD3D"/>
    <w:lvl w:ilvl="0" w:tentative="0">
      <w:start w:val="1"/>
      <w:numFmt w:val="decimal"/>
      <w:lvlText w:val="(%1)"/>
      <w:lvlJc w:val="left"/>
      <w:pPr>
        <w:ind w:left="425" w:hanging="425"/>
      </w:pPr>
      <w:rPr>
        <w:rFonts w:hint="default" w:ascii="仿宋" w:hAnsi="仿宋" w:eastAsia="仿宋" w:cs="仿宋"/>
      </w:rPr>
    </w:lvl>
  </w:abstractNum>
  <w:abstractNum w:abstractNumId="41">
    <w:nsid w:val="5154EE9E"/>
    <w:multiLevelType w:val="multilevel"/>
    <w:tmpl w:val="5154EE9E"/>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2">
    <w:nsid w:val="5590D11E"/>
    <w:multiLevelType w:val="singleLevel"/>
    <w:tmpl w:val="5590D11E"/>
    <w:lvl w:ilvl="0" w:tentative="0">
      <w:start w:val="1"/>
      <w:numFmt w:val="decimal"/>
      <w:lvlText w:val="%1."/>
      <w:lvlJc w:val="left"/>
      <w:pPr>
        <w:ind w:left="425" w:hanging="425"/>
      </w:pPr>
      <w:rPr>
        <w:rFonts w:hint="default"/>
      </w:rPr>
    </w:lvl>
  </w:abstractNum>
  <w:abstractNum w:abstractNumId="43">
    <w:nsid w:val="5A1E28B4"/>
    <w:multiLevelType w:val="singleLevel"/>
    <w:tmpl w:val="5A1E28B4"/>
    <w:lvl w:ilvl="0" w:tentative="0">
      <w:start w:val="3"/>
      <w:numFmt w:val="chineseCounting"/>
      <w:suff w:val="space"/>
      <w:lvlText w:val="第%1部分"/>
      <w:lvlJc w:val="left"/>
    </w:lvl>
  </w:abstractNum>
  <w:abstractNum w:abstractNumId="44">
    <w:nsid w:val="626A8FDB"/>
    <w:multiLevelType w:val="singleLevel"/>
    <w:tmpl w:val="626A8FDB"/>
    <w:lvl w:ilvl="0" w:tentative="0">
      <w:start w:val="1"/>
      <w:numFmt w:val="decimal"/>
      <w:suff w:val="nothing"/>
      <w:lvlText w:val="（%1）"/>
      <w:lvlJc w:val="left"/>
      <w:rPr>
        <w:rFonts w:hint="default" w:ascii="仿宋" w:hAnsi="仿宋" w:eastAsia="仿宋" w:cs="仿宋"/>
      </w:rPr>
    </w:lvl>
  </w:abstractNum>
  <w:abstractNum w:abstractNumId="45">
    <w:nsid w:val="65631BDF"/>
    <w:multiLevelType w:val="singleLevel"/>
    <w:tmpl w:val="65631BDF"/>
    <w:lvl w:ilvl="0" w:tentative="0">
      <w:start w:val="1"/>
      <w:numFmt w:val="decimal"/>
      <w:lvlText w:val="%1."/>
      <w:lvlJc w:val="left"/>
      <w:pPr>
        <w:ind w:left="425" w:hanging="425"/>
      </w:pPr>
      <w:rPr>
        <w:rFonts w:hint="default"/>
      </w:rPr>
    </w:lvl>
  </w:abstractNum>
  <w:abstractNum w:abstractNumId="46">
    <w:nsid w:val="7D337714"/>
    <w:multiLevelType w:val="singleLevel"/>
    <w:tmpl w:val="7D337714"/>
    <w:lvl w:ilvl="0" w:tentative="0">
      <w:start w:val="1"/>
      <w:numFmt w:val="decimal"/>
      <w:suff w:val="nothing"/>
      <w:lvlText w:val="%1、"/>
      <w:lvlJc w:val="left"/>
    </w:lvl>
  </w:abstractNum>
  <w:num w:numId="1">
    <w:abstractNumId w:val="27"/>
  </w:num>
  <w:num w:numId="2">
    <w:abstractNumId w:val="1"/>
  </w:num>
  <w:num w:numId="3">
    <w:abstractNumId w:val="14"/>
  </w:num>
  <w:num w:numId="4">
    <w:abstractNumId w:val="41"/>
  </w:num>
  <w:num w:numId="5">
    <w:abstractNumId w:val="38"/>
  </w:num>
  <w:num w:numId="6">
    <w:abstractNumId w:val="17"/>
  </w:num>
  <w:num w:numId="7">
    <w:abstractNumId w:val="10"/>
  </w:num>
  <w:num w:numId="8">
    <w:abstractNumId w:val="24"/>
  </w:num>
  <w:num w:numId="9">
    <w:abstractNumId w:val="39"/>
  </w:num>
  <w:num w:numId="10">
    <w:abstractNumId w:val="7"/>
  </w:num>
  <w:num w:numId="11">
    <w:abstractNumId w:val="29"/>
  </w:num>
  <w:num w:numId="12">
    <w:abstractNumId w:val="6"/>
  </w:num>
  <w:num w:numId="13">
    <w:abstractNumId w:val="23"/>
  </w:num>
  <w:num w:numId="14">
    <w:abstractNumId w:val="4"/>
  </w:num>
  <w:num w:numId="15">
    <w:abstractNumId w:val="40"/>
  </w:num>
  <w:num w:numId="16">
    <w:abstractNumId w:val="28"/>
  </w:num>
  <w:num w:numId="17">
    <w:abstractNumId w:val="8"/>
  </w:num>
  <w:num w:numId="18">
    <w:abstractNumId w:val="9"/>
  </w:num>
  <w:num w:numId="19">
    <w:abstractNumId w:val="36"/>
  </w:num>
  <w:num w:numId="20">
    <w:abstractNumId w:val="2"/>
  </w:num>
  <w:num w:numId="21">
    <w:abstractNumId w:val="35"/>
  </w:num>
  <w:num w:numId="22">
    <w:abstractNumId w:val="19"/>
  </w:num>
  <w:num w:numId="23">
    <w:abstractNumId w:val="32"/>
  </w:num>
  <w:num w:numId="24">
    <w:abstractNumId w:val="12"/>
  </w:num>
  <w:num w:numId="25">
    <w:abstractNumId w:val="43"/>
  </w:num>
  <w:num w:numId="26">
    <w:abstractNumId w:val="25"/>
  </w:num>
  <w:num w:numId="27">
    <w:abstractNumId w:val="5"/>
  </w:num>
  <w:num w:numId="28">
    <w:abstractNumId w:val="20"/>
  </w:num>
  <w:num w:numId="29">
    <w:abstractNumId w:val="13"/>
  </w:num>
  <w:num w:numId="30">
    <w:abstractNumId w:val="3"/>
  </w:num>
  <w:num w:numId="31">
    <w:abstractNumId w:val="15"/>
  </w:num>
  <w:num w:numId="32">
    <w:abstractNumId w:val="16"/>
  </w:num>
  <w:num w:numId="33">
    <w:abstractNumId w:val="44"/>
  </w:num>
  <w:num w:numId="34">
    <w:abstractNumId w:val="33"/>
  </w:num>
  <w:num w:numId="35">
    <w:abstractNumId w:val="37"/>
  </w:num>
  <w:num w:numId="36">
    <w:abstractNumId w:val="21"/>
  </w:num>
  <w:num w:numId="37">
    <w:abstractNumId w:val="31"/>
  </w:num>
  <w:num w:numId="38">
    <w:abstractNumId w:val="11"/>
  </w:num>
  <w:num w:numId="39">
    <w:abstractNumId w:val="26"/>
  </w:num>
  <w:num w:numId="40">
    <w:abstractNumId w:val="0"/>
  </w:num>
  <w:num w:numId="41">
    <w:abstractNumId w:val="42"/>
  </w:num>
  <w:num w:numId="42">
    <w:abstractNumId w:val="18"/>
  </w:num>
  <w:num w:numId="43">
    <w:abstractNumId w:val="30"/>
  </w:num>
  <w:num w:numId="44">
    <w:abstractNumId w:val="46"/>
  </w:num>
  <w:num w:numId="45">
    <w:abstractNumId w:val="34"/>
  </w:num>
  <w:num w:numId="46">
    <w:abstractNumId w:val="22"/>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kNjJlODdkYzhmNDdiOWIyNGU1MGNhYmE5ZmJlYTYifQ=="/>
  </w:docVars>
  <w:rsids>
    <w:rsidRoot w:val="00172A27"/>
    <w:rsid w:val="0000095E"/>
    <w:rsid w:val="00002060"/>
    <w:rsid w:val="00004ED0"/>
    <w:rsid w:val="00013268"/>
    <w:rsid w:val="0001480B"/>
    <w:rsid w:val="00015C24"/>
    <w:rsid w:val="00015FCA"/>
    <w:rsid w:val="00020EBD"/>
    <w:rsid w:val="000330C7"/>
    <w:rsid w:val="00035A4A"/>
    <w:rsid w:val="00037328"/>
    <w:rsid w:val="00051ECC"/>
    <w:rsid w:val="00061953"/>
    <w:rsid w:val="00062676"/>
    <w:rsid w:val="000637F5"/>
    <w:rsid w:val="00074F21"/>
    <w:rsid w:val="00074FAA"/>
    <w:rsid w:val="0008654E"/>
    <w:rsid w:val="00093662"/>
    <w:rsid w:val="00093FD2"/>
    <w:rsid w:val="000A148E"/>
    <w:rsid w:val="000A17B5"/>
    <w:rsid w:val="000B3C69"/>
    <w:rsid w:val="000B48D0"/>
    <w:rsid w:val="000B5936"/>
    <w:rsid w:val="000C20DD"/>
    <w:rsid w:val="000C2741"/>
    <w:rsid w:val="000D0A65"/>
    <w:rsid w:val="000D3A44"/>
    <w:rsid w:val="000D4C63"/>
    <w:rsid w:val="000E0139"/>
    <w:rsid w:val="000E1F70"/>
    <w:rsid w:val="000E1FE3"/>
    <w:rsid w:val="000E57DD"/>
    <w:rsid w:val="000F1224"/>
    <w:rsid w:val="000F27B9"/>
    <w:rsid w:val="000F597C"/>
    <w:rsid w:val="000F615C"/>
    <w:rsid w:val="00101382"/>
    <w:rsid w:val="001054EA"/>
    <w:rsid w:val="00110A33"/>
    <w:rsid w:val="0011131C"/>
    <w:rsid w:val="00112B12"/>
    <w:rsid w:val="00115569"/>
    <w:rsid w:val="00117B12"/>
    <w:rsid w:val="00121314"/>
    <w:rsid w:val="001236CA"/>
    <w:rsid w:val="00127C55"/>
    <w:rsid w:val="001340C9"/>
    <w:rsid w:val="00135E3B"/>
    <w:rsid w:val="00143522"/>
    <w:rsid w:val="00143747"/>
    <w:rsid w:val="001437C9"/>
    <w:rsid w:val="00146349"/>
    <w:rsid w:val="00150F81"/>
    <w:rsid w:val="00151E4D"/>
    <w:rsid w:val="0015225E"/>
    <w:rsid w:val="001534A1"/>
    <w:rsid w:val="001623D7"/>
    <w:rsid w:val="00167E4E"/>
    <w:rsid w:val="00172A27"/>
    <w:rsid w:val="0017356F"/>
    <w:rsid w:val="00173D4B"/>
    <w:rsid w:val="00185BA2"/>
    <w:rsid w:val="00191B72"/>
    <w:rsid w:val="00192371"/>
    <w:rsid w:val="001A095A"/>
    <w:rsid w:val="001A0E88"/>
    <w:rsid w:val="001A2AEF"/>
    <w:rsid w:val="001A364A"/>
    <w:rsid w:val="001A3DA0"/>
    <w:rsid w:val="001A5C4D"/>
    <w:rsid w:val="001A7952"/>
    <w:rsid w:val="001B0E5B"/>
    <w:rsid w:val="001B15CE"/>
    <w:rsid w:val="001B18FC"/>
    <w:rsid w:val="001B1989"/>
    <w:rsid w:val="001B262A"/>
    <w:rsid w:val="001C3215"/>
    <w:rsid w:val="001C3FA9"/>
    <w:rsid w:val="001C5E49"/>
    <w:rsid w:val="001D3A1D"/>
    <w:rsid w:val="001E12A9"/>
    <w:rsid w:val="001E2802"/>
    <w:rsid w:val="001E2B8D"/>
    <w:rsid w:val="001F0C71"/>
    <w:rsid w:val="001F6CA3"/>
    <w:rsid w:val="00201D62"/>
    <w:rsid w:val="00203DD8"/>
    <w:rsid w:val="0020436E"/>
    <w:rsid w:val="00205A77"/>
    <w:rsid w:val="00215E69"/>
    <w:rsid w:val="00215F7E"/>
    <w:rsid w:val="00217817"/>
    <w:rsid w:val="00220624"/>
    <w:rsid w:val="00220CEC"/>
    <w:rsid w:val="002229D3"/>
    <w:rsid w:val="00223B70"/>
    <w:rsid w:val="00225DA5"/>
    <w:rsid w:val="002267C6"/>
    <w:rsid w:val="00227502"/>
    <w:rsid w:val="00236913"/>
    <w:rsid w:val="00236B4D"/>
    <w:rsid w:val="00246698"/>
    <w:rsid w:val="00247AC5"/>
    <w:rsid w:val="0025006A"/>
    <w:rsid w:val="002507D7"/>
    <w:rsid w:val="00251EAD"/>
    <w:rsid w:val="002522AA"/>
    <w:rsid w:val="002526B9"/>
    <w:rsid w:val="00254192"/>
    <w:rsid w:val="00256DF5"/>
    <w:rsid w:val="00264D20"/>
    <w:rsid w:val="00265B06"/>
    <w:rsid w:val="002759DD"/>
    <w:rsid w:val="00276D05"/>
    <w:rsid w:val="002802D2"/>
    <w:rsid w:val="002954A3"/>
    <w:rsid w:val="002B6583"/>
    <w:rsid w:val="002B7794"/>
    <w:rsid w:val="002B7B79"/>
    <w:rsid w:val="002C2AD2"/>
    <w:rsid w:val="002C3C4F"/>
    <w:rsid w:val="002D3F6E"/>
    <w:rsid w:val="002D796E"/>
    <w:rsid w:val="002E1D43"/>
    <w:rsid w:val="002E1D75"/>
    <w:rsid w:val="002E4980"/>
    <w:rsid w:val="002E7C50"/>
    <w:rsid w:val="002E7EDC"/>
    <w:rsid w:val="002F0E89"/>
    <w:rsid w:val="002F3160"/>
    <w:rsid w:val="002F7338"/>
    <w:rsid w:val="002F7A05"/>
    <w:rsid w:val="00305E75"/>
    <w:rsid w:val="00307F84"/>
    <w:rsid w:val="00310943"/>
    <w:rsid w:val="003118C2"/>
    <w:rsid w:val="003125CD"/>
    <w:rsid w:val="00314547"/>
    <w:rsid w:val="00314A04"/>
    <w:rsid w:val="00320712"/>
    <w:rsid w:val="00321266"/>
    <w:rsid w:val="00322A0F"/>
    <w:rsid w:val="00322F2F"/>
    <w:rsid w:val="00324A2C"/>
    <w:rsid w:val="00326C2E"/>
    <w:rsid w:val="00332CD8"/>
    <w:rsid w:val="003330EB"/>
    <w:rsid w:val="0033786C"/>
    <w:rsid w:val="00337D1E"/>
    <w:rsid w:val="00341912"/>
    <w:rsid w:val="0034690F"/>
    <w:rsid w:val="00350572"/>
    <w:rsid w:val="003514F4"/>
    <w:rsid w:val="003578F9"/>
    <w:rsid w:val="00362291"/>
    <w:rsid w:val="0036249F"/>
    <w:rsid w:val="00363563"/>
    <w:rsid w:val="00366C8B"/>
    <w:rsid w:val="0037060C"/>
    <w:rsid w:val="003710F9"/>
    <w:rsid w:val="0037147B"/>
    <w:rsid w:val="0037168F"/>
    <w:rsid w:val="00372EB2"/>
    <w:rsid w:val="00373DEE"/>
    <w:rsid w:val="003810A0"/>
    <w:rsid w:val="00381551"/>
    <w:rsid w:val="0038213B"/>
    <w:rsid w:val="003861C0"/>
    <w:rsid w:val="00390722"/>
    <w:rsid w:val="00390CF2"/>
    <w:rsid w:val="00392FE1"/>
    <w:rsid w:val="00393885"/>
    <w:rsid w:val="00397D37"/>
    <w:rsid w:val="003A070A"/>
    <w:rsid w:val="003A7D35"/>
    <w:rsid w:val="003A7D94"/>
    <w:rsid w:val="003B20EE"/>
    <w:rsid w:val="003B5F86"/>
    <w:rsid w:val="003B6BD6"/>
    <w:rsid w:val="003C3F15"/>
    <w:rsid w:val="003C4142"/>
    <w:rsid w:val="003C5770"/>
    <w:rsid w:val="003D2470"/>
    <w:rsid w:val="003D463F"/>
    <w:rsid w:val="003E02DC"/>
    <w:rsid w:val="003E3703"/>
    <w:rsid w:val="003E75FC"/>
    <w:rsid w:val="003F2AC2"/>
    <w:rsid w:val="003F2F47"/>
    <w:rsid w:val="003F6A26"/>
    <w:rsid w:val="0040149E"/>
    <w:rsid w:val="004020F6"/>
    <w:rsid w:val="0040396A"/>
    <w:rsid w:val="00404664"/>
    <w:rsid w:val="00412767"/>
    <w:rsid w:val="00415ECD"/>
    <w:rsid w:val="00417A3D"/>
    <w:rsid w:val="00420E7A"/>
    <w:rsid w:val="00420E7C"/>
    <w:rsid w:val="00422705"/>
    <w:rsid w:val="004244E5"/>
    <w:rsid w:val="00430DBB"/>
    <w:rsid w:val="00431C6A"/>
    <w:rsid w:val="00440C6F"/>
    <w:rsid w:val="0044625D"/>
    <w:rsid w:val="00453B06"/>
    <w:rsid w:val="00456A97"/>
    <w:rsid w:val="00457B46"/>
    <w:rsid w:val="00464C4D"/>
    <w:rsid w:val="00464FC8"/>
    <w:rsid w:val="004672B1"/>
    <w:rsid w:val="00470FAD"/>
    <w:rsid w:val="00481283"/>
    <w:rsid w:val="00484E61"/>
    <w:rsid w:val="00485EF5"/>
    <w:rsid w:val="00493E6C"/>
    <w:rsid w:val="004A1836"/>
    <w:rsid w:val="004A2012"/>
    <w:rsid w:val="004B2FEF"/>
    <w:rsid w:val="004B6024"/>
    <w:rsid w:val="004B6DDC"/>
    <w:rsid w:val="004B74C4"/>
    <w:rsid w:val="004C40C0"/>
    <w:rsid w:val="004C536C"/>
    <w:rsid w:val="004C7DF7"/>
    <w:rsid w:val="004D60AE"/>
    <w:rsid w:val="004E44C2"/>
    <w:rsid w:val="004E5F58"/>
    <w:rsid w:val="004E6867"/>
    <w:rsid w:val="004F35BF"/>
    <w:rsid w:val="004F4CD6"/>
    <w:rsid w:val="005073FE"/>
    <w:rsid w:val="00513889"/>
    <w:rsid w:val="0052188E"/>
    <w:rsid w:val="00522B8B"/>
    <w:rsid w:val="00523242"/>
    <w:rsid w:val="005244D5"/>
    <w:rsid w:val="005260BC"/>
    <w:rsid w:val="00530AF8"/>
    <w:rsid w:val="005431EA"/>
    <w:rsid w:val="00544619"/>
    <w:rsid w:val="00544B96"/>
    <w:rsid w:val="00544D57"/>
    <w:rsid w:val="005476B3"/>
    <w:rsid w:val="00554859"/>
    <w:rsid w:val="00555B83"/>
    <w:rsid w:val="00556D54"/>
    <w:rsid w:val="005579A1"/>
    <w:rsid w:val="005614F8"/>
    <w:rsid w:val="00572FD6"/>
    <w:rsid w:val="005764B7"/>
    <w:rsid w:val="00576505"/>
    <w:rsid w:val="0058056E"/>
    <w:rsid w:val="00581572"/>
    <w:rsid w:val="00582414"/>
    <w:rsid w:val="005928BF"/>
    <w:rsid w:val="00597F54"/>
    <w:rsid w:val="00597F69"/>
    <w:rsid w:val="005A2EC5"/>
    <w:rsid w:val="005A4175"/>
    <w:rsid w:val="005A5A5B"/>
    <w:rsid w:val="005B0721"/>
    <w:rsid w:val="005B2981"/>
    <w:rsid w:val="005B723C"/>
    <w:rsid w:val="005B7ED4"/>
    <w:rsid w:val="005D119A"/>
    <w:rsid w:val="005D4389"/>
    <w:rsid w:val="005D46D5"/>
    <w:rsid w:val="005D52C5"/>
    <w:rsid w:val="005D6BAB"/>
    <w:rsid w:val="005E7892"/>
    <w:rsid w:val="005F1345"/>
    <w:rsid w:val="005F3D57"/>
    <w:rsid w:val="005F3F2A"/>
    <w:rsid w:val="00600861"/>
    <w:rsid w:val="00601B4D"/>
    <w:rsid w:val="006022E6"/>
    <w:rsid w:val="00615522"/>
    <w:rsid w:val="00621C33"/>
    <w:rsid w:val="00625B2D"/>
    <w:rsid w:val="00630409"/>
    <w:rsid w:val="00633410"/>
    <w:rsid w:val="00634D81"/>
    <w:rsid w:val="00635018"/>
    <w:rsid w:val="00635B99"/>
    <w:rsid w:val="0063633D"/>
    <w:rsid w:val="006425FA"/>
    <w:rsid w:val="0064363C"/>
    <w:rsid w:val="00644932"/>
    <w:rsid w:val="006459AA"/>
    <w:rsid w:val="00655883"/>
    <w:rsid w:val="00661B36"/>
    <w:rsid w:val="0066445B"/>
    <w:rsid w:val="0066592B"/>
    <w:rsid w:val="006710FF"/>
    <w:rsid w:val="0067150F"/>
    <w:rsid w:val="006738D1"/>
    <w:rsid w:val="00675838"/>
    <w:rsid w:val="00682A55"/>
    <w:rsid w:val="0068417E"/>
    <w:rsid w:val="00684E43"/>
    <w:rsid w:val="00685A43"/>
    <w:rsid w:val="00686BE9"/>
    <w:rsid w:val="00694128"/>
    <w:rsid w:val="00697D44"/>
    <w:rsid w:val="006A0AC4"/>
    <w:rsid w:val="006A5D1F"/>
    <w:rsid w:val="006B0140"/>
    <w:rsid w:val="006B4F6A"/>
    <w:rsid w:val="006C0231"/>
    <w:rsid w:val="006C3FA0"/>
    <w:rsid w:val="006D3191"/>
    <w:rsid w:val="006D4204"/>
    <w:rsid w:val="006D6A81"/>
    <w:rsid w:val="006D79EA"/>
    <w:rsid w:val="006E2215"/>
    <w:rsid w:val="006E2309"/>
    <w:rsid w:val="006E3A21"/>
    <w:rsid w:val="006E55A0"/>
    <w:rsid w:val="006F12A8"/>
    <w:rsid w:val="006F24C5"/>
    <w:rsid w:val="006F24E7"/>
    <w:rsid w:val="007010D7"/>
    <w:rsid w:val="007010E3"/>
    <w:rsid w:val="00701552"/>
    <w:rsid w:val="00701FE6"/>
    <w:rsid w:val="00720840"/>
    <w:rsid w:val="007228A1"/>
    <w:rsid w:val="007261C3"/>
    <w:rsid w:val="00727BE9"/>
    <w:rsid w:val="0073065C"/>
    <w:rsid w:val="00730B01"/>
    <w:rsid w:val="00735344"/>
    <w:rsid w:val="00736A71"/>
    <w:rsid w:val="00737AB5"/>
    <w:rsid w:val="00740CC1"/>
    <w:rsid w:val="00743325"/>
    <w:rsid w:val="007466B1"/>
    <w:rsid w:val="00752E0C"/>
    <w:rsid w:val="00756B65"/>
    <w:rsid w:val="0075794A"/>
    <w:rsid w:val="007579B6"/>
    <w:rsid w:val="00757B79"/>
    <w:rsid w:val="00762912"/>
    <w:rsid w:val="0076458B"/>
    <w:rsid w:val="00766BD9"/>
    <w:rsid w:val="0076730C"/>
    <w:rsid w:val="007725B4"/>
    <w:rsid w:val="007736C2"/>
    <w:rsid w:val="007775DC"/>
    <w:rsid w:val="00780BA5"/>
    <w:rsid w:val="00781689"/>
    <w:rsid w:val="00781B37"/>
    <w:rsid w:val="00783360"/>
    <w:rsid w:val="00784D5E"/>
    <w:rsid w:val="007851D2"/>
    <w:rsid w:val="007859CD"/>
    <w:rsid w:val="00786BA7"/>
    <w:rsid w:val="0078762C"/>
    <w:rsid w:val="00787857"/>
    <w:rsid w:val="00787E33"/>
    <w:rsid w:val="007913B8"/>
    <w:rsid w:val="007936FD"/>
    <w:rsid w:val="00793E28"/>
    <w:rsid w:val="0079498C"/>
    <w:rsid w:val="00794A5F"/>
    <w:rsid w:val="007A0BF1"/>
    <w:rsid w:val="007A163C"/>
    <w:rsid w:val="007A35B7"/>
    <w:rsid w:val="007A4E7F"/>
    <w:rsid w:val="007A5A81"/>
    <w:rsid w:val="007B5AE6"/>
    <w:rsid w:val="007C416F"/>
    <w:rsid w:val="007C717F"/>
    <w:rsid w:val="007D1780"/>
    <w:rsid w:val="007D4DA0"/>
    <w:rsid w:val="007E0F63"/>
    <w:rsid w:val="007E5426"/>
    <w:rsid w:val="007E638B"/>
    <w:rsid w:val="007E7341"/>
    <w:rsid w:val="007E75AF"/>
    <w:rsid w:val="007F0DA4"/>
    <w:rsid w:val="007F1954"/>
    <w:rsid w:val="00800A7D"/>
    <w:rsid w:val="008016B6"/>
    <w:rsid w:val="0080227F"/>
    <w:rsid w:val="00803E29"/>
    <w:rsid w:val="0080416E"/>
    <w:rsid w:val="008046D3"/>
    <w:rsid w:val="00804AE7"/>
    <w:rsid w:val="0080616F"/>
    <w:rsid w:val="0080659C"/>
    <w:rsid w:val="008073E2"/>
    <w:rsid w:val="00811585"/>
    <w:rsid w:val="008133A7"/>
    <w:rsid w:val="0081620F"/>
    <w:rsid w:val="00820AE9"/>
    <w:rsid w:val="00820D60"/>
    <w:rsid w:val="008230ED"/>
    <w:rsid w:val="00825691"/>
    <w:rsid w:val="0082672E"/>
    <w:rsid w:val="00832768"/>
    <w:rsid w:val="008333A7"/>
    <w:rsid w:val="00833D74"/>
    <w:rsid w:val="0083581C"/>
    <w:rsid w:val="00836263"/>
    <w:rsid w:val="008417ED"/>
    <w:rsid w:val="00847D42"/>
    <w:rsid w:val="0085001A"/>
    <w:rsid w:val="00850DE8"/>
    <w:rsid w:val="00851488"/>
    <w:rsid w:val="00852A81"/>
    <w:rsid w:val="0085363B"/>
    <w:rsid w:val="00857E7A"/>
    <w:rsid w:val="008631EA"/>
    <w:rsid w:val="0086377C"/>
    <w:rsid w:val="00864C9C"/>
    <w:rsid w:val="0087660B"/>
    <w:rsid w:val="008806BC"/>
    <w:rsid w:val="00882BD3"/>
    <w:rsid w:val="008840D3"/>
    <w:rsid w:val="008920EF"/>
    <w:rsid w:val="00893158"/>
    <w:rsid w:val="00893D82"/>
    <w:rsid w:val="00896CE1"/>
    <w:rsid w:val="00897072"/>
    <w:rsid w:val="008A04A6"/>
    <w:rsid w:val="008C07E1"/>
    <w:rsid w:val="008C08DD"/>
    <w:rsid w:val="008C0DFE"/>
    <w:rsid w:val="008C1CDA"/>
    <w:rsid w:val="008C502A"/>
    <w:rsid w:val="008D1A5C"/>
    <w:rsid w:val="008D374F"/>
    <w:rsid w:val="008D5A03"/>
    <w:rsid w:val="008E00BF"/>
    <w:rsid w:val="008E5B45"/>
    <w:rsid w:val="008F210F"/>
    <w:rsid w:val="008F70EE"/>
    <w:rsid w:val="0090567A"/>
    <w:rsid w:val="0091142B"/>
    <w:rsid w:val="00911AE5"/>
    <w:rsid w:val="009154A9"/>
    <w:rsid w:val="00923997"/>
    <w:rsid w:val="00926107"/>
    <w:rsid w:val="00926E27"/>
    <w:rsid w:val="00926EF5"/>
    <w:rsid w:val="00930D1E"/>
    <w:rsid w:val="00930F76"/>
    <w:rsid w:val="00931E3C"/>
    <w:rsid w:val="009350D1"/>
    <w:rsid w:val="00941992"/>
    <w:rsid w:val="009429F0"/>
    <w:rsid w:val="00943E78"/>
    <w:rsid w:val="00947BE9"/>
    <w:rsid w:val="009506F7"/>
    <w:rsid w:val="00950859"/>
    <w:rsid w:val="009519B8"/>
    <w:rsid w:val="009521D6"/>
    <w:rsid w:val="009559D2"/>
    <w:rsid w:val="00957534"/>
    <w:rsid w:val="00957DED"/>
    <w:rsid w:val="0096125D"/>
    <w:rsid w:val="00961E9C"/>
    <w:rsid w:val="00964036"/>
    <w:rsid w:val="00974726"/>
    <w:rsid w:val="00974AF0"/>
    <w:rsid w:val="00983238"/>
    <w:rsid w:val="0098419F"/>
    <w:rsid w:val="00984E70"/>
    <w:rsid w:val="00991FDC"/>
    <w:rsid w:val="009A0547"/>
    <w:rsid w:val="009A3B77"/>
    <w:rsid w:val="009A632F"/>
    <w:rsid w:val="009B0ABB"/>
    <w:rsid w:val="009B14DE"/>
    <w:rsid w:val="009B426F"/>
    <w:rsid w:val="009B5BE0"/>
    <w:rsid w:val="009C51C3"/>
    <w:rsid w:val="009D0BA2"/>
    <w:rsid w:val="009D1506"/>
    <w:rsid w:val="009E04CB"/>
    <w:rsid w:val="009E1AFD"/>
    <w:rsid w:val="009E66AB"/>
    <w:rsid w:val="00A008EA"/>
    <w:rsid w:val="00A02DFC"/>
    <w:rsid w:val="00A07E3E"/>
    <w:rsid w:val="00A129F3"/>
    <w:rsid w:val="00A14915"/>
    <w:rsid w:val="00A14CD1"/>
    <w:rsid w:val="00A17410"/>
    <w:rsid w:val="00A17838"/>
    <w:rsid w:val="00A1796A"/>
    <w:rsid w:val="00A23258"/>
    <w:rsid w:val="00A25ADB"/>
    <w:rsid w:val="00A31227"/>
    <w:rsid w:val="00A3232C"/>
    <w:rsid w:val="00A33EC0"/>
    <w:rsid w:val="00A40620"/>
    <w:rsid w:val="00A44651"/>
    <w:rsid w:val="00A4569D"/>
    <w:rsid w:val="00A45B38"/>
    <w:rsid w:val="00A46484"/>
    <w:rsid w:val="00A47CB7"/>
    <w:rsid w:val="00A53F60"/>
    <w:rsid w:val="00A55878"/>
    <w:rsid w:val="00A55F88"/>
    <w:rsid w:val="00A62447"/>
    <w:rsid w:val="00A6647A"/>
    <w:rsid w:val="00A6662A"/>
    <w:rsid w:val="00A846F4"/>
    <w:rsid w:val="00A8778B"/>
    <w:rsid w:val="00AA0D66"/>
    <w:rsid w:val="00AA459C"/>
    <w:rsid w:val="00AA74DC"/>
    <w:rsid w:val="00AB241B"/>
    <w:rsid w:val="00AB4C44"/>
    <w:rsid w:val="00AB73EC"/>
    <w:rsid w:val="00AD0027"/>
    <w:rsid w:val="00AD02C0"/>
    <w:rsid w:val="00AD0CF2"/>
    <w:rsid w:val="00AD26F1"/>
    <w:rsid w:val="00AD30BF"/>
    <w:rsid w:val="00AD31EE"/>
    <w:rsid w:val="00AD4CA8"/>
    <w:rsid w:val="00AE0857"/>
    <w:rsid w:val="00AE56BF"/>
    <w:rsid w:val="00AE7227"/>
    <w:rsid w:val="00AF11E8"/>
    <w:rsid w:val="00B0207C"/>
    <w:rsid w:val="00B03637"/>
    <w:rsid w:val="00B05B73"/>
    <w:rsid w:val="00B10493"/>
    <w:rsid w:val="00B117E7"/>
    <w:rsid w:val="00B14671"/>
    <w:rsid w:val="00B14E7C"/>
    <w:rsid w:val="00B200E7"/>
    <w:rsid w:val="00B210C4"/>
    <w:rsid w:val="00B23D30"/>
    <w:rsid w:val="00B30FCC"/>
    <w:rsid w:val="00B346A7"/>
    <w:rsid w:val="00B37410"/>
    <w:rsid w:val="00B4213C"/>
    <w:rsid w:val="00B4272C"/>
    <w:rsid w:val="00B432DA"/>
    <w:rsid w:val="00B4411C"/>
    <w:rsid w:val="00B4581C"/>
    <w:rsid w:val="00B45C3D"/>
    <w:rsid w:val="00B502A0"/>
    <w:rsid w:val="00B5047F"/>
    <w:rsid w:val="00B50662"/>
    <w:rsid w:val="00B519EB"/>
    <w:rsid w:val="00B61D82"/>
    <w:rsid w:val="00B6421D"/>
    <w:rsid w:val="00B64CA6"/>
    <w:rsid w:val="00B73894"/>
    <w:rsid w:val="00B7627E"/>
    <w:rsid w:val="00B76992"/>
    <w:rsid w:val="00B76B26"/>
    <w:rsid w:val="00B77EA9"/>
    <w:rsid w:val="00B81668"/>
    <w:rsid w:val="00B85608"/>
    <w:rsid w:val="00B9194C"/>
    <w:rsid w:val="00B93417"/>
    <w:rsid w:val="00B95634"/>
    <w:rsid w:val="00B973BA"/>
    <w:rsid w:val="00B9751C"/>
    <w:rsid w:val="00BA50CD"/>
    <w:rsid w:val="00BB248A"/>
    <w:rsid w:val="00BB46ED"/>
    <w:rsid w:val="00BB693F"/>
    <w:rsid w:val="00BC0B93"/>
    <w:rsid w:val="00BC4748"/>
    <w:rsid w:val="00BC5509"/>
    <w:rsid w:val="00BE0122"/>
    <w:rsid w:val="00BE0303"/>
    <w:rsid w:val="00BE2C68"/>
    <w:rsid w:val="00BE3A46"/>
    <w:rsid w:val="00BE6247"/>
    <w:rsid w:val="00BE6F8B"/>
    <w:rsid w:val="00BF00A9"/>
    <w:rsid w:val="00BF373F"/>
    <w:rsid w:val="00BF4E75"/>
    <w:rsid w:val="00C1021F"/>
    <w:rsid w:val="00C1119C"/>
    <w:rsid w:val="00C12795"/>
    <w:rsid w:val="00C15578"/>
    <w:rsid w:val="00C23EC1"/>
    <w:rsid w:val="00C32BA2"/>
    <w:rsid w:val="00C3757B"/>
    <w:rsid w:val="00C50A84"/>
    <w:rsid w:val="00C612E9"/>
    <w:rsid w:val="00C619B0"/>
    <w:rsid w:val="00C6437E"/>
    <w:rsid w:val="00C64BA9"/>
    <w:rsid w:val="00C64E39"/>
    <w:rsid w:val="00C67904"/>
    <w:rsid w:val="00C70DE1"/>
    <w:rsid w:val="00C710D5"/>
    <w:rsid w:val="00C73FE3"/>
    <w:rsid w:val="00C76F20"/>
    <w:rsid w:val="00C82E69"/>
    <w:rsid w:val="00C878E5"/>
    <w:rsid w:val="00C90D61"/>
    <w:rsid w:val="00C9137E"/>
    <w:rsid w:val="00C94885"/>
    <w:rsid w:val="00CA1BF9"/>
    <w:rsid w:val="00CA227C"/>
    <w:rsid w:val="00CA3DD4"/>
    <w:rsid w:val="00CA6489"/>
    <w:rsid w:val="00CB2DDD"/>
    <w:rsid w:val="00CC5A10"/>
    <w:rsid w:val="00CD1678"/>
    <w:rsid w:val="00CD3951"/>
    <w:rsid w:val="00CD70DB"/>
    <w:rsid w:val="00CE0256"/>
    <w:rsid w:val="00CE3678"/>
    <w:rsid w:val="00CE4A54"/>
    <w:rsid w:val="00CF0C79"/>
    <w:rsid w:val="00CF44B9"/>
    <w:rsid w:val="00CF69A2"/>
    <w:rsid w:val="00D02C55"/>
    <w:rsid w:val="00D0781C"/>
    <w:rsid w:val="00D12365"/>
    <w:rsid w:val="00D13838"/>
    <w:rsid w:val="00D1394E"/>
    <w:rsid w:val="00D153B2"/>
    <w:rsid w:val="00D21953"/>
    <w:rsid w:val="00D23CA2"/>
    <w:rsid w:val="00D326F9"/>
    <w:rsid w:val="00D34564"/>
    <w:rsid w:val="00D37551"/>
    <w:rsid w:val="00D37900"/>
    <w:rsid w:val="00D40761"/>
    <w:rsid w:val="00D511D4"/>
    <w:rsid w:val="00D512D2"/>
    <w:rsid w:val="00D53697"/>
    <w:rsid w:val="00D60631"/>
    <w:rsid w:val="00D66C0F"/>
    <w:rsid w:val="00D679A0"/>
    <w:rsid w:val="00D71C42"/>
    <w:rsid w:val="00D74560"/>
    <w:rsid w:val="00D76230"/>
    <w:rsid w:val="00D80968"/>
    <w:rsid w:val="00D86156"/>
    <w:rsid w:val="00D87847"/>
    <w:rsid w:val="00D91E64"/>
    <w:rsid w:val="00D9316B"/>
    <w:rsid w:val="00D94976"/>
    <w:rsid w:val="00D949D0"/>
    <w:rsid w:val="00DA56A0"/>
    <w:rsid w:val="00DA5BA4"/>
    <w:rsid w:val="00DB7D60"/>
    <w:rsid w:val="00DC33FE"/>
    <w:rsid w:val="00DC3857"/>
    <w:rsid w:val="00DC644E"/>
    <w:rsid w:val="00DC6944"/>
    <w:rsid w:val="00DD4AEA"/>
    <w:rsid w:val="00DD5BCE"/>
    <w:rsid w:val="00DE1C52"/>
    <w:rsid w:val="00DF0834"/>
    <w:rsid w:val="00DF55DB"/>
    <w:rsid w:val="00E041FD"/>
    <w:rsid w:val="00E06A06"/>
    <w:rsid w:val="00E11E9C"/>
    <w:rsid w:val="00E11F81"/>
    <w:rsid w:val="00E1265C"/>
    <w:rsid w:val="00E152CD"/>
    <w:rsid w:val="00E1654B"/>
    <w:rsid w:val="00E2587A"/>
    <w:rsid w:val="00E315E1"/>
    <w:rsid w:val="00E3257F"/>
    <w:rsid w:val="00E33A33"/>
    <w:rsid w:val="00E34FCA"/>
    <w:rsid w:val="00E46AD2"/>
    <w:rsid w:val="00E73AA8"/>
    <w:rsid w:val="00E77C5B"/>
    <w:rsid w:val="00E83A6E"/>
    <w:rsid w:val="00E8475D"/>
    <w:rsid w:val="00E86EC5"/>
    <w:rsid w:val="00E94630"/>
    <w:rsid w:val="00E96C04"/>
    <w:rsid w:val="00E97BE8"/>
    <w:rsid w:val="00E97DEE"/>
    <w:rsid w:val="00EA5F9D"/>
    <w:rsid w:val="00EA6EB7"/>
    <w:rsid w:val="00EB127A"/>
    <w:rsid w:val="00EB7E7F"/>
    <w:rsid w:val="00EC21F0"/>
    <w:rsid w:val="00EC5073"/>
    <w:rsid w:val="00ED3513"/>
    <w:rsid w:val="00ED3DBC"/>
    <w:rsid w:val="00ED5855"/>
    <w:rsid w:val="00ED6B47"/>
    <w:rsid w:val="00EE7587"/>
    <w:rsid w:val="00EF19A5"/>
    <w:rsid w:val="00EF3E42"/>
    <w:rsid w:val="00EF4E97"/>
    <w:rsid w:val="00EF6846"/>
    <w:rsid w:val="00F019DD"/>
    <w:rsid w:val="00F02847"/>
    <w:rsid w:val="00F02DF9"/>
    <w:rsid w:val="00F036DA"/>
    <w:rsid w:val="00F04A91"/>
    <w:rsid w:val="00F05089"/>
    <w:rsid w:val="00F079E9"/>
    <w:rsid w:val="00F07DD6"/>
    <w:rsid w:val="00F141C2"/>
    <w:rsid w:val="00F20337"/>
    <w:rsid w:val="00F20AA1"/>
    <w:rsid w:val="00F3028D"/>
    <w:rsid w:val="00F30CBE"/>
    <w:rsid w:val="00F34CB4"/>
    <w:rsid w:val="00F423E9"/>
    <w:rsid w:val="00F43A26"/>
    <w:rsid w:val="00F46811"/>
    <w:rsid w:val="00F479B2"/>
    <w:rsid w:val="00F53207"/>
    <w:rsid w:val="00F57E95"/>
    <w:rsid w:val="00F60335"/>
    <w:rsid w:val="00F619B7"/>
    <w:rsid w:val="00F64370"/>
    <w:rsid w:val="00F64E7F"/>
    <w:rsid w:val="00F6774C"/>
    <w:rsid w:val="00F71EC9"/>
    <w:rsid w:val="00F71F68"/>
    <w:rsid w:val="00F733A3"/>
    <w:rsid w:val="00F7604B"/>
    <w:rsid w:val="00F7612F"/>
    <w:rsid w:val="00F8009C"/>
    <w:rsid w:val="00F802B4"/>
    <w:rsid w:val="00F85FE1"/>
    <w:rsid w:val="00F912C0"/>
    <w:rsid w:val="00F9567A"/>
    <w:rsid w:val="00F96963"/>
    <w:rsid w:val="00FA0C81"/>
    <w:rsid w:val="00FB09CD"/>
    <w:rsid w:val="00FB2699"/>
    <w:rsid w:val="00FB2B45"/>
    <w:rsid w:val="00FB7B22"/>
    <w:rsid w:val="00FC206D"/>
    <w:rsid w:val="00FC6A4F"/>
    <w:rsid w:val="00FD1199"/>
    <w:rsid w:val="00FD4B11"/>
    <w:rsid w:val="00FD6CE1"/>
    <w:rsid w:val="00FF4609"/>
    <w:rsid w:val="00FF4B11"/>
    <w:rsid w:val="00FF59F3"/>
    <w:rsid w:val="00FF622D"/>
    <w:rsid w:val="010C214E"/>
    <w:rsid w:val="01156C56"/>
    <w:rsid w:val="0119116C"/>
    <w:rsid w:val="011E3CE2"/>
    <w:rsid w:val="012E0C68"/>
    <w:rsid w:val="012F2E69"/>
    <w:rsid w:val="01362463"/>
    <w:rsid w:val="0144257B"/>
    <w:rsid w:val="0156610D"/>
    <w:rsid w:val="016D27CA"/>
    <w:rsid w:val="016F42C2"/>
    <w:rsid w:val="017C16D2"/>
    <w:rsid w:val="019404F8"/>
    <w:rsid w:val="01956AAB"/>
    <w:rsid w:val="019A6EAF"/>
    <w:rsid w:val="019B6B2F"/>
    <w:rsid w:val="01B01053"/>
    <w:rsid w:val="01B87BAA"/>
    <w:rsid w:val="01BC7443"/>
    <w:rsid w:val="01C03A89"/>
    <w:rsid w:val="01CE591D"/>
    <w:rsid w:val="01D932CB"/>
    <w:rsid w:val="01DD2721"/>
    <w:rsid w:val="01E8425F"/>
    <w:rsid w:val="01ED0EB7"/>
    <w:rsid w:val="01ED2AF4"/>
    <w:rsid w:val="01F82A14"/>
    <w:rsid w:val="01FF4655"/>
    <w:rsid w:val="021A2C80"/>
    <w:rsid w:val="021B0702"/>
    <w:rsid w:val="02266DF0"/>
    <w:rsid w:val="022B421F"/>
    <w:rsid w:val="022F6438"/>
    <w:rsid w:val="024177B2"/>
    <w:rsid w:val="024263C3"/>
    <w:rsid w:val="024D6952"/>
    <w:rsid w:val="02535CBD"/>
    <w:rsid w:val="02550D2B"/>
    <w:rsid w:val="026155F3"/>
    <w:rsid w:val="026305F6"/>
    <w:rsid w:val="0263311F"/>
    <w:rsid w:val="02696A6A"/>
    <w:rsid w:val="026D0AA6"/>
    <w:rsid w:val="02783976"/>
    <w:rsid w:val="028C2B2E"/>
    <w:rsid w:val="02AF54A1"/>
    <w:rsid w:val="02B11EFA"/>
    <w:rsid w:val="02E1776D"/>
    <w:rsid w:val="02F403E5"/>
    <w:rsid w:val="02FB471C"/>
    <w:rsid w:val="03043F03"/>
    <w:rsid w:val="030F4492"/>
    <w:rsid w:val="030F6492"/>
    <w:rsid w:val="03206546"/>
    <w:rsid w:val="03257024"/>
    <w:rsid w:val="032E6D82"/>
    <w:rsid w:val="0333594B"/>
    <w:rsid w:val="03337881"/>
    <w:rsid w:val="034213A8"/>
    <w:rsid w:val="0352128A"/>
    <w:rsid w:val="03597EA0"/>
    <w:rsid w:val="036A3574"/>
    <w:rsid w:val="036E30C9"/>
    <w:rsid w:val="037A1943"/>
    <w:rsid w:val="03805A4B"/>
    <w:rsid w:val="038E15BE"/>
    <w:rsid w:val="039926A4"/>
    <w:rsid w:val="039F750E"/>
    <w:rsid w:val="03A03D81"/>
    <w:rsid w:val="03B96EA9"/>
    <w:rsid w:val="03CB7B24"/>
    <w:rsid w:val="03D500D6"/>
    <w:rsid w:val="03E76962"/>
    <w:rsid w:val="03EB6C47"/>
    <w:rsid w:val="03F85F4D"/>
    <w:rsid w:val="040C3A87"/>
    <w:rsid w:val="041A62EB"/>
    <w:rsid w:val="04330D71"/>
    <w:rsid w:val="04403C00"/>
    <w:rsid w:val="04426534"/>
    <w:rsid w:val="044269AC"/>
    <w:rsid w:val="0446690D"/>
    <w:rsid w:val="044F06A2"/>
    <w:rsid w:val="045B6010"/>
    <w:rsid w:val="045D6511"/>
    <w:rsid w:val="04622D3C"/>
    <w:rsid w:val="046318C1"/>
    <w:rsid w:val="04674F32"/>
    <w:rsid w:val="046940E6"/>
    <w:rsid w:val="046B1391"/>
    <w:rsid w:val="046C7C2E"/>
    <w:rsid w:val="046D7C52"/>
    <w:rsid w:val="04787C5D"/>
    <w:rsid w:val="047C6BE6"/>
    <w:rsid w:val="04910D1F"/>
    <w:rsid w:val="04B0613C"/>
    <w:rsid w:val="04B327A2"/>
    <w:rsid w:val="04B8380C"/>
    <w:rsid w:val="04C553BE"/>
    <w:rsid w:val="04C837E3"/>
    <w:rsid w:val="04CA4768"/>
    <w:rsid w:val="04D07A99"/>
    <w:rsid w:val="04E17B43"/>
    <w:rsid w:val="04E23328"/>
    <w:rsid w:val="04EF3542"/>
    <w:rsid w:val="04F74332"/>
    <w:rsid w:val="04F85637"/>
    <w:rsid w:val="04FB5E3E"/>
    <w:rsid w:val="04FC0826"/>
    <w:rsid w:val="050724B1"/>
    <w:rsid w:val="05110A20"/>
    <w:rsid w:val="05145E61"/>
    <w:rsid w:val="05150C62"/>
    <w:rsid w:val="05195B6C"/>
    <w:rsid w:val="05291D97"/>
    <w:rsid w:val="052C7382"/>
    <w:rsid w:val="05353DA0"/>
    <w:rsid w:val="055A4A0C"/>
    <w:rsid w:val="055E6F4B"/>
    <w:rsid w:val="056239E2"/>
    <w:rsid w:val="056606E4"/>
    <w:rsid w:val="05766DA3"/>
    <w:rsid w:val="057C458C"/>
    <w:rsid w:val="057D200D"/>
    <w:rsid w:val="05864F0B"/>
    <w:rsid w:val="058F57AB"/>
    <w:rsid w:val="05926A98"/>
    <w:rsid w:val="059B683F"/>
    <w:rsid w:val="059B778A"/>
    <w:rsid w:val="059F6E54"/>
    <w:rsid w:val="05B25B0D"/>
    <w:rsid w:val="05C86C09"/>
    <w:rsid w:val="05C9468B"/>
    <w:rsid w:val="05CF4E25"/>
    <w:rsid w:val="05D4049D"/>
    <w:rsid w:val="05E24717"/>
    <w:rsid w:val="05EA06E6"/>
    <w:rsid w:val="05F571C5"/>
    <w:rsid w:val="05F734B4"/>
    <w:rsid w:val="05FB5625"/>
    <w:rsid w:val="06025AE9"/>
    <w:rsid w:val="06040BAD"/>
    <w:rsid w:val="060C3E7B"/>
    <w:rsid w:val="061743D6"/>
    <w:rsid w:val="061E1B96"/>
    <w:rsid w:val="063240BA"/>
    <w:rsid w:val="06330542"/>
    <w:rsid w:val="063C6689"/>
    <w:rsid w:val="06496D2B"/>
    <w:rsid w:val="064E51C3"/>
    <w:rsid w:val="064F1156"/>
    <w:rsid w:val="066A66A3"/>
    <w:rsid w:val="066E495F"/>
    <w:rsid w:val="06796A2D"/>
    <w:rsid w:val="067D5CB5"/>
    <w:rsid w:val="068F5C4D"/>
    <w:rsid w:val="068F69D2"/>
    <w:rsid w:val="069872E2"/>
    <w:rsid w:val="06A36EB0"/>
    <w:rsid w:val="06AD2353"/>
    <w:rsid w:val="06BA242D"/>
    <w:rsid w:val="06C737E5"/>
    <w:rsid w:val="06CC3D8C"/>
    <w:rsid w:val="06D643D5"/>
    <w:rsid w:val="06DB37AF"/>
    <w:rsid w:val="06E36247"/>
    <w:rsid w:val="06E45A7E"/>
    <w:rsid w:val="06E9041C"/>
    <w:rsid w:val="06F25F81"/>
    <w:rsid w:val="06F351E6"/>
    <w:rsid w:val="06F97473"/>
    <w:rsid w:val="07056611"/>
    <w:rsid w:val="07197184"/>
    <w:rsid w:val="072551DF"/>
    <w:rsid w:val="0729554C"/>
    <w:rsid w:val="072D27EF"/>
    <w:rsid w:val="07304979"/>
    <w:rsid w:val="07446D52"/>
    <w:rsid w:val="074633D1"/>
    <w:rsid w:val="074958E1"/>
    <w:rsid w:val="0753194F"/>
    <w:rsid w:val="076C2B3D"/>
    <w:rsid w:val="076E018C"/>
    <w:rsid w:val="076F161C"/>
    <w:rsid w:val="0782788D"/>
    <w:rsid w:val="0792470C"/>
    <w:rsid w:val="079A2DF7"/>
    <w:rsid w:val="079C7D7D"/>
    <w:rsid w:val="079F32C0"/>
    <w:rsid w:val="07A1492C"/>
    <w:rsid w:val="07A35307"/>
    <w:rsid w:val="07B851BB"/>
    <w:rsid w:val="07B973B9"/>
    <w:rsid w:val="07BC58BA"/>
    <w:rsid w:val="07BF27A9"/>
    <w:rsid w:val="07C43E3D"/>
    <w:rsid w:val="07CD444F"/>
    <w:rsid w:val="07F84783"/>
    <w:rsid w:val="07FE2BE0"/>
    <w:rsid w:val="08011E52"/>
    <w:rsid w:val="080B3BC2"/>
    <w:rsid w:val="08317307"/>
    <w:rsid w:val="084A44A7"/>
    <w:rsid w:val="0856053C"/>
    <w:rsid w:val="0857273B"/>
    <w:rsid w:val="08613354"/>
    <w:rsid w:val="088D3E1E"/>
    <w:rsid w:val="08AD3853"/>
    <w:rsid w:val="08B275D1"/>
    <w:rsid w:val="08B95A7F"/>
    <w:rsid w:val="08C13441"/>
    <w:rsid w:val="08DC60E8"/>
    <w:rsid w:val="08E909C6"/>
    <w:rsid w:val="08EE19B4"/>
    <w:rsid w:val="08EF184E"/>
    <w:rsid w:val="08F14785"/>
    <w:rsid w:val="08F6322A"/>
    <w:rsid w:val="090146C5"/>
    <w:rsid w:val="090B6852"/>
    <w:rsid w:val="0911455C"/>
    <w:rsid w:val="091567A6"/>
    <w:rsid w:val="0930780B"/>
    <w:rsid w:val="093C7535"/>
    <w:rsid w:val="0942143F"/>
    <w:rsid w:val="09565F9E"/>
    <w:rsid w:val="095C020E"/>
    <w:rsid w:val="09675654"/>
    <w:rsid w:val="098D13E9"/>
    <w:rsid w:val="099263AF"/>
    <w:rsid w:val="099F3D57"/>
    <w:rsid w:val="09A910F2"/>
    <w:rsid w:val="09AB15D8"/>
    <w:rsid w:val="09AD1D19"/>
    <w:rsid w:val="09B63701"/>
    <w:rsid w:val="09C63E6E"/>
    <w:rsid w:val="09C70303"/>
    <w:rsid w:val="09CE679B"/>
    <w:rsid w:val="09DF6D3E"/>
    <w:rsid w:val="09EE1557"/>
    <w:rsid w:val="09FC1744"/>
    <w:rsid w:val="09FF2E55"/>
    <w:rsid w:val="0A0A3406"/>
    <w:rsid w:val="0A236257"/>
    <w:rsid w:val="0A3C54E3"/>
    <w:rsid w:val="0A3D3E2F"/>
    <w:rsid w:val="0A4F3B8A"/>
    <w:rsid w:val="0A515D78"/>
    <w:rsid w:val="0A5518C3"/>
    <w:rsid w:val="0A5D2E90"/>
    <w:rsid w:val="0A607B57"/>
    <w:rsid w:val="0A681221"/>
    <w:rsid w:val="0A720890"/>
    <w:rsid w:val="0A730EA2"/>
    <w:rsid w:val="0A817E64"/>
    <w:rsid w:val="0A8607D1"/>
    <w:rsid w:val="0A945568"/>
    <w:rsid w:val="0A9538D2"/>
    <w:rsid w:val="0A992FE8"/>
    <w:rsid w:val="0A9949CE"/>
    <w:rsid w:val="0AA60D06"/>
    <w:rsid w:val="0AAA550E"/>
    <w:rsid w:val="0AAC0A11"/>
    <w:rsid w:val="0ABD092B"/>
    <w:rsid w:val="0AC3375C"/>
    <w:rsid w:val="0AD01220"/>
    <w:rsid w:val="0AD32091"/>
    <w:rsid w:val="0AEC5465"/>
    <w:rsid w:val="0AF0679F"/>
    <w:rsid w:val="0B156206"/>
    <w:rsid w:val="0B156DBB"/>
    <w:rsid w:val="0B1D155E"/>
    <w:rsid w:val="0B295801"/>
    <w:rsid w:val="0B5C733F"/>
    <w:rsid w:val="0B7E75E1"/>
    <w:rsid w:val="0B872F1E"/>
    <w:rsid w:val="0B8A6D7A"/>
    <w:rsid w:val="0B8B628E"/>
    <w:rsid w:val="0B937689"/>
    <w:rsid w:val="0BBE5C30"/>
    <w:rsid w:val="0BBE75D4"/>
    <w:rsid w:val="0BBF5056"/>
    <w:rsid w:val="0BC45C5A"/>
    <w:rsid w:val="0BCA33E7"/>
    <w:rsid w:val="0BCB0E68"/>
    <w:rsid w:val="0BCB2D68"/>
    <w:rsid w:val="0BD074EE"/>
    <w:rsid w:val="0BDE3169"/>
    <w:rsid w:val="0BE15D12"/>
    <w:rsid w:val="0BE74F15"/>
    <w:rsid w:val="0BEF4520"/>
    <w:rsid w:val="0BF10631"/>
    <w:rsid w:val="0C0444C5"/>
    <w:rsid w:val="0C065407"/>
    <w:rsid w:val="0C0B5973"/>
    <w:rsid w:val="0C146CDE"/>
    <w:rsid w:val="0C1B1EEC"/>
    <w:rsid w:val="0C3E25F6"/>
    <w:rsid w:val="0C4641CD"/>
    <w:rsid w:val="0C4D233B"/>
    <w:rsid w:val="0C4F3640"/>
    <w:rsid w:val="0C5267C3"/>
    <w:rsid w:val="0C7E7DDA"/>
    <w:rsid w:val="0C7F7AE3"/>
    <w:rsid w:val="0C805A53"/>
    <w:rsid w:val="0C853B1A"/>
    <w:rsid w:val="0C965404"/>
    <w:rsid w:val="0C973A34"/>
    <w:rsid w:val="0C984D39"/>
    <w:rsid w:val="0CA072C0"/>
    <w:rsid w:val="0CBD6B55"/>
    <w:rsid w:val="0CCC6A28"/>
    <w:rsid w:val="0CE666CA"/>
    <w:rsid w:val="0CE7131A"/>
    <w:rsid w:val="0CEE13D7"/>
    <w:rsid w:val="0CFE1459"/>
    <w:rsid w:val="0D020A0B"/>
    <w:rsid w:val="0D020B65"/>
    <w:rsid w:val="0D0230E3"/>
    <w:rsid w:val="0D0B7276"/>
    <w:rsid w:val="0D0D6730"/>
    <w:rsid w:val="0D163109"/>
    <w:rsid w:val="0D215336"/>
    <w:rsid w:val="0D25459D"/>
    <w:rsid w:val="0D267913"/>
    <w:rsid w:val="0D2E2CAE"/>
    <w:rsid w:val="0D2F5047"/>
    <w:rsid w:val="0D3A6391"/>
    <w:rsid w:val="0D455FB6"/>
    <w:rsid w:val="0D4940E8"/>
    <w:rsid w:val="0D5D4073"/>
    <w:rsid w:val="0D625321"/>
    <w:rsid w:val="0D750EA4"/>
    <w:rsid w:val="0D7978AA"/>
    <w:rsid w:val="0D946F71"/>
    <w:rsid w:val="0DA455CC"/>
    <w:rsid w:val="0DA5089B"/>
    <w:rsid w:val="0DA726DB"/>
    <w:rsid w:val="0DAF4501"/>
    <w:rsid w:val="0DB20D09"/>
    <w:rsid w:val="0DC44488"/>
    <w:rsid w:val="0DC67C8B"/>
    <w:rsid w:val="0DCA63AF"/>
    <w:rsid w:val="0DE87C01"/>
    <w:rsid w:val="0DEF52EA"/>
    <w:rsid w:val="0DF2046D"/>
    <w:rsid w:val="0DF33CF1"/>
    <w:rsid w:val="0DF77E44"/>
    <w:rsid w:val="0E032F86"/>
    <w:rsid w:val="0E0C489A"/>
    <w:rsid w:val="0E110D22"/>
    <w:rsid w:val="0E1175C6"/>
    <w:rsid w:val="0E284150"/>
    <w:rsid w:val="0E297BEF"/>
    <w:rsid w:val="0E3403E5"/>
    <w:rsid w:val="0E390BE2"/>
    <w:rsid w:val="0E4833FA"/>
    <w:rsid w:val="0E511B0C"/>
    <w:rsid w:val="0E51629B"/>
    <w:rsid w:val="0E53178C"/>
    <w:rsid w:val="0E595CAB"/>
    <w:rsid w:val="0E5A03D3"/>
    <w:rsid w:val="0E642882"/>
    <w:rsid w:val="0E741495"/>
    <w:rsid w:val="0E7B6462"/>
    <w:rsid w:val="0E9B5022"/>
    <w:rsid w:val="0E9E6F19"/>
    <w:rsid w:val="0EA1066C"/>
    <w:rsid w:val="0EA55D13"/>
    <w:rsid w:val="0EB74D33"/>
    <w:rsid w:val="0EBA4057"/>
    <w:rsid w:val="0EC01DBF"/>
    <w:rsid w:val="0ED223ED"/>
    <w:rsid w:val="0EE7636E"/>
    <w:rsid w:val="0EE919F9"/>
    <w:rsid w:val="0EFE5203"/>
    <w:rsid w:val="0F0D1D1A"/>
    <w:rsid w:val="0F0F4080"/>
    <w:rsid w:val="0F154ACC"/>
    <w:rsid w:val="0F1F79F8"/>
    <w:rsid w:val="0F2C23CD"/>
    <w:rsid w:val="0F2D1E4B"/>
    <w:rsid w:val="0F2E4B40"/>
    <w:rsid w:val="0F403993"/>
    <w:rsid w:val="0F405079"/>
    <w:rsid w:val="0F5B3DCD"/>
    <w:rsid w:val="0F880146"/>
    <w:rsid w:val="0F8B058F"/>
    <w:rsid w:val="0FC56B68"/>
    <w:rsid w:val="0FD64855"/>
    <w:rsid w:val="0FDA030E"/>
    <w:rsid w:val="0FE03806"/>
    <w:rsid w:val="0FF07438"/>
    <w:rsid w:val="10006D15"/>
    <w:rsid w:val="100124FA"/>
    <w:rsid w:val="1002449F"/>
    <w:rsid w:val="10060790"/>
    <w:rsid w:val="1007595A"/>
    <w:rsid w:val="100968CB"/>
    <w:rsid w:val="10142324"/>
    <w:rsid w:val="101440D5"/>
    <w:rsid w:val="10183676"/>
    <w:rsid w:val="101C7F08"/>
    <w:rsid w:val="102148DB"/>
    <w:rsid w:val="102160FD"/>
    <w:rsid w:val="10227809"/>
    <w:rsid w:val="102F109D"/>
    <w:rsid w:val="10441F3B"/>
    <w:rsid w:val="104F60BB"/>
    <w:rsid w:val="105F4BB4"/>
    <w:rsid w:val="106A5268"/>
    <w:rsid w:val="106D1575"/>
    <w:rsid w:val="10702130"/>
    <w:rsid w:val="10755FC5"/>
    <w:rsid w:val="108230A5"/>
    <w:rsid w:val="108B37A4"/>
    <w:rsid w:val="10C02B8A"/>
    <w:rsid w:val="10C430FC"/>
    <w:rsid w:val="10D768C3"/>
    <w:rsid w:val="10E114AE"/>
    <w:rsid w:val="10E31183"/>
    <w:rsid w:val="10E35FE3"/>
    <w:rsid w:val="10E647AE"/>
    <w:rsid w:val="10EC4CD3"/>
    <w:rsid w:val="10ED4953"/>
    <w:rsid w:val="10F939F8"/>
    <w:rsid w:val="10FE0470"/>
    <w:rsid w:val="11032B0D"/>
    <w:rsid w:val="11114067"/>
    <w:rsid w:val="11196324"/>
    <w:rsid w:val="111A451D"/>
    <w:rsid w:val="111D768A"/>
    <w:rsid w:val="112A47B8"/>
    <w:rsid w:val="11304D0A"/>
    <w:rsid w:val="11421D1E"/>
    <w:rsid w:val="11431917"/>
    <w:rsid w:val="1143528B"/>
    <w:rsid w:val="11444E28"/>
    <w:rsid w:val="11486E05"/>
    <w:rsid w:val="11567578"/>
    <w:rsid w:val="11574382"/>
    <w:rsid w:val="1161489E"/>
    <w:rsid w:val="117034C8"/>
    <w:rsid w:val="11797DBA"/>
    <w:rsid w:val="11AC2776"/>
    <w:rsid w:val="11AD189D"/>
    <w:rsid w:val="11B36C9A"/>
    <w:rsid w:val="11B61DC5"/>
    <w:rsid w:val="11BA4FBB"/>
    <w:rsid w:val="11BB0823"/>
    <w:rsid w:val="11CD26F5"/>
    <w:rsid w:val="11D40A3E"/>
    <w:rsid w:val="11DA0795"/>
    <w:rsid w:val="11E164E5"/>
    <w:rsid w:val="11F36756"/>
    <w:rsid w:val="11F70688"/>
    <w:rsid w:val="120236A5"/>
    <w:rsid w:val="120C1683"/>
    <w:rsid w:val="12126ACF"/>
    <w:rsid w:val="121E7AAE"/>
    <w:rsid w:val="122B630F"/>
    <w:rsid w:val="122E5DFF"/>
    <w:rsid w:val="122E6ED0"/>
    <w:rsid w:val="12552C20"/>
    <w:rsid w:val="1262100E"/>
    <w:rsid w:val="127A31CB"/>
    <w:rsid w:val="127C0494"/>
    <w:rsid w:val="128227EB"/>
    <w:rsid w:val="128724F6"/>
    <w:rsid w:val="12A771A7"/>
    <w:rsid w:val="12AA1F56"/>
    <w:rsid w:val="12AE23B5"/>
    <w:rsid w:val="12B32FBA"/>
    <w:rsid w:val="12B80D06"/>
    <w:rsid w:val="12C94371"/>
    <w:rsid w:val="12EB221A"/>
    <w:rsid w:val="130265BC"/>
    <w:rsid w:val="130E23CF"/>
    <w:rsid w:val="131036C6"/>
    <w:rsid w:val="131C39BF"/>
    <w:rsid w:val="133A104C"/>
    <w:rsid w:val="13595D00"/>
    <w:rsid w:val="13727EBE"/>
    <w:rsid w:val="13856B95"/>
    <w:rsid w:val="138806EB"/>
    <w:rsid w:val="138F74A5"/>
    <w:rsid w:val="13904DFD"/>
    <w:rsid w:val="13946F4F"/>
    <w:rsid w:val="13A73456"/>
    <w:rsid w:val="13B07057"/>
    <w:rsid w:val="13B30CB1"/>
    <w:rsid w:val="13BD743A"/>
    <w:rsid w:val="13C24A51"/>
    <w:rsid w:val="13C30BF9"/>
    <w:rsid w:val="13C50D5B"/>
    <w:rsid w:val="13C5797F"/>
    <w:rsid w:val="13CE4A0B"/>
    <w:rsid w:val="13D800CD"/>
    <w:rsid w:val="13E353AF"/>
    <w:rsid w:val="13FB78D7"/>
    <w:rsid w:val="13FE555A"/>
    <w:rsid w:val="14132899"/>
    <w:rsid w:val="141F1312"/>
    <w:rsid w:val="142179C9"/>
    <w:rsid w:val="143A4C54"/>
    <w:rsid w:val="14403A45"/>
    <w:rsid w:val="144933C4"/>
    <w:rsid w:val="144E07DC"/>
    <w:rsid w:val="14504752"/>
    <w:rsid w:val="14512758"/>
    <w:rsid w:val="14574AE4"/>
    <w:rsid w:val="146A7B1A"/>
    <w:rsid w:val="146F7A5B"/>
    <w:rsid w:val="147677A3"/>
    <w:rsid w:val="147B03A7"/>
    <w:rsid w:val="148D3B44"/>
    <w:rsid w:val="1492384F"/>
    <w:rsid w:val="1494382F"/>
    <w:rsid w:val="149746D5"/>
    <w:rsid w:val="14A02B65"/>
    <w:rsid w:val="14A81E98"/>
    <w:rsid w:val="14AA16A4"/>
    <w:rsid w:val="14AA5673"/>
    <w:rsid w:val="14AB30F5"/>
    <w:rsid w:val="14AC0F5C"/>
    <w:rsid w:val="14B61353"/>
    <w:rsid w:val="14BC34EF"/>
    <w:rsid w:val="14BD6892"/>
    <w:rsid w:val="14CB2A2E"/>
    <w:rsid w:val="14D013EF"/>
    <w:rsid w:val="14E47105"/>
    <w:rsid w:val="14FC21E4"/>
    <w:rsid w:val="14FD066A"/>
    <w:rsid w:val="15031585"/>
    <w:rsid w:val="15090F10"/>
    <w:rsid w:val="151A4A2D"/>
    <w:rsid w:val="151E6A48"/>
    <w:rsid w:val="1523130E"/>
    <w:rsid w:val="15266F1D"/>
    <w:rsid w:val="152700C5"/>
    <w:rsid w:val="15442DF3"/>
    <w:rsid w:val="15444472"/>
    <w:rsid w:val="15504F07"/>
    <w:rsid w:val="155C2F18"/>
    <w:rsid w:val="15673566"/>
    <w:rsid w:val="156A24B2"/>
    <w:rsid w:val="157304D3"/>
    <w:rsid w:val="15771C40"/>
    <w:rsid w:val="157E0ECE"/>
    <w:rsid w:val="15910CA5"/>
    <w:rsid w:val="159C3D02"/>
    <w:rsid w:val="159D2A82"/>
    <w:rsid w:val="15BA6B35"/>
    <w:rsid w:val="15C25F5A"/>
    <w:rsid w:val="15CF2643"/>
    <w:rsid w:val="15D060DE"/>
    <w:rsid w:val="15DB706A"/>
    <w:rsid w:val="15E7036D"/>
    <w:rsid w:val="15ED7F6B"/>
    <w:rsid w:val="15F506F5"/>
    <w:rsid w:val="16080E33"/>
    <w:rsid w:val="160E09FB"/>
    <w:rsid w:val="162401E0"/>
    <w:rsid w:val="1624694C"/>
    <w:rsid w:val="162A6E0D"/>
    <w:rsid w:val="16414490"/>
    <w:rsid w:val="16456719"/>
    <w:rsid w:val="16460917"/>
    <w:rsid w:val="164D3B25"/>
    <w:rsid w:val="16506CFC"/>
    <w:rsid w:val="165B0337"/>
    <w:rsid w:val="165E23DB"/>
    <w:rsid w:val="166F24EC"/>
    <w:rsid w:val="16714FDF"/>
    <w:rsid w:val="167328FC"/>
    <w:rsid w:val="1679500E"/>
    <w:rsid w:val="167B1172"/>
    <w:rsid w:val="167D5E99"/>
    <w:rsid w:val="1681654F"/>
    <w:rsid w:val="1682515E"/>
    <w:rsid w:val="1696521E"/>
    <w:rsid w:val="16AE72C3"/>
    <w:rsid w:val="16AF38D5"/>
    <w:rsid w:val="16B212CB"/>
    <w:rsid w:val="16B40F4B"/>
    <w:rsid w:val="16B67CD2"/>
    <w:rsid w:val="16CF2928"/>
    <w:rsid w:val="16D23D7F"/>
    <w:rsid w:val="16EF09DF"/>
    <w:rsid w:val="16F93C3E"/>
    <w:rsid w:val="17055CDE"/>
    <w:rsid w:val="17082AD3"/>
    <w:rsid w:val="170A288D"/>
    <w:rsid w:val="170C65C6"/>
    <w:rsid w:val="170F4061"/>
    <w:rsid w:val="1716356E"/>
    <w:rsid w:val="171819A0"/>
    <w:rsid w:val="171F475F"/>
    <w:rsid w:val="173C56DA"/>
    <w:rsid w:val="1740420E"/>
    <w:rsid w:val="17461B3F"/>
    <w:rsid w:val="174E2161"/>
    <w:rsid w:val="17516817"/>
    <w:rsid w:val="17606A5A"/>
    <w:rsid w:val="17632565"/>
    <w:rsid w:val="17651519"/>
    <w:rsid w:val="17782422"/>
    <w:rsid w:val="177B311A"/>
    <w:rsid w:val="178D5376"/>
    <w:rsid w:val="17B1097B"/>
    <w:rsid w:val="17C816EE"/>
    <w:rsid w:val="17E928D3"/>
    <w:rsid w:val="17EE3251"/>
    <w:rsid w:val="17EE3962"/>
    <w:rsid w:val="17FF34EC"/>
    <w:rsid w:val="18083DFB"/>
    <w:rsid w:val="18163987"/>
    <w:rsid w:val="18191B17"/>
    <w:rsid w:val="18224BD2"/>
    <w:rsid w:val="18277578"/>
    <w:rsid w:val="182868AE"/>
    <w:rsid w:val="182D701A"/>
    <w:rsid w:val="183464BD"/>
    <w:rsid w:val="18356139"/>
    <w:rsid w:val="183C1FBD"/>
    <w:rsid w:val="183D0B4A"/>
    <w:rsid w:val="184119D7"/>
    <w:rsid w:val="18423E44"/>
    <w:rsid w:val="184579BC"/>
    <w:rsid w:val="185261BA"/>
    <w:rsid w:val="18652415"/>
    <w:rsid w:val="18673BD3"/>
    <w:rsid w:val="1870672B"/>
    <w:rsid w:val="18717FA7"/>
    <w:rsid w:val="187B08C2"/>
    <w:rsid w:val="188233B1"/>
    <w:rsid w:val="18975912"/>
    <w:rsid w:val="18AF200B"/>
    <w:rsid w:val="18C41C1F"/>
    <w:rsid w:val="18C505E0"/>
    <w:rsid w:val="18CC7884"/>
    <w:rsid w:val="18D44AF6"/>
    <w:rsid w:val="18DD50D8"/>
    <w:rsid w:val="18DE0E37"/>
    <w:rsid w:val="18E22FD6"/>
    <w:rsid w:val="18E549E2"/>
    <w:rsid w:val="18F36B91"/>
    <w:rsid w:val="18FE29CF"/>
    <w:rsid w:val="19050A2E"/>
    <w:rsid w:val="190B1CA6"/>
    <w:rsid w:val="190C397D"/>
    <w:rsid w:val="190D15D6"/>
    <w:rsid w:val="19117D98"/>
    <w:rsid w:val="19176815"/>
    <w:rsid w:val="191D00C0"/>
    <w:rsid w:val="192B484C"/>
    <w:rsid w:val="193006AE"/>
    <w:rsid w:val="193342C6"/>
    <w:rsid w:val="193F76FB"/>
    <w:rsid w:val="194F011A"/>
    <w:rsid w:val="19645EC7"/>
    <w:rsid w:val="19676079"/>
    <w:rsid w:val="197046CD"/>
    <w:rsid w:val="19767855"/>
    <w:rsid w:val="197738F5"/>
    <w:rsid w:val="199B67F9"/>
    <w:rsid w:val="199E7715"/>
    <w:rsid w:val="19A14E1A"/>
    <w:rsid w:val="19AA6FC3"/>
    <w:rsid w:val="19AE67A2"/>
    <w:rsid w:val="19B915C3"/>
    <w:rsid w:val="19C558AF"/>
    <w:rsid w:val="19CE0BF6"/>
    <w:rsid w:val="19D51DED"/>
    <w:rsid w:val="19DB757A"/>
    <w:rsid w:val="19E26226"/>
    <w:rsid w:val="19EF0419"/>
    <w:rsid w:val="19F60B5B"/>
    <w:rsid w:val="1A0B6166"/>
    <w:rsid w:val="1A10072D"/>
    <w:rsid w:val="1A1201EB"/>
    <w:rsid w:val="1A23721F"/>
    <w:rsid w:val="1A371E92"/>
    <w:rsid w:val="1A4340CD"/>
    <w:rsid w:val="1A5171B8"/>
    <w:rsid w:val="1A5B74ED"/>
    <w:rsid w:val="1A6370C5"/>
    <w:rsid w:val="1A6F49FA"/>
    <w:rsid w:val="1A7C3D64"/>
    <w:rsid w:val="1A8F0427"/>
    <w:rsid w:val="1ABF08C1"/>
    <w:rsid w:val="1AC00AF1"/>
    <w:rsid w:val="1AC2066A"/>
    <w:rsid w:val="1AC54F79"/>
    <w:rsid w:val="1AC603E6"/>
    <w:rsid w:val="1AC812DE"/>
    <w:rsid w:val="1AC953B6"/>
    <w:rsid w:val="1AD66518"/>
    <w:rsid w:val="1ADD6F99"/>
    <w:rsid w:val="1AE756EA"/>
    <w:rsid w:val="1AF20B4F"/>
    <w:rsid w:val="1AF9414E"/>
    <w:rsid w:val="1B0955B8"/>
    <w:rsid w:val="1B373F76"/>
    <w:rsid w:val="1B3B3CBE"/>
    <w:rsid w:val="1B3F311A"/>
    <w:rsid w:val="1B3F71AC"/>
    <w:rsid w:val="1B440441"/>
    <w:rsid w:val="1B487F31"/>
    <w:rsid w:val="1B4B437D"/>
    <w:rsid w:val="1B4E167E"/>
    <w:rsid w:val="1B514A96"/>
    <w:rsid w:val="1B563362"/>
    <w:rsid w:val="1B5B44BA"/>
    <w:rsid w:val="1B5B5D37"/>
    <w:rsid w:val="1B5C436E"/>
    <w:rsid w:val="1B657081"/>
    <w:rsid w:val="1B74326F"/>
    <w:rsid w:val="1B746F78"/>
    <w:rsid w:val="1B764D9C"/>
    <w:rsid w:val="1B810BAF"/>
    <w:rsid w:val="1B895CC6"/>
    <w:rsid w:val="1B917B2A"/>
    <w:rsid w:val="1B9312A5"/>
    <w:rsid w:val="1B944F25"/>
    <w:rsid w:val="1B951DCE"/>
    <w:rsid w:val="1B9C64CF"/>
    <w:rsid w:val="1B9D4C5C"/>
    <w:rsid w:val="1BAC31D8"/>
    <w:rsid w:val="1BB42E2F"/>
    <w:rsid w:val="1BBE5191"/>
    <w:rsid w:val="1BD163B0"/>
    <w:rsid w:val="1BD50639"/>
    <w:rsid w:val="1BD90378"/>
    <w:rsid w:val="1BF01D80"/>
    <w:rsid w:val="1BF84F82"/>
    <w:rsid w:val="1C186B24"/>
    <w:rsid w:val="1C225A0B"/>
    <w:rsid w:val="1C3E47E5"/>
    <w:rsid w:val="1C5172BA"/>
    <w:rsid w:val="1C5F51C6"/>
    <w:rsid w:val="1C662502"/>
    <w:rsid w:val="1C6C4AA7"/>
    <w:rsid w:val="1C746B21"/>
    <w:rsid w:val="1C756EBE"/>
    <w:rsid w:val="1C791B8C"/>
    <w:rsid w:val="1C7F2075"/>
    <w:rsid w:val="1C8B6E63"/>
    <w:rsid w:val="1C912F6B"/>
    <w:rsid w:val="1C9C3268"/>
    <w:rsid w:val="1CA10875"/>
    <w:rsid w:val="1CAC587A"/>
    <w:rsid w:val="1CAC629E"/>
    <w:rsid w:val="1CB02572"/>
    <w:rsid w:val="1CB112A1"/>
    <w:rsid w:val="1CB30F21"/>
    <w:rsid w:val="1CBD5C89"/>
    <w:rsid w:val="1CC73445"/>
    <w:rsid w:val="1CCB0548"/>
    <w:rsid w:val="1CCE194B"/>
    <w:rsid w:val="1CCE3163"/>
    <w:rsid w:val="1CEC296A"/>
    <w:rsid w:val="1CED3A7F"/>
    <w:rsid w:val="1CFA7A77"/>
    <w:rsid w:val="1CFB54CE"/>
    <w:rsid w:val="1D1866C7"/>
    <w:rsid w:val="1D1951A4"/>
    <w:rsid w:val="1D1C2B4F"/>
    <w:rsid w:val="1D2201EA"/>
    <w:rsid w:val="1D2D5F16"/>
    <w:rsid w:val="1D316C0E"/>
    <w:rsid w:val="1D392605"/>
    <w:rsid w:val="1D436612"/>
    <w:rsid w:val="1D457596"/>
    <w:rsid w:val="1D4911D0"/>
    <w:rsid w:val="1D51561E"/>
    <w:rsid w:val="1D575FE9"/>
    <w:rsid w:val="1D7E18EE"/>
    <w:rsid w:val="1D8611E5"/>
    <w:rsid w:val="1D8F0499"/>
    <w:rsid w:val="1D967193"/>
    <w:rsid w:val="1D9B1AEC"/>
    <w:rsid w:val="1DA84CB7"/>
    <w:rsid w:val="1DAB7009"/>
    <w:rsid w:val="1DBC2A58"/>
    <w:rsid w:val="1DC647E4"/>
    <w:rsid w:val="1DCF66E8"/>
    <w:rsid w:val="1DD63602"/>
    <w:rsid w:val="1DDD33C7"/>
    <w:rsid w:val="1DE303E5"/>
    <w:rsid w:val="1DEF228F"/>
    <w:rsid w:val="1E0A04BD"/>
    <w:rsid w:val="1E0B7421"/>
    <w:rsid w:val="1E114F52"/>
    <w:rsid w:val="1E2058B1"/>
    <w:rsid w:val="1E271344"/>
    <w:rsid w:val="1E3320AC"/>
    <w:rsid w:val="1E51151F"/>
    <w:rsid w:val="1E5356BF"/>
    <w:rsid w:val="1E7E1EBC"/>
    <w:rsid w:val="1E871490"/>
    <w:rsid w:val="1E9F4240"/>
    <w:rsid w:val="1EAA6E5D"/>
    <w:rsid w:val="1EAE7675"/>
    <w:rsid w:val="1ED16B53"/>
    <w:rsid w:val="1ED45CE7"/>
    <w:rsid w:val="1EE37563"/>
    <w:rsid w:val="1EE45D3E"/>
    <w:rsid w:val="1EF34658"/>
    <w:rsid w:val="1EF51BCA"/>
    <w:rsid w:val="1EF816BF"/>
    <w:rsid w:val="1EFB7B61"/>
    <w:rsid w:val="1EFE37A7"/>
    <w:rsid w:val="1EFF007D"/>
    <w:rsid w:val="1F094B93"/>
    <w:rsid w:val="1F0B5BFD"/>
    <w:rsid w:val="1F14549A"/>
    <w:rsid w:val="1F153467"/>
    <w:rsid w:val="1F1E141F"/>
    <w:rsid w:val="1F1E3599"/>
    <w:rsid w:val="1F20258D"/>
    <w:rsid w:val="1F311F20"/>
    <w:rsid w:val="1F461A48"/>
    <w:rsid w:val="1F4B69E7"/>
    <w:rsid w:val="1F4D1EEA"/>
    <w:rsid w:val="1F5D2184"/>
    <w:rsid w:val="1F645556"/>
    <w:rsid w:val="1F680515"/>
    <w:rsid w:val="1F6C0724"/>
    <w:rsid w:val="1F6D141C"/>
    <w:rsid w:val="1F725310"/>
    <w:rsid w:val="1F7C289F"/>
    <w:rsid w:val="1F7F013A"/>
    <w:rsid w:val="1F8553CD"/>
    <w:rsid w:val="1F974FE3"/>
    <w:rsid w:val="1F9C084C"/>
    <w:rsid w:val="1FA34505"/>
    <w:rsid w:val="1FAA6204"/>
    <w:rsid w:val="1FAD4807"/>
    <w:rsid w:val="1FB5190D"/>
    <w:rsid w:val="1FBC4A4A"/>
    <w:rsid w:val="1FC153CA"/>
    <w:rsid w:val="1FCC74F7"/>
    <w:rsid w:val="1FCD5CBB"/>
    <w:rsid w:val="1FD85D70"/>
    <w:rsid w:val="1FE47BCE"/>
    <w:rsid w:val="1FF300F9"/>
    <w:rsid w:val="1FFB5E43"/>
    <w:rsid w:val="200C1C69"/>
    <w:rsid w:val="200C77F2"/>
    <w:rsid w:val="201A313C"/>
    <w:rsid w:val="201C198C"/>
    <w:rsid w:val="203046DB"/>
    <w:rsid w:val="20480391"/>
    <w:rsid w:val="204A0B08"/>
    <w:rsid w:val="20533996"/>
    <w:rsid w:val="20541126"/>
    <w:rsid w:val="20553A98"/>
    <w:rsid w:val="20556386"/>
    <w:rsid w:val="20635BEC"/>
    <w:rsid w:val="20670E5A"/>
    <w:rsid w:val="2068332E"/>
    <w:rsid w:val="206D3F96"/>
    <w:rsid w:val="20733737"/>
    <w:rsid w:val="20777EB6"/>
    <w:rsid w:val="207868BB"/>
    <w:rsid w:val="207D60F5"/>
    <w:rsid w:val="20862797"/>
    <w:rsid w:val="209778BA"/>
    <w:rsid w:val="20992FDD"/>
    <w:rsid w:val="20B921CA"/>
    <w:rsid w:val="20C11A4B"/>
    <w:rsid w:val="20CA6089"/>
    <w:rsid w:val="20E25ABD"/>
    <w:rsid w:val="20E56788"/>
    <w:rsid w:val="20EB7358"/>
    <w:rsid w:val="20F743E3"/>
    <w:rsid w:val="210250E3"/>
    <w:rsid w:val="210D6546"/>
    <w:rsid w:val="211C030F"/>
    <w:rsid w:val="211F45FD"/>
    <w:rsid w:val="212343F7"/>
    <w:rsid w:val="21283700"/>
    <w:rsid w:val="212E7D0B"/>
    <w:rsid w:val="213C3913"/>
    <w:rsid w:val="21417D89"/>
    <w:rsid w:val="21577120"/>
    <w:rsid w:val="215B41C8"/>
    <w:rsid w:val="215C2E2B"/>
    <w:rsid w:val="2167402A"/>
    <w:rsid w:val="21746B48"/>
    <w:rsid w:val="21902E8C"/>
    <w:rsid w:val="21922322"/>
    <w:rsid w:val="2196282F"/>
    <w:rsid w:val="21A202FF"/>
    <w:rsid w:val="21A221B3"/>
    <w:rsid w:val="21AC2CCE"/>
    <w:rsid w:val="21AF2685"/>
    <w:rsid w:val="21D818E3"/>
    <w:rsid w:val="21DA4716"/>
    <w:rsid w:val="21DB40AC"/>
    <w:rsid w:val="21E27CA5"/>
    <w:rsid w:val="21E30CAA"/>
    <w:rsid w:val="21E604A4"/>
    <w:rsid w:val="21E81D77"/>
    <w:rsid w:val="21EF401A"/>
    <w:rsid w:val="21F046BC"/>
    <w:rsid w:val="21F96078"/>
    <w:rsid w:val="21FA13EE"/>
    <w:rsid w:val="220D5A31"/>
    <w:rsid w:val="22151DA2"/>
    <w:rsid w:val="221F520B"/>
    <w:rsid w:val="22226190"/>
    <w:rsid w:val="22257114"/>
    <w:rsid w:val="222645E6"/>
    <w:rsid w:val="22353B2B"/>
    <w:rsid w:val="223805A6"/>
    <w:rsid w:val="22461847"/>
    <w:rsid w:val="224750CA"/>
    <w:rsid w:val="22514358"/>
    <w:rsid w:val="225F6D87"/>
    <w:rsid w:val="22603DB2"/>
    <w:rsid w:val="226F4462"/>
    <w:rsid w:val="227710FC"/>
    <w:rsid w:val="227D77A3"/>
    <w:rsid w:val="22967034"/>
    <w:rsid w:val="22A72B65"/>
    <w:rsid w:val="22BF3BB7"/>
    <w:rsid w:val="22D00B5A"/>
    <w:rsid w:val="22D0502F"/>
    <w:rsid w:val="22D32730"/>
    <w:rsid w:val="22D35427"/>
    <w:rsid w:val="22F727A3"/>
    <w:rsid w:val="22FA21AD"/>
    <w:rsid w:val="22FF7345"/>
    <w:rsid w:val="23112215"/>
    <w:rsid w:val="23256680"/>
    <w:rsid w:val="232B17F3"/>
    <w:rsid w:val="232C3B4B"/>
    <w:rsid w:val="23304627"/>
    <w:rsid w:val="233378E5"/>
    <w:rsid w:val="233465ED"/>
    <w:rsid w:val="233A77E1"/>
    <w:rsid w:val="233C215F"/>
    <w:rsid w:val="234B6EF7"/>
    <w:rsid w:val="23554EAA"/>
    <w:rsid w:val="23582989"/>
    <w:rsid w:val="235E4892"/>
    <w:rsid w:val="23615817"/>
    <w:rsid w:val="23662A17"/>
    <w:rsid w:val="23730DBC"/>
    <w:rsid w:val="23796741"/>
    <w:rsid w:val="237B1A2C"/>
    <w:rsid w:val="237C165B"/>
    <w:rsid w:val="23876A22"/>
    <w:rsid w:val="238B1EDE"/>
    <w:rsid w:val="238C7960"/>
    <w:rsid w:val="2398304B"/>
    <w:rsid w:val="23986BA8"/>
    <w:rsid w:val="239D347E"/>
    <w:rsid w:val="23AA1199"/>
    <w:rsid w:val="23AC5C96"/>
    <w:rsid w:val="23AE661B"/>
    <w:rsid w:val="23B37D64"/>
    <w:rsid w:val="23C363C4"/>
    <w:rsid w:val="23D83E1C"/>
    <w:rsid w:val="23DF601F"/>
    <w:rsid w:val="23E46AB9"/>
    <w:rsid w:val="23EF3E0C"/>
    <w:rsid w:val="23F30C56"/>
    <w:rsid w:val="23FD601D"/>
    <w:rsid w:val="23FD7C10"/>
    <w:rsid w:val="23FE69EB"/>
    <w:rsid w:val="24092928"/>
    <w:rsid w:val="241C5E0A"/>
    <w:rsid w:val="241E233B"/>
    <w:rsid w:val="24207978"/>
    <w:rsid w:val="242258D5"/>
    <w:rsid w:val="24327310"/>
    <w:rsid w:val="24340FC8"/>
    <w:rsid w:val="2434792A"/>
    <w:rsid w:val="244F54A0"/>
    <w:rsid w:val="24554E2A"/>
    <w:rsid w:val="24652F46"/>
    <w:rsid w:val="247321DC"/>
    <w:rsid w:val="24784E09"/>
    <w:rsid w:val="247D5127"/>
    <w:rsid w:val="248531E6"/>
    <w:rsid w:val="248C5D34"/>
    <w:rsid w:val="24A36F83"/>
    <w:rsid w:val="24A5262B"/>
    <w:rsid w:val="24AD793F"/>
    <w:rsid w:val="24B52569"/>
    <w:rsid w:val="24B72FB5"/>
    <w:rsid w:val="24E13E23"/>
    <w:rsid w:val="24E8008F"/>
    <w:rsid w:val="24F12AAA"/>
    <w:rsid w:val="24F22BF7"/>
    <w:rsid w:val="24F25900"/>
    <w:rsid w:val="24F25DC2"/>
    <w:rsid w:val="24F8351C"/>
    <w:rsid w:val="250207C6"/>
    <w:rsid w:val="25097DAA"/>
    <w:rsid w:val="250F2781"/>
    <w:rsid w:val="251B0672"/>
    <w:rsid w:val="251B0DB1"/>
    <w:rsid w:val="252A782C"/>
    <w:rsid w:val="25402911"/>
    <w:rsid w:val="254E6073"/>
    <w:rsid w:val="2581676F"/>
    <w:rsid w:val="258B40CC"/>
    <w:rsid w:val="258C50C0"/>
    <w:rsid w:val="258E05B5"/>
    <w:rsid w:val="259322B4"/>
    <w:rsid w:val="25A03B48"/>
    <w:rsid w:val="25A16BBC"/>
    <w:rsid w:val="25AB575C"/>
    <w:rsid w:val="25AC31DE"/>
    <w:rsid w:val="25B1585D"/>
    <w:rsid w:val="25BC7BF5"/>
    <w:rsid w:val="25C720F3"/>
    <w:rsid w:val="25D1584C"/>
    <w:rsid w:val="25D34CA0"/>
    <w:rsid w:val="25EE3AA0"/>
    <w:rsid w:val="25F969F8"/>
    <w:rsid w:val="260015EC"/>
    <w:rsid w:val="26016A14"/>
    <w:rsid w:val="260E4400"/>
    <w:rsid w:val="2610750B"/>
    <w:rsid w:val="261147BA"/>
    <w:rsid w:val="261809AB"/>
    <w:rsid w:val="261A5E58"/>
    <w:rsid w:val="261C1BB2"/>
    <w:rsid w:val="26272B27"/>
    <w:rsid w:val="26320878"/>
    <w:rsid w:val="263230B7"/>
    <w:rsid w:val="2635403B"/>
    <w:rsid w:val="263634A1"/>
    <w:rsid w:val="26405376"/>
    <w:rsid w:val="26436BD4"/>
    <w:rsid w:val="26655E3B"/>
    <w:rsid w:val="266F157B"/>
    <w:rsid w:val="26742C26"/>
    <w:rsid w:val="2678413E"/>
    <w:rsid w:val="267B266D"/>
    <w:rsid w:val="26852537"/>
    <w:rsid w:val="26901355"/>
    <w:rsid w:val="269D398F"/>
    <w:rsid w:val="26AB668C"/>
    <w:rsid w:val="26AD1C0B"/>
    <w:rsid w:val="26B02AF9"/>
    <w:rsid w:val="26C37768"/>
    <w:rsid w:val="26C42E48"/>
    <w:rsid w:val="26CF165B"/>
    <w:rsid w:val="26D22498"/>
    <w:rsid w:val="26E2325A"/>
    <w:rsid w:val="2700280A"/>
    <w:rsid w:val="27027EBC"/>
    <w:rsid w:val="27062195"/>
    <w:rsid w:val="27090EBD"/>
    <w:rsid w:val="27195933"/>
    <w:rsid w:val="271A7116"/>
    <w:rsid w:val="27260F9D"/>
    <w:rsid w:val="272A364F"/>
    <w:rsid w:val="272D7147"/>
    <w:rsid w:val="273242DE"/>
    <w:rsid w:val="2738348F"/>
    <w:rsid w:val="2742409C"/>
    <w:rsid w:val="274E4B21"/>
    <w:rsid w:val="274F5E0D"/>
    <w:rsid w:val="27546DAC"/>
    <w:rsid w:val="276A0AC0"/>
    <w:rsid w:val="276A5F64"/>
    <w:rsid w:val="278D0E41"/>
    <w:rsid w:val="278D12FE"/>
    <w:rsid w:val="27A45340"/>
    <w:rsid w:val="27AC20A1"/>
    <w:rsid w:val="27AE55C0"/>
    <w:rsid w:val="27BF3B42"/>
    <w:rsid w:val="27C0670F"/>
    <w:rsid w:val="27C3371C"/>
    <w:rsid w:val="27C37C91"/>
    <w:rsid w:val="27D35027"/>
    <w:rsid w:val="27E84D06"/>
    <w:rsid w:val="27F53C05"/>
    <w:rsid w:val="27F6324E"/>
    <w:rsid w:val="27F8133D"/>
    <w:rsid w:val="280259BE"/>
    <w:rsid w:val="28030DB3"/>
    <w:rsid w:val="280900C8"/>
    <w:rsid w:val="280D19AC"/>
    <w:rsid w:val="282C1F78"/>
    <w:rsid w:val="283050FB"/>
    <w:rsid w:val="283A05C6"/>
    <w:rsid w:val="283F016C"/>
    <w:rsid w:val="284E0490"/>
    <w:rsid w:val="28511389"/>
    <w:rsid w:val="285A17C2"/>
    <w:rsid w:val="286533D6"/>
    <w:rsid w:val="28745BEF"/>
    <w:rsid w:val="287B08D6"/>
    <w:rsid w:val="28A02CC8"/>
    <w:rsid w:val="28B314C0"/>
    <w:rsid w:val="28B81B5C"/>
    <w:rsid w:val="28BB2AE0"/>
    <w:rsid w:val="28BE14E7"/>
    <w:rsid w:val="28E8615D"/>
    <w:rsid w:val="28F15BC1"/>
    <w:rsid w:val="28F46C6A"/>
    <w:rsid w:val="28FA0689"/>
    <w:rsid w:val="28FA5751"/>
    <w:rsid w:val="290473B8"/>
    <w:rsid w:val="29220014"/>
    <w:rsid w:val="292601B7"/>
    <w:rsid w:val="292C2C40"/>
    <w:rsid w:val="292D456F"/>
    <w:rsid w:val="294C5091"/>
    <w:rsid w:val="2954525D"/>
    <w:rsid w:val="2964701D"/>
    <w:rsid w:val="29667955"/>
    <w:rsid w:val="296C1188"/>
    <w:rsid w:val="296D7F0F"/>
    <w:rsid w:val="29710F8A"/>
    <w:rsid w:val="29824AA8"/>
    <w:rsid w:val="298A64CA"/>
    <w:rsid w:val="299C5F72"/>
    <w:rsid w:val="29A77266"/>
    <w:rsid w:val="29B07B75"/>
    <w:rsid w:val="29B55BD2"/>
    <w:rsid w:val="29CD16A4"/>
    <w:rsid w:val="29D02628"/>
    <w:rsid w:val="29D4102F"/>
    <w:rsid w:val="29D457AB"/>
    <w:rsid w:val="29D5322D"/>
    <w:rsid w:val="29DF15BE"/>
    <w:rsid w:val="29E647CC"/>
    <w:rsid w:val="29E85357"/>
    <w:rsid w:val="29EA22AE"/>
    <w:rsid w:val="29F049F0"/>
    <w:rsid w:val="2A004862"/>
    <w:rsid w:val="2A01261A"/>
    <w:rsid w:val="2A105610"/>
    <w:rsid w:val="2A113A92"/>
    <w:rsid w:val="2A3F0751"/>
    <w:rsid w:val="2A475EF5"/>
    <w:rsid w:val="2A496A6F"/>
    <w:rsid w:val="2A5F0DF4"/>
    <w:rsid w:val="2A6308E4"/>
    <w:rsid w:val="2A6C567E"/>
    <w:rsid w:val="2A6E1636"/>
    <w:rsid w:val="2A82464A"/>
    <w:rsid w:val="2A83594F"/>
    <w:rsid w:val="2A874355"/>
    <w:rsid w:val="2A892B32"/>
    <w:rsid w:val="2A945BEA"/>
    <w:rsid w:val="2A994270"/>
    <w:rsid w:val="2AA0747E"/>
    <w:rsid w:val="2AB53BA0"/>
    <w:rsid w:val="2AB61621"/>
    <w:rsid w:val="2AB61894"/>
    <w:rsid w:val="2AB640A1"/>
    <w:rsid w:val="2AB7295F"/>
    <w:rsid w:val="2AC01F31"/>
    <w:rsid w:val="2AC718BC"/>
    <w:rsid w:val="2AC86BFE"/>
    <w:rsid w:val="2AD06864"/>
    <w:rsid w:val="2ADA635E"/>
    <w:rsid w:val="2ADF23E8"/>
    <w:rsid w:val="2AE36D8C"/>
    <w:rsid w:val="2AEC59F4"/>
    <w:rsid w:val="2AEE177B"/>
    <w:rsid w:val="2AEE6D08"/>
    <w:rsid w:val="2AF37282"/>
    <w:rsid w:val="2AF8590E"/>
    <w:rsid w:val="2AFC4314"/>
    <w:rsid w:val="2B061074"/>
    <w:rsid w:val="2B0C45AE"/>
    <w:rsid w:val="2B2F5CED"/>
    <w:rsid w:val="2B3418DB"/>
    <w:rsid w:val="2B37533B"/>
    <w:rsid w:val="2B3B3677"/>
    <w:rsid w:val="2B3F716D"/>
    <w:rsid w:val="2B442A1B"/>
    <w:rsid w:val="2B452538"/>
    <w:rsid w:val="2B48310F"/>
    <w:rsid w:val="2B552424"/>
    <w:rsid w:val="2B562D75"/>
    <w:rsid w:val="2B671232"/>
    <w:rsid w:val="2B6A4948"/>
    <w:rsid w:val="2B6B45C8"/>
    <w:rsid w:val="2B720385"/>
    <w:rsid w:val="2B7408CF"/>
    <w:rsid w:val="2B747456"/>
    <w:rsid w:val="2B7724A7"/>
    <w:rsid w:val="2B8925CC"/>
    <w:rsid w:val="2BB31411"/>
    <w:rsid w:val="2BBF78D5"/>
    <w:rsid w:val="2BC21E63"/>
    <w:rsid w:val="2BD2786C"/>
    <w:rsid w:val="2BD36D43"/>
    <w:rsid w:val="2BD43FF7"/>
    <w:rsid w:val="2BD561F6"/>
    <w:rsid w:val="2BF0264B"/>
    <w:rsid w:val="2BF117D9"/>
    <w:rsid w:val="2BF139F2"/>
    <w:rsid w:val="2BF31029"/>
    <w:rsid w:val="2BFD52AB"/>
    <w:rsid w:val="2C020275"/>
    <w:rsid w:val="2C0A0C4E"/>
    <w:rsid w:val="2C0A3A72"/>
    <w:rsid w:val="2C1A1E8E"/>
    <w:rsid w:val="2C1E56F0"/>
    <w:rsid w:val="2C202432"/>
    <w:rsid w:val="2C216675"/>
    <w:rsid w:val="2C2442F1"/>
    <w:rsid w:val="2C2D725D"/>
    <w:rsid w:val="2C326632"/>
    <w:rsid w:val="2C3449D3"/>
    <w:rsid w:val="2C3839FB"/>
    <w:rsid w:val="2C3C2B50"/>
    <w:rsid w:val="2C456557"/>
    <w:rsid w:val="2C48316B"/>
    <w:rsid w:val="2C583D4C"/>
    <w:rsid w:val="2C664DE2"/>
    <w:rsid w:val="2C735407"/>
    <w:rsid w:val="2C74067E"/>
    <w:rsid w:val="2C7448CB"/>
    <w:rsid w:val="2C934AB1"/>
    <w:rsid w:val="2C9B0EA5"/>
    <w:rsid w:val="2C9D5C03"/>
    <w:rsid w:val="2CA10C14"/>
    <w:rsid w:val="2CA1389A"/>
    <w:rsid w:val="2CA204EC"/>
    <w:rsid w:val="2CAD18DF"/>
    <w:rsid w:val="2CAD2BFF"/>
    <w:rsid w:val="2CAF38ED"/>
    <w:rsid w:val="2CB76337"/>
    <w:rsid w:val="2CBA6005"/>
    <w:rsid w:val="2CD17175"/>
    <w:rsid w:val="2CF34D78"/>
    <w:rsid w:val="2CF808D7"/>
    <w:rsid w:val="2CF84E03"/>
    <w:rsid w:val="2CFC72DD"/>
    <w:rsid w:val="2CFF0262"/>
    <w:rsid w:val="2D002B75"/>
    <w:rsid w:val="2D025963"/>
    <w:rsid w:val="2D0F6337"/>
    <w:rsid w:val="2D136F02"/>
    <w:rsid w:val="2D1D2D3B"/>
    <w:rsid w:val="2D2458FE"/>
    <w:rsid w:val="2D2828D0"/>
    <w:rsid w:val="2D2B1556"/>
    <w:rsid w:val="2D35073C"/>
    <w:rsid w:val="2D37317A"/>
    <w:rsid w:val="2D3D5B48"/>
    <w:rsid w:val="2D400CCB"/>
    <w:rsid w:val="2D4454D3"/>
    <w:rsid w:val="2D4476D1"/>
    <w:rsid w:val="2D492F93"/>
    <w:rsid w:val="2D4973DC"/>
    <w:rsid w:val="2D546C0A"/>
    <w:rsid w:val="2D5C61B5"/>
    <w:rsid w:val="2D5E027B"/>
    <w:rsid w:val="2D601B0F"/>
    <w:rsid w:val="2D641E2D"/>
    <w:rsid w:val="2D695B92"/>
    <w:rsid w:val="2D7707D2"/>
    <w:rsid w:val="2D842ED5"/>
    <w:rsid w:val="2DA17EB3"/>
    <w:rsid w:val="2DA36280"/>
    <w:rsid w:val="2DB016CE"/>
    <w:rsid w:val="2DB61F8F"/>
    <w:rsid w:val="2DC031F7"/>
    <w:rsid w:val="2DC47E44"/>
    <w:rsid w:val="2DC87F69"/>
    <w:rsid w:val="2DD061B1"/>
    <w:rsid w:val="2DD9486E"/>
    <w:rsid w:val="2DD95015"/>
    <w:rsid w:val="2DEA57B6"/>
    <w:rsid w:val="2DED4667"/>
    <w:rsid w:val="2DF674F5"/>
    <w:rsid w:val="2DF857E7"/>
    <w:rsid w:val="2E082C92"/>
    <w:rsid w:val="2E0A5836"/>
    <w:rsid w:val="2E0C3A22"/>
    <w:rsid w:val="2E151FA8"/>
    <w:rsid w:val="2E1D11F5"/>
    <w:rsid w:val="2E21163E"/>
    <w:rsid w:val="2E3D56EB"/>
    <w:rsid w:val="2E4162EF"/>
    <w:rsid w:val="2E41718E"/>
    <w:rsid w:val="2E5D4818"/>
    <w:rsid w:val="2E6079D2"/>
    <w:rsid w:val="2E6461E8"/>
    <w:rsid w:val="2E7F3BD6"/>
    <w:rsid w:val="2E8D4900"/>
    <w:rsid w:val="2E8E54F4"/>
    <w:rsid w:val="2E937A99"/>
    <w:rsid w:val="2E953036"/>
    <w:rsid w:val="2E984B00"/>
    <w:rsid w:val="2E9F0D46"/>
    <w:rsid w:val="2EB35911"/>
    <w:rsid w:val="2EBF15F2"/>
    <w:rsid w:val="2ED95569"/>
    <w:rsid w:val="2EEB126E"/>
    <w:rsid w:val="2EF405CF"/>
    <w:rsid w:val="2EF47418"/>
    <w:rsid w:val="2EFA043F"/>
    <w:rsid w:val="2F0625CE"/>
    <w:rsid w:val="2F165F8A"/>
    <w:rsid w:val="2F18580E"/>
    <w:rsid w:val="2F1D461A"/>
    <w:rsid w:val="2F1E74CF"/>
    <w:rsid w:val="2F211B9B"/>
    <w:rsid w:val="2F2E1497"/>
    <w:rsid w:val="2F3F4014"/>
    <w:rsid w:val="2F45562F"/>
    <w:rsid w:val="2F530A64"/>
    <w:rsid w:val="2F5C36EE"/>
    <w:rsid w:val="2F5E1045"/>
    <w:rsid w:val="2F6B0E92"/>
    <w:rsid w:val="2F6E3D66"/>
    <w:rsid w:val="2F6E3E99"/>
    <w:rsid w:val="2F724F9D"/>
    <w:rsid w:val="2F7928EE"/>
    <w:rsid w:val="2F7F157A"/>
    <w:rsid w:val="2F827AAC"/>
    <w:rsid w:val="2FAE551B"/>
    <w:rsid w:val="2FB32CCE"/>
    <w:rsid w:val="2FB51A54"/>
    <w:rsid w:val="2FBC7ACB"/>
    <w:rsid w:val="2FC17A65"/>
    <w:rsid w:val="2FC81654"/>
    <w:rsid w:val="2FCB565C"/>
    <w:rsid w:val="2FD56706"/>
    <w:rsid w:val="2FE11C34"/>
    <w:rsid w:val="2FE157C7"/>
    <w:rsid w:val="2FE8003B"/>
    <w:rsid w:val="2FEA3851"/>
    <w:rsid w:val="2FF700B2"/>
    <w:rsid w:val="30107441"/>
    <w:rsid w:val="301A3977"/>
    <w:rsid w:val="301A6A81"/>
    <w:rsid w:val="30210D83"/>
    <w:rsid w:val="302573F7"/>
    <w:rsid w:val="3043348E"/>
    <w:rsid w:val="304E62E2"/>
    <w:rsid w:val="305E6FC6"/>
    <w:rsid w:val="30640F12"/>
    <w:rsid w:val="30650573"/>
    <w:rsid w:val="30684D7B"/>
    <w:rsid w:val="3069073D"/>
    <w:rsid w:val="307E6F1F"/>
    <w:rsid w:val="308128F6"/>
    <w:rsid w:val="30882593"/>
    <w:rsid w:val="309E18F5"/>
    <w:rsid w:val="30AD56DB"/>
    <w:rsid w:val="30B12BF1"/>
    <w:rsid w:val="30B40A71"/>
    <w:rsid w:val="30BD1DEA"/>
    <w:rsid w:val="30BF0FBB"/>
    <w:rsid w:val="30CC52EF"/>
    <w:rsid w:val="30D76501"/>
    <w:rsid w:val="30DE27BB"/>
    <w:rsid w:val="30F67F41"/>
    <w:rsid w:val="31077D7C"/>
    <w:rsid w:val="310B168D"/>
    <w:rsid w:val="310D013C"/>
    <w:rsid w:val="310D429C"/>
    <w:rsid w:val="3122284E"/>
    <w:rsid w:val="31445AD2"/>
    <w:rsid w:val="314E04CA"/>
    <w:rsid w:val="316B72D8"/>
    <w:rsid w:val="316E73F5"/>
    <w:rsid w:val="316F0A25"/>
    <w:rsid w:val="31740730"/>
    <w:rsid w:val="31753AD0"/>
    <w:rsid w:val="31774BEB"/>
    <w:rsid w:val="31790F64"/>
    <w:rsid w:val="317F5B05"/>
    <w:rsid w:val="3185644C"/>
    <w:rsid w:val="318F2A8D"/>
    <w:rsid w:val="31954F30"/>
    <w:rsid w:val="3198766B"/>
    <w:rsid w:val="319F6FF6"/>
    <w:rsid w:val="31AD4B3A"/>
    <w:rsid w:val="31B16017"/>
    <w:rsid w:val="31BC6E82"/>
    <w:rsid w:val="31BF1D88"/>
    <w:rsid w:val="31C35F31"/>
    <w:rsid w:val="31D616CE"/>
    <w:rsid w:val="31DA34A9"/>
    <w:rsid w:val="31DA7836"/>
    <w:rsid w:val="31DD1110"/>
    <w:rsid w:val="31E52E77"/>
    <w:rsid w:val="321005AF"/>
    <w:rsid w:val="32110BE3"/>
    <w:rsid w:val="32136C8E"/>
    <w:rsid w:val="32186CC0"/>
    <w:rsid w:val="321A3DBC"/>
    <w:rsid w:val="321E0BC9"/>
    <w:rsid w:val="32285F76"/>
    <w:rsid w:val="322A5D0E"/>
    <w:rsid w:val="323735BF"/>
    <w:rsid w:val="32470EB5"/>
    <w:rsid w:val="324A749F"/>
    <w:rsid w:val="324F1398"/>
    <w:rsid w:val="32527E0C"/>
    <w:rsid w:val="32703683"/>
    <w:rsid w:val="327310C6"/>
    <w:rsid w:val="328C597A"/>
    <w:rsid w:val="328C7202"/>
    <w:rsid w:val="329121E2"/>
    <w:rsid w:val="329C1497"/>
    <w:rsid w:val="329D3696"/>
    <w:rsid w:val="32A0461A"/>
    <w:rsid w:val="32AB622F"/>
    <w:rsid w:val="32B124B4"/>
    <w:rsid w:val="32D87672"/>
    <w:rsid w:val="32E202CD"/>
    <w:rsid w:val="32E225C2"/>
    <w:rsid w:val="32E5532C"/>
    <w:rsid w:val="32E7076E"/>
    <w:rsid w:val="32EF2A5B"/>
    <w:rsid w:val="32F34F25"/>
    <w:rsid w:val="32F82AAB"/>
    <w:rsid w:val="32FD156B"/>
    <w:rsid w:val="3318172A"/>
    <w:rsid w:val="332F2697"/>
    <w:rsid w:val="33301D0B"/>
    <w:rsid w:val="334B4AB3"/>
    <w:rsid w:val="334E4A3F"/>
    <w:rsid w:val="33586C76"/>
    <w:rsid w:val="337323F4"/>
    <w:rsid w:val="337E7701"/>
    <w:rsid w:val="33835934"/>
    <w:rsid w:val="338765BA"/>
    <w:rsid w:val="338D69D1"/>
    <w:rsid w:val="33903029"/>
    <w:rsid w:val="33993841"/>
    <w:rsid w:val="33A378C3"/>
    <w:rsid w:val="33A42DD4"/>
    <w:rsid w:val="33A6194A"/>
    <w:rsid w:val="33AB60F0"/>
    <w:rsid w:val="33AD2BD0"/>
    <w:rsid w:val="33BA63EC"/>
    <w:rsid w:val="33BF2AAC"/>
    <w:rsid w:val="33C0343A"/>
    <w:rsid w:val="33CF61C1"/>
    <w:rsid w:val="33CF6FEA"/>
    <w:rsid w:val="33ED12F5"/>
    <w:rsid w:val="33F17DA7"/>
    <w:rsid w:val="33F3050D"/>
    <w:rsid w:val="33F474CA"/>
    <w:rsid w:val="33F87681"/>
    <w:rsid w:val="33FD6E49"/>
    <w:rsid w:val="34052FE8"/>
    <w:rsid w:val="340C4F6D"/>
    <w:rsid w:val="3411487C"/>
    <w:rsid w:val="341E2BF5"/>
    <w:rsid w:val="3438035F"/>
    <w:rsid w:val="34392414"/>
    <w:rsid w:val="343B7C38"/>
    <w:rsid w:val="344C23E9"/>
    <w:rsid w:val="344D4E62"/>
    <w:rsid w:val="345307C7"/>
    <w:rsid w:val="34654306"/>
    <w:rsid w:val="346978A7"/>
    <w:rsid w:val="3477250D"/>
    <w:rsid w:val="34884A07"/>
    <w:rsid w:val="349205C5"/>
    <w:rsid w:val="34950A59"/>
    <w:rsid w:val="34A25616"/>
    <w:rsid w:val="34A5477C"/>
    <w:rsid w:val="34A94599"/>
    <w:rsid w:val="34B673C4"/>
    <w:rsid w:val="34BE137B"/>
    <w:rsid w:val="34BE4995"/>
    <w:rsid w:val="34CE27C7"/>
    <w:rsid w:val="34E31AD2"/>
    <w:rsid w:val="35041886"/>
    <w:rsid w:val="350477DA"/>
    <w:rsid w:val="350F4D9F"/>
    <w:rsid w:val="35216444"/>
    <w:rsid w:val="35251B94"/>
    <w:rsid w:val="352A3FA1"/>
    <w:rsid w:val="35322AD7"/>
    <w:rsid w:val="35476E77"/>
    <w:rsid w:val="354D2F7F"/>
    <w:rsid w:val="355B5B18"/>
    <w:rsid w:val="3574522F"/>
    <w:rsid w:val="35817F56"/>
    <w:rsid w:val="358D4A67"/>
    <w:rsid w:val="359D39BF"/>
    <w:rsid w:val="35A5247F"/>
    <w:rsid w:val="35A646D1"/>
    <w:rsid w:val="35A87141"/>
    <w:rsid w:val="35B54FC1"/>
    <w:rsid w:val="35B82DF1"/>
    <w:rsid w:val="35BE2F3C"/>
    <w:rsid w:val="35C36CBC"/>
    <w:rsid w:val="35C479BE"/>
    <w:rsid w:val="35D231D8"/>
    <w:rsid w:val="35D72EE3"/>
    <w:rsid w:val="35D92B63"/>
    <w:rsid w:val="35E523E8"/>
    <w:rsid w:val="35E72CCA"/>
    <w:rsid w:val="35EA46A2"/>
    <w:rsid w:val="35F837D7"/>
    <w:rsid w:val="35FE7713"/>
    <w:rsid w:val="36041A17"/>
    <w:rsid w:val="3604474D"/>
    <w:rsid w:val="360C5C5F"/>
    <w:rsid w:val="36292374"/>
    <w:rsid w:val="362E6389"/>
    <w:rsid w:val="363D7320"/>
    <w:rsid w:val="36532A69"/>
    <w:rsid w:val="365921B8"/>
    <w:rsid w:val="365E1EC3"/>
    <w:rsid w:val="3671041F"/>
    <w:rsid w:val="36840A7D"/>
    <w:rsid w:val="3685485E"/>
    <w:rsid w:val="368B7F6F"/>
    <w:rsid w:val="36923681"/>
    <w:rsid w:val="369C5CFD"/>
    <w:rsid w:val="36B443C8"/>
    <w:rsid w:val="36B55BD0"/>
    <w:rsid w:val="36BE795E"/>
    <w:rsid w:val="36CE7BF8"/>
    <w:rsid w:val="36CF5D5D"/>
    <w:rsid w:val="36D34080"/>
    <w:rsid w:val="36D46207"/>
    <w:rsid w:val="36DE5C94"/>
    <w:rsid w:val="36E1747D"/>
    <w:rsid w:val="36EE5F2E"/>
    <w:rsid w:val="36EF6323"/>
    <w:rsid w:val="370F1747"/>
    <w:rsid w:val="372238D5"/>
    <w:rsid w:val="372C52C1"/>
    <w:rsid w:val="37330906"/>
    <w:rsid w:val="37413267"/>
    <w:rsid w:val="374146B4"/>
    <w:rsid w:val="3743343A"/>
    <w:rsid w:val="374A7542"/>
    <w:rsid w:val="37576857"/>
    <w:rsid w:val="37600755"/>
    <w:rsid w:val="376F117F"/>
    <w:rsid w:val="37702D1F"/>
    <w:rsid w:val="37800BE3"/>
    <w:rsid w:val="3781549D"/>
    <w:rsid w:val="379540A7"/>
    <w:rsid w:val="37981B9B"/>
    <w:rsid w:val="37A47217"/>
    <w:rsid w:val="37BF08C9"/>
    <w:rsid w:val="37C04C73"/>
    <w:rsid w:val="37D913AF"/>
    <w:rsid w:val="37E03329"/>
    <w:rsid w:val="380F1889"/>
    <w:rsid w:val="38274186"/>
    <w:rsid w:val="38373947"/>
    <w:rsid w:val="3839146D"/>
    <w:rsid w:val="38392C84"/>
    <w:rsid w:val="38417DD5"/>
    <w:rsid w:val="384C7F78"/>
    <w:rsid w:val="38502D25"/>
    <w:rsid w:val="385C6105"/>
    <w:rsid w:val="3861062B"/>
    <w:rsid w:val="3863784E"/>
    <w:rsid w:val="386453DA"/>
    <w:rsid w:val="386C091E"/>
    <w:rsid w:val="3872277D"/>
    <w:rsid w:val="387626A6"/>
    <w:rsid w:val="38841B62"/>
    <w:rsid w:val="389528A3"/>
    <w:rsid w:val="389D3378"/>
    <w:rsid w:val="38A36879"/>
    <w:rsid w:val="38AD4C0A"/>
    <w:rsid w:val="38AF056D"/>
    <w:rsid w:val="38B273B5"/>
    <w:rsid w:val="38BE4EA5"/>
    <w:rsid w:val="38BF6454"/>
    <w:rsid w:val="38BF6E4D"/>
    <w:rsid w:val="39010E11"/>
    <w:rsid w:val="390549ED"/>
    <w:rsid w:val="39120CAE"/>
    <w:rsid w:val="39231886"/>
    <w:rsid w:val="39404179"/>
    <w:rsid w:val="39456836"/>
    <w:rsid w:val="39470667"/>
    <w:rsid w:val="395F063B"/>
    <w:rsid w:val="39646937"/>
    <w:rsid w:val="396A4FBD"/>
    <w:rsid w:val="396C11BE"/>
    <w:rsid w:val="3970274A"/>
    <w:rsid w:val="397720D5"/>
    <w:rsid w:val="39836BEC"/>
    <w:rsid w:val="398477E0"/>
    <w:rsid w:val="398A32F4"/>
    <w:rsid w:val="39931A05"/>
    <w:rsid w:val="39954F08"/>
    <w:rsid w:val="3995635C"/>
    <w:rsid w:val="39B06F76"/>
    <w:rsid w:val="39B350EE"/>
    <w:rsid w:val="39B75867"/>
    <w:rsid w:val="39F33F01"/>
    <w:rsid w:val="39FB306D"/>
    <w:rsid w:val="39FD62D1"/>
    <w:rsid w:val="39FF3DC6"/>
    <w:rsid w:val="3A0177D1"/>
    <w:rsid w:val="3A0E134F"/>
    <w:rsid w:val="3A107229"/>
    <w:rsid w:val="3A126E31"/>
    <w:rsid w:val="3A17204C"/>
    <w:rsid w:val="3A1D6A20"/>
    <w:rsid w:val="3A2B2937"/>
    <w:rsid w:val="3A2C4452"/>
    <w:rsid w:val="3A3A61E8"/>
    <w:rsid w:val="3A484134"/>
    <w:rsid w:val="3A682CE2"/>
    <w:rsid w:val="3A741692"/>
    <w:rsid w:val="3A777018"/>
    <w:rsid w:val="3A7908DF"/>
    <w:rsid w:val="3A791A5E"/>
    <w:rsid w:val="3A815B98"/>
    <w:rsid w:val="3A8B04F8"/>
    <w:rsid w:val="3A8B351F"/>
    <w:rsid w:val="3A960861"/>
    <w:rsid w:val="3A996727"/>
    <w:rsid w:val="3AA5706A"/>
    <w:rsid w:val="3AAC7D58"/>
    <w:rsid w:val="3AC460A6"/>
    <w:rsid w:val="3ACB4F85"/>
    <w:rsid w:val="3ACC7CDD"/>
    <w:rsid w:val="3AD1189A"/>
    <w:rsid w:val="3AD60C5E"/>
    <w:rsid w:val="3AE01ADD"/>
    <w:rsid w:val="3AE174AA"/>
    <w:rsid w:val="3AE50E1D"/>
    <w:rsid w:val="3AED5139"/>
    <w:rsid w:val="3AF060BE"/>
    <w:rsid w:val="3AF410E4"/>
    <w:rsid w:val="3AF55DC9"/>
    <w:rsid w:val="3AF969D5"/>
    <w:rsid w:val="3AFC5754"/>
    <w:rsid w:val="3B01020C"/>
    <w:rsid w:val="3B345743"/>
    <w:rsid w:val="3B43394A"/>
    <w:rsid w:val="3B45098F"/>
    <w:rsid w:val="3B615F60"/>
    <w:rsid w:val="3B6B7EB6"/>
    <w:rsid w:val="3B7206A8"/>
    <w:rsid w:val="3B721137"/>
    <w:rsid w:val="3B906228"/>
    <w:rsid w:val="3B9D74DC"/>
    <w:rsid w:val="3BA07298"/>
    <w:rsid w:val="3BA22893"/>
    <w:rsid w:val="3BA244B9"/>
    <w:rsid w:val="3BA415E5"/>
    <w:rsid w:val="3BA90615"/>
    <w:rsid w:val="3BAE4FCF"/>
    <w:rsid w:val="3BBE3294"/>
    <w:rsid w:val="3BC06797"/>
    <w:rsid w:val="3BCC25A9"/>
    <w:rsid w:val="3BD1314E"/>
    <w:rsid w:val="3BD17E78"/>
    <w:rsid w:val="3BE62C64"/>
    <w:rsid w:val="3BF638C7"/>
    <w:rsid w:val="3C007580"/>
    <w:rsid w:val="3C0331DD"/>
    <w:rsid w:val="3C127E4B"/>
    <w:rsid w:val="3C1A2F09"/>
    <w:rsid w:val="3C1D36D4"/>
    <w:rsid w:val="3C2213C5"/>
    <w:rsid w:val="3C2A50E0"/>
    <w:rsid w:val="3C2B0E50"/>
    <w:rsid w:val="3C2E6DCB"/>
    <w:rsid w:val="3C3C60E0"/>
    <w:rsid w:val="3C4542ED"/>
    <w:rsid w:val="3C487939"/>
    <w:rsid w:val="3C7265BA"/>
    <w:rsid w:val="3C76590C"/>
    <w:rsid w:val="3C78089F"/>
    <w:rsid w:val="3C8D6DE4"/>
    <w:rsid w:val="3C94725C"/>
    <w:rsid w:val="3C9550E5"/>
    <w:rsid w:val="3C985175"/>
    <w:rsid w:val="3C9E1F28"/>
    <w:rsid w:val="3CA135F1"/>
    <w:rsid w:val="3CA26A9B"/>
    <w:rsid w:val="3CA64660"/>
    <w:rsid w:val="3CA65F7E"/>
    <w:rsid w:val="3CA800AB"/>
    <w:rsid w:val="3CB217EF"/>
    <w:rsid w:val="3CC44270"/>
    <w:rsid w:val="3CCA23FD"/>
    <w:rsid w:val="3CCB0908"/>
    <w:rsid w:val="3CD40042"/>
    <w:rsid w:val="3CD55F24"/>
    <w:rsid w:val="3CD74A7D"/>
    <w:rsid w:val="3CDA4CE5"/>
    <w:rsid w:val="3CE50291"/>
    <w:rsid w:val="3CFB7507"/>
    <w:rsid w:val="3CFC24D2"/>
    <w:rsid w:val="3D06164F"/>
    <w:rsid w:val="3D0A4004"/>
    <w:rsid w:val="3D0D78DE"/>
    <w:rsid w:val="3D232B5B"/>
    <w:rsid w:val="3D296AB4"/>
    <w:rsid w:val="3D2F4655"/>
    <w:rsid w:val="3D3D3705"/>
    <w:rsid w:val="3D4A69A7"/>
    <w:rsid w:val="3D4B049C"/>
    <w:rsid w:val="3D4D399F"/>
    <w:rsid w:val="3D680C43"/>
    <w:rsid w:val="3D6878EE"/>
    <w:rsid w:val="3D70352D"/>
    <w:rsid w:val="3D7663D6"/>
    <w:rsid w:val="3D7E4F52"/>
    <w:rsid w:val="3D890734"/>
    <w:rsid w:val="3D962926"/>
    <w:rsid w:val="3D9A7321"/>
    <w:rsid w:val="3DA3488C"/>
    <w:rsid w:val="3DA976C1"/>
    <w:rsid w:val="3DAB17BA"/>
    <w:rsid w:val="3DB56E7F"/>
    <w:rsid w:val="3DB73F02"/>
    <w:rsid w:val="3DBF625C"/>
    <w:rsid w:val="3DDA48F7"/>
    <w:rsid w:val="3DDC6643"/>
    <w:rsid w:val="3DFE3ED6"/>
    <w:rsid w:val="3E0B0755"/>
    <w:rsid w:val="3E0D3DDD"/>
    <w:rsid w:val="3E2042B8"/>
    <w:rsid w:val="3E2D0A8E"/>
    <w:rsid w:val="3E3A2B26"/>
    <w:rsid w:val="3E3C09BD"/>
    <w:rsid w:val="3E3C56DD"/>
    <w:rsid w:val="3E447E06"/>
    <w:rsid w:val="3E4C1343"/>
    <w:rsid w:val="3E526CF8"/>
    <w:rsid w:val="3E6831F2"/>
    <w:rsid w:val="3E6A0CA7"/>
    <w:rsid w:val="3E79568B"/>
    <w:rsid w:val="3E7F2E17"/>
    <w:rsid w:val="3E810519"/>
    <w:rsid w:val="3E886F69"/>
    <w:rsid w:val="3E9055C8"/>
    <w:rsid w:val="3E9277B8"/>
    <w:rsid w:val="3EA92B21"/>
    <w:rsid w:val="3EAB0576"/>
    <w:rsid w:val="3EB47508"/>
    <w:rsid w:val="3EBD6FA8"/>
    <w:rsid w:val="3EBD7C91"/>
    <w:rsid w:val="3EBE7E93"/>
    <w:rsid w:val="3EC80C8D"/>
    <w:rsid w:val="3EC97025"/>
    <w:rsid w:val="3ED4389F"/>
    <w:rsid w:val="3ED45DA4"/>
    <w:rsid w:val="3EDB1EAC"/>
    <w:rsid w:val="3EE07785"/>
    <w:rsid w:val="3EEA0EF0"/>
    <w:rsid w:val="3EF01E51"/>
    <w:rsid w:val="3EF44FD4"/>
    <w:rsid w:val="3F1023C2"/>
    <w:rsid w:val="3F1374DF"/>
    <w:rsid w:val="3F29729E"/>
    <w:rsid w:val="3F2F3033"/>
    <w:rsid w:val="3F3F2A9F"/>
    <w:rsid w:val="3F515C9A"/>
    <w:rsid w:val="3F551B76"/>
    <w:rsid w:val="3F5A3A7F"/>
    <w:rsid w:val="3F61480E"/>
    <w:rsid w:val="3F684F93"/>
    <w:rsid w:val="3F724C46"/>
    <w:rsid w:val="3F731171"/>
    <w:rsid w:val="3F756364"/>
    <w:rsid w:val="3F791FEB"/>
    <w:rsid w:val="3F7A6532"/>
    <w:rsid w:val="3F8D1C71"/>
    <w:rsid w:val="3F991855"/>
    <w:rsid w:val="3F9A23C1"/>
    <w:rsid w:val="3FA163F2"/>
    <w:rsid w:val="3FB17F8B"/>
    <w:rsid w:val="3FBA2C8E"/>
    <w:rsid w:val="3FC865C2"/>
    <w:rsid w:val="3FCB4D51"/>
    <w:rsid w:val="3FD22A25"/>
    <w:rsid w:val="3FD95FF6"/>
    <w:rsid w:val="3FE030D9"/>
    <w:rsid w:val="3FEF3BDE"/>
    <w:rsid w:val="3FF05903"/>
    <w:rsid w:val="400224F5"/>
    <w:rsid w:val="401875F7"/>
    <w:rsid w:val="4019602A"/>
    <w:rsid w:val="4028745E"/>
    <w:rsid w:val="405812BE"/>
    <w:rsid w:val="40626188"/>
    <w:rsid w:val="4073188F"/>
    <w:rsid w:val="407A02DD"/>
    <w:rsid w:val="40825B6E"/>
    <w:rsid w:val="40862E1F"/>
    <w:rsid w:val="409024AC"/>
    <w:rsid w:val="409D7956"/>
    <w:rsid w:val="409E5ACC"/>
    <w:rsid w:val="40A75C9F"/>
    <w:rsid w:val="40AB081F"/>
    <w:rsid w:val="40C63F6B"/>
    <w:rsid w:val="40CA164E"/>
    <w:rsid w:val="40D50D6D"/>
    <w:rsid w:val="40DD4E28"/>
    <w:rsid w:val="40DE4BD4"/>
    <w:rsid w:val="40E32281"/>
    <w:rsid w:val="40E92D9D"/>
    <w:rsid w:val="40F2056F"/>
    <w:rsid w:val="40F612A2"/>
    <w:rsid w:val="40FB1417"/>
    <w:rsid w:val="40FC104E"/>
    <w:rsid w:val="41174FC6"/>
    <w:rsid w:val="4125091B"/>
    <w:rsid w:val="41536B25"/>
    <w:rsid w:val="415470BD"/>
    <w:rsid w:val="4156086C"/>
    <w:rsid w:val="415D2BD3"/>
    <w:rsid w:val="41741B70"/>
    <w:rsid w:val="41820F87"/>
    <w:rsid w:val="418A4550"/>
    <w:rsid w:val="41B3295A"/>
    <w:rsid w:val="41BD2ECC"/>
    <w:rsid w:val="41C64829"/>
    <w:rsid w:val="41CA318E"/>
    <w:rsid w:val="41DB1250"/>
    <w:rsid w:val="41E37814"/>
    <w:rsid w:val="41E73751"/>
    <w:rsid w:val="420240D8"/>
    <w:rsid w:val="42064962"/>
    <w:rsid w:val="42082BBD"/>
    <w:rsid w:val="420A7AE5"/>
    <w:rsid w:val="420C2FE8"/>
    <w:rsid w:val="421D3616"/>
    <w:rsid w:val="42244A63"/>
    <w:rsid w:val="42274443"/>
    <w:rsid w:val="4233672B"/>
    <w:rsid w:val="424B0423"/>
    <w:rsid w:val="425A0B69"/>
    <w:rsid w:val="425D2D6A"/>
    <w:rsid w:val="425F4FF1"/>
    <w:rsid w:val="4263727A"/>
    <w:rsid w:val="4269170C"/>
    <w:rsid w:val="428D00BE"/>
    <w:rsid w:val="42941428"/>
    <w:rsid w:val="42941C47"/>
    <w:rsid w:val="429733C9"/>
    <w:rsid w:val="429834FC"/>
    <w:rsid w:val="4299097D"/>
    <w:rsid w:val="429A6F3D"/>
    <w:rsid w:val="429B3481"/>
    <w:rsid w:val="429C28D7"/>
    <w:rsid w:val="42B26FF9"/>
    <w:rsid w:val="42B75D83"/>
    <w:rsid w:val="42CD2946"/>
    <w:rsid w:val="42D450DE"/>
    <w:rsid w:val="42D67602"/>
    <w:rsid w:val="42E32542"/>
    <w:rsid w:val="42E40A97"/>
    <w:rsid w:val="42E917B7"/>
    <w:rsid w:val="42ED2FE9"/>
    <w:rsid w:val="42F6304F"/>
    <w:rsid w:val="42F94111"/>
    <w:rsid w:val="4309548A"/>
    <w:rsid w:val="430A6AA3"/>
    <w:rsid w:val="430F5A8B"/>
    <w:rsid w:val="4315129C"/>
    <w:rsid w:val="43163732"/>
    <w:rsid w:val="43166D1E"/>
    <w:rsid w:val="431B472C"/>
    <w:rsid w:val="431D08CD"/>
    <w:rsid w:val="432602A9"/>
    <w:rsid w:val="43314988"/>
    <w:rsid w:val="433A6151"/>
    <w:rsid w:val="433C1524"/>
    <w:rsid w:val="433C67E1"/>
    <w:rsid w:val="4342672E"/>
    <w:rsid w:val="43482915"/>
    <w:rsid w:val="43635ED1"/>
    <w:rsid w:val="43672D9B"/>
    <w:rsid w:val="43680F12"/>
    <w:rsid w:val="43682B9F"/>
    <w:rsid w:val="43711B83"/>
    <w:rsid w:val="43754D8C"/>
    <w:rsid w:val="437C790D"/>
    <w:rsid w:val="43862855"/>
    <w:rsid w:val="439F1E33"/>
    <w:rsid w:val="43BA0533"/>
    <w:rsid w:val="43BC7E36"/>
    <w:rsid w:val="43C4246B"/>
    <w:rsid w:val="43C916AD"/>
    <w:rsid w:val="43CE64CC"/>
    <w:rsid w:val="43D55E57"/>
    <w:rsid w:val="43F35BFB"/>
    <w:rsid w:val="43F67691"/>
    <w:rsid w:val="44011FBE"/>
    <w:rsid w:val="44013BD3"/>
    <w:rsid w:val="440832C9"/>
    <w:rsid w:val="44184BBB"/>
    <w:rsid w:val="441D1ACF"/>
    <w:rsid w:val="441E742D"/>
    <w:rsid w:val="44284DC2"/>
    <w:rsid w:val="44286E9F"/>
    <w:rsid w:val="4430281C"/>
    <w:rsid w:val="443D6CAC"/>
    <w:rsid w:val="44442E1F"/>
    <w:rsid w:val="444B446B"/>
    <w:rsid w:val="44576F5B"/>
    <w:rsid w:val="44641089"/>
    <w:rsid w:val="4469669F"/>
    <w:rsid w:val="446B459B"/>
    <w:rsid w:val="446D616D"/>
    <w:rsid w:val="447C536B"/>
    <w:rsid w:val="447D2DED"/>
    <w:rsid w:val="44A049BD"/>
    <w:rsid w:val="44A44C7C"/>
    <w:rsid w:val="44AC79F8"/>
    <w:rsid w:val="44B70D48"/>
    <w:rsid w:val="44B921FC"/>
    <w:rsid w:val="44BF2763"/>
    <w:rsid w:val="44CF7545"/>
    <w:rsid w:val="44D07056"/>
    <w:rsid w:val="44DA017E"/>
    <w:rsid w:val="44FD5749"/>
    <w:rsid w:val="451231DA"/>
    <w:rsid w:val="45236DFE"/>
    <w:rsid w:val="452810B2"/>
    <w:rsid w:val="4530159D"/>
    <w:rsid w:val="4535259B"/>
    <w:rsid w:val="4537221B"/>
    <w:rsid w:val="45384E44"/>
    <w:rsid w:val="453918D3"/>
    <w:rsid w:val="453E074E"/>
    <w:rsid w:val="454C6311"/>
    <w:rsid w:val="454D3BBD"/>
    <w:rsid w:val="45570552"/>
    <w:rsid w:val="457C2402"/>
    <w:rsid w:val="458C5CEA"/>
    <w:rsid w:val="45917432"/>
    <w:rsid w:val="45A32BCF"/>
    <w:rsid w:val="45A5284F"/>
    <w:rsid w:val="45B2637C"/>
    <w:rsid w:val="45B30F4F"/>
    <w:rsid w:val="45B51A86"/>
    <w:rsid w:val="45BC2474"/>
    <w:rsid w:val="45C879D7"/>
    <w:rsid w:val="45CA20F5"/>
    <w:rsid w:val="45E8203F"/>
    <w:rsid w:val="45F33C53"/>
    <w:rsid w:val="45FA1497"/>
    <w:rsid w:val="46016800"/>
    <w:rsid w:val="46053B6D"/>
    <w:rsid w:val="460A5C60"/>
    <w:rsid w:val="460A62C8"/>
    <w:rsid w:val="46130905"/>
    <w:rsid w:val="4615155D"/>
    <w:rsid w:val="461F4F92"/>
    <w:rsid w:val="462B052A"/>
    <w:rsid w:val="46316363"/>
    <w:rsid w:val="463729AE"/>
    <w:rsid w:val="46375641"/>
    <w:rsid w:val="4638265A"/>
    <w:rsid w:val="463A24EF"/>
    <w:rsid w:val="463B467A"/>
    <w:rsid w:val="463D6035"/>
    <w:rsid w:val="4641001C"/>
    <w:rsid w:val="464C522E"/>
    <w:rsid w:val="46623F23"/>
    <w:rsid w:val="466C4816"/>
    <w:rsid w:val="466F6C5E"/>
    <w:rsid w:val="4679285C"/>
    <w:rsid w:val="467C1BD9"/>
    <w:rsid w:val="46825A7C"/>
    <w:rsid w:val="4683223D"/>
    <w:rsid w:val="46901258"/>
    <w:rsid w:val="46954C03"/>
    <w:rsid w:val="46C2696D"/>
    <w:rsid w:val="46C61A2D"/>
    <w:rsid w:val="46C80301"/>
    <w:rsid w:val="46CD1095"/>
    <w:rsid w:val="46D354BF"/>
    <w:rsid w:val="46D86895"/>
    <w:rsid w:val="46DB6CE2"/>
    <w:rsid w:val="46EE2057"/>
    <w:rsid w:val="46F06FEE"/>
    <w:rsid w:val="46F843FA"/>
    <w:rsid w:val="46F872F6"/>
    <w:rsid w:val="4707583F"/>
    <w:rsid w:val="47081AFF"/>
    <w:rsid w:val="470D6FA5"/>
    <w:rsid w:val="472A1FDC"/>
    <w:rsid w:val="473B30F3"/>
    <w:rsid w:val="473B3BEA"/>
    <w:rsid w:val="47562A90"/>
    <w:rsid w:val="47595C32"/>
    <w:rsid w:val="475E7622"/>
    <w:rsid w:val="476B4433"/>
    <w:rsid w:val="476E313F"/>
    <w:rsid w:val="476E56BE"/>
    <w:rsid w:val="476F0BC1"/>
    <w:rsid w:val="477D24F0"/>
    <w:rsid w:val="47862A37"/>
    <w:rsid w:val="479C4F08"/>
    <w:rsid w:val="47A45B98"/>
    <w:rsid w:val="47B00BDD"/>
    <w:rsid w:val="47B97FF9"/>
    <w:rsid w:val="47BB36B5"/>
    <w:rsid w:val="47BE64A1"/>
    <w:rsid w:val="47BE6742"/>
    <w:rsid w:val="47C00965"/>
    <w:rsid w:val="47CE0C09"/>
    <w:rsid w:val="47D2108D"/>
    <w:rsid w:val="47DE6C76"/>
    <w:rsid w:val="47F6211F"/>
    <w:rsid w:val="47F75622"/>
    <w:rsid w:val="47FB07A5"/>
    <w:rsid w:val="47FB2F37"/>
    <w:rsid w:val="47FC112A"/>
    <w:rsid w:val="47FE317F"/>
    <w:rsid w:val="48031B77"/>
    <w:rsid w:val="4809333E"/>
    <w:rsid w:val="480A0DBF"/>
    <w:rsid w:val="4829784C"/>
    <w:rsid w:val="4842699B"/>
    <w:rsid w:val="484A7484"/>
    <w:rsid w:val="48561790"/>
    <w:rsid w:val="4877310B"/>
    <w:rsid w:val="487D7A79"/>
    <w:rsid w:val="488B440D"/>
    <w:rsid w:val="488F1019"/>
    <w:rsid w:val="48A147B6"/>
    <w:rsid w:val="48B66A6F"/>
    <w:rsid w:val="48B9165E"/>
    <w:rsid w:val="48BC2DE1"/>
    <w:rsid w:val="48C35FF0"/>
    <w:rsid w:val="48C73083"/>
    <w:rsid w:val="48C82477"/>
    <w:rsid w:val="48CF4000"/>
    <w:rsid w:val="48D82712"/>
    <w:rsid w:val="48DF52F0"/>
    <w:rsid w:val="48E07B1E"/>
    <w:rsid w:val="48E41CE0"/>
    <w:rsid w:val="48EA66B1"/>
    <w:rsid w:val="48F00B6F"/>
    <w:rsid w:val="48F47CB4"/>
    <w:rsid w:val="48F63EC0"/>
    <w:rsid w:val="4901788E"/>
    <w:rsid w:val="49030FD7"/>
    <w:rsid w:val="49083987"/>
    <w:rsid w:val="491323BE"/>
    <w:rsid w:val="491856F9"/>
    <w:rsid w:val="491C711D"/>
    <w:rsid w:val="49206389"/>
    <w:rsid w:val="492178D9"/>
    <w:rsid w:val="493A4C1F"/>
    <w:rsid w:val="49415E3C"/>
    <w:rsid w:val="49464B68"/>
    <w:rsid w:val="494F2E95"/>
    <w:rsid w:val="495C4EE9"/>
    <w:rsid w:val="495C7CDB"/>
    <w:rsid w:val="49624874"/>
    <w:rsid w:val="4963540F"/>
    <w:rsid w:val="49686509"/>
    <w:rsid w:val="49695393"/>
    <w:rsid w:val="4990663D"/>
    <w:rsid w:val="499A1736"/>
    <w:rsid w:val="49A031A7"/>
    <w:rsid w:val="49A219D6"/>
    <w:rsid w:val="49AB26EA"/>
    <w:rsid w:val="49B358F8"/>
    <w:rsid w:val="49C43614"/>
    <w:rsid w:val="49C97A9C"/>
    <w:rsid w:val="49D1292A"/>
    <w:rsid w:val="49E5659F"/>
    <w:rsid w:val="49EE5181"/>
    <w:rsid w:val="49F43F0D"/>
    <w:rsid w:val="49F66C27"/>
    <w:rsid w:val="49F71D5A"/>
    <w:rsid w:val="4A010FF2"/>
    <w:rsid w:val="4A035B72"/>
    <w:rsid w:val="4A05407D"/>
    <w:rsid w:val="4A0D4D0D"/>
    <w:rsid w:val="4A113713"/>
    <w:rsid w:val="4A2C3F3D"/>
    <w:rsid w:val="4A530DE2"/>
    <w:rsid w:val="4A542F03"/>
    <w:rsid w:val="4A58343D"/>
    <w:rsid w:val="4A590F28"/>
    <w:rsid w:val="4A5A2857"/>
    <w:rsid w:val="4A5B65BB"/>
    <w:rsid w:val="4A6A1823"/>
    <w:rsid w:val="4A744FE7"/>
    <w:rsid w:val="4A7C5382"/>
    <w:rsid w:val="4A854F91"/>
    <w:rsid w:val="4A8A7B5A"/>
    <w:rsid w:val="4A8E1A35"/>
    <w:rsid w:val="4A9F2BEE"/>
    <w:rsid w:val="4AAC2663"/>
    <w:rsid w:val="4AB7359F"/>
    <w:rsid w:val="4ABB08D3"/>
    <w:rsid w:val="4AC04E7B"/>
    <w:rsid w:val="4AC35735"/>
    <w:rsid w:val="4AC63E98"/>
    <w:rsid w:val="4ACE7349"/>
    <w:rsid w:val="4AEA6060"/>
    <w:rsid w:val="4AEA7D6C"/>
    <w:rsid w:val="4AEF416D"/>
    <w:rsid w:val="4AF10803"/>
    <w:rsid w:val="4AFF7071"/>
    <w:rsid w:val="4B0C287C"/>
    <w:rsid w:val="4B125CAE"/>
    <w:rsid w:val="4B1751BF"/>
    <w:rsid w:val="4B1C641A"/>
    <w:rsid w:val="4B2218E2"/>
    <w:rsid w:val="4B2E622C"/>
    <w:rsid w:val="4B321D06"/>
    <w:rsid w:val="4B3B0FA9"/>
    <w:rsid w:val="4B415161"/>
    <w:rsid w:val="4B4C1538"/>
    <w:rsid w:val="4B4C60EB"/>
    <w:rsid w:val="4B5512B1"/>
    <w:rsid w:val="4B5B19AA"/>
    <w:rsid w:val="4B691746"/>
    <w:rsid w:val="4B825A06"/>
    <w:rsid w:val="4B851076"/>
    <w:rsid w:val="4B8D0368"/>
    <w:rsid w:val="4B9348D6"/>
    <w:rsid w:val="4BAC4DC9"/>
    <w:rsid w:val="4BB42635"/>
    <w:rsid w:val="4BBF68D2"/>
    <w:rsid w:val="4BD40B48"/>
    <w:rsid w:val="4BDD439B"/>
    <w:rsid w:val="4BE60F1D"/>
    <w:rsid w:val="4BE72014"/>
    <w:rsid w:val="4BE8259F"/>
    <w:rsid w:val="4BF1348D"/>
    <w:rsid w:val="4BF161A7"/>
    <w:rsid w:val="4BF8001B"/>
    <w:rsid w:val="4C0473C6"/>
    <w:rsid w:val="4C187E5D"/>
    <w:rsid w:val="4C2B35F7"/>
    <w:rsid w:val="4C2F3C8A"/>
    <w:rsid w:val="4C505FA5"/>
    <w:rsid w:val="4C6B006F"/>
    <w:rsid w:val="4C793B3F"/>
    <w:rsid w:val="4C7940C6"/>
    <w:rsid w:val="4C7C5D8B"/>
    <w:rsid w:val="4C7D440B"/>
    <w:rsid w:val="4C8307D7"/>
    <w:rsid w:val="4C855396"/>
    <w:rsid w:val="4C8C2CDD"/>
    <w:rsid w:val="4C8E1C0D"/>
    <w:rsid w:val="4C93212D"/>
    <w:rsid w:val="4CB229E2"/>
    <w:rsid w:val="4CBB2759"/>
    <w:rsid w:val="4CCC79AC"/>
    <w:rsid w:val="4CCF4C65"/>
    <w:rsid w:val="4CF0519F"/>
    <w:rsid w:val="4D0D2BB5"/>
    <w:rsid w:val="4D283CA5"/>
    <w:rsid w:val="4D3D03C8"/>
    <w:rsid w:val="4D447CA9"/>
    <w:rsid w:val="4D506997"/>
    <w:rsid w:val="4D645CE9"/>
    <w:rsid w:val="4D6D483B"/>
    <w:rsid w:val="4D973F59"/>
    <w:rsid w:val="4DAE6D61"/>
    <w:rsid w:val="4DB20386"/>
    <w:rsid w:val="4DB34E2F"/>
    <w:rsid w:val="4DB6503A"/>
    <w:rsid w:val="4DBA7B4A"/>
    <w:rsid w:val="4DBC2E94"/>
    <w:rsid w:val="4DC41814"/>
    <w:rsid w:val="4DCD4433"/>
    <w:rsid w:val="4DD43DBE"/>
    <w:rsid w:val="4DEF23EA"/>
    <w:rsid w:val="4DF57B76"/>
    <w:rsid w:val="4E0F31F8"/>
    <w:rsid w:val="4E160FB6"/>
    <w:rsid w:val="4E192EE4"/>
    <w:rsid w:val="4E2553E6"/>
    <w:rsid w:val="4E257040"/>
    <w:rsid w:val="4E34315E"/>
    <w:rsid w:val="4E345F70"/>
    <w:rsid w:val="4E514D0D"/>
    <w:rsid w:val="4E5466E1"/>
    <w:rsid w:val="4E5A5AE5"/>
    <w:rsid w:val="4E5D2A1D"/>
    <w:rsid w:val="4E605066"/>
    <w:rsid w:val="4E6A0142"/>
    <w:rsid w:val="4E6B55B6"/>
    <w:rsid w:val="4E6B70AE"/>
    <w:rsid w:val="4E6F6FA8"/>
    <w:rsid w:val="4E7353CC"/>
    <w:rsid w:val="4E7735C7"/>
    <w:rsid w:val="4E896A2B"/>
    <w:rsid w:val="4E920EE8"/>
    <w:rsid w:val="4E92242C"/>
    <w:rsid w:val="4EA64116"/>
    <w:rsid w:val="4EA8461D"/>
    <w:rsid w:val="4EC24D34"/>
    <w:rsid w:val="4ECA0E53"/>
    <w:rsid w:val="4EDA586A"/>
    <w:rsid w:val="4EE22C77"/>
    <w:rsid w:val="4EEB47DF"/>
    <w:rsid w:val="4EEC6EA1"/>
    <w:rsid w:val="4EEE3B82"/>
    <w:rsid w:val="4EF9330F"/>
    <w:rsid w:val="4EFE20DA"/>
    <w:rsid w:val="4EFE3334"/>
    <w:rsid w:val="4EFF636F"/>
    <w:rsid w:val="4F036A2F"/>
    <w:rsid w:val="4F052750"/>
    <w:rsid w:val="4F084D79"/>
    <w:rsid w:val="4F0F20C3"/>
    <w:rsid w:val="4F1137C6"/>
    <w:rsid w:val="4F145401"/>
    <w:rsid w:val="4F1822E5"/>
    <w:rsid w:val="4F383685"/>
    <w:rsid w:val="4F3F6893"/>
    <w:rsid w:val="4F427227"/>
    <w:rsid w:val="4F454F19"/>
    <w:rsid w:val="4F473CA0"/>
    <w:rsid w:val="4F5C03C2"/>
    <w:rsid w:val="4F7937C5"/>
    <w:rsid w:val="4F7E5557"/>
    <w:rsid w:val="4F812FA9"/>
    <w:rsid w:val="4F814362"/>
    <w:rsid w:val="4F830DCB"/>
    <w:rsid w:val="4F8D49A4"/>
    <w:rsid w:val="4FA80C84"/>
    <w:rsid w:val="4FAC4ADC"/>
    <w:rsid w:val="4FCA09F6"/>
    <w:rsid w:val="4FE26C68"/>
    <w:rsid w:val="4FF64042"/>
    <w:rsid w:val="4FFD07ED"/>
    <w:rsid w:val="500159C8"/>
    <w:rsid w:val="500243D3"/>
    <w:rsid w:val="50064076"/>
    <w:rsid w:val="50070A15"/>
    <w:rsid w:val="501650F8"/>
    <w:rsid w:val="50213559"/>
    <w:rsid w:val="5023629C"/>
    <w:rsid w:val="504B134F"/>
    <w:rsid w:val="505B4793"/>
    <w:rsid w:val="505D0643"/>
    <w:rsid w:val="506259B3"/>
    <w:rsid w:val="508023F2"/>
    <w:rsid w:val="50876C24"/>
    <w:rsid w:val="5092571F"/>
    <w:rsid w:val="509D3C30"/>
    <w:rsid w:val="50A021C6"/>
    <w:rsid w:val="50B029CE"/>
    <w:rsid w:val="50B67110"/>
    <w:rsid w:val="50BB2978"/>
    <w:rsid w:val="50C75416"/>
    <w:rsid w:val="50C82E97"/>
    <w:rsid w:val="50E44B3A"/>
    <w:rsid w:val="50E62B31"/>
    <w:rsid w:val="50EA249D"/>
    <w:rsid w:val="50F74257"/>
    <w:rsid w:val="5113264E"/>
    <w:rsid w:val="51155AAA"/>
    <w:rsid w:val="511C3FDF"/>
    <w:rsid w:val="512926DD"/>
    <w:rsid w:val="513A0A13"/>
    <w:rsid w:val="513C3B1B"/>
    <w:rsid w:val="51524FFA"/>
    <w:rsid w:val="515526FB"/>
    <w:rsid w:val="515C58D1"/>
    <w:rsid w:val="515C7B07"/>
    <w:rsid w:val="515E0E0C"/>
    <w:rsid w:val="5175004F"/>
    <w:rsid w:val="517D435A"/>
    <w:rsid w:val="51877A52"/>
    <w:rsid w:val="518A09D7"/>
    <w:rsid w:val="519412E6"/>
    <w:rsid w:val="519951C8"/>
    <w:rsid w:val="51A92185"/>
    <w:rsid w:val="51BC0C71"/>
    <w:rsid w:val="51BC1053"/>
    <w:rsid w:val="51CF53DD"/>
    <w:rsid w:val="51E2423F"/>
    <w:rsid w:val="51E4236A"/>
    <w:rsid w:val="51FC1190"/>
    <w:rsid w:val="51FD424B"/>
    <w:rsid w:val="51FF0996"/>
    <w:rsid w:val="520C1498"/>
    <w:rsid w:val="520F746F"/>
    <w:rsid w:val="5210609A"/>
    <w:rsid w:val="52122693"/>
    <w:rsid w:val="52133DB3"/>
    <w:rsid w:val="52137636"/>
    <w:rsid w:val="52152831"/>
    <w:rsid w:val="52170E48"/>
    <w:rsid w:val="52252DD4"/>
    <w:rsid w:val="52257A4C"/>
    <w:rsid w:val="522A1D0E"/>
    <w:rsid w:val="522B7A8D"/>
    <w:rsid w:val="52310B17"/>
    <w:rsid w:val="52394FB3"/>
    <w:rsid w:val="523E3EE4"/>
    <w:rsid w:val="52495084"/>
    <w:rsid w:val="52524B9C"/>
    <w:rsid w:val="525B609D"/>
    <w:rsid w:val="525E7A5F"/>
    <w:rsid w:val="52602B6B"/>
    <w:rsid w:val="52612974"/>
    <w:rsid w:val="52616036"/>
    <w:rsid w:val="526409BE"/>
    <w:rsid w:val="52703653"/>
    <w:rsid w:val="527F6965"/>
    <w:rsid w:val="528021E8"/>
    <w:rsid w:val="528B1C95"/>
    <w:rsid w:val="529B1B97"/>
    <w:rsid w:val="529F1945"/>
    <w:rsid w:val="52AA302D"/>
    <w:rsid w:val="52B365CB"/>
    <w:rsid w:val="52BD6D13"/>
    <w:rsid w:val="52C54EDB"/>
    <w:rsid w:val="52D2676F"/>
    <w:rsid w:val="52E4668A"/>
    <w:rsid w:val="52E51632"/>
    <w:rsid w:val="52E86D5F"/>
    <w:rsid w:val="530733C6"/>
    <w:rsid w:val="53094679"/>
    <w:rsid w:val="530A543A"/>
    <w:rsid w:val="530C1BE9"/>
    <w:rsid w:val="53185E60"/>
    <w:rsid w:val="532042F0"/>
    <w:rsid w:val="532D69F7"/>
    <w:rsid w:val="532E5683"/>
    <w:rsid w:val="532F3457"/>
    <w:rsid w:val="53357614"/>
    <w:rsid w:val="53377341"/>
    <w:rsid w:val="533F2817"/>
    <w:rsid w:val="534C0638"/>
    <w:rsid w:val="53540A14"/>
    <w:rsid w:val="535B2E50"/>
    <w:rsid w:val="535D2285"/>
    <w:rsid w:val="535D652D"/>
    <w:rsid w:val="53871F3C"/>
    <w:rsid w:val="538C705C"/>
    <w:rsid w:val="538E3BE9"/>
    <w:rsid w:val="5390736C"/>
    <w:rsid w:val="5397171F"/>
    <w:rsid w:val="53982CB5"/>
    <w:rsid w:val="53982F51"/>
    <w:rsid w:val="539A2D09"/>
    <w:rsid w:val="53A06120"/>
    <w:rsid w:val="53A41791"/>
    <w:rsid w:val="53AE15D6"/>
    <w:rsid w:val="53BB00D2"/>
    <w:rsid w:val="53BB08EB"/>
    <w:rsid w:val="53C15593"/>
    <w:rsid w:val="53C427C3"/>
    <w:rsid w:val="53CB416A"/>
    <w:rsid w:val="53D2383D"/>
    <w:rsid w:val="53DC24A5"/>
    <w:rsid w:val="53EC273F"/>
    <w:rsid w:val="53EE096F"/>
    <w:rsid w:val="54080556"/>
    <w:rsid w:val="54124EDC"/>
    <w:rsid w:val="54213B13"/>
    <w:rsid w:val="542E4F3C"/>
    <w:rsid w:val="5430412D"/>
    <w:rsid w:val="54323F3A"/>
    <w:rsid w:val="543A2F9B"/>
    <w:rsid w:val="543B4E46"/>
    <w:rsid w:val="543D59C1"/>
    <w:rsid w:val="544834FC"/>
    <w:rsid w:val="544D38E7"/>
    <w:rsid w:val="54505837"/>
    <w:rsid w:val="545830F6"/>
    <w:rsid w:val="54621774"/>
    <w:rsid w:val="546F6FC7"/>
    <w:rsid w:val="54722618"/>
    <w:rsid w:val="5486114B"/>
    <w:rsid w:val="5486329D"/>
    <w:rsid w:val="548D226F"/>
    <w:rsid w:val="54A12F3B"/>
    <w:rsid w:val="54A75353"/>
    <w:rsid w:val="54C904E0"/>
    <w:rsid w:val="54CC782F"/>
    <w:rsid w:val="54CE2BAC"/>
    <w:rsid w:val="54D33936"/>
    <w:rsid w:val="54E2127F"/>
    <w:rsid w:val="54E70933"/>
    <w:rsid w:val="54F309DA"/>
    <w:rsid w:val="54F31C6C"/>
    <w:rsid w:val="54F6351D"/>
    <w:rsid w:val="54F9201C"/>
    <w:rsid w:val="54FB4AFB"/>
    <w:rsid w:val="55271DE0"/>
    <w:rsid w:val="55407D8E"/>
    <w:rsid w:val="555B0188"/>
    <w:rsid w:val="556A0A50"/>
    <w:rsid w:val="55785804"/>
    <w:rsid w:val="55791063"/>
    <w:rsid w:val="557B4484"/>
    <w:rsid w:val="558F179A"/>
    <w:rsid w:val="55941463"/>
    <w:rsid w:val="55952E51"/>
    <w:rsid w:val="5597576B"/>
    <w:rsid w:val="55984C2B"/>
    <w:rsid w:val="55A45CFD"/>
    <w:rsid w:val="55A70333"/>
    <w:rsid w:val="55AC0AE1"/>
    <w:rsid w:val="55AD39BB"/>
    <w:rsid w:val="55B809C9"/>
    <w:rsid w:val="55E31099"/>
    <w:rsid w:val="55EB04ED"/>
    <w:rsid w:val="55F85209"/>
    <w:rsid w:val="55FA1E2A"/>
    <w:rsid w:val="55FB6C1C"/>
    <w:rsid w:val="56024028"/>
    <w:rsid w:val="56045FCA"/>
    <w:rsid w:val="5621105A"/>
    <w:rsid w:val="562529E0"/>
    <w:rsid w:val="564C383A"/>
    <w:rsid w:val="5651115B"/>
    <w:rsid w:val="5663087F"/>
    <w:rsid w:val="5683367D"/>
    <w:rsid w:val="56866800"/>
    <w:rsid w:val="569815FF"/>
    <w:rsid w:val="56A76DE5"/>
    <w:rsid w:val="56A80039"/>
    <w:rsid w:val="56B62BD2"/>
    <w:rsid w:val="56B86B24"/>
    <w:rsid w:val="56C7506B"/>
    <w:rsid w:val="56C767D2"/>
    <w:rsid w:val="56E33DB4"/>
    <w:rsid w:val="56EF3D98"/>
    <w:rsid w:val="56F3186E"/>
    <w:rsid w:val="56F93036"/>
    <w:rsid w:val="570064CA"/>
    <w:rsid w:val="570C1F0A"/>
    <w:rsid w:val="57113D76"/>
    <w:rsid w:val="571339AC"/>
    <w:rsid w:val="57237873"/>
    <w:rsid w:val="5734690D"/>
    <w:rsid w:val="57467DC2"/>
    <w:rsid w:val="5750754E"/>
    <w:rsid w:val="57525925"/>
    <w:rsid w:val="575710D7"/>
    <w:rsid w:val="575B27BF"/>
    <w:rsid w:val="57671135"/>
    <w:rsid w:val="576A2A02"/>
    <w:rsid w:val="57761184"/>
    <w:rsid w:val="577C7543"/>
    <w:rsid w:val="57817D1D"/>
    <w:rsid w:val="57945CD1"/>
    <w:rsid w:val="579A42CD"/>
    <w:rsid w:val="57C16588"/>
    <w:rsid w:val="57C32112"/>
    <w:rsid w:val="57CD239A"/>
    <w:rsid w:val="57D47ECA"/>
    <w:rsid w:val="57D72CAA"/>
    <w:rsid w:val="57EC73CC"/>
    <w:rsid w:val="57F75D57"/>
    <w:rsid w:val="57F91F65"/>
    <w:rsid w:val="57FC2EEA"/>
    <w:rsid w:val="57FD4237"/>
    <w:rsid w:val="58066AE3"/>
    <w:rsid w:val="581140E7"/>
    <w:rsid w:val="58264F86"/>
    <w:rsid w:val="582A2734"/>
    <w:rsid w:val="58366D88"/>
    <w:rsid w:val="583A4F4D"/>
    <w:rsid w:val="58507062"/>
    <w:rsid w:val="585724C5"/>
    <w:rsid w:val="587518AF"/>
    <w:rsid w:val="58773747"/>
    <w:rsid w:val="58925D23"/>
    <w:rsid w:val="58B43D3F"/>
    <w:rsid w:val="58C064AB"/>
    <w:rsid w:val="58C75E36"/>
    <w:rsid w:val="58D0005E"/>
    <w:rsid w:val="58D802CE"/>
    <w:rsid w:val="58EB705E"/>
    <w:rsid w:val="58EC600B"/>
    <w:rsid w:val="58F05975"/>
    <w:rsid w:val="58F45AE9"/>
    <w:rsid w:val="58F54693"/>
    <w:rsid w:val="59117857"/>
    <w:rsid w:val="59273171"/>
    <w:rsid w:val="592A5E97"/>
    <w:rsid w:val="593C3876"/>
    <w:rsid w:val="59417AFD"/>
    <w:rsid w:val="594C5D63"/>
    <w:rsid w:val="5952755C"/>
    <w:rsid w:val="59554A4A"/>
    <w:rsid w:val="595A2E61"/>
    <w:rsid w:val="595B4248"/>
    <w:rsid w:val="595F4EF3"/>
    <w:rsid w:val="5969563F"/>
    <w:rsid w:val="596E391A"/>
    <w:rsid w:val="59814722"/>
    <w:rsid w:val="59973856"/>
    <w:rsid w:val="599D2616"/>
    <w:rsid w:val="59A044B9"/>
    <w:rsid w:val="59A21DE3"/>
    <w:rsid w:val="59B52151"/>
    <w:rsid w:val="59C51FC9"/>
    <w:rsid w:val="59DE75BA"/>
    <w:rsid w:val="59E5080C"/>
    <w:rsid w:val="59F94D9E"/>
    <w:rsid w:val="5A1B240E"/>
    <w:rsid w:val="5A1D2B64"/>
    <w:rsid w:val="5A285BD3"/>
    <w:rsid w:val="5A2D7EDB"/>
    <w:rsid w:val="5A315A59"/>
    <w:rsid w:val="5A440A6B"/>
    <w:rsid w:val="5A4540EE"/>
    <w:rsid w:val="5A517B3B"/>
    <w:rsid w:val="5A582494"/>
    <w:rsid w:val="5A6B3F26"/>
    <w:rsid w:val="5A7F5187"/>
    <w:rsid w:val="5A870015"/>
    <w:rsid w:val="5A89218B"/>
    <w:rsid w:val="5A902E07"/>
    <w:rsid w:val="5A946E95"/>
    <w:rsid w:val="5AAA777F"/>
    <w:rsid w:val="5AAC022C"/>
    <w:rsid w:val="5AAD32C1"/>
    <w:rsid w:val="5AAD39D0"/>
    <w:rsid w:val="5AB03927"/>
    <w:rsid w:val="5AB151B0"/>
    <w:rsid w:val="5AB26C2F"/>
    <w:rsid w:val="5AB3021C"/>
    <w:rsid w:val="5AB3215E"/>
    <w:rsid w:val="5AB51DDE"/>
    <w:rsid w:val="5ABF016F"/>
    <w:rsid w:val="5AD004B8"/>
    <w:rsid w:val="5AE230E8"/>
    <w:rsid w:val="5AEE0889"/>
    <w:rsid w:val="5AF11C42"/>
    <w:rsid w:val="5B0A1509"/>
    <w:rsid w:val="5B141E84"/>
    <w:rsid w:val="5B195385"/>
    <w:rsid w:val="5B23585B"/>
    <w:rsid w:val="5B2D0E83"/>
    <w:rsid w:val="5B2E1AA7"/>
    <w:rsid w:val="5B3911C0"/>
    <w:rsid w:val="5B3E6F3B"/>
    <w:rsid w:val="5B3F3F40"/>
    <w:rsid w:val="5B461090"/>
    <w:rsid w:val="5B4C6606"/>
    <w:rsid w:val="5B661CA9"/>
    <w:rsid w:val="5B6E4C19"/>
    <w:rsid w:val="5B8219A2"/>
    <w:rsid w:val="5B834092"/>
    <w:rsid w:val="5B864CFF"/>
    <w:rsid w:val="5B945DFF"/>
    <w:rsid w:val="5B955B74"/>
    <w:rsid w:val="5B9B47A8"/>
    <w:rsid w:val="5B9E55DE"/>
    <w:rsid w:val="5BA104BC"/>
    <w:rsid w:val="5BAA10C2"/>
    <w:rsid w:val="5BCF05C7"/>
    <w:rsid w:val="5BD6544C"/>
    <w:rsid w:val="5BDA223B"/>
    <w:rsid w:val="5BDB3ECE"/>
    <w:rsid w:val="5BE46C9C"/>
    <w:rsid w:val="5BF22FC6"/>
    <w:rsid w:val="5BFA4096"/>
    <w:rsid w:val="5C00347E"/>
    <w:rsid w:val="5C2F30A8"/>
    <w:rsid w:val="5C337973"/>
    <w:rsid w:val="5C3C76B3"/>
    <w:rsid w:val="5C3F7662"/>
    <w:rsid w:val="5C4364E0"/>
    <w:rsid w:val="5C4C26D6"/>
    <w:rsid w:val="5C4E40FD"/>
    <w:rsid w:val="5C5E466D"/>
    <w:rsid w:val="5C665027"/>
    <w:rsid w:val="5C6A7000"/>
    <w:rsid w:val="5C6D272C"/>
    <w:rsid w:val="5C7368BB"/>
    <w:rsid w:val="5C736A80"/>
    <w:rsid w:val="5C7B3A6A"/>
    <w:rsid w:val="5C7F62CB"/>
    <w:rsid w:val="5C904EE3"/>
    <w:rsid w:val="5C905461"/>
    <w:rsid w:val="5C964D39"/>
    <w:rsid w:val="5C9B0A20"/>
    <w:rsid w:val="5CB47325"/>
    <w:rsid w:val="5CB70498"/>
    <w:rsid w:val="5CC404E8"/>
    <w:rsid w:val="5CC42095"/>
    <w:rsid w:val="5CE306C6"/>
    <w:rsid w:val="5CE546B0"/>
    <w:rsid w:val="5CF27722"/>
    <w:rsid w:val="5CFA2018"/>
    <w:rsid w:val="5D03123E"/>
    <w:rsid w:val="5D066D29"/>
    <w:rsid w:val="5D277664"/>
    <w:rsid w:val="5D3652D2"/>
    <w:rsid w:val="5D3839AA"/>
    <w:rsid w:val="5D5E6BE7"/>
    <w:rsid w:val="5D620742"/>
    <w:rsid w:val="5D751961"/>
    <w:rsid w:val="5D8F3358"/>
    <w:rsid w:val="5D9A0CA6"/>
    <w:rsid w:val="5DAE0FF2"/>
    <w:rsid w:val="5DAF6641"/>
    <w:rsid w:val="5DC603E5"/>
    <w:rsid w:val="5DD451FE"/>
    <w:rsid w:val="5DD56503"/>
    <w:rsid w:val="5DDE6106"/>
    <w:rsid w:val="5DDF3F77"/>
    <w:rsid w:val="5DDF4651"/>
    <w:rsid w:val="5DE05449"/>
    <w:rsid w:val="5DE1211B"/>
    <w:rsid w:val="5DE96E5E"/>
    <w:rsid w:val="5DEA664B"/>
    <w:rsid w:val="5DEC23C3"/>
    <w:rsid w:val="5DEF4B0D"/>
    <w:rsid w:val="5DFC012C"/>
    <w:rsid w:val="5DFE633F"/>
    <w:rsid w:val="5E012871"/>
    <w:rsid w:val="5E077E24"/>
    <w:rsid w:val="5E0F1B60"/>
    <w:rsid w:val="5E174D2B"/>
    <w:rsid w:val="5E19246F"/>
    <w:rsid w:val="5E2A6139"/>
    <w:rsid w:val="5E35651C"/>
    <w:rsid w:val="5E44559E"/>
    <w:rsid w:val="5E4F4700"/>
    <w:rsid w:val="5E6301AB"/>
    <w:rsid w:val="5E6C7060"/>
    <w:rsid w:val="5E7E7C15"/>
    <w:rsid w:val="5E893A28"/>
    <w:rsid w:val="5E8C034F"/>
    <w:rsid w:val="5E8E38C7"/>
    <w:rsid w:val="5E912F6A"/>
    <w:rsid w:val="5E977124"/>
    <w:rsid w:val="5EA04F5B"/>
    <w:rsid w:val="5EB0434F"/>
    <w:rsid w:val="5EB7681C"/>
    <w:rsid w:val="5EBA41F7"/>
    <w:rsid w:val="5EBB7FE7"/>
    <w:rsid w:val="5EBF067F"/>
    <w:rsid w:val="5ECC288B"/>
    <w:rsid w:val="5ECE51E0"/>
    <w:rsid w:val="5ED11DCA"/>
    <w:rsid w:val="5ED11E11"/>
    <w:rsid w:val="5EDD4CF4"/>
    <w:rsid w:val="5EED7BDA"/>
    <w:rsid w:val="5F0223ED"/>
    <w:rsid w:val="5F096992"/>
    <w:rsid w:val="5F0A0DD8"/>
    <w:rsid w:val="5F0A3DE3"/>
    <w:rsid w:val="5F0D0693"/>
    <w:rsid w:val="5F150A10"/>
    <w:rsid w:val="5F220495"/>
    <w:rsid w:val="5F2A71F1"/>
    <w:rsid w:val="5F2C67EF"/>
    <w:rsid w:val="5F382A2B"/>
    <w:rsid w:val="5F531144"/>
    <w:rsid w:val="5F5626A9"/>
    <w:rsid w:val="5F5C12F3"/>
    <w:rsid w:val="5F5C70D4"/>
    <w:rsid w:val="5F637743"/>
    <w:rsid w:val="5F6661A5"/>
    <w:rsid w:val="5F701FA3"/>
    <w:rsid w:val="5F7A0DB2"/>
    <w:rsid w:val="5F864151"/>
    <w:rsid w:val="5F8C493B"/>
    <w:rsid w:val="5F8D7EF3"/>
    <w:rsid w:val="5F9142A5"/>
    <w:rsid w:val="5F93775D"/>
    <w:rsid w:val="5FA91901"/>
    <w:rsid w:val="5FAB005C"/>
    <w:rsid w:val="5FB613CC"/>
    <w:rsid w:val="5FCC0CC9"/>
    <w:rsid w:val="5FD41360"/>
    <w:rsid w:val="5FD76DF7"/>
    <w:rsid w:val="5FE1785D"/>
    <w:rsid w:val="5FE3622F"/>
    <w:rsid w:val="5FE409AC"/>
    <w:rsid w:val="5FF06563"/>
    <w:rsid w:val="5FF24CD3"/>
    <w:rsid w:val="5FFA36A6"/>
    <w:rsid w:val="60063D1C"/>
    <w:rsid w:val="600D11B5"/>
    <w:rsid w:val="60166DF9"/>
    <w:rsid w:val="60352807"/>
    <w:rsid w:val="60367925"/>
    <w:rsid w:val="603A5341"/>
    <w:rsid w:val="603F36C8"/>
    <w:rsid w:val="603F3F2B"/>
    <w:rsid w:val="604307FB"/>
    <w:rsid w:val="604638DA"/>
    <w:rsid w:val="604F208F"/>
    <w:rsid w:val="6056359F"/>
    <w:rsid w:val="60605BAC"/>
    <w:rsid w:val="60665537"/>
    <w:rsid w:val="60672FB9"/>
    <w:rsid w:val="606873CC"/>
    <w:rsid w:val="60717AB4"/>
    <w:rsid w:val="60774BEE"/>
    <w:rsid w:val="60787F3E"/>
    <w:rsid w:val="6080285E"/>
    <w:rsid w:val="608A69F1"/>
    <w:rsid w:val="6093183F"/>
    <w:rsid w:val="60A5089F"/>
    <w:rsid w:val="60AD11A4"/>
    <w:rsid w:val="60AE372D"/>
    <w:rsid w:val="60DA3764"/>
    <w:rsid w:val="60DD09F9"/>
    <w:rsid w:val="60E008A9"/>
    <w:rsid w:val="60F1769A"/>
    <w:rsid w:val="60F33B12"/>
    <w:rsid w:val="610C2594"/>
    <w:rsid w:val="610D6DD9"/>
    <w:rsid w:val="611520E4"/>
    <w:rsid w:val="611C3D82"/>
    <w:rsid w:val="611F485D"/>
    <w:rsid w:val="611F6EE4"/>
    <w:rsid w:val="612968C7"/>
    <w:rsid w:val="613751C4"/>
    <w:rsid w:val="61472627"/>
    <w:rsid w:val="61502F36"/>
    <w:rsid w:val="61520727"/>
    <w:rsid w:val="616C4DE5"/>
    <w:rsid w:val="619268F7"/>
    <w:rsid w:val="61930E81"/>
    <w:rsid w:val="619B5505"/>
    <w:rsid w:val="619B6604"/>
    <w:rsid w:val="61B73134"/>
    <w:rsid w:val="61BA4962"/>
    <w:rsid w:val="61BD5AE9"/>
    <w:rsid w:val="61C93EFB"/>
    <w:rsid w:val="61CD059E"/>
    <w:rsid w:val="61DC639E"/>
    <w:rsid w:val="61E265C9"/>
    <w:rsid w:val="61E5122B"/>
    <w:rsid w:val="61E7692D"/>
    <w:rsid w:val="62076A0F"/>
    <w:rsid w:val="62277BE3"/>
    <w:rsid w:val="622B611D"/>
    <w:rsid w:val="622C0019"/>
    <w:rsid w:val="62362237"/>
    <w:rsid w:val="62390CB6"/>
    <w:rsid w:val="62397BA1"/>
    <w:rsid w:val="623F2BBF"/>
    <w:rsid w:val="624956CD"/>
    <w:rsid w:val="6251055B"/>
    <w:rsid w:val="625743DC"/>
    <w:rsid w:val="625C2A3D"/>
    <w:rsid w:val="626C3960"/>
    <w:rsid w:val="6270048D"/>
    <w:rsid w:val="6273799D"/>
    <w:rsid w:val="62804BC6"/>
    <w:rsid w:val="628632D9"/>
    <w:rsid w:val="628762B4"/>
    <w:rsid w:val="629234EC"/>
    <w:rsid w:val="62A0377C"/>
    <w:rsid w:val="62B6027F"/>
    <w:rsid w:val="62B9186A"/>
    <w:rsid w:val="62BE0F0F"/>
    <w:rsid w:val="62C12B14"/>
    <w:rsid w:val="62CA038C"/>
    <w:rsid w:val="62CC5762"/>
    <w:rsid w:val="62D608E6"/>
    <w:rsid w:val="62DB06A2"/>
    <w:rsid w:val="62F34922"/>
    <w:rsid w:val="62F81FED"/>
    <w:rsid w:val="63100901"/>
    <w:rsid w:val="63124A13"/>
    <w:rsid w:val="6323052D"/>
    <w:rsid w:val="63343EC4"/>
    <w:rsid w:val="63386B45"/>
    <w:rsid w:val="634556A1"/>
    <w:rsid w:val="634560D1"/>
    <w:rsid w:val="634A283E"/>
    <w:rsid w:val="635007F3"/>
    <w:rsid w:val="63554905"/>
    <w:rsid w:val="636A1027"/>
    <w:rsid w:val="636D1A17"/>
    <w:rsid w:val="636F0D32"/>
    <w:rsid w:val="637351DF"/>
    <w:rsid w:val="637D586B"/>
    <w:rsid w:val="63857653"/>
    <w:rsid w:val="639E277B"/>
    <w:rsid w:val="63A23524"/>
    <w:rsid w:val="63A80FD0"/>
    <w:rsid w:val="63A9755E"/>
    <w:rsid w:val="63AA1E11"/>
    <w:rsid w:val="63BD3030"/>
    <w:rsid w:val="63C02B06"/>
    <w:rsid w:val="63C47F06"/>
    <w:rsid w:val="63C713C1"/>
    <w:rsid w:val="63CB140E"/>
    <w:rsid w:val="63D77B42"/>
    <w:rsid w:val="63DB73C2"/>
    <w:rsid w:val="63DD6901"/>
    <w:rsid w:val="63E9088B"/>
    <w:rsid w:val="63F155BC"/>
    <w:rsid w:val="63FA06E3"/>
    <w:rsid w:val="640B0EC0"/>
    <w:rsid w:val="642E1E8A"/>
    <w:rsid w:val="6440286A"/>
    <w:rsid w:val="64536426"/>
    <w:rsid w:val="64545337"/>
    <w:rsid w:val="645B398F"/>
    <w:rsid w:val="6476532A"/>
    <w:rsid w:val="647824CC"/>
    <w:rsid w:val="64793590"/>
    <w:rsid w:val="648072B3"/>
    <w:rsid w:val="64834BB2"/>
    <w:rsid w:val="64875F7C"/>
    <w:rsid w:val="648B1C7C"/>
    <w:rsid w:val="648C29A9"/>
    <w:rsid w:val="648D0BAF"/>
    <w:rsid w:val="64B302F6"/>
    <w:rsid w:val="64B35797"/>
    <w:rsid w:val="64BC5151"/>
    <w:rsid w:val="64BD6288"/>
    <w:rsid w:val="64BE2BA0"/>
    <w:rsid w:val="64CA0F84"/>
    <w:rsid w:val="64CE650D"/>
    <w:rsid w:val="64D4607B"/>
    <w:rsid w:val="64D77000"/>
    <w:rsid w:val="64DA7F84"/>
    <w:rsid w:val="64E73A17"/>
    <w:rsid w:val="64ED641E"/>
    <w:rsid w:val="65073DBE"/>
    <w:rsid w:val="65094B29"/>
    <w:rsid w:val="650D1EAF"/>
    <w:rsid w:val="650E7EF7"/>
    <w:rsid w:val="651954EB"/>
    <w:rsid w:val="651E1818"/>
    <w:rsid w:val="652F7DDE"/>
    <w:rsid w:val="65346599"/>
    <w:rsid w:val="653F07A9"/>
    <w:rsid w:val="65410C2D"/>
    <w:rsid w:val="65434131"/>
    <w:rsid w:val="654F5549"/>
    <w:rsid w:val="65505624"/>
    <w:rsid w:val="655277F0"/>
    <w:rsid w:val="65670E6D"/>
    <w:rsid w:val="656A567A"/>
    <w:rsid w:val="656B66C6"/>
    <w:rsid w:val="656E627A"/>
    <w:rsid w:val="657B6CF9"/>
    <w:rsid w:val="658253BB"/>
    <w:rsid w:val="65900082"/>
    <w:rsid w:val="65912D43"/>
    <w:rsid w:val="65A27E70"/>
    <w:rsid w:val="65A672FB"/>
    <w:rsid w:val="65A86160"/>
    <w:rsid w:val="65AE2D3C"/>
    <w:rsid w:val="65AE6DF1"/>
    <w:rsid w:val="65BF216B"/>
    <w:rsid w:val="65C31D06"/>
    <w:rsid w:val="65C57731"/>
    <w:rsid w:val="65D52E0A"/>
    <w:rsid w:val="65DF3FAF"/>
    <w:rsid w:val="65E5173B"/>
    <w:rsid w:val="65E676F8"/>
    <w:rsid w:val="65F02456"/>
    <w:rsid w:val="65F06A33"/>
    <w:rsid w:val="65F251CE"/>
    <w:rsid w:val="65FD3F67"/>
    <w:rsid w:val="66007D67"/>
    <w:rsid w:val="66127C81"/>
    <w:rsid w:val="66167816"/>
    <w:rsid w:val="661A48C7"/>
    <w:rsid w:val="662E0864"/>
    <w:rsid w:val="663237D5"/>
    <w:rsid w:val="66383CCB"/>
    <w:rsid w:val="665141DA"/>
    <w:rsid w:val="66524D8D"/>
    <w:rsid w:val="665515CB"/>
    <w:rsid w:val="665A07F6"/>
    <w:rsid w:val="665A717C"/>
    <w:rsid w:val="665E6D0C"/>
    <w:rsid w:val="66620D05"/>
    <w:rsid w:val="66652D12"/>
    <w:rsid w:val="6667518D"/>
    <w:rsid w:val="668B6423"/>
    <w:rsid w:val="669261E1"/>
    <w:rsid w:val="66A81479"/>
    <w:rsid w:val="66D37D3F"/>
    <w:rsid w:val="66D51044"/>
    <w:rsid w:val="66D6691A"/>
    <w:rsid w:val="66D75B6D"/>
    <w:rsid w:val="66D94FE8"/>
    <w:rsid w:val="66DB09CF"/>
    <w:rsid w:val="66FC7BBF"/>
    <w:rsid w:val="66FD571E"/>
    <w:rsid w:val="6701444E"/>
    <w:rsid w:val="67070D01"/>
    <w:rsid w:val="670D4D52"/>
    <w:rsid w:val="671465AA"/>
    <w:rsid w:val="671A04B3"/>
    <w:rsid w:val="671D4CBB"/>
    <w:rsid w:val="6724205C"/>
    <w:rsid w:val="6728304C"/>
    <w:rsid w:val="6731055B"/>
    <w:rsid w:val="67345C59"/>
    <w:rsid w:val="67374196"/>
    <w:rsid w:val="673A578F"/>
    <w:rsid w:val="675F0FAA"/>
    <w:rsid w:val="67685F80"/>
    <w:rsid w:val="6775534A"/>
    <w:rsid w:val="678A585D"/>
    <w:rsid w:val="67901777"/>
    <w:rsid w:val="679B558A"/>
    <w:rsid w:val="67B2213E"/>
    <w:rsid w:val="67B47392"/>
    <w:rsid w:val="67C43F40"/>
    <w:rsid w:val="67C966FF"/>
    <w:rsid w:val="67CA3ACC"/>
    <w:rsid w:val="67D065F0"/>
    <w:rsid w:val="67DD5581"/>
    <w:rsid w:val="67E21549"/>
    <w:rsid w:val="67E653BA"/>
    <w:rsid w:val="67EE3D0F"/>
    <w:rsid w:val="67EF5446"/>
    <w:rsid w:val="680C2A44"/>
    <w:rsid w:val="68131FEA"/>
    <w:rsid w:val="682A3A97"/>
    <w:rsid w:val="682B37F2"/>
    <w:rsid w:val="6830791C"/>
    <w:rsid w:val="68314CAF"/>
    <w:rsid w:val="68320F80"/>
    <w:rsid w:val="68321246"/>
    <w:rsid w:val="68336A02"/>
    <w:rsid w:val="683A1C10"/>
    <w:rsid w:val="683A638D"/>
    <w:rsid w:val="68500530"/>
    <w:rsid w:val="685069F3"/>
    <w:rsid w:val="685B1EB3"/>
    <w:rsid w:val="686755C6"/>
    <w:rsid w:val="68680898"/>
    <w:rsid w:val="686D72DD"/>
    <w:rsid w:val="686E3DB1"/>
    <w:rsid w:val="68756DC9"/>
    <w:rsid w:val="688E57DB"/>
    <w:rsid w:val="68B64986"/>
    <w:rsid w:val="68B96C5F"/>
    <w:rsid w:val="68B97F60"/>
    <w:rsid w:val="68BB40DD"/>
    <w:rsid w:val="68BF2482"/>
    <w:rsid w:val="68C048E2"/>
    <w:rsid w:val="68C1536C"/>
    <w:rsid w:val="68C672BE"/>
    <w:rsid w:val="68C94A6C"/>
    <w:rsid w:val="68CD2DF1"/>
    <w:rsid w:val="68DD0B4C"/>
    <w:rsid w:val="690F2EED"/>
    <w:rsid w:val="69377B5D"/>
    <w:rsid w:val="693C3FBA"/>
    <w:rsid w:val="693D2737"/>
    <w:rsid w:val="694677C3"/>
    <w:rsid w:val="69763B96"/>
    <w:rsid w:val="6977345C"/>
    <w:rsid w:val="69844236"/>
    <w:rsid w:val="699B2AD1"/>
    <w:rsid w:val="69B648F2"/>
    <w:rsid w:val="69B745FF"/>
    <w:rsid w:val="69D306AC"/>
    <w:rsid w:val="69D376F3"/>
    <w:rsid w:val="69EA26ED"/>
    <w:rsid w:val="69F044E9"/>
    <w:rsid w:val="6A1D1F7E"/>
    <w:rsid w:val="6A20120C"/>
    <w:rsid w:val="6A215399"/>
    <w:rsid w:val="6A22716C"/>
    <w:rsid w:val="6A254C2E"/>
    <w:rsid w:val="6A2B692B"/>
    <w:rsid w:val="6A302FA3"/>
    <w:rsid w:val="6A304F81"/>
    <w:rsid w:val="6A310A46"/>
    <w:rsid w:val="6A314BE1"/>
    <w:rsid w:val="6A330B7E"/>
    <w:rsid w:val="6A360485"/>
    <w:rsid w:val="6A385C9B"/>
    <w:rsid w:val="6A3A6264"/>
    <w:rsid w:val="6A3E2465"/>
    <w:rsid w:val="6A4610AD"/>
    <w:rsid w:val="6A4C7946"/>
    <w:rsid w:val="6A540709"/>
    <w:rsid w:val="6A5617F2"/>
    <w:rsid w:val="6A595AFA"/>
    <w:rsid w:val="6A5C7933"/>
    <w:rsid w:val="6A5E5D0F"/>
    <w:rsid w:val="6A605D12"/>
    <w:rsid w:val="6A66349E"/>
    <w:rsid w:val="6A6E2AA9"/>
    <w:rsid w:val="6A725A57"/>
    <w:rsid w:val="6A7449B2"/>
    <w:rsid w:val="6A7B73DD"/>
    <w:rsid w:val="6A9204D5"/>
    <w:rsid w:val="6A9334C2"/>
    <w:rsid w:val="6A937EB8"/>
    <w:rsid w:val="6A9B2674"/>
    <w:rsid w:val="6AC210B9"/>
    <w:rsid w:val="6ACA73E5"/>
    <w:rsid w:val="6ACE2EE6"/>
    <w:rsid w:val="6AD43361"/>
    <w:rsid w:val="6AED5B32"/>
    <w:rsid w:val="6AF44007"/>
    <w:rsid w:val="6AF75AD5"/>
    <w:rsid w:val="6B141E8F"/>
    <w:rsid w:val="6B14233D"/>
    <w:rsid w:val="6B1E1457"/>
    <w:rsid w:val="6B2028CD"/>
    <w:rsid w:val="6B2F471C"/>
    <w:rsid w:val="6B35699A"/>
    <w:rsid w:val="6B43383E"/>
    <w:rsid w:val="6B4F341C"/>
    <w:rsid w:val="6B5466CF"/>
    <w:rsid w:val="6B6157B2"/>
    <w:rsid w:val="6B616BB9"/>
    <w:rsid w:val="6B6C4F4A"/>
    <w:rsid w:val="6B83719E"/>
    <w:rsid w:val="6B8F4205"/>
    <w:rsid w:val="6B8F4CBE"/>
    <w:rsid w:val="6B8F7BC7"/>
    <w:rsid w:val="6B973810"/>
    <w:rsid w:val="6B973A42"/>
    <w:rsid w:val="6B9A3C33"/>
    <w:rsid w:val="6BA170E5"/>
    <w:rsid w:val="6BA70A67"/>
    <w:rsid w:val="6BC17B7E"/>
    <w:rsid w:val="6BC958C5"/>
    <w:rsid w:val="6BCA72BD"/>
    <w:rsid w:val="6BE26C4B"/>
    <w:rsid w:val="6BE35DD2"/>
    <w:rsid w:val="6BE9361A"/>
    <w:rsid w:val="6BF31994"/>
    <w:rsid w:val="6BFA5AB3"/>
    <w:rsid w:val="6BFE7D3C"/>
    <w:rsid w:val="6C003C37"/>
    <w:rsid w:val="6C037DF4"/>
    <w:rsid w:val="6C053C5C"/>
    <w:rsid w:val="6C053E44"/>
    <w:rsid w:val="6C4E363D"/>
    <w:rsid w:val="6C4F64C7"/>
    <w:rsid w:val="6C511D45"/>
    <w:rsid w:val="6C513BE2"/>
    <w:rsid w:val="6C543325"/>
    <w:rsid w:val="6C5E28DD"/>
    <w:rsid w:val="6C5E57D7"/>
    <w:rsid w:val="6C62299E"/>
    <w:rsid w:val="6C6731E2"/>
    <w:rsid w:val="6C6B007F"/>
    <w:rsid w:val="6C6C7379"/>
    <w:rsid w:val="6C845A17"/>
    <w:rsid w:val="6C9172AB"/>
    <w:rsid w:val="6CB322FE"/>
    <w:rsid w:val="6CDA5121"/>
    <w:rsid w:val="6CDD53CB"/>
    <w:rsid w:val="6CEA4BD6"/>
    <w:rsid w:val="6CED05BD"/>
    <w:rsid w:val="6CEF1CC7"/>
    <w:rsid w:val="6D046421"/>
    <w:rsid w:val="6D1D51DE"/>
    <w:rsid w:val="6D200AC6"/>
    <w:rsid w:val="6D367A39"/>
    <w:rsid w:val="6D3E2515"/>
    <w:rsid w:val="6D403BCC"/>
    <w:rsid w:val="6D4103DC"/>
    <w:rsid w:val="6D44177C"/>
    <w:rsid w:val="6D4C7BEA"/>
    <w:rsid w:val="6D5758E8"/>
    <w:rsid w:val="6D621B82"/>
    <w:rsid w:val="6D6A61FA"/>
    <w:rsid w:val="6D750E7E"/>
    <w:rsid w:val="6D7B72BF"/>
    <w:rsid w:val="6D7D3A31"/>
    <w:rsid w:val="6D7D3FA5"/>
    <w:rsid w:val="6D8723A3"/>
    <w:rsid w:val="6D932351"/>
    <w:rsid w:val="6D997ADE"/>
    <w:rsid w:val="6DB07703"/>
    <w:rsid w:val="6DBC51E2"/>
    <w:rsid w:val="6DCA1912"/>
    <w:rsid w:val="6DCC4F60"/>
    <w:rsid w:val="6DCC7041"/>
    <w:rsid w:val="6DCF2368"/>
    <w:rsid w:val="6DD26D64"/>
    <w:rsid w:val="6E11551F"/>
    <w:rsid w:val="6E3343C1"/>
    <w:rsid w:val="6E46524E"/>
    <w:rsid w:val="6E4D2C74"/>
    <w:rsid w:val="6E4F0506"/>
    <w:rsid w:val="6E504EA6"/>
    <w:rsid w:val="6E55175F"/>
    <w:rsid w:val="6E56618D"/>
    <w:rsid w:val="6E5A44CA"/>
    <w:rsid w:val="6E711D3F"/>
    <w:rsid w:val="6E735475"/>
    <w:rsid w:val="6E842F5E"/>
    <w:rsid w:val="6E856E01"/>
    <w:rsid w:val="6E8C3890"/>
    <w:rsid w:val="6E9047F2"/>
    <w:rsid w:val="6E9666FC"/>
    <w:rsid w:val="6E981EC4"/>
    <w:rsid w:val="6E992F04"/>
    <w:rsid w:val="6EBA38F4"/>
    <w:rsid w:val="6EC246A0"/>
    <w:rsid w:val="6EC93758"/>
    <w:rsid w:val="6ED20ADF"/>
    <w:rsid w:val="6ED35D11"/>
    <w:rsid w:val="6ED43FE2"/>
    <w:rsid w:val="6EDF4E10"/>
    <w:rsid w:val="6EF47A45"/>
    <w:rsid w:val="6EF80A35"/>
    <w:rsid w:val="6EFB3EA2"/>
    <w:rsid w:val="6EFF1468"/>
    <w:rsid w:val="6F003BAD"/>
    <w:rsid w:val="6F0B413C"/>
    <w:rsid w:val="6F1218C9"/>
    <w:rsid w:val="6F1B2B08"/>
    <w:rsid w:val="6F254CE6"/>
    <w:rsid w:val="6F295FCC"/>
    <w:rsid w:val="6F3A0AB4"/>
    <w:rsid w:val="6F4C0591"/>
    <w:rsid w:val="6F4C45CE"/>
    <w:rsid w:val="6F5C1426"/>
    <w:rsid w:val="6F5D4AE8"/>
    <w:rsid w:val="6F6845AB"/>
    <w:rsid w:val="6F6A3147"/>
    <w:rsid w:val="6F6D76D3"/>
    <w:rsid w:val="6F714D12"/>
    <w:rsid w:val="6F7A230B"/>
    <w:rsid w:val="6F803800"/>
    <w:rsid w:val="6F8A7B72"/>
    <w:rsid w:val="6F9F49B0"/>
    <w:rsid w:val="6FB978D4"/>
    <w:rsid w:val="6FBC64DE"/>
    <w:rsid w:val="6FC214FE"/>
    <w:rsid w:val="6FC44357"/>
    <w:rsid w:val="6FD40906"/>
    <w:rsid w:val="6FE45726"/>
    <w:rsid w:val="6FE46622"/>
    <w:rsid w:val="6FEA4288"/>
    <w:rsid w:val="6FF375E1"/>
    <w:rsid w:val="700852D9"/>
    <w:rsid w:val="70092D5A"/>
    <w:rsid w:val="701411CC"/>
    <w:rsid w:val="70195574"/>
    <w:rsid w:val="701B28B0"/>
    <w:rsid w:val="70263E9E"/>
    <w:rsid w:val="70284DBF"/>
    <w:rsid w:val="702F4B63"/>
    <w:rsid w:val="70357069"/>
    <w:rsid w:val="703A33AE"/>
    <w:rsid w:val="70483B44"/>
    <w:rsid w:val="70640519"/>
    <w:rsid w:val="7068724F"/>
    <w:rsid w:val="706C1141"/>
    <w:rsid w:val="70770E10"/>
    <w:rsid w:val="707A3F6A"/>
    <w:rsid w:val="70995FB2"/>
    <w:rsid w:val="709B709D"/>
    <w:rsid w:val="709F1F00"/>
    <w:rsid w:val="70B00070"/>
    <w:rsid w:val="70B40C75"/>
    <w:rsid w:val="70BF2889"/>
    <w:rsid w:val="70C50229"/>
    <w:rsid w:val="70DC0B34"/>
    <w:rsid w:val="70E3248C"/>
    <w:rsid w:val="70E5253F"/>
    <w:rsid w:val="70EA46C8"/>
    <w:rsid w:val="70EB1E55"/>
    <w:rsid w:val="70F03058"/>
    <w:rsid w:val="710E764E"/>
    <w:rsid w:val="711C739F"/>
    <w:rsid w:val="711E28A2"/>
    <w:rsid w:val="712A7CBA"/>
    <w:rsid w:val="7130239D"/>
    <w:rsid w:val="71313D8A"/>
    <w:rsid w:val="713524C7"/>
    <w:rsid w:val="71473A67"/>
    <w:rsid w:val="71633397"/>
    <w:rsid w:val="717557DA"/>
    <w:rsid w:val="717A39DF"/>
    <w:rsid w:val="717F1FD4"/>
    <w:rsid w:val="717F3BC0"/>
    <w:rsid w:val="71805B23"/>
    <w:rsid w:val="71924DDF"/>
    <w:rsid w:val="719315E1"/>
    <w:rsid w:val="71CD5C10"/>
    <w:rsid w:val="71E37168"/>
    <w:rsid w:val="71E44989"/>
    <w:rsid w:val="71E70249"/>
    <w:rsid w:val="71EC078C"/>
    <w:rsid w:val="71F260FE"/>
    <w:rsid w:val="71F41601"/>
    <w:rsid w:val="72070621"/>
    <w:rsid w:val="72072820"/>
    <w:rsid w:val="720A7028"/>
    <w:rsid w:val="72204208"/>
    <w:rsid w:val="722234FF"/>
    <w:rsid w:val="72295D41"/>
    <w:rsid w:val="723D0AFC"/>
    <w:rsid w:val="7240236A"/>
    <w:rsid w:val="72463278"/>
    <w:rsid w:val="724A3704"/>
    <w:rsid w:val="7251779C"/>
    <w:rsid w:val="72594BA8"/>
    <w:rsid w:val="72607451"/>
    <w:rsid w:val="728F3335"/>
    <w:rsid w:val="7293150A"/>
    <w:rsid w:val="72935967"/>
    <w:rsid w:val="72BE1EBE"/>
    <w:rsid w:val="72C26316"/>
    <w:rsid w:val="72C651DC"/>
    <w:rsid w:val="72E0531F"/>
    <w:rsid w:val="72E70F53"/>
    <w:rsid w:val="72F0059F"/>
    <w:rsid w:val="73011D82"/>
    <w:rsid w:val="73025A28"/>
    <w:rsid w:val="730C20CE"/>
    <w:rsid w:val="73125BFA"/>
    <w:rsid w:val="731C016A"/>
    <w:rsid w:val="731E366D"/>
    <w:rsid w:val="7329156C"/>
    <w:rsid w:val="732A7851"/>
    <w:rsid w:val="7334609E"/>
    <w:rsid w:val="73477DD5"/>
    <w:rsid w:val="734D1F34"/>
    <w:rsid w:val="73541347"/>
    <w:rsid w:val="73550FA9"/>
    <w:rsid w:val="73654698"/>
    <w:rsid w:val="736B4175"/>
    <w:rsid w:val="73785000"/>
    <w:rsid w:val="737B7E13"/>
    <w:rsid w:val="737E54AB"/>
    <w:rsid w:val="737F0F58"/>
    <w:rsid w:val="7389572A"/>
    <w:rsid w:val="7390485B"/>
    <w:rsid w:val="73910128"/>
    <w:rsid w:val="739F5F82"/>
    <w:rsid w:val="73A225C1"/>
    <w:rsid w:val="741B09CE"/>
    <w:rsid w:val="741E320F"/>
    <w:rsid w:val="74237697"/>
    <w:rsid w:val="74250436"/>
    <w:rsid w:val="742A3E19"/>
    <w:rsid w:val="743044D6"/>
    <w:rsid w:val="74371BBB"/>
    <w:rsid w:val="744011C6"/>
    <w:rsid w:val="74441B65"/>
    <w:rsid w:val="74597B71"/>
    <w:rsid w:val="745B77F1"/>
    <w:rsid w:val="745F1A7B"/>
    <w:rsid w:val="746825B4"/>
    <w:rsid w:val="74780262"/>
    <w:rsid w:val="748704BE"/>
    <w:rsid w:val="74A643ED"/>
    <w:rsid w:val="74A957C0"/>
    <w:rsid w:val="74B915D8"/>
    <w:rsid w:val="74C66EA0"/>
    <w:rsid w:val="74CB1CEA"/>
    <w:rsid w:val="74D53759"/>
    <w:rsid w:val="74D900BF"/>
    <w:rsid w:val="74DF0306"/>
    <w:rsid w:val="74E27C24"/>
    <w:rsid w:val="74EE3490"/>
    <w:rsid w:val="74F00420"/>
    <w:rsid w:val="75057C8A"/>
    <w:rsid w:val="75111A5A"/>
    <w:rsid w:val="751342A3"/>
    <w:rsid w:val="751524A3"/>
    <w:rsid w:val="751A7C2E"/>
    <w:rsid w:val="752836C2"/>
    <w:rsid w:val="75292941"/>
    <w:rsid w:val="752B7ECA"/>
    <w:rsid w:val="7539250F"/>
    <w:rsid w:val="75394C61"/>
    <w:rsid w:val="754769AB"/>
    <w:rsid w:val="756278D6"/>
    <w:rsid w:val="75670771"/>
    <w:rsid w:val="75823730"/>
    <w:rsid w:val="758B2F36"/>
    <w:rsid w:val="758B3CF4"/>
    <w:rsid w:val="75923928"/>
    <w:rsid w:val="75B710B1"/>
    <w:rsid w:val="75BC19B7"/>
    <w:rsid w:val="75C31342"/>
    <w:rsid w:val="75C44616"/>
    <w:rsid w:val="75DB0892"/>
    <w:rsid w:val="75E204E2"/>
    <w:rsid w:val="75E572F8"/>
    <w:rsid w:val="7603212B"/>
    <w:rsid w:val="761A0CCB"/>
    <w:rsid w:val="761B4496"/>
    <w:rsid w:val="762304F4"/>
    <w:rsid w:val="76361681"/>
    <w:rsid w:val="763B5B08"/>
    <w:rsid w:val="76430996"/>
    <w:rsid w:val="7646191B"/>
    <w:rsid w:val="764D19B8"/>
    <w:rsid w:val="76535AF7"/>
    <w:rsid w:val="765A4D38"/>
    <w:rsid w:val="765F4A43"/>
    <w:rsid w:val="76707C43"/>
    <w:rsid w:val="7676297A"/>
    <w:rsid w:val="76785049"/>
    <w:rsid w:val="76824509"/>
    <w:rsid w:val="76A0373F"/>
    <w:rsid w:val="76A220CB"/>
    <w:rsid w:val="76A43EB3"/>
    <w:rsid w:val="76A651B8"/>
    <w:rsid w:val="76BD6FDB"/>
    <w:rsid w:val="76C66E9E"/>
    <w:rsid w:val="76D101FA"/>
    <w:rsid w:val="76D7173C"/>
    <w:rsid w:val="76DB2892"/>
    <w:rsid w:val="76E45FA2"/>
    <w:rsid w:val="76ED52B9"/>
    <w:rsid w:val="76F75EBB"/>
    <w:rsid w:val="76FA7B74"/>
    <w:rsid w:val="76FF686B"/>
    <w:rsid w:val="77082FEA"/>
    <w:rsid w:val="770B5FDA"/>
    <w:rsid w:val="770F611E"/>
    <w:rsid w:val="771E2940"/>
    <w:rsid w:val="7731489F"/>
    <w:rsid w:val="773C3BD5"/>
    <w:rsid w:val="77411EE4"/>
    <w:rsid w:val="775431F0"/>
    <w:rsid w:val="775F56D5"/>
    <w:rsid w:val="77611954"/>
    <w:rsid w:val="77687474"/>
    <w:rsid w:val="77690779"/>
    <w:rsid w:val="77714659"/>
    <w:rsid w:val="777B4EA0"/>
    <w:rsid w:val="77817AC6"/>
    <w:rsid w:val="778979A9"/>
    <w:rsid w:val="77902BB7"/>
    <w:rsid w:val="77A33DD6"/>
    <w:rsid w:val="77A64D5A"/>
    <w:rsid w:val="77AE7444"/>
    <w:rsid w:val="77C27558"/>
    <w:rsid w:val="77E141C3"/>
    <w:rsid w:val="77E14499"/>
    <w:rsid w:val="77E8486C"/>
    <w:rsid w:val="77F5271F"/>
    <w:rsid w:val="780417A8"/>
    <w:rsid w:val="780A40ED"/>
    <w:rsid w:val="780E651A"/>
    <w:rsid w:val="78136871"/>
    <w:rsid w:val="781C0323"/>
    <w:rsid w:val="781D63F2"/>
    <w:rsid w:val="78285DA5"/>
    <w:rsid w:val="783B710F"/>
    <w:rsid w:val="78536178"/>
    <w:rsid w:val="78563879"/>
    <w:rsid w:val="785A4663"/>
    <w:rsid w:val="786F7A21"/>
    <w:rsid w:val="78753987"/>
    <w:rsid w:val="787D153B"/>
    <w:rsid w:val="7880578A"/>
    <w:rsid w:val="789F2A47"/>
    <w:rsid w:val="78A972CB"/>
    <w:rsid w:val="78B02C8E"/>
    <w:rsid w:val="78DA5FE9"/>
    <w:rsid w:val="78DA6D60"/>
    <w:rsid w:val="78F73403"/>
    <w:rsid w:val="791D71FD"/>
    <w:rsid w:val="791E3CAD"/>
    <w:rsid w:val="79202048"/>
    <w:rsid w:val="792451CB"/>
    <w:rsid w:val="79273E57"/>
    <w:rsid w:val="792C5912"/>
    <w:rsid w:val="79374857"/>
    <w:rsid w:val="793D7EBD"/>
    <w:rsid w:val="794A7B05"/>
    <w:rsid w:val="79512818"/>
    <w:rsid w:val="798A7806"/>
    <w:rsid w:val="798B16F8"/>
    <w:rsid w:val="79903580"/>
    <w:rsid w:val="79936B04"/>
    <w:rsid w:val="79A56375"/>
    <w:rsid w:val="79AB1D81"/>
    <w:rsid w:val="79AF1E6E"/>
    <w:rsid w:val="79BB29AC"/>
    <w:rsid w:val="79C36276"/>
    <w:rsid w:val="79C906A3"/>
    <w:rsid w:val="7A0425E1"/>
    <w:rsid w:val="7A052110"/>
    <w:rsid w:val="7A0B4BCC"/>
    <w:rsid w:val="7A2443F8"/>
    <w:rsid w:val="7A2468E4"/>
    <w:rsid w:val="7A4E5EFE"/>
    <w:rsid w:val="7A5221FB"/>
    <w:rsid w:val="7A642850"/>
    <w:rsid w:val="7A6B4BBA"/>
    <w:rsid w:val="7A795AFD"/>
    <w:rsid w:val="7A96213E"/>
    <w:rsid w:val="7A993E33"/>
    <w:rsid w:val="7AA979D0"/>
    <w:rsid w:val="7AAF1A11"/>
    <w:rsid w:val="7AB80E65"/>
    <w:rsid w:val="7ABC1A6A"/>
    <w:rsid w:val="7ABF75F4"/>
    <w:rsid w:val="7AC322A6"/>
    <w:rsid w:val="7AD3168F"/>
    <w:rsid w:val="7ADE30D6"/>
    <w:rsid w:val="7AE46E60"/>
    <w:rsid w:val="7AE57625"/>
    <w:rsid w:val="7AEC31BB"/>
    <w:rsid w:val="7AFB1A3F"/>
    <w:rsid w:val="7B1371B2"/>
    <w:rsid w:val="7B140447"/>
    <w:rsid w:val="7B24775D"/>
    <w:rsid w:val="7B253A17"/>
    <w:rsid w:val="7B2D3022"/>
    <w:rsid w:val="7B3E3F95"/>
    <w:rsid w:val="7B3F550F"/>
    <w:rsid w:val="7B4E1210"/>
    <w:rsid w:val="7B5B066E"/>
    <w:rsid w:val="7B5B2745"/>
    <w:rsid w:val="7B5E34A6"/>
    <w:rsid w:val="7B6949B6"/>
    <w:rsid w:val="7B7C2A51"/>
    <w:rsid w:val="7B870E2F"/>
    <w:rsid w:val="7B9930CD"/>
    <w:rsid w:val="7BAE4631"/>
    <w:rsid w:val="7BB75966"/>
    <w:rsid w:val="7BF546E1"/>
    <w:rsid w:val="7BFB2711"/>
    <w:rsid w:val="7BFD36FB"/>
    <w:rsid w:val="7BFE0B3F"/>
    <w:rsid w:val="7C07400A"/>
    <w:rsid w:val="7C1173AB"/>
    <w:rsid w:val="7C2C2F45"/>
    <w:rsid w:val="7C3670D8"/>
    <w:rsid w:val="7C404E67"/>
    <w:rsid w:val="7C51350F"/>
    <w:rsid w:val="7C525383"/>
    <w:rsid w:val="7C58126E"/>
    <w:rsid w:val="7C61474D"/>
    <w:rsid w:val="7C6443AA"/>
    <w:rsid w:val="7C72188D"/>
    <w:rsid w:val="7C7514A2"/>
    <w:rsid w:val="7C816851"/>
    <w:rsid w:val="7C927A1B"/>
    <w:rsid w:val="7C933753"/>
    <w:rsid w:val="7C935AF6"/>
    <w:rsid w:val="7C952974"/>
    <w:rsid w:val="7CA2669A"/>
    <w:rsid w:val="7CA33E88"/>
    <w:rsid w:val="7CA51C63"/>
    <w:rsid w:val="7CB805AB"/>
    <w:rsid w:val="7CC3033B"/>
    <w:rsid w:val="7CCD33EB"/>
    <w:rsid w:val="7CD16458"/>
    <w:rsid w:val="7CDE3AEB"/>
    <w:rsid w:val="7CE243C0"/>
    <w:rsid w:val="7CFE799C"/>
    <w:rsid w:val="7D0C1CE2"/>
    <w:rsid w:val="7D0D1339"/>
    <w:rsid w:val="7D1144BC"/>
    <w:rsid w:val="7D142B81"/>
    <w:rsid w:val="7D2428A3"/>
    <w:rsid w:val="7D276660"/>
    <w:rsid w:val="7D2B75E2"/>
    <w:rsid w:val="7D3714C5"/>
    <w:rsid w:val="7D4C0E5D"/>
    <w:rsid w:val="7D5D653A"/>
    <w:rsid w:val="7D67744A"/>
    <w:rsid w:val="7D817FF3"/>
    <w:rsid w:val="7D8349B7"/>
    <w:rsid w:val="7D9677FD"/>
    <w:rsid w:val="7D9B31D0"/>
    <w:rsid w:val="7DA03BB5"/>
    <w:rsid w:val="7DA50C9A"/>
    <w:rsid w:val="7DB23532"/>
    <w:rsid w:val="7DC37F9A"/>
    <w:rsid w:val="7DDA0F68"/>
    <w:rsid w:val="7DE317A9"/>
    <w:rsid w:val="7DE84520"/>
    <w:rsid w:val="7DF32D96"/>
    <w:rsid w:val="7DFD162B"/>
    <w:rsid w:val="7DFE66C3"/>
    <w:rsid w:val="7E1B6997"/>
    <w:rsid w:val="7E2B3692"/>
    <w:rsid w:val="7E315C19"/>
    <w:rsid w:val="7E353820"/>
    <w:rsid w:val="7E3B0BC5"/>
    <w:rsid w:val="7E3D6B4D"/>
    <w:rsid w:val="7E400363"/>
    <w:rsid w:val="7E465DFC"/>
    <w:rsid w:val="7E4C09C1"/>
    <w:rsid w:val="7E52602D"/>
    <w:rsid w:val="7E5A45E1"/>
    <w:rsid w:val="7E683C04"/>
    <w:rsid w:val="7E685E14"/>
    <w:rsid w:val="7E7278BD"/>
    <w:rsid w:val="7E7421B1"/>
    <w:rsid w:val="7E757607"/>
    <w:rsid w:val="7E8050D6"/>
    <w:rsid w:val="7E97382D"/>
    <w:rsid w:val="7E995935"/>
    <w:rsid w:val="7EA14D54"/>
    <w:rsid w:val="7EA159B7"/>
    <w:rsid w:val="7EA87F32"/>
    <w:rsid w:val="7EA90D5A"/>
    <w:rsid w:val="7EB51F3D"/>
    <w:rsid w:val="7EBA4878"/>
    <w:rsid w:val="7EC62445"/>
    <w:rsid w:val="7EC9380E"/>
    <w:rsid w:val="7ECA3C03"/>
    <w:rsid w:val="7ECD1B26"/>
    <w:rsid w:val="7ECE2FD2"/>
    <w:rsid w:val="7EF35CD7"/>
    <w:rsid w:val="7EF742CC"/>
    <w:rsid w:val="7EF8215F"/>
    <w:rsid w:val="7EFA508F"/>
    <w:rsid w:val="7F04683A"/>
    <w:rsid w:val="7F0E6208"/>
    <w:rsid w:val="7F2E447F"/>
    <w:rsid w:val="7F2F0C31"/>
    <w:rsid w:val="7F302FFF"/>
    <w:rsid w:val="7F395076"/>
    <w:rsid w:val="7F3F7E1D"/>
    <w:rsid w:val="7F4C0855"/>
    <w:rsid w:val="7F524A36"/>
    <w:rsid w:val="7F5711BF"/>
    <w:rsid w:val="7F612B50"/>
    <w:rsid w:val="7F83165B"/>
    <w:rsid w:val="7F834067"/>
    <w:rsid w:val="7F8C1899"/>
    <w:rsid w:val="7F8D5137"/>
    <w:rsid w:val="7F912C1F"/>
    <w:rsid w:val="7F9A1968"/>
    <w:rsid w:val="7FAC48C0"/>
    <w:rsid w:val="7FC25D5F"/>
    <w:rsid w:val="7FCA1698"/>
    <w:rsid w:val="7FCE15A0"/>
    <w:rsid w:val="7FD87D2F"/>
    <w:rsid w:val="7FE77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6"/>
    <w:qFormat/>
    <w:uiPriority w:val="99"/>
    <w:pPr>
      <w:keepNext/>
      <w:keepLines/>
      <w:spacing w:before="340" w:after="330" w:line="576" w:lineRule="auto"/>
      <w:outlineLvl w:val="0"/>
    </w:pPr>
    <w:rPr>
      <w:b/>
      <w:bCs/>
      <w:kern w:val="44"/>
      <w:sz w:val="44"/>
      <w:szCs w:val="44"/>
    </w:rPr>
  </w:style>
  <w:style w:type="paragraph" w:styleId="4">
    <w:name w:val="heading 2"/>
    <w:basedOn w:val="1"/>
    <w:next w:val="1"/>
    <w:link w:val="62"/>
    <w:qFormat/>
    <w:uiPriority w:val="99"/>
    <w:pPr>
      <w:keepNext/>
      <w:keepLines/>
      <w:spacing w:before="260" w:after="260" w:line="413" w:lineRule="auto"/>
      <w:outlineLvl w:val="1"/>
    </w:pPr>
    <w:rPr>
      <w:rFonts w:ascii="Arial" w:hAnsi="Arial" w:eastAsia="黑体" w:cs="Arial"/>
      <w:b/>
      <w:bCs/>
      <w:sz w:val="32"/>
      <w:szCs w:val="32"/>
    </w:rPr>
  </w:style>
  <w:style w:type="paragraph" w:styleId="5">
    <w:name w:val="heading 3"/>
    <w:basedOn w:val="1"/>
    <w:next w:val="1"/>
    <w:link w:val="75"/>
    <w:qFormat/>
    <w:uiPriority w:val="99"/>
    <w:pPr>
      <w:keepNext/>
      <w:keepLines/>
      <w:spacing w:before="260" w:after="260" w:line="413" w:lineRule="auto"/>
      <w:outlineLvl w:val="2"/>
    </w:pPr>
    <w:rPr>
      <w:rFonts w:eastAsia="楷体_GB2312"/>
      <w:b/>
      <w:bCs/>
      <w:sz w:val="30"/>
      <w:szCs w:val="30"/>
    </w:rPr>
  </w:style>
  <w:style w:type="paragraph" w:styleId="6">
    <w:name w:val="heading 4"/>
    <w:basedOn w:val="1"/>
    <w:next w:val="1"/>
    <w:link w:val="65"/>
    <w:qFormat/>
    <w:uiPriority w:val="99"/>
    <w:pPr>
      <w:keepNext/>
      <w:keepLines/>
      <w:numPr>
        <w:ilvl w:val="3"/>
        <w:numId w:val="1"/>
      </w:numPr>
      <w:adjustRightInd w:val="0"/>
      <w:spacing w:before="280" w:after="290" w:line="376" w:lineRule="atLeast"/>
      <w:textAlignment w:val="baseline"/>
      <w:outlineLvl w:val="3"/>
    </w:pPr>
    <w:rPr>
      <w:rFonts w:ascii="Arial" w:hAnsi="Arial"/>
      <w:b/>
      <w:spacing w:val="20"/>
      <w:sz w:val="28"/>
      <w:szCs w:val="20"/>
    </w:rPr>
  </w:style>
  <w:style w:type="paragraph" w:styleId="7">
    <w:name w:val="heading 5"/>
    <w:basedOn w:val="1"/>
    <w:next w:val="1"/>
    <w:link w:val="74"/>
    <w:qFormat/>
    <w:uiPriority w:val="99"/>
    <w:pPr>
      <w:keepNext/>
      <w:keepLines/>
      <w:spacing w:before="280" w:after="290" w:line="376" w:lineRule="auto"/>
      <w:outlineLvl w:val="4"/>
    </w:pPr>
    <w:rPr>
      <w:b/>
      <w:bCs/>
      <w:kern w:val="0"/>
      <w:sz w:val="28"/>
      <w:szCs w:val="28"/>
    </w:rPr>
  </w:style>
  <w:style w:type="paragraph" w:styleId="8">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paragraph" w:styleId="9">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4"/>
    <w:unhideWhenUsed/>
    <w:qFormat/>
    <w:uiPriority w:val="99"/>
    <w:pPr>
      <w:spacing w:after="120"/>
    </w:pPr>
    <w:rPr>
      <w:rFonts w:eastAsia="Times New Roman"/>
    </w:rPr>
  </w:style>
  <w:style w:type="paragraph" w:styleId="10">
    <w:name w:val="toc 7"/>
    <w:basedOn w:val="1"/>
    <w:next w:val="1"/>
    <w:qFormat/>
    <w:uiPriority w:val="0"/>
    <w:pPr>
      <w:ind w:left="2520" w:leftChars="1200"/>
    </w:pPr>
  </w:style>
  <w:style w:type="paragraph" w:styleId="11">
    <w:name w:val="Normal Indent"/>
    <w:basedOn w:val="1"/>
    <w:next w:val="12"/>
    <w:link w:val="55"/>
    <w:qFormat/>
    <w:uiPriority w:val="99"/>
    <w:pPr>
      <w:ind w:firstLine="420" w:firstLineChars="200"/>
    </w:pPr>
  </w:style>
  <w:style w:type="paragraph" w:styleId="12">
    <w:name w:val="toc 4"/>
    <w:basedOn w:val="1"/>
    <w:next w:val="1"/>
    <w:qFormat/>
    <w:uiPriority w:val="0"/>
    <w:pPr>
      <w:ind w:left="1260" w:leftChars="600"/>
    </w:pPr>
  </w:style>
  <w:style w:type="paragraph" w:styleId="13">
    <w:name w:val="Document Map"/>
    <w:basedOn w:val="1"/>
    <w:qFormat/>
    <w:uiPriority w:val="0"/>
    <w:pPr>
      <w:shd w:val="clear" w:color="auto" w:fill="000080"/>
    </w:pPr>
  </w:style>
  <w:style w:type="paragraph" w:styleId="14">
    <w:name w:val="annotation text"/>
    <w:basedOn w:val="1"/>
    <w:qFormat/>
    <w:uiPriority w:val="0"/>
    <w:pPr>
      <w:jc w:val="left"/>
    </w:pPr>
    <w:rPr>
      <w:rFonts w:ascii="Times New Roman"/>
      <w:kern w:val="2"/>
      <w:sz w:val="21"/>
      <w:szCs w:val="24"/>
    </w:rPr>
  </w:style>
  <w:style w:type="paragraph" w:styleId="15">
    <w:name w:val="Body Text 3"/>
    <w:basedOn w:val="1"/>
    <w:qFormat/>
    <w:uiPriority w:val="0"/>
    <w:pPr>
      <w:spacing w:after="120"/>
    </w:pPr>
    <w:rPr>
      <w:sz w:val="16"/>
      <w:szCs w:val="16"/>
    </w:rPr>
  </w:style>
  <w:style w:type="paragraph" w:styleId="16">
    <w:name w:val="Body Text Indent"/>
    <w:basedOn w:val="1"/>
    <w:qFormat/>
    <w:uiPriority w:val="0"/>
    <w:pPr>
      <w:spacing w:after="120"/>
      <w:ind w:left="420" w:leftChars="200"/>
    </w:pPr>
  </w:style>
  <w:style w:type="paragraph" w:styleId="17">
    <w:name w:val="List 2"/>
    <w:basedOn w:val="1"/>
    <w:qFormat/>
    <w:uiPriority w:val="0"/>
    <w:pPr>
      <w:ind w:left="100" w:leftChars="200" w:hanging="200" w:hangingChars="200"/>
    </w:pPr>
  </w:style>
  <w:style w:type="paragraph" w:styleId="18">
    <w:name w:val="Block Text"/>
    <w:basedOn w:val="1"/>
    <w:next w:val="19"/>
    <w:qFormat/>
    <w:uiPriority w:val="0"/>
    <w:pPr>
      <w:ind w:left="420" w:leftChars="200" w:right="-70" w:rightChars="-70" w:firstLine="560" w:firstLineChars="200"/>
    </w:pPr>
    <w:rPr>
      <w:rFonts w:ascii="楷体_GB2312" w:eastAsia="楷体_GB2312"/>
      <w:sz w:val="28"/>
      <w:szCs w:val="20"/>
    </w:rPr>
  </w:style>
  <w:style w:type="paragraph" w:styleId="19">
    <w:name w:val="Plain Text"/>
    <w:basedOn w:val="1"/>
    <w:link w:val="61"/>
    <w:qFormat/>
    <w:uiPriority w:val="0"/>
    <w:rPr>
      <w:rFonts w:ascii="宋体" w:hAnsi="Courier New"/>
      <w:szCs w:val="20"/>
    </w:rPr>
  </w:style>
  <w:style w:type="paragraph" w:styleId="20">
    <w:name w:val="toc 5"/>
    <w:basedOn w:val="1"/>
    <w:next w:val="1"/>
    <w:qFormat/>
    <w:uiPriority w:val="0"/>
    <w:pPr>
      <w:ind w:left="1680" w:leftChars="800"/>
    </w:pPr>
  </w:style>
  <w:style w:type="paragraph" w:styleId="21">
    <w:name w:val="toc 3"/>
    <w:basedOn w:val="1"/>
    <w:next w:val="1"/>
    <w:qFormat/>
    <w:uiPriority w:val="0"/>
    <w:pPr>
      <w:ind w:left="840" w:leftChars="400"/>
    </w:pPr>
  </w:style>
  <w:style w:type="paragraph" w:styleId="22">
    <w:name w:val="toc 8"/>
    <w:basedOn w:val="1"/>
    <w:next w:val="1"/>
    <w:qFormat/>
    <w:uiPriority w:val="0"/>
    <w:pPr>
      <w:ind w:left="2940" w:leftChars="1400"/>
    </w:pPr>
  </w:style>
  <w:style w:type="paragraph" w:styleId="23">
    <w:name w:val="Date"/>
    <w:basedOn w:val="1"/>
    <w:next w:val="1"/>
    <w:link w:val="66"/>
    <w:qFormat/>
    <w:uiPriority w:val="99"/>
    <w:pPr>
      <w:ind w:left="100" w:leftChars="2500"/>
    </w:pPr>
  </w:style>
  <w:style w:type="paragraph" w:styleId="24">
    <w:name w:val="Body Text Indent 2"/>
    <w:basedOn w:val="1"/>
    <w:qFormat/>
    <w:uiPriority w:val="0"/>
    <w:pPr>
      <w:tabs>
        <w:tab w:val="left" w:pos="360"/>
      </w:tabs>
      <w:spacing w:line="360" w:lineRule="auto"/>
      <w:ind w:firstLine="480" w:firstLineChars="200"/>
    </w:pPr>
    <w:rPr>
      <w:sz w:val="24"/>
    </w:rPr>
  </w:style>
  <w:style w:type="paragraph" w:styleId="25">
    <w:name w:val="Balloon Text"/>
    <w:basedOn w:val="1"/>
    <w:link w:val="57"/>
    <w:qFormat/>
    <w:uiPriority w:val="99"/>
    <w:rPr>
      <w:sz w:val="18"/>
      <w:szCs w:val="18"/>
    </w:rPr>
  </w:style>
  <w:style w:type="paragraph" w:styleId="26">
    <w:name w:val="footer"/>
    <w:basedOn w:val="1"/>
    <w:next w:val="22"/>
    <w:link w:val="52"/>
    <w:qFormat/>
    <w:uiPriority w:val="99"/>
    <w:pPr>
      <w:tabs>
        <w:tab w:val="center" w:pos="4153"/>
        <w:tab w:val="right" w:pos="8306"/>
      </w:tabs>
      <w:snapToGrid w:val="0"/>
      <w:jc w:val="left"/>
    </w:pPr>
    <w:rPr>
      <w:sz w:val="18"/>
      <w:szCs w:val="18"/>
    </w:rPr>
  </w:style>
  <w:style w:type="paragraph" w:styleId="27">
    <w:name w:val="header"/>
    <w:basedOn w:val="1"/>
    <w:link w:val="70"/>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0"/>
  </w:style>
  <w:style w:type="paragraph" w:styleId="29">
    <w:name w:val="toc 6"/>
    <w:basedOn w:val="1"/>
    <w:next w:val="1"/>
    <w:qFormat/>
    <w:uiPriority w:val="0"/>
    <w:pPr>
      <w:ind w:left="2100" w:leftChars="1000"/>
    </w:pPr>
  </w:style>
  <w:style w:type="paragraph" w:styleId="30">
    <w:name w:val="Body Text Indent 3"/>
    <w:basedOn w:val="1"/>
    <w:link w:val="72"/>
    <w:qFormat/>
    <w:uiPriority w:val="99"/>
    <w:pPr>
      <w:ind w:firstLine="645"/>
    </w:pPr>
    <w:rPr>
      <w:rFonts w:ascii="宋体" w:hAnsi="Copperplate Gothic Bold"/>
      <w:kern w:val="0"/>
      <w:sz w:val="20"/>
      <w:szCs w:val="20"/>
    </w:rPr>
  </w:style>
  <w:style w:type="paragraph" w:styleId="31">
    <w:name w:val="toc 2"/>
    <w:basedOn w:val="1"/>
    <w:next w:val="1"/>
    <w:qFormat/>
    <w:uiPriority w:val="0"/>
    <w:pPr>
      <w:ind w:left="420" w:leftChars="200"/>
    </w:pPr>
  </w:style>
  <w:style w:type="paragraph" w:styleId="32">
    <w:name w:val="toc 9"/>
    <w:basedOn w:val="1"/>
    <w:next w:val="1"/>
    <w:qFormat/>
    <w:uiPriority w:val="0"/>
    <w:pPr>
      <w:ind w:left="3360" w:leftChars="1600"/>
    </w:pPr>
  </w:style>
  <w:style w:type="paragraph" w:styleId="33">
    <w:name w:val="Body Text 2"/>
    <w:basedOn w:val="1"/>
    <w:link w:val="94"/>
    <w:qFormat/>
    <w:uiPriority w:val="0"/>
    <w:pPr>
      <w:spacing w:after="120" w:line="480" w:lineRule="auto"/>
    </w:pPr>
  </w:style>
  <w:style w:type="paragraph" w:styleId="34">
    <w:name w:val="HTML Preformatted"/>
    <w:basedOn w:val="1"/>
    <w:link w:val="6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5">
    <w:name w:val="Normal (Web)"/>
    <w:basedOn w:val="1"/>
    <w:qFormat/>
    <w:uiPriority w:val="0"/>
    <w:pPr>
      <w:widowControl/>
      <w:spacing w:before="100" w:beforeAutospacing="1" w:after="100" w:afterAutospacing="1"/>
      <w:jc w:val="left"/>
    </w:pPr>
    <w:rPr>
      <w:rFonts w:ascii="宋体" w:hAnsi="宋体"/>
      <w:sz w:val="24"/>
    </w:rPr>
  </w:style>
  <w:style w:type="paragraph" w:styleId="36">
    <w:name w:val="Body Text First Indent"/>
    <w:basedOn w:val="2"/>
    <w:qFormat/>
    <w:uiPriority w:val="99"/>
    <w:pPr>
      <w:widowControl w:val="0"/>
      <w:spacing w:line="312" w:lineRule="auto"/>
      <w:ind w:firstLine="420"/>
      <w:jc w:val="both"/>
    </w:pPr>
    <w:rPr>
      <w:rFonts w:ascii="宋体" w:hAnsi="Calibri"/>
      <w:sz w:val="22"/>
      <w:lang w:val="zh-CN"/>
    </w:rPr>
  </w:style>
  <w:style w:type="paragraph" w:styleId="37">
    <w:name w:val="Body Text First Indent 2"/>
    <w:basedOn w:val="16"/>
    <w:qFormat/>
    <w:uiPriority w:val="0"/>
    <w:pPr>
      <w:tabs>
        <w:tab w:val="left" w:pos="4900"/>
      </w:tabs>
      <w:ind w:firstLine="420" w:firstLineChars="200"/>
    </w:pPr>
  </w:style>
  <w:style w:type="table" w:styleId="39">
    <w:name w:val="Table Grid"/>
    <w:basedOn w:val="38"/>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1">
    <w:name w:val="Strong"/>
    <w:basedOn w:val="40"/>
    <w:qFormat/>
    <w:uiPriority w:val="0"/>
    <w:rPr>
      <w:b/>
      <w:bCs/>
    </w:rPr>
  </w:style>
  <w:style w:type="character" w:styleId="42">
    <w:name w:val="page number"/>
    <w:basedOn w:val="40"/>
    <w:qFormat/>
    <w:uiPriority w:val="0"/>
  </w:style>
  <w:style w:type="character" w:styleId="43">
    <w:name w:val="FollowedHyperlink"/>
    <w:basedOn w:val="40"/>
    <w:qFormat/>
    <w:uiPriority w:val="0"/>
    <w:rPr>
      <w:rFonts w:hint="eastAsia" w:ascii="宋体" w:hAnsi="宋体" w:eastAsia="宋体" w:cs="宋体"/>
      <w:color w:val="000000"/>
      <w:sz w:val="18"/>
      <w:szCs w:val="18"/>
      <w:u w:val="none"/>
    </w:rPr>
  </w:style>
  <w:style w:type="character" w:styleId="44">
    <w:name w:val="Hyperlink"/>
    <w:basedOn w:val="40"/>
    <w:qFormat/>
    <w:uiPriority w:val="99"/>
    <w:rPr>
      <w:rFonts w:hint="eastAsia" w:ascii="宋体" w:hAnsi="宋体" w:eastAsia="宋体" w:cs="宋体"/>
      <w:color w:val="000000"/>
      <w:sz w:val="18"/>
      <w:szCs w:val="18"/>
      <w:u w:val="none"/>
    </w:rPr>
  </w:style>
  <w:style w:type="paragraph" w:customStyle="1" w:styleId="45">
    <w:name w:val="列出段落1"/>
    <w:basedOn w:val="1"/>
    <w:qFormat/>
    <w:uiPriority w:val="99"/>
    <w:pPr>
      <w:ind w:firstLine="420" w:firstLineChars="200"/>
    </w:pPr>
    <w:rPr>
      <w:szCs w:val="20"/>
    </w:rPr>
  </w:style>
  <w:style w:type="paragraph" w:customStyle="1" w:styleId="46">
    <w:name w:val="Heading4"/>
    <w:basedOn w:val="1"/>
    <w:next w:val="1"/>
    <w:qFormat/>
    <w:uiPriority w:val="0"/>
    <w:pPr>
      <w:keepNext/>
      <w:textAlignment w:val="baseline"/>
    </w:pPr>
    <w:rPr>
      <w:color w:val="FF0000"/>
      <w:sz w:val="28"/>
      <w:u w:val="single"/>
    </w:rPr>
  </w:style>
  <w:style w:type="paragraph" w:customStyle="1" w:styleId="47">
    <w:name w:val="UserStyle_0"/>
    <w:basedOn w:val="1"/>
    <w:qFormat/>
    <w:uiPriority w:val="0"/>
    <w:pPr>
      <w:ind w:firstLine="420" w:firstLineChars="200"/>
      <w:jc w:val="both"/>
      <w:textAlignment w:val="baseline"/>
    </w:pPr>
    <w:rPr>
      <w:rFonts w:ascii="Times New Roman" w:hAnsi="Times New Roman" w:eastAsia="宋体"/>
      <w:kern w:val="2"/>
      <w:sz w:val="21"/>
      <w:szCs w:val="20"/>
      <w:lang w:val="en-US" w:eastAsia="zh-CN" w:bidi="ar-SA"/>
    </w:rPr>
  </w:style>
  <w:style w:type="paragraph" w:customStyle="1" w:styleId="48">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Char"/>
    <w:basedOn w:val="1"/>
    <w:qFormat/>
    <w:uiPriority w:val="0"/>
    <w:rPr>
      <w:rFonts w:ascii="Tahoma" w:hAnsi="Tahoma"/>
      <w:sz w:val="24"/>
      <w:szCs w:val="20"/>
    </w:rPr>
  </w:style>
  <w:style w:type="paragraph" w:customStyle="1" w:styleId="50">
    <w:name w:val="Message Header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character" w:customStyle="1" w:styleId="51">
    <w:name w:val="ca-2"/>
    <w:basedOn w:val="40"/>
    <w:qFormat/>
    <w:uiPriority w:val="0"/>
  </w:style>
  <w:style w:type="character" w:customStyle="1" w:styleId="52">
    <w:name w:val="页脚 Char1"/>
    <w:basedOn w:val="40"/>
    <w:link w:val="26"/>
    <w:qFormat/>
    <w:locked/>
    <w:uiPriority w:val="99"/>
    <w:rPr>
      <w:kern w:val="2"/>
      <w:sz w:val="18"/>
      <w:szCs w:val="18"/>
    </w:rPr>
  </w:style>
  <w:style w:type="character" w:customStyle="1" w:styleId="53">
    <w:name w:val="页脚 Char"/>
    <w:qFormat/>
    <w:uiPriority w:val="99"/>
    <w:rPr>
      <w:rFonts w:ascii="Times New Roman" w:hAnsi="Times New Roman" w:eastAsia="宋体"/>
      <w:sz w:val="18"/>
    </w:rPr>
  </w:style>
  <w:style w:type="character" w:customStyle="1" w:styleId="54">
    <w:name w:val="正文文本 Char"/>
    <w:basedOn w:val="40"/>
    <w:link w:val="2"/>
    <w:qFormat/>
    <w:uiPriority w:val="99"/>
    <w:rPr>
      <w:rFonts w:eastAsia="Times New Roman"/>
      <w:kern w:val="2"/>
      <w:sz w:val="21"/>
      <w:szCs w:val="24"/>
      <w:lang w:val="en-US" w:eastAsia="zh-CN"/>
    </w:rPr>
  </w:style>
  <w:style w:type="character" w:customStyle="1" w:styleId="55">
    <w:name w:val="正文缩进 Char"/>
    <w:link w:val="11"/>
    <w:qFormat/>
    <w:locked/>
    <w:uiPriority w:val="99"/>
    <w:rPr>
      <w:kern w:val="2"/>
      <w:sz w:val="21"/>
      <w:szCs w:val="24"/>
    </w:rPr>
  </w:style>
  <w:style w:type="character" w:customStyle="1" w:styleId="56">
    <w:name w:val="标题 1 Char"/>
    <w:basedOn w:val="40"/>
    <w:link w:val="3"/>
    <w:qFormat/>
    <w:locked/>
    <w:uiPriority w:val="99"/>
    <w:rPr>
      <w:b/>
      <w:bCs/>
      <w:kern w:val="44"/>
      <w:sz w:val="44"/>
      <w:szCs w:val="44"/>
    </w:rPr>
  </w:style>
  <w:style w:type="character" w:customStyle="1" w:styleId="57">
    <w:name w:val="批注框文本 Char"/>
    <w:basedOn w:val="40"/>
    <w:link w:val="25"/>
    <w:qFormat/>
    <w:locked/>
    <w:uiPriority w:val="99"/>
    <w:rPr>
      <w:kern w:val="2"/>
      <w:sz w:val="18"/>
      <w:szCs w:val="18"/>
    </w:rPr>
  </w:style>
  <w:style w:type="character" w:customStyle="1" w:styleId="58">
    <w:name w:val="ca-3"/>
    <w:basedOn w:val="40"/>
    <w:qFormat/>
    <w:uiPriority w:val="0"/>
  </w:style>
  <w:style w:type="character" w:customStyle="1" w:styleId="59">
    <w:name w:val="paramname3"/>
    <w:basedOn w:val="40"/>
    <w:qFormat/>
    <w:uiPriority w:val="0"/>
    <w:rPr>
      <w:color w:val="999999"/>
    </w:rPr>
  </w:style>
  <w:style w:type="character" w:customStyle="1" w:styleId="60">
    <w:name w:val="HTML 预设格式 Char"/>
    <w:basedOn w:val="40"/>
    <w:link w:val="34"/>
    <w:qFormat/>
    <w:uiPriority w:val="99"/>
    <w:rPr>
      <w:rFonts w:ascii="宋体" w:hAnsi="宋体"/>
      <w:sz w:val="24"/>
      <w:szCs w:val="24"/>
    </w:rPr>
  </w:style>
  <w:style w:type="character" w:customStyle="1" w:styleId="61">
    <w:name w:val="纯文本 Char"/>
    <w:basedOn w:val="40"/>
    <w:link w:val="19"/>
    <w:qFormat/>
    <w:uiPriority w:val="0"/>
    <w:rPr>
      <w:rFonts w:ascii="宋体" w:hAnsi="Courier New"/>
      <w:kern w:val="2"/>
      <w:sz w:val="21"/>
    </w:rPr>
  </w:style>
  <w:style w:type="character" w:customStyle="1" w:styleId="62">
    <w:name w:val="标题 2 Char"/>
    <w:basedOn w:val="40"/>
    <w:link w:val="4"/>
    <w:qFormat/>
    <w:locked/>
    <w:uiPriority w:val="99"/>
    <w:rPr>
      <w:rFonts w:ascii="Arial" w:hAnsi="Arial" w:eastAsia="黑体" w:cs="Arial"/>
      <w:b/>
      <w:bCs/>
      <w:kern w:val="2"/>
      <w:sz w:val="32"/>
      <w:szCs w:val="32"/>
    </w:rPr>
  </w:style>
  <w:style w:type="character" w:customStyle="1" w:styleId="63">
    <w:name w:val="headline-content2"/>
    <w:basedOn w:val="40"/>
    <w:qFormat/>
    <w:uiPriority w:val="0"/>
  </w:style>
  <w:style w:type="character" w:customStyle="1" w:styleId="64">
    <w:name w:val="ca-0"/>
    <w:basedOn w:val="40"/>
    <w:qFormat/>
    <w:uiPriority w:val="0"/>
  </w:style>
  <w:style w:type="character" w:customStyle="1" w:styleId="65">
    <w:name w:val="标题 4 Char"/>
    <w:basedOn w:val="40"/>
    <w:link w:val="6"/>
    <w:qFormat/>
    <w:uiPriority w:val="99"/>
    <w:rPr>
      <w:rFonts w:ascii="Arial" w:hAnsi="Arial" w:eastAsia="宋体"/>
      <w:b/>
      <w:spacing w:val="20"/>
      <w:kern w:val="2"/>
      <w:sz w:val="28"/>
      <w:lang w:val="en-US" w:eastAsia="zh-CN" w:bidi="ar-SA"/>
    </w:rPr>
  </w:style>
  <w:style w:type="character" w:customStyle="1" w:styleId="66">
    <w:name w:val="日期 Char"/>
    <w:basedOn w:val="40"/>
    <w:link w:val="23"/>
    <w:qFormat/>
    <w:locked/>
    <w:uiPriority w:val="99"/>
    <w:rPr>
      <w:kern w:val="2"/>
      <w:sz w:val="21"/>
      <w:szCs w:val="24"/>
    </w:rPr>
  </w:style>
  <w:style w:type="character" w:customStyle="1" w:styleId="67">
    <w:name w:val="正文缩进 Char1"/>
    <w:qFormat/>
    <w:uiPriority w:val="99"/>
    <w:rPr>
      <w:rFonts w:ascii="Times New Roman" w:hAnsi="Times New Roman"/>
      <w:kern w:val="2"/>
      <w:sz w:val="24"/>
    </w:rPr>
  </w:style>
  <w:style w:type="character" w:customStyle="1" w:styleId="68">
    <w:name w:val="ca-4"/>
    <w:basedOn w:val="40"/>
    <w:qFormat/>
    <w:uiPriority w:val="0"/>
  </w:style>
  <w:style w:type="character" w:customStyle="1" w:styleId="69">
    <w:name w:val="ca-1"/>
    <w:basedOn w:val="40"/>
    <w:qFormat/>
    <w:uiPriority w:val="0"/>
  </w:style>
  <w:style w:type="character" w:customStyle="1" w:styleId="70">
    <w:name w:val="页眉 Char1"/>
    <w:basedOn w:val="40"/>
    <w:link w:val="27"/>
    <w:qFormat/>
    <w:locked/>
    <w:uiPriority w:val="99"/>
    <w:rPr>
      <w:kern w:val="2"/>
      <w:sz w:val="18"/>
      <w:szCs w:val="18"/>
    </w:rPr>
  </w:style>
  <w:style w:type="character" w:customStyle="1" w:styleId="71">
    <w:name w:val="ca-5"/>
    <w:basedOn w:val="40"/>
    <w:qFormat/>
    <w:uiPriority w:val="0"/>
  </w:style>
  <w:style w:type="character" w:customStyle="1" w:styleId="72">
    <w:name w:val="正文文本缩进 3 Char"/>
    <w:basedOn w:val="40"/>
    <w:link w:val="30"/>
    <w:qFormat/>
    <w:uiPriority w:val="99"/>
    <w:rPr>
      <w:rFonts w:ascii="宋体" w:hAnsi="Copperplate Gothic Bold"/>
    </w:rPr>
  </w:style>
  <w:style w:type="character" w:customStyle="1" w:styleId="73">
    <w:name w:val="页眉 Char"/>
    <w:qFormat/>
    <w:uiPriority w:val="99"/>
    <w:rPr>
      <w:rFonts w:ascii="Times New Roman" w:hAnsi="Times New Roman" w:eastAsia="宋体"/>
      <w:sz w:val="18"/>
    </w:rPr>
  </w:style>
  <w:style w:type="character" w:customStyle="1" w:styleId="74">
    <w:name w:val="标题 5 Char"/>
    <w:basedOn w:val="40"/>
    <w:link w:val="7"/>
    <w:qFormat/>
    <w:uiPriority w:val="99"/>
    <w:rPr>
      <w:b/>
      <w:bCs/>
      <w:sz w:val="28"/>
      <w:szCs w:val="28"/>
    </w:rPr>
  </w:style>
  <w:style w:type="character" w:customStyle="1" w:styleId="75">
    <w:name w:val="标题 3 Char"/>
    <w:basedOn w:val="40"/>
    <w:link w:val="5"/>
    <w:qFormat/>
    <w:locked/>
    <w:uiPriority w:val="99"/>
    <w:rPr>
      <w:rFonts w:eastAsia="楷体_GB2312"/>
      <w:b/>
      <w:bCs/>
      <w:kern w:val="2"/>
      <w:sz w:val="30"/>
      <w:szCs w:val="30"/>
    </w:rPr>
  </w:style>
  <w:style w:type="paragraph" w:customStyle="1" w:styleId="76">
    <w:name w:val="Char1"/>
    <w:basedOn w:val="1"/>
    <w:qFormat/>
    <w:uiPriority w:val="99"/>
    <w:rPr>
      <w:rFonts w:ascii="仿宋_GB2312" w:eastAsia="仿宋_GB2312"/>
      <w:b/>
      <w:sz w:val="32"/>
      <w:szCs w:val="32"/>
    </w:rPr>
  </w:style>
  <w:style w:type="paragraph" w:customStyle="1" w:styleId="77">
    <w:name w:val="font14"/>
    <w:basedOn w:val="1"/>
    <w:qFormat/>
    <w:uiPriority w:val="0"/>
    <w:pPr>
      <w:widowControl/>
      <w:spacing w:before="100" w:beforeAutospacing="1" w:after="100" w:afterAutospacing="1" w:line="288" w:lineRule="auto"/>
      <w:jc w:val="left"/>
    </w:pPr>
    <w:rPr>
      <w:rFonts w:ascii="ˎ̥" w:hAnsi="ˎ̥" w:cs="宋体"/>
      <w:color w:val="000000"/>
      <w:kern w:val="0"/>
      <w:sz w:val="22"/>
      <w:szCs w:val="22"/>
    </w:rPr>
  </w:style>
  <w:style w:type="paragraph" w:customStyle="1" w:styleId="78">
    <w:name w:val="Char Char Char Char Char Char Char"/>
    <w:basedOn w:val="13"/>
    <w:qFormat/>
    <w:uiPriority w:val="0"/>
    <w:rPr>
      <w:rFonts w:ascii="Tahoma" w:hAnsi="Tahoma"/>
      <w:sz w:val="24"/>
    </w:rPr>
  </w:style>
  <w:style w:type="paragraph" w:customStyle="1" w:styleId="79">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0">
    <w:name w:val="正文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81">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2">
    <w:name w:val="Char Char Char Char"/>
    <w:basedOn w:val="1"/>
    <w:qFormat/>
    <w:uiPriority w:val="0"/>
    <w:rPr>
      <w:rFonts w:ascii="Tahoma" w:hAnsi="Tahoma"/>
      <w:sz w:val="24"/>
      <w:szCs w:val="20"/>
    </w:rPr>
  </w:style>
  <w:style w:type="paragraph" w:customStyle="1" w:styleId="83">
    <w:name w:val="xl5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kern w:val="0"/>
      <w:sz w:val="20"/>
      <w:szCs w:val="20"/>
    </w:rPr>
  </w:style>
  <w:style w:type="paragraph" w:customStyle="1" w:styleId="84">
    <w:name w:val="样式2"/>
    <w:basedOn w:val="1"/>
    <w:qFormat/>
    <w:uiPriority w:val="0"/>
    <w:pPr>
      <w:tabs>
        <w:tab w:val="left" w:pos="425"/>
      </w:tabs>
      <w:ind w:left="425" w:hanging="425"/>
    </w:pPr>
    <w:rPr>
      <w:szCs w:val="20"/>
    </w:rPr>
  </w:style>
  <w:style w:type="paragraph" w:customStyle="1" w:styleId="85">
    <w:name w:val="四号"/>
    <w:basedOn w:val="1"/>
    <w:next w:val="11"/>
    <w:qFormat/>
    <w:uiPriority w:val="0"/>
    <w:pPr>
      <w:spacing w:line="360" w:lineRule="auto"/>
      <w:ind w:left="1134"/>
    </w:pPr>
    <w:rPr>
      <w:sz w:val="24"/>
    </w:rPr>
  </w:style>
  <w:style w:type="paragraph" w:customStyle="1" w:styleId="86">
    <w:name w:val="Char11"/>
    <w:basedOn w:val="1"/>
    <w:qFormat/>
    <w:uiPriority w:val="0"/>
    <w:pPr>
      <w:spacing w:line="440" w:lineRule="atLeast"/>
      <w:ind w:firstLine="482" w:firstLineChars="200"/>
    </w:pPr>
    <w:rPr>
      <w:rFonts w:ascii="宋体" w:hAnsi="宋体"/>
      <w:b/>
      <w:color w:val="000000"/>
      <w:sz w:val="24"/>
    </w:rPr>
  </w:style>
  <w:style w:type="paragraph" w:customStyle="1" w:styleId="87">
    <w:name w:val="1 Char Char Char Char"/>
    <w:basedOn w:val="1"/>
    <w:qFormat/>
    <w:uiPriority w:val="0"/>
    <w:pPr>
      <w:spacing w:line="360" w:lineRule="auto"/>
      <w:jc w:val="center"/>
    </w:pPr>
    <w:rPr>
      <w:rFonts w:ascii="Tahoma" w:hAnsi="Tahoma"/>
      <w:sz w:val="24"/>
      <w:szCs w:val="20"/>
    </w:rPr>
  </w:style>
  <w:style w:type="paragraph" w:customStyle="1" w:styleId="88">
    <w:name w:val="Char Char Char"/>
    <w:basedOn w:val="1"/>
    <w:qFormat/>
    <w:uiPriority w:val="0"/>
    <w:rPr>
      <w:rFonts w:ascii="Copperplate Gothic Bold" w:hAnsi="Copperplate Gothic Bold"/>
      <w:kern w:val="0"/>
      <w:sz w:val="28"/>
      <w:szCs w:val="28"/>
    </w:rPr>
  </w:style>
  <w:style w:type="paragraph" w:customStyle="1" w:styleId="89">
    <w:name w:val="列出段落2"/>
    <w:basedOn w:val="1"/>
    <w:qFormat/>
    <w:uiPriority w:val="34"/>
    <w:pPr>
      <w:ind w:firstLine="420" w:firstLineChars="200"/>
    </w:pPr>
  </w:style>
  <w:style w:type="paragraph" w:customStyle="1" w:styleId="90">
    <w:name w:val="List Paragraph1"/>
    <w:basedOn w:val="1"/>
    <w:qFormat/>
    <w:uiPriority w:val="0"/>
    <w:pPr>
      <w:ind w:left="720"/>
    </w:pPr>
    <w:rPr>
      <w:szCs w:val="20"/>
    </w:rPr>
  </w:style>
  <w:style w:type="paragraph" w:customStyle="1" w:styleId="91">
    <w:name w:val="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92">
    <w:name w:val="列出段落3"/>
    <w:basedOn w:val="1"/>
    <w:unhideWhenUsed/>
    <w:qFormat/>
    <w:uiPriority w:val="99"/>
    <w:pPr>
      <w:ind w:firstLine="420" w:firstLineChars="200"/>
    </w:pPr>
  </w:style>
  <w:style w:type="paragraph" w:customStyle="1" w:styleId="93">
    <w:name w:val="列出段落4"/>
    <w:basedOn w:val="1"/>
    <w:unhideWhenUsed/>
    <w:qFormat/>
    <w:uiPriority w:val="99"/>
    <w:pPr>
      <w:ind w:firstLine="420" w:firstLineChars="200"/>
    </w:pPr>
  </w:style>
  <w:style w:type="character" w:customStyle="1" w:styleId="94">
    <w:name w:val="正文文本 2 Char"/>
    <w:basedOn w:val="40"/>
    <w:link w:val="33"/>
    <w:qFormat/>
    <w:uiPriority w:val="0"/>
    <w:rPr>
      <w:kern w:val="2"/>
      <w:sz w:val="21"/>
      <w:szCs w:val="24"/>
    </w:rPr>
  </w:style>
  <w:style w:type="character" w:customStyle="1" w:styleId="95">
    <w:name w:val="font11"/>
    <w:basedOn w:val="40"/>
    <w:qFormat/>
    <w:uiPriority w:val="0"/>
    <w:rPr>
      <w:rFonts w:hint="eastAsia" w:ascii="宋体" w:hAnsi="宋体" w:eastAsia="宋体" w:cs="宋体"/>
      <w:color w:val="000000"/>
      <w:sz w:val="24"/>
      <w:szCs w:val="24"/>
      <w:u w:val="none"/>
    </w:rPr>
  </w:style>
  <w:style w:type="character" w:customStyle="1" w:styleId="96">
    <w:name w:val="font01"/>
    <w:basedOn w:val="40"/>
    <w:qFormat/>
    <w:uiPriority w:val="0"/>
    <w:rPr>
      <w:rFonts w:hint="eastAsia" w:ascii="宋体" w:hAnsi="宋体" w:eastAsia="宋体" w:cs="宋体"/>
      <w:color w:val="000000"/>
      <w:sz w:val="24"/>
      <w:szCs w:val="24"/>
      <w:u w:val="none"/>
      <w:vertAlign w:val="superscript"/>
    </w:rPr>
  </w:style>
  <w:style w:type="paragraph" w:customStyle="1" w:styleId="97">
    <w:name w:val="列出段落5"/>
    <w:basedOn w:val="1"/>
    <w:qFormat/>
    <w:uiPriority w:val="34"/>
    <w:pPr>
      <w:ind w:firstLine="420" w:firstLineChars="200"/>
    </w:pPr>
  </w:style>
  <w:style w:type="paragraph" w:customStyle="1" w:styleId="98">
    <w:name w:val="_Style 2"/>
    <w:basedOn w:val="1"/>
    <w:qFormat/>
    <w:uiPriority w:val="0"/>
    <w:pPr>
      <w:ind w:firstLine="420" w:firstLineChars="200"/>
    </w:pPr>
  </w:style>
  <w:style w:type="paragraph" w:customStyle="1" w:styleId="99">
    <w:name w:val="_Style 1"/>
    <w:basedOn w:val="1"/>
    <w:qFormat/>
    <w:uiPriority w:val="0"/>
    <w:pPr>
      <w:ind w:firstLine="420" w:firstLineChars="200"/>
    </w:pPr>
    <w:rPr>
      <w:rFonts w:ascii="Calibri" w:hAnsi="Calibri"/>
      <w:szCs w:val="22"/>
    </w:rPr>
  </w:style>
  <w:style w:type="paragraph" w:customStyle="1" w:styleId="100">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sz w:val="24"/>
    </w:rPr>
  </w:style>
  <w:style w:type="paragraph" w:customStyle="1" w:styleId="101">
    <w:name w:val="表格文字中"/>
    <w:basedOn w:val="1"/>
    <w:qFormat/>
    <w:uiPriority w:val="0"/>
    <w:pPr>
      <w:adjustRightInd w:val="0"/>
      <w:snapToGrid w:val="0"/>
      <w:ind w:left="22" w:leftChars="8"/>
      <w:jc w:val="center"/>
    </w:pPr>
    <w:rPr>
      <w:kern w:val="0"/>
    </w:rPr>
  </w:style>
  <w:style w:type="paragraph" w:customStyle="1" w:styleId="102">
    <w:name w:val="表注1"/>
    <w:basedOn w:val="1"/>
    <w:qFormat/>
    <w:uiPriority w:val="0"/>
    <w:pPr>
      <w:adjustRightInd w:val="0"/>
      <w:snapToGrid w:val="0"/>
      <w:spacing w:beforeLines="50" w:line="300" w:lineRule="auto"/>
      <w:ind w:left="350" w:hanging="350" w:hangingChars="350"/>
    </w:pPr>
    <w:rPr>
      <w:rFonts w:eastAsia="仿宋_GB2312"/>
      <w:bCs/>
      <w:color w:val="000000"/>
    </w:rPr>
  </w:style>
  <w:style w:type="paragraph" w:customStyle="1" w:styleId="103">
    <w:name w:val="目录"/>
    <w:basedOn w:val="1"/>
    <w:qFormat/>
    <w:uiPriority w:val="0"/>
    <w:pPr>
      <w:widowControl/>
      <w:jc w:val="center"/>
    </w:pPr>
    <w:rPr>
      <w:rFonts w:ascii="宋体"/>
      <w:b/>
      <w:kern w:val="0"/>
      <w:sz w:val="36"/>
      <w:szCs w:val="20"/>
    </w:rPr>
  </w:style>
  <w:style w:type="paragraph" w:customStyle="1" w:styleId="10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styleId="105">
    <w:name w:val="List Paragraph"/>
    <w:basedOn w:val="1"/>
    <w:unhideWhenUsed/>
    <w:qFormat/>
    <w:uiPriority w:val="99"/>
    <w:pPr>
      <w:ind w:firstLine="420" w:firstLineChars="200"/>
    </w:pPr>
  </w:style>
  <w:style w:type="paragraph" w:customStyle="1" w:styleId="106">
    <w:name w:val="xiao b"/>
    <w:basedOn w:val="1"/>
    <w:qFormat/>
    <w:uiPriority w:val="0"/>
    <w:pPr>
      <w:spacing w:line="240" w:lineRule="auto"/>
      <w:jc w:val="center"/>
    </w:pPr>
    <w:rPr>
      <w:rFonts w:eastAsia="黑体"/>
      <w:sz w:val="24"/>
      <w:szCs w:val="20"/>
    </w:rPr>
  </w:style>
  <w:style w:type="paragraph" w:styleId="107">
    <w:name w:val="No Spacing"/>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8">
    <w:name w:val="Definition Term"/>
    <w:basedOn w:val="1"/>
    <w:next w:val="1"/>
    <w:qFormat/>
    <w:uiPriority w:val="0"/>
  </w:style>
  <w:style w:type="character" w:customStyle="1" w:styleId="109">
    <w:name w:val="HTML Markup"/>
    <w:qFormat/>
    <w:uiPriority w:val="0"/>
    <w:rPr>
      <w:vanish/>
      <w:color w:val="FF0000"/>
    </w:rPr>
  </w:style>
  <w:style w:type="paragraph" w:customStyle="1" w:styleId="110">
    <w:name w:val="Definition List"/>
    <w:basedOn w:val="1"/>
    <w:next w:val="108"/>
    <w:qFormat/>
    <w:uiPriority w:val="0"/>
    <w:pPr>
      <w:ind w:left="360"/>
    </w:pPr>
  </w:style>
  <w:style w:type="paragraph" w:customStyle="1" w:styleId="111">
    <w:name w:val="WPSOffice手动目录 1"/>
    <w:qFormat/>
    <w:uiPriority w:val="0"/>
    <w:pPr>
      <w:ind w:leftChars="0"/>
    </w:pPr>
    <w:rPr>
      <w:rFonts w:ascii="Times New Roman" w:hAnsi="Times New Roman" w:eastAsia="宋体" w:cs="Times New Roman"/>
      <w:sz w:val="20"/>
      <w:szCs w:val="20"/>
    </w:rPr>
  </w:style>
  <w:style w:type="paragraph" w:customStyle="1" w:styleId="112">
    <w:name w:val="NormalParagraphStyle"/>
    <w:basedOn w:val="1"/>
    <w:qFormat/>
    <w:uiPriority w:val="0"/>
    <w:pPr>
      <w:autoSpaceDE w:val="0"/>
      <w:autoSpaceDN w:val="0"/>
      <w:adjustRightInd w:val="0"/>
      <w:spacing w:line="288" w:lineRule="auto"/>
    </w:pPr>
    <w:rPr>
      <w:rFonts w:hint="eastAsia" w:ascii="宋体" w:hAnsi="Calibri"/>
      <w:color w:val="000000"/>
      <w:kern w:val="0"/>
    </w:rPr>
  </w:style>
  <w:style w:type="paragraph" w:customStyle="1" w:styleId="113">
    <w:name w:val="样式 标题 2 + Times New Roman 四号 非加粗 段前: 5 磅 段后: 0 磅 行距: 固定值 20..."/>
    <w:basedOn w:val="4"/>
    <w:qFormat/>
    <w:uiPriority w:val="99"/>
    <w:pPr>
      <w:spacing w:before="100" w:after="0" w:line="400" w:lineRule="exact"/>
    </w:pPr>
    <w:rPr>
      <w:rFonts w:ascii="Times New Roman" w:hAnsi="Times New Roman" w:eastAsia="黑体" w:cs="宋体"/>
      <w:b w:val="0"/>
      <w:bCs w:val="0"/>
      <w:sz w:val="28"/>
      <w:szCs w:val="20"/>
    </w:rPr>
  </w:style>
  <w:style w:type="paragraph" w:customStyle="1" w:styleId="114">
    <w:name w:val="纯文本2"/>
    <w:basedOn w:val="1"/>
    <w:qFormat/>
    <w:uiPriority w:val="0"/>
    <w:pPr>
      <w:spacing w:line="324" w:lineRule="auto"/>
    </w:pPr>
    <w:rPr>
      <w:rFonts w:ascii="宋体" w:hAnsi="Courier New" w:cs="Courier New"/>
      <w:szCs w:val="21"/>
    </w:rPr>
  </w:style>
  <w:style w:type="paragraph" w:customStyle="1" w:styleId="115">
    <w:name w:val="首行缩进"/>
    <w:basedOn w:val="1"/>
    <w:qFormat/>
    <w:uiPriority w:val="99"/>
    <w:pPr>
      <w:ind w:firstLine="480"/>
    </w:pPr>
    <w:rPr>
      <w:rFonts w:ascii="Calibri" w:hAnsi="Calibri"/>
      <w:lang w:val="zh-CN"/>
    </w:rPr>
  </w:style>
  <w:style w:type="paragraph" w:customStyle="1" w:styleId="116">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spacing w:line="324" w:lineRule="auto"/>
      <w:jc w:val="both"/>
    </w:pPr>
    <w:rPr>
      <w:rFonts w:ascii="Times New Roman" w:hAnsi="Times New Roman" w:eastAsia="Times New Roman" w:cs="Times New Roman"/>
      <w:color w:val="000000"/>
      <w:kern w:val="2"/>
      <w:sz w:val="21"/>
      <w:szCs w:val="21"/>
      <w:u w:val="none" w:color="000000"/>
      <w:lang w:val="en-US" w:eastAsia="zh-CN" w:bidi="ar-SA"/>
    </w:rPr>
  </w:style>
  <w:style w:type="paragraph" w:customStyle="1" w:styleId="117">
    <w:name w:val="Table Paragraph"/>
    <w:basedOn w:val="1"/>
    <w:qFormat/>
    <w:uiPriority w:val="1"/>
    <w:rPr>
      <w:rFonts w:ascii="宋体" w:hAnsi="宋体" w:eastAsia="宋体" w:cs="宋体"/>
    </w:rPr>
  </w:style>
  <w:style w:type="paragraph" w:customStyle="1" w:styleId="118">
    <w:name w:val="Plain Text"/>
    <w:basedOn w:val="1"/>
    <w:qFormat/>
    <w:uiPriority w:val="0"/>
    <w:pPr>
      <w:spacing w:line="324" w:lineRule="auto"/>
    </w:pPr>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76</Pages>
  <Words>38052</Words>
  <Characters>39493</Characters>
  <Lines>172</Lines>
  <Paragraphs>48</Paragraphs>
  <TotalTime>62</TotalTime>
  <ScaleCrop>false</ScaleCrop>
  <LinksUpToDate>false</LinksUpToDate>
  <CharactersWithSpaces>41468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2015-11-25T00:56:00Z</dcterms:created>
  <dc:creator>YlmF</dc:creator>
  <cp:lastModifiedBy>A   ☆彡……丶猫猫er</cp:lastModifiedBy>
  <cp:lastPrinted>2022-12-15T01:30:00Z</cp:lastPrinted>
  <dcterms:modified xsi:type="dcterms:W3CDTF">2022-12-15T03:45:33Z</dcterms:modified>
  <dc:title>目     录</dc:title>
  <cp:revision>162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4A1E53505A554C2ABCF03E8E7276C1F2</vt:lpwstr>
  </property>
</Properties>
</file>