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overflowPunct/>
        <w:bidi w:val="0"/>
        <w:spacing w:afterAutospacing="0" w:line="336" w:lineRule="auto"/>
        <w:ind w:right="720"/>
        <w:jc w:val="right"/>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项目编号:</w:t>
      </w:r>
      <w:r>
        <w:rPr>
          <w:rFonts w:hint="eastAsia" w:ascii="仿宋" w:hAnsi="仿宋" w:eastAsia="仿宋" w:cs="仿宋"/>
          <w:b/>
          <w:sz w:val="28"/>
          <w:szCs w:val="28"/>
          <w:highlight w:val="none"/>
          <w:lang w:val="en-US" w:eastAsia="zh-CN"/>
        </w:rPr>
        <w:t>TCC2022-1119Z-01</w:t>
      </w:r>
    </w:p>
    <w:p>
      <w:pPr>
        <w:pageBreakBefore w:val="0"/>
        <w:tabs>
          <w:tab w:val="left" w:pos="7080"/>
        </w:tabs>
        <w:overflowPunct/>
        <w:bidi w:val="0"/>
        <w:spacing w:afterAutospacing="0" w:line="336" w:lineRule="auto"/>
        <w:rPr>
          <w:rFonts w:hint="eastAsia" w:ascii="仿宋" w:hAnsi="仿宋" w:eastAsia="仿宋" w:cs="仿宋"/>
          <w:bCs/>
          <w:spacing w:val="20"/>
          <w:kern w:val="0"/>
          <w:sz w:val="32"/>
          <w:szCs w:val="32"/>
          <w:highlight w:val="none"/>
        </w:rPr>
      </w:pPr>
    </w:p>
    <w:p>
      <w:pPr>
        <w:pageBreakBefore w:val="0"/>
        <w:tabs>
          <w:tab w:val="left" w:pos="7080"/>
        </w:tabs>
        <w:overflowPunct/>
        <w:bidi w:val="0"/>
        <w:spacing w:afterAutospacing="0" w:line="336" w:lineRule="auto"/>
        <w:rPr>
          <w:rFonts w:hint="eastAsia" w:ascii="仿宋" w:hAnsi="仿宋" w:eastAsia="仿宋" w:cs="仿宋"/>
          <w:bCs/>
          <w:spacing w:val="20"/>
          <w:kern w:val="0"/>
          <w:sz w:val="32"/>
          <w:szCs w:val="32"/>
          <w:highlight w:val="none"/>
        </w:rPr>
      </w:pPr>
    </w:p>
    <w:p>
      <w:pPr>
        <w:pageBreakBefore w:val="0"/>
        <w:tabs>
          <w:tab w:val="left" w:pos="7080"/>
        </w:tabs>
        <w:overflowPunct/>
        <w:bidi w:val="0"/>
        <w:spacing w:afterAutospacing="0" w:line="336" w:lineRule="auto"/>
        <w:rPr>
          <w:rFonts w:hint="eastAsia" w:ascii="仿宋" w:hAnsi="仿宋" w:eastAsia="仿宋" w:cs="仿宋"/>
          <w:bCs/>
          <w:spacing w:val="20"/>
          <w:kern w:val="0"/>
          <w:sz w:val="32"/>
          <w:szCs w:val="32"/>
          <w:highlight w:val="none"/>
        </w:rPr>
      </w:pPr>
    </w:p>
    <w:p>
      <w:pPr>
        <w:pStyle w:val="26"/>
        <w:pageBreakBefore w:val="0"/>
        <w:overflowPunct/>
        <w:bidi w:val="0"/>
        <w:spacing w:line="336" w:lineRule="auto"/>
        <w:rPr>
          <w:rFonts w:hint="eastAsia" w:ascii="仿宋" w:hAnsi="仿宋" w:eastAsia="仿宋" w:cs="仿宋"/>
          <w:highlight w:val="none"/>
        </w:rPr>
      </w:pPr>
    </w:p>
    <w:p>
      <w:pPr>
        <w:pageBreakBefore w:val="0"/>
        <w:tabs>
          <w:tab w:val="left" w:pos="7080"/>
        </w:tabs>
        <w:overflowPunct/>
        <w:bidi w:val="0"/>
        <w:spacing w:afterAutospacing="0" w:line="336" w:lineRule="auto"/>
        <w:jc w:val="center"/>
        <w:rPr>
          <w:rFonts w:hint="eastAsia" w:ascii="仿宋" w:hAnsi="仿宋" w:eastAsia="仿宋" w:cs="仿宋"/>
          <w:b/>
          <w:bCs/>
          <w:sz w:val="44"/>
          <w:szCs w:val="44"/>
          <w:highlight w:val="none"/>
          <w:lang w:eastAsia="zh-CN"/>
        </w:rPr>
      </w:pPr>
      <w:r>
        <w:rPr>
          <w:rFonts w:hint="eastAsia" w:ascii="仿宋" w:hAnsi="仿宋" w:eastAsia="仿宋" w:cs="仿宋"/>
          <w:b/>
          <w:bCs/>
          <w:color w:val="auto"/>
          <w:spacing w:val="0"/>
          <w:w w:val="100"/>
          <w:kern w:val="0"/>
          <w:sz w:val="48"/>
          <w:szCs w:val="48"/>
          <w:highlight w:val="none"/>
          <w:lang w:val="en-US" w:eastAsia="zh-CN" w:bidi="ar-SA"/>
        </w:rPr>
        <w:t>铜川市2023年度一元民生保险采购项目</w:t>
      </w:r>
    </w:p>
    <w:p>
      <w:pPr>
        <w:pageBreakBefore w:val="0"/>
        <w:tabs>
          <w:tab w:val="left" w:pos="7080"/>
        </w:tabs>
        <w:overflowPunct/>
        <w:bidi w:val="0"/>
        <w:spacing w:afterAutospacing="0" w:line="336" w:lineRule="auto"/>
        <w:jc w:val="center"/>
        <w:rPr>
          <w:rFonts w:hint="eastAsia" w:ascii="仿宋" w:hAnsi="仿宋" w:eastAsia="仿宋" w:cs="仿宋"/>
          <w:b/>
          <w:bCs/>
          <w:sz w:val="40"/>
          <w:szCs w:val="40"/>
          <w:highlight w:val="none"/>
        </w:rPr>
      </w:pPr>
    </w:p>
    <w:p>
      <w:pPr>
        <w:pStyle w:val="26"/>
        <w:pageBreakBefore w:val="0"/>
        <w:overflowPunct/>
        <w:bidi w:val="0"/>
        <w:spacing w:line="336" w:lineRule="auto"/>
        <w:rPr>
          <w:rFonts w:hint="eastAsia" w:ascii="仿宋" w:hAnsi="仿宋" w:eastAsia="仿宋" w:cs="仿宋"/>
          <w:b/>
          <w:bCs/>
          <w:sz w:val="40"/>
          <w:szCs w:val="40"/>
          <w:highlight w:val="none"/>
        </w:rPr>
      </w:pPr>
    </w:p>
    <w:p>
      <w:pPr>
        <w:pStyle w:val="22"/>
        <w:pageBreakBefore w:val="0"/>
        <w:bidi w:val="0"/>
        <w:spacing w:line="336" w:lineRule="auto"/>
        <w:rPr>
          <w:rFonts w:hint="eastAsia" w:ascii="仿宋" w:hAnsi="仿宋" w:eastAsia="仿宋" w:cs="仿宋"/>
          <w:highlight w:val="none"/>
        </w:rPr>
      </w:pPr>
    </w:p>
    <w:p>
      <w:pPr>
        <w:pageBreakBefore w:val="0"/>
        <w:bidi w:val="0"/>
        <w:spacing w:line="336" w:lineRule="auto"/>
        <w:rPr>
          <w:rFonts w:hint="eastAsia" w:ascii="仿宋" w:hAnsi="仿宋" w:eastAsia="仿宋" w:cs="仿宋"/>
          <w:highlight w:val="none"/>
        </w:rPr>
      </w:pPr>
    </w:p>
    <w:p>
      <w:pPr>
        <w:pageBreakBefore w:val="0"/>
        <w:overflowPunct/>
        <w:bidi w:val="0"/>
        <w:spacing w:afterAutospacing="0" w:line="336" w:lineRule="auto"/>
        <w:jc w:val="center"/>
        <w:rPr>
          <w:rFonts w:hint="eastAsia" w:ascii="仿宋" w:hAnsi="仿宋" w:eastAsia="仿宋" w:cs="仿宋"/>
          <w:sz w:val="32"/>
          <w:szCs w:val="20"/>
          <w:highlight w:val="none"/>
        </w:rPr>
      </w:pPr>
      <w:r>
        <w:rPr>
          <w:rFonts w:hint="eastAsia" w:ascii="仿宋" w:hAnsi="仿宋" w:eastAsia="仿宋" w:cs="仿宋"/>
          <w:b/>
          <w:bCs/>
          <w:spacing w:val="20"/>
          <w:kern w:val="0"/>
          <w:sz w:val="84"/>
          <w:szCs w:val="84"/>
          <w:highlight w:val="none"/>
        </w:rPr>
        <w:t>竞争性磋商文件</w:t>
      </w:r>
    </w:p>
    <w:p>
      <w:pPr>
        <w:pageBreakBefore w:val="0"/>
        <w:overflowPunct/>
        <w:bidi w:val="0"/>
        <w:spacing w:afterAutospacing="0" w:line="336" w:lineRule="auto"/>
        <w:rPr>
          <w:rFonts w:hint="eastAsia" w:ascii="仿宋" w:hAnsi="仿宋" w:eastAsia="仿宋" w:cs="仿宋"/>
          <w:sz w:val="32"/>
          <w:szCs w:val="20"/>
          <w:highlight w:val="none"/>
        </w:rPr>
      </w:pPr>
    </w:p>
    <w:p>
      <w:pPr>
        <w:pageBreakBefore w:val="0"/>
        <w:tabs>
          <w:tab w:val="left" w:pos="2544"/>
        </w:tabs>
        <w:overflowPunct/>
        <w:bidi w:val="0"/>
        <w:spacing w:afterAutospacing="0" w:line="336" w:lineRule="auto"/>
        <w:rPr>
          <w:rFonts w:hint="eastAsia" w:ascii="仿宋" w:hAnsi="仿宋" w:eastAsia="仿宋" w:cs="仿宋"/>
          <w:sz w:val="32"/>
          <w:szCs w:val="20"/>
          <w:highlight w:val="none"/>
          <w:lang w:eastAsia="zh-CN"/>
        </w:rPr>
      </w:pPr>
      <w:r>
        <w:rPr>
          <w:rFonts w:hint="eastAsia" w:ascii="仿宋" w:hAnsi="仿宋" w:eastAsia="仿宋" w:cs="仿宋"/>
          <w:sz w:val="32"/>
          <w:szCs w:val="20"/>
          <w:highlight w:val="none"/>
          <w:lang w:eastAsia="zh-CN"/>
        </w:rPr>
        <w:tab/>
      </w:r>
    </w:p>
    <w:p>
      <w:pPr>
        <w:pStyle w:val="28"/>
        <w:pageBreakBefore w:val="0"/>
        <w:bidi w:val="0"/>
        <w:spacing w:line="336" w:lineRule="auto"/>
        <w:rPr>
          <w:rFonts w:hint="eastAsia" w:ascii="仿宋" w:hAnsi="仿宋" w:eastAsia="仿宋" w:cs="仿宋"/>
          <w:sz w:val="32"/>
          <w:szCs w:val="20"/>
          <w:highlight w:val="none"/>
          <w:lang w:eastAsia="zh-CN"/>
        </w:rPr>
      </w:pPr>
    </w:p>
    <w:p>
      <w:pPr>
        <w:pageBreakBefore w:val="0"/>
        <w:bidi w:val="0"/>
        <w:spacing w:line="336" w:lineRule="auto"/>
        <w:rPr>
          <w:rFonts w:hint="eastAsia" w:ascii="仿宋" w:hAnsi="仿宋" w:eastAsia="仿宋" w:cs="仿宋"/>
          <w:highlight w:val="none"/>
          <w:lang w:eastAsia="zh-CN"/>
        </w:rPr>
      </w:pPr>
    </w:p>
    <w:p>
      <w:pPr>
        <w:pStyle w:val="46"/>
        <w:pageBreakBefore w:val="0"/>
        <w:overflowPunct/>
        <w:bidi w:val="0"/>
        <w:spacing w:afterAutospacing="0" w:line="336" w:lineRule="auto"/>
        <w:ind w:left="0" w:leftChars="0" w:firstLine="0" w:firstLineChars="0"/>
        <w:rPr>
          <w:rFonts w:hint="eastAsia" w:ascii="仿宋" w:hAnsi="仿宋" w:eastAsia="仿宋" w:cs="仿宋"/>
          <w:sz w:val="18"/>
          <w:szCs w:val="18"/>
          <w:highlight w:val="none"/>
        </w:rPr>
      </w:pPr>
    </w:p>
    <w:p>
      <w:pPr>
        <w:pageBreakBefore w:val="0"/>
        <w:overflowPunct/>
        <w:bidi w:val="0"/>
        <w:spacing w:afterAutospacing="0" w:line="336" w:lineRule="auto"/>
        <w:rPr>
          <w:rFonts w:hint="eastAsia" w:ascii="仿宋" w:hAnsi="仿宋" w:eastAsia="仿宋" w:cs="仿宋"/>
          <w:sz w:val="18"/>
          <w:szCs w:val="18"/>
          <w:highlight w:val="none"/>
        </w:rPr>
      </w:pPr>
    </w:p>
    <w:p>
      <w:pPr>
        <w:keepNext w:val="0"/>
        <w:keepLines w:val="0"/>
        <w:pageBreakBefore w:val="0"/>
        <w:widowControl w:val="0"/>
        <w:kinsoku/>
        <w:wordWrap/>
        <w:overflowPunct/>
        <w:topLinePunct w:val="0"/>
        <w:autoSpaceDE/>
        <w:autoSpaceDN/>
        <w:bidi w:val="0"/>
        <w:adjustRightInd/>
        <w:snapToGrid/>
        <w:spacing w:afterAutospacing="0" w:line="336" w:lineRule="auto"/>
        <w:ind w:left="0" w:leftChars="0" w:firstLine="1687" w:firstLineChars="525"/>
        <w:jc w:val="both"/>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sz w:val="32"/>
          <w:szCs w:val="32"/>
          <w:highlight w:val="none"/>
          <w:lang w:eastAsia="zh-CN"/>
        </w:rPr>
        <w:t>采</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lang w:eastAsia="zh-CN"/>
        </w:rPr>
        <w:t>购</w:t>
      </w:r>
      <w:r>
        <w:rPr>
          <w:rFonts w:hint="eastAsia" w:ascii="仿宋" w:hAnsi="仿宋" w:eastAsia="仿宋" w:cs="仿宋"/>
          <w:b/>
          <w:sz w:val="32"/>
          <w:szCs w:val="32"/>
          <w:highlight w:val="none"/>
        </w:rPr>
        <w:t xml:space="preserve">   人：</w:t>
      </w:r>
      <w:r>
        <w:rPr>
          <w:rFonts w:hint="eastAsia" w:ascii="仿宋" w:hAnsi="仿宋" w:eastAsia="仿宋" w:cs="仿宋"/>
          <w:b/>
          <w:bCs/>
          <w:color w:val="auto"/>
          <w:sz w:val="32"/>
          <w:szCs w:val="32"/>
          <w:highlight w:val="none"/>
          <w:lang w:val="en-US" w:eastAsia="zh-CN"/>
        </w:rPr>
        <w:t>铜川市金融工作办公室</w:t>
      </w:r>
    </w:p>
    <w:p>
      <w:pPr>
        <w:pageBreakBefore w:val="0"/>
        <w:overflowPunct/>
        <w:bidi w:val="0"/>
        <w:spacing w:afterAutospacing="0" w:line="336" w:lineRule="auto"/>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overflowPunct/>
        <w:bidi w:val="0"/>
        <w:spacing w:afterAutospacing="0" w:line="336" w:lineRule="auto"/>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代理机构：</w:t>
      </w:r>
      <w:r>
        <w:rPr>
          <w:rFonts w:hint="eastAsia" w:ascii="仿宋" w:hAnsi="仿宋" w:eastAsia="仿宋" w:cs="仿宋"/>
          <w:b/>
          <w:sz w:val="32"/>
          <w:szCs w:val="32"/>
          <w:highlight w:val="none"/>
          <w:lang w:eastAsia="zh-CN"/>
        </w:rPr>
        <w:t>陕西同昌成项目管理有限公司</w:t>
      </w:r>
    </w:p>
    <w:p>
      <w:pPr>
        <w:pageBreakBefore w:val="0"/>
        <w:overflowPunct/>
        <w:bidi w:val="0"/>
        <w:spacing w:afterAutospacing="0" w:line="336" w:lineRule="auto"/>
        <w:rPr>
          <w:rFonts w:hint="eastAsia" w:ascii="仿宋" w:hAnsi="仿宋" w:eastAsia="仿宋" w:cs="仿宋"/>
          <w:b/>
          <w:sz w:val="36"/>
          <w:szCs w:val="36"/>
          <w:highlight w:val="none"/>
        </w:rPr>
      </w:pPr>
    </w:p>
    <w:p>
      <w:pPr>
        <w:pageBreakBefore w:val="0"/>
        <w:overflowPunct/>
        <w:bidi w:val="0"/>
        <w:spacing w:afterAutospacing="0" w:line="336" w:lineRule="auto"/>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二〇二</w:t>
      </w:r>
      <w:r>
        <w:rPr>
          <w:rFonts w:hint="eastAsia" w:ascii="仿宋" w:hAnsi="仿宋" w:eastAsia="仿宋" w:cs="仿宋"/>
          <w:b/>
          <w:sz w:val="32"/>
          <w:szCs w:val="32"/>
          <w:highlight w:val="none"/>
          <w:lang w:val="en-US" w:eastAsia="zh-CN"/>
        </w:rPr>
        <w:t>二</w:t>
      </w:r>
      <w:r>
        <w:rPr>
          <w:rFonts w:hint="eastAsia" w:ascii="仿宋" w:hAnsi="仿宋" w:eastAsia="仿宋" w:cs="仿宋"/>
          <w:b/>
          <w:sz w:val="32"/>
          <w:szCs w:val="32"/>
          <w:highlight w:val="none"/>
          <w:lang w:eastAsia="zh-CN"/>
        </w:rPr>
        <w:t>年</w:t>
      </w:r>
      <w:r>
        <w:rPr>
          <w:rFonts w:hint="eastAsia" w:ascii="仿宋" w:hAnsi="仿宋" w:eastAsia="仿宋" w:cs="仿宋"/>
          <w:b/>
          <w:sz w:val="32"/>
          <w:szCs w:val="32"/>
          <w:highlight w:val="none"/>
          <w:lang w:val="en-US" w:eastAsia="zh-CN"/>
        </w:rPr>
        <w:t>十一</w:t>
      </w:r>
      <w:r>
        <w:rPr>
          <w:rFonts w:hint="eastAsia" w:ascii="仿宋" w:hAnsi="仿宋" w:eastAsia="仿宋" w:cs="仿宋"/>
          <w:b/>
          <w:sz w:val="32"/>
          <w:szCs w:val="32"/>
          <w:highlight w:val="none"/>
          <w:lang w:eastAsia="zh-CN"/>
        </w:rPr>
        <w:t>月</w:t>
      </w:r>
    </w:p>
    <w:p>
      <w:pPr>
        <w:pageBreakBefore w:val="0"/>
        <w:overflowPunct/>
        <w:bidi w:val="0"/>
        <w:spacing w:afterAutospacing="0" w:line="336" w:lineRule="auto"/>
        <w:rPr>
          <w:rFonts w:hint="eastAsia" w:ascii="仿宋" w:hAnsi="仿宋" w:eastAsia="仿宋" w:cs="仿宋"/>
          <w:b/>
          <w:bCs/>
          <w:sz w:val="44"/>
          <w:szCs w:val="44"/>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start="1"/>
          <w:cols w:space="425" w:num="1"/>
          <w:docGrid w:type="lines" w:linePitch="312" w:charSpace="0"/>
        </w:sectPr>
      </w:pPr>
    </w:p>
    <w:p>
      <w:pPr>
        <w:pageBreakBefore w:val="0"/>
        <w:overflowPunct/>
        <w:bidi w:val="0"/>
        <w:spacing w:afterAutospacing="0" w:line="336" w:lineRule="auto"/>
        <w:ind w:left="0" w:leftChars="0" w:right="0" w:rightChars="0" w:firstLine="0" w:firstLineChars="0"/>
        <w:jc w:val="center"/>
        <w:rPr>
          <w:rFonts w:hint="eastAsia" w:ascii="仿宋" w:hAnsi="仿宋" w:eastAsia="仿宋" w:cs="仿宋"/>
          <w:kern w:val="2"/>
          <w:sz w:val="21"/>
          <w:szCs w:val="24"/>
          <w:highlight w:val="none"/>
          <w:lang w:val="en-US" w:eastAsia="zh-CN" w:bidi="ar-SA"/>
        </w:rPr>
      </w:pPr>
    </w:p>
    <w:sdt>
      <w:sdtPr>
        <w:rPr>
          <w:rFonts w:hint="eastAsia" w:ascii="仿宋" w:hAnsi="仿宋" w:eastAsia="仿宋" w:cs="仿宋"/>
          <w:kern w:val="2"/>
          <w:sz w:val="21"/>
          <w:szCs w:val="24"/>
          <w:highlight w:val="none"/>
          <w:lang w:val="en-US" w:eastAsia="zh-CN" w:bidi="ar-SA"/>
        </w:rPr>
        <w:id w:val="147475822"/>
        <w15:color w:val="DBDBDB"/>
        <w:docPartObj>
          <w:docPartGallery w:val="Table of Contents"/>
          <w:docPartUnique/>
        </w:docPartObj>
      </w:sdtPr>
      <w:sdtEndPr>
        <w:rPr>
          <w:rFonts w:hint="eastAsia" w:ascii="仿宋" w:hAnsi="仿宋" w:eastAsia="仿宋" w:cs="仿宋"/>
          <w:kern w:val="2"/>
          <w:sz w:val="21"/>
          <w:szCs w:val="32"/>
          <w:highlight w:val="none"/>
          <w:lang w:val="en-US" w:eastAsia="zh-CN" w:bidi="ar-SA"/>
        </w:rPr>
      </w:sdtEndPr>
      <w:sdtContent>
        <w:p>
          <w:pPr>
            <w:pageBreakBefore w:val="0"/>
            <w:overflowPunct/>
            <w:bidi w:val="0"/>
            <w:spacing w:afterAutospacing="0" w:line="336" w:lineRule="auto"/>
            <w:ind w:left="0" w:leftChars="0" w:right="0" w:rightChars="0" w:firstLine="0" w:firstLineChars="0"/>
            <w:jc w:val="center"/>
            <w:rPr>
              <w:rFonts w:hint="eastAsia" w:ascii="仿宋" w:hAnsi="仿宋" w:eastAsia="仿宋" w:cs="仿宋"/>
              <w:kern w:val="2"/>
              <w:sz w:val="21"/>
              <w:szCs w:val="24"/>
              <w:highlight w:val="none"/>
              <w:lang w:val="en-US" w:eastAsia="zh-CN" w:bidi="ar-SA"/>
            </w:rPr>
          </w:pPr>
        </w:p>
        <w:p>
          <w:pPr>
            <w:pageBreakBefore w:val="0"/>
            <w:overflowPunct/>
            <w:bidi w:val="0"/>
            <w:spacing w:afterAutospacing="0" w:line="336" w:lineRule="auto"/>
            <w:ind w:left="0" w:leftChars="0" w:right="0" w:rightChars="0" w:firstLine="0" w:firstLineChars="0"/>
            <w:jc w:val="center"/>
            <w:rPr>
              <w:rFonts w:hint="eastAsia" w:ascii="仿宋" w:hAnsi="仿宋" w:eastAsia="仿宋" w:cs="仿宋"/>
              <w:b/>
              <w:bCs/>
              <w:sz w:val="48"/>
              <w:szCs w:val="56"/>
              <w:highlight w:val="none"/>
            </w:rPr>
          </w:pPr>
          <w:r>
            <w:rPr>
              <w:rFonts w:hint="eastAsia" w:ascii="仿宋" w:hAnsi="仿宋" w:eastAsia="仿宋" w:cs="仿宋"/>
              <w:b/>
              <w:bCs/>
              <w:sz w:val="48"/>
              <w:szCs w:val="56"/>
              <w:highlight w:val="none"/>
            </w:rPr>
            <w:t>目</w:t>
          </w:r>
          <w:r>
            <w:rPr>
              <w:rFonts w:hint="eastAsia" w:ascii="仿宋" w:hAnsi="仿宋" w:eastAsia="仿宋" w:cs="仿宋"/>
              <w:b/>
              <w:bCs/>
              <w:sz w:val="48"/>
              <w:szCs w:val="56"/>
              <w:highlight w:val="none"/>
              <w:lang w:val="en-US" w:eastAsia="zh-CN"/>
            </w:rPr>
            <w:t xml:space="preserve">  </w:t>
          </w:r>
          <w:r>
            <w:rPr>
              <w:rFonts w:hint="eastAsia" w:ascii="仿宋" w:hAnsi="仿宋" w:eastAsia="仿宋" w:cs="仿宋"/>
              <w:b/>
              <w:bCs/>
              <w:sz w:val="48"/>
              <w:szCs w:val="56"/>
              <w:highlight w:val="none"/>
            </w:rPr>
            <w:t>录</w:t>
          </w:r>
        </w:p>
        <w:p>
          <w:pPr>
            <w:pStyle w:val="28"/>
            <w:pageBreakBefore w:val="0"/>
            <w:bidi w:val="0"/>
            <w:spacing w:line="336" w:lineRule="auto"/>
            <w:rPr>
              <w:rFonts w:hint="eastAsia" w:ascii="仿宋" w:hAnsi="仿宋" w:eastAsia="仿宋" w:cs="仿宋"/>
              <w:highlight w:val="none"/>
            </w:rPr>
          </w:pPr>
        </w:p>
        <w:p>
          <w:pPr>
            <w:pStyle w:val="15"/>
            <w:pageBreakBefore w:val="0"/>
            <w:overflowPunct/>
            <w:bidi w:val="0"/>
            <w:spacing w:after="0" w:afterAutospacing="0" w:line="336" w:lineRule="auto"/>
            <w:rPr>
              <w:rFonts w:hint="eastAsia" w:ascii="仿宋" w:hAnsi="仿宋" w:eastAsia="仿宋" w:cs="仿宋"/>
              <w:highlight w:val="none"/>
              <w:lang w:eastAsia="zh-CN"/>
            </w:rPr>
          </w:pPr>
        </w:p>
        <w:p>
          <w:pPr>
            <w:pStyle w:val="110"/>
            <w:pageBreakBefore w:val="0"/>
            <w:tabs>
              <w:tab w:val="right" w:leader="dot" w:pos="9361"/>
            </w:tabs>
            <w:overflowPunct/>
            <w:bidi w:val="0"/>
            <w:spacing w:afterAutospacing="0" w:line="336" w:lineRule="auto"/>
            <w:rPr>
              <w:rFonts w:hint="eastAsia" w:ascii="仿宋" w:hAnsi="仿宋" w:eastAsia="仿宋" w:cs="仿宋"/>
              <w:sz w:val="28"/>
              <w:szCs w:val="28"/>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"1-1" \h \u </w:instrText>
          </w:r>
          <w:r>
            <w:rPr>
              <w:rFonts w:hint="eastAsia" w:ascii="仿宋" w:hAnsi="仿宋" w:eastAsia="仿宋" w:cs="仿宋"/>
              <w:sz w:val="32"/>
              <w:szCs w:val="32"/>
              <w:highlight w:val="none"/>
            </w:rPr>
            <w:fldChar w:fldCharType="separate"/>
          </w:r>
          <w:r>
            <w:rPr>
              <w:rFonts w:hint="eastAsia" w:ascii="仿宋" w:hAnsi="仿宋" w:eastAsia="仿宋" w:cs="仿宋"/>
              <w:sz w:val="28"/>
              <w:szCs w:val="48"/>
              <w:highlight w:val="none"/>
            </w:rPr>
            <w:fldChar w:fldCharType="begin"/>
          </w:r>
          <w:r>
            <w:rPr>
              <w:rFonts w:hint="eastAsia" w:ascii="仿宋" w:hAnsi="仿宋" w:eastAsia="仿宋" w:cs="仿宋"/>
              <w:sz w:val="28"/>
              <w:szCs w:val="48"/>
              <w:highlight w:val="none"/>
            </w:rPr>
            <w:instrText xml:space="preserve"> HYPERLINK \l _Toc24865 </w:instrText>
          </w:r>
          <w:r>
            <w:rPr>
              <w:rFonts w:hint="eastAsia" w:ascii="仿宋" w:hAnsi="仿宋" w:eastAsia="仿宋" w:cs="仿宋"/>
              <w:sz w:val="28"/>
              <w:szCs w:val="48"/>
              <w:highlight w:val="none"/>
            </w:rPr>
            <w:fldChar w:fldCharType="separate"/>
          </w:r>
          <w:r>
            <w:rPr>
              <w:rFonts w:hint="eastAsia" w:ascii="仿宋" w:hAnsi="仿宋" w:eastAsia="仿宋" w:cs="仿宋"/>
              <w:sz w:val="28"/>
              <w:szCs w:val="72"/>
              <w:highlight w:val="none"/>
            </w:rPr>
            <w:t>第一部分 竞争性磋商公告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_Toc24865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w:t>
          </w:r>
          <w:r>
            <w:rPr>
              <w:rFonts w:hint="eastAsia" w:ascii="仿宋" w:hAnsi="仿宋" w:eastAsia="仿宋" w:cs="仿宋"/>
              <w:sz w:val="28"/>
              <w:szCs w:val="28"/>
              <w:highlight w:val="none"/>
            </w:rPr>
            <w:fldChar w:fldCharType="end"/>
          </w:r>
          <w:r>
            <w:rPr>
              <w:rFonts w:hint="eastAsia" w:ascii="仿宋" w:hAnsi="仿宋" w:eastAsia="仿宋" w:cs="仿宋"/>
              <w:sz w:val="28"/>
              <w:szCs w:val="48"/>
              <w:highlight w:val="none"/>
            </w:rPr>
            <w:fldChar w:fldCharType="end"/>
          </w:r>
        </w:p>
        <w:p>
          <w:pPr>
            <w:pStyle w:val="110"/>
            <w:pageBreakBefore w:val="0"/>
            <w:tabs>
              <w:tab w:val="right" w:leader="dot" w:pos="9361"/>
            </w:tabs>
            <w:overflowPunct/>
            <w:bidi w:val="0"/>
            <w:spacing w:afterAutospacing="0" w:line="336" w:lineRule="auto"/>
            <w:rPr>
              <w:rFonts w:hint="eastAsia" w:ascii="仿宋" w:hAnsi="仿宋" w:eastAsia="仿宋" w:cs="仿宋"/>
              <w:sz w:val="28"/>
              <w:szCs w:val="28"/>
              <w:highlight w:val="none"/>
            </w:rPr>
          </w:pPr>
          <w:r>
            <w:rPr>
              <w:rFonts w:hint="eastAsia" w:ascii="仿宋" w:hAnsi="仿宋" w:eastAsia="仿宋" w:cs="仿宋"/>
              <w:sz w:val="28"/>
              <w:szCs w:val="48"/>
              <w:highlight w:val="none"/>
            </w:rPr>
            <w:fldChar w:fldCharType="begin"/>
          </w:r>
          <w:r>
            <w:rPr>
              <w:rFonts w:hint="eastAsia" w:ascii="仿宋" w:hAnsi="仿宋" w:eastAsia="仿宋" w:cs="仿宋"/>
              <w:sz w:val="28"/>
              <w:szCs w:val="48"/>
              <w:highlight w:val="none"/>
            </w:rPr>
            <w:instrText xml:space="preserve"> HYPERLINK \l _Toc5731 </w:instrText>
          </w:r>
          <w:r>
            <w:rPr>
              <w:rFonts w:hint="eastAsia" w:ascii="仿宋" w:hAnsi="仿宋" w:eastAsia="仿宋" w:cs="仿宋"/>
              <w:sz w:val="28"/>
              <w:szCs w:val="48"/>
              <w:highlight w:val="none"/>
            </w:rPr>
            <w:fldChar w:fldCharType="separate"/>
          </w:r>
          <w:r>
            <w:rPr>
              <w:rFonts w:hint="eastAsia" w:ascii="仿宋" w:hAnsi="仿宋" w:eastAsia="仿宋" w:cs="仿宋"/>
              <w:sz w:val="28"/>
              <w:szCs w:val="72"/>
              <w:highlight w:val="none"/>
            </w:rPr>
            <w:t>第二部分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_Toc5731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w:t>
          </w:r>
          <w:r>
            <w:rPr>
              <w:rFonts w:hint="eastAsia" w:ascii="仿宋" w:hAnsi="仿宋" w:eastAsia="仿宋" w:cs="仿宋"/>
              <w:sz w:val="28"/>
              <w:szCs w:val="28"/>
              <w:highlight w:val="none"/>
            </w:rPr>
            <w:fldChar w:fldCharType="end"/>
          </w:r>
          <w:r>
            <w:rPr>
              <w:rFonts w:hint="eastAsia" w:ascii="仿宋" w:hAnsi="仿宋" w:eastAsia="仿宋" w:cs="仿宋"/>
              <w:sz w:val="28"/>
              <w:szCs w:val="48"/>
              <w:highlight w:val="none"/>
            </w:rPr>
            <w:fldChar w:fldCharType="end"/>
          </w:r>
        </w:p>
        <w:p>
          <w:pPr>
            <w:pStyle w:val="110"/>
            <w:pageBreakBefore w:val="0"/>
            <w:tabs>
              <w:tab w:val="right" w:leader="dot" w:pos="9361"/>
            </w:tabs>
            <w:overflowPunct/>
            <w:bidi w:val="0"/>
            <w:spacing w:afterAutospacing="0" w:line="336" w:lineRule="auto"/>
            <w:rPr>
              <w:rFonts w:hint="eastAsia" w:ascii="仿宋" w:hAnsi="仿宋" w:eastAsia="仿宋" w:cs="仿宋"/>
              <w:sz w:val="28"/>
              <w:szCs w:val="28"/>
              <w:highlight w:val="none"/>
            </w:rPr>
          </w:pPr>
          <w:r>
            <w:rPr>
              <w:rFonts w:hint="eastAsia" w:ascii="仿宋" w:hAnsi="仿宋" w:eastAsia="仿宋" w:cs="仿宋"/>
              <w:sz w:val="28"/>
              <w:szCs w:val="48"/>
              <w:highlight w:val="none"/>
            </w:rPr>
            <w:fldChar w:fldCharType="begin"/>
          </w:r>
          <w:r>
            <w:rPr>
              <w:rFonts w:hint="eastAsia" w:ascii="仿宋" w:hAnsi="仿宋" w:eastAsia="仿宋" w:cs="仿宋"/>
              <w:sz w:val="28"/>
              <w:szCs w:val="48"/>
              <w:highlight w:val="none"/>
            </w:rPr>
            <w:instrText xml:space="preserve"> HYPERLINK \l _Toc16607 </w:instrText>
          </w:r>
          <w:r>
            <w:rPr>
              <w:rFonts w:hint="eastAsia" w:ascii="仿宋" w:hAnsi="仿宋" w:eastAsia="仿宋" w:cs="仿宋"/>
              <w:sz w:val="28"/>
              <w:szCs w:val="48"/>
              <w:highlight w:val="none"/>
            </w:rPr>
            <w:fldChar w:fldCharType="separate"/>
          </w:r>
          <w:r>
            <w:rPr>
              <w:rFonts w:hint="eastAsia" w:ascii="仿宋" w:hAnsi="仿宋" w:eastAsia="仿宋" w:cs="仿宋"/>
              <w:sz w:val="28"/>
              <w:szCs w:val="72"/>
              <w:highlight w:val="none"/>
            </w:rPr>
            <w:t>第三部分 合同条款及格式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_Toc16607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48"/>
              <w:highlight w:val="none"/>
            </w:rPr>
            <w:fldChar w:fldCharType="end"/>
          </w:r>
        </w:p>
        <w:p>
          <w:pPr>
            <w:pStyle w:val="110"/>
            <w:pageBreakBefore w:val="0"/>
            <w:tabs>
              <w:tab w:val="right" w:leader="dot" w:pos="9361"/>
            </w:tabs>
            <w:overflowPunct/>
            <w:bidi w:val="0"/>
            <w:spacing w:afterAutospacing="0" w:line="336" w:lineRule="auto"/>
            <w:rPr>
              <w:rFonts w:hint="eastAsia" w:ascii="仿宋" w:hAnsi="仿宋" w:eastAsia="仿宋" w:cs="仿宋"/>
              <w:sz w:val="28"/>
              <w:szCs w:val="28"/>
              <w:highlight w:val="none"/>
            </w:rPr>
          </w:pPr>
          <w:r>
            <w:rPr>
              <w:rFonts w:hint="eastAsia" w:ascii="仿宋" w:hAnsi="仿宋" w:eastAsia="仿宋" w:cs="仿宋"/>
              <w:sz w:val="28"/>
              <w:szCs w:val="48"/>
              <w:highlight w:val="none"/>
            </w:rPr>
            <w:fldChar w:fldCharType="begin"/>
          </w:r>
          <w:r>
            <w:rPr>
              <w:rFonts w:hint="eastAsia" w:ascii="仿宋" w:hAnsi="仿宋" w:eastAsia="仿宋" w:cs="仿宋"/>
              <w:sz w:val="28"/>
              <w:szCs w:val="48"/>
              <w:highlight w:val="none"/>
            </w:rPr>
            <w:instrText xml:space="preserve"> HYPERLINK \l _Toc17296 </w:instrText>
          </w:r>
          <w:r>
            <w:rPr>
              <w:rFonts w:hint="eastAsia" w:ascii="仿宋" w:hAnsi="仿宋" w:eastAsia="仿宋" w:cs="仿宋"/>
              <w:sz w:val="28"/>
              <w:szCs w:val="48"/>
              <w:highlight w:val="none"/>
            </w:rPr>
            <w:fldChar w:fldCharType="separate"/>
          </w:r>
          <w:r>
            <w:rPr>
              <w:rFonts w:hint="eastAsia" w:ascii="仿宋" w:hAnsi="仿宋" w:eastAsia="仿宋" w:cs="仿宋"/>
              <w:bCs/>
              <w:kern w:val="0"/>
              <w:sz w:val="28"/>
              <w:szCs w:val="72"/>
              <w:highlight w:val="none"/>
              <w:lang w:eastAsia="zh-CN"/>
            </w:rPr>
            <w:t xml:space="preserve">第四部分 </w:t>
          </w:r>
          <w:r>
            <w:rPr>
              <w:rFonts w:hint="eastAsia" w:ascii="仿宋" w:hAnsi="仿宋" w:eastAsia="仿宋" w:cs="仿宋"/>
              <w:sz w:val="28"/>
              <w:szCs w:val="72"/>
              <w:highlight w:val="none"/>
              <w:lang w:val="en-US" w:eastAsia="zh-CN"/>
            </w:rPr>
            <w:t>服务</w:t>
          </w:r>
          <w:r>
            <w:rPr>
              <w:rFonts w:hint="eastAsia" w:ascii="仿宋" w:hAnsi="仿宋" w:eastAsia="仿宋" w:cs="仿宋"/>
              <w:sz w:val="28"/>
              <w:szCs w:val="72"/>
              <w:highlight w:val="none"/>
            </w:rPr>
            <w:t>内容</w:t>
          </w:r>
          <w:r>
            <w:rPr>
              <w:rFonts w:hint="eastAsia" w:ascii="仿宋" w:hAnsi="仿宋" w:eastAsia="仿宋" w:cs="仿宋"/>
              <w:sz w:val="28"/>
              <w:szCs w:val="72"/>
              <w:highlight w:val="none"/>
              <w:lang w:eastAsia="zh-CN"/>
            </w:rPr>
            <w:t>及商务要求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_Toc17296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27</w:t>
          </w:r>
          <w:r>
            <w:rPr>
              <w:rFonts w:hint="eastAsia" w:ascii="仿宋" w:hAnsi="仿宋" w:eastAsia="仿宋" w:cs="仿宋"/>
              <w:sz w:val="28"/>
              <w:szCs w:val="28"/>
              <w:highlight w:val="none"/>
            </w:rPr>
            <w:fldChar w:fldCharType="end"/>
          </w:r>
          <w:r>
            <w:rPr>
              <w:rFonts w:hint="eastAsia" w:ascii="仿宋" w:hAnsi="仿宋" w:eastAsia="仿宋" w:cs="仿宋"/>
              <w:sz w:val="28"/>
              <w:szCs w:val="48"/>
              <w:highlight w:val="none"/>
            </w:rPr>
            <w:fldChar w:fldCharType="end"/>
          </w:r>
        </w:p>
        <w:p>
          <w:pPr>
            <w:pStyle w:val="110"/>
            <w:pageBreakBefore w:val="0"/>
            <w:tabs>
              <w:tab w:val="right" w:leader="dot" w:pos="9361"/>
            </w:tabs>
            <w:overflowPunct/>
            <w:bidi w:val="0"/>
            <w:spacing w:afterAutospacing="0" w:line="336" w:lineRule="auto"/>
            <w:rPr>
              <w:rFonts w:hint="eastAsia" w:ascii="仿宋" w:hAnsi="仿宋" w:eastAsia="仿宋" w:cs="仿宋"/>
              <w:sz w:val="28"/>
              <w:szCs w:val="28"/>
              <w:highlight w:val="none"/>
            </w:rPr>
          </w:pPr>
          <w:r>
            <w:rPr>
              <w:rFonts w:hint="eastAsia" w:ascii="仿宋" w:hAnsi="仿宋" w:eastAsia="仿宋" w:cs="仿宋"/>
              <w:sz w:val="28"/>
              <w:szCs w:val="48"/>
              <w:highlight w:val="none"/>
            </w:rPr>
            <w:fldChar w:fldCharType="begin"/>
          </w:r>
          <w:r>
            <w:rPr>
              <w:rFonts w:hint="eastAsia" w:ascii="仿宋" w:hAnsi="仿宋" w:eastAsia="仿宋" w:cs="仿宋"/>
              <w:sz w:val="28"/>
              <w:szCs w:val="48"/>
              <w:highlight w:val="none"/>
            </w:rPr>
            <w:instrText xml:space="preserve"> HYPERLINK \l _Toc21054 </w:instrText>
          </w:r>
          <w:r>
            <w:rPr>
              <w:rFonts w:hint="eastAsia" w:ascii="仿宋" w:hAnsi="仿宋" w:eastAsia="仿宋" w:cs="仿宋"/>
              <w:sz w:val="28"/>
              <w:szCs w:val="48"/>
              <w:highlight w:val="none"/>
            </w:rPr>
            <w:fldChar w:fldCharType="separate"/>
          </w:r>
          <w:r>
            <w:rPr>
              <w:rFonts w:hint="eastAsia" w:ascii="仿宋" w:hAnsi="仿宋" w:eastAsia="仿宋" w:cs="仿宋"/>
              <w:sz w:val="28"/>
              <w:szCs w:val="72"/>
              <w:highlight w:val="none"/>
            </w:rPr>
            <w:t>第</w:t>
          </w:r>
          <w:r>
            <w:rPr>
              <w:rFonts w:hint="eastAsia" w:ascii="仿宋" w:hAnsi="仿宋" w:eastAsia="仿宋" w:cs="仿宋"/>
              <w:sz w:val="28"/>
              <w:szCs w:val="72"/>
              <w:highlight w:val="none"/>
              <w:lang w:eastAsia="zh-CN"/>
            </w:rPr>
            <w:t>五</w:t>
          </w:r>
          <w:r>
            <w:rPr>
              <w:rFonts w:hint="eastAsia" w:ascii="仿宋" w:hAnsi="仿宋" w:eastAsia="仿宋" w:cs="仿宋"/>
              <w:sz w:val="28"/>
              <w:szCs w:val="72"/>
              <w:highlight w:val="none"/>
            </w:rPr>
            <w:t>部分 评审办法及标准</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_Toc21054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32</w:t>
          </w:r>
          <w:r>
            <w:rPr>
              <w:rFonts w:hint="eastAsia" w:ascii="仿宋" w:hAnsi="仿宋" w:eastAsia="仿宋" w:cs="仿宋"/>
              <w:sz w:val="28"/>
              <w:szCs w:val="28"/>
              <w:highlight w:val="none"/>
            </w:rPr>
            <w:fldChar w:fldCharType="end"/>
          </w:r>
          <w:r>
            <w:rPr>
              <w:rFonts w:hint="eastAsia" w:ascii="仿宋" w:hAnsi="仿宋" w:eastAsia="仿宋" w:cs="仿宋"/>
              <w:sz w:val="28"/>
              <w:szCs w:val="48"/>
              <w:highlight w:val="none"/>
            </w:rPr>
            <w:fldChar w:fldCharType="end"/>
          </w:r>
        </w:p>
        <w:p>
          <w:pPr>
            <w:pStyle w:val="110"/>
            <w:pageBreakBefore w:val="0"/>
            <w:tabs>
              <w:tab w:val="right" w:leader="dot" w:pos="9361"/>
            </w:tabs>
            <w:overflowPunct/>
            <w:bidi w:val="0"/>
            <w:spacing w:afterAutospacing="0" w:line="336" w:lineRule="auto"/>
            <w:rPr>
              <w:rFonts w:hint="eastAsia" w:ascii="仿宋" w:hAnsi="仿宋" w:eastAsia="仿宋" w:cs="仿宋"/>
              <w:highlight w:val="none"/>
            </w:rPr>
          </w:pPr>
          <w:r>
            <w:rPr>
              <w:rFonts w:hint="eastAsia" w:ascii="仿宋" w:hAnsi="仿宋" w:eastAsia="仿宋" w:cs="仿宋"/>
              <w:sz w:val="28"/>
              <w:szCs w:val="48"/>
              <w:highlight w:val="none"/>
            </w:rPr>
            <w:fldChar w:fldCharType="begin"/>
          </w:r>
          <w:r>
            <w:rPr>
              <w:rFonts w:hint="eastAsia" w:ascii="仿宋" w:hAnsi="仿宋" w:eastAsia="仿宋" w:cs="仿宋"/>
              <w:sz w:val="28"/>
              <w:szCs w:val="48"/>
              <w:highlight w:val="none"/>
            </w:rPr>
            <w:instrText xml:space="preserve"> HYPERLINK \l _Toc19046 </w:instrText>
          </w:r>
          <w:r>
            <w:rPr>
              <w:rFonts w:hint="eastAsia" w:ascii="仿宋" w:hAnsi="仿宋" w:eastAsia="仿宋" w:cs="仿宋"/>
              <w:sz w:val="28"/>
              <w:szCs w:val="48"/>
              <w:highlight w:val="none"/>
            </w:rPr>
            <w:fldChar w:fldCharType="separate"/>
          </w:r>
          <w:r>
            <w:rPr>
              <w:rFonts w:hint="eastAsia" w:ascii="仿宋" w:hAnsi="仿宋" w:eastAsia="仿宋" w:cs="仿宋"/>
              <w:sz w:val="28"/>
              <w:szCs w:val="72"/>
              <w:highlight w:val="none"/>
            </w:rPr>
            <w:t>第</w:t>
          </w:r>
          <w:r>
            <w:rPr>
              <w:rFonts w:hint="eastAsia" w:ascii="仿宋" w:hAnsi="仿宋" w:eastAsia="仿宋" w:cs="仿宋"/>
              <w:sz w:val="28"/>
              <w:szCs w:val="72"/>
              <w:highlight w:val="none"/>
              <w:lang w:eastAsia="zh-CN"/>
            </w:rPr>
            <w:t>六</w:t>
          </w:r>
          <w:r>
            <w:rPr>
              <w:rFonts w:hint="eastAsia" w:ascii="仿宋" w:hAnsi="仿宋" w:eastAsia="仿宋" w:cs="仿宋"/>
              <w:sz w:val="28"/>
              <w:szCs w:val="72"/>
              <w:highlight w:val="none"/>
            </w:rPr>
            <w:t>部分 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_Toc19046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41</w:t>
          </w:r>
          <w:r>
            <w:rPr>
              <w:rFonts w:hint="eastAsia" w:ascii="仿宋" w:hAnsi="仿宋" w:eastAsia="仿宋" w:cs="仿宋"/>
              <w:sz w:val="28"/>
              <w:szCs w:val="28"/>
              <w:highlight w:val="none"/>
            </w:rPr>
            <w:fldChar w:fldCharType="end"/>
          </w:r>
          <w:r>
            <w:rPr>
              <w:rFonts w:hint="eastAsia" w:ascii="仿宋" w:hAnsi="仿宋" w:eastAsia="仿宋" w:cs="仿宋"/>
              <w:sz w:val="28"/>
              <w:szCs w:val="48"/>
              <w:highlight w:val="none"/>
            </w:rPr>
            <w:fldChar w:fldCharType="end"/>
          </w:r>
        </w:p>
        <w:p>
          <w:pPr>
            <w:pageBreakBefore w:val="0"/>
            <w:overflowPunct/>
            <w:bidi w:val="0"/>
            <w:spacing w:afterAutospacing="0" w:line="336" w:lineRule="auto"/>
            <w:ind w:firstLine="420" w:firstLineChars="200"/>
            <w:jc w:val="center"/>
            <w:rPr>
              <w:rFonts w:hint="eastAsia" w:ascii="仿宋" w:hAnsi="仿宋" w:eastAsia="仿宋" w:cs="仿宋"/>
              <w:sz w:val="32"/>
              <w:szCs w:val="32"/>
              <w:highlight w:val="none"/>
            </w:rPr>
          </w:pPr>
          <w:r>
            <w:rPr>
              <w:rFonts w:hint="eastAsia" w:ascii="仿宋" w:hAnsi="仿宋" w:eastAsia="仿宋" w:cs="仿宋"/>
              <w:szCs w:val="32"/>
              <w:highlight w:val="none"/>
            </w:rPr>
            <w:fldChar w:fldCharType="end"/>
          </w:r>
        </w:p>
      </w:sdtContent>
    </w:sdt>
    <w:p>
      <w:pPr>
        <w:pageBreakBefore w:val="0"/>
        <w:overflowPunct/>
        <w:bidi w:val="0"/>
        <w:spacing w:afterAutospacing="0" w:line="336" w:lineRule="auto"/>
        <w:ind w:firstLine="640" w:firstLineChars="200"/>
        <w:rPr>
          <w:rFonts w:hint="eastAsia" w:ascii="仿宋" w:hAnsi="仿宋" w:eastAsia="仿宋" w:cs="仿宋"/>
          <w:sz w:val="32"/>
          <w:szCs w:val="32"/>
          <w:highlight w:val="none"/>
        </w:rPr>
      </w:pPr>
    </w:p>
    <w:p>
      <w:pPr>
        <w:pageBreakBefore w:val="0"/>
        <w:overflowPunct/>
        <w:bidi w:val="0"/>
        <w:spacing w:afterAutospacing="0" w:line="336" w:lineRule="auto"/>
        <w:ind w:firstLine="560" w:firstLineChars="200"/>
        <w:rPr>
          <w:rFonts w:hint="eastAsia" w:ascii="仿宋" w:hAnsi="仿宋" w:eastAsia="仿宋" w:cs="仿宋"/>
          <w:sz w:val="28"/>
          <w:szCs w:val="28"/>
          <w:highlight w:val="none"/>
        </w:rPr>
      </w:pPr>
      <w:bookmarkStart w:id="72" w:name="_GoBack"/>
      <w:bookmarkEnd w:id="72"/>
    </w:p>
    <w:p>
      <w:pPr>
        <w:pageBreakBefore w:val="0"/>
        <w:overflowPunct/>
        <w:bidi w:val="0"/>
        <w:spacing w:afterAutospacing="0" w:line="336" w:lineRule="auto"/>
        <w:outlineLvl w:val="9"/>
        <w:rPr>
          <w:rFonts w:hint="eastAsia" w:ascii="仿宋" w:hAnsi="仿宋" w:eastAsia="仿宋" w:cs="仿宋"/>
          <w:b/>
          <w:sz w:val="44"/>
          <w:szCs w:val="44"/>
          <w:highlight w:val="none"/>
        </w:rPr>
      </w:pPr>
      <w:bookmarkStart w:id="0" w:name="_Toc25707"/>
      <w:bookmarkStart w:id="1" w:name="_Toc10276"/>
      <w:bookmarkStart w:id="2" w:name="_Toc32697"/>
      <w:bookmarkStart w:id="3" w:name="_Toc2612"/>
      <w:r>
        <w:rPr>
          <w:rFonts w:hint="eastAsia" w:ascii="仿宋" w:hAnsi="仿宋" w:eastAsia="仿宋" w:cs="仿宋"/>
          <w:b/>
          <w:sz w:val="44"/>
          <w:szCs w:val="44"/>
          <w:highlight w:val="none"/>
        </w:rPr>
        <w:br w:type="page"/>
      </w:r>
    </w:p>
    <w:bookmarkEnd w:id="0"/>
    <w:bookmarkEnd w:id="1"/>
    <w:bookmarkEnd w:id="2"/>
    <w:bookmarkEnd w:id="3"/>
    <w:p>
      <w:pPr>
        <w:pageBreakBefore w:val="0"/>
        <w:numPr>
          <w:ilvl w:val="0"/>
          <w:numId w:val="2"/>
        </w:numPr>
        <w:overflowPunct/>
        <w:bidi w:val="0"/>
        <w:spacing w:afterAutospacing="0" w:line="336" w:lineRule="auto"/>
        <w:jc w:val="center"/>
        <w:outlineLvl w:val="0"/>
        <w:rPr>
          <w:rFonts w:hint="eastAsia" w:ascii="仿宋" w:hAnsi="仿宋" w:eastAsia="仿宋" w:cs="仿宋"/>
          <w:b/>
          <w:sz w:val="44"/>
          <w:szCs w:val="44"/>
          <w:highlight w:val="none"/>
        </w:rPr>
      </w:pPr>
      <w:bookmarkStart w:id="4" w:name="_Toc24865"/>
      <w:r>
        <w:rPr>
          <w:rFonts w:hint="eastAsia" w:ascii="仿宋" w:hAnsi="仿宋" w:eastAsia="仿宋" w:cs="仿宋"/>
          <w:b/>
          <w:sz w:val="44"/>
          <w:szCs w:val="44"/>
          <w:highlight w:val="none"/>
        </w:rPr>
        <w:t>竞争性磋商公告</w:t>
      </w:r>
      <w:bookmarkEnd w:id="4"/>
    </w:p>
    <w:p>
      <w:pPr>
        <w:pStyle w:val="15"/>
        <w:pageBreakBefore w:val="0"/>
        <w:numPr>
          <w:ilvl w:val="0"/>
          <w:numId w:val="0"/>
        </w:numPr>
        <w:overflowPunct/>
        <w:bidi w:val="0"/>
        <w:spacing w:line="336" w:lineRule="auto"/>
        <w:rPr>
          <w:rFonts w:hint="eastAsia" w:ascii="仿宋" w:hAnsi="仿宋" w:eastAsia="仿宋" w:cs="仿宋"/>
          <w:highlight w:val="none"/>
        </w:rPr>
      </w:pPr>
    </w:p>
    <w:p>
      <w:pPr>
        <w:pStyle w:val="9"/>
        <w:pageBreakBefore w:val="0"/>
        <w:kinsoku/>
        <w:overflowPunct/>
        <w:topLinePunct w:val="0"/>
        <w:autoSpaceDE/>
        <w:autoSpaceDN/>
        <w:bidi w:val="0"/>
        <w:spacing w:before="0" w:beforeLines="0" w:after="0" w:afterLines="0" w:afterAutospacing="0" w:line="336" w:lineRule="auto"/>
        <w:ind w:firstLine="482" w:firstLineChars="200"/>
        <w:rPr>
          <w:rFonts w:hint="eastAsia" w:ascii="仿宋" w:hAnsi="仿宋" w:eastAsia="仿宋" w:cs="仿宋"/>
          <w:b/>
          <w:bCs w:val="0"/>
          <w:sz w:val="24"/>
          <w:szCs w:val="24"/>
          <w:highlight w:val="none"/>
          <w:lang w:eastAsia="zh-CN"/>
        </w:rPr>
      </w:pPr>
      <w:r>
        <w:rPr>
          <w:rFonts w:hint="eastAsia" w:ascii="仿宋" w:hAnsi="仿宋" w:eastAsia="仿宋" w:cs="仿宋"/>
          <w:i w:val="0"/>
          <w:caps w:val="0"/>
          <w:color w:val="auto"/>
          <w:spacing w:val="0"/>
          <w:sz w:val="24"/>
          <w:szCs w:val="24"/>
          <w:highlight w:val="none"/>
          <w:shd w:val="clear" w:color="auto" w:fill="FFFFFF"/>
          <w:lang w:eastAsia="zh-CN"/>
        </w:rPr>
        <w:t>铜川市2023年度一元民生保险采购项目的潜在供应商应在</w:t>
      </w:r>
      <w:r>
        <w:rPr>
          <w:rFonts w:hint="eastAsia" w:ascii="仿宋" w:hAnsi="仿宋" w:eastAsia="仿宋" w:cs="仿宋"/>
          <w:i w:val="0"/>
          <w:caps w:val="0"/>
          <w:color w:val="auto"/>
          <w:spacing w:val="0"/>
          <w:sz w:val="24"/>
          <w:szCs w:val="24"/>
          <w:highlight w:val="none"/>
          <w:shd w:val="clear" w:color="auto" w:fill="FFFFFF"/>
          <w:lang w:val="en-US" w:eastAsia="zh-CN"/>
        </w:rPr>
        <w:t>陕西省铜川市新区金谟西路40号</w:t>
      </w:r>
      <w:r>
        <w:rPr>
          <w:rFonts w:hint="eastAsia" w:ascii="仿宋" w:hAnsi="仿宋" w:eastAsia="仿宋" w:cs="仿宋"/>
          <w:i w:val="0"/>
          <w:caps w:val="0"/>
          <w:color w:val="auto"/>
          <w:spacing w:val="0"/>
          <w:sz w:val="24"/>
          <w:szCs w:val="24"/>
          <w:highlight w:val="none"/>
          <w:shd w:val="clear" w:color="auto" w:fill="FFFFFF"/>
          <w:lang w:eastAsia="zh-CN"/>
        </w:rPr>
        <w:t>获取采</w:t>
      </w:r>
      <w:r>
        <w:rPr>
          <w:rFonts w:hint="eastAsia" w:ascii="仿宋" w:hAnsi="仿宋" w:eastAsia="仿宋" w:cs="仿宋"/>
          <w:i w:val="0"/>
          <w:caps w:val="0"/>
          <w:color w:val="auto"/>
          <w:spacing w:val="0"/>
          <w:sz w:val="24"/>
          <w:szCs w:val="24"/>
          <w:highlight w:val="none"/>
          <w:shd w:val="clear" w:color="auto" w:fill="FFFFFF"/>
        </w:rPr>
        <w:t>购文件，并于</w:t>
      </w:r>
      <w:r>
        <w:rPr>
          <w:rFonts w:hint="eastAsia" w:ascii="仿宋" w:hAnsi="仿宋" w:eastAsia="仿宋" w:cs="仿宋"/>
          <w:i w:val="0"/>
          <w:caps w:val="0"/>
          <w:color w:val="auto"/>
          <w:spacing w:val="0"/>
          <w:sz w:val="24"/>
          <w:szCs w:val="24"/>
          <w:highlight w:val="none"/>
          <w:shd w:val="clear" w:color="auto" w:fill="FFFFFF"/>
          <w:vertAlign w:val="baseline"/>
          <w:lang w:eastAsia="zh-CN"/>
        </w:rPr>
        <w:t>2022年</w:t>
      </w:r>
      <w:r>
        <w:rPr>
          <w:rFonts w:hint="eastAsia" w:ascii="仿宋" w:hAnsi="仿宋" w:eastAsia="仿宋" w:cs="仿宋"/>
          <w:i w:val="0"/>
          <w:caps w:val="0"/>
          <w:color w:val="auto"/>
          <w:spacing w:val="0"/>
          <w:sz w:val="24"/>
          <w:szCs w:val="24"/>
          <w:highlight w:val="none"/>
          <w:shd w:val="clear" w:color="auto" w:fill="FFFFFF"/>
          <w:lang w:val="en-US" w:eastAsia="zh-CN"/>
        </w:rPr>
        <w:t>12</w:t>
      </w:r>
      <w:r>
        <w:rPr>
          <w:rFonts w:hint="eastAsia" w:ascii="仿宋" w:hAnsi="仿宋" w:eastAsia="仿宋" w:cs="仿宋"/>
          <w:i w:val="0"/>
          <w:caps w:val="0"/>
          <w:color w:val="auto"/>
          <w:spacing w:val="0"/>
          <w:sz w:val="24"/>
          <w:szCs w:val="24"/>
          <w:highlight w:val="none"/>
          <w:shd w:val="clear" w:color="auto" w:fill="FFFFFF"/>
          <w:lang w:eastAsia="zh-CN"/>
        </w:rPr>
        <w:t>月</w:t>
      </w: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lang w:eastAsia="zh-CN"/>
        </w:rPr>
        <w:t>日1</w:t>
      </w:r>
      <w:r>
        <w:rPr>
          <w:rFonts w:hint="eastAsia" w:ascii="仿宋" w:hAnsi="仿宋" w:eastAsia="仿宋" w:cs="仿宋"/>
          <w:i w:val="0"/>
          <w:caps w:val="0"/>
          <w:color w:val="auto"/>
          <w:spacing w:val="0"/>
          <w:sz w:val="24"/>
          <w:szCs w:val="24"/>
          <w:highlight w:val="none"/>
          <w:shd w:val="clear" w:color="auto" w:fill="FFFFFF"/>
          <w:lang w:val="en-US" w:eastAsia="zh-CN"/>
        </w:rPr>
        <w:t>4</w:t>
      </w:r>
      <w:r>
        <w:rPr>
          <w:rFonts w:hint="eastAsia" w:ascii="仿宋" w:hAnsi="仿宋" w:eastAsia="仿宋" w:cs="仿宋"/>
          <w:i w:val="0"/>
          <w:caps w:val="0"/>
          <w:color w:val="auto"/>
          <w:spacing w:val="0"/>
          <w:sz w:val="24"/>
          <w:szCs w:val="24"/>
          <w:highlight w:val="none"/>
          <w:shd w:val="clear" w:color="auto" w:fill="FFFFFF"/>
          <w:lang w:eastAsia="zh-CN"/>
        </w:rPr>
        <w:t>时</w:t>
      </w:r>
      <w:r>
        <w:rPr>
          <w:rFonts w:hint="eastAsia" w:ascii="仿宋" w:hAnsi="仿宋" w:eastAsia="仿宋" w:cs="仿宋"/>
          <w:i w:val="0"/>
          <w:caps w:val="0"/>
          <w:color w:val="auto"/>
          <w:spacing w:val="0"/>
          <w:sz w:val="24"/>
          <w:szCs w:val="24"/>
          <w:highlight w:val="none"/>
          <w:shd w:val="clear" w:color="auto" w:fill="FFFFFF"/>
          <w:vertAlign w:val="baseline"/>
          <w:lang w:val="en-US" w:eastAsia="zh-CN"/>
        </w:rPr>
        <w:t>30</w:t>
      </w:r>
      <w:r>
        <w:rPr>
          <w:rFonts w:hint="eastAsia" w:ascii="仿宋" w:hAnsi="仿宋" w:eastAsia="仿宋" w:cs="仿宋"/>
          <w:i w:val="0"/>
          <w:caps w:val="0"/>
          <w:color w:val="auto"/>
          <w:spacing w:val="0"/>
          <w:sz w:val="24"/>
          <w:szCs w:val="24"/>
          <w:highlight w:val="none"/>
          <w:shd w:val="clear" w:color="auto" w:fill="FFFFFF"/>
          <w:vertAlign w:val="baseline"/>
        </w:rPr>
        <w:t>分</w:t>
      </w:r>
      <w:r>
        <w:rPr>
          <w:rFonts w:hint="eastAsia" w:ascii="仿宋" w:hAnsi="仿宋" w:eastAsia="仿宋" w:cs="仿宋"/>
          <w:i w:val="0"/>
          <w:caps w:val="0"/>
          <w:color w:val="auto"/>
          <w:spacing w:val="0"/>
          <w:sz w:val="24"/>
          <w:szCs w:val="24"/>
          <w:highlight w:val="none"/>
          <w:shd w:val="clear" w:color="auto" w:fill="FFFFFF"/>
        </w:rPr>
        <w:t>（北京时间）前提交响应文件。</w:t>
      </w:r>
    </w:p>
    <w:p>
      <w:pPr>
        <w:pStyle w:val="9"/>
        <w:pageBreakBefore w:val="0"/>
        <w:numPr>
          <w:ilvl w:val="0"/>
          <w:numId w:val="3"/>
        </w:numPr>
        <w:kinsoku/>
        <w:overflowPunct/>
        <w:topLinePunct w:val="0"/>
        <w:autoSpaceDE/>
        <w:autoSpaceDN/>
        <w:bidi w:val="0"/>
        <w:spacing w:before="0" w:beforeLines="0" w:after="0" w:afterLines="0" w:afterAutospacing="0" w:line="336"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项目基本情况</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36" w:lineRule="auto"/>
        <w:ind w:left="0" w:right="0" w:firstLine="480"/>
        <w:jc w:val="both"/>
        <w:textAlignment w:val="baseline"/>
        <w:rPr>
          <w:rFonts w:hint="eastAsia" w:ascii="仿宋" w:hAnsi="仿宋" w:eastAsia="仿宋" w:cs="仿宋"/>
          <w:i w:val="0"/>
          <w:caps w:val="0"/>
          <w:color w:val="auto"/>
          <w:spacing w:val="0"/>
          <w:sz w:val="24"/>
          <w:szCs w:val="24"/>
          <w:highlight w:val="none"/>
          <w:shd w:val="clear" w:color="auto" w:fill="FFFFFF"/>
          <w:vertAlign w:val="baseline"/>
        </w:rPr>
      </w:pPr>
      <w:r>
        <w:rPr>
          <w:rFonts w:hint="eastAsia" w:ascii="仿宋" w:hAnsi="仿宋" w:eastAsia="仿宋" w:cs="仿宋"/>
          <w:i w:val="0"/>
          <w:caps w:val="0"/>
          <w:color w:val="auto"/>
          <w:spacing w:val="0"/>
          <w:sz w:val="24"/>
          <w:szCs w:val="24"/>
          <w:highlight w:val="none"/>
          <w:shd w:val="clear" w:color="auto" w:fill="FFFFFF"/>
          <w:vertAlign w:val="baseline"/>
          <w:lang w:val="en-US" w:eastAsia="zh-CN"/>
        </w:rPr>
        <w:t>项目编号：TCC2022-1119Z-01</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36" w:lineRule="auto"/>
        <w:ind w:left="0" w:right="0" w:firstLine="480"/>
        <w:jc w:val="both"/>
        <w:textAlignment w:val="baseline"/>
        <w:rPr>
          <w:rFonts w:hint="eastAsia" w:ascii="仿宋" w:hAnsi="仿宋" w:eastAsia="仿宋" w:cs="仿宋"/>
          <w:i w:val="0"/>
          <w:caps w:val="0"/>
          <w:color w:val="auto"/>
          <w:spacing w:val="0"/>
          <w:sz w:val="24"/>
          <w:szCs w:val="24"/>
          <w:highlight w:val="none"/>
        </w:rPr>
      </w:pPr>
      <w:r>
        <w:rPr>
          <w:rFonts w:hint="eastAsia" w:ascii="仿宋" w:hAnsi="仿宋" w:eastAsia="仿宋" w:cs="仿宋"/>
          <w:i w:val="0"/>
          <w:caps w:val="0"/>
          <w:color w:val="auto"/>
          <w:spacing w:val="0"/>
          <w:sz w:val="24"/>
          <w:szCs w:val="24"/>
          <w:highlight w:val="none"/>
          <w:shd w:val="clear" w:color="auto" w:fill="FFFFFF"/>
          <w:vertAlign w:val="baseline"/>
        </w:rPr>
        <w:t>项目名称：</w:t>
      </w:r>
      <w:r>
        <w:rPr>
          <w:rFonts w:hint="eastAsia" w:ascii="仿宋" w:hAnsi="仿宋" w:eastAsia="仿宋" w:cs="仿宋"/>
          <w:i w:val="0"/>
          <w:caps w:val="0"/>
          <w:color w:val="auto"/>
          <w:spacing w:val="0"/>
          <w:sz w:val="24"/>
          <w:szCs w:val="24"/>
          <w:highlight w:val="none"/>
          <w:shd w:val="clear" w:color="auto" w:fill="FFFFFF"/>
          <w:lang w:eastAsia="zh-CN"/>
        </w:rPr>
        <w:t>铜川市2023年度一元民生保险采购项目</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36" w:lineRule="auto"/>
        <w:ind w:left="0" w:right="0" w:firstLine="480"/>
        <w:jc w:val="both"/>
        <w:textAlignment w:val="baseline"/>
        <w:rPr>
          <w:rFonts w:hint="eastAsia" w:ascii="仿宋" w:hAnsi="仿宋" w:eastAsia="仿宋" w:cs="仿宋"/>
          <w:i w:val="0"/>
          <w:caps w:val="0"/>
          <w:color w:val="auto"/>
          <w:spacing w:val="0"/>
          <w:sz w:val="24"/>
          <w:szCs w:val="24"/>
          <w:highlight w:val="none"/>
        </w:rPr>
      </w:pPr>
      <w:r>
        <w:rPr>
          <w:rFonts w:hint="eastAsia" w:ascii="仿宋" w:hAnsi="仿宋" w:eastAsia="仿宋" w:cs="仿宋"/>
          <w:i w:val="0"/>
          <w:caps w:val="0"/>
          <w:color w:val="auto"/>
          <w:spacing w:val="0"/>
          <w:sz w:val="24"/>
          <w:szCs w:val="24"/>
          <w:highlight w:val="none"/>
          <w:shd w:val="clear" w:color="auto" w:fill="FFFFFF"/>
          <w:vertAlign w:val="baseline"/>
        </w:rPr>
        <w:t>采购方式：竞争性</w:t>
      </w:r>
      <w:r>
        <w:rPr>
          <w:rFonts w:hint="eastAsia" w:ascii="仿宋" w:hAnsi="仿宋" w:eastAsia="仿宋" w:cs="仿宋"/>
          <w:i w:val="0"/>
          <w:caps w:val="0"/>
          <w:color w:val="auto"/>
          <w:spacing w:val="0"/>
          <w:sz w:val="24"/>
          <w:szCs w:val="24"/>
          <w:highlight w:val="none"/>
          <w:shd w:val="clear" w:color="auto" w:fill="FFFFFF"/>
          <w:vertAlign w:val="baseline"/>
          <w:lang w:eastAsia="zh-CN"/>
        </w:rPr>
        <w:t>磋商</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36" w:lineRule="auto"/>
        <w:ind w:left="0" w:right="0" w:firstLine="480"/>
        <w:jc w:val="both"/>
        <w:textAlignment w:val="baseline"/>
        <w:rPr>
          <w:rFonts w:hint="eastAsia" w:ascii="仿宋" w:hAnsi="仿宋" w:eastAsia="仿宋" w:cs="仿宋"/>
          <w:i w:val="0"/>
          <w:caps w:val="0"/>
          <w:color w:val="auto"/>
          <w:spacing w:val="0"/>
          <w:sz w:val="24"/>
          <w:szCs w:val="24"/>
          <w:highlight w:val="none"/>
        </w:rPr>
      </w:pPr>
      <w:r>
        <w:rPr>
          <w:rFonts w:hint="eastAsia" w:ascii="仿宋" w:hAnsi="仿宋" w:eastAsia="仿宋" w:cs="仿宋"/>
          <w:i w:val="0"/>
          <w:caps w:val="0"/>
          <w:color w:val="auto"/>
          <w:spacing w:val="0"/>
          <w:sz w:val="24"/>
          <w:szCs w:val="24"/>
          <w:highlight w:val="none"/>
          <w:shd w:val="clear" w:color="auto" w:fill="FFFFFF"/>
          <w:vertAlign w:val="baseline"/>
        </w:rPr>
        <w:t>采购需求：</w:t>
      </w:r>
    </w:p>
    <w:tbl>
      <w:tblPr>
        <w:tblStyle w:val="38"/>
        <w:tblpPr w:leftFromText="180" w:rightFromText="180" w:vertAnchor="text" w:horzAnchor="page" w:tblpX="996" w:tblpY="252"/>
        <w:tblOverlap w:val="never"/>
        <w:tblW w:w="10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77"/>
        <w:gridCol w:w="2464"/>
        <w:gridCol w:w="1717"/>
        <w:gridCol w:w="1445"/>
        <w:gridCol w:w="1535"/>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89" w:hRule="atLeast"/>
          <w:tblHeader/>
        </w:trPr>
        <w:tc>
          <w:tcPr>
            <w:tcW w:w="77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bCs w:val="0"/>
                <w:i w:val="0"/>
                <w:caps w:val="0"/>
                <w:color w:val="auto"/>
                <w:spacing w:val="0"/>
                <w:sz w:val="24"/>
                <w:szCs w:val="24"/>
                <w:highlight w:val="none"/>
              </w:rPr>
            </w:pPr>
            <w:r>
              <w:rPr>
                <w:rFonts w:hint="eastAsia" w:ascii="仿宋" w:hAnsi="仿宋" w:eastAsia="仿宋" w:cs="仿宋"/>
                <w:b/>
                <w:i w:val="0"/>
                <w:caps w:val="0"/>
                <w:color w:val="auto"/>
                <w:spacing w:val="0"/>
                <w:sz w:val="24"/>
                <w:szCs w:val="24"/>
                <w:highlight w:val="none"/>
                <w:shd w:val="clear" w:color="auto" w:fill="FFFFFF"/>
              </w:rPr>
              <w:t>合同包号</w:t>
            </w:r>
          </w:p>
        </w:tc>
        <w:tc>
          <w:tcPr>
            <w:tcW w:w="246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bCs w:val="0"/>
                <w:i w:val="0"/>
                <w:caps w:val="0"/>
                <w:color w:val="auto"/>
                <w:spacing w:val="0"/>
                <w:sz w:val="24"/>
                <w:szCs w:val="24"/>
                <w:highlight w:val="none"/>
              </w:rPr>
            </w:pPr>
            <w:r>
              <w:rPr>
                <w:rFonts w:hint="eastAsia" w:ascii="仿宋" w:hAnsi="仿宋" w:eastAsia="仿宋" w:cs="仿宋"/>
                <w:b/>
                <w:i w:val="0"/>
                <w:caps w:val="0"/>
                <w:color w:val="auto"/>
                <w:spacing w:val="0"/>
                <w:kern w:val="0"/>
                <w:sz w:val="24"/>
                <w:szCs w:val="24"/>
                <w:highlight w:val="none"/>
                <w:lang w:val="en-US" w:eastAsia="zh-CN" w:bidi="ar"/>
              </w:rPr>
              <w:t>合同包名称</w:t>
            </w:r>
          </w:p>
        </w:tc>
        <w:tc>
          <w:tcPr>
            <w:tcW w:w="171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bCs w:val="0"/>
                <w:i w:val="0"/>
                <w:caps w:val="0"/>
                <w:color w:val="auto"/>
                <w:spacing w:val="0"/>
                <w:sz w:val="24"/>
                <w:szCs w:val="24"/>
                <w:highlight w:val="none"/>
              </w:rPr>
            </w:pPr>
            <w:r>
              <w:rPr>
                <w:rFonts w:hint="eastAsia" w:ascii="仿宋" w:hAnsi="仿宋" w:eastAsia="仿宋" w:cs="仿宋"/>
                <w:b/>
                <w:i w:val="0"/>
                <w:caps w:val="0"/>
                <w:color w:val="auto"/>
                <w:spacing w:val="0"/>
                <w:kern w:val="0"/>
                <w:sz w:val="24"/>
                <w:szCs w:val="24"/>
                <w:highlight w:val="none"/>
                <w:lang w:val="en-US" w:eastAsia="zh-CN" w:bidi="ar"/>
              </w:rPr>
              <w:t>技术规格、参数及要求</w:t>
            </w:r>
          </w:p>
        </w:tc>
        <w:tc>
          <w:tcPr>
            <w:tcW w:w="1445" w:type="dxa"/>
            <w:tcBorders>
              <w:top w:val="single" w:color="333333" w:sz="6" w:space="0"/>
              <w:left w:val="single" w:color="333333" w:sz="6" w:space="0"/>
              <w:bottom w:val="single" w:color="auto" w:sz="4"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bCs w:val="0"/>
                <w:i w:val="0"/>
                <w:caps w:val="0"/>
                <w:color w:val="auto"/>
                <w:spacing w:val="0"/>
                <w:sz w:val="24"/>
                <w:szCs w:val="24"/>
                <w:highlight w:val="none"/>
              </w:rPr>
            </w:pPr>
            <w:r>
              <w:rPr>
                <w:rFonts w:hint="eastAsia" w:ascii="仿宋" w:hAnsi="仿宋" w:eastAsia="仿宋" w:cs="仿宋"/>
                <w:b/>
                <w:i w:val="0"/>
                <w:caps w:val="0"/>
                <w:color w:val="auto"/>
                <w:spacing w:val="0"/>
                <w:kern w:val="0"/>
                <w:sz w:val="24"/>
                <w:szCs w:val="24"/>
                <w:highlight w:val="none"/>
                <w:lang w:val="en-US" w:eastAsia="zh-CN" w:bidi="ar"/>
              </w:rPr>
              <w:t>预算金额（元）</w:t>
            </w:r>
          </w:p>
        </w:tc>
        <w:tc>
          <w:tcPr>
            <w:tcW w:w="1535" w:type="dxa"/>
            <w:tcBorders>
              <w:top w:val="single" w:color="333333" w:sz="6" w:space="0"/>
              <w:left w:val="single" w:color="333333" w:sz="6" w:space="0"/>
              <w:bottom w:val="single" w:color="auto" w:sz="4"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bCs w:val="0"/>
                <w:i w:val="0"/>
                <w:caps w:val="0"/>
                <w:color w:val="auto"/>
                <w:spacing w:val="0"/>
                <w:sz w:val="24"/>
                <w:szCs w:val="24"/>
                <w:highlight w:val="none"/>
              </w:rPr>
            </w:pPr>
            <w:r>
              <w:rPr>
                <w:rFonts w:hint="eastAsia" w:ascii="仿宋" w:hAnsi="仿宋" w:eastAsia="仿宋" w:cs="仿宋"/>
                <w:b/>
                <w:i w:val="0"/>
                <w:caps w:val="0"/>
                <w:color w:val="auto"/>
                <w:spacing w:val="0"/>
                <w:kern w:val="0"/>
                <w:sz w:val="24"/>
                <w:szCs w:val="24"/>
                <w:highlight w:val="none"/>
                <w:lang w:val="en-US" w:eastAsia="zh-CN" w:bidi="ar"/>
              </w:rPr>
              <w:t>是否接受联合体</w:t>
            </w:r>
          </w:p>
        </w:tc>
        <w:tc>
          <w:tcPr>
            <w:tcW w:w="2200" w:type="dxa"/>
            <w:tcBorders>
              <w:top w:val="single" w:color="333333" w:sz="6" w:space="0"/>
              <w:left w:val="single" w:color="333333" w:sz="6" w:space="0"/>
              <w:bottom w:val="single" w:color="auto" w:sz="4"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bCs w:val="0"/>
                <w:i w:val="0"/>
                <w:caps w:val="0"/>
                <w:color w:val="auto"/>
                <w:spacing w:val="0"/>
                <w:sz w:val="24"/>
                <w:szCs w:val="24"/>
                <w:highlight w:val="none"/>
              </w:rPr>
            </w:pPr>
            <w:r>
              <w:rPr>
                <w:rFonts w:hint="eastAsia" w:ascii="仿宋" w:hAnsi="仿宋" w:eastAsia="仿宋" w:cs="仿宋"/>
                <w:b/>
                <w:i w:val="0"/>
                <w:caps w:val="0"/>
                <w:color w:val="auto"/>
                <w:spacing w:val="0"/>
                <w:kern w:val="0"/>
                <w:sz w:val="24"/>
                <w:szCs w:val="24"/>
                <w:highlight w:val="none"/>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977" w:hRule="atLeast"/>
        </w:trPr>
        <w:tc>
          <w:tcPr>
            <w:tcW w:w="77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right="0" w:firstLine="0"/>
              <w:jc w:val="center"/>
              <w:textAlignment w:val="center"/>
              <w:rPr>
                <w:rFonts w:hint="eastAsia" w:ascii="仿宋" w:hAnsi="仿宋" w:eastAsia="仿宋" w:cs="仿宋"/>
                <w:b w:val="0"/>
                <w:bCs/>
                <w:i w:val="0"/>
                <w:caps w:val="0"/>
                <w:color w:val="auto"/>
                <w:spacing w:val="0"/>
                <w:sz w:val="24"/>
                <w:szCs w:val="24"/>
                <w:highlight w:val="none"/>
              </w:rPr>
            </w:pPr>
            <w:r>
              <w:rPr>
                <w:rFonts w:hint="eastAsia" w:ascii="仿宋" w:hAnsi="仿宋" w:eastAsia="仿宋" w:cs="仿宋"/>
                <w:b w:val="0"/>
                <w:bCs/>
                <w:i w:val="0"/>
                <w:caps w:val="0"/>
                <w:color w:val="auto"/>
                <w:spacing w:val="0"/>
                <w:kern w:val="0"/>
                <w:sz w:val="24"/>
                <w:szCs w:val="24"/>
                <w:highlight w:val="none"/>
                <w:lang w:val="en-US" w:eastAsia="zh-CN" w:bidi="ar"/>
              </w:rPr>
              <w:t>1</w:t>
            </w:r>
          </w:p>
        </w:tc>
        <w:tc>
          <w:tcPr>
            <w:tcW w:w="246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val="0"/>
                <w:bCs/>
                <w:i w:val="0"/>
                <w:caps w:val="0"/>
                <w:color w:val="auto"/>
                <w:spacing w:val="0"/>
                <w:sz w:val="24"/>
                <w:szCs w:val="24"/>
                <w:highlight w:val="none"/>
              </w:rPr>
            </w:pPr>
            <w:r>
              <w:rPr>
                <w:rFonts w:hint="eastAsia" w:ascii="仿宋" w:hAnsi="仿宋" w:eastAsia="仿宋" w:cs="仿宋"/>
                <w:i w:val="0"/>
                <w:caps w:val="0"/>
                <w:color w:val="auto"/>
                <w:spacing w:val="0"/>
                <w:sz w:val="24"/>
                <w:szCs w:val="24"/>
                <w:highlight w:val="none"/>
                <w:shd w:val="clear" w:color="auto" w:fill="FFFFFF"/>
                <w:lang w:eastAsia="zh-CN"/>
              </w:rPr>
              <w:t>铜川市2023年度一元民生保险采购项目</w:t>
            </w:r>
          </w:p>
        </w:tc>
        <w:tc>
          <w:tcPr>
            <w:tcW w:w="1717" w:type="dxa"/>
            <w:tcBorders>
              <w:top w:val="single" w:color="333333" w:sz="6" w:space="0"/>
              <w:left w:val="single" w:color="333333" w:sz="6" w:space="0"/>
              <w:bottom w:val="single" w:color="333333" w:sz="6" w:space="0"/>
              <w:right w:val="single" w:color="auto" w:sz="4"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val="0"/>
                <w:bCs/>
                <w:i w:val="0"/>
                <w:caps w:val="0"/>
                <w:color w:val="auto"/>
                <w:spacing w:val="0"/>
                <w:sz w:val="24"/>
                <w:szCs w:val="24"/>
                <w:highlight w:val="none"/>
              </w:rPr>
            </w:pPr>
            <w:r>
              <w:rPr>
                <w:rFonts w:hint="eastAsia" w:ascii="仿宋" w:hAnsi="仿宋" w:eastAsia="仿宋" w:cs="仿宋"/>
                <w:i w:val="0"/>
                <w:caps w:val="0"/>
                <w:color w:val="auto"/>
                <w:spacing w:val="0"/>
                <w:kern w:val="0"/>
                <w:sz w:val="24"/>
                <w:szCs w:val="24"/>
                <w:highlight w:val="none"/>
                <w:lang w:val="en-US" w:eastAsia="zh-CN" w:bidi="ar"/>
              </w:rPr>
              <w:t>详见采购文件</w:t>
            </w:r>
          </w:p>
        </w:tc>
        <w:tc>
          <w:tcPr>
            <w:tcW w:w="1445"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361397.00</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val="0"/>
                <w:bCs/>
                <w:i w:val="0"/>
                <w:caps w:val="0"/>
                <w:color w:val="auto"/>
                <w:spacing w:val="0"/>
                <w:sz w:val="24"/>
                <w:szCs w:val="24"/>
                <w:highlight w:val="none"/>
              </w:rPr>
            </w:pPr>
            <w:r>
              <w:rPr>
                <w:rFonts w:hint="eastAsia" w:ascii="仿宋" w:hAnsi="仿宋" w:eastAsia="仿宋" w:cs="仿宋"/>
                <w:i w:val="0"/>
                <w:caps w:val="0"/>
                <w:color w:val="auto"/>
                <w:spacing w:val="0"/>
                <w:kern w:val="0"/>
                <w:sz w:val="24"/>
                <w:szCs w:val="24"/>
                <w:highlight w:val="none"/>
                <w:vertAlign w:val="baseline"/>
                <w:lang w:val="en-US" w:eastAsia="zh-CN" w:bidi="ar"/>
              </w:rPr>
              <w:t>否</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Autospacing="0" w:afterAutospacing="0" w:line="336" w:lineRule="auto"/>
              <w:ind w:left="0" w:leftChars="0" w:right="0" w:rightChars="0"/>
              <w:jc w:val="center"/>
              <w:textAlignment w:val="center"/>
              <w:rPr>
                <w:rFonts w:hint="eastAsia" w:ascii="仿宋" w:hAnsi="仿宋" w:eastAsia="仿宋" w:cs="仿宋"/>
                <w:b w:val="0"/>
                <w:bCs/>
                <w:i w:val="0"/>
                <w:caps w:val="0"/>
                <w:color w:val="auto"/>
                <w:spacing w:val="0"/>
                <w:sz w:val="24"/>
                <w:szCs w:val="24"/>
                <w:highlight w:val="none"/>
              </w:rPr>
            </w:pPr>
            <w:r>
              <w:rPr>
                <w:rFonts w:hint="eastAsia" w:ascii="仿宋" w:hAnsi="仿宋" w:eastAsia="仿宋" w:cs="仿宋"/>
                <w:b w:val="0"/>
                <w:bCs/>
                <w:i w:val="0"/>
                <w:caps w:val="0"/>
                <w:color w:val="auto"/>
                <w:spacing w:val="0"/>
                <w:sz w:val="24"/>
                <w:szCs w:val="24"/>
                <w:highlight w:val="none"/>
                <w:lang w:val="en-US" w:eastAsia="zh-CN"/>
              </w:rPr>
              <w:t>2023年1月1日至2023年12月31日（具体服务起止日期可随合同签订时间相应顺延）</w:t>
            </w:r>
          </w:p>
        </w:tc>
      </w:tr>
    </w:tbl>
    <w:p>
      <w:pPr>
        <w:pStyle w:val="11"/>
        <w:pageBreakBefore w:val="0"/>
        <w:kinsoku/>
        <w:overflowPunct/>
        <w:topLinePunct w:val="0"/>
        <w:autoSpaceDE/>
        <w:autoSpaceDN/>
        <w:bidi w:val="0"/>
        <w:spacing w:afterAutospacing="0" w:line="336" w:lineRule="auto"/>
        <w:ind w:left="0" w:leftChars="0" w:firstLine="0" w:firstLineChars="0"/>
        <w:rPr>
          <w:rFonts w:hint="eastAsia" w:ascii="仿宋" w:hAnsi="仿宋" w:eastAsia="仿宋" w:cs="仿宋"/>
          <w:sz w:val="24"/>
          <w:szCs w:val="24"/>
          <w:highlight w:val="none"/>
          <w:lang w:eastAsia="zh-CN"/>
        </w:rPr>
      </w:pPr>
    </w:p>
    <w:p>
      <w:pPr>
        <w:pStyle w:val="9"/>
        <w:pageBreakBefore w:val="0"/>
        <w:numPr>
          <w:ilvl w:val="0"/>
          <w:numId w:val="3"/>
        </w:numPr>
        <w:kinsoku/>
        <w:overflowPunct/>
        <w:topLinePunct w:val="0"/>
        <w:autoSpaceDE/>
        <w:autoSpaceDN/>
        <w:bidi w:val="0"/>
        <w:spacing w:before="0" w:beforeLines="0" w:after="0" w:afterLines="0" w:afterAutospacing="0" w:line="336"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申请人的资格要求</w:t>
      </w:r>
    </w:p>
    <w:p>
      <w:pPr>
        <w:pStyle w:val="9"/>
        <w:keepNext/>
        <w:keepLines/>
        <w:pageBreakBefore w:val="0"/>
        <w:widowControl w:val="0"/>
        <w:numPr>
          <w:ilvl w:val="0"/>
          <w:numId w:val="4"/>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23" w:leftChars="0" w:firstLine="381" w:firstLineChars="158"/>
        <w:textAlignment w:val="auto"/>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bCs/>
          <w:i w:val="0"/>
          <w:caps w:val="0"/>
          <w:color w:val="auto"/>
          <w:spacing w:val="0"/>
          <w:sz w:val="24"/>
          <w:szCs w:val="24"/>
          <w:highlight w:val="none"/>
          <w:shd w:val="clear" w:color="auto" w:fill="FFFFFF"/>
          <w:vertAlign w:val="baseline"/>
        </w:rPr>
        <w:t>满足《</w:t>
      </w:r>
      <w:r>
        <w:rPr>
          <w:rFonts w:hint="eastAsia" w:ascii="仿宋" w:hAnsi="仿宋" w:eastAsia="仿宋" w:cs="仿宋"/>
          <w:b/>
          <w:bCs/>
          <w:i w:val="0"/>
          <w:caps w:val="0"/>
          <w:color w:val="auto"/>
          <w:spacing w:val="0"/>
          <w:sz w:val="24"/>
          <w:szCs w:val="24"/>
          <w:highlight w:val="none"/>
          <w:shd w:val="clear" w:color="auto" w:fill="FFFFFF"/>
          <w:vertAlign w:val="baseline"/>
          <w:lang w:eastAsia="zh-CN"/>
        </w:rPr>
        <w:t>中华人民共和国政府采购法</w:t>
      </w:r>
      <w:r>
        <w:rPr>
          <w:rFonts w:hint="eastAsia" w:ascii="仿宋" w:hAnsi="仿宋" w:eastAsia="仿宋" w:cs="仿宋"/>
          <w:b/>
          <w:bCs/>
          <w:i w:val="0"/>
          <w:caps w:val="0"/>
          <w:color w:val="auto"/>
          <w:spacing w:val="0"/>
          <w:sz w:val="24"/>
          <w:szCs w:val="24"/>
          <w:highlight w:val="none"/>
          <w:shd w:val="clear" w:color="auto" w:fill="FFFFFF"/>
          <w:vertAlign w:val="baseline"/>
        </w:rPr>
        <w:t>》第二十二条规定;</w:t>
      </w:r>
    </w:p>
    <w:p>
      <w:pPr>
        <w:pStyle w:val="9"/>
        <w:keepNext/>
        <w:keepLines/>
        <w:pageBreakBefore w:val="0"/>
        <w:widowControl w:val="0"/>
        <w:numPr>
          <w:ilvl w:val="0"/>
          <w:numId w:val="4"/>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23" w:leftChars="0" w:firstLine="381" w:firstLineChars="158"/>
        <w:textAlignment w:val="auto"/>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t>落实政府采购政策需满足的资格要求：</w:t>
      </w:r>
    </w:p>
    <w:p>
      <w:pPr>
        <w:pStyle w:val="9"/>
        <w:keepNext/>
        <w:keepLines/>
        <w:pageBreakBefore w:val="0"/>
        <w:widowControl w:val="0"/>
        <w:numPr>
          <w:ilvl w:val="0"/>
          <w:numId w:val="5"/>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《财政部 国家发展改革委关于印发〈节能产品政府采购实施意见〉的通知》（财库〔2004〕185号）；</w:t>
      </w:r>
    </w:p>
    <w:p>
      <w:pPr>
        <w:pStyle w:val="9"/>
        <w:keepNext/>
        <w:keepLines/>
        <w:pageBreakBefore w:val="0"/>
        <w:widowControl w:val="0"/>
        <w:numPr>
          <w:ilvl w:val="0"/>
          <w:numId w:val="5"/>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《环境标志产品政府采购实施的意见》（财库[2006]90号）；</w:t>
      </w:r>
    </w:p>
    <w:p>
      <w:pPr>
        <w:pStyle w:val="9"/>
        <w:keepNext/>
        <w:keepLines/>
        <w:pageBreakBefore w:val="0"/>
        <w:widowControl w:val="0"/>
        <w:numPr>
          <w:ilvl w:val="0"/>
          <w:numId w:val="5"/>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《国务院办公厅关于建立政府强制采购节能产品制度的通知》（国办发〔2007〕51号）；</w:t>
      </w:r>
    </w:p>
    <w:p>
      <w:pPr>
        <w:pStyle w:val="9"/>
        <w:keepNext/>
        <w:keepLines/>
        <w:pageBreakBefore w:val="0"/>
        <w:widowControl w:val="0"/>
        <w:numPr>
          <w:ilvl w:val="0"/>
          <w:numId w:val="5"/>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《财政部司法部关于政府采购支持监狱企业发展有关问题的通知》（财库〔2014〕68号）；</w:t>
      </w:r>
    </w:p>
    <w:p>
      <w:pPr>
        <w:pStyle w:val="9"/>
        <w:keepNext/>
        <w:keepLines/>
        <w:pageBreakBefore w:val="0"/>
        <w:widowControl w:val="0"/>
        <w:numPr>
          <w:ilvl w:val="0"/>
          <w:numId w:val="5"/>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《财政部民政部中国残疾人联合会关于促进残疾人就业政府采购政策的通知》（财库〔2017〕141号）；</w:t>
      </w:r>
    </w:p>
    <w:p>
      <w:pPr>
        <w:pStyle w:val="9"/>
        <w:keepNext/>
        <w:keepLines/>
        <w:pageBreakBefore w:val="0"/>
        <w:widowControl w:val="0"/>
        <w:numPr>
          <w:ilvl w:val="0"/>
          <w:numId w:val="5"/>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陕西省财政厅关于印发《陕西省中小企业政府采购信用融资办法》（陕财办采〔2018〕23号）；</w:t>
      </w:r>
    </w:p>
    <w:p>
      <w:pPr>
        <w:pStyle w:val="9"/>
        <w:keepNext/>
        <w:keepLines/>
        <w:pageBreakBefore w:val="0"/>
        <w:widowControl w:val="0"/>
        <w:numPr>
          <w:ilvl w:val="0"/>
          <w:numId w:val="5"/>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《财政部 发展改革委 生态环境部 市场监管总局关于调整优化节能产品、环境标志产品政府采购执行机制的通知》（财库〔2019〕9号）；</w:t>
      </w:r>
    </w:p>
    <w:p>
      <w:pPr>
        <w:pStyle w:val="9"/>
        <w:keepNext/>
        <w:keepLines/>
        <w:pageBreakBefore w:val="0"/>
        <w:widowControl w:val="0"/>
        <w:numPr>
          <w:ilvl w:val="0"/>
          <w:numId w:val="5"/>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《关于印发环境标志产品政府采购品目清单的通知》（财库〔2019〕18号）；</w:t>
      </w:r>
    </w:p>
    <w:p>
      <w:pPr>
        <w:pStyle w:val="9"/>
        <w:keepNext/>
        <w:keepLines/>
        <w:pageBreakBefore w:val="0"/>
        <w:widowControl w:val="0"/>
        <w:numPr>
          <w:ilvl w:val="0"/>
          <w:numId w:val="5"/>
        </w:numPr>
        <w:tabs>
          <w:tab w:val="left" w:pos="840"/>
          <w:tab w:val="left" w:pos="1050"/>
          <w:tab w:val="left" w:pos="1260"/>
          <w:tab w:val="left" w:pos="147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《关于印发节能产品政府采购品目清单的通知》（财库〔2019〕19号）；</w:t>
      </w:r>
    </w:p>
    <w:p>
      <w:pPr>
        <w:pStyle w:val="9"/>
        <w:keepNext/>
        <w:keepLines/>
        <w:pageBreakBefore w:val="0"/>
        <w:widowControl w:val="0"/>
        <w:numPr>
          <w:ilvl w:val="0"/>
          <w:numId w:val="5"/>
        </w:numPr>
        <w:tabs>
          <w:tab w:val="left" w:pos="840"/>
          <w:tab w:val="left" w:pos="1050"/>
          <w:tab w:val="left" w:pos="1260"/>
          <w:tab w:val="left" w:pos="147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《陕西省财政厅关于加快推进我省中小企业政府采购信用融资工作的通知》（陕财办采〔2020〕15号）；</w:t>
      </w:r>
    </w:p>
    <w:p>
      <w:pPr>
        <w:pStyle w:val="9"/>
        <w:keepNext/>
        <w:keepLines/>
        <w:pageBreakBefore w:val="0"/>
        <w:widowControl w:val="0"/>
        <w:numPr>
          <w:ilvl w:val="0"/>
          <w:numId w:val="5"/>
        </w:numPr>
        <w:tabs>
          <w:tab w:val="left" w:pos="840"/>
          <w:tab w:val="left" w:pos="1050"/>
          <w:tab w:val="left" w:pos="1260"/>
          <w:tab w:val="left" w:pos="147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《政府采购促进中小企业发展管理办法》（财库〔2020〕46号）；</w:t>
      </w:r>
    </w:p>
    <w:p>
      <w:pPr>
        <w:pStyle w:val="9"/>
        <w:keepNext/>
        <w:keepLines/>
        <w:pageBreakBefore w:val="0"/>
        <w:widowControl w:val="0"/>
        <w:numPr>
          <w:ilvl w:val="0"/>
          <w:numId w:val="5"/>
        </w:numPr>
        <w:tabs>
          <w:tab w:val="left" w:pos="840"/>
          <w:tab w:val="left" w:pos="1050"/>
          <w:tab w:val="left" w:pos="1260"/>
          <w:tab w:val="left" w:pos="147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《财政部 农业农村部 国家乡村振兴局关于运用政府采购政策支持乡村产业振兴的通知》（财库〔2021〕19号）；</w:t>
      </w:r>
    </w:p>
    <w:p>
      <w:pPr>
        <w:pStyle w:val="9"/>
        <w:keepNext/>
        <w:keepLines/>
        <w:pageBreakBefore w:val="0"/>
        <w:widowControl w:val="0"/>
        <w:numPr>
          <w:ilvl w:val="0"/>
          <w:numId w:val="5"/>
        </w:numPr>
        <w:tabs>
          <w:tab w:val="left" w:pos="840"/>
          <w:tab w:val="left" w:pos="1050"/>
          <w:tab w:val="left" w:pos="1260"/>
          <w:tab w:val="left" w:pos="147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其他需要落实的政府采购政策。</w:t>
      </w:r>
    </w:p>
    <w:p>
      <w:pPr>
        <w:pStyle w:val="9"/>
        <w:keepNext/>
        <w:keepLines/>
        <w:pageBreakBefore w:val="0"/>
        <w:widowControl w:val="0"/>
        <w:numPr>
          <w:ilvl w:val="0"/>
          <w:numId w:val="4"/>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23" w:leftChars="0" w:firstLine="381" w:firstLineChars="158"/>
        <w:textAlignment w:val="auto"/>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t>本项目的特定资格要求：</w:t>
      </w:r>
    </w:p>
    <w:p>
      <w:pPr>
        <w:pStyle w:val="9"/>
        <w:keepNext/>
        <w:keepLines/>
        <w:pageBreakBefore w:val="0"/>
        <w:widowControl w:val="0"/>
        <w:numPr>
          <w:ilvl w:val="0"/>
          <w:numId w:val="6"/>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 xml:space="preserve">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 </w:t>
      </w:r>
    </w:p>
    <w:p>
      <w:pPr>
        <w:pStyle w:val="9"/>
        <w:keepNext/>
        <w:keepLines/>
        <w:pageBreakBefore w:val="0"/>
        <w:widowControl w:val="0"/>
        <w:numPr>
          <w:ilvl w:val="0"/>
          <w:numId w:val="6"/>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《法定代表人授权书》附法定代表人身份证及被授权人身份证复印件并加盖公章；法定代表人直接参加的则须提交《法定代表人证明书》和身份证复印件并加盖公章；</w:t>
      </w:r>
    </w:p>
    <w:p>
      <w:pPr>
        <w:pStyle w:val="9"/>
        <w:keepNext/>
        <w:keepLines/>
        <w:pageBreakBefore w:val="0"/>
        <w:widowControl w:val="0"/>
        <w:numPr>
          <w:ilvl w:val="0"/>
          <w:numId w:val="6"/>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供应商具有中国保险监督管理委员会颁发的《保险业务经营许可证》；</w:t>
      </w:r>
    </w:p>
    <w:p>
      <w:pPr>
        <w:pStyle w:val="9"/>
        <w:keepNext/>
        <w:keepLines/>
        <w:pageBreakBefore w:val="0"/>
        <w:widowControl w:val="0"/>
        <w:numPr>
          <w:ilvl w:val="0"/>
          <w:numId w:val="6"/>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供应商为保险公司分支机构开展本项目保险业务的，需经其总公司或所属省级公司授权同意，并提供业务、财务、信息技术等支持，能够实现一元民生保险业务单独核算（提供相关证明文件）；</w:t>
      </w:r>
    </w:p>
    <w:p>
      <w:pPr>
        <w:pStyle w:val="9"/>
        <w:keepNext/>
        <w:keepLines/>
        <w:pageBreakBefore w:val="0"/>
        <w:widowControl w:val="0"/>
        <w:numPr>
          <w:ilvl w:val="0"/>
          <w:numId w:val="6"/>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财务状况报告：须提供近3年任意一年度的财务报表或具有财务审计资质的单位出具的财务报告（至少包括资产负债表和利润表，成立时间至提交竞争性磋商响应文件截止时间不足一年的可提供成立后任意时段的资产负债表），或银行出具的资信证明；</w:t>
      </w:r>
    </w:p>
    <w:p>
      <w:pPr>
        <w:pStyle w:val="9"/>
        <w:keepNext/>
        <w:keepLines/>
        <w:pageBreakBefore w:val="0"/>
        <w:widowControl w:val="0"/>
        <w:numPr>
          <w:ilvl w:val="0"/>
          <w:numId w:val="6"/>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 xml:space="preserve">税收缴纳证明：提供响应文件截止时间前1年内任意1个月的纳税证明或完税证明，依法免税的供应商应提供相关文件证明； </w:t>
      </w:r>
    </w:p>
    <w:p>
      <w:pPr>
        <w:pStyle w:val="9"/>
        <w:keepNext/>
        <w:keepLines/>
        <w:pageBreakBefore w:val="0"/>
        <w:widowControl w:val="0"/>
        <w:numPr>
          <w:ilvl w:val="0"/>
          <w:numId w:val="6"/>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 xml:space="preserve">社会保障资金缴纳证明：提供响应文件截止时间前1年内任意1个月的有效社会保障资金缴纳证明。依法不需要缴纳社会保障资金的供应商应提供相关文件证明； </w:t>
      </w:r>
    </w:p>
    <w:p>
      <w:pPr>
        <w:pStyle w:val="9"/>
        <w:keepNext/>
        <w:keepLines/>
        <w:pageBreakBefore w:val="0"/>
        <w:widowControl w:val="0"/>
        <w:numPr>
          <w:ilvl w:val="0"/>
          <w:numId w:val="6"/>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供应商需具备履行合同所必需的设备和专业技术能力，须提供书面承诺书；</w:t>
      </w:r>
    </w:p>
    <w:p>
      <w:pPr>
        <w:pStyle w:val="9"/>
        <w:keepNext/>
        <w:keepLines/>
        <w:pageBreakBefore w:val="0"/>
        <w:widowControl w:val="0"/>
        <w:numPr>
          <w:ilvl w:val="0"/>
          <w:numId w:val="6"/>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供应商参加采购活动近3年内经营活动中无重大违法记录声明；</w:t>
      </w:r>
    </w:p>
    <w:p>
      <w:pPr>
        <w:pStyle w:val="9"/>
        <w:keepNext/>
        <w:keepLines/>
        <w:pageBreakBefore w:val="0"/>
        <w:widowControl w:val="0"/>
        <w:numPr>
          <w:ilvl w:val="0"/>
          <w:numId w:val="6"/>
        </w:numPr>
        <w:tabs>
          <w:tab w:val="left" w:pos="1050"/>
          <w:tab w:val="left" w:pos="1260"/>
          <w:tab w:val="left" w:pos="147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供应商信誉要求：“信用中国”网站（www.creditchina.gov.cn）和“中国政府采购网”（www.ccgp.gov.cn）为供应商信用信息查询渠道，如果供应商被查实在投标截止时间前已列入失信被执行人、重大税收违法案件当事人名单、政府采购严重违法失信行为记录名单，其投标为无效；（提供查询结果网页截图并加盖供应商公章）；</w:t>
      </w:r>
    </w:p>
    <w:p>
      <w:pPr>
        <w:pStyle w:val="9"/>
        <w:keepNext/>
        <w:keepLines/>
        <w:pageBreakBefore w:val="0"/>
        <w:widowControl w:val="0"/>
        <w:numPr>
          <w:ilvl w:val="0"/>
          <w:numId w:val="6"/>
        </w:numPr>
        <w:tabs>
          <w:tab w:val="left" w:pos="1050"/>
          <w:tab w:val="left" w:pos="1260"/>
          <w:tab w:val="left" w:pos="1470"/>
        </w:tabs>
        <w:kinsoku/>
        <w:wordWrap/>
        <w:overflowPunct/>
        <w:topLinePunct w:val="0"/>
        <w:autoSpaceDE/>
        <w:autoSpaceDN/>
        <w:bidi w:val="0"/>
        <w:adjustRightInd w:val="0"/>
        <w:snapToGrid w:val="0"/>
        <w:spacing w:before="0" w:beforeLines="0" w:after="0" w:afterLines="0" w:afterAutospacing="0" w:line="336" w:lineRule="auto"/>
        <w:ind w:left="428" w:leftChars="0" w:firstLine="372" w:firstLineChars="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单位负责人为同一人或者存在直接控股、管理关系的不同供应商，不得参加同一合同项下的政府采购活动；</w:t>
      </w:r>
    </w:p>
    <w:p>
      <w:pPr>
        <w:pStyle w:val="9"/>
        <w:keepNext/>
        <w:keepLines/>
        <w:pageBreakBefore w:val="0"/>
        <w:widowControl w:val="0"/>
        <w:numPr>
          <w:ilvl w:val="0"/>
          <w:numId w:val="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firstLine="720" w:firstLineChars="300"/>
        <w:textAlignment w:val="auto"/>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本项目不接受联合体投标。</w:t>
      </w:r>
    </w:p>
    <w:p>
      <w:pPr>
        <w:pStyle w:val="9"/>
        <w:pageBreakBefore w:val="0"/>
        <w:numPr>
          <w:ilvl w:val="0"/>
          <w:numId w:val="3"/>
        </w:numPr>
        <w:kinsoku/>
        <w:overflowPunct/>
        <w:topLinePunct w:val="0"/>
        <w:autoSpaceDE/>
        <w:autoSpaceDN/>
        <w:bidi w:val="0"/>
        <w:spacing w:before="0" w:beforeLines="0" w:after="0" w:afterLines="0" w:afterAutospacing="0" w:line="336"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获取磋商文件</w:t>
      </w:r>
    </w:p>
    <w:p>
      <w:pPr>
        <w:pStyle w:val="9"/>
        <w:keepNext/>
        <w:keepLines/>
        <w:pageBreakBefore w:val="0"/>
        <w:widowControl w:val="0"/>
        <w:numPr>
          <w:ilvl w:val="0"/>
          <w:numId w:val="0"/>
        </w:numPr>
        <w:tabs>
          <w:tab w:val="left" w:pos="21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231" w:leftChars="110" w:firstLine="324" w:firstLineChars="135"/>
        <w:textAlignment w:val="auto"/>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时</w:t>
      </w:r>
      <w:r>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t>间：2022年11月21日至2022年11月25日，每天上午09:00:00至12:00:00，下午14:00:00至17:00:00（北京时间,法定节假日除外）；</w:t>
      </w:r>
    </w:p>
    <w:p>
      <w:pPr>
        <w:pStyle w:val="9"/>
        <w:keepNext/>
        <w:keepLines/>
        <w:pageBreakBefore w:val="0"/>
        <w:widowControl w:val="0"/>
        <w:numPr>
          <w:ilvl w:val="0"/>
          <w:numId w:val="0"/>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Chars="158" w:firstLine="240" w:firstLineChars="100"/>
        <w:textAlignment w:val="auto"/>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t>地点：陕西省铜川市新区金谟西路40号；</w:t>
      </w:r>
    </w:p>
    <w:p>
      <w:pPr>
        <w:pStyle w:val="9"/>
        <w:keepNext/>
        <w:keepLines/>
        <w:pageBreakBefore w:val="0"/>
        <w:widowControl w:val="0"/>
        <w:numPr>
          <w:ilvl w:val="0"/>
          <w:numId w:val="0"/>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Chars="158" w:firstLine="240" w:firstLineChars="100"/>
        <w:textAlignment w:val="auto"/>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t>方式：现场获取；</w:t>
      </w:r>
    </w:p>
    <w:p>
      <w:pPr>
        <w:pStyle w:val="9"/>
        <w:keepNext/>
        <w:keepLines/>
        <w:pageBreakBefore w:val="0"/>
        <w:widowControl w:val="0"/>
        <w:numPr>
          <w:ilvl w:val="0"/>
          <w:numId w:val="0"/>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Chars="158" w:firstLine="240" w:firstLineChars="1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t>售价：免</w:t>
      </w:r>
      <w:r>
        <w:rPr>
          <w:rFonts w:hint="eastAsia" w:ascii="仿宋" w:hAnsi="仿宋" w:eastAsia="仿宋" w:cs="仿宋"/>
          <w:b w:val="0"/>
          <w:bCs/>
          <w:color w:val="auto"/>
          <w:sz w:val="24"/>
          <w:szCs w:val="24"/>
          <w:highlight w:val="none"/>
          <w:lang w:eastAsia="zh-CN"/>
        </w:rPr>
        <w:t>费赠送。</w:t>
      </w:r>
    </w:p>
    <w:p>
      <w:pPr>
        <w:pStyle w:val="9"/>
        <w:pageBreakBefore w:val="0"/>
        <w:numPr>
          <w:ilvl w:val="0"/>
          <w:numId w:val="3"/>
        </w:numPr>
        <w:kinsoku/>
        <w:overflowPunct/>
        <w:topLinePunct w:val="0"/>
        <w:autoSpaceDE/>
        <w:autoSpaceDN/>
        <w:bidi w:val="0"/>
        <w:spacing w:before="0" w:beforeLines="0" w:after="0" w:afterLines="0" w:afterAutospacing="0" w:line="336"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响应文件提交</w:t>
      </w:r>
    </w:p>
    <w:p>
      <w:pPr>
        <w:pStyle w:val="9"/>
        <w:keepNext/>
        <w:keepLines/>
        <w:pageBreakBefore w:val="0"/>
        <w:widowControl w:val="0"/>
        <w:numPr>
          <w:ilvl w:val="0"/>
          <w:numId w:val="0"/>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firstLine="480" w:firstLineChars="200"/>
        <w:textAlignment w:val="auto"/>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val="0"/>
          <w:bCs/>
          <w:i w:val="0"/>
          <w:caps w:val="0"/>
          <w:color w:val="auto"/>
          <w:spacing w:val="0"/>
          <w:kern w:val="2"/>
          <w:sz w:val="24"/>
          <w:szCs w:val="24"/>
          <w:highlight w:val="none"/>
          <w:shd w:val="clear" w:color="auto" w:fill="FFFFFF"/>
          <w:vertAlign w:val="baseline"/>
          <w:lang w:val="en-US" w:eastAsia="zh-CN" w:bidi="ar-SA"/>
        </w:rPr>
        <w:t>截止时间：</w:t>
      </w:r>
      <w:r>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t>2022年12月2日14时30分00秒（北京时间）；</w:t>
      </w:r>
    </w:p>
    <w:p>
      <w:pPr>
        <w:pStyle w:val="9"/>
        <w:keepNext/>
        <w:keepLines/>
        <w:pageBreakBefore w:val="0"/>
        <w:widowControl w:val="0"/>
        <w:numPr>
          <w:ilvl w:val="0"/>
          <w:numId w:val="0"/>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t>地点：铜川</w:t>
      </w:r>
      <w:r>
        <w:rPr>
          <w:rFonts w:hint="eastAsia" w:ascii="仿宋" w:hAnsi="仿宋" w:eastAsia="仿宋" w:cs="仿宋"/>
          <w:b w:val="0"/>
          <w:bCs/>
          <w:i w:val="0"/>
          <w:caps w:val="0"/>
          <w:color w:val="auto"/>
          <w:spacing w:val="0"/>
          <w:sz w:val="24"/>
          <w:szCs w:val="24"/>
          <w:highlight w:val="none"/>
          <w:shd w:val="clear" w:color="auto" w:fill="FFFFFF"/>
          <w:vertAlign w:val="baseline"/>
        </w:rPr>
        <w:t>市新区斯正街枫林湾酒店6楼会议室</w:t>
      </w:r>
      <w:r>
        <w:rPr>
          <w:rFonts w:hint="eastAsia" w:ascii="仿宋" w:hAnsi="仿宋" w:eastAsia="仿宋" w:cs="仿宋"/>
          <w:b w:val="0"/>
          <w:bCs/>
          <w:i w:val="0"/>
          <w:caps w:val="0"/>
          <w:color w:val="auto"/>
          <w:spacing w:val="0"/>
          <w:sz w:val="24"/>
          <w:szCs w:val="24"/>
          <w:highlight w:val="none"/>
          <w:shd w:val="clear" w:color="auto" w:fill="FFFFFF"/>
          <w:vertAlign w:val="baseline"/>
          <w:lang w:eastAsia="zh-CN"/>
        </w:rPr>
        <w:t>（如有变动，另行通知）</w:t>
      </w:r>
      <w:r>
        <w:rPr>
          <w:rFonts w:hint="eastAsia" w:ascii="仿宋" w:hAnsi="仿宋" w:eastAsia="仿宋" w:cs="仿宋"/>
          <w:b w:val="0"/>
          <w:bCs/>
          <w:i w:val="0"/>
          <w:caps w:val="0"/>
          <w:color w:val="auto"/>
          <w:spacing w:val="0"/>
          <w:sz w:val="24"/>
          <w:szCs w:val="24"/>
          <w:highlight w:val="none"/>
          <w:shd w:val="clear" w:color="auto" w:fill="FFFFFF"/>
          <w:vertAlign w:val="baseline"/>
        </w:rPr>
        <w:t>。</w:t>
      </w:r>
    </w:p>
    <w:p>
      <w:pPr>
        <w:pStyle w:val="9"/>
        <w:pageBreakBefore w:val="0"/>
        <w:numPr>
          <w:ilvl w:val="0"/>
          <w:numId w:val="3"/>
        </w:numPr>
        <w:kinsoku/>
        <w:overflowPunct/>
        <w:topLinePunct w:val="0"/>
        <w:autoSpaceDE/>
        <w:autoSpaceDN/>
        <w:bidi w:val="0"/>
        <w:spacing w:before="0" w:beforeLines="0" w:after="0" w:afterLines="0" w:afterAutospacing="0" w:line="336" w:lineRule="auto"/>
        <w:ind w:left="0" w:leftChars="0" w:firstLine="0" w:firstLineChars="0"/>
        <w:rPr>
          <w:rFonts w:hint="eastAsia" w:ascii="仿宋" w:hAnsi="仿宋" w:eastAsia="仿宋" w:cs="仿宋"/>
          <w:i w:val="0"/>
          <w:caps w:val="0"/>
          <w:color w:val="auto"/>
          <w:spacing w:val="0"/>
          <w:sz w:val="24"/>
          <w:szCs w:val="24"/>
          <w:highlight w:val="none"/>
          <w:shd w:val="clear" w:color="auto" w:fill="FFFFFF"/>
          <w:vertAlign w:val="baseline"/>
        </w:rPr>
      </w:pPr>
      <w:r>
        <w:rPr>
          <w:rFonts w:hint="eastAsia" w:ascii="仿宋" w:hAnsi="仿宋" w:eastAsia="仿宋" w:cs="仿宋"/>
          <w:color w:val="auto"/>
          <w:sz w:val="24"/>
          <w:szCs w:val="24"/>
          <w:highlight w:val="none"/>
          <w:lang w:val="en-US" w:eastAsia="zh-CN"/>
        </w:rPr>
        <w:t>公告期限</w:t>
      </w:r>
    </w:p>
    <w:p>
      <w:pPr>
        <w:pStyle w:val="9"/>
        <w:pageBreakBefore w:val="0"/>
        <w:numPr>
          <w:ilvl w:val="0"/>
          <w:numId w:val="0"/>
        </w:numPr>
        <w:kinsoku/>
        <w:overflowPunct/>
        <w:topLinePunct w:val="0"/>
        <w:autoSpaceDE/>
        <w:autoSpaceDN/>
        <w:bidi w:val="0"/>
        <w:spacing w:before="0" w:beforeLines="0" w:after="0" w:afterLines="0" w:afterAutospacing="0" w:line="336" w:lineRule="auto"/>
        <w:ind w:leftChars="0"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sz w:val="24"/>
          <w:szCs w:val="24"/>
          <w:highlight w:val="none"/>
        </w:rPr>
        <w:t>自本公告发布之日起</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个工作日</w:t>
      </w:r>
      <w:r>
        <w:rPr>
          <w:rFonts w:hint="eastAsia" w:ascii="仿宋" w:hAnsi="仿宋" w:eastAsia="仿宋" w:cs="仿宋"/>
          <w:b w:val="0"/>
          <w:bCs/>
          <w:i w:val="0"/>
          <w:caps w:val="0"/>
          <w:color w:val="auto"/>
          <w:spacing w:val="0"/>
          <w:sz w:val="24"/>
          <w:szCs w:val="24"/>
          <w:highlight w:val="none"/>
          <w:shd w:val="clear" w:color="auto" w:fill="FFFFFF"/>
          <w:vertAlign w:val="baseline"/>
        </w:rPr>
        <w:t>。</w:t>
      </w:r>
    </w:p>
    <w:p>
      <w:pPr>
        <w:pStyle w:val="9"/>
        <w:pageBreakBefore w:val="0"/>
        <w:numPr>
          <w:ilvl w:val="0"/>
          <w:numId w:val="3"/>
        </w:numPr>
        <w:kinsoku/>
        <w:overflowPunct/>
        <w:topLinePunct w:val="0"/>
        <w:autoSpaceDE/>
        <w:autoSpaceDN/>
        <w:bidi w:val="0"/>
        <w:spacing w:before="0" w:beforeLines="0" w:after="0" w:afterLines="0" w:afterAutospacing="0" w:line="336" w:lineRule="auto"/>
        <w:ind w:left="0" w:leftChars="0" w:firstLine="0" w:firstLineChars="0"/>
        <w:rPr>
          <w:rFonts w:hint="eastAsia" w:ascii="仿宋" w:hAnsi="仿宋" w:eastAsia="仿宋" w:cs="仿宋"/>
          <w:b/>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color w:val="auto"/>
          <w:kern w:val="2"/>
          <w:sz w:val="24"/>
          <w:szCs w:val="24"/>
          <w:highlight w:val="none"/>
          <w:lang w:val="en-US" w:eastAsia="zh-CN" w:bidi="ar-SA"/>
        </w:rPr>
        <w:t>其他补充事宜</w:t>
      </w:r>
    </w:p>
    <w:p>
      <w:pPr>
        <w:pStyle w:val="9"/>
        <w:pageBreakBefore w:val="0"/>
        <w:numPr>
          <w:ilvl w:val="0"/>
          <w:numId w:val="0"/>
        </w:numPr>
        <w:kinsoku/>
        <w:overflowPunct/>
        <w:topLinePunct w:val="0"/>
        <w:autoSpaceDE/>
        <w:autoSpaceDN/>
        <w:bidi w:val="0"/>
        <w:spacing w:before="0" w:beforeLines="0" w:after="0" w:afterLines="0" w:afterAutospacing="0" w:line="336" w:lineRule="auto"/>
        <w:ind w:leftChars="0" w:firstLine="482" w:firstLineChars="200"/>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bCs/>
          <w:i w:val="0"/>
          <w:caps w:val="0"/>
          <w:color w:val="auto"/>
          <w:spacing w:val="0"/>
          <w:kern w:val="2"/>
          <w:sz w:val="24"/>
          <w:szCs w:val="24"/>
          <w:highlight w:val="none"/>
          <w:shd w:val="clear" w:color="auto" w:fill="FFFFFF"/>
          <w:vertAlign w:val="baseline"/>
          <w:lang w:val="en-US" w:eastAsia="zh-CN" w:bidi="ar-SA"/>
        </w:rPr>
        <w:t>1</w:t>
      </w:r>
      <w:r>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t>.获取竞争性磋商文件时须携带介绍信以及本人身份证原件及加盖公章的复印件，谢绝邮寄;</w:t>
      </w:r>
    </w:p>
    <w:p>
      <w:pPr>
        <w:pStyle w:val="9"/>
        <w:pageBreakBefore w:val="0"/>
        <w:numPr>
          <w:ilvl w:val="0"/>
          <w:numId w:val="0"/>
        </w:numPr>
        <w:kinsoku/>
        <w:overflowPunct/>
        <w:topLinePunct w:val="0"/>
        <w:autoSpaceDE/>
        <w:autoSpaceDN/>
        <w:bidi w:val="0"/>
        <w:spacing w:before="0" w:beforeLines="0" w:after="0" w:afterLines="0" w:afterAutospacing="0" w:line="336" w:lineRule="auto"/>
        <w:ind w:leftChars="0" w:firstLine="482" w:firstLineChars="200"/>
        <w:rPr>
          <w:rFonts w:hint="eastAsia" w:ascii="仿宋" w:hAnsi="仿宋" w:eastAsia="仿宋" w:cs="仿宋"/>
          <w:b/>
          <w:bCs/>
          <w:i w:val="0"/>
          <w:caps w:val="0"/>
          <w:color w:val="auto"/>
          <w:spacing w:val="0"/>
          <w:kern w:val="2"/>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t>2.请供应商按照陕西省财政厅《关于政府采购供应商注册登记有关事项的通知》中的要求，通过陕西省政府采购网（http://ww</w:t>
      </w:r>
      <w:r>
        <w:rPr>
          <w:rFonts w:hint="eastAsia" w:ascii="仿宋" w:hAnsi="仿宋" w:eastAsia="仿宋" w:cs="仿宋"/>
          <w:b/>
          <w:bCs/>
          <w:i w:val="0"/>
          <w:caps w:val="0"/>
          <w:color w:val="auto"/>
          <w:spacing w:val="0"/>
          <w:kern w:val="2"/>
          <w:sz w:val="24"/>
          <w:szCs w:val="24"/>
          <w:highlight w:val="none"/>
          <w:shd w:val="clear" w:color="auto" w:fill="FFFFFF"/>
          <w:vertAlign w:val="baseline"/>
          <w:lang w:val="en-US" w:eastAsia="zh-CN" w:bidi="ar-SA"/>
        </w:rPr>
        <w:t>w.ccgp-shaanxi.gov.cn/）注册登记加入陕西省政府采购供应商库；</w:t>
      </w:r>
    </w:p>
    <w:p>
      <w:pPr>
        <w:pStyle w:val="9"/>
        <w:pageBreakBefore w:val="0"/>
        <w:numPr>
          <w:ilvl w:val="0"/>
          <w:numId w:val="0"/>
        </w:numPr>
        <w:kinsoku/>
        <w:overflowPunct/>
        <w:topLinePunct w:val="0"/>
        <w:autoSpaceDE/>
        <w:autoSpaceDN/>
        <w:bidi w:val="0"/>
        <w:spacing w:before="0" w:beforeLines="0" w:after="0" w:afterLines="0" w:afterAutospacing="0" w:line="336" w:lineRule="auto"/>
        <w:ind w:leftChars="0" w:firstLine="482" w:firstLineChars="200"/>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bCs/>
          <w:i w:val="0"/>
          <w:caps w:val="0"/>
          <w:color w:val="auto"/>
          <w:spacing w:val="0"/>
          <w:sz w:val="24"/>
          <w:szCs w:val="24"/>
          <w:highlight w:val="none"/>
          <w:shd w:val="clear" w:color="auto" w:fill="FFFFFF"/>
          <w:vertAlign w:val="baseline"/>
          <w:lang w:val="en-US" w:eastAsia="zh-CN"/>
        </w:rPr>
        <w:t>3.本项目投标单位可以多个标段报名投标，但只允许中标一个标段。</w:t>
      </w:r>
    </w:p>
    <w:p>
      <w:pPr>
        <w:pStyle w:val="9"/>
        <w:pageBreakBefore w:val="0"/>
        <w:numPr>
          <w:ilvl w:val="0"/>
          <w:numId w:val="3"/>
        </w:numPr>
        <w:kinsoku/>
        <w:overflowPunct/>
        <w:topLinePunct w:val="0"/>
        <w:autoSpaceDE/>
        <w:autoSpaceDN/>
        <w:bidi w:val="0"/>
        <w:spacing w:before="0" w:beforeLines="0" w:after="0" w:afterLines="0" w:afterAutospacing="0" w:line="336" w:lineRule="auto"/>
        <w:ind w:left="0" w:leftChars="0" w:firstLine="0" w:firstLineChars="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凡对本次资格预审提出询问，请按以下方式联系</w:t>
      </w:r>
    </w:p>
    <w:p>
      <w:pPr>
        <w:pStyle w:val="9"/>
        <w:keepNext/>
        <w:keepLines/>
        <w:pageBreakBefore w:val="0"/>
        <w:widowControl w:val="0"/>
        <w:numPr>
          <w:ilvl w:val="0"/>
          <w:numId w:val="7"/>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23" w:leftChars="0" w:firstLine="379" w:firstLineChars="158"/>
        <w:textAlignment w:val="auto"/>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t>采购人信息</w:t>
      </w:r>
    </w:p>
    <w:p>
      <w:pPr>
        <w:pStyle w:val="9"/>
        <w:pageBreakBefore w:val="0"/>
        <w:numPr>
          <w:ilvl w:val="0"/>
          <w:numId w:val="0"/>
        </w:numPr>
        <w:tabs>
          <w:tab w:val="left" w:pos="1050"/>
        </w:tabs>
        <w:kinsoku/>
        <w:overflowPunct/>
        <w:topLinePunct w:val="0"/>
        <w:autoSpaceDE/>
        <w:autoSpaceDN/>
        <w:bidi w:val="0"/>
        <w:spacing w:before="0" w:beforeLines="0" w:after="0" w:afterLines="0" w:afterAutospacing="0" w:line="336" w:lineRule="auto"/>
        <w:ind w:left="397" w:leftChars="0"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名称：铜川市金融工作办公室</w:t>
      </w:r>
    </w:p>
    <w:p>
      <w:pPr>
        <w:pStyle w:val="9"/>
        <w:pageBreakBefore w:val="0"/>
        <w:numPr>
          <w:ilvl w:val="0"/>
          <w:numId w:val="0"/>
        </w:numPr>
        <w:tabs>
          <w:tab w:val="left" w:pos="1050"/>
        </w:tabs>
        <w:kinsoku/>
        <w:overflowPunct/>
        <w:topLinePunct w:val="0"/>
        <w:autoSpaceDE/>
        <w:autoSpaceDN/>
        <w:bidi w:val="0"/>
        <w:spacing w:before="0" w:beforeLines="0" w:after="0" w:afterLines="0" w:afterAutospacing="0" w:line="336" w:lineRule="auto"/>
        <w:ind w:left="397" w:leftChars="0"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地址：铜川市新区正阳路9号</w:t>
      </w:r>
    </w:p>
    <w:p>
      <w:pPr>
        <w:pStyle w:val="9"/>
        <w:pageBreakBefore w:val="0"/>
        <w:numPr>
          <w:ilvl w:val="0"/>
          <w:numId w:val="0"/>
        </w:numPr>
        <w:tabs>
          <w:tab w:val="left" w:pos="1050"/>
        </w:tabs>
        <w:kinsoku/>
        <w:overflowPunct/>
        <w:topLinePunct w:val="0"/>
        <w:autoSpaceDE/>
        <w:autoSpaceDN/>
        <w:bidi w:val="0"/>
        <w:spacing w:before="0" w:beforeLines="0" w:after="0" w:afterLines="0" w:afterAutospacing="0" w:line="336" w:lineRule="auto"/>
        <w:ind w:left="397" w:leftChars="0" w:firstLine="480" w:firstLineChars="200"/>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联系方式：0919-3181145</w:t>
      </w:r>
    </w:p>
    <w:p>
      <w:pPr>
        <w:pStyle w:val="9"/>
        <w:keepNext/>
        <w:keepLines/>
        <w:pageBreakBefore w:val="0"/>
        <w:widowControl w:val="0"/>
        <w:numPr>
          <w:ilvl w:val="0"/>
          <w:numId w:val="7"/>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23" w:leftChars="0" w:firstLine="379" w:firstLineChars="158"/>
        <w:textAlignment w:val="auto"/>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t>采购代理机构信息</w:t>
      </w:r>
    </w:p>
    <w:p>
      <w:pPr>
        <w:pStyle w:val="9"/>
        <w:pageBreakBefore w:val="0"/>
        <w:numPr>
          <w:ilvl w:val="0"/>
          <w:numId w:val="0"/>
        </w:numPr>
        <w:tabs>
          <w:tab w:val="left" w:pos="1050"/>
        </w:tabs>
        <w:kinsoku/>
        <w:overflowPunct/>
        <w:topLinePunct w:val="0"/>
        <w:autoSpaceDE/>
        <w:autoSpaceDN/>
        <w:bidi w:val="0"/>
        <w:spacing w:before="0" w:beforeLines="0" w:after="0" w:afterLines="0" w:afterAutospacing="0" w:line="336" w:lineRule="auto"/>
        <w:ind w:left="397" w:leftChars="0"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名称：陕西同昌成项目管理有限公司</w:t>
      </w:r>
    </w:p>
    <w:p>
      <w:pPr>
        <w:pStyle w:val="9"/>
        <w:pageBreakBefore w:val="0"/>
        <w:numPr>
          <w:ilvl w:val="0"/>
          <w:numId w:val="0"/>
        </w:numPr>
        <w:tabs>
          <w:tab w:val="left" w:pos="1050"/>
        </w:tabs>
        <w:kinsoku/>
        <w:overflowPunct/>
        <w:topLinePunct w:val="0"/>
        <w:autoSpaceDE/>
        <w:autoSpaceDN/>
        <w:bidi w:val="0"/>
        <w:spacing w:before="0" w:beforeLines="0" w:after="0" w:afterLines="0" w:afterAutospacing="0" w:line="336" w:lineRule="auto"/>
        <w:ind w:left="397"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地址：陕西省西安市雁塔区翠华路佳和中心 A 座 702 室</w:t>
      </w:r>
    </w:p>
    <w:p>
      <w:pPr>
        <w:pStyle w:val="9"/>
        <w:pageBreakBefore w:val="0"/>
        <w:numPr>
          <w:ilvl w:val="0"/>
          <w:numId w:val="0"/>
        </w:numPr>
        <w:tabs>
          <w:tab w:val="left" w:pos="1050"/>
        </w:tabs>
        <w:kinsoku/>
        <w:overflowPunct/>
        <w:topLinePunct w:val="0"/>
        <w:autoSpaceDE/>
        <w:autoSpaceDN/>
        <w:bidi w:val="0"/>
        <w:spacing w:before="0" w:beforeLines="0" w:after="0" w:afterLines="0" w:afterAutospacing="0" w:line="336" w:lineRule="auto"/>
        <w:ind w:left="397" w:leftChars="0"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联系方式：18189276056</w:t>
      </w:r>
    </w:p>
    <w:p>
      <w:pPr>
        <w:pStyle w:val="9"/>
        <w:keepNext/>
        <w:keepLines/>
        <w:pageBreakBefore w:val="0"/>
        <w:widowControl w:val="0"/>
        <w:numPr>
          <w:ilvl w:val="0"/>
          <w:numId w:val="7"/>
        </w:numPr>
        <w:tabs>
          <w:tab w:val="left" w:pos="210"/>
          <w:tab w:val="left" w:pos="420"/>
          <w:tab w:val="left" w:pos="630"/>
          <w:tab w:val="left" w:pos="840"/>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ind w:left="-23" w:leftChars="0" w:firstLine="379" w:firstLineChars="158"/>
        <w:textAlignment w:val="auto"/>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pPr>
      <w:r>
        <w:rPr>
          <w:rFonts w:hint="eastAsia" w:ascii="仿宋" w:hAnsi="仿宋" w:eastAsia="仿宋" w:cs="仿宋"/>
          <w:b w:val="0"/>
          <w:bCs w:val="0"/>
          <w:i w:val="0"/>
          <w:caps w:val="0"/>
          <w:color w:val="auto"/>
          <w:spacing w:val="0"/>
          <w:sz w:val="24"/>
          <w:szCs w:val="24"/>
          <w:highlight w:val="none"/>
          <w:shd w:val="clear" w:color="auto" w:fill="FFFFFF"/>
          <w:vertAlign w:val="baseline"/>
          <w:lang w:val="en-US" w:eastAsia="zh-CN"/>
        </w:rPr>
        <w:t>项目联系方式</w:t>
      </w:r>
    </w:p>
    <w:p>
      <w:pPr>
        <w:pStyle w:val="9"/>
        <w:pageBreakBefore w:val="0"/>
        <w:numPr>
          <w:ilvl w:val="0"/>
          <w:numId w:val="0"/>
        </w:numPr>
        <w:tabs>
          <w:tab w:val="left" w:pos="1050"/>
        </w:tabs>
        <w:kinsoku/>
        <w:overflowPunct/>
        <w:topLinePunct w:val="0"/>
        <w:autoSpaceDE/>
        <w:autoSpaceDN/>
        <w:bidi w:val="0"/>
        <w:spacing w:before="0" w:beforeLines="0" w:after="0" w:afterLines="0" w:afterAutospacing="0" w:line="336" w:lineRule="auto"/>
        <w:ind w:left="397" w:leftChars="0"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项目联系人：高工</w:t>
      </w:r>
    </w:p>
    <w:p>
      <w:pPr>
        <w:pStyle w:val="9"/>
        <w:pageBreakBefore w:val="0"/>
        <w:numPr>
          <w:ilvl w:val="0"/>
          <w:numId w:val="0"/>
        </w:numPr>
        <w:tabs>
          <w:tab w:val="left" w:pos="1050"/>
        </w:tabs>
        <w:kinsoku/>
        <w:overflowPunct/>
        <w:topLinePunct w:val="0"/>
        <w:autoSpaceDE/>
        <w:autoSpaceDN/>
        <w:bidi w:val="0"/>
        <w:spacing w:before="0" w:beforeLines="0" w:after="0" w:afterLines="0" w:afterAutospacing="0" w:line="336" w:lineRule="auto"/>
        <w:ind w:left="397" w:leftChars="0" w:firstLine="480" w:firstLineChars="200"/>
        <w:rPr>
          <w:rFonts w:hint="eastAsia" w:ascii="仿宋" w:hAnsi="仿宋" w:eastAsia="仿宋" w:cs="仿宋"/>
          <w:i w:val="0"/>
          <w:caps w:val="0"/>
          <w:color w:val="auto"/>
          <w:spacing w:val="0"/>
          <w:sz w:val="24"/>
          <w:szCs w:val="24"/>
          <w:highlight w:val="none"/>
          <w:shd w:val="clear" w:color="auto" w:fill="FFFFFF"/>
          <w:vertAlign w:val="baseline"/>
          <w:lang w:val="zh-CN" w:eastAsia="zh-CN"/>
        </w:rPr>
      </w:pPr>
      <w:r>
        <w:rPr>
          <w:rFonts w:hint="eastAsia" w:ascii="仿宋" w:hAnsi="仿宋" w:eastAsia="仿宋" w:cs="仿宋"/>
          <w:b w:val="0"/>
          <w:bCs w:val="0"/>
          <w:kern w:val="2"/>
          <w:sz w:val="24"/>
          <w:szCs w:val="24"/>
          <w:highlight w:val="none"/>
          <w:lang w:val="en-US" w:eastAsia="zh-CN" w:bidi="ar-SA"/>
        </w:rPr>
        <w:t>电话：18189276056</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right="0"/>
        <w:jc w:val="both"/>
        <w:textAlignment w:val="baseline"/>
        <w:rPr>
          <w:rFonts w:hint="eastAsia" w:ascii="仿宋" w:hAnsi="仿宋" w:eastAsia="仿宋" w:cs="仿宋"/>
          <w:i w:val="0"/>
          <w:caps w:val="0"/>
          <w:color w:val="auto"/>
          <w:spacing w:val="0"/>
          <w:sz w:val="28"/>
          <w:szCs w:val="28"/>
          <w:highlight w:val="none"/>
          <w:shd w:val="clear" w:color="auto" w:fill="FFFFFF"/>
          <w:vertAlign w:val="baseline"/>
          <w:lang w:val="zh-CN" w:eastAsia="zh-CN"/>
        </w:rPr>
      </w:pP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right="0"/>
        <w:jc w:val="both"/>
        <w:textAlignment w:val="baseline"/>
        <w:rPr>
          <w:rFonts w:hint="eastAsia" w:ascii="仿宋" w:hAnsi="仿宋" w:eastAsia="仿宋" w:cs="仿宋"/>
          <w:i w:val="0"/>
          <w:caps w:val="0"/>
          <w:color w:val="auto"/>
          <w:spacing w:val="0"/>
          <w:sz w:val="28"/>
          <w:szCs w:val="28"/>
          <w:highlight w:val="none"/>
          <w:shd w:val="clear" w:color="auto" w:fill="FFFFFF"/>
          <w:vertAlign w:val="baseline"/>
          <w:lang w:val="zh-CN" w:eastAsia="zh-CN"/>
        </w:rPr>
      </w:pP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right="0"/>
        <w:jc w:val="both"/>
        <w:textAlignment w:val="baseline"/>
        <w:rPr>
          <w:rFonts w:hint="eastAsia" w:ascii="仿宋" w:hAnsi="仿宋" w:eastAsia="仿宋" w:cs="仿宋"/>
          <w:i w:val="0"/>
          <w:caps w:val="0"/>
          <w:color w:val="auto"/>
          <w:spacing w:val="0"/>
          <w:sz w:val="28"/>
          <w:szCs w:val="28"/>
          <w:highlight w:val="none"/>
          <w:shd w:val="clear" w:color="auto" w:fill="FFFFFF"/>
          <w:vertAlign w:val="baseline"/>
          <w:lang w:val="zh-CN" w:eastAsia="zh-CN"/>
        </w:rPr>
      </w:pPr>
    </w:p>
    <w:p>
      <w:pPr>
        <w:pageBreakBefore w:val="0"/>
        <w:overflowPunct/>
        <w:bidi w:val="0"/>
        <w:spacing w:afterAutospacing="0" w:line="336" w:lineRule="auto"/>
        <w:rPr>
          <w:rFonts w:hint="eastAsia" w:ascii="仿宋" w:hAnsi="仿宋" w:eastAsia="仿宋" w:cs="仿宋"/>
          <w:b/>
          <w:sz w:val="44"/>
          <w:szCs w:val="44"/>
          <w:highlight w:val="none"/>
        </w:rPr>
      </w:pPr>
      <w:bookmarkStart w:id="5" w:name="_Toc16408"/>
      <w:bookmarkStart w:id="6" w:name="_Toc3046"/>
      <w:bookmarkStart w:id="7" w:name="_Toc31674"/>
      <w:bookmarkStart w:id="8" w:name="_Toc21004"/>
      <w:r>
        <w:rPr>
          <w:rFonts w:hint="eastAsia" w:ascii="仿宋" w:hAnsi="仿宋" w:eastAsia="仿宋" w:cs="仿宋"/>
          <w:sz w:val="28"/>
          <w:szCs w:val="28"/>
          <w:highlight w:val="none"/>
          <w:lang w:val="zh-CN"/>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128270</wp:posOffset>
                </wp:positionV>
                <wp:extent cx="5769610" cy="893445"/>
                <wp:effectExtent l="4445" t="4445" r="17145" b="16510"/>
                <wp:wrapNone/>
                <wp:docPr id="2" name="Text Box 3"/>
                <wp:cNvGraphicFramePr/>
                <a:graphic xmlns:a="http://schemas.openxmlformats.org/drawingml/2006/main">
                  <a:graphicData uri="http://schemas.microsoft.com/office/word/2010/wordprocessingShape">
                    <wps:wsp>
                      <wps:cNvSpPr txBox="1"/>
                      <wps:spPr>
                        <a:xfrm>
                          <a:off x="0" y="0"/>
                          <a:ext cx="5769610" cy="893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b/>
                                <w:sz w:val="28"/>
                                <w:szCs w:val="28"/>
                              </w:rPr>
                            </w:pPr>
                            <w:r>
                              <w:rPr>
                                <w:rFonts w:hint="eastAsia" w:ascii="仿宋_GB2312" w:eastAsia="仿宋_GB2312"/>
                                <w:b/>
                                <w:sz w:val="28"/>
                                <w:szCs w:val="28"/>
                              </w:rPr>
                              <w:t>温馨提示：</w:t>
                            </w:r>
                            <w:r>
                              <w:rPr>
                                <w:rFonts w:hint="eastAsia" w:ascii="仿宋_GB2312" w:eastAsia="仿宋_GB2312"/>
                                <w:b/>
                                <w:sz w:val="28"/>
                                <w:szCs w:val="28"/>
                                <w:lang w:eastAsia="zh-CN"/>
                              </w:rPr>
                              <w:t>获取</w:t>
                            </w:r>
                            <w:r>
                              <w:rPr>
                                <w:rFonts w:hint="eastAsia" w:ascii="仿宋_GB2312" w:eastAsia="仿宋_GB2312"/>
                                <w:b/>
                                <w:sz w:val="28"/>
                                <w:szCs w:val="28"/>
                              </w:rPr>
                              <w:t>竞争性磋商文件后，请仔细阅读，特别注意粗体及划线部分，如有疑问请来电咨询。</w:t>
                            </w:r>
                          </w:p>
                        </w:txbxContent>
                      </wps:txbx>
                      <wps:bodyPr wrap="none" upright="1">
                        <a:spAutoFit/>
                      </wps:bodyPr>
                    </wps:wsp>
                  </a:graphicData>
                </a:graphic>
              </wp:anchor>
            </w:drawing>
          </mc:Choice>
          <mc:Fallback>
            <w:pict>
              <v:shape id="Text Box 3" o:spid="_x0000_s1026" o:spt="202" type="#_x0000_t202" style="position:absolute;left:0pt;margin-left:1.9pt;margin-top:10.1pt;height:70.35pt;width:454.3pt;mso-wrap-style:none;z-index:251659264;mso-width-relative:page;mso-height-relative:page;" fillcolor="#FFFFFF" filled="t" stroked="t" coordsize="21600,21600" o:gfxdata="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CApRtkAAAAIAQAADwAAAAAAAAABACAA&#10;AAAiAAAAZHJzL2Rvd25yZXYueG1sUEsBAhQAFAAAAAgAh07iQNiTsTAMAgAAWwQAAA4AAAAAAAAA&#10;AQAgAAAAKAEAAGRycy9lMm9Eb2MueG1sUEsFBgAAAAAGAAYAWQEAAKYFAAAAAA==&#10;">
                <v:fill on="t" focussize="0,0"/>
                <v:stroke color="#000000" joinstyle="miter"/>
                <v:imagedata o:title=""/>
                <o:lock v:ext="edit" aspectratio="f"/>
                <v:textbox style="mso-fit-shape-to-text:t;">
                  <w:txbxContent>
                    <w:p>
                      <w:pPr>
                        <w:rPr>
                          <w:rFonts w:ascii="仿宋_GB2312" w:eastAsia="仿宋_GB2312"/>
                          <w:b/>
                          <w:sz w:val="28"/>
                          <w:szCs w:val="28"/>
                        </w:rPr>
                      </w:pPr>
                      <w:r>
                        <w:rPr>
                          <w:rFonts w:hint="eastAsia" w:ascii="仿宋_GB2312" w:eastAsia="仿宋_GB2312"/>
                          <w:b/>
                          <w:sz w:val="28"/>
                          <w:szCs w:val="28"/>
                        </w:rPr>
                        <w:t>温馨提示：</w:t>
                      </w:r>
                      <w:r>
                        <w:rPr>
                          <w:rFonts w:hint="eastAsia" w:ascii="仿宋_GB2312" w:eastAsia="仿宋_GB2312"/>
                          <w:b/>
                          <w:sz w:val="28"/>
                          <w:szCs w:val="28"/>
                          <w:lang w:eastAsia="zh-CN"/>
                        </w:rPr>
                        <w:t>获取</w:t>
                      </w:r>
                      <w:r>
                        <w:rPr>
                          <w:rFonts w:hint="eastAsia" w:ascii="仿宋_GB2312" w:eastAsia="仿宋_GB2312"/>
                          <w:b/>
                          <w:sz w:val="28"/>
                          <w:szCs w:val="28"/>
                        </w:rPr>
                        <w:t>竞争性磋商文件后，请仔细阅读，特别注意粗体及划线部分，如有疑问请来电咨询。</w:t>
                      </w:r>
                    </w:p>
                  </w:txbxContent>
                </v:textbox>
              </v:shape>
            </w:pict>
          </mc:Fallback>
        </mc:AlternateContent>
      </w:r>
      <w:r>
        <w:rPr>
          <w:rFonts w:hint="eastAsia" w:ascii="仿宋" w:hAnsi="仿宋" w:eastAsia="仿宋" w:cs="仿宋"/>
          <w:b/>
          <w:sz w:val="44"/>
          <w:szCs w:val="44"/>
          <w:highlight w:val="none"/>
        </w:rPr>
        <w:br w:type="page"/>
      </w:r>
    </w:p>
    <w:p>
      <w:pPr>
        <w:pageBreakBefore w:val="0"/>
        <w:numPr>
          <w:ilvl w:val="0"/>
          <w:numId w:val="8"/>
        </w:numPr>
        <w:overflowPunct/>
        <w:bidi w:val="0"/>
        <w:spacing w:afterAutospacing="0" w:line="336" w:lineRule="auto"/>
        <w:jc w:val="center"/>
        <w:outlineLvl w:val="0"/>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 </w:t>
      </w:r>
      <w:bookmarkStart w:id="9" w:name="_Toc5731"/>
      <w:r>
        <w:rPr>
          <w:rFonts w:hint="eastAsia" w:ascii="仿宋" w:hAnsi="仿宋" w:eastAsia="仿宋" w:cs="仿宋"/>
          <w:b/>
          <w:sz w:val="44"/>
          <w:szCs w:val="44"/>
          <w:highlight w:val="none"/>
        </w:rPr>
        <w:t>供应商须知</w:t>
      </w:r>
      <w:bookmarkEnd w:id="5"/>
      <w:bookmarkEnd w:id="6"/>
      <w:bookmarkEnd w:id="7"/>
      <w:bookmarkEnd w:id="8"/>
      <w:bookmarkEnd w:id="9"/>
    </w:p>
    <w:p>
      <w:pPr>
        <w:pStyle w:val="15"/>
        <w:pageBreakBefore w:val="0"/>
        <w:numPr>
          <w:ilvl w:val="0"/>
          <w:numId w:val="0"/>
        </w:numPr>
        <w:overflowPunct/>
        <w:bidi w:val="0"/>
        <w:spacing w:after="0" w:afterAutospacing="0" w:line="336" w:lineRule="auto"/>
        <w:jc w:val="center"/>
        <w:rPr>
          <w:rFonts w:hint="eastAsia" w:ascii="仿宋" w:hAnsi="仿宋" w:eastAsia="仿宋" w:cs="仿宋"/>
          <w:highlight w:val="none"/>
        </w:rPr>
      </w:pPr>
      <w:bookmarkStart w:id="10" w:name="_Toc721"/>
      <w:r>
        <w:rPr>
          <w:rFonts w:hint="eastAsia" w:ascii="仿宋" w:hAnsi="仿宋" w:eastAsia="仿宋" w:cs="仿宋"/>
          <w:b/>
          <w:kern w:val="44"/>
          <w:sz w:val="28"/>
          <w:szCs w:val="28"/>
          <w:highlight w:val="none"/>
        </w:rPr>
        <w:t>供应商须知前附表</w:t>
      </w:r>
      <w:bookmarkEnd w:id="10"/>
    </w:p>
    <w:tbl>
      <w:tblPr>
        <w:tblStyle w:val="38"/>
        <w:tblW w:w="966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93"/>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Style w:val="14"/>
              <w:pageBreakBefore w:val="0"/>
              <w:kinsoku/>
              <w:overflowPunct/>
              <w:topLinePunct/>
              <w:bidi w:val="0"/>
              <w:spacing w:after="0" w:afterAutospacing="0" w:line="336" w:lineRule="auto"/>
              <w:jc w:val="center"/>
              <w:rPr>
                <w:rFonts w:hint="eastAsia" w:ascii="仿宋" w:hAnsi="仿宋" w:eastAsia="仿宋" w:cs="仿宋"/>
                <w:b/>
                <w:sz w:val="21"/>
                <w:szCs w:val="21"/>
                <w:highlight w:val="none"/>
              </w:rPr>
            </w:pPr>
            <w:r>
              <w:rPr>
                <w:rFonts w:hint="eastAsia" w:ascii="仿宋" w:hAnsi="仿宋" w:eastAsia="仿宋" w:cs="仿宋"/>
                <w:b/>
                <w:bCs/>
                <w:kern w:val="0"/>
                <w:sz w:val="21"/>
                <w:szCs w:val="21"/>
                <w:highlight w:val="none"/>
                <w:lang w:val="en-US" w:eastAsia="zh-CN"/>
              </w:rPr>
              <w:t>序号</w:t>
            </w:r>
          </w:p>
        </w:tc>
        <w:tc>
          <w:tcPr>
            <w:tcW w:w="2093" w:type="dxa"/>
            <w:vAlign w:val="center"/>
          </w:tcPr>
          <w:p>
            <w:pPr>
              <w:pStyle w:val="14"/>
              <w:pageBreakBefore w:val="0"/>
              <w:kinsoku/>
              <w:overflowPunct/>
              <w:topLinePunct/>
              <w:bidi w:val="0"/>
              <w:spacing w:after="0" w:afterAutospacing="0" w:line="336" w:lineRule="auto"/>
              <w:jc w:val="center"/>
              <w:rPr>
                <w:rFonts w:hint="eastAsia" w:ascii="仿宋" w:hAnsi="仿宋" w:eastAsia="仿宋" w:cs="仿宋"/>
                <w:b/>
                <w:sz w:val="21"/>
                <w:szCs w:val="21"/>
                <w:highlight w:val="none"/>
              </w:rPr>
            </w:pPr>
            <w:r>
              <w:rPr>
                <w:rFonts w:hint="eastAsia" w:ascii="仿宋" w:hAnsi="仿宋" w:eastAsia="仿宋" w:cs="仿宋"/>
                <w:b/>
                <w:bCs/>
                <w:kern w:val="0"/>
                <w:sz w:val="21"/>
                <w:szCs w:val="21"/>
                <w:highlight w:val="none"/>
                <w:lang w:val="en-US" w:eastAsia="zh-CN"/>
              </w:rPr>
              <w:t>条 款 名 称</w:t>
            </w:r>
          </w:p>
        </w:tc>
        <w:tc>
          <w:tcPr>
            <w:tcW w:w="6657" w:type="dxa"/>
            <w:vAlign w:val="center"/>
          </w:tcPr>
          <w:p>
            <w:pPr>
              <w:pStyle w:val="14"/>
              <w:pageBreakBefore w:val="0"/>
              <w:kinsoku/>
              <w:overflowPunct/>
              <w:topLinePunct/>
              <w:bidi w:val="0"/>
              <w:spacing w:after="0" w:afterAutospacing="0" w:line="336" w:lineRule="auto"/>
              <w:jc w:val="center"/>
              <w:rPr>
                <w:rFonts w:hint="eastAsia" w:ascii="仿宋" w:hAnsi="仿宋" w:eastAsia="仿宋" w:cs="仿宋"/>
                <w:b/>
                <w:sz w:val="21"/>
                <w:szCs w:val="21"/>
                <w:highlight w:val="none"/>
              </w:rPr>
            </w:pPr>
            <w:r>
              <w:rPr>
                <w:rFonts w:hint="eastAsia" w:ascii="仿宋" w:hAnsi="仿宋" w:eastAsia="仿宋" w:cs="仿宋"/>
                <w:b/>
                <w:bCs/>
                <w:kern w:val="0"/>
                <w:sz w:val="21"/>
                <w:szCs w:val="21"/>
                <w:highlight w:val="no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.1.2</w:t>
            </w:r>
          </w:p>
        </w:tc>
        <w:tc>
          <w:tcPr>
            <w:tcW w:w="2093" w:type="dxa"/>
            <w:vAlign w:val="center"/>
          </w:tcPr>
          <w:p>
            <w:pPr>
              <w:pageBreakBefore w:val="0"/>
              <w:kinsoku/>
              <w:overflowPunct/>
              <w:bidi w:val="0"/>
              <w:adjustRightInd w:val="0"/>
              <w:snapToGrid w:val="0"/>
              <w:spacing w:afterAutospacing="0" w:line="336" w:lineRule="auto"/>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SA"/>
              </w:rPr>
              <w:t>采购人</w:t>
            </w:r>
          </w:p>
        </w:tc>
        <w:tc>
          <w:tcPr>
            <w:tcW w:w="6657" w:type="dxa"/>
            <w:vAlign w:val="center"/>
          </w:tcPr>
          <w:p>
            <w:pPr>
              <w:pStyle w:val="9"/>
              <w:pageBreakBefore w:val="0"/>
              <w:numPr>
                <w:ilvl w:val="0"/>
                <w:numId w:val="0"/>
              </w:numPr>
              <w:tabs>
                <w:tab w:val="left" w:pos="1050"/>
              </w:tabs>
              <w:overflowPunct/>
              <w:bidi w:val="0"/>
              <w:spacing w:before="0" w:beforeLines="0" w:after="0" w:afterLines="0" w:afterAutospacing="0" w:line="336" w:lineRule="auto"/>
              <w:jc w:val="left"/>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名称：铜川市金融工作办公室</w:t>
            </w:r>
          </w:p>
          <w:p>
            <w:pPr>
              <w:pStyle w:val="9"/>
              <w:pageBreakBefore w:val="0"/>
              <w:numPr>
                <w:ilvl w:val="0"/>
                <w:numId w:val="0"/>
              </w:numPr>
              <w:tabs>
                <w:tab w:val="left" w:pos="1050"/>
              </w:tabs>
              <w:overflowPunct/>
              <w:bidi w:val="0"/>
              <w:spacing w:before="0" w:beforeLines="0" w:after="0" w:afterLines="0" w:afterAutospacing="0" w:line="336" w:lineRule="auto"/>
              <w:jc w:val="left"/>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地址：铜川市新区正阳路9号</w:t>
            </w:r>
          </w:p>
          <w:p>
            <w:pPr>
              <w:pStyle w:val="9"/>
              <w:pageBreakBefore w:val="0"/>
              <w:numPr>
                <w:ilvl w:val="0"/>
                <w:numId w:val="0"/>
              </w:numPr>
              <w:tabs>
                <w:tab w:val="left" w:pos="1050"/>
              </w:tabs>
              <w:overflowPunct/>
              <w:bidi w:val="0"/>
              <w:spacing w:before="0" w:beforeLines="0" w:after="0" w:afterLines="0" w:afterAutospacing="0" w:line="336" w:lineRule="auto"/>
              <w:jc w:val="left"/>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联系方式：0919-3181145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1.1.3</w:t>
            </w:r>
          </w:p>
        </w:tc>
        <w:tc>
          <w:tcPr>
            <w:tcW w:w="2093" w:type="dxa"/>
            <w:vAlign w:val="center"/>
          </w:tcPr>
          <w:p>
            <w:pPr>
              <w:pageBreakBefore w:val="0"/>
              <w:kinsoku/>
              <w:overflowPunct/>
              <w:bidi w:val="0"/>
              <w:adjustRightInd w:val="0"/>
              <w:snapToGrid w:val="0"/>
              <w:spacing w:afterAutospacing="0" w:line="336" w:lineRule="auto"/>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SA"/>
              </w:rPr>
              <w:t>采购代理机构</w:t>
            </w:r>
          </w:p>
        </w:tc>
        <w:tc>
          <w:tcPr>
            <w:tcW w:w="6657" w:type="dxa"/>
            <w:vAlign w:val="center"/>
          </w:tcPr>
          <w:p>
            <w:pPr>
              <w:pStyle w:val="9"/>
              <w:pageBreakBefore w:val="0"/>
              <w:numPr>
                <w:ilvl w:val="0"/>
                <w:numId w:val="0"/>
              </w:numPr>
              <w:tabs>
                <w:tab w:val="left" w:pos="1050"/>
              </w:tabs>
              <w:overflowPunct/>
              <w:bidi w:val="0"/>
              <w:spacing w:before="0" w:beforeLines="0" w:after="0" w:afterLines="0" w:afterAutospacing="0" w:line="336" w:lineRule="auto"/>
              <w:jc w:val="left"/>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名称：陕西同昌成项目管理有限公司</w:t>
            </w:r>
          </w:p>
          <w:p>
            <w:pPr>
              <w:pStyle w:val="9"/>
              <w:pageBreakBefore w:val="0"/>
              <w:numPr>
                <w:ilvl w:val="0"/>
                <w:numId w:val="0"/>
              </w:numPr>
              <w:tabs>
                <w:tab w:val="left" w:pos="1050"/>
              </w:tabs>
              <w:overflowPunct/>
              <w:bidi w:val="0"/>
              <w:spacing w:before="0" w:beforeLines="0" w:after="0" w:afterLines="0" w:afterAutospacing="0" w:line="336" w:lineRule="auto"/>
              <w:jc w:val="left"/>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地址：陕西省西安市雁塔区翠华路佳和中心 A 座 702 室</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联系方式：18189276056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1.1.4</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6657" w:type="dxa"/>
            <w:vAlign w:val="center"/>
          </w:tcPr>
          <w:p>
            <w:pPr>
              <w:pageBreakBefore w:val="0"/>
              <w:overflowPunct/>
              <w:bidi w:val="0"/>
              <w:spacing w:afterAutospacing="0" w:line="336" w:lineRule="auto"/>
              <w:rPr>
                <w:rFonts w:hint="eastAsia" w:ascii="仿宋" w:hAnsi="仿宋" w:eastAsia="仿宋" w:cs="仿宋"/>
                <w:sz w:val="21"/>
                <w:szCs w:val="21"/>
                <w:highlight w:val="none"/>
              </w:rPr>
            </w:pPr>
            <w:r>
              <w:rPr>
                <w:rFonts w:hint="eastAsia" w:ascii="仿宋" w:hAnsi="仿宋" w:eastAsia="仿宋" w:cs="仿宋"/>
                <w:b w:val="0"/>
                <w:bCs/>
                <w:color w:val="auto"/>
                <w:sz w:val="21"/>
                <w:szCs w:val="21"/>
                <w:highlight w:val="none"/>
                <w:lang w:eastAsia="zh-CN"/>
              </w:rPr>
              <w:t>铜川市2023年度一元民生保险采购项目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1.1.5</w:t>
            </w:r>
          </w:p>
        </w:tc>
        <w:tc>
          <w:tcPr>
            <w:tcW w:w="2093" w:type="dxa"/>
            <w:vAlign w:val="center"/>
          </w:tcPr>
          <w:p>
            <w:pPr>
              <w:pageBreakBefore w:val="0"/>
              <w:overflowPunct/>
              <w:bidi w:val="0"/>
              <w:spacing w:afterAutospacing="0" w:line="336" w:lineRule="auto"/>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项目编号</w:t>
            </w:r>
          </w:p>
        </w:tc>
        <w:tc>
          <w:tcPr>
            <w:tcW w:w="6657" w:type="dxa"/>
            <w:vAlign w:val="center"/>
          </w:tcPr>
          <w:p>
            <w:pPr>
              <w:pageBreakBefore w:val="0"/>
              <w:overflowPunct/>
              <w:bidi w:val="0"/>
              <w:spacing w:afterAutospacing="0" w:line="336" w:lineRule="auto"/>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TCC2022-1119Z-01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1.2.1</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资金性质</w:t>
            </w:r>
          </w:p>
        </w:tc>
        <w:tc>
          <w:tcPr>
            <w:tcW w:w="6657" w:type="dxa"/>
            <w:vAlign w:val="center"/>
          </w:tcPr>
          <w:p>
            <w:pPr>
              <w:pageBreakBefore w:val="0"/>
              <w:overflowPunct/>
              <w:bidi w:val="0"/>
              <w:spacing w:afterAutospacing="0" w:line="336" w:lineRule="auto"/>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其他财政资金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1.2.2</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预算金额</w:t>
            </w:r>
          </w:p>
        </w:tc>
        <w:tc>
          <w:tcPr>
            <w:tcW w:w="6657" w:type="dxa"/>
            <w:vAlign w:val="center"/>
          </w:tcPr>
          <w:p>
            <w:pPr>
              <w:pageBreakBefore w:val="0"/>
              <w:overflowPunct/>
              <w:bidi w:val="0"/>
              <w:spacing w:afterAutospacing="0" w:line="336" w:lineRule="auto"/>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单项预算：1元/人</w:t>
            </w:r>
          </w:p>
          <w:p>
            <w:pPr>
              <w:pageBreakBefore w:val="0"/>
              <w:overflowPunct/>
              <w:bidi w:val="0"/>
              <w:spacing w:afterAutospacing="0" w:line="336" w:lineRule="auto"/>
              <w:jc w:val="both"/>
              <w:rPr>
                <w:rFonts w:hint="eastAsia"/>
                <w:highlight w:val="none"/>
                <w:lang w:eastAsia="zh-CN"/>
              </w:rPr>
            </w:pPr>
            <w:r>
              <w:rPr>
                <w:rFonts w:hint="eastAsia" w:ascii="仿宋" w:hAnsi="仿宋" w:eastAsia="仿宋" w:cs="仿宋"/>
                <w:sz w:val="21"/>
                <w:szCs w:val="21"/>
                <w:highlight w:val="none"/>
                <w:lang w:val="en-US" w:eastAsia="zh-CN"/>
              </w:rPr>
              <w:t>总预算：361397.00元</w:t>
            </w:r>
          </w:p>
          <w:p>
            <w:pPr>
              <w:pageBreakBefore w:val="0"/>
              <w:overflowPunct/>
              <w:bidi w:val="0"/>
              <w:spacing w:afterAutospacing="0" w:line="336" w:lineRule="auto"/>
              <w:jc w:val="both"/>
              <w:rPr>
                <w:rFonts w:hint="eastAsia" w:ascii="仿宋" w:hAnsi="仿宋" w:eastAsia="仿宋" w:cs="仿宋"/>
                <w:b w:val="0"/>
                <w:bCs/>
                <w:sz w:val="21"/>
                <w:szCs w:val="21"/>
                <w:highlight w:val="none"/>
                <w:lang w:val="en-US" w:eastAsia="zh-CN"/>
              </w:rPr>
            </w:pPr>
            <w:r>
              <w:rPr>
                <w:rFonts w:hint="eastAsia" w:ascii="仿宋" w:hAnsi="仿宋" w:eastAsia="仿宋" w:cs="仿宋"/>
                <w:b/>
                <w:bCs/>
                <w:color w:val="auto"/>
                <w:sz w:val="21"/>
                <w:szCs w:val="21"/>
                <w:highlight w:val="none"/>
                <w:lang w:val="en-US" w:eastAsia="zh-CN"/>
              </w:rPr>
              <w:t>（备注：若投标单项报价高于或低于采购单项预算，投标总价高于总预算的均按无效文件处理。）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1.3.1</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zh-CN" w:eastAsia="zh-CN"/>
              </w:rPr>
              <w:t>采购要求</w:t>
            </w:r>
          </w:p>
        </w:tc>
        <w:tc>
          <w:tcPr>
            <w:tcW w:w="6657" w:type="dxa"/>
            <w:vAlign w:val="center"/>
          </w:tcPr>
          <w:p>
            <w:pPr>
              <w:pageBreakBefore w:val="0"/>
              <w:kinsoku/>
              <w:overflowPunct/>
              <w:bidi w:val="0"/>
              <w:adjustRightInd w:val="0"/>
              <w:snapToGrid w:val="0"/>
              <w:spacing w:afterAutospacing="0" w:line="336" w:lineRule="auto"/>
              <w:jc w:val="both"/>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zh-CN" w:eastAsia="zh-CN"/>
              </w:rPr>
              <w:t>详见竞争性磋商文件“第四部分</w:t>
            </w:r>
            <w:r>
              <w:rPr>
                <w:rFonts w:hint="eastAsia" w:ascii="仿宋" w:hAnsi="仿宋" w:eastAsia="仿宋" w:cs="仿宋"/>
                <w:b w:val="0"/>
                <w:bCs/>
                <w:sz w:val="21"/>
                <w:szCs w:val="21"/>
                <w:highlight w:val="none"/>
                <w:lang w:val="en-US" w:eastAsia="zh-CN"/>
              </w:rPr>
              <w:t xml:space="preserve"> 服务</w:t>
            </w:r>
            <w:r>
              <w:rPr>
                <w:rFonts w:hint="eastAsia" w:ascii="仿宋" w:hAnsi="仿宋" w:eastAsia="仿宋" w:cs="仿宋"/>
                <w:b w:val="0"/>
                <w:bCs/>
                <w:sz w:val="21"/>
                <w:szCs w:val="21"/>
                <w:highlight w:val="none"/>
                <w:lang w:val="zh-CN" w:eastAsia="zh-CN"/>
              </w:rPr>
              <w:t>内容及商务要求”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1.3.2</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保险期限</w:t>
            </w:r>
          </w:p>
        </w:tc>
        <w:tc>
          <w:tcPr>
            <w:tcW w:w="6657" w:type="dxa"/>
            <w:vAlign w:val="center"/>
          </w:tcPr>
          <w:p>
            <w:pPr>
              <w:pageBreakBefore w:val="0"/>
              <w:overflowPunct/>
              <w:bidi w:val="0"/>
              <w:spacing w:afterAutospacing="0" w:line="336" w:lineRule="auto"/>
              <w:rPr>
                <w:rFonts w:hint="default" w:ascii="仿宋" w:hAnsi="仿宋" w:eastAsia="仿宋" w:cs="仿宋"/>
                <w:b/>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仿宋" w:hAnsi="仿宋" w:eastAsia="仿宋" w:cs="仿宋"/>
                <w:b w:val="0"/>
                <w:bCs/>
                <w:sz w:val="21"/>
                <w:szCs w:val="21"/>
                <w:highlight w:val="none"/>
                <w:lang w:val="en-US" w:eastAsia="zh-CN"/>
              </w:rPr>
              <w:t>1年。</w:t>
            </w:r>
            <w:r>
              <w:rPr>
                <w:rFonts w:hint="eastAsia" w:ascii="仿宋" w:hAnsi="仿宋" w:eastAsia="仿宋" w:cs="仿宋"/>
                <w:b w:val="0"/>
                <w:bCs/>
                <w:sz w:val="21"/>
                <w:szCs w:val="21"/>
                <w:highlight w:val="none"/>
                <w:lang w:val="zh-CN" w:eastAsia="zh-CN"/>
              </w:rPr>
              <w:t>即从本保险签单生效日至下一年次日止。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资格要求</w:t>
            </w:r>
          </w:p>
        </w:tc>
        <w:tc>
          <w:tcPr>
            <w:tcW w:w="6657" w:type="dxa"/>
            <w:vAlign w:val="center"/>
          </w:tcPr>
          <w:p>
            <w:pPr>
              <w:pageBreakBefore w:val="0"/>
              <w:numPr>
                <w:ilvl w:val="0"/>
                <w:numId w:val="9"/>
              </w:numPr>
              <w:overflowPunct/>
              <w:bidi w:val="0"/>
              <w:spacing w:afterAutospacing="0" w:line="336" w:lineRule="auto"/>
              <w:jc w:val="left"/>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供应商应符合《中华人民共和国政府采购法》第二十二条中的规定;</w:t>
            </w:r>
          </w:p>
          <w:p>
            <w:pPr>
              <w:pageBreakBefore w:val="0"/>
              <w:numPr>
                <w:ilvl w:val="0"/>
                <w:numId w:val="9"/>
              </w:numPr>
              <w:overflowPunct/>
              <w:bidi w:val="0"/>
              <w:spacing w:afterAutospacing="0" w:line="336" w:lineRule="auto"/>
              <w:jc w:val="left"/>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特定资格要求:</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 xml:space="preserve">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 </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《法定代表人授权书》附法定代表人身份证及被授权人身份证复印件并加盖公章；法定代表人直接参加的则须提交《法定代表人证明书》和身份证复印件并加盖公章；</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供应商具有中国保险监督管理委员会颁发的《保险业务经营许可证》；</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供应商为保险公司分支机构开展本项目保险业务的，需经其总公司或所属省级公司授权同意，并提供业务、财务、信息技术等支持，能够实现一元民生保险业务单独核算（提供相关证明文件）；</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财务状况报告：须提供近3年任意一年度的财务报表或具有财务审计资质的单位出具的财务报告（至少包括资产负债表和利润表，成立时间至提交竞争性磋商响应文件截止时间不足一年的可提供成立后任意时段的资产负债表），或银行出具的资信证明；</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 xml:space="preserve">税收缴纳证明：提供响应文件截止时间前1年内任意1个月的纳税证明或完税证明，依法免税的供应商应提供相关文件证明； </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 xml:space="preserve">社会保障资金缴纳证明：提供响应文件截止时间前1年内任意1个月的有效社会保障资金缴纳证明。依法不需要缴纳社会保障资金的供应商应提供相关文件证明； </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供应商需具备履行合同所必需的设备和专业技术能力，须提供书面承诺书；</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供应商参加采购活动近3年内经营活动中无重大违法记录声明；</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供应商信誉要求：“信用中国”网站（www.creditchina.gov.cn）和“中国政府采购网”（www.ccgp.gov.cn）为供应商信用信息查询渠道，如果供应商被查实在投标截止时间前已列入失信被执行人、重大税收违法案件当事人名单、政府采购严重违法失信行为记录名单，其投标为无效；（提供查询结果网页截图并加盖供应商公章）；</w:t>
            </w:r>
          </w:p>
          <w:p>
            <w:pPr>
              <w:pStyle w:val="9"/>
              <w:keepNext/>
              <w:keepLines/>
              <w:pageBreakBefore w:val="0"/>
              <w:widowControl w:val="0"/>
              <w:numPr>
                <w:ilvl w:val="0"/>
                <w:numId w:val="10"/>
              </w:numPr>
              <w:tabs>
                <w:tab w:val="left" w:pos="1050"/>
                <w:tab w:val="left" w:pos="1260"/>
              </w:tabs>
              <w:kinsoku/>
              <w:wordWrap/>
              <w:overflowPunct/>
              <w:topLinePunct w:val="0"/>
              <w:autoSpaceDE/>
              <w:autoSpaceDN/>
              <w:bidi w:val="0"/>
              <w:adjustRightInd w:val="0"/>
              <w:snapToGrid w:val="0"/>
              <w:spacing w:before="0" w:beforeLines="0" w:after="0" w:afterLines="0" w:afterAutospacing="0" w:line="336" w:lineRule="auto"/>
              <w:textAlignment w:val="auto"/>
              <w:rPr>
                <w:rFonts w:hint="eastAsia" w:ascii="仿宋" w:hAnsi="仿宋" w:eastAsia="仿宋" w:cs="仿宋"/>
                <w:b w:val="0"/>
                <w:kern w:val="2"/>
                <w:sz w:val="21"/>
                <w:szCs w:val="21"/>
                <w:highlight w:val="none"/>
                <w:lang w:val="en-US" w:eastAsia="zh-CN" w:bidi="ar-SA"/>
              </w:rPr>
            </w:pPr>
            <w:r>
              <w:rPr>
                <w:rFonts w:hint="eastAsia" w:ascii="仿宋" w:hAnsi="仿宋" w:eastAsia="仿宋" w:cs="仿宋"/>
                <w:b w:val="0"/>
                <w:kern w:val="2"/>
                <w:sz w:val="21"/>
                <w:szCs w:val="21"/>
                <w:highlight w:val="none"/>
                <w:lang w:val="en-US" w:eastAsia="zh-CN" w:bidi="ar-SA"/>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1.4.3</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是否接受联合体</w:t>
            </w:r>
          </w:p>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磋商</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1.9</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踏勘现场</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1.10</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zh-CN" w:eastAsia="zh-CN"/>
              </w:rPr>
              <w:t>转包与分包履约</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zh-CN" w:eastAsia="zh-CN"/>
              </w:rPr>
            </w:pPr>
            <w:r>
              <w:rPr>
                <w:rFonts w:hint="eastAsia" w:ascii="仿宋" w:hAnsi="仿宋" w:eastAsia="仿宋" w:cs="仿宋"/>
                <w:b/>
                <w:bCs/>
                <w:sz w:val="21"/>
                <w:szCs w:val="21"/>
                <w:highlight w:val="none"/>
                <w:lang w:val="en-US" w:eastAsia="zh-CN"/>
              </w:rPr>
              <w:t>本项目是否专门面向中小企业采购</w:t>
            </w:r>
          </w:p>
        </w:tc>
        <w:tc>
          <w:tcPr>
            <w:tcW w:w="6657" w:type="dxa"/>
            <w:vAlign w:val="center"/>
          </w:tcPr>
          <w:p>
            <w:pPr>
              <w:pageBreakBefore w:val="0"/>
              <w:overflowPunct/>
              <w:bidi w:val="0"/>
              <w:spacing w:afterAutospacing="0" w:line="336" w:lineRule="auto"/>
              <w:jc w:val="left"/>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sym w:font="Wingdings" w:char="00A8"/>
            </w:r>
            <w:r>
              <w:rPr>
                <w:rFonts w:hint="eastAsia" w:ascii="仿宋" w:hAnsi="仿宋" w:eastAsia="仿宋" w:cs="仿宋"/>
                <w:b/>
                <w:bCs/>
                <w:sz w:val="21"/>
                <w:szCs w:val="21"/>
                <w:highlight w:val="none"/>
              </w:rPr>
              <w:t xml:space="preserve">是 </w:t>
            </w:r>
          </w:p>
          <w:p>
            <w:pPr>
              <w:pageBreakBefore w:val="0"/>
              <w:overflowPunct/>
              <w:bidi w:val="0"/>
              <w:spacing w:afterAutospacing="0" w:line="336"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sym w:font="Wingdings" w:char="00FE"/>
            </w:r>
            <w:r>
              <w:rPr>
                <w:rFonts w:hint="eastAsia" w:ascii="仿宋" w:hAnsi="仿宋" w:eastAsia="仿宋" w:cs="仿宋"/>
                <w:b/>
                <w:bCs/>
                <w:sz w:val="21"/>
                <w:szCs w:val="21"/>
                <w:highlight w:val="none"/>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3.1.3</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是否允许递交</w:t>
            </w:r>
          </w:p>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备选方案</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3.3</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磋商</w:t>
            </w:r>
            <w:r>
              <w:rPr>
                <w:rFonts w:hint="eastAsia" w:ascii="仿宋" w:hAnsi="仿宋" w:eastAsia="仿宋" w:cs="仿宋"/>
                <w:sz w:val="21"/>
                <w:szCs w:val="21"/>
                <w:highlight w:val="none"/>
              </w:rPr>
              <w:t>有效期</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3.5.1</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响应文件份数</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正本一份，副本二份，电子文件一份</w:t>
            </w:r>
            <w:r>
              <w:rPr>
                <w:rFonts w:hint="eastAsia" w:ascii="仿宋" w:hAnsi="仿宋" w:eastAsia="仿宋" w:cs="仿宋"/>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3.5.2</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响应文件装订要求</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在响应文件的右上角分别标明“正本”和“副本”字样，正本与副本不一致时以正本为准。响应文件正、副本均须用A4纸装订（个别较大的图表可用A3纸编制），并逐页标注页码，不得采用活页装订。同时提交响应文件电子版，电子版包括所有响应文件内容，内容应与正本相符，且应保证能正常打开，否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3.5.3</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响应文件的</w:t>
            </w:r>
          </w:p>
          <w:p>
            <w:pPr>
              <w:pageBreakBefore w:val="0"/>
              <w:overflowPunct/>
              <w:bidi w:val="0"/>
              <w:spacing w:afterAutospacing="0" w:line="336"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密封要求</w:t>
            </w:r>
          </w:p>
        </w:tc>
        <w:tc>
          <w:tcPr>
            <w:tcW w:w="6657" w:type="dxa"/>
            <w:vAlign w:val="center"/>
          </w:tcPr>
          <w:p>
            <w:pPr>
              <w:pageBreakBefore w:val="0"/>
              <w:overflowPunct/>
              <w:bidi w:val="0"/>
              <w:spacing w:afterAutospacing="0" w:line="336" w:lineRule="auto"/>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供应商应自行将磋商响应文件密封完好，加贴封条，并在封套的封口处加盖供应商公章及法定代表人/负责人或被授权人（印章）。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3.5.4</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响应文件签字和</w:t>
            </w:r>
          </w:p>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盖章要求</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响应文件的正本应使用打印或不易褪色的蓝黑墨水笔书写，在规定的位置必须由法定代表人</w:t>
            </w:r>
            <w:r>
              <w:rPr>
                <w:rFonts w:hint="eastAsia" w:ascii="仿宋" w:hAnsi="仿宋" w:eastAsia="仿宋" w:cs="仿宋"/>
                <w:sz w:val="21"/>
                <w:szCs w:val="21"/>
                <w:highlight w:val="none"/>
                <w:lang w:val="en-US" w:eastAsia="zh-CN"/>
              </w:rPr>
              <w:t>/负责人</w:t>
            </w:r>
            <w:r>
              <w:rPr>
                <w:rFonts w:hint="eastAsia" w:ascii="仿宋" w:hAnsi="仿宋" w:eastAsia="仿宋" w:cs="仿宋"/>
                <w:sz w:val="21"/>
                <w:szCs w:val="21"/>
                <w:highlight w:val="none"/>
              </w:rPr>
              <w:t>或授权代表人签名（或盖章），并加盖单位公章；响应文件每页均应盖单位公章。副本可复印，除供应商对错误处必须修改外，全套响应文件应无涂改或行间插字和增删。如有修改，修改处应由法定代表人</w:t>
            </w:r>
            <w:r>
              <w:rPr>
                <w:rFonts w:hint="eastAsia" w:ascii="仿宋" w:hAnsi="仿宋" w:eastAsia="仿宋" w:cs="仿宋"/>
                <w:sz w:val="21"/>
                <w:szCs w:val="21"/>
                <w:highlight w:val="none"/>
                <w:lang w:val="en-US" w:eastAsia="zh-CN"/>
              </w:rPr>
              <w:t>/负责人</w:t>
            </w:r>
            <w:r>
              <w:rPr>
                <w:rFonts w:hint="eastAsia" w:ascii="仿宋" w:hAnsi="仿宋" w:eastAsia="仿宋" w:cs="仿宋"/>
                <w:sz w:val="21"/>
                <w:szCs w:val="21"/>
                <w:highlight w:val="none"/>
              </w:rPr>
              <w:t>签字并加盖供应商单位公章。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3.6.2</w:t>
            </w:r>
          </w:p>
        </w:tc>
        <w:tc>
          <w:tcPr>
            <w:tcW w:w="2093" w:type="dxa"/>
            <w:vAlign w:val="center"/>
          </w:tcPr>
          <w:p>
            <w:pPr>
              <w:pageBreakBefore w:val="0"/>
              <w:overflowPunct/>
              <w:bidi w:val="0"/>
              <w:spacing w:afterAutospacing="0" w:line="336" w:lineRule="auto"/>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eastAsia="zh-CN"/>
              </w:rPr>
              <w:t>现场携带原件</w:t>
            </w:r>
          </w:p>
        </w:tc>
        <w:tc>
          <w:tcPr>
            <w:tcW w:w="6657" w:type="dxa"/>
            <w:vAlign w:val="center"/>
          </w:tcPr>
          <w:p>
            <w:pPr>
              <w:pageBreakBefore w:val="0"/>
              <w:overflowPunct/>
              <w:bidi w:val="0"/>
              <w:spacing w:afterAutospacing="0" w:line="336"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《法定代表人/负责人授权书》附法定代表人/负责人身份证及被授权人身份证复印件并加盖公章；法定代表人/负责人直接参加的则须提交《法定代表人/负责人证明书》和身份证复印件并加盖公章。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3.6.3</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递交磋商响应文件</w:t>
            </w:r>
          </w:p>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时间和地址</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2022年12月2日14时30分00秒（北京时间）</w:t>
            </w:r>
          </w:p>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铜川市新区斯正街枫林湾酒店6楼会议室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3.6.4</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是否退还响应文件</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w:t>
            </w:r>
          </w:p>
        </w:tc>
        <w:tc>
          <w:tcPr>
            <w:tcW w:w="2093" w:type="dxa"/>
            <w:vAlign w:val="center"/>
          </w:tcPr>
          <w:p>
            <w:pPr>
              <w:pageBreakBefore w:val="0"/>
              <w:overflowPunct/>
              <w:bidi w:val="0"/>
              <w:spacing w:afterAutospacing="0" w:line="336"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评标委员会的组建</w:t>
            </w:r>
          </w:p>
        </w:tc>
        <w:tc>
          <w:tcPr>
            <w:tcW w:w="6657" w:type="dxa"/>
            <w:vAlign w:val="center"/>
          </w:tcPr>
          <w:p>
            <w:pPr>
              <w:pageBreakBefore w:val="0"/>
              <w:overflowPunct/>
              <w:bidi w:val="0"/>
              <w:spacing w:afterAutospacing="0" w:line="33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评标委员会构成3人。其中采购人代表1人，专家2人。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8" w:type="dxa"/>
            <w:gridSpan w:val="2"/>
            <w:vAlign w:val="center"/>
          </w:tcPr>
          <w:p>
            <w:pPr>
              <w:pageBreakBefore w:val="0"/>
              <w:overflowPunct/>
              <w:bidi w:val="0"/>
              <w:spacing w:afterAutospacing="0" w:line="336" w:lineRule="auto"/>
              <w:jc w:val="center"/>
              <w:rPr>
                <w:rFonts w:hint="eastAsia" w:ascii="仿宋" w:hAnsi="仿宋" w:eastAsia="仿宋" w:cs="仿宋"/>
                <w:b/>
                <w:bCs/>
                <w:sz w:val="21"/>
                <w:szCs w:val="21"/>
                <w:highlight w:val="none"/>
                <w:lang w:val="en-US" w:eastAsia="zh-CN"/>
              </w:rPr>
            </w:pPr>
            <w:bookmarkStart w:id="11" w:name="_Toc30334"/>
            <w:bookmarkStart w:id="12" w:name="_Toc10246"/>
            <w:bookmarkStart w:id="13" w:name="_Toc17812"/>
            <w:bookmarkStart w:id="14" w:name="_Toc7145"/>
            <w:r>
              <w:rPr>
                <w:rFonts w:hint="eastAsia" w:ascii="仿宋" w:hAnsi="仿宋" w:eastAsia="仿宋" w:cs="仿宋"/>
                <w:b/>
                <w:bCs/>
                <w:sz w:val="21"/>
                <w:szCs w:val="21"/>
                <w:highlight w:val="none"/>
                <w:lang w:val="en-US" w:eastAsia="zh-CN"/>
              </w:rPr>
              <w:t>磋商保证金</w:t>
            </w:r>
          </w:p>
        </w:tc>
        <w:tc>
          <w:tcPr>
            <w:tcW w:w="6657" w:type="dxa"/>
            <w:vAlign w:val="center"/>
          </w:tcPr>
          <w:p>
            <w:pPr>
              <w:pageBreakBefore w:val="0"/>
              <w:overflowPunct/>
              <w:bidi w:val="0"/>
              <w:spacing w:afterAutospacing="0" w:line="336" w:lineRule="auto"/>
              <w:jc w:val="left"/>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8" w:type="dxa"/>
            <w:gridSpan w:val="2"/>
            <w:vAlign w:val="center"/>
          </w:tcPr>
          <w:p>
            <w:pPr>
              <w:pageBreakBefore w:val="0"/>
              <w:overflowPunct/>
              <w:bidi w:val="0"/>
              <w:spacing w:afterAutospacing="0" w:line="336" w:lineRule="auto"/>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履约保证金</w:t>
            </w:r>
          </w:p>
        </w:tc>
        <w:tc>
          <w:tcPr>
            <w:tcW w:w="6657" w:type="dxa"/>
            <w:vAlign w:val="center"/>
          </w:tcPr>
          <w:p>
            <w:pPr>
              <w:pageBreakBefore w:val="0"/>
              <w:overflowPunct/>
              <w:bidi w:val="0"/>
              <w:spacing w:afterAutospacing="0" w:line="336" w:lineRule="auto"/>
              <w:jc w:val="left"/>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8" w:type="dxa"/>
            <w:gridSpan w:val="2"/>
            <w:vAlign w:val="center"/>
          </w:tcPr>
          <w:p>
            <w:pPr>
              <w:pageBreakBefore w:val="0"/>
              <w:overflowPunct/>
              <w:bidi w:val="0"/>
              <w:spacing w:afterAutospacing="0" w:line="336"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磋商确认函</w:t>
            </w:r>
          </w:p>
        </w:tc>
        <w:tc>
          <w:tcPr>
            <w:tcW w:w="6657" w:type="dxa"/>
            <w:vAlign w:val="center"/>
          </w:tcPr>
          <w:p>
            <w:pPr>
              <w:pageBreakBefore w:val="0"/>
              <w:overflowPunct/>
              <w:bidi w:val="0"/>
              <w:spacing w:afterAutospacing="0" w:line="336" w:lineRule="auto"/>
              <w:jc w:val="left"/>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供应商登记免费领取采购文件的,如不参与项目投标,应在递交响应文件截止时间前一日以书面形式告知采购代理机构。否则,采购代理机构可以向财政部门反映情况并提供相应的佐证。供应商一年内累计出现三次该情形,将被监管部门记录为失信行为。</w:t>
            </w:r>
          </w:p>
        </w:tc>
      </w:tr>
    </w:tbl>
    <w:p>
      <w:pPr>
        <w:pageBreakBefore w:val="0"/>
        <w:overflowPunct/>
        <w:bidi w:val="0"/>
        <w:spacing w:afterAutospacing="0" w:line="336" w:lineRule="auto"/>
        <w:outlineLvl w:val="9"/>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总则</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项目概况</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rPr>
        <w:t>本竞争性磋商文件仅适用于本次竞争性磋商（以下简称磋商）所叙述的相关服务项目的采购活动。</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本项目采购人：见供应商须知前附表；</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本项目采购代理机构：见供应商须知前附表；</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本项目项目名称：见供应商须知前附表</w:t>
      </w:r>
      <w:r>
        <w:rPr>
          <w:rFonts w:hint="eastAsia" w:ascii="仿宋" w:hAnsi="仿宋" w:eastAsia="仿宋" w:cs="仿宋"/>
          <w:sz w:val="24"/>
          <w:highlight w:val="none"/>
          <w:lang w:eastAsia="zh-CN"/>
        </w:rPr>
        <w:t>；</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本项目项目</w:t>
      </w:r>
      <w:r>
        <w:rPr>
          <w:rFonts w:hint="eastAsia" w:ascii="仿宋" w:hAnsi="仿宋" w:eastAsia="仿宋" w:cs="仿宋"/>
          <w:sz w:val="24"/>
          <w:highlight w:val="none"/>
          <w:lang w:val="en-US" w:eastAsia="zh-CN"/>
        </w:rPr>
        <w:t>编号</w:t>
      </w:r>
      <w:r>
        <w:rPr>
          <w:rFonts w:hint="eastAsia" w:ascii="仿宋" w:hAnsi="仿宋" w:eastAsia="仿宋" w:cs="仿宋"/>
          <w:sz w:val="24"/>
          <w:highlight w:val="none"/>
        </w:rPr>
        <w:t>：见供应商须知前附表。</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资金性质及预算金额</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本项目的资金性质：见供应商须知前附表；</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highlight w:val="none"/>
        </w:rPr>
      </w:pPr>
      <w:r>
        <w:rPr>
          <w:rFonts w:hint="eastAsia" w:ascii="仿宋" w:hAnsi="仿宋" w:eastAsia="仿宋" w:cs="仿宋"/>
          <w:sz w:val="24"/>
          <w:highlight w:val="none"/>
        </w:rPr>
        <w:t>本项目的预算金额：见供应商须知前附表。</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lang w:eastAsia="zh-CN"/>
        </w:rPr>
        <w:t>采购要求</w:t>
      </w:r>
      <w:r>
        <w:rPr>
          <w:rFonts w:hint="eastAsia" w:ascii="仿宋" w:hAnsi="仿宋" w:eastAsia="仿宋" w:cs="仿宋"/>
          <w:b/>
          <w:bCs/>
          <w:sz w:val="24"/>
          <w:highlight w:val="none"/>
        </w:rPr>
        <w:t>、</w:t>
      </w:r>
      <w:r>
        <w:rPr>
          <w:rFonts w:hint="eastAsia" w:ascii="仿宋" w:hAnsi="仿宋" w:eastAsia="仿宋" w:cs="仿宋"/>
          <w:b/>
          <w:bCs/>
          <w:sz w:val="24"/>
          <w:highlight w:val="none"/>
          <w:lang w:eastAsia="zh-CN"/>
        </w:rPr>
        <w:t>保险期限</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本项目</w:t>
      </w:r>
      <w:r>
        <w:rPr>
          <w:rFonts w:hint="eastAsia" w:ascii="仿宋" w:hAnsi="仿宋" w:eastAsia="仿宋" w:cs="仿宋"/>
          <w:sz w:val="24"/>
          <w:highlight w:val="none"/>
          <w:lang w:eastAsia="zh-CN"/>
        </w:rPr>
        <w:t>采购要求</w:t>
      </w:r>
      <w:r>
        <w:rPr>
          <w:rFonts w:hint="eastAsia" w:ascii="仿宋" w:hAnsi="仿宋" w:eastAsia="仿宋" w:cs="仿宋"/>
          <w:sz w:val="24"/>
          <w:highlight w:val="none"/>
        </w:rPr>
        <w:t>：见供应商须知前附表；</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本项目</w:t>
      </w:r>
      <w:r>
        <w:rPr>
          <w:rFonts w:hint="eastAsia" w:ascii="仿宋" w:hAnsi="仿宋" w:eastAsia="仿宋" w:cs="仿宋"/>
          <w:sz w:val="24"/>
          <w:highlight w:val="none"/>
          <w:lang w:eastAsia="zh-CN"/>
        </w:rPr>
        <w:t>保险期限</w:t>
      </w:r>
      <w:r>
        <w:rPr>
          <w:rFonts w:hint="eastAsia" w:ascii="仿宋" w:hAnsi="仿宋" w:eastAsia="仿宋" w:cs="仿宋"/>
          <w:sz w:val="24"/>
          <w:highlight w:val="none"/>
        </w:rPr>
        <w:t>：见供应商须知前附表</w:t>
      </w:r>
      <w:r>
        <w:rPr>
          <w:rFonts w:hint="eastAsia" w:ascii="仿宋" w:hAnsi="仿宋" w:eastAsia="仿宋" w:cs="仿宋"/>
          <w:sz w:val="24"/>
          <w:highlight w:val="none"/>
          <w:lang w:eastAsia="zh-CN"/>
        </w:rPr>
        <w:t>。</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供应商资格要求</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rPr>
        <w:t>供应商须提供磋商文件供应商须知前附表第</w:t>
      </w:r>
      <w:r>
        <w:rPr>
          <w:rFonts w:hint="eastAsia" w:ascii="仿宋" w:hAnsi="仿宋" w:eastAsia="仿宋" w:cs="仿宋"/>
          <w:sz w:val="24"/>
          <w:highlight w:val="none"/>
          <w:lang w:val="en-US" w:eastAsia="zh-CN"/>
        </w:rPr>
        <w:t>1.4</w:t>
      </w:r>
      <w:r>
        <w:rPr>
          <w:rFonts w:hint="eastAsia" w:ascii="仿宋" w:hAnsi="仿宋" w:eastAsia="仿宋" w:cs="仿宋"/>
          <w:sz w:val="24"/>
          <w:highlight w:val="none"/>
        </w:rPr>
        <w:t>条要求的资格证明文件，如资格证明文件不全或不合格的，其磋商投标按照无效响应处理；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rPr>
        <w:t>如果磋商须知前附表有要求，投标供应商还应按照要求提交证明文件的原件。如果未能提供原件或者提供原件不全的，其磋商投标按照无效响应处理</w:t>
      </w:r>
      <w:r>
        <w:rPr>
          <w:rFonts w:hint="eastAsia" w:ascii="仿宋" w:hAnsi="仿宋" w:eastAsia="仿宋" w:cs="仿宋"/>
          <w:sz w:val="24"/>
          <w:highlight w:val="none"/>
          <w:lang w:eastAsia="zh-CN"/>
        </w:rPr>
        <w:t>；</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是否接受联合体磋商</w:t>
      </w:r>
      <w:r>
        <w:rPr>
          <w:rFonts w:hint="eastAsia" w:ascii="仿宋" w:hAnsi="仿宋" w:eastAsia="仿宋" w:cs="仿宋"/>
          <w:sz w:val="24"/>
          <w:highlight w:val="none"/>
        </w:rPr>
        <w:t>：见供应商须知前附表</w:t>
      </w:r>
      <w:r>
        <w:rPr>
          <w:rFonts w:hint="eastAsia" w:ascii="仿宋" w:hAnsi="仿宋" w:eastAsia="仿宋" w:cs="仿宋"/>
          <w:sz w:val="24"/>
          <w:highlight w:val="none"/>
          <w:lang w:eastAsia="zh-CN"/>
        </w:rPr>
        <w:t>。</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费用承担</w:t>
      </w:r>
    </w:p>
    <w:p>
      <w:pPr>
        <w:pageBreakBefore w:val="0"/>
        <w:kinsoku/>
        <w:overflowPunct/>
        <w:bidi w:val="0"/>
        <w:spacing w:afterAutospacing="0"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供应商应自行承担其编制与递交响应文件所涉及的一切费用不论磋商结果如何，采购代理机构对上述费用不负任何责任</w:t>
      </w:r>
      <w:r>
        <w:rPr>
          <w:rFonts w:hint="eastAsia" w:ascii="仿宋" w:hAnsi="仿宋" w:eastAsia="仿宋" w:cs="仿宋"/>
          <w:sz w:val="24"/>
          <w:highlight w:val="none"/>
          <w:lang w:val="zh-CN"/>
        </w:rPr>
        <w:t>。</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保密</w:t>
      </w:r>
    </w:p>
    <w:p>
      <w:pPr>
        <w:pageBreakBefore w:val="0"/>
        <w:kinsoku/>
        <w:overflowPunct/>
        <w:bidi w:val="0"/>
        <w:spacing w:afterAutospacing="0"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参与采购活动的当事人应对响应文件和响应文件中的商业秘密、技术秘密和个人隐私等保密，违者应对由此造成的后果承担法律责任</w:t>
      </w:r>
      <w:r>
        <w:rPr>
          <w:rFonts w:hint="eastAsia" w:ascii="仿宋" w:hAnsi="仿宋" w:eastAsia="仿宋" w:cs="仿宋"/>
          <w:sz w:val="24"/>
          <w:highlight w:val="none"/>
        </w:rPr>
        <w:t>。</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语言文字</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响应文件使用的语言为中文。专用术语使用外文的，应附有中文注释。</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响应文件中如附有外文资料，必须逐一对应翻译成中文并加盖供应商单位公章后附在相关外文资料后面，否则，供应商的响应文件将作为无效响应文件处理。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中翻译的中文资料与外文资料如果出现差异和矛盾时，以中文为准。但不能故意错误翻译，否则，供应商的响应文件将作为无效响应文件处理。必要时采购人可以要求供应商提供附有关证书的中文翻译文件或者与原版文件签章相一致的中文翻译文件。</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计量单位</w:t>
      </w:r>
    </w:p>
    <w:p>
      <w:pPr>
        <w:pageBreakBefore w:val="0"/>
        <w:kinsoku/>
        <w:overflowPunct/>
        <w:bidi w:val="0"/>
        <w:spacing w:afterAutospacing="0"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所有计量均采用中华人民共和国法定计量单位。</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踏勘现场</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供应商须知前附表规定组织踏勘现场的，采购人按供应商须知前附表规定的时间、地点组织供应商踏勘项目现场；供应商踏勘现场发生的费用自理；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除供应商的原因外，供应商自行负责在踏勘现场中所发生的人员伤亡和财产损失；</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sz w:val="24"/>
          <w:highlight w:val="none"/>
          <w:lang w:val="zh-CN" w:eastAsia="zh-CN"/>
        </w:rPr>
        <w:t>采购人向</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lang w:val="zh-CN" w:eastAsia="zh-CN"/>
        </w:rPr>
        <w:t>提供的有关现场的资料和数据，是采购人现有的能被</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lang w:val="zh-CN" w:eastAsia="zh-CN"/>
        </w:rPr>
        <w:t>利用的资料；采购人对</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lang w:val="zh-CN" w:eastAsia="zh-CN"/>
        </w:rPr>
        <w:t>由此所做出的推论、理解和结论不负责任</w:t>
      </w:r>
      <w:r>
        <w:rPr>
          <w:rFonts w:hint="eastAsia" w:ascii="仿宋" w:hAnsi="仿宋" w:eastAsia="仿宋" w:cs="仿宋"/>
          <w:sz w:val="24"/>
          <w:highlight w:val="none"/>
          <w:lang w:val="en-US" w:eastAsia="zh-CN"/>
        </w:rPr>
        <w:t>。</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lang w:val="zh-CN" w:eastAsia="zh-CN"/>
        </w:rPr>
        <w:t>转包与分包履约</w:t>
      </w:r>
    </w:p>
    <w:p>
      <w:pPr>
        <w:pStyle w:val="15"/>
        <w:pageBreakBefore w:val="0"/>
        <w:kinsoku/>
        <w:overflowPunct/>
        <w:bidi w:val="0"/>
        <w:spacing w:after="0" w:afterAutospacing="0" w:line="336"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见供应商须知前附表。</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磋商文件</w:t>
      </w:r>
    </w:p>
    <w:p>
      <w:pPr>
        <w:pageBreakBefore w:val="0"/>
        <w:numPr>
          <w:ilvl w:val="1"/>
          <w:numId w:val="11"/>
        </w:numPr>
        <w:tabs>
          <w:tab w:val="left" w:pos="840"/>
          <w:tab w:val="left" w:pos="1050"/>
        </w:tabs>
        <w:kinsoku/>
        <w:overflowPunct/>
        <w:bidi w:val="0"/>
        <w:spacing w:afterAutospacing="0" w:line="336" w:lineRule="auto"/>
        <w:ind w:left="10" w:leftChars="0" w:firstLine="387" w:firstLineChars="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rPr>
        <w:t>本项目磋商文件依据《中华人民共和国政府采购法》及《中华人民共和国政府采购法实施条例》等相关法律法规进行编写。</w:t>
      </w:r>
    </w:p>
    <w:p>
      <w:pPr>
        <w:pageBreakBefore w:val="0"/>
        <w:numPr>
          <w:ilvl w:val="1"/>
          <w:numId w:val="11"/>
        </w:numPr>
        <w:tabs>
          <w:tab w:val="left" w:pos="840"/>
          <w:tab w:val="left" w:pos="1050"/>
        </w:tabs>
        <w:kinsoku/>
        <w:overflowPunct/>
        <w:bidi w:val="0"/>
        <w:spacing w:afterAutospacing="0" w:line="336" w:lineRule="auto"/>
        <w:ind w:left="10" w:leftChars="0" w:firstLine="387" w:firstLineChars="0"/>
        <w:jc w:val="lef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eastAsia="zh-CN"/>
        </w:rPr>
        <w:t>落实政府采购政策需满足的资格要求：</w:t>
      </w:r>
    </w:p>
    <w:p>
      <w:pPr>
        <w:pageBreakBefore w:val="0"/>
        <w:numPr>
          <w:ilvl w:val="2"/>
          <w:numId w:val="11"/>
        </w:numPr>
        <w:tabs>
          <w:tab w:val="left" w:pos="840"/>
          <w:tab w:val="left" w:pos="1050"/>
          <w:tab w:val="left" w:pos="1260"/>
          <w:tab w:val="left" w:pos="1470"/>
          <w:tab w:val="left" w:pos="168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《财政部 国家发展改革委关于印发〈节能产品政府采购实施意见〉的通知》（财库〔2004〕185号）；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《环境标志产品政府采购实施的意见》（财库[2006]90号）；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《国务院办公厅关于建立政府强制采购节能产品制度的通知》（国办发〔2007〕51号）；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《财政部司法部关于政府采购支持监狱企业发展有关问题的通知》（财库〔2014〕68号）；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《财政部民政部中国残疾人联合会关于促进残疾人就业政府采购政策的通知》（财库〔2017〕141号）；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陕西省财政厅关于印发《陕西省中小企业政府采购信用融资办法》（陕财办采〔2018〕23号）；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《财政部 发展改革委 生态环境部 市场监管总局关于调整优化节能产品、环境标志产品政府采购执行机制的通知》（财库〔2019〕9号）；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《关于印发环境标志产品政府采购品目清单的通知》（财库〔2019〕18号）；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《关于印发节能产品政府采购品目清单的通知》（财库〔2019〕19号）；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《陕西省财政厅关于加快推进我省中小企业政府采购信用融资工作的通知》（陕财办采〔2020〕15号）；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《政府采购促进中小企业发展管理办法》（财库〔2020〕46号）；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《财政部 农业农村部 国家乡村振兴局关于运用政府采购政策支持乡村产业振兴的通知》（财库〔2021〕19号）；</w:t>
      </w:r>
    </w:p>
    <w:p>
      <w:pPr>
        <w:pageBreakBefore w:val="0"/>
        <w:numPr>
          <w:ilvl w:val="2"/>
          <w:numId w:val="11"/>
        </w:numPr>
        <w:tabs>
          <w:tab w:val="left" w:pos="840"/>
          <w:tab w:val="left" w:pos="1050"/>
        </w:tabs>
        <w:kinsoku/>
        <w:overflowPunct/>
        <w:bidi w:val="0"/>
        <w:spacing w:afterAutospacing="0" w:line="336" w:lineRule="auto"/>
        <w:ind w:left="430" w:leftChars="0" w:firstLine="387" w:firstLineChars="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其他需要落实的政府采购政策。</w:t>
      </w:r>
    </w:p>
    <w:p>
      <w:pPr>
        <w:pageBreakBefore w:val="0"/>
        <w:numPr>
          <w:ilvl w:val="1"/>
          <w:numId w:val="11"/>
        </w:numPr>
        <w:tabs>
          <w:tab w:val="left" w:pos="840"/>
          <w:tab w:val="left" w:pos="1050"/>
        </w:tabs>
        <w:kinsoku/>
        <w:overflowPunct/>
        <w:bidi w:val="0"/>
        <w:spacing w:afterAutospacing="0" w:line="336" w:lineRule="auto"/>
        <w:ind w:left="10" w:leftChars="0" w:firstLine="387" w:firstLineChars="0"/>
        <w:jc w:val="left"/>
        <w:rPr>
          <w:rFonts w:hint="eastAsia" w:ascii="仿宋" w:hAnsi="仿宋" w:eastAsia="仿宋" w:cs="仿宋"/>
          <w:b/>
          <w:bCs/>
          <w:sz w:val="24"/>
          <w:highlight w:val="none"/>
          <w:lang w:val="zh-CN" w:eastAsia="zh-CN"/>
        </w:rPr>
      </w:pPr>
      <w:r>
        <w:rPr>
          <w:rFonts w:hint="eastAsia" w:ascii="仿宋" w:hAnsi="仿宋" w:eastAsia="仿宋" w:cs="仿宋"/>
          <w:b/>
          <w:bCs/>
          <w:sz w:val="24"/>
          <w:highlight w:val="none"/>
          <w:lang w:val="zh-CN" w:eastAsia="zh-CN"/>
        </w:rPr>
        <w:t>投标企业政府采购政策</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rPr>
        <w:t>《政府采购促</w:t>
      </w:r>
      <w:r>
        <w:rPr>
          <w:rFonts w:hint="eastAsia" w:ascii="仿宋" w:hAnsi="仿宋" w:eastAsia="仿宋" w:cs="仿宋"/>
          <w:sz w:val="24"/>
          <w:highlight w:val="none"/>
          <w:lang w:val="zh-CN" w:eastAsia="zh-CN"/>
        </w:rPr>
        <w:t>进中小企业发展管理办法》（财库〔2020〕46号），按照文件要求提供相关证明资料。</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监狱和戒毒企业应符合《财政部司法部关于政府采购支持监狱企业发展有关问题的通知》--财库〔2014〕68号，并提供由省级以上监狱管理局、戒毒管理局(含新疆生产建设兵团)出具的属于监狱企业的证明。</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残疾人福利性单位应符合《财政部、民政部、中国残疾人联合会关于促进残疾人就业政府采购政策的通知》（财库[2017]141号）文件规定，并提供《残疾人福利性单位声明函》。</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残疾人福利性单位属于小型、微型企业的，不重复享受政策。</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eastAsia="zh-CN"/>
        </w:rPr>
        <w:t>投标供应商应如实</w:t>
      </w:r>
      <w:r>
        <w:rPr>
          <w:rFonts w:hint="eastAsia" w:ascii="仿宋" w:hAnsi="仿宋" w:eastAsia="仿宋" w:cs="仿宋"/>
          <w:sz w:val="24"/>
          <w:highlight w:val="none"/>
          <w:lang w:val="zh-CN"/>
        </w:rPr>
        <w:t>提供以上证明文件，如存在虚假应标，将取消其投标资格。</w:t>
      </w:r>
    </w:p>
    <w:p>
      <w:pPr>
        <w:pageBreakBefore w:val="0"/>
        <w:numPr>
          <w:ilvl w:val="1"/>
          <w:numId w:val="11"/>
        </w:numPr>
        <w:tabs>
          <w:tab w:val="left" w:pos="840"/>
          <w:tab w:val="left" w:pos="1050"/>
        </w:tabs>
        <w:kinsoku/>
        <w:overflowPunct/>
        <w:bidi w:val="0"/>
        <w:spacing w:afterAutospacing="0" w:line="336" w:lineRule="auto"/>
        <w:ind w:left="10" w:leftChars="0" w:firstLine="387" w:firstLineChars="0"/>
        <w:jc w:val="left"/>
        <w:rPr>
          <w:rFonts w:hint="eastAsia" w:ascii="仿宋" w:hAnsi="仿宋" w:eastAsia="仿宋" w:cs="仿宋"/>
          <w:b/>
          <w:bCs/>
          <w:sz w:val="24"/>
          <w:highlight w:val="none"/>
          <w:lang w:val="zh-CN" w:eastAsia="zh-CN"/>
        </w:rPr>
      </w:pPr>
      <w:r>
        <w:rPr>
          <w:rFonts w:hint="eastAsia" w:ascii="仿宋" w:hAnsi="仿宋" w:eastAsia="仿宋" w:cs="仿宋"/>
          <w:b/>
          <w:bCs/>
          <w:sz w:val="24"/>
          <w:highlight w:val="none"/>
          <w:lang w:val="zh-CN" w:eastAsia="zh-CN"/>
        </w:rPr>
        <w:t>投标产品政府采购政策</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rPr>
        <w:t>节能产品</w:t>
      </w:r>
      <w:r>
        <w:rPr>
          <w:rFonts w:hint="eastAsia" w:ascii="仿宋" w:hAnsi="仿宋" w:eastAsia="仿宋" w:cs="仿宋"/>
          <w:sz w:val="24"/>
          <w:highlight w:val="none"/>
          <w:lang w:val="zh-CN" w:eastAsia="zh-CN"/>
        </w:rPr>
        <w:t>根据《国务院办公厅关于建立政府强制采购节能产品制度的通知》（国办发〔２００７〕５１号）的规定，以中国政府采购网（http://www.ccgp.gov.cn/）公布的最新一期节能产品政府采购清单为准。</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环境标志产品根据《环境标志产品政府采购实施的意见》（财库[2006]90号）的规定，以中国政府采购网（http://www.ccgp.gov.cn/）公布的最新一期环境标志产品政府采购清单为准。</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计分明细表及属于清单内产品的证明资料的不给予计分。 </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eastAsia="zh-CN"/>
        </w:rPr>
        <w:t>若节能、环保、环境标</w:t>
      </w:r>
      <w:r>
        <w:rPr>
          <w:rFonts w:hint="eastAsia" w:ascii="仿宋" w:hAnsi="仿宋" w:eastAsia="仿宋" w:cs="仿宋"/>
          <w:sz w:val="24"/>
          <w:highlight w:val="none"/>
          <w:lang w:val="zh-CN"/>
        </w:rPr>
        <w:t>志清单内的产品仅是构成投标产品的部件、组件或零件的，则该投标产品不享受鼓励优惠政策。</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rPr>
        <w:t>同一标段的节</w:t>
      </w:r>
      <w:r>
        <w:rPr>
          <w:rFonts w:hint="eastAsia" w:ascii="仿宋" w:hAnsi="仿宋" w:eastAsia="仿宋" w:cs="仿宋"/>
          <w:sz w:val="24"/>
          <w:highlight w:val="none"/>
          <w:lang w:val="zh-CN" w:eastAsia="zh-CN"/>
        </w:rPr>
        <w:t>能、环保、环境标志产品部分计分只对属于清单内的非强制类产品进行计分，强制类产品不给予计分。 </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节能、环保、环境标志产品不重复计分；同时列入国家级清单和省级清单的产品不重复计分。</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获得上述认证的产品在投标时应提供有效证明材料。</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磋商文件的组成</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磋商文件包括下列内容：</w:t>
      </w:r>
    </w:p>
    <w:p>
      <w:pPr>
        <w:pageBreakBefore w:val="0"/>
        <w:numPr>
          <w:ilvl w:val="0"/>
          <w:numId w:val="12"/>
        </w:numPr>
        <w:tabs>
          <w:tab w:val="left" w:pos="315"/>
          <w:tab w:val="left" w:pos="784"/>
          <w:tab w:val="left" w:pos="966"/>
          <w:tab w:val="left" w:pos="1050"/>
        </w:tabs>
        <w:kinsoku/>
        <w:overflowPunct/>
        <w:bidi w:val="0"/>
        <w:spacing w:afterAutospacing="0" w:line="336" w:lineRule="auto"/>
        <w:ind w:firstLine="215"/>
        <w:rPr>
          <w:rFonts w:hint="eastAsia" w:ascii="仿宋" w:hAnsi="仿宋" w:eastAsia="仿宋" w:cs="仿宋"/>
          <w:sz w:val="24"/>
          <w:highlight w:val="none"/>
        </w:rPr>
      </w:pPr>
      <w:r>
        <w:rPr>
          <w:rFonts w:hint="eastAsia" w:ascii="仿宋" w:hAnsi="仿宋" w:eastAsia="仿宋" w:cs="仿宋"/>
          <w:sz w:val="24"/>
          <w:highlight w:val="none"/>
        </w:rPr>
        <w:t>竞争性磋商公告；</w:t>
      </w:r>
    </w:p>
    <w:p>
      <w:pPr>
        <w:pageBreakBefore w:val="0"/>
        <w:numPr>
          <w:ilvl w:val="0"/>
          <w:numId w:val="12"/>
        </w:numPr>
        <w:tabs>
          <w:tab w:val="left" w:pos="315"/>
          <w:tab w:val="left" w:pos="784"/>
          <w:tab w:val="left" w:pos="966"/>
          <w:tab w:val="left" w:pos="1050"/>
        </w:tabs>
        <w:kinsoku/>
        <w:overflowPunct/>
        <w:bidi w:val="0"/>
        <w:spacing w:afterAutospacing="0" w:line="336" w:lineRule="auto"/>
        <w:ind w:firstLine="215"/>
        <w:rPr>
          <w:rFonts w:hint="eastAsia" w:ascii="仿宋" w:hAnsi="仿宋" w:eastAsia="仿宋" w:cs="仿宋"/>
          <w:sz w:val="24"/>
          <w:highlight w:val="none"/>
        </w:rPr>
      </w:pPr>
      <w:r>
        <w:rPr>
          <w:rFonts w:hint="eastAsia" w:ascii="仿宋" w:hAnsi="仿宋" w:eastAsia="仿宋" w:cs="仿宋"/>
          <w:sz w:val="24"/>
          <w:highlight w:val="none"/>
        </w:rPr>
        <w:t>供应商须知；</w:t>
      </w:r>
    </w:p>
    <w:p>
      <w:pPr>
        <w:pageBreakBefore w:val="0"/>
        <w:numPr>
          <w:ilvl w:val="0"/>
          <w:numId w:val="12"/>
        </w:numPr>
        <w:tabs>
          <w:tab w:val="left" w:pos="315"/>
          <w:tab w:val="left" w:pos="784"/>
          <w:tab w:val="left" w:pos="966"/>
          <w:tab w:val="left" w:pos="1050"/>
        </w:tabs>
        <w:kinsoku/>
        <w:overflowPunct/>
        <w:bidi w:val="0"/>
        <w:spacing w:afterAutospacing="0" w:line="336" w:lineRule="auto"/>
        <w:ind w:firstLine="215"/>
        <w:rPr>
          <w:rFonts w:hint="eastAsia" w:ascii="仿宋" w:hAnsi="仿宋" w:eastAsia="仿宋" w:cs="仿宋"/>
          <w:sz w:val="24"/>
          <w:highlight w:val="none"/>
        </w:rPr>
      </w:pPr>
      <w:r>
        <w:rPr>
          <w:rFonts w:hint="eastAsia" w:ascii="仿宋" w:hAnsi="仿宋" w:eastAsia="仿宋" w:cs="仿宋"/>
          <w:sz w:val="24"/>
          <w:highlight w:val="none"/>
        </w:rPr>
        <w:t>合同条款及格式；</w:t>
      </w:r>
    </w:p>
    <w:p>
      <w:pPr>
        <w:pageBreakBefore w:val="0"/>
        <w:numPr>
          <w:ilvl w:val="0"/>
          <w:numId w:val="12"/>
        </w:numPr>
        <w:tabs>
          <w:tab w:val="left" w:pos="315"/>
          <w:tab w:val="left" w:pos="784"/>
          <w:tab w:val="left" w:pos="966"/>
          <w:tab w:val="left" w:pos="1050"/>
        </w:tabs>
        <w:kinsoku/>
        <w:overflowPunct/>
        <w:bidi w:val="0"/>
        <w:spacing w:afterAutospacing="0" w:line="336" w:lineRule="auto"/>
        <w:ind w:firstLine="215"/>
        <w:rPr>
          <w:rFonts w:hint="eastAsia" w:ascii="仿宋" w:hAnsi="仿宋" w:eastAsia="仿宋" w:cs="仿宋"/>
          <w:sz w:val="24"/>
          <w:highlight w:val="none"/>
        </w:rPr>
      </w:pP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内容</w:t>
      </w:r>
      <w:r>
        <w:rPr>
          <w:rFonts w:hint="eastAsia" w:ascii="仿宋" w:hAnsi="仿宋" w:eastAsia="仿宋" w:cs="仿宋"/>
          <w:sz w:val="24"/>
          <w:highlight w:val="none"/>
          <w:lang w:eastAsia="zh-CN"/>
        </w:rPr>
        <w:t>及商务要求</w:t>
      </w:r>
      <w:r>
        <w:rPr>
          <w:rFonts w:hint="eastAsia" w:ascii="仿宋" w:hAnsi="仿宋" w:eastAsia="仿宋" w:cs="仿宋"/>
          <w:sz w:val="24"/>
          <w:highlight w:val="none"/>
        </w:rPr>
        <w:t>；</w:t>
      </w:r>
    </w:p>
    <w:p>
      <w:pPr>
        <w:pageBreakBefore w:val="0"/>
        <w:numPr>
          <w:ilvl w:val="0"/>
          <w:numId w:val="12"/>
        </w:numPr>
        <w:tabs>
          <w:tab w:val="left" w:pos="315"/>
          <w:tab w:val="left" w:pos="784"/>
          <w:tab w:val="left" w:pos="966"/>
          <w:tab w:val="left" w:pos="1050"/>
        </w:tabs>
        <w:kinsoku/>
        <w:overflowPunct/>
        <w:bidi w:val="0"/>
        <w:spacing w:afterAutospacing="0" w:line="336" w:lineRule="auto"/>
        <w:ind w:firstLine="215"/>
        <w:rPr>
          <w:rFonts w:hint="eastAsia" w:ascii="仿宋" w:hAnsi="仿宋" w:eastAsia="仿宋" w:cs="仿宋"/>
          <w:sz w:val="24"/>
          <w:highlight w:val="none"/>
        </w:rPr>
      </w:pPr>
      <w:r>
        <w:rPr>
          <w:rFonts w:hint="eastAsia" w:ascii="仿宋" w:hAnsi="仿宋" w:eastAsia="仿宋" w:cs="仿宋"/>
          <w:sz w:val="24"/>
          <w:highlight w:val="none"/>
        </w:rPr>
        <w:t>评审办法及标准；</w:t>
      </w:r>
    </w:p>
    <w:p>
      <w:pPr>
        <w:pageBreakBefore w:val="0"/>
        <w:numPr>
          <w:ilvl w:val="0"/>
          <w:numId w:val="12"/>
        </w:numPr>
        <w:tabs>
          <w:tab w:val="left" w:pos="315"/>
          <w:tab w:val="left" w:pos="784"/>
          <w:tab w:val="left" w:pos="966"/>
          <w:tab w:val="left" w:pos="1050"/>
        </w:tabs>
        <w:kinsoku/>
        <w:overflowPunct/>
        <w:bidi w:val="0"/>
        <w:spacing w:afterAutospacing="0" w:line="336" w:lineRule="auto"/>
        <w:ind w:firstLine="215"/>
        <w:rPr>
          <w:rFonts w:hint="eastAsia" w:ascii="仿宋" w:hAnsi="仿宋" w:eastAsia="仿宋" w:cs="仿宋"/>
          <w:sz w:val="24"/>
          <w:highlight w:val="none"/>
        </w:rPr>
      </w:pPr>
      <w:r>
        <w:rPr>
          <w:rFonts w:hint="eastAsia" w:ascii="仿宋" w:hAnsi="仿宋" w:eastAsia="仿宋" w:cs="仿宋"/>
          <w:sz w:val="24"/>
          <w:highlight w:val="none"/>
        </w:rPr>
        <w:t>响应文件格式。</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磋商文件的澄清及修改</w:t>
      </w:r>
    </w:p>
    <w:p>
      <w:pPr>
        <w:pageBreakBefore w:val="0"/>
        <w:numPr>
          <w:ilvl w:val="2"/>
          <w:numId w:val="11"/>
        </w:numPr>
        <w:tabs>
          <w:tab w:val="left" w:pos="840"/>
          <w:tab w:val="left" w:pos="1050"/>
        </w:tabs>
        <w:kinsoku/>
        <w:overflowPunct/>
        <w:bidi w:val="0"/>
        <w:spacing w:afterAutospacing="0" w:line="336" w:lineRule="auto"/>
        <w:ind w:left="420"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rPr>
        <w:t>采购人、采购代理机构可以对已发出的响应文件进行必要的澄清或者修改，澄清或修改内容做为磋商文件的组成部分，澄清或修改的内容可能影响响应文件编制的，采购人、采购代理机构应当在响应文件递交截止时间至少5日前，以书面形式通知所有购买磋商文件的供应商；不足5日的，采购人、采购代理机构应当顺延递交响应文件的截止时间；</w:t>
      </w:r>
    </w:p>
    <w:p>
      <w:pPr>
        <w:pageBreakBefore w:val="0"/>
        <w:numPr>
          <w:ilvl w:val="2"/>
          <w:numId w:val="11"/>
        </w:numPr>
        <w:tabs>
          <w:tab w:val="left" w:pos="840"/>
          <w:tab w:val="left" w:pos="1050"/>
        </w:tabs>
        <w:kinsoku/>
        <w:overflowPunct/>
        <w:bidi w:val="0"/>
        <w:spacing w:afterAutospacing="0" w:line="336" w:lineRule="auto"/>
        <w:ind w:left="420"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3日前按磋商文件中的联系方式，以书面形式向采购代理机构提出，采购代理机构应当在2日内，以书面形式予以答复（答复中不包括问题的来源），或认为有必要召开答疑会。超过该时间收到的询问或需要澄清的内容，采购代理机构有权不予答复；</w:t>
      </w:r>
    </w:p>
    <w:p>
      <w:pPr>
        <w:pageBreakBefore w:val="0"/>
        <w:numPr>
          <w:ilvl w:val="2"/>
          <w:numId w:val="11"/>
        </w:numPr>
        <w:tabs>
          <w:tab w:val="left" w:pos="840"/>
          <w:tab w:val="left" w:pos="1050"/>
        </w:tabs>
        <w:kinsoku/>
        <w:overflowPunct/>
        <w:bidi w:val="0"/>
        <w:spacing w:afterAutospacing="0" w:line="336" w:lineRule="auto"/>
        <w:ind w:left="420"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在提交首次响应文件截止时间前，采购代理机构可以视采购具体情况，延长提交首次响应文件截止时间，并将变更时间以书面形式通知所有获取了磋商文件的供应商；</w:t>
      </w:r>
    </w:p>
    <w:p>
      <w:pPr>
        <w:pageBreakBefore w:val="0"/>
        <w:numPr>
          <w:ilvl w:val="2"/>
          <w:numId w:val="11"/>
        </w:numPr>
        <w:tabs>
          <w:tab w:val="left" w:pos="840"/>
          <w:tab w:val="left" w:pos="1050"/>
        </w:tabs>
        <w:kinsoku/>
        <w:overflowPunct/>
        <w:bidi w:val="0"/>
        <w:spacing w:afterAutospacing="0" w:line="336" w:lineRule="auto"/>
        <w:ind w:left="420"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当磋商文件的澄清、答疑、修改或补充通知与磋商文件就同一内容表述不一致时，以最后发出的书面文件内容为准。</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响应文件</w:t>
      </w:r>
    </w:p>
    <w:p>
      <w:pPr>
        <w:pageBreakBefore w:val="0"/>
        <w:numPr>
          <w:ilvl w:val="1"/>
          <w:numId w:val="11"/>
        </w:numPr>
        <w:tabs>
          <w:tab w:val="left" w:pos="0"/>
          <w:tab w:val="left" w:pos="1050"/>
        </w:tabs>
        <w:kinsoku/>
        <w:overflowPunct/>
        <w:bidi w:val="0"/>
        <w:spacing w:afterAutospacing="0" w:line="336" w:lineRule="auto"/>
        <w:ind w:left="10" w:firstLine="387"/>
        <w:jc w:val="left"/>
        <w:rPr>
          <w:rFonts w:hint="eastAsia" w:ascii="仿宋" w:hAnsi="仿宋" w:eastAsia="仿宋" w:cs="仿宋"/>
          <w:b/>
          <w:sz w:val="24"/>
          <w:highlight w:val="none"/>
          <w:lang w:val="zh-CN"/>
        </w:rPr>
      </w:pPr>
      <w:r>
        <w:rPr>
          <w:rFonts w:hint="eastAsia" w:ascii="仿宋" w:hAnsi="仿宋" w:eastAsia="仿宋" w:cs="仿宋"/>
          <w:b/>
          <w:sz w:val="24"/>
          <w:highlight w:val="none"/>
        </w:rPr>
        <w:t>磋商响应文件的组成</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供应商须按磋商文件的要求编写响应文件，对磋商文件提出的要求和条件做出实质性响应。</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电子文档</w:t>
      </w:r>
    </w:p>
    <w:p>
      <w:pPr>
        <w:pageBreakBefore w:val="0"/>
        <w:tabs>
          <w:tab w:val="left" w:pos="840"/>
          <w:tab w:val="left" w:pos="1050"/>
        </w:tabs>
        <w:kinsoku/>
        <w:overflowPunct/>
        <w:bidi w:val="0"/>
        <w:spacing w:afterAutospacing="0"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电子文档应包含所有响应文件内容。</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是否允许递交备选方案：</w:t>
      </w:r>
      <w:r>
        <w:rPr>
          <w:rFonts w:hint="eastAsia" w:ascii="仿宋" w:hAnsi="仿宋" w:eastAsia="仿宋" w:cs="仿宋"/>
          <w:b w:val="0"/>
          <w:bCs/>
          <w:kern w:val="2"/>
          <w:sz w:val="24"/>
          <w:szCs w:val="24"/>
          <w:highlight w:val="none"/>
          <w:lang w:val="en-US" w:eastAsia="zh-CN" w:bidi="ar-SA"/>
        </w:rPr>
        <w:t>见供应商须知前附表。</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磋商报价</w:t>
      </w:r>
    </w:p>
    <w:p>
      <w:pPr>
        <w:pageBreakBefore w:val="0"/>
        <w:numPr>
          <w:ilvl w:val="2"/>
          <w:numId w:val="11"/>
        </w:numPr>
        <w:tabs>
          <w:tab w:val="left" w:pos="840"/>
          <w:tab w:val="left" w:pos="1050"/>
        </w:tabs>
        <w:kinsoku/>
        <w:overflowPunct/>
        <w:bidi w:val="0"/>
        <w:spacing w:afterAutospacing="0" w:line="336" w:lineRule="auto"/>
        <w:ind w:left="0" w:firstLine="422" w:firstLineChars="175"/>
        <w:jc w:val="left"/>
        <w:rPr>
          <w:rFonts w:hint="eastAsia" w:ascii="仿宋" w:hAnsi="仿宋" w:eastAsia="仿宋" w:cs="仿宋"/>
          <w:sz w:val="24"/>
          <w:highlight w:val="none"/>
          <w:lang w:val="zh-CN"/>
        </w:rPr>
      </w:pPr>
      <w:r>
        <w:rPr>
          <w:rFonts w:hint="eastAsia" w:ascii="仿宋" w:hAnsi="仿宋" w:eastAsia="仿宋" w:cs="仿宋"/>
          <w:b/>
          <w:bCs/>
          <w:sz w:val="24"/>
          <w:highlight w:val="none"/>
          <w:lang w:val="zh-CN"/>
        </w:rPr>
        <w:t>本项目</w:t>
      </w:r>
      <w:r>
        <w:rPr>
          <w:rFonts w:hint="eastAsia" w:ascii="仿宋" w:hAnsi="仿宋" w:eastAsia="仿宋" w:cs="仿宋"/>
          <w:b/>
          <w:bCs/>
          <w:sz w:val="24"/>
          <w:highlight w:val="none"/>
          <w:lang w:val="zh-CN" w:eastAsia="zh-CN"/>
        </w:rPr>
        <w:t>磋商单价指</w:t>
      </w:r>
      <w:r>
        <w:rPr>
          <w:rFonts w:hint="eastAsia" w:ascii="仿宋" w:hAnsi="仿宋" w:eastAsia="仿宋" w:cs="仿宋"/>
          <w:b/>
          <w:bCs/>
          <w:sz w:val="24"/>
          <w:highlight w:val="none"/>
          <w:lang w:val="zh-CN"/>
        </w:rPr>
        <w:t>固定</w:t>
      </w:r>
      <w:r>
        <w:rPr>
          <w:rFonts w:hint="eastAsia" w:ascii="仿宋" w:hAnsi="仿宋" w:eastAsia="仿宋" w:cs="仿宋"/>
          <w:b/>
          <w:bCs/>
          <w:sz w:val="24"/>
          <w:highlight w:val="none"/>
          <w:lang w:val="zh-CN" w:eastAsia="zh-CN"/>
        </w:rPr>
        <w:t>综合单价，后期根据实际人数，据实结算，</w:t>
      </w:r>
      <w:r>
        <w:rPr>
          <w:rFonts w:hint="eastAsia" w:ascii="仿宋" w:hAnsi="仿宋" w:eastAsia="仿宋" w:cs="仿宋"/>
          <w:b/>
          <w:bCs/>
          <w:sz w:val="24"/>
          <w:highlight w:val="none"/>
          <w:lang w:val="zh-CN"/>
        </w:rPr>
        <w:t>投标人</w:t>
      </w:r>
      <w:r>
        <w:rPr>
          <w:rFonts w:hint="eastAsia" w:ascii="仿宋" w:hAnsi="仿宋" w:eastAsia="仿宋" w:cs="仿宋"/>
          <w:b/>
          <w:bCs/>
          <w:sz w:val="24"/>
          <w:highlight w:val="none"/>
          <w:lang w:val="zh-CN" w:eastAsia="zh-CN"/>
        </w:rPr>
        <w:t>按项目要求进行报价</w:t>
      </w:r>
      <w:r>
        <w:rPr>
          <w:rFonts w:hint="eastAsia" w:ascii="仿宋" w:hAnsi="仿宋" w:eastAsia="仿宋" w:cs="仿宋"/>
          <w:b/>
          <w:bCs/>
          <w:sz w:val="24"/>
          <w:highlight w:val="none"/>
          <w:lang w:val="zh-CN"/>
        </w:rPr>
        <w:t>并承担风险。</w:t>
      </w:r>
      <w:r>
        <w:rPr>
          <w:rFonts w:hint="eastAsia" w:ascii="仿宋" w:hAnsi="仿宋" w:eastAsia="仿宋" w:cs="仿宋"/>
          <w:sz w:val="24"/>
          <w:highlight w:val="none"/>
          <w:lang w:val="zh-CN"/>
        </w:rPr>
        <w:t>各</w:t>
      </w:r>
      <w:r>
        <w:rPr>
          <w:rFonts w:hint="eastAsia" w:ascii="仿宋" w:hAnsi="仿宋" w:eastAsia="仿宋" w:cs="仿宋"/>
          <w:sz w:val="24"/>
          <w:highlight w:val="none"/>
          <w:lang w:val="zh-CN" w:eastAsia="zh-CN"/>
        </w:rPr>
        <w:t>供应商</w:t>
      </w:r>
      <w:r>
        <w:rPr>
          <w:rFonts w:hint="eastAsia" w:ascii="仿宋" w:hAnsi="仿宋" w:eastAsia="仿宋" w:cs="仿宋"/>
          <w:sz w:val="24"/>
          <w:highlight w:val="none"/>
          <w:lang w:val="zh-CN"/>
        </w:rPr>
        <w:t>的报价应是完成</w:t>
      </w:r>
      <w:r>
        <w:rPr>
          <w:rFonts w:hint="eastAsia" w:ascii="仿宋" w:hAnsi="仿宋" w:eastAsia="仿宋" w:cs="仿宋"/>
          <w:sz w:val="24"/>
          <w:highlight w:val="none"/>
          <w:lang w:val="zh-CN" w:eastAsia="zh-CN"/>
        </w:rPr>
        <w:t>服务</w:t>
      </w:r>
      <w:r>
        <w:rPr>
          <w:rFonts w:hint="eastAsia" w:ascii="仿宋" w:hAnsi="仿宋" w:eastAsia="仿宋" w:cs="仿宋"/>
          <w:sz w:val="24"/>
          <w:highlight w:val="none"/>
          <w:lang w:val="zh-CN"/>
        </w:rPr>
        <w:t>内容所需的所有费用（含税）的</w:t>
      </w:r>
      <w:r>
        <w:rPr>
          <w:rFonts w:hint="eastAsia" w:ascii="仿宋" w:hAnsi="仿宋" w:eastAsia="仿宋" w:cs="仿宋"/>
          <w:sz w:val="24"/>
          <w:highlight w:val="none"/>
          <w:lang w:val="zh-CN" w:eastAsia="zh-CN"/>
        </w:rPr>
        <w:t>综合单价</w:t>
      </w:r>
      <w:r>
        <w:rPr>
          <w:rFonts w:hint="eastAsia" w:ascii="仿宋" w:hAnsi="仿宋" w:eastAsia="仿宋" w:cs="仿宋"/>
          <w:sz w:val="24"/>
          <w:highlight w:val="none"/>
          <w:lang w:val="zh-CN"/>
        </w:rPr>
        <w:t>，不得以任何理由予以重复，任何选择性报价招标人将不予接受</w:t>
      </w:r>
      <w:r>
        <w:rPr>
          <w:rFonts w:hint="eastAsia" w:ascii="仿宋" w:hAnsi="仿宋" w:eastAsia="仿宋" w:cs="仿宋"/>
          <w:sz w:val="24"/>
          <w:highlight w:val="none"/>
          <w:lang w:val="zh-CN" w:eastAsia="zh-CN"/>
        </w:rPr>
        <w:t>。</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供应商所报的磋商单价在合同执行过程中是固定不变的，不得以任何理由予以变更。任何包含价格调整要求的磋商，将被认为是非响应性磋商而予以拒绝。</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供应商应当按照磋商文件确定的采购范围内全部工作内容进行磋商报价，并充分了解本项目的总体情况以及影响磋商报价的其他要素；</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本项目将根据磋商的具体情况来确定磋商轮次，最终一轮磋商报价为最后报价；</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的各轮次磋商报价不得超过供应商须知前附表规定的预算金额，否则，作为不实质性响应文件，按无效响应文件处理；供应商须知前附表设定了最高限价的，供应商的各轮次磋商报价也不得超过最高限价，否则，作为不实质性响应响应文件，按无效响应文件处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供应商首次提交的响应文件，应按“</w:t>
      </w:r>
      <w:r>
        <w:rPr>
          <w:rFonts w:hint="eastAsia" w:ascii="仿宋" w:hAnsi="仿宋" w:eastAsia="仿宋" w:cs="仿宋"/>
          <w:sz w:val="24"/>
          <w:highlight w:val="none"/>
          <w:lang w:val="zh-CN" w:eastAsia="zh-CN"/>
        </w:rPr>
        <w:t>首次</w:t>
      </w:r>
      <w:r>
        <w:rPr>
          <w:rFonts w:hint="eastAsia" w:ascii="仿宋" w:hAnsi="仿宋" w:eastAsia="仿宋" w:cs="仿宋"/>
          <w:sz w:val="24"/>
          <w:highlight w:val="none"/>
          <w:lang w:val="zh-CN"/>
        </w:rPr>
        <w:t>磋商报价表”的内容和格式要求自主报价。填写的项目编号、项目名称必须与磋商文件提供的一致；磋商报价中不得包含磋商文件要求以外的内容，否则，在评审时不予核减；</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其余轮次的报价，由供应商法定代表人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或者委托代理人签字确认。</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在合同执行过程中，最后报价是固定不变的，不得以任何理由予以变更。任何有选择或可调整的报价将不予接受，并按无效响应文件处理；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成交后供应商不得擅自改变服务范围内容、保险期限；</w:t>
      </w:r>
    </w:p>
    <w:p>
      <w:pPr>
        <w:pageBreakBefore w:val="0"/>
        <w:numPr>
          <w:ilvl w:val="2"/>
          <w:numId w:val="11"/>
        </w:numPr>
        <w:tabs>
          <w:tab w:val="left" w:pos="840"/>
          <w:tab w:val="left" w:pos="1050"/>
          <w:tab w:val="left" w:pos="126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rPr>
        <w:t>最低报价不作为中标的唯一依据；评标委员会认为</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的报价明显低于其他通过符合性审查</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不能证明其报价合理性的，评标委员会应当将其作为无效投标处理。</w:t>
      </w:r>
    </w:p>
    <w:p>
      <w:pPr>
        <w:pageBreakBefore w:val="0"/>
        <w:numPr>
          <w:ilvl w:val="2"/>
          <w:numId w:val="11"/>
        </w:numPr>
        <w:tabs>
          <w:tab w:val="left" w:pos="840"/>
          <w:tab w:val="left" w:pos="1050"/>
          <w:tab w:val="left" w:pos="1260"/>
          <w:tab w:val="left" w:pos="147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rPr>
        <w:t>报价货币：人民币；单位：元。</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磋商有效期</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有效期见供应商须知前附表。在此期间响应文件对供应商具有法律约束力，从供应商须知前附表规定的递交首次响应文件截止时间之日起计算。响应文件中必须载明磋商有效期，载明的磋商有效期可以长于磋商文件规定的期限，但不得短于磋商文件规定的期限，否则，属于非实质性响应，将按无效响应文件处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出现特殊情况需要延长磋商有效期的，采购代理机构或采购人可于磋商有效期满之前，以书面形式通知所有供应商延长磋商有效期。供应商应予书面答复，同意延长的，不得要求或被允许修改其响应文件；供应商拒绝延长的，其响应文件失效；</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在磋商有效期内，供应商撤销响应文件的，应承担磋商文件和法律规定的责任；</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成交供应商的磋商有效期自动延长至合同终止为止。</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响应文件的编写原则和要求</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响应文件应按第六部分“响应文件格式”进行编写，如有必要，可以增加附页，作为响应文件的组成部分；</w:t>
      </w:r>
    </w:p>
    <w:p>
      <w:pPr>
        <w:pageBreakBefore w:val="0"/>
        <w:numPr>
          <w:ilvl w:val="2"/>
          <w:numId w:val="11"/>
        </w:numPr>
        <w:tabs>
          <w:tab w:val="left" w:pos="840"/>
          <w:tab w:val="left" w:pos="1050"/>
        </w:tabs>
        <w:kinsoku/>
        <w:overflowPunct/>
        <w:bidi w:val="0"/>
        <w:spacing w:afterAutospacing="0" w:line="336" w:lineRule="auto"/>
        <w:ind w:left="848" w:hanging="428"/>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真实性原则</w:t>
      </w:r>
    </w:p>
    <w:p>
      <w:pPr>
        <w:pageBreakBefore w:val="0"/>
        <w:tabs>
          <w:tab w:val="left" w:pos="630"/>
          <w:tab w:val="left" w:pos="840"/>
          <w:tab w:val="left" w:pos="1050"/>
          <w:tab w:val="left" w:pos="1260"/>
          <w:tab w:val="left" w:pos="1470"/>
        </w:tabs>
        <w:kinsoku/>
        <w:overflowPunct/>
        <w:bidi w:val="0"/>
        <w:spacing w:afterAutospacing="0" w:line="336" w:lineRule="auto"/>
        <w:ind w:left="368" w:left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rPr>
        <w:t>1</w:t>
      </w:r>
      <w:r>
        <w:rPr>
          <w:rFonts w:hint="eastAsia" w:ascii="仿宋" w:hAnsi="仿宋" w:eastAsia="仿宋" w:cs="仿宋"/>
          <w:sz w:val="24"/>
          <w:highlight w:val="none"/>
          <w:lang w:val="zh-CN"/>
        </w:rPr>
        <w:t>）供应商应保证所提供的响应文件和所有资料的真实性、准确性和完整性；</w:t>
      </w:r>
    </w:p>
    <w:p>
      <w:pPr>
        <w:pageBreakBefore w:val="0"/>
        <w:tabs>
          <w:tab w:val="left" w:pos="210"/>
          <w:tab w:val="left" w:pos="840"/>
          <w:tab w:val="left" w:pos="1050"/>
        </w:tabs>
        <w:kinsoku/>
        <w:overflowPunct/>
        <w:bidi w:val="0"/>
        <w:spacing w:afterAutospacing="0" w:line="336" w:lineRule="auto"/>
        <w:ind w:left="8" w:firstLine="360" w:firstLineChars="15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rPr>
        <w:t>2</w:t>
      </w:r>
      <w:r>
        <w:rPr>
          <w:rFonts w:hint="eastAsia" w:ascii="仿宋" w:hAnsi="仿宋" w:eastAsia="仿宋" w:cs="仿宋"/>
          <w:sz w:val="24"/>
          <w:highlight w:val="none"/>
          <w:lang w:val="zh-CN"/>
        </w:rPr>
        <w:t>）供应商被认定为在本次磋商中提供不真实材料的，无论其材料是否重要，采购人均有权拒绝，并取消其磋商或成交资格，供应商需承担相应的法律后果。</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响应文件应当对磋商文件中，关于保险期限、竞争性磋商有效期等实质性内容作出响应；</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响应文件的正本应使用打印或不易褪色的蓝黑墨水笔书写，在规定的位置必须由法定代表人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或授权代表签名（或盖章），并加盖单位公章；响应文件每页均应盖单位公章。副本可复印，除供应商对错误处必须修改外，全套响应文件应无涂改或行间插字和增删。如有修改，修改处应由法定代表人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签字并加盖供应商单位公章；</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响应文件的正本与副本应分别装订成册，具体装订要求见供应商须知前附表规定。</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响应文件的装订、密封和标记</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响应文件的份数：见供应商须知前附表；</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响应文件装订要求：见供应商须知前附表；</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响应文件的密封要求：见供应商须知前附表；</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响应文件签字和盖章要求：见供应商须知前附表；</w:t>
      </w:r>
    </w:p>
    <w:p>
      <w:pPr>
        <w:pageBreakBefore w:val="0"/>
        <w:numPr>
          <w:ilvl w:val="2"/>
          <w:numId w:val="11"/>
        </w:numPr>
        <w:tabs>
          <w:tab w:val="left" w:pos="840"/>
          <w:tab w:val="left" w:pos="1050"/>
        </w:tabs>
        <w:kinsoku/>
        <w:overflowPunct/>
        <w:bidi w:val="0"/>
        <w:spacing w:afterAutospacing="0" w:line="336" w:lineRule="auto"/>
        <w:ind w:left="420" w:firstLine="0"/>
        <w:jc w:val="left"/>
        <w:rPr>
          <w:rFonts w:hint="eastAsia" w:ascii="仿宋" w:hAnsi="仿宋" w:eastAsia="仿宋" w:cs="仿宋"/>
          <w:sz w:val="24"/>
          <w:highlight w:val="none"/>
        </w:rPr>
      </w:pPr>
      <w:r>
        <w:rPr>
          <w:rFonts w:hint="eastAsia" w:ascii="仿宋" w:hAnsi="仿宋" w:eastAsia="仿宋" w:cs="仿宋"/>
          <w:sz w:val="24"/>
          <w:highlight w:val="none"/>
        </w:rPr>
        <w:t>磋商响应文件密封袋上的标记格式：</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9060" w:type="dxa"/>
            <w:noWrap w:val="0"/>
            <w:vAlign w:val="top"/>
          </w:tcPr>
          <w:p>
            <w:pPr>
              <w:pageBreakBefore w:val="0"/>
              <w:kinsoku/>
              <w:overflowPunct/>
              <w:bidi w:val="0"/>
              <w:spacing w:line="336" w:lineRule="auto"/>
              <w:ind w:firstLine="480" w:firstLineChars="200"/>
              <w:rPr>
                <w:rFonts w:hint="eastAsia" w:ascii="仿宋" w:hAnsi="仿宋" w:eastAsia="仿宋" w:cs="仿宋"/>
                <w:bCs/>
                <w:color w:val="000000"/>
                <w:position w:val="4"/>
                <w:sz w:val="24"/>
                <w:highlight w:val="none"/>
              </w:rPr>
            </w:pPr>
          </w:p>
          <w:p>
            <w:pPr>
              <w:pageBreakBefore w:val="0"/>
              <w:kinsoku/>
              <w:overflowPunct/>
              <w:bidi w:val="0"/>
              <w:spacing w:line="336" w:lineRule="auto"/>
              <w:ind w:firstLine="480" w:firstLineChars="200"/>
              <w:rPr>
                <w:rFonts w:hint="eastAsia" w:ascii="仿宋" w:hAnsi="仿宋" w:eastAsia="仿宋" w:cs="仿宋"/>
                <w:bCs/>
                <w:color w:val="000000"/>
                <w:position w:val="4"/>
                <w:sz w:val="24"/>
                <w:highlight w:val="none"/>
              </w:rPr>
            </w:pPr>
            <w:r>
              <w:rPr>
                <w:rFonts w:hint="eastAsia" w:ascii="仿宋" w:hAnsi="仿宋" w:eastAsia="仿宋" w:cs="仿宋"/>
                <w:bCs/>
                <w:color w:val="000000"/>
                <w:position w:val="4"/>
                <w:sz w:val="24"/>
                <w:highlight w:val="none"/>
              </w:rPr>
              <w:t>项目名称：</w:t>
            </w:r>
            <w:r>
              <w:rPr>
                <w:rFonts w:hint="eastAsia" w:ascii="仿宋" w:hAnsi="仿宋" w:eastAsia="仿宋" w:cs="仿宋"/>
                <w:bCs/>
                <w:color w:val="000000"/>
                <w:position w:val="4"/>
                <w:sz w:val="24"/>
                <w:highlight w:val="none"/>
                <w:u w:val="single" w:color="auto"/>
              </w:rPr>
              <w:t xml:space="preserve">                                </w:t>
            </w:r>
            <w:r>
              <w:rPr>
                <w:rFonts w:hint="eastAsia" w:ascii="仿宋" w:hAnsi="仿宋" w:eastAsia="仿宋" w:cs="仿宋"/>
                <w:bCs/>
                <w:color w:val="000000"/>
                <w:position w:val="4"/>
                <w:sz w:val="24"/>
                <w:highlight w:val="none"/>
                <w:u w:val="single" w:color="auto"/>
                <w:lang w:val="en-US" w:eastAsia="zh-CN"/>
              </w:rPr>
              <w:t xml:space="preserve">    </w:t>
            </w:r>
            <w:r>
              <w:rPr>
                <w:rFonts w:hint="eastAsia" w:ascii="仿宋" w:hAnsi="仿宋" w:eastAsia="仿宋" w:cs="仿宋"/>
                <w:bCs/>
                <w:color w:val="000000"/>
                <w:position w:val="4"/>
                <w:sz w:val="24"/>
                <w:highlight w:val="none"/>
                <w:u w:val="single" w:color="auto"/>
              </w:rPr>
              <w:t xml:space="preserve">   </w:t>
            </w:r>
            <w:r>
              <w:rPr>
                <w:rFonts w:hint="eastAsia" w:ascii="仿宋" w:hAnsi="仿宋" w:eastAsia="仿宋" w:cs="仿宋"/>
                <w:bCs/>
                <w:color w:val="000000"/>
                <w:position w:val="4"/>
                <w:sz w:val="24"/>
                <w:highlight w:val="none"/>
                <w:u w:val="single"/>
              </w:rPr>
              <w:t xml:space="preserve"> </w:t>
            </w:r>
          </w:p>
          <w:p>
            <w:pPr>
              <w:pageBreakBefore w:val="0"/>
              <w:kinsoku/>
              <w:overflowPunct/>
              <w:bidi w:val="0"/>
              <w:spacing w:line="336" w:lineRule="auto"/>
              <w:ind w:firstLine="480" w:firstLineChars="200"/>
              <w:rPr>
                <w:rFonts w:hint="eastAsia" w:ascii="仿宋" w:hAnsi="仿宋" w:eastAsia="仿宋" w:cs="仿宋"/>
                <w:bCs/>
                <w:color w:val="000000"/>
                <w:position w:val="4"/>
                <w:sz w:val="24"/>
                <w:highlight w:val="none"/>
              </w:rPr>
            </w:pPr>
            <w:r>
              <w:rPr>
                <w:rFonts w:hint="eastAsia" w:ascii="仿宋" w:hAnsi="仿宋" w:eastAsia="仿宋" w:cs="仿宋"/>
                <w:bCs/>
                <w:color w:val="000000"/>
                <w:position w:val="4"/>
                <w:sz w:val="24"/>
                <w:highlight w:val="none"/>
              </w:rPr>
              <w:t>项目编号</w:t>
            </w:r>
            <w:r>
              <w:rPr>
                <w:rFonts w:hint="eastAsia" w:ascii="仿宋" w:hAnsi="仿宋" w:eastAsia="仿宋" w:cs="仿宋"/>
                <w:bCs/>
                <w:color w:val="000000"/>
                <w:position w:val="4"/>
                <w:sz w:val="24"/>
                <w:highlight w:val="none"/>
                <w:u w:val="none"/>
              </w:rPr>
              <w:t>：</w:t>
            </w:r>
            <w:r>
              <w:rPr>
                <w:rFonts w:hint="eastAsia" w:ascii="仿宋" w:hAnsi="仿宋" w:eastAsia="仿宋" w:cs="仿宋"/>
                <w:bCs/>
                <w:color w:val="000000"/>
                <w:position w:val="4"/>
                <w:sz w:val="24"/>
                <w:highlight w:val="none"/>
                <w:u w:val="single"/>
                <w:lang w:val="en-US" w:eastAsia="zh-CN"/>
              </w:rPr>
              <w:t xml:space="preserve">         </w:t>
            </w:r>
            <w:r>
              <w:rPr>
                <w:rFonts w:hint="eastAsia" w:ascii="仿宋" w:hAnsi="仿宋" w:eastAsia="仿宋" w:cs="仿宋"/>
                <w:bCs/>
                <w:color w:val="000000"/>
                <w:position w:val="4"/>
                <w:sz w:val="24"/>
                <w:highlight w:val="none"/>
                <w:u w:val="single"/>
              </w:rPr>
              <w:t xml:space="preserve">                         </w:t>
            </w:r>
            <w:r>
              <w:rPr>
                <w:rFonts w:hint="eastAsia" w:ascii="仿宋" w:hAnsi="仿宋" w:eastAsia="仿宋" w:cs="仿宋"/>
                <w:bCs/>
                <w:color w:val="000000"/>
                <w:position w:val="4"/>
                <w:sz w:val="24"/>
                <w:highlight w:val="none"/>
                <w:u w:val="single"/>
                <w:lang w:val="en-US" w:eastAsia="zh-CN"/>
              </w:rPr>
              <w:t xml:space="preserve">    </w:t>
            </w:r>
            <w:r>
              <w:rPr>
                <w:rFonts w:hint="eastAsia" w:ascii="仿宋" w:hAnsi="仿宋" w:eastAsia="仿宋" w:cs="仿宋"/>
                <w:bCs/>
                <w:color w:val="000000"/>
                <w:position w:val="4"/>
                <w:sz w:val="24"/>
                <w:highlight w:val="none"/>
                <w:u w:val="single"/>
              </w:rPr>
              <w:t xml:space="preserve">  </w:t>
            </w:r>
          </w:p>
          <w:p>
            <w:pPr>
              <w:pageBreakBefore w:val="0"/>
              <w:kinsoku/>
              <w:overflowPunct/>
              <w:bidi w:val="0"/>
              <w:spacing w:line="336" w:lineRule="auto"/>
              <w:ind w:firstLine="480" w:firstLineChars="200"/>
              <w:rPr>
                <w:rFonts w:hint="eastAsia" w:ascii="仿宋" w:hAnsi="仿宋" w:eastAsia="仿宋" w:cs="仿宋"/>
                <w:bCs/>
                <w:color w:val="000000"/>
                <w:position w:val="4"/>
                <w:sz w:val="24"/>
                <w:highlight w:val="none"/>
                <w:u w:val="single"/>
              </w:rPr>
            </w:pPr>
            <w:r>
              <w:rPr>
                <w:rFonts w:hint="eastAsia" w:ascii="仿宋" w:hAnsi="仿宋" w:eastAsia="仿宋" w:cs="仿宋"/>
                <w:bCs/>
                <w:color w:val="000000"/>
                <w:position w:val="4"/>
                <w:sz w:val="24"/>
                <w:highlight w:val="none"/>
              </w:rPr>
              <w:t>供应商名称：</w:t>
            </w:r>
            <w:r>
              <w:rPr>
                <w:rFonts w:hint="eastAsia" w:ascii="仿宋" w:hAnsi="仿宋" w:eastAsia="仿宋" w:cs="仿宋"/>
                <w:bCs/>
                <w:color w:val="000000"/>
                <w:position w:val="4"/>
                <w:sz w:val="24"/>
                <w:highlight w:val="none"/>
                <w:u w:val="single"/>
                <w:lang w:val="en-US" w:eastAsia="zh-CN"/>
              </w:rPr>
              <w:t xml:space="preserve">           </w:t>
            </w:r>
            <w:r>
              <w:rPr>
                <w:rFonts w:hint="eastAsia" w:ascii="仿宋" w:hAnsi="仿宋" w:eastAsia="仿宋" w:cs="仿宋"/>
                <w:bCs/>
                <w:color w:val="000000"/>
                <w:position w:val="4"/>
                <w:sz w:val="24"/>
                <w:highlight w:val="none"/>
                <w:u w:val="single"/>
              </w:rPr>
              <w:t>（加盖供应商公章）</w:t>
            </w:r>
            <w:r>
              <w:rPr>
                <w:rFonts w:hint="eastAsia" w:ascii="仿宋" w:hAnsi="仿宋" w:eastAsia="仿宋" w:cs="仿宋"/>
                <w:bCs/>
                <w:color w:val="000000"/>
                <w:position w:val="4"/>
                <w:sz w:val="24"/>
                <w:highlight w:val="none"/>
                <w:u w:val="single"/>
                <w:lang w:val="en-US" w:eastAsia="zh-CN"/>
              </w:rPr>
              <w:t xml:space="preserve">       </w:t>
            </w:r>
            <w:r>
              <w:rPr>
                <w:rFonts w:hint="eastAsia" w:ascii="仿宋" w:hAnsi="仿宋" w:eastAsia="仿宋" w:cs="仿宋"/>
                <w:bCs/>
                <w:color w:val="000000"/>
                <w:position w:val="4"/>
                <w:sz w:val="24"/>
                <w:highlight w:val="none"/>
                <w:u w:val="single"/>
              </w:rPr>
              <w:t xml:space="preserve">  </w:t>
            </w:r>
          </w:p>
          <w:p>
            <w:pPr>
              <w:pageBreakBefore w:val="0"/>
              <w:kinsoku/>
              <w:overflowPunct/>
              <w:bidi w:val="0"/>
              <w:spacing w:line="336" w:lineRule="auto"/>
              <w:ind w:firstLine="480" w:firstLineChars="200"/>
              <w:rPr>
                <w:rFonts w:hint="default" w:ascii="仿宋" w:hAnsi="仿宋" w:eastAsia="仿宋" w:cs="仿宋"/>
                <w:bCs/>
                <w:color w:val="000000"/>
                <w:position w:val="4"/>
                <w:sz w:val="24"/>
                <w:highlight w:val="none"/>
                <w:u w:val="single"/>
                <w:lang w:val="en-US" w:eastAsia="zh-CN"/>
              </w:rPr>
            </w:pPr>
            <w:r>
              <w:rPr>
                <w:rFonts w:hint="eastAsia" w:ascii="仿宋" w:hAnsi="仿宋" w:eastAsia="仿宋" w:cs="仿宋"/>
                <w:bCs/>
                <w:color w:val="000000"/>
                <w:position w:val="4"/>
                <w:sz w:val="24"/>
                <w:highlight w:val="none"/>
                <w:lang w:val="zh-CN"/>
              </w:rPr>
              <w:t>法定代表人</w:t>
            </w:r>
            <w:r>
              <w:rPr>
                <w:rFonts w:hint="eastAsia" w:ascii="仿宋" w:hAnsi="仿宋" w:eastAsia="仿宋" w:cs="仿宋"/>
                <w:bCs/>
                <w:color w:val="000000"/>
                <w:position w:val="4"/>
                <w:sz w:val="24"/>
                <w:highlight w:val="none"/>
                <w:lang w:val="en-US" w:eastAsia="zh-CN"/>
              </w:rPr>
              <w:t>/负责人</w:t>
            </w:r>
            <w:r>
              <w:rPr>
                <w:rFonts w:hint="eastAsia" w:ascii="仿宋" w:hAnsi="仿宋" w:eastAsia="仿宋" w:cs="仿宋"/>
                <w:bCs/>
                <w:color w:val="000000"/>
                <w:position w:val="4"/>
                <w:sz w:val="24"/>
                <w:highlight w:val="none"/>
                <w:lang w:val="zh-CN"/>
              </w:rPr>
              <w:t>或委托代理人</w:t>
            </w:r>
            <w:r>
              <w:rPr>
                <w:rFonts w:hint="eastAsia" w:ascii="仿宋" w:hAnsi="仿宋" w:eastAsia="仿宋" w:cs="仿宋"/>
                <w:bCs/>
                <w:color w:val="000000"/>
                <w:position w:val="4"/>
                <w:sz w:val="24"/>
                <w:highlight w:val="none"/>
                <w:u w:val="none"/>
                <w:lang w:val="zh-CN"/>
              </w:rPr>
              <w:t>：</w:t>
            </w:r>
            <w:r>
              <w:rPr>
                <w:rFonts w:hint="eastAsia" w:ascii="仿宋" w:hAnsi="仿宋" w:eastAsia="仿宋" w:cs="仿宋"/>
                <w:bCs/>
                <w:color w:val="000000"/>
                <w:position w:val="4"/>
                <w:sz w:val="24"/>
                <w:highlight w:val="none"/>
                <w:u w:val="single"/>
                <w:lang w:val="zh-CN"/>
              </w:rPr>
              <w:t xml:space="preserve">  </w:t>
            </w:r>
            <w:r>
              <w:rPr>
                <w:rFonts w:hint="eastAsia" w:ascii="仿宋" w:hAnsi="仿宋" w:eastAsia="仿宋" w:cs="仿宋"/>
                <w:bCs/>
                <w:color w:val="000000"/>
                <w:position w:val="4"/>
                <w:sz w:val="24"/>
                <w:highlight w:val="none"/>
                <w:u w:val="single"/>
                <w:lang w:val="en-US" w:eastAsia="zh-CN"/>
              </w:rPr>
              <w:t xml:space="preserve">       </w:t>
            </w:r>
            <w:r>
              <w:rPr>
                <w:rFonts w:hint="eastAsia" w:ascii="仿宋" w:hAnsi="仿宋" w:eastAsia="仿宋" w:cs="仿宋"/>
                <w:bCs/>
                <w:color w:val="000000"/>
                <w:position w:val="4"/>
                <w:sz w:val="24"/>
                <w:highlight w:val="none"/>
                <w:u w:val="single"/>
                <w:lang w:val="zh-CN"/>
              </w:rPr>
              <w:t>（</w:t>
            </w:r>
            <w:r>
              <w:rPr>
                <w:rFonts w:hint="eastAsia" w:ascii="仿宋" w:hAnsi="仿宋" w:eastAsia="仿宋" w:cs="仿宋"/>
                <w:bCs/>
                <w:color w:val="000000"/>
                <w:position w:val="4"/>
                <w:sz w:val="24"/>
                <w:highlight w:val="none"/>
                <w:u w:val="single"/>
                <w:lang w:val="en-US" w:eastAsia="zh-CN"/>
              </w:rPr>
              <w:t>印章</w:t>
            </w:r>
            <w:r>
              <w:rPr>
                <w:rFonts w:hint="eastAsia" w:ascii="仿宋" w:hAnsi="仿宋" w:eastAsia="仿宋" w:cs="仿宋"/>
                <w:bCs/>
                <w:color w:val="000000"/>
                <w:position w:val="4"/>
                <w:sz w:val="24"/>
                <w:highlight w:val="none"/>
                <w:u w:val="single"/>
                <w:lang w:val="zh-CN"/>
              </w:rPr>
              <w:t>）</w:t>
            </w:r>
            <w:r>
              <w:rPr>
                <w:rFonts w:hint="eastAsia" w:ascii="仿宋" w:hAnsi="仿宋" w:eastAsia="仿宋" w:cs="仿宋"/>
                <w:bCs/>
                <w:color w:val="000000"/>
                <w:position w:val="4"/>
                <w:sz w:val="24"/>
                <w:highlight w:val="none"/>
                <w:u w:val="single"/>
                <w:lang w:val="en-US" w:eastAsia="zh-CN"/>
              </w:rPr>
              <w:t xml:space="preserve">         </w:t>
            </w:r>
          </w:p>
          <w:p>
            <w:pPr>
              <w:pageBreakBefore w:val="0"/>
              <w:kinsoku/>
              <w:overflowPunct/>
              <w:bidi w:val="0"/>
              <w:spacing w:afterAutospacing="0" w:line="336" w:lineRule="auto"/>
              <w:ind w:firstLine="480" w:firstLineChars="200"/>
              <w:rPr>
                <w:rFonts w:hint="eastAsia" w:ascii="仿宋" w:hAnsi="仿宋" w:eastAsia="仿宋" w:cs="仿宋"/>
                <w:color w:val="000000"/>
                <w:position w:val="4"/>
                <w:sz w:val="24"/>
                <w:highlight w:val="none"/>
              </w:rPr>
            </w:pPr>
            <w:r>
              <w:rPr>
                <w:rFonts w:hint="eastAsia" w:ascii="仿宋" w:hAnsi="仿宋" w:eastAsia="仿宋" w:cs="仿宋"/>
                <w:bCs/>
                <w:color w:val="000000"/>
                <w:position w:val="4"/>
                <w:sz w:val="24"/>
                <w:highlight w:val="none"/>
              </w:rPr>
              <w:t>响应文件在   年   月   日   时（注：规定的开标日期和时间）前不得启</w:t>
            </w:r>
            <w:r>
              <w:rPr>
                <w:rFonts w:hint="eastAsia" w:ascii="仿宋" w:hAnsi="仿宋" w:eastAsia="仿宋" w:cs="仿宋"/>
                <w:color w:val="000000"/>
                <w:position w:val="4"/>
                <w:sz w:val="24"/>
                <w:highlight w:val="none"/>
              </w:rPr>
              <w:t>封</w:t>
            </w:r>
          </w:p>
        </w:tc>
      </w:tr>
    </w:tbl>
    <w:p>
      <w:pPr>
        <w:pStyle w:val="15"/>
        <w:pageBreakBefore w:val="0"/>
        <w:kinsoku/>
        <w:overflowPunct/>
        <w:bidi w:val="0"/>
        <w:spacing w:after="0" w:afterAutospacing="0" w:line="336" w:lineRule="auto"/>
        <w:rPr>
          <w:rFonts w:hint="eastAsia" w:ascii="仿宋" w:hAnsi="仿宋" w:eastAsia="仿宋" w:cs="仿宋"/>
          <w:highlight w:val="none"/>
        </w:rPr>
      </w:pP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
        </w:rPr>
        <w:t>如果供应商未按上述要求密封及加写标记的磋商响应文件、误投或过早启封的磋商响应文件，采购代理机构将拒绝接收，并退回投标单位。采购代理机构对磋商响应文件的误投和提前启封概不负责</w:t>
      </w:r>
      <w:r>
        <w:rPr>
          <w:rFonts w:hint="eastAsia" w:ascii="仿宋" w:hAnsi="仿宋" w:eastAsia="仿宋" w:cs="仿宋"/>
          <w:sz w:val="24"/>
          <w:highlight w:val="none"/>
        </w:rPr>
        <w:t>。</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响应文件的递交</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rPr>
        <w:t>供应商应在供应商须知前附表规定的竞争性磋商截止时间前递交响应文件；</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lang w:eastAsia="zh-CN"/>
        </w:rPr>
        <w:t>递交</w:t>
      </w:r>
      <w:r>
        <w:rPr>
          <w:rFonts w:hint="eastAsia" w:ascii="仿宋" w:hAnsi="仿宋" w:eastAsia="仿宋" w:cs="仿宋"/>
          <w:sz w:val="24"/>
          <w:highlight w:val="none"/>
        </w:rPr>
        <w:t>磋商</w:t>
      </w:r>
      <w:r>
        <w:rPr>
          <w:rFonts w:hint="eastAsia" w:ascii="仿宋" w:hAnsi="仿宋" w:eastAsia="仿宋" w:cs="仿宋"/>
          <w:sz w:val="24"/>
          <w:highlight w:val="none"/>
          <w:lang w:eastAsia="zh-CN"/>
        </w:rPr>
        <w:t>文件时</w:t>
      </w:r>
      <w:r>
        <w:rPr>
          <w:rFonts w:hint="eastAsia" w:ascii="仿宋" w:hAnsi="仿宋" w:eastAsia="仿宋" w:cs="仿宋"/>
          <w:sz w:val="24"/>
          <w:highlight w:val="none"/>
        </w:rPr>
        <w:t>应携带的原件：见供应商须知前附表；</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递交磋商响应文件时间和地址</w:t>
      </w:r>
      <w:r>
        <w:rPr>
          <w:rFonts w:hint="eastAsia" w:ascii="仿宋" w:hAnsi="仿宋" w:eastAsia="仿宋" w:cs="仿宋"/>
          <w:sz w:val="24"/>
          <w:highlight w:val="none"/>
        </w:rPr>
        <w:t>：见供应商须知前附表；</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rPr>
        <w:t>是否退还响应文件：见供应商须知前附表；</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rPr>
        <w:t>除供应商须知前附表另有规定外，供应商所递交的响应文件不予退还</w:t>
      </w:r>
      <w:r>
        <w:rPr>
          <w:rFonts w:hint="eastAsia" w:ascii="仿宋" w:hAnsi="仿宋" w:eastAsia="仿宋" w:cs="仿宋"/>
          <w:sz w:val="24"/>
          <w:highlight w:val="none"/>
          <w:lang w:eastAsia="zh-CN"/>
        </w:rPr>
        <w:t>；</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逾期送达或者未送达指定地点的响应文件，采购人不予受理</w:t>
      </w:r>
      <w:r>
        <w:rPr>
          <w:rFonts w:hint="eastAsia" w:ascii="仿宋" w:hAnsi="仿宋" w:eastAsia="仿宋" w:cs="仿宋"/>
          <w:sz w:val="24"/>
          <w:highlight w:val="none"/>
        </w:rPr>
        <w:t>。</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响应文件的修改与撤回</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rPr>
        <w:t>在供应商须知前附表规定的竞争性磋商截止时间前，供应商可以修改或撤回已递交的响应文件，但应以书面形式通知采购代理机构。修改的内容为响应文件的组成部分；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lang w:val="zh-CN"/>
        </w:rPr>
        <w:t>在提交响应文件截止时间之后，供应商不得对其提交的响应文件做任何补充、修改或者撤销响应文件</w:t>
      </w:r>
      <w:r>
        <w:rPr>
          <w:rFonts w:hint="eastAsia" w:ascii="仿宋" w:hAnsi="仿宋" w:eastAsia="仿宋" w:cs="仿宋"/>
          <w:sz w:val="24"/>
          <w:highlight w:val="none"/>
        </w:rPr>
        <w:t>。</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rPr>
      </w:pPr>
      <w:bookmarkStart w:id="15" w:name="_Toc31336"/>
      <w:r>
        <w:rPr>
          <w:rFonts w:hint="eastAsia" w:ascii="仿宋" w:hAnsi="仿宋" w:eastAsia="仿宋" w:cs="仿宋"/>
          <w:b/>
          <w:bCs/>
          <w:sz w:val="24"/>
          <w:highlight w:val="none"/>
        </w:rPr>
        <w:t>磋商程序及原则</w:t>
      </w:r>
      <w:bookmarkEnd w:id="15"/>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磋商小组的组成</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磋商小组由有关技术、经济等方面的专家组成。磋商小组成员人数见供应商须知前附表；</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磋商小组成员到位后，推荐一名评审专家担任磋商小组组长，并由磋商小组组长牵头组织本项目磋商工作。采购人代表，不得担任磋商小组组长；</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磋商小组成员有下列情形之一的，应当回避：</w:t>
      </w:r>
    </w:p>
    <w:p>
      <w:pPr>
        <w:pageBreakBefore w:val="0"/>
        <w:numPr>
          <w:ilvl w:val="0"/>
          <w:numId w:val="13"/>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采购人或供应商的主要负责人的近亲属；</w:t>
      </w:r>
    </w:p>
    <w:p>
      <w:pPr>
        <w:pageBreakBefore w:val="0"/>
        <w:numPr>
          <w:ilvl w:val="0"/>
          <w:numId w:val="13"/>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与供应商有经济利益关系，可能影响对响应文件公正评审的；</w:t>
      </w:r>
    </w:p>
    <w:p>
      <w:pPr>
        <w:pageBreakBefore w:val="0"/>
        <w:numPr>
          <w:ilvl w:val="0"/>
          <w:numId w:val="13"/>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曾因在招标、评审以及其他与招标投标有关活动中从事违法行为而受过行政处罚或刑事处罚的。</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采购代理机构应当将变更、重新组建磋商小组的情况予以记录，并随采购文件一并存档；</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磋商小组成员名单在成交结果公告前，应当保密；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磋商小组及其成员，在磋商中不得有下列行为：</w:t>
      </w:r>
    </w:p>
    <w:p>
      <w:pPr>
        <w:pageBreakBefore w:val="0"/>
        <w:numPr>
          <w:ilvl w:val="0"/>
          <w:numId w:val="14"/>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确定参与磋商至磋商结束前私自接触供应商；</w:t>
      </w:r>
    </w:p>
    <w:p>
      <w:pPr>
        <w:pageBreakBefore w:val="0"/>
        <w:numPr>
          <w:ilvl w:val="0"/>
          <w:numId w:val="14"/>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接受供应商提出的与响应文件不一致的澄清和说明；</w:t>
      </w:r>
    </w:p>
    <w:p>
      <w:pPr>
        <w:pageBreakBefore w:val="0"/>
        <w:numPr>
          <w:ilvl w:val="0"/>
          <w:numId w:val="14"/>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征询采购人的倾向性意见；</w:t>
      </w:r>
    </w:p>
    <w:p>
      <w:pPr>
        <w:pageBreakBefore w:val="0"/>
        <w:numPr>
          <w:ilvl w:val="0"/>
          <w:numId w:val="14"/>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对主观评审因素协商评分；</w:t>
      </w:r>
    </w:p>
    <w:p>
      <w:pPr>
        <w:pageBreakBefore w:val="0"/>
        <w:numPr>
          <w:ilvl w:val="0"/>
          <w:numId w:val="14"/>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对客观评审因素评分不一致；</w:t>
      </w:r>
    </w:p>
    <w:p>
      <w:pPr>
        <w:pageBreakBefore w:val="0"/>
        <w:numPr>
          <w:ilvl w:val="0"/>
          <w:numId w:val="14"/>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在磋商过程中擅离职守，影响磋商程序正常进行的；</w:t>
      </w:r>
    </w:p>
    <w:p>
      <w:pPr>
        <w:pageBreakBefore w:val="0"/>
        <w:numPr>
          <w:ilvl w:val="0"/>
          <w:numId w:val="14"/>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记录、复制或带走任何评审资料；</w:t>
      </w:r>
    </w:p>
    <w:p>
      <w:pPr>
        <w:pageBreakBefore w:val="0"/>
        <w:numPr>
          <w:ilvl w:val="0"/>
          <w:numId w:val="14"/>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其他不遵守评审纪律的行为。</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磋商小组成员有前款第一至四项行为之一的，其评审意见无效，并不得获取评审劳务报酬和报销异地评审差旅费。</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开启响应文件程序</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根据财政部《政府采购竞争性磋商采购方式管理暂行办法》（财库[2014]214号）第五条和《陕西省财政厅关于政府采购有关问题的通知》（陕财办采资[2016]53号）文件第六条规定。</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开启响应文件由采购代理机构主持。主持人按照磋商文件规定的时间开启响应文件，并按下列程序进行（但不限于）：</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由工作人员开启录音录像设备；</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介绍本项目基本情况；</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宣布本次磋商会议工作纪律；</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介绍参加本次磋商会议的领导及来宾；</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宣布</w:t>
      </w:r>
      <w:r>
        <w:rPr>
          <w:rFonts w:hint="eastAsia" w:ascii="仿宋" w:hAnsi="仿宋" w:eastAsia="仿宋" w:cs="仿宋"/>
          <w:sz w:val="24"/>
          <w:highlight w:val="none"/>
          <w:lang w:val="en-US" w:eastAsia="zh-CN"/>
        </w:rPr>
        <w:t>磋商小组的组成</w:t>
      </w:r>
      <w:r>
        <w:rPr>
          <w:rFonts w:hint="eastAsia" w:ascii="仿宋" w:hAnsi="仿宋" w:eastAsia="仿宋" w:cs="仿宋"/>
          <w:sz w:val="24"/>
          <w:highlight w:val="none"/>
          <w:lang w:val="zh-CN"/>
        </w:rPr>
        <w:t>；</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介绍参加本次磋商会议的供应商名单</w:t>
      </w:r>
      <w:r>
        <w:rPr>
          <w:rFonts w:hint="eastAsia" w:ascii="仿宋" w:hAnsi="仿宋" w:eastAsia="仿宋" w:cs="仿宋"/>
          <w:sz w:val="24"/>
          <w:highlight w:val="none"/>
          <w:lang w:val="zh-CN" w:eastAsia="zh-CN"/>
        </w:rPr>
        <w:t>；</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宣布本次会议工作人员名单</w:t>
      </w:r>
      <w:r>
        <w:rPr>
          <w:rFonts w:hint="eastAsia" w:ascii="仿宋" w:hAnsi="仿宋" w:eastAsia="仿宋" w:cs="仿宋"/>
          <w:sz w:val="24"/>
          <w:highlight w:val="none"/>
          <w:lang w:val="zh-CN"/>
        </w:rPr>
        <w:t>；</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由采购人、采购代理机构及供应商代表共同签署《拒绝商业贿赂承诺书》;</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集中查验磋商响应文件密封情况</w:t>
      </w:r>
      <w:r>
        <w:rPr>
          <w:rFonts w:hint="eastAsia" w:ascii="仿宋" w:hAnsi="仿宋" w:eastAsia="仿宋" w:cs="仿宋"/>
          <w:sz w:val="24"/>
          <w:highlight w:val="none"/>
          <w:lang w:val="zh-CN" w:eastAsia="zh-CN"/>
        </w:rPr>
        <w:t>；</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磋商响应文件开启</w:t>
      </w:r>
      <w:r>
        <w:rPr>
          <w:rFonts w:hint="eastAsia" w:ascii="仿宋" w:hAnsi="仿宋" w:eastAsia="仿宋" w:cs="仿宋"/>
          <w:sz w:val="24"/>
          <w:highlight w:val="none"/>
          <w:lang w:val="zh-CN" w:eastAsia="zh-CN"/>
        </w:rPr>
        <w:t>；</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由监标人宣读监标词</w:t>
      </w:r>
      <w:r>
        <w:rPr>
          <w:rFonts w:hint="eastAsia" w:ascii="仿宋" w:hAnsi="仿宋" w:eastAsia="仿宋" w:cs="仿宋"/>
          <w:sz w:val="24"/>
          <w:highlight w:val="none"/>
          <w:lang w:val="zh-CN" w:eastAsia="zh-CN"/>
        </w:rPr>
        <w:t>；</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开标过程确认</w:t>
      </w:r>
      <w:r>
        <w:rPr>
          <w:rFonts w:hint="eastAsia" w:ascii="仿宋" w:hAnsi="仿宋" w:eastAsia="仿宋" w:cs="仿宋"/>
          <w:sz w:val="24"/>
          <w:highlight w:val="none"/>
          <w:lang w:val="zh-CN" w:eastAsia="zh-CN"/>
        </w:rPr>
        <w:t>；</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进入评标阶段</w:t>
      </w:r>
      <w:r>
        <w:rPr>
          <w:rFonts w:hint="eastAsia" w:ascii="仿宋" w:hAnsi="仿宋" w:eastAsia="仿宋" w:cs="仿宋"/>
          <w:sz w:val="24"/>
          <w:highlight w:val="none"/>
          <w:lang w:val="zh-CN" w:eastAsia="zh-CN"/>
        </w:rPr>
        <w:t>；</w:t>
      </w:r>
    </w:p>
    <w:p>
      <w:pPr>
        <w:pageBreakBefore w:val="0"/>
        <w:numPr>
          <w:ilvl w:val="0"/>
          <w:numId w:val="15"/>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开启响应文件结束。</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所有提交了响应文件的供应商在退场后，不要远离会场并保持通讯设备的畅通，以方便后续磋商和在评审过程中磋商小组要求供应商对响应文件的必要澄清；</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检查响应文件密封情况是指，由供应商或者其推选的代表检查其自己提交的响应文件的密封情况，经检查无误后，签字确认；</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rPr>
      </w:pPr>
      <w:r>
        <w:rPr>
          <w:rFonts w:hint="eastAsia" w:ascii="仿宋" w:hAnsi="仿宋" w:eastAsia="仿宋" w:cs="仿宋"/>
          <w:sz w:val="24"/>
          <w:highlight w:val="none"/>
          <w:lang w:val="zh-CN"/>
        </w:rPr>
        <w:t>供应商认为采购人、采购代理机构相关工作人员有需要回避情形的，应当场提出询问或者回避申请。采购人、采购代理机构对供应商提出的询问或者回避申请应当及时处理，并制作记录。</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磋商原则</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“客观、公正、审慎”为本次磋商的基本原则，磋商小组按照这一原则的要求，公正、平等地对待各供应商。同时，在磋商中恪守以下原则：</w:t>
      </w:r>
    </w:p>
    <w:p>
      <w:pPr>
        <w:pageBreakBefore w:val="0"/>
        <w:numPr>
          <w:ilvl w:val="0"/>
          <w:numId w:val="16"/>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统一性原则：磋商小组将按照统一的磋商原则和方法，用统一标准进行评审；</w:t>
      </w:r>
    </w:p>
    <w:p>
      <w:pPr>
        <w:pageBreakBefore w:val="0"/>
        <w:numPr>
          <w:ilvl w:val="0"/>
          <w:numId w:val="16"/>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pPr>
        <w:pageBreakBefore w:val="0"/>
        <w:numPr>
          <w:ilvl w:val="0"/>
          <w:numId w:val="16"/>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物有所值原则：通过首轮的磋商报价，激发供应商展开竞争，进一步优化方案，并使报价符合预期目标；</w:t>
      </w:r>
    </w:p>
    <w:p>
      <w:pPr>
        <w:pageBreakBefore w:val="0"/>
        <w:numPr>
          <w:ilvl w:val="0"/>
          <w:numId w:val="16"/>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客观性原则：磋商小组将严格按照响应文件要求，对供应商的响应文件进行认真评审；磋商小组对响应文件的评审仅依据响应文件本身，而不依据响应文件以外的任何因素；</w:t>
      </w:r>
    </w:p>
    <w:p>
      <w:pPr>
        <w:pageBreakBefore w:val="0"/>
        <w:numPr>
          <w:ilvl w:val="0"/>
          <w:numId w:val="16"/>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保密性原则：采购代理机构应当采取必要的措施，保证评审在严格保密情况下进行；</w:t>
      </w:r>
    </w:p>
    <w:p>
      <w:pPr>
        <w:pageBreakBefore w:val="0"/>
        <w:numPr>
          <w:ilvl w:val="0"/>
          <w:numId w:val="16"/>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综合性原则:磋商小组将综合分析、评审供应商的各项指标，而不以单项指标的优劣评定出成交供应商。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磋商小组有权对整个磋商和评审过程中出现的所有问题，可根据《中华人民共和国政府采购法》及实施条例和《政府采购竞争性磋商采购方式管理暂行办法》等相关规定进行处理；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根据磋商文件第五部分“评审办法及标准”规定的方法、评审因素和标准，在与单一供应商进行反复磋商的基础上，对其响应文件进行评审。第五部分“评审办法及标准”没有规定的方法、评审因素和标准，不作为评审依据。</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磋商小组负责具体磋商事务，并独立履行下列职责：</w:t>
      </w:r>
    </w:p>
    <w:p>
      <w:pPr>
        <w:pageBreakBefore w:val="0"/>
        <w:numPr>
          <w:ilvl w:val="0"/>
          <w:numId w:val="17"/>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审查、评价响应文件是否符合响应文件的实质性要求；</w:t>
      </w:r>
    </w:p>
    <w:p>
      <w:pPr>
        <w:pageBreakBefore w:val="0"/>
        <w:numPr>
          <w:ilvl w:val="0"/>
          <w:numId w:val="17"/>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要求供应商对响应文件有关事项作出澄清或者说明；</w:t>
      </w:r>
    </w:p>
    <w:p>
      <w:pPr>
        <w:pageBreakBefore w:val="0"/>
        <w:numPr>
          <w:ilvl w:val="0"/>
          <w:numId w:val="17"/>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对响应文件进行比较和评价；</w:t>
      </w:r>
    </w:p>
    <w:p>
      <w:pPr>
        <w:pageBreakBefore w:val="0"/>
        <w:numPr>
          <w:ilvl w:val="0"/>
          <w:numId w:val="17"/>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推荐成交候选人名单，或者根据采购人委托直接确定成交供应商；</w:t>
      </w:r>
    </w:p>
    <w:p>
      <w:pPr>
        <w:pageBreakBefore w:val="0"/>
        <w:numPr>
          <w:ilvl w:val="0"/>
          <w:numId w:val="17"/>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向采购人、采购代理机构或者有关部门报告非法干预磋商工作的行为。</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磋商小组成员应当履行下列义务：</w:t>
      </w:r>
    </w:p>
    <w:p>
      <w:pPr>
        <w:pageBreakBefore w:val="0"/>
        <w:numPr>
          <w:ilvl w:val="0"/>
          <w:numId w:val="18"/>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遵纪守法，客观、公正、廉洁地履行职责；</w:t>
      </w:r>
    </w:p>
    <w:p>
      <w:pPr>
        <w:pageBreakBefore w:val="0"/>
        <w:numPr>
          <w:ilvl w:val="0"/>
          <w:numId w:val="18"/>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根据采购文件的规定独立进行评审，对个人的评审意见承担法律责任；</w:t>
      </w:r>
    </w:p>
    <w:p>
      <w:pPr>
        <w:pageBreakBefore w:val="0"/>
        <w:numPr>
          <w:ilvl w:val="0"/>
          <w:numId w:val="18"/>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参与评审报告的起草；</w:t>
      </w:r>
    </w:p>
    <w:p>
      <w:pPr>
        <w:pageBreakBefore w:val="0"/>
        <w:numPr>
          <w:ilvl w:val="0"/>
          <w:numId w:val="18"/>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配合采购人、采购代理机构答复供应商提出的质疑；</w:t>
      </w:r>
    </w:p>
    <w:p>
      <w:pPr>
        <w:pageBreakBefore w:val="0"/>
        <w:numPr>
          <w:ilvl w:val="0"/>
          <w:numId w:val="18"/>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配合财政部门的投诉处理和监督检查工作。</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采购代理机构负责组织磋商工作并履行下列职责：</w:t>
      </w:r>
    </w:p>
    <w:p>
      <w:pPr>
        <w:pageBreakBefore w:val="0"/>
        <w:numPr>
          <w:ilvl w:val="0"/>
          <w:numId w:val="19"/>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核对评审专家身份，对评审专家在政府采购活动中的职责履行情况予以记录，并及时将有关违法违规行为向财政部门报告；</w:t>
      </w:r>
    </w:p>
    <w:p>
      <w:pPr>
        <w:pageBreakBefore w:val="0"/>
        <w:numPr>
          <w:ilvl w:val="0"/>
          <w:numId w:val="19"/>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组织磋商小组成员推选磋商小组组长，采购人代表不得担任组长；</w:t>
      </w:r>
    </w:p>
    <w:p>
      <w:pPr>
        <w:pageBreakBefore w:val="0"/>
        <w:numPr>
          <w:ilvl w:val="0"/>
          <w:numId w:val="19"/>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在磋商期间采取必要的通讯管理措施，保证磋商活动不受外界干扰；</w:t>
      </w:r>
    </w:p>
    <w:p>
      <w:pPr>
        <w:pageBreakBefore w:val="0"/>
        <w:numPr>
          <w:ilvl w:val="0"/>
          <w:numId w:val="19"/>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根据磋商小组的要求介绍政府采购相关政策法规、响应文件；</w:t>
      </w:r>
    </w:p>
    <w:p>
      <w:pPr>
        <w:pageBreakBefore w:val="0"/>
        <w:numPr>
          <w:ilvl w:val="0"/>
          <w:numId w:val="19"/>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维护磋商秩序，监督磋商小组依照磋商文件规定的磋商程序、评审方法和标准进行独立评审，对采购人代表、磋商小组成员的倾向性言论或违法违规行为及时制止和纠正；</w:t>
      </w:r>
    </w:p>
    <w:p>
      <w:pPr>
        <w:pageBreakBefore w:val="0"/>
        <w:numPr>
          <w:ilvl w:val="0"/>
          <w:numId w:val="19"/>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处理与磋商有关的其他事项。</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磋商过程的保密</w:t>
      </w:r>
    </w:p>
    <w:p>
      <w:pPr>
        <w:pageBreakBefore w:val="0"/>
        <w:numPr>
          <w:ilvl w:val="0"/>
          <w:numId w:val="20"/>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采购人、采购代理机构应当采取必要措施，保证磋商在严格保密的情况下进行。除采购人代表、磋商现场组织人员外，采购人的其他工作人员以及与磋商工作无关的人员不得进入磋商现场；</w:t>
      </w:r>
    </w:p>
    <w:p>
      <w:pPr>
        <w:pageBreakBefore w:val="0"/>
        <w:numPr>
          <w:ilvl w:val="0"/>
          <w:numId w:val="20"/>
        </w:numPr>
        <w:tabs>
          <w:tab w:val="left" w:pos="840"/>
          <w:tab w:val="left" w:pos="1050"/>
        </w:tabs>
        <w:kinsoku/>
        <w:overflowPunct/>
        <w:bidi w:val="0"/>
        <w:spacing w:afterAutospacing="0" w:line="336" w:lineRule="auto"/>
        <w:ind w:left="225" w:firstLine="4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有关人员对磋商情况以及在磋商过程中获悉的国家秘密、商业秘密负有保密责任。开启响应文件后，直至授予成交供应商合同为止，凡属于对响应文件的审查、澄清、评价和比较的有关资料以及成交候选人的推荐情况，与磋商有关的其他任何情况均严格保密。</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供应商对磋商小组的磋商过程或合同授予决定施加影响的任何行为都可能导致其响应文件无效；</w:t>
      </w:r>
    </w:p>
    <w:p>
      <w:pPr>
        <w:pageBreakBefore w:val="0"/>
        <w:numPr>
          <w:ilvl w:val="2"/>
          <w:numId w:val="11"/>
        </w:numPr>
        <w:tabs>
          <w:tab w:val="left" w:pos="840"/>
          <w:tab w:val="left" w:pos="1050"/>
        </w:tabs>
        <w:kinsoku/>
        <w:overflowPunct/>
        <w:bidi w:val="0"/>
        <w:spacing w:afterAutospacing="0" w:line="336" w:lineRule="auto"/>
        <w:ind w:left="0" w:firstLine="420" w:firstLineChars="17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磋商完成后，磋商小组应当向采购人提交书面评审报告，并由采购代理机构转送。</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rPr>
      </w:pPr>
      <w:bookmarkStart w:id="16" w:name="_Toc21762"/>
      <w:r>
        <w:rPr>
          <w:rFonts w:hint="eastAsia" w:ascii="仿宋" w:hAnsi="仿宋" w:eastAsia="仿宋" w:cs="仿宋"/>
          <w:b/>
          <w:bCs/>
          <w:sz w:val="24"/>
          <w:highlight w:val="none"/>
        </w:rPr>
        <w:t>响应文件的无效性</w:t>
      </w:r>
      <w:bookmarkEnd w:id="16"/>
    </w:p>
    <w:p>
      <w:pPr>
        <w:pageBreakBefore w:val="0"/>
        <w:tabs>
          <w:tab w:val="left" w:pos="840"/>
          <w:tab w:val="left" w:pos="1050"/>
        </w:tabs>
        <w:kinsoku/>
        <w:overflowPunct/>
        <w:bidi w:val="0"/>
        <w:spacing w:afterAutospacing="0" w:line="336" w:lineRule="auto"/>
        <w:ind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响应文件有下列情况之一者，应当作为无效响应文件，不得进入评标：</w:t>
      </w:r>
    </w:p>
    <w:p>
      <w:pPr>
        <w:pageBreakBefore w:val="0"/>
        <w:numPr>
          <w:ilvl w:val="0"/>
          <w:numId w:val="21"/>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响应文件份数不够的；</w:t>
      </w:r>
    </w:p>
    <w:p>
      <w:pPr>
        <w:pageBreakBefore w:val="0"/>
        <w:numPr>
          <w:ilvl w:val="0"/>
          <w:numId w:val="21"/>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响应文件未按照供应商须知前附表要求装订、密封和标记的；</w:t>
      </w:r>
    </w:p>
    <w:p>
      <w:pPr>
        <w:pageBreakBefore w:val="0"/>
        <w:numPr>
          <w:ilvl w:val="0"/>
          <w:numId w:val="21"/>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响应文件有关内容未按规定加盖供应商印章和未经法定代表人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签字盖章或委托代理人签字盖章的；</w:t>
      </w:r>
    </w:p>
    <w:p>
      <w:pPr>
        <w:pageBreakBefore w:val="0"/>
        <w:numPr>
          <w:ilvl w:val="0"/>
          <w:numId w:val="21"/>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响应文件的关键内容字迹模糊、无法辨认的；</w:t>
      </w:r>
    </w:p>
    <w:p>
      <w:pPr>
        <w:pageBreakBefore w:val="0"/>
        <w:numPr>
          <w:ilvl w:val="0"/>
          <w:numId w:val="21"/>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供应商提交的是可选择报价的；</w:t>
      </w:r>
    </w:p>
    <w:p>
      <w:pPr>
        <w:pageBreakBefore w:val="0"/>
        <w:numPr>
          <w:ilvl w:val="0"/>
          <w:numId w:val="21"/>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供应商的提交的报价超过预算的；</w:t>
      </w:r>
    </w:p>
    <w:p>
      <w:pPr>
        <w:pageBreakBefore w:val="0"/>
        <w:numPr>
          <w:ilvl w:val="0"/>
          <w:numId w:val="21"/>
        </w:numPr>
        <w:tabs>
          <w:tab w:val="left" w:pos="840"/>
          <w:tab w:val="left" w:pos="1050"/>
        </w:tabs>
        <w:kinsoku/>
        <w:overflowPunct/>
        <w:bidi w:val="0"/>
        <w:spacing w:afterAutospacing="0" w:line="336" w:lineRule="auto"/>
        <w:ind w:firstLine="215"/>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响应文件中提供虚假或失实资料的。</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lang w:val="zh-CN"/>
        </w:rPr>
      </w:pPr>
      <w:bookmarkStart w:id="17" w:name="_Toc5074"/>
      <w:r>
        <w:rPr>
          <w:rFonts w:hint="eastAsia" w:ascii="仿宋" w:hAnsi="仿宋" w:eastAsia="仿宋" w:cs="仿宋"/>
          <w:b/>
          <w:bCs/>
          <w:sz w:val="24"/>
          <w:highlight w:val="none"/>
          <w:lang w:val="zh-CN"/>
        </w:rPr>
        <w:t>终止竞争性磋商采购活动</w:t>
      </w:r>
      <w:bookmarkEnd w:id="17"/>
    </w:p>
    <w:p>
      <w:pPr>
        <w:pageBreakBefore w:val="0"/>
        <w:tabs>
          <w:tab w:val="left" w:pos="840"/>
          <w:tab w:val="left" w:pos="1050"/>
        </w:tabs>
        <w:kinsoku/>
        <w:overflowPunct/>
        <w:bidi w:val="0"/>
        <w:spacing w:afterAutospacing="0" w:line="336" w:lineRule="auto"/>
        <w:ind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出现下列情形之一的，采购人或者采购代理机构应当终止竞争性磋商采购活动，发布项目终止公告并说明原因，重新开展采购活动：</w:t>
      </w:r>
    </w:p>
    <w:p>
      <w:pPr>
        <w:pStyle w:val="104"/>
        <w:pageBreakBefore w:val="0"/>
        <w:numPr>
          <w:ilvl w:val="0"/>
          <w:numId w:val="22"/>
        </w:numPr>
        <w:tabs>
          <w:tab w:val="left" w:pos="420"/>
          <w:tab w:val="left" w:pos="630"/>
          <w:tab w:val="left" w:pos="840"/>
          <w:tab w:val="left" w:pos="1050"/>
          <w:tab w:val="left" w:pos="1260"/>
          <w:tab w:val="left" w:pos="1361"/>
        </w:tabs>
        <w:kinsoku/>
        <w:overflowPunct/>
        <w:bidi w:val="0"/>
        <w:adjustRightInd w:val="0"/>
        <w:snapToGrid w:val="0"/>
        <w:spacing w:afterAutospacing="0" w:line="336" w:lineRule="auto"/>
        <w:ind w:left="420" w:leftChars="200" w:firstLine="240" w:firstLineChars="1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因情况变化，不再符合规定的竞争性磋商采购方式适用情形的；</w:t>
      </w:r>
    </w:p>
    <w:p>
      <w:pPr>
        <w:pStyle w:val="104"/>
        <w:pageBreakBefore w:val="0"/>
        <w:numPr>
          <w:ilvl w:val="0"/>
          <w:numId w:val="22"/>
        </w:numPr>
        <w:tabs>
          <w:tab w:val="left" w:pos="420"/>
          <w:tab w:val="left" w:pos="630"/>
          <w:tab w:val="left" w:pos="840"/>
          <w:tab w:val="left" w:pos="1050"/>
          <w:tab w:val="left" w:pos="1260"/>
          <w:tab w:val="left" w:pos="1361"/>
        </w:tabs>
        <w:kinsoku/>
        <w:overflowPunct/>
        <w:bidi w:val="0"/>
        <w:adjustRightInd w:val="0"/>
        <w:snapToGrid w:val="0"/>
        <w:spacing w:afterAutospacing="0" w:line="336" w:lineRule="auto"/>
        <w:ind w:left="420" w:leftChars="200" w:firstLine="240" w:firstLineChars="1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出现影响采购公正的违法、违规行为的；</w:t>
      </w:r>
    </w:p>
    <w:p>
      <w:pPr>
        <w:pStyle w:val="104"/>
        <w:pageBreakBefore w:val="0"/>
        <w:numPr>
          <w:ilvl w:val="0"/>
          <w:numId w:val="22"/>
        </w:numPr>
        <w:tabs>
          <w:tab w:val="left" w:pos="420"/>
          <w:tab w:val="left" w:pos="630"/>
          <w:tab w:val="left" w:pos="840"/>
          <w:tab w:val="left" w:pos="1050"/>
          <w:tab w:val="left" w:pos="1260"/>
          <w:tab w:val="left" w:pos="1361"/>
        </w:tabs>
        <w:kinsoku/>
        <w:overflowPunct/>
        <w:bidi w:val="0"/>
        <w:adjustRightInd w:val="0"/>
        <w:snapToGrid w:val="0"/>
        <w:spacing w:afterAutospacing="0" w:line="336" w:lineRule="auto"/>
        <w:ind w:left="420" w:leftChars="200" w:firstLine="240" w:firstLineChars="1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在采购过程中符合竞争要求的响应人或者报价未超过采购预算的响应人不足3家的。</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lang w:val="zh-CN"/>
        </w:rPr>
      </w:pPr>
      <w:bookmarkStart w:id="18" w:name="_Toc21437"/>
      <w:r>
        <w:rPr>
          <w:rFonts w:hint="eastAsia" w:ascii="仿宋" w:hAnsi="仿宋" w:eastAsia="仿宋" w:cs="仿宋"/>
          <w:b/>
          <w:bCs/>
          <w:sz w:val="24"/>
          <w:highlight w:val="none"/>
          <w:lang w:val="zh-CN"/>
        </w:rPr>
        <w:t>确定成交供应商</w:t>
      </w:r>
      <w:bookmarkEnd w:id="18"/>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确定成交供应商原则</w:t>
      </w:r>
    </w:p>
    <w:p>
      <w:pPr>
        <w:pageBreakBefore w:val="0"/>
        <w:tabs>
          <w:tab w:val="left" w:pos="7665"/>
        </w:tabs>
        <w:kinsoku/>
        <w:overflowPunct/>
        <w:bidi w:val="0"/>
        <w:adjustRightInd w:val="0"/>
        <w:snapToGrid w:val="0"/>
        <w:spacing w:afterAutospacing="0"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采购人按照</w:t>
      </w:r>
      <w:r>
        <w:rPr>
          <w:rFonts w:hint="eastAsia" w:ascii="仿宋" w:hAnsi="仿宋" w:eastAsia="仿宋" w:cs="仿宋"/>
          <w:sz w:val="24"/>
          <w:highlight w:val="none"/>
          <w:lang w:val="zh-CN"/>
        </w:rPr>
        <w:t>磋商小组</w:t>
      </w:r>
      <w:r>
        <w:rPr>
          <w:rFonts w:hint="eastAsia" w:ascii="仿宋" w:hAnsi="仿宋" w:eastAsia="仿宋" w:cs="仿宋"/>
          <w:sz w:val="24"/>
          <w:highlight w:val="none"/>
        </w:rPr>
        <w:t>推荐的成交候选人排序先后确定成交供应商，采购人不得在</w:t>
      </w:r>
      <w:r>
        <w:rPr>
          <w:rFonts w:hint="eastAsia" w:ascii="仿宋" w:hAnsi="仿宋" w:eastAsia="仿宋" w:cs="仿宋"/>
          <w:sz w:val="24"/>
          <w:highlight w:val="none"/>
          <w:lang w:val="zh-CN"/>
        </w:rPr>
        <w:t>磋商小组</w:t>
      </w:r>
      <w:r>
        <w:rPr>
          <w:rFonts w:hint="eastAsia" w:ascii="仿宋" w:hAnsi="仿宋" w:eastAsia="仿宋" w:cs="仿宋"/>
          <w:sz w:val="24"/>
          <w:highlight w:val="none"/>
        </w:rPr>
        <w:t>推荐的成交候选人之外确定成交供应商。</w:t>
      </w:r>
    </w:p>
    <w:p>
      <w:pPr>
        <w:pageBreakBefore w:val="0"/>
        <w:tabs>
          <w:tab w:val="left" w:pos="7665"/>
        </w:tabs>
        <w:kinsoku/>
        <w:overflowPunct/>
        <w:bidi w:val="0"/>
        <w:adjustRightInd w:val="0"/>
        <w:snapToGrid w:val="0"/>
        <w:spacing w:afterAutospacing="0" w:line="336" w:lineRule="auto"/>
        <w:ind w:firstLine="482" w:firstLineChars="200"/>
        <w:rPr>
          <w:rFonts w:hint="eastAsia" w:ascii="仿宋" w:hAnsi="仿宋" w:eastAsia="仿宋" w:cs="仿宋"/>
          <w:highlight w:val="none"/>
          <w:lang w:val="zh-CN"/>
        </w:rPr>
      </w:pPr>
      <w:r>
        <w:rPr>
          <w:rFonts w:hint="eastAsia" w:ascii="仿宋" w:hAnsi="仿宋" w:eastAsia="仿宋" w:cs="仿宋"/>
          <w:b/>
          <w:bCs/>
          <w:sz w:val="24"/>
          <w:highlight w:val="none"/>
          <w:u w:val="single"/>
        </w:rPr>
        <w:t>本项目投标单位可以多个标段</w:t>
      </w:r>
      <w:r>
        <w:rPr>
          <w:rFonts w:hint="eastAsia" w:ascii="仿宋" w:hAnsi="仿宋" w:eastAsia="仿宋" w:cs="仿宋"/>
          <w:b/>
          <w:bCs/>
          <w:sz w:val="24"/>
          <w:highlight w:val="none"/>
          <w:u w:val="single"/>
          <w:lang w:eastAsia="zh-CN"/>
        </w:rPr>
        <w:t>（如有）</w:t>
      </w:r>
      <w:r>
        <w:rPr>
          <w:rFonts w:hint="eastAsia" w:ascii="仿宋" w:hAnsi="仿宋" w:eastAsia="仿宋" w:cs="仿宋"/>
          <w:b/>
          <w:bCs/>
          <w:sz w:val="24"/>
          <w:highlight w:val="none"/>
          <w:u w:val="single"/>
        </w:rPr>
        <w:t>报名投标，但只允许中标一个标段</w:t>
      </w:r>
      <w:r>
        <w:rPr>
          <w:rFonts w:hint="eastAsia" w:ascii="仿宋" w:hAnsi="仿宋" w:eastAsia="仿宋" w:cs="仿宋"/>
          <w:b/>
          <w:bCs/>
          <w:sz w:val="24"/>
          <w:highlight w:val="none"/>
          <w:u w:val="single"/>
          <w:lang w:eastAsia="zh-CN"/>
        </w:rPr>
        <w:t>。</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确定成交供应商程序</w:t>
      </w:r>
    </w:p>
    <w:p>
      <w:pPr>
        <w:pStyle w:val="104"/>
        <w:pageBreakBefore w:val="0"/>
        <w:numPr>
          <w:ilvl w:val="0"/>
          <w:numId w:val="23"/>
        </w:numPr>
        <w:tabs>
          <w:tab w:val="left" w:pos="220"/>
          <w:tab w:val="left" w:pos="630"/>
          <w:tab w:val="left" w:pos="840"/>
          <w:tab w:val="left" w:pos="1050"/>
          <w:tab w:val="left" w:pos="1260"/>
          <w:tab w:val="left" w:pos="1361"/>
        </w:tabs>
        <w:kinsoku/>
        <w:overflowPunct/>
        <w:bidi w:val="0"/>
        <w:adjustRightInd w:val="0"/>
        <w:snapToGrid w:val="0"/>
        <w:spacing w:afterAutospacing="0" w:line="336" w:lineRule="auto"/>
        <w:ind w:left="218" w:leftChars="104" w:firstLine="439" w:firstLineChars="183"/>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磋商小组将评审情况写出书面报告，推荐3个成交候选人，并按照综合得分高低标明排列顺序。得分相同的，按照最后报价由低到高顺序排列；得分且最后报价相同的按照技术指标优劣顺序排列；</w:t>
      </w:r>
    </w:p>
    <w:p>
      <w:pPr>
        <w:pStyle w:val="104"/>
        <w:pageBreakBefore w:val="0"/>
        <w:numPr>
          <w:ilvl w:val="0"/>
          <w:numId w:val="23"/>
        </w:numPr>
        <w:tabs>
          <w:tab w:val="left" w:pos="220"/>
          <w:tab w:val="left" w:pos="630"/>
          <w:tab w:val="left" w:pos="840"/>
          <w:tab w:val="left" w:pos="1050"/>
          <w:tab w:val="left" w:pos="1260"/>
          <w:tab w:val="left" w:pos="1361"/>
        </w:tabs>
        <w:kinsoku/>
        <w:overflowPunct/>
        <w:bidi w:val="0"/>
        <w:adjustRightInd w:val="0"/>
        <w:snapToGrid w:val="0"/>
        <w:spacing w:afterAutospacing="0" w:line="336" w:lineRule="auto"/>
        <w:ind w:left="218" w:leftChars="104" w:firstLine="439" w:firstLineChars="183"/>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采购代理机构在评审结束后2个工作日内将评审报告送采购人确认；</w:t>
      </w:r>
    </w:p>
    <w:p>
      <w:pPr>
        <w:pStyle w:val="104"/>
        <w:pageBreakBefore w:val="0"/>
        <w:numPr>
          <w:ilvl w:val="0"/>
          <w:numId w:val="23"/>
        </w:numPr>
        <w:tabs>
          <w:tab w:val="left" w:pos="220"/>
          <w:tab w:val="left" w:pos="630"/>
          <w:tab w:val="left" w:pos="840"/>
          <w:tab w:val="left" w:pos="1050"/>
          <w:tab w:val="left" w:pos="1260"/>
          <w:tab w:val="left" w:pos="1361"/>
        </w:tabs>
        <w:kinsoku/>
        <w:overflowPunct/>
        <w:bidi w:val="0"/>
        <w:adjustRightInd w:val="0"/>
        <w:snapToGrid w:val="0"/>
        <w:spacing w:afterAutospacing="0" w:line="336" w:lineRule="auto"/>
        <w:ind w:left="218" w:leftChars="104" w:firstLine="439" w:firstLineChars="183"/>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采购人应当在收到评审报告后5个工作日内，按照评审报告中推荐的成交候选人中，按照顺序由高到低确定成交供应商。同时，将确定成交供应商的结果复函至采购代理机构；</w:t>
      </w:r>
    </w:p>
    <w:p>
      <w:pPr>
        <w:pStyle w:val="104"/>
        <w:pageBreakBefore w:val="0"/>
        <w:numPr>
          <w:ilvl w:val="0"/>
          <w:numId w:val="23"/>
        </w:numPr>
        <w:tabs>
          <w:tab w:val="left" w:pos="220"/>
          <w:tab w:val="left" w:pos="630"/>
          <w:tab w:val="left" w:pos="840"/>
          <w:tab w:val="left" w:pos="1050"/>
          <w:tab w:val="left" w:pos="1260"/>
          <w:tab w:val="left" w:pos="1361"/>
        </w:tabs>
        <w:kinsoku/>
        <w:overflowPunct/>
        <w:bidi w:val="0"/>
        <w:adjustRightInd w:val="0"/>
        <w:snapToGrid w:val="0"/>
        <w:spacing w:afterAutospacing="0" w:line="336" w:lineRule="auto"/>
        <w:ind w:left="218" w:leftChars="104" w:firstLine="439" w:firstLineChars="183"/>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采购人在收到评审报告5个工作日内未按评审报告推荐的成交候选人中顺序确定成交供应商，又不能说明合法理由的，视同按照评审报告推荐的顺序确定排名第一的成交候选人为成交供应商。</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lang w:val="zh-CN"/>
        </w:rPr>
      </w:pPr>
      <w:bookmarkStart w:id="19" w:name="_Toc9817"/>
      <w:r>
        <w:rPr>
          <w:rFonts w:hint="eastAsia" w:ascii="仿宋" w:hAnsi="仿宋" w:eastAsia="仿宋" w:cs="仿宋"/>
          <w:b/>
          <w:bCs/>
          <w:sz w:val="24"/>
          <w:highlight w:val="none"/>
          <w:lang w:val="zh-CN"/>
        </w:rPr>
        <w:t>成交通知书</w:t>
      </w:r>
      <w:bookmarkEnd w:id="19"/>
    </w:p>
    <w:p>
      <w:pPr>
        <w:pageBreakBefore w:val="0"/>
        <w:numPr>
          <w:ilvl w:val="1"/>
          <w:numId w:val="11"/>
        </w:numPr>
        <w:tabs>
          <w:tab w:val="left" w:pos="630"/>
          <w:tab w:val="left" w:pos="840"/>
          <w:tab w:val="left" w:pos="1050"/>
          <w:tab w:val="left" w:pos="1260"/>
        </w:tabs>
        <w:kinsoku/>
        <w:overflowPunct/>
        <w:bidi w:val="0"/>
        <w:spacing w:afterAutospacing="0" w:line="336" w:lineRule="auto"/>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成交通知书为签订政府采购合同的依据之一，是合同的有效组成部分；</w:t>
      </w:r>
    </w:p>
    <w:p>
      <w:pPr>
        <w:pageBreakBefore w:val="0"/>
        <w:numPr>
          <w:ilvl w:val="1"/>
          <w:numId w:val="11"/>
        </w:numPr>
        <w:tabs>
          <w:tab w:val="left" w:pos="0"/>
          <w:tab w:val="left" w:pos="1050"/>
        </w:tabs>
        <w:kinsoku/>
        <w:overflowPunct/>
        <w:bidi w:val="0"/>
        <w:spacing w:afterAutospacing="0" w:line="336" w:lineRule="auto"/>
        <w:ind w:left="10" w:firstLine="387"/>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成交通知书对采购人和成交供应商均具有法律效力。成交通知书发出后，采购人不得违法改变成交结果，成交供应商无正当理由不得放弃成交资格。否则，应当承担相应的法律责任；</w:t>
      </w:r>
    </w:p>
    <w:p>
      <w:pPr>
        <w:pageBreakBefore w:val="0"/>
        <w:numPr>
          <w:ilvl w:val="1"/>
          <w:numId w:val="11"/>
        </w:numPr>
        <w:tabs>
          <w:tab w:val="left" w:pos="0"/>
          <w:tab w:val="left" w:pos="1050"/>
        </w:tabs>
        <w:kinsoku/>
        <w:overflowPunct/>
        <w:bidi w:val="0"/>
        <w:spacing w:afterAutospacing="0" w:line="336" w:lineRule="auto"/>
        <w:ind w:left="10" w:firstLine="387"/>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成交供应商应当在接到采购代理机构通知之日起2个工作日内领取《成交通知书》；</w:t>
      </w:r>
    </w:p>
    <w:p>
      <w:pPr>
        <w:pageBreakBefore w:val="0"/>
        <w:numPr>
          <w:ilvl w:val="1"/>
          <w:numId w:val="11"/>
        </w:numPr>
        <w:tabs>
          <w:tab w:val="left" w:pos="0"/>
          <w:tab w:val="left" w:pos="1050"/>
        </w:tabs>
        <w:kinsoku/>
        <w:overflowPunct/>
        <w:bidi w:val="0"/>
        <w:spacing w:afterAutospacing="0" w:line="336" w:lineRule="auto"/>
        <w:ind w:left="10" w:firstLine="387"/>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在《成交通知书》发出后，发现成交供应商有政府采购法律法规规章制度规定的成交无效情形的，采购代理机构应当宣布发出的成交通知书无效，并收回已发出的成交通知书（成交供应商也应当交回），依法重新确定成交供应商或者重新开展采购活动，同时向同级财政部门报告。</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lang w:val="zh-CN"/>
        </w:rPr>
      </w:pPr>
      <w:bookmarkStart w:id="20" w:name="_Toc7176"/>
      <w:r>
        <w:rPr>
          <w:rFonts w:hint="eastAsia" w:ascii="仿宋" w:hAnsi="仿宋" w:eastAsia="仿宋" w:cs="仿宋"/>
          <w:b/>
          <w:bCs/>
          <w:sz w:val="24"/>
          <w:highlight w:val="none"/>
          <w:lang w:val="zh-CN"/>
        </w:rPr>
        <w:t>签订合同</w:t>
      </w:r>
      <w:bookmarkEnd w:id="20"/>
    </w:p>
    <w:p>
      <w:pPr>
        <w:pageBreakBefore w:val="0"/>
        <w:numPr>
          <w:ilvl w:val="1"/>
          <w:numId w:val="11"/>
        </w:numPr>
        <w:tabs>
          <w:tab w:val="left" w:pos="0"/>
          <w:tab w:val="left" w:pos="630"/>
          <w:tab w:val="left" w:pos="840"/>
          <w:tab w:val="left" w:pos="1050"/>
          <w:tab w:val="left" w:pos="1260"/>
          <w:tab w:val="left" w:pos="1470"/>
        </w:tabs>
        <w:kinsoku/>
        <w:overflowPunct/>
        <w:bidi w:val="0"/>
        <w:spacing w:afterAutospacing="0" w:line="336" w:lineRule="auto"/>
        <w:ind w:left="10" w:firstLine="387"/>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采购人应当自《成交通知书》发出之日起</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zh-CN"/>
        </w:rPr>
        <w:t>日内，按照磋商文件和成交供应商响应文件的规定，与成交供应商签订书面合同。成交供应商无正当理由拒签合同，或者在签订合同时向采购人提出附件条件，采购人有权取消其成交资格，给采购人造成损失的，成交供应商应当予以赔偿。采购人可以按照评审报告推荐的成交候选人名单排序确定下一候选人为成交供应商，并签订合同，或者重新开展采购活动。拒绝签订合同的成交供应商不得参加对该项目重新开展的采购活动；</w:t>
      </w:r>
    </w:p>
    <w:p>
      <w:pPr>
        <w:pageBreakBefore w:val="0"/>
        <w:numPr>
          <w:ilvl w:val="1"/>
          <w:numId w:val="11"/>
        </w:numPr>
        <w:tabs>
          <w:tab w:val="left" w:pos="0"/>
          <w:tab w:val="left" w:pos="1050"/>
        </w:tabs>
        <w:kinsoku/>
        <w:overflowPunct/>
        <w:bidi w:val="0"/>
        <w:spacing w:afterAutospacing="0" w:line="336" w:lineRule="auto"/>
        <w:ind w:left="10" w:firstLine="387"/>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发出成交通知书后，采购人不得向成交供应商提出任何不合理要求，作为签订合同的条件，不得与成交供应商私下订立背离合同实质性内容的任何协议，所签订的合同不得对响应文件确定的事项和成交供应商响应文件做实质性修改。</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lang w:val="zh-CN"/>
        </w:rPr>
      </w:pPr>
      <w:bookmarkStart w:id="21" w:name="_Toc24788"/>
      <w:r>
        <w:rPr>
          <w:rFonts w:hint="eastAsia" w:ascii="仿宋" w:hAnsi="仿宋" w:eastAsia="仿宋" w:cs="仿宋"/>
          <w:b/>
          <w:bCs/>
          <w:sz w:val="24"/>
          <w:highlight w:val="none"/>
          <w:lang w:val="zh-CN"/>
        </w:rPr>
        <w:t>纪律和监督</w:t>
      </w:r>
      <w:bookmarkEnd w:id="21"/>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对采购人的纪律要求</w:t>
      </w:r>
    </w:p>
    <w:p>
      <w:pPr>
        <w:pageBreakBefore w:val="0"/>
        <w:tabs>
          <w:tab w:val="left" w:pos="7665"/>
        </w:tabs>
        <w:kinsoku/>
        <w:overflowPunct/>
        <w:bidi w:val="0"/>
        <w:adjustRightInd w:val="0"/>
        <w:snapToGrid w:val="0"/>
        <w:spacing w:afterAutospacing="0"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采购人不得泄漏采购竞争性磋商活动中应当保密的情况和资料，不得与供应商串通损害国家利益、社会公共利益或者他人合法权益。</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对供应商的纪律要求</w:t>
      </w:r>
    </w:p>
    <w:p>
      <w:pPr>
        <w:pageBreakBefore w:val="0"/>
        <w:tabs>
          <w:tab w:val="left" w:pos="7665"/>
        </w:tabs>
        <w:kinsoku/>
        <w:overflowPunct/>
        <w:bidi w:val="0"/>
        <w:adjustRightInd w:val="0"/>
        <w:snapToGrid w:val="0"/>
        <w:spacing w:afterAutospacing="0"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不得相互串通竞争性磋商或者与采购人串通竞争性磋商，不得向采购人或者竞争性磋商小组成员行贿谋取中标，不得以他人名义竞争性磋商或者以其他方式弄虚作假骗取中标；供应商不得以任何方式干扰、影响竞争性磋商工作。</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对竞争性磋商小组成员的纪律要求</w:t>
      </w:r>
    </w:p>
    <w:p>
      <w:pPr>
        <w:pageBreakBefore w:val="0"/>
        <w:tabs>
          <w:tab w:val="left" w:pos="7665"/>
        </w:tabs>
        <w:kinsoku/>
        <w:overflowPunct/>
        <w:bidi w:val="0"/>
        <w:adjustRightInd w:val="0"/>
        <w:snapToGrid w:val="0"/>
        <w:spacing w:afterAutospacing="0"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竞争性磋商小组成员不得收受他人的财物或者其他好处，不得向他人透漏对响应文件的评审和比较、成交候选人的推荐情况以及竞争性磋商有关的其他情况。在竞争性磋商活动中，磋商小组成员不得擅离职守，影响竞争性磋商程序正常进行，不得使用第五部分“评审办法及标准”没有规定的评审因素和标准进行竞争性磋商。</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对与竞争性磋商活动有关的工作人员的纪律要求</w:t>
      </w:r>
    </w:p>
    <w:p>
      <w:pPr>
        <w:pageBreakBefore w:val="0"/>
        <w:tabs>
          <w:tab w:val="left" w:pos="0"/>
          <w:tab w:val="left" w:pos="210"/>
          <w:tab w:val="left" w:pos="630"/>
          <w:tab w:val="left" w:pos="840"/>
          <w:tab w:val="left" w:pos="1050"/>
        </w:tabs>
        <w:kinsoku/>
        <w:overflowPunct/>
        <w:bidi w:val="0"/>
        <w:adjustRightInd w:val="0"/>
        <w:snapToGrid w:val="0"/>
        <w:spacing w:afterAutospacing="0"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与竞争性磋商活动有关的工作人员不得收受他人的财物或者其他好处，不得向他人透漏对响应文件的评审和比较、成交候选人的推荐情况以及竞争性磋商有关的其他情况。在竞争性磋商活动中，与竞争性磋商活动有关的工作人员不得擅离职守，影响竞争性磋商程序正常进行。</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lang w:val="zh-CN"/>
        </w:rPr>
      </w:pPr>
      <w:bookmarkStart w:id="22" w:name="_Toc19492"/>
      <w:r>
        <w:rPr>
          <w:rFonts w:hint="eastAsia" w:ascii="仿宋" w:hAnsi="仿宋" w:eastAsia="仿宋" w:cs="仿宋"/>
          <w:b/>
          <w:bCs/>
          <w:sz w:val="24"/>
          <w:highlight w:val="none"/>
          <w:lang w:val="zh-CN"/>
        </w:rPr>
        <w:t>质疑与投诉</w:t>
      </w:r>
      <w:bookmarkEnd w:id="22"/>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质疑</w:t>
      </w:r>
    </w:p>
    <w:p>
      <w:pPr>
        <w:pageBreakBefore w:val="0"/>
        <w:tabs>
          <w:tab w:val="left" w:pos="0"/>
          <w:tab w:val="left" w:pos="210"/>
          <w:tab w:val="left" w:pos="630"/>
          <w:tab w:val="left" w:pos="840"/>
          <w:tab w:val="left" w:pos="1050"/>
        </w:tabs>
        <w:kinsoku/>
        <w:overflowPunct/>
        <w:bidi w:val="0"/>
        <w:adjustRightInd w:val="0"/>
        <w:snapToGrid w:val="0"/>
        <w:spacing w:afterAutospacing="0"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供应商对评标结果有异议的，可向采购人或采购代理机构提出质疑，质疑必须在国家相关法律、法规规定的时间内以书面形式递交。供应商应保证提出的质疑内容和相应证明材料的真实性及来源的合法性，并承担相应的法律责任。采购人或采购代理机构将按国家有关规定予以答复。</w:t>
      </w:r>
    </w:p>
    <w:p>
      <w:pPr>
        <w:pageBreakBefore w:val="0"/>
        <w:numPr>
          <w:ilvl w:val="1"/>
          <w:numId w:val="11"/>
        </w:numPr>
        <w:tabs>
          <w:tab w:val="left" w:pos="840"/>
          <w:tab w:val="left" w:pos="1050"/>
        </w:tabs>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投诉</w:t>
      </w:r>
    </w:p>
    <w:p>
      <w:pPr>
        <w:pageBreakBefore w:val="0"/>
        <w:tabs>
          <w:tab w:val="left" w:pos="0"/>
          <w:tab w:val="left" w:pos="210"/>
          <w:tab w:val="left" w:pos="630"/>
          <w:tab w:val="left" w:pos="840"/>
          <w:tab w:val="left" w:pos="1050"/>
        </w:tabs>
        <w:kinsoku/>
        <w:overflowPunct/>
        <w:bidi w:val="0"/>
        <w:adjustRightInd w:val="0"/>
        <w:snapToGrid w:val="0"/>
        <w:spacing w:afterAutospacing="0"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和其他利害关系人认为本次采购活动违反法律、法规和规章规定的，有权向采购人纪检监察部门投诉、必须实名举报。供应商应保证提出的投诉内容和相应证明材料的真实性及来源的合法性，并承担相应的法律责任。监督机构将按国家有关规定予以答复。</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lang w:val="zh-CN"/>
        </w:rPr>
      </w:pPr>
      <w:bookmarkStart w:id="23" w:name="_Toc3527"/>
      <w:r>
        <w:rPr>
          <w:rFonts w:hint="eastAsia" w:ascii="仿宋" w:hAnsi="仿宋" w:eastAsia="仿宋" w:cs="仿宋"/>
          <w:b/>
          <w:bCs/>
          <w:sz w:val="24"/>
          <w:highlight w:val="none"/>
          <w:lang w:val="en-US" w:eastAsia="zh-CN"/>
        </w:rPr>
        <w:t>拒绝商业贿赂</w:t>
      </w:r>
    </w:p>
    <w:p>
      <w:pPr>
        <w:pageBreakBefore w:val="0"/>
        <w:numPr>
          <w:ilvl w:val="0"/>
          <w:numId w:val="0"/>
        </w:numPr>
        <w:tabs>
          <w:tab w:val="left" w:pos="1050"/>
        </w:tabs>
        <w:kinsoku/>
        <w:overflowPunct/>
        <w:bidi w:val="0"/>
        <w:spacing w:afterAutospacing="0" w:line="336" w:lineRule="auto"/>
        <w:ind w:firstLine="480" w:firstLineChars="200"/>
        <w:jc w:val="left"/>
        <w:rPr>
          <w:rFonts w:hint="eastAsia"/>
          <w:highlight w:val="none"/>
          <w:lang w:val="zh-CN"/>
        </w:rPr>
      </w:pPr>
      <w:r>
        <w:rPr>
          <w:rFonts w:hint="eastAsia" w:ascii="仿宋" w:hAnsi="仿宋" w:eastAsia="仿宋" w:cs="仿宋"/>
          <w:sz w:val="24"/>
          <w:highlight w:val="none"/>
        </w:rPr>
        <w:t>遵照陕西省财政厅的规定，采购人、采购代理机构、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和磋商小组在磋商活动中，都要签订相应的《拒绝政府采购领域商业贿赂承诺书》，并对违反承诺的行为承担全部责任。</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采购代理服务费</w:t>
      </w:r>
      <w:bookmarkEnd w:id="23"/>
    </w:p>
    <w:p>
      <w:pPr>
        <w:pageBreakBefore w:val="0"/>
        <w:numPr>
          <w:ilvl w:val="1"/>
          <w:numId w:val="11"/>
        </w:numPr>
        <w:tabs>
          <w:tab w:val="left" w:pos="1050"/>
        </w:tabs>
        <w:kinsoku/>
        <w:overflowPunct/>
        <w:bidi w:val="0"/>
        <w:spacing w:afterAutospacing="0" w:line="336" w:lineRule="auto"/>
        <w:ind w:left="10" w:firstLine="387"/>
        <w:jc w:val="left"/>
        <w:rPr>
          <w:rFonts w:hint="eastAsia" w:ascii="仿宋" w:hAnsi="仿宋" w:eastAsia="仿宋" w:cs="仿宋"/>
          <w:sz w:val="24"/>
          <w:highlight w:val="none"/>
        </w:rPr>
      </w:pPr>
      <w:r>
        <w:rPr>
          <w:rFonts w:hint="eastAsia" w:ascii="仿宋" w:hAnsi="仿宋" w:eastAsia="仿宋" w:cs="仿宋"/>
          <w:sz w:val="24"/>
          <w:highlight w:val="none"/>
        </w:rPr>
        <w:t>供应商应承担其编制响应文件与递交响应文件所涉及的一切费用，不管磋商结果如何，采购人对上述费用不负任何责任。</w:t>
      </w:r>
    </w:p>
    <w:p>
      <w:pPr>
        <w:pageBreakBefore w:val="0"/>
        <w:numPr>
          <w:ilvl w:val="1"/>
          <w:numId w:val="11"/>
        </w:numPr>
        <w:tabs>
          <w:tab w:val="left" w:pos="1050"/>
        </w:tabs>
        <w:kinsoku/>
        <w:overflowPunct/>
        <w:bidi w:val="0"/>
        <w:spacing w:afterAutospacing="0" w:line="336" w:lineRule="auto"/>
        <w:ind w:left="10" w:firstLine="387"/>
        <w:jc w:val="left"/>
        <w:rPr>
          <w:rFonts w:hint="eastAsia" w:ascii="仿宋" w:hAnsi="仿宋" w:eastAsia="仿宋" w:cs="仿宋"/>
          <w:sz w:val="24"/>
          <w:highlight w:val="none"/>
        </w:rPr>
      </w:pPr>
      <w:r>
        <w:rPr>
          <w:rFonts w:hint="eastAsia" w:ascii="仿宋" w:hAnsi="仿宋" w:eastAsia="仿宋" w:cs="仿宋"/>
          <w:sz w:val="24"/>
          <w:highlight w:val="none"/>
        </w:rPr>
        <w:t>招标服务费指定银行账户</w:t>
      </w:r>
      <w:r>
        <w:rPr>
          <w:rFonts w:hint="eastAsia" w:ascii="仿宋" w:hAnsi="仿宋" w:eastAsia="仿宋" w:cs="仿宋"/>
          <w:sz w:val="24"/>
          <w:highlight w:val="none"/>
          <w:lang w:eastAsia="zh-CN"/>
        </w:rPr>
        <w:t>：</w:t>
      </w:r>
    </w:p>
    <w:tbl>
      <w:tblPr>
        <w:tblStyle w:val="38"/>
        <w:tblpPr w:leftFromText="180" w:rightFromText="180" w:vertAnchor="text" w:horzAnchor="margin" w:tblpXSpec="center" w:tblpY="178"/>
        <w:tblW w:w="8495" w:type="dxa"/>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596" w:hRule="atLeast"/>
        </w:trPr>
        <w:tc>
          <w:tcPr>
            <w:tcW w:w="8495" w:type="dxa"/>
            <w:tcBorders>
              <w:top w:val="triple" w:color="auto" w:sz="4" w:space="0"/>
              <w:left w:val="triple" w:color="auto" w:sz="4" w:space="0"/>
              <w:bottom w:val="dotted" w:color="auto" w:sz="4" w:space="0"/>
              <w:right w:val="triple" w:color="auto" w:sz="4" w:space="0"/>
            </w:tcBorders>
            <w:vAlign w:val="center"/>
          </w:tcPr>
          <w:p>
            <w:pPr>
              <w:pageBreakBefore w:val="0"/>
              <w:kinsoku/>
              <w:wordWrap/>
              <w:overflowPunct/>
              <w:topLinePunct w:val="0"/>
              <w:bidi w:val="0"/>
              <w:spacing w:line="336" w:lineRule="auto"/>
              <w:ind w:firstLine="573"/>
              <w:rPr>
                <w:rFonts w:hint="eastAsia" w:ascii="仿宋" w:hAnsi="仿宋" w:eastAsia="仿宋" w:cs="仿宋"/>
                <w:b/>
                <w:sz w:val="28"/>
                <w:szCs w:val="28"/>
                <w:highlight w:val="none"/>
              </w:rPr>
            </w:pPr>
            <w:r>
              <w:rPr>
                <w:rFonts w:hint="eastAsia" w:ascii="仿宋" w:hAnsi="仿宋" w:eastAsia="仿宋" w:cs="仿宋"/>
                <w:b/>
                <w:sz w:val="28"/>
                <w:szCs w:val="28"/>
                <w:highlight w:val="none"/>
              </w:rPr>
              <w:t>中国银行：招标服务费</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675" w:hRule="atLeast"/>
        </w:trPr>
        <w:tc>
          <w:tcPr>
            <w:tcW w:w="8495" w:type="dxa"/>
            <w:tcBorders>
              <w:top w:val="dotted" w:color="auto" w:sz="4" w:space="0"/>
              <w:left w:val="triple" w:color="auto" w:sz="4" w:space="0"/>
              <w:bottom w:val="triple" w:color="auto" w:sz="4" w:space="0"/>
              <w:right w:val="triple" w:color="auto" w:sz="4" w:space="0"/>
            </w:tcBorders>
            <w:vAlign w:val="center"/>
          </w:tcPr>
          <w:p>
            <w:pPr>
              <w:pageBreakBefore w:val="0"/>
              <w:kinsoku/>
              <w:wordWrap/>
              <w:overflowPunct/>
              <w:topLinePunct w:val="0"/>
              <w:bidi w:val="0"/>
              <w:spacing w:line="336" w:lineRule="auto"/>
              <w:ind w:firstLine="573"/>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名  称：陕西同昌成项目管理有限公司</w:t>
            </w:r>
          </w:p>
          <w:p>
            <w:pPr>
              <w:pageBreakBefore w:val="0"/>
              <w:kinsoku/>
              <w:wordWrap/>
              <w:overflowPunct/>
              <w:topLinePunct w:val="0"/>
              <w:bidi w:val="0"/>
              <w:spacing w:line="336" w:lineRule="auto"/>
              <w:ind w:firstLine="573"/>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开户行：中信银行股份有限公司西安东大街支行</w:t>
            </w:r>
          </w:p>
          <w:p>
            <w:pPr>
              <w:pageBreakBefore w:val="0"/>
              <w:kinsoku/>
              <w:wordWrap/>
              <w:overflowPunct/>
              <w:topLinePunct w:val="0"/>
              <w:bidi w:val="0"/>
              <w:spacing w:line="336" w:lineRule="auto"/>
              <w:ind w:firstLine="573"/>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账  号：8111701012800662830</w:t>
            </w:r>
          </w:p>
        </w:tc>
      </w:tr>
    </w:tbl>
    <w:p>
      <w:pPr>
        <w:pStyle w:val="2"/>
        <w:pageBreakBefore w:val="0"/>
        <w:bidi w:val="0"/>
        <w:spacing w:line="336" w:lineRule="auto"/>
        <w:rPr>
          <w:rFonts w:hint="eastAsia"/>
          <w:highlight w:val="none"/>
          <w:lang w:val="zh-CN"/>
        </w:rPr>
      </w:pPr>
    </w:p>
    <w:p>
      <w:pPr>
        <w:pageBreakBefore w:val="0"/>
        <w:numPr>
          <w:ilvl w:val="0"/>
          <w:numId w:val="11"/>
        </w:numPr>
        <w:kinsoku/>
        <w:overflowPunct/>
        <w:bidi w:val="0"/>
        <w:spacing w:afterAutospacing="0" w:line="336" w:lineRule="auto"/>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关于加快推进我省中小企业政府采购信用融资工作的通知</w:t>
      </w:r>
    </w:p>
    <w:p>
      <w:pPr>
        <w:pageBreakBefore w:val="0"/>
        <w:numPr>
          <w:ilvl w:val="0"/>
          <w:numId w:val="0"/>
        </w:numPr>
        <w:kinsoku/>
        <w:overflowPunct/>
        <w:bidi w:val="0"/>
        <w:spacing w:afterAutospacing="0" w:line="336" w:lineRule="auto"/>
        <w:ind w:leftChars="0" w:firstLine="480" w:firstLineChars="20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暂行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http://www.ccgp-shaanxi.gov.cn/zcdservice/zcd/shanxi/）在线申请，依法参加政府采购信用融资活动。</w:t>
      </w:r>
    </w:p>
    <w:p>
      <w:pPr>
        <w:pageBreakBefore w:val="0"/>
        <w:numPr>
          <w:ilvl w:val="0"/>
          <w:numId w:val="11"/>
        </w:numPr>
        <w:kinsoku/>
        <w:overflowPunct/>
        <w:bidi w:val="0"/>
        <w:spacing w:afterAutospacing="0" w:line="336" w:lineRule="auto"/>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信用担保：关于陕西省政府采购信用担保的说明</w:t>
      </w:r>
    </w:p>
    <w:p>
      <w:pPr>
        <w:pageBreakBefore w:val="0"/>
        <w:numPr>
          <w:ilvl w:val="1"/>
          <w:numId w:val="11"/>
        </w:numPr>
        <w:tabs>
          <w:tab w:val="left" w:pos="1050"/>
        </w:tabs>
        <w:kinsoku/>
        <w:overflowPunct/>
        <w:bidi w:val="0"/>
        <w:spacing w:afterAutospacing="0" w:line="336" w:lineRule="auto"/>
        <w:ind w:left="10" w:firstLine="387"/>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供应商在投标、履约、融资等环节可自愿选择采取信用担保的形式。</w:t>
      </w:r>
    </w:p>
    <w:p>
      <w:pPr>
        <w:pageBreakBefore w:val="0"/>
        <w:numPr>
          <w:ilvl w:val="1"/>
          <w:numId w:val="11"/>
        </w:numPr>
        <w:tabs>
          <w:tab w:val="left" w:pos="1050"/>
        </w:tabs>
        <w:kinsoku/>
        <w:overflowPunct/>
        <w:bidi w:val="0"/>
        <w:spacing w:afterAutospacing="0" w:line="336" w:lineRule="auto"/>
        <w:ind w:left="10" w:firstLine="387"/>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供应商可以自愿选择是否采取担保函的形式交纳谈判保证金，也可以自愿选择是否采取履约担保函的形式交纳履约保证金。</w:t>
      </w:r>
    </w:p>
    <w:p>
      <w:pPr>
        <w:pageBreakBefore w:val="0"/>
        <w:numPr>
          <w:ilvl w:val="1"/>
          <w:numId w:val="11"/>
        </w:numPr>
        <w:tabs>
          <w:tab w:val="left" w:pos="1050"/>
        </w:tabs>
        <w:kinsoku/>
        <w:overflowPunct/>
        <w:bidi w:val="0"/>
        <w:spacing w:afterAutospacing="0" w:line="336" w:lineRule="auto"/>
        <w:ind w:left="10" w:firstLine="387"/>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担保机构选择参考陕西省政府采购网公示的担保机构名单。</w:t>
      </w:r>
    </w:p>
    <w:p>
      <w:pPr>
        <w:pageBreakBefore w:val="0"/>
        <w:numPr>
          <w:ilvl w:val="0"/>
          <w:numId w:val="11"/>
        </w:numPr>
        <w:kinsoku/>
        <w:overflowPunct/>
        <w:bidi w:val="0"/>
        <w:spacing w:afterAutospacing="0" w:line="336"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附则</w:t>
      </w:r>
    </w:p>
    <w:p>
      <w:pPr>
        <w:pStyle w:val="15"/>
        <w:pageBreakBefore w:val="0"/>
        <w:overflowPunct/>
        <w:bidi w:val="0"/>
        <w:spacing w:after="0" w:afterAutospacing="0" w:line="336"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磋商文件未提及事宜，参照现行法律、法规执行。</w:t>
      </w:r>
    </w:p>
    <w:bookmarkEnd w:id="11"/>
    <w:bookmarkEnd w:id="12"/>
    <w:bookmarkEnd w:id="13"/>
    <w:bookmarkEnd w:id="14"/>
    <w:p>
      <w:pPr>
        <w:pageBreakBefore w:val="0"/>
        <w:numPr>
          <w:ilvl w:val="0"/>
          <w:numId w:val="0"/>
        </w:numPr>
        <w:overflowPunct/>
        <w:bidi w:val="0"/>
        <w:spacing w:afterAutospacing="0" w:line="336" w:lineRule="auto"/>
        <w:jc w:val="both"/>
        <w:outlineLvl w:val="0"/>
        <w:rPr>
          <w:rFonts w:hint="eastAsia" w:ascii="仿宋" w:hAnsi="仿宋" w:eastAsia="仿宋" w:cs="仿宋"/>
          <w:b/>
          <w:sz w:val="44"/>
          <w:szCs w:val="44"/>
          <w:highlight w:val="none"/>
        </w:rPr>
      </w:pPr>
      <w:bookmarkStart w:id="24" w:name="_Toc16607"/>
    </w:p>
    <w:p>
      <w:pPr>
        <w:pageBreakBefore w:val="0"/>
        <w:bidi w:val="0"/>
        <w:spacing w:line="336" w:lineRule="auto"/>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pageBreakBefore w:val="0"/>
        <w:numPr>
          <w:ilvl w:val="0"/>
          <w:numId w:val="24"/>
        </w:numPr>
        <w:overflowPunct/>
        <w:bidi w:val="0"/>
        <w:spacing w:afterAutospacing="0" w:line="336" w:lineRule="auto"/>
        <w:jc w:val="center"/>
        <w:outlineLvl w:val="0"/>
        <w:rPr>
          <w:rFonts w:hint="eastAsia" w:ascii="仿宋" w:hAnsi="仿宋" w:eastAsia="仿宋" w:cs="仿宋"/>
          <w:b/>
          <w:sz w:val="44"/>
          <w:szCs w:val="44"/>
          <w:highlight w:val="none"/>
        </w:rPr>
      </w:pPr>
      <w:r>
        <w:rPr>
          <w:rFonts w:hint="eastAsia" w:ascii="仿宋" w:hAnsi="仿宋" w:eastAsia="仿宋" w:cs="仿宋"/>
          <w:b/>
          <w:sz w:val="44"/>
          <w:szCs w:val="44"/>
          <w:highlight w:val="none"/>
        </w:rPr>
        <w:t>合同条款及格式</w:t>
      </w:r>
      <w:bookmarkEnd w:id="24"/>
    </w:p>
    <w:p>
      <w:pPr>
        <w:pStyle w:val="26"/>
        <w:pageBreakBefore w:val="0"/>
        <w:bidi w:val="0"/>
        <w:spacing w:line="336" w:lineRule="auto"/>
        <w:rPr>
          <w:rFonts w:hint="eastAsia" w:ascii="仿宋" w:hAnsi="仿宋" w:eastAsia="仿宋" w:cs="仿宋"/>
          <w:highlight w:val="none"/>
        </w:rPr>
      </w:pPr>
    </w:p>
    <w:p>
      <w:pPr>
        <w:pStyle w:val="26"/>
        <w:pageBreakBefore w:val="0"/>
        <w:bidi w:val="0"/>
        <w:spacing w:line="336" w:lineRule="auto"/>
        <w:rPr>
          <w:rFonts w:hint="eastAsia" w:ascii="仿宋" w:hAnsi="仿宋" w:eastAsia="仿宋" w:cs="仿宋"/>
          <w:highlight w:val="none"/>
        </w:rPr>
      </w:pPr>
    </w:p>
    <w:p>
      <w:pPr>
        <w:keepNext w:val="0"/>
        <w:keepLines w:val="0"/>
        <w:pageBreakBefore w:val="0"/>
        <w:widowControl w:val="0"/>
        <w:wordWrap/>
        <w:overflowPunct/>
        <w:topLinePunct w:val="0"/>
        <w:autoSpaceDE/>
        <w:autoSpaceDN/>
        <w:bidi w:val="0"/>
        <w:adjustRightInd w:val="0"/>
        <w:snapToGrid w:val="0"/>
        <w:spacing w:line="336" w:lineRule="auto"/>
        <w:ind w:firstLine="482" w:firstLineChars="200"/>
        <w:textAlignment w:val="auto"/>
        <w:rPr>
          <w:rFonts w:hint="eastAsia" w:ascii="仿宋" w:hAnsi="仿宋" w:eastAsia="仿宋" w:cs="仿宋"/>
          <w:b/>
          <w:sz w:val="24"/>
          <w:szCs w:val="24"/>
          <w:highlight w:val="none"/>
        </w:rPr>
      </w:pPr>
      <w:bookmarkStart w:id="25" w:name="_Toc365610865"/>
      <w:r>
        <w:rPr>
          <w:rFonts w:hint="eastAsia" w:ascii="仿宋" w:hAnsi="仿宋" w:eastAsia="仿宋" w:cs="仿宋"/>
          <w:b/>
          <w:sz w:val="24"/>
          <w:szCs w:val="24"/>
          <w:highlight w:val="none"/>
        </w:rPr>
        <w:t>采购人（全称）：</w:t>
      </w:r>
      <w:r>
        <w:rPr>
          <w:rFonts w:hint="eastAsia" w:ascii="仿宋" w:hAnsi="仿宋" w:eastAsia="仿宋" w:cs="仿宋"/>
          <w:b/>
          <w:sz w:val="24"/>
          <w:szCs w:val="24"/>
          <w:highlight w:val="none"/>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firstLine="482" w:firstLineChars="200"/>
        <w:textAlignment w:val="auto"/>
        <w:rPr>
          <w:rFonts w:hint="eastAsia" w:ascii="仿宋" w:hAnsi="仿宋" w:eastAsia="仿宋" w:cs="仿宋"/>
          <w:sz w:val="24"/>
          <w:szCs w:val="24"/>
          <w:highlight w:val="none"/>
          <w:u w:val="single"/>
        </w:rPr>
      </w:pPr>
      <w:r>
        <w:rPr>
          <w:rFonts w:hint="eastAsia" w:ascii="仿宋" w:hAnsi="仿宋" w:eastAsia="仿宋" w:cs="仿宋"/>
          <w:b/>
          <w:sz w:val="24"/>
          <w:szCs w:val="24"/>
          <w:highlight w:val="none"/>
        </w:rPr>
        <w:t>供应商（全称）：</w:t>
      </w:r>
      <w:r>
        <w:rPr>
          <w:rFonts w:hint="eastAsia" w:ascii="仿宋" w:hAnsi="仿宋" w:eastAsia="仿宋" w:cs="仿宋"/>
          <w:b/>
          <w:sz w:val="24"/>
          <w:szCs w:val="24"/>
          <w:highlight w:val="none"/>
          <w:u w:val="single"/>
        </w:rPr>
        <w:t xml:space="preserve">                                   </w:t>
      </w:r>
      <w:r>
        <w:rPr>
          <w:rFonts w:hint="eastAsia" w:ascii="仿宋" w:hAnsi="仿宋" w:eastAsia="仿宋" w:cs="仿宋"/>
          <w:sz w:val="24"/>
          <w:szCs w:val="24"/>
          <w:highlight w:val="none"/>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 xml:space="preserve"> （项目名称）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政府采购招标项目第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号采购结果及相关磋商文件及响应文件，本合同经双方友好协商平等、诚信、协作的原则，按照《</w:t>
      </w:r>
      <w:r>
        <w:rPr>
          <w:rFonts w:hint="eastAsia" w:ascii="仿宋" w:hAnsi="仿宋" w:eastAsia="仿宋" w:cs="仿宋"/>
          <w:bCs/>
          <w:color w:val="auto"/>
          <w:sz w:val="24"/>
          <w:szCs w:val="24"/>
          <w:highlight w:val="none"/>
        </w:rPr>
        <w:t>中华人民共和国政府采购法</w:t>
      </w:r>
      <w:r>
        <w:rPr>
          <w:rFonts w:hint="eastAsia" w:ascii="仿宋" w:hAnsi="仿宋" w:eastAsia="仿宋" w:cs="仿宋"/>
          <w:color w:val="auto"/>
          <w:sz w:val="24"/>
          <w:szCs w:val="24"/>
          <w:highlight w:val="none"/>
        </w:rPr>
        <w:t>》和《</w:t>
      </w:r>
      <w:r>
        <w:rPr>
          <w:rFonts w:hint="eastAsia" w:ascii="仿宋" w:hAnsi="仿宋" w:eastAsia="仿宋" w:cs="仿宋"/>
          <w:bCs/>
          <w:color w:val="auto"/>
          <w:sz w:val="24"/>
          <w:szCs w:val="24"/>
          <w:highlight w:val="none"/>
        </w:rPr>
        <w:t>中华人民共和国</w:t>
      </w:r>
      <w:r>
        <w:rPr>
          <w:rFonts w:hint="eastAsia" w:ascii="仿宋" w:hAnsi="仿宋" w:eastAsia="仿宋" w:cs="仿宋"/>
          <w:bCs/>
          <w:color w:val="auto"/>
          <w:sz w:val="24"/>
          <w:szCs w:val="24"/>
          <w:highlight w:val="none"/>
          <w:lang w:eastAsia="zh-CN"/>
        </w:rPr>
        <w:t>民法典</w:t>
      </w:r>
      <w:r>
        <w:rPr>
          <w:rFonts w:hint="eastAsia" w:ascii="仿宋" w:hAnsi="仿宋" w:eastAsia="仿宋" w:cs="仿宋"/>
          <w:color w:val="auto"/>
          <w:sz w:val="24"/>
          <w:szCs w:val="24"/>
          <w:highlight w:val="none"/>
        </w:rPr>
        <w:t>》经协商一致，订立本合同，供双方共同遵守：</w:t>
      </w:r>
    </w:p>
    <w:p>
      <w:pPr>
        <w:keepNext w:val="0"/>
        <w:keepLines w:val="0"/>
        <w:pageBreakBefore w:val="0"/>
        <w:widowControl w:val="0"/>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为全面贯彻党的十九大精神，落实“以人民为中心”的发展思想，完善灾害救助体系，切实增强政府灾害救助能力，发挥保险经济助推器和社会稳定器的作用，</w:t>
      </w:r>
      <w:r>
        <w:rPr>
          <w:rFonts w:hint="eastAsia" w:ascii="仿宋" w:hAnsi="仿宋" w:eastAsia="仿宋" w:cs="仿宋"/>
          <w:color w:val="auto"/>
          <w:kern w:val="0"/>
          <w:sz w:val="24"/>
          <w:szCs w:val="24"/>
          <w:highlight w:val="none"/>
          <w:lang w:eastAsia="zh-CN"/>
        </w:rPr>
        <w:t>切实</w:t>
      </w:r>
      <w:r>
        <w:rPr>
          <w:rFonts w:hint="eastAsia" w:ascii="仿宋" w:hAnsi="仿宋" w:eastAsia="仿宋" w:cs="仿宋"/>
          <w:color w:val="auto"/>
          <w:kern w:val="0"/>
          <w:sz w:val="24"/>
          <w:szCs w:val="24"/>
          <w:highlight w:val="none"/>
        </w:rPr>
        <w:t>做好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kern w:val="0"/>
          <w:sz w:val="24"/>
          <w:szCs w:val="24"/>
          <w:highlight w:val="none"/>
        </w:rPr>
        <w:t>全市</w:t>
      </w:r>
      <w:r>
        <w:rPr>
          <w:rFonts w:hint="eastAsia" w:ascii="仿宋" w:hAnsi="仿宋" w:eastAsia="仿宋" w:cs="仿宋"/>
          <w:color w:val="auto"/>
          <w:kern w:val="0"/>
          <w:sz w:val="24"/>
          <w:szCs w:val="24"/>
          <w:highlight w:val="none"/>
          <w:lang w:eastAsia="zh-CN"/>
        </w:rPr>
        <w:t>一元民生保险</w:t>
      </w:r>
      <w:r>
        <w:rPr>
          <w:rFonts w:hint="eastAsia" w:ascii="仿宋" w:hAnsi="仿宋" w:eastAsia="仿宋" w:cs="仿宋"/>
          <w:color w:val="auto"/>
          <w:kern w:val="0"/>
          <w:sz w:val="24"/>
          <w:szCs w:val="24"/>
          <w:highlight w:val="none"/>
        </w:rPr>
        <w:t>工作，明确各方责任、义务和权益，在双方自愿的基础上，根据《中华人民共和国合同法》、《中华人民共和国保险法》等相关法律、法规，甲乙双方就承保出单、财政资金划转等具体事宜达成一致，特签订本协议。</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目的</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入贯彻国务院和省政府关于加快发展现代保险服务业的文件精神，进一步完善全市社会救助体系，加大民生保障力度。增强应对重大自然灾害和意外事故、公共突发事件的能力，降低政府风险管理成本，全力创新我市保险机制和社会治理方式。</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t>合作模式</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按市公安局提供的市域辖区内户籍人口数作为参保人数，向乙方投保，乙方按辖区出具保单，提供自然灾害救助、见义勇为救助、拥挤踩踏救助、火灾爆炸救助、传染病救助、恐怖活动救助、精神病人伤人救助、重大恶性案件救助、高空坠物伤人救助、</w:t>
      </w:r>
      <w:r>
        <w:rPr>
          <w:rFonts w:hint="eastAsia" w:ascii="仿宋" w:hAnsi="仿宋" w:eastAsia="仿宋" w:cs="仿宋"/>
          <w:color w:val="auto"/>
          <w:kern w:val="0"/>
          <w:sz w:val="24"/>
          <w:szCs w:val="24"/>
          <w:highlight w:val="none"/>
          <w:lang w:val="en-US" w:eastAsia="zh-CN"/>
        </w:rPr>
        <w:t>煤气、毒气、燃气泄露伤亡救助、危房塌陷事故救助、</w:t>
      </w:r>
      <w:r>
        <w:rPr>
          <w:rFonts w:hint="eastAsia" w:ascii="仿宋" w:hAnsi="仿宋" w:eastAsia="仿宋" w:cs="仿宋"/>
          <w:color w:val="auto"/>
          <w:kern w:val="0"/>
          <w:sz w:val="24"/>
          <w:szCs w:val="24"/>
          <w:highlight w:val="none"/>
        </w:rPr>
        <w:t>溺水事故救助</w:t>
      </w:r>
      <w:r>
        <w:rPr>
          <w:rFonts w:hint="eastAsia" w:ascii="仿宋" w:hAnsi="仿宋" w:eastAsia="仿宋" w:cs="仿宋"/>
          <w:color w:val="auto"/>
          <w:kern w:val="0"/>
          <w:sz w:val="24"/>
          <w:szCs w:val="24"/>
          <w:highlight w:val="none"/>
          <w:lang w:eastAsia="zh-CN"/>
        </w:rPr>
        <w:t>、公共设施漏电事故救助、</w:t>
      </w:r>
      <w:r>
        <w:rPr>
          <w:rFonts w:hint="eastAsia" w:ascii="仿宋" w:hAnsi="仿宋" w:eastAsia="仿宋" w:cs="仿宋"/>
          <w:color w:val="auto"/>
          <w:kern w:val="0"/>
          <w:sz w:val="24"/>
          <w:szCs w:val="24"/>
          <w:highlight w:val="none"/>
          <w:lang w:val="en-US" w:eastAsia="zh-CN"/>
        </w:rPr>
        <w:t>群体性食品安全事故救助、环卫工人意外事故救助、包村干部伤害事故救助、</w:t>
      </w:r>
      <w:r>
        <w:rPr>
          <w:rFonts w:hint="eastAsia" w:ascii="仿宋" w:hAnsi="仿宋" w:eastAsia="仿宋" w:cs="仿宋"/>
          <w:b w:val="0"/>
          <w:bCs w:val="0"/>
          <w:color w:val="auto"/>
          <w:sz w:val="24"/>
          <w:szCs w:val="24"/>
          <w:highlight w:val="none"/>
          <w:lang w:val="en-US" w:eastAsia="zh-CN"/>
        </w:rPr>
        <w:t>建档立卡脱贫户及监测户</w:t>
      </w:r>
      <w:r>
        <w:rPr>
          <w:rFonts w:hint="eastAsia" w:ascii="仿宋" w:hAnsi="仿宋" w:eastAsia="仿宋" w:cs="仿宋"/>
          <w:color w:val="auto"/>
          <w:kern w:val="0"/>
          <w:sz w:val="24"/>
          <w:szCs w:val="24"/>
          <w:highlight w:val="none"/>
          <w:lang w:val="en-US" w:eastAsia="zh-CN"/>
        </w:rPr>
        <w:t>交通事故救助、安置费用救助、窨井井盖事故救助、救灾人员伤亡救助</w:t>
      </w:r>
      <w:r>
        <w:rPr>
          <w:rFonts w:hint="eastAsia" w:ascii="仿宋" w:hAnsi="仿宋" w:eastAsia="仿宋" w:cs="仿宋"/>
          <w:color w:val="auto"/>
          <w:kern w:val="0"/>
          <w:sz w:val="24"/>
          <w:szCs w:val="24"/>
          <w:highlight w:val="none"/>
        </w:rPr>
        <w:t>等保险服务</w:t>
      </w:r>
      <w:r>
        <w:rPr>
          <w:rFonts w:hint="eastAsia" w:ascii="仿宋" w:hAnsi="仿宋" w:eastAsia="仿宋" w:cs="仿宋"/>
          <w:color w:val="auto"/>
          <w:kern w:val="0"/>
          <w:sz w:val="24"/>
          <w:szCs w:val="24"/>
          <w:highlight w:val="none"/>
          <w:lang w:val="en-US" w:eastAsia="zh-CN"/>
        </w:rPr>
        <w:t>。</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rPr>
        <w:t>合同价款</w:t>
      </w:r>
    </w:p>
    <w:p>
      <w:pPr>
        <w:keepNext w:val="0"/>
        <w:keepLines w:val="0"/>
        <w:pageBreakBefore w:val="0"/>
        <w:widowControl w:val="0"/>
        <w:numPr>
          <w:ilvl w:val="0"/>
          <w:numId w:val="26"/>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TW"/>
        </w:rPr>
      </w:pPr>
      <w:r>
        <w:rPr>
          <w:rFonts w:hint="eastAsia" w:ascii="仿宋" w:hAnsi="仿宋" w:eastAsia="仿宋" w:cs="仿宋"/>
          <w:bCs/>
          <w:color w:val="auto"/>
          <w:sz w:val="24"/>
          <w:szCs w:val="24"/>
          <w:highlight w:val="none"/>
          <w:lang w:val="en-US" w:eastAsia="zh-CN"/>
        </w:rPr>
        <w:t>参保人数：</w:t>
      </w:r>
      <w:r>
        <w:rPr>
          <w:rFonts w:hint="eastAsia" w:ascii="仿宋" w:hAnsi="仿宋" w:eastAsia="仿宋" w:cs="仿宋"/>
          <w:bCs/>
          <w:color w:val="auto"/>
          <w:sz w:val="24"/>
          <w:szCs w:val="24"/>
          <w:highlight w:val="none"/>
          <w:u w:val="single"/>
          <w:lang w:val="en-US" w:eastAsia="zh-CN"/>
        </w:rPr>
        <w:t xml:space="preserve"> 361397 </w:t>
      </w:r>
      <w:r>
        <w:rPr>
          <w:rFonts w:hint="eastAsia" w:ascii="仿宋" w:hAnsi="仿宋" w:eastAsia="仿宋" w:cs="仿宋"/>
          <w:bCs/>
          <w:color w:val="auto"/>
          <w:sz w:val="24"/>
          <w:szCs w:val="24"/>
          <w:highlight w:val="none"/>
          <w:lang w:val="en-US" w:eastAsia="zh-CN"/>
        </w:rPr>
        <w:t>人。</w:t>
      </w:r>
    </w:p>
    <w:p>
      <w:pPr>
        <w:keepNext w:val="0"/>
        <w:keepLines w:val="0"/>
        <w:pageBreakBefore w:val="0"/>
        <w:widowControl w:val="0"/>
        <w:numPr>
          <w:ilvl w:val="0"/>
          <w:numId w:val="26"/>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固定综合</w:t>
      </w:r>
      <w:r>
        <w:rPr>
          <w:rFonts w:hint="eastAsia" w:ascii="仿宋" w:hAnsi="仿宋" w:eastAsia="仿宋" w:cs="仿宋"/>
          <w:bCs/>
          <w:color w:val="auto"/>
          <w:sz w:val="24"/>
          <w:szCs w:val="24"/>
          <w:highlight w:val="none"/>
          <w:lang w:val="en-US" w:eastAsia="zh-CN"/>
        </w:rPr>
        <w:t>单价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lang w:val="en-US" w:eastAsia="zh-CN"/>
        </w:rPr>
        <w:t xml:space="preserve"> 1 </w:t>
      </w:r>
      <w:r>
        <w:rPr>
          <w:rFonts w:hint="eastAsia" w:ascii="仿宋" w:hAnsi="仿宋" w:eastAsia="仿宋" w:cs="仿宋"/>
          <w:bCs/>
          <w:color w:val="auto"/>
          <w:sz w:val="24"/>
          <w:szCs w:val="24"/>
          <w:highlight w:val="none"/>
          <w:lang w:val="en-US" w:eastAsia="zh-CN"/>
        </w:rPr>
        <w:t>元/人。</w:t>
      </w:r>
    </w:p>
    <w:p>
      <w:pPr>
        <w:keepNext w:val="0"/>
        <w:keepLines w:val="0"/>
        <w:pageBreakBefore w:val="0"/>
        <w:widowControl w:val="0"/>
        <w:numPr>
          <w:ilvl w:val="0"/>
          <w:numId w:val="26"/>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合同总价款为人民币（大写）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u w:val="single"/>
        </w:rPr>
        <w:t xml:space="preserve">      元</w:t>
      </w:r>
      <w:r>
        <w:rPr>
          <w:rFonts w:hint="eastAsia" w:ascii="仿宋" w:hAnsi="仿宋" w:eastAsia="仿宋" w:cs="仿宋"/>
          <w:bCs/>
          <w:color w:val="auto"/>
          <w:sz w:val="24"/>
          <w:szCs w:val="24"/>
          <w:highlight w:val="none"/>
        </w:rPr>
        <w:t>）。</w:t>
      </w:r>
    </w:p>
    <w:p>
      <w:pPr>
        <w:keepNext w:val="0"/>
        <w:keepLines w:val="0"/>
        <w:pageBreakBefore w:val="0"/>
        <w:widowControl w:val="0"/>
        <w:numPr>
          <w:ilvl w:val="0"/>
          <w:numId w:val="26"/>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合同总价一次性包死，不受市场价格变化因素的影响。</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款项结算</w:t>
      </w:r>
    </w:p>
    <w:p>
      <w:pPr>
        <w:keepNext w:val="0"/>
        <w:keepLines w:val="0"/>
        <w:pageBreakBefore w:val="0"/>
        <w:widowControl w:val="0"/>
        <w:numPr>
          <w:ilvl w:val="0"/>
          <w:numId w:val="27"/>
        </w:numPr>
        <w:wordWrap/>
        <w:overflowPunct/>
        <w:topLinePunct w:val="0"/>
        <w:autoSpaceDE/>
        <w:autoSpaceDN/>
        <w:bidi w:val="0"/>
        <w:adjustRightInd w:val="0"/>
        <w:snapToGrid w:val="0"/>
        <w:spacing w:line="336" w:lineRule="auto"/>
        <w:ind w:left="0" w:leftChars="0" w:firstLine="420" w:firstLineChars="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合同款的</w:t>
      </w:r>
      <w:r>
        <w:rPr>
          <w:rFonts w:hint="eastAsia" w:ascii="仿宋" w:hAnsi="仿宋" w:eastAsia="仿宋" w:cs="仿宋"/>
          <w:bCs/>
          <w:color w:val="auto"/>
          <w:sz w:val="24"/>
          <w:szCs w:val="24"/>
          <w:highlight w:val="none"/>
          <w:lang w:eastAsia="zh-CN"/>
        </w:rPr>
        <w:t>支付：按照实际参保人数，据实结算，一次性付清。</w:t>
      </w:r>
    </w:p>
    <w:p>
      <w:pPr>
        <w:keepNext w:val="0"/>
        <w:keepLines w:val="0"/>
        <w:pageBreakBefore w:val="0"/>
        <w:widowControl w:val="0"/>
        <w:numPr>
          <w:ilvl w:val="0"/>
          <w:numId w:val="27"/>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TW"/>
        </w:rPr>
      </w:pPr>
      <w:r>
        <w:rPr>
          <w:rFonts w:hint="eastAsia" w:ascii="仿宋" w:hAnsi="仿宋" w:eastAsia="仿宋" w:cs="仿宋"/>
          <w:bCs/>
          <w:color w:val="auto"/>
          <w:sz w:val="24"/>
          <w:szCs w:val="24"/>
          <w:highlight w:val="none"/>
          <w:lang w:val="zh-TW" w:eastAsia="zh-TW"/>
        </w:rPr>
        <w:t>支付方式：银行转账。</w:t>
      </w:r>
    </w:p>
    <w:p>
      <w:pPr>
        <w:keepNext w:val="0"/>
        <w:keepLines w:val="0"/>
        <w:pageBreakBefore w:val="0"/>
        <w:widowControl w:val="0"/>
        <w:numPr>
          <w:ilvl w:val="0"/>
          <w:numId w:val="27"/>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TW"/>
        </w:rPr>
      </w:pPr>
      <w:r>
        <w:rPr>
          <w:rFonts w:hint="eastAsia" w:ascii="仿宋" w:hAnsi="仿宋" w:eastAsia="仿宋" w:cs="仿宋"/>
          <w:bCs/>
          <w:color w:val="auto"/>
          <w:sz w:val="24"/>
          <w:szCs w:val="24"/>
          <w:highlight w:val="none"/>
          <w:lang w:val="zh-TW" w:eastAsia="zh-CN"/>
        </w:rPr>
        <w:t>结算方式：验收合格后填写政府采购项目验收单（一式伍份）,发票（按合同总价</w:t>
      </w:r>
      <w:r>
        <w:rPr>
          <w:rFonts w:hint="eastAsia" w:ascii="仿宋" w:hAnsi="仿宋" w:eastAsia="仿宋" w:cs="仿宋"/>
          <w:bCs/>
          <w:color w:val="auto"/>
          <w:sz w:val="24"/>
          <w:szCs w:val="24"/>
          <w:highlight w:val="none"/>
          <w:lang w:val="en-US" w:eastAsia="zh-CN"/>
        </w:rPr>
        <w:t>直</w:t>
      </w:r>
      <w:r>
        <w:rPr>
          <w:rFonts w:hint="eastAsia" w:ascii="仿宋" w:hAnsi="仿宋" w:eastAsia="仿宋" w:cs="仿宋"/>
          <w:bCs/>
          <w:color w:val="auto"/>
          <w:sz w:val="24"/>
          <w:szCs w:val="24"/>
          <w:highlight w:val="none"/>
          <w:lang w:val="zh-TW" w:eastAsia="zh-CN"/>
        </w:rPr>
        <w:t>开采购人），服务商</w:t>
      </w:r>
      <w:r>
        <w:rPr>
          <w:rFonts w:hint="eastAsia" w:ascii="仿宋" w:hAnsi="仿宋" w:eastAsia="仿宋" w:cs="仿宋"/>
          <w:bCs/>
          <w:color w:val="auto"/>
          <w:sz w:val="24"/>
          <w:szCs w:val="24"/>
          <w:highlight w:val="none"/>
          <w:lang w:val="zh-TW" w:eastAsia="zh-TW"/>
        </w:rPr>
        <w:t>持成交通知书、发票、合同、政府采购项目验收单，与采购人结算。</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甲方权利和义务</w:t>
      </w:r>
    </w:p>
    <w:p>
      <w:pPr>
        <w:keepNext w:val="0"/>
        <w:keepLines w:val="0"/>
        <w:pageBreakBefore w:val="0"/>
        <w:widowControl w:val="0"/>
        <w:numPr>
          <w:ilvl w:val="0"/>
          <w:numId w:val="28"/>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val="zh-TW" w:eastAsia="zh-CN"/>
        </w:rPr>
        <w:t>甲方协调各方，确保一元民生保险项目顺利推进。</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甲方协调</w:t>
      </w:r>
      <w:r>
        <w:rPr>
          <w:rFonts w:hint="eastAsia" w:ascii="仿宋" w:hAnsi="仿宋" w:eastAsia="仿宋" w:cs="仿宋"/>
          <w:color w:val="auto"/>
          <w:kern w:val="0"/>
          <w:sz w:val="24"/>
          <w:szCs w:val="24"/>
          <w:highlight w:val="none"/>
          <w:lang w:eastAsia="zh-CN"/>
        </w:rPr>
        <w:t>市委政法委</w:t>
      </w:r>
      <w:r>
        <w:rPr>
          <w:rFonts w:hint="eastAsia" w:ascii="仿宋" w:hAnsi="仿宋" w:eastAsia="仿宋" w:cs="仿宋"/>
          <w:color w:val="auto"/>
          <w:kern w:val="0"/>
          <w:sz w:val="24"/>
          <w:szCs w:val="24"/>
          <w:highlight w:val="none"/>
        </w:rPr>
        <w:t>、市公安局、市财政局、市民政局、市</w:t>
      </w:r>
      <w:r>
        <w:rPr>
          <w:rFonts w:hint="eastAsia" w:ascii="仿宋" w:hAnsi="仿宋" w:eastAsia="仿宋" w:cs="仿宋"/>
          <w:color w:val="auto"/>
          <w:kern w:val="0"/>
          <w:sz w:val="24"/>
          <w:szCs w:val="24"/>
          <w:highlight w:val="none"/>
          <w:lang w:eastAsia="zh-CN"/>
        </w:rPr>
        <w:t>卫健委</w:t>
      </w:r>
      <w:r>
        <w:rPr>
          <w:rFonts w:hint="eastAsia" w:ascii="仿宋" w:hAnsi="仿宋" w:eastAsia="仿宋" w:cs="仿宋"/>
          <w:color w:val="auto"/>
          <w:kern w:val="0"/>
          <w:sz w:val="24"/>
          <w:szCs w:val="24"/>
          <w:highlight w:val="none"/>
        </w:rPr>
        <w:t>、各县市区</w:t>
      </w:r>
      <w:r>
        <w:rPr>
          <w:rFonts w:hint="eastAsia" w:ascii="仿宋" w:hAnsi="仿宋" w:eastAsia="仿宋" w:cs="仿宋"/>
          <w:color w:val="auto"/>
          <w:kern w:val="0"/>
          <w:sz w:val="24"/>
          <w:szCs w:val="24"/>
          <w:highlight w:val="none"/>
          <w:lang w:eastAsia="zh-CN"/>
        </w:rPr>
        <w:t>政府</w:t>
      </w:r>
      <w:r>
        <w:rPr>
          <w:rFonts w:hint="eastAsia" w:ascii="仿宋" w:hAnsi="仿宋" w:eastAsia="仿宋" w:cs="仿宋"/>
          <w:color w:val="auto"/>
          <w:kern w:val="0"/>
          <w:sz w:val="24"/>
          <w:szCs w:val="24"/>
          <w:highlight w:val="none"/>
        </w:rPr>
        <w:t>等单位，对该项业务在投保人数、投保盖章、财政资金划转等方面予以配合。</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协调</w:t>
      </w:r>
      <w:r>
        <w:rPr>
          <w:rFonts w:hint="eastAsia" w:ascii="仿宋" w:hAnsi="仿宋" w:eastAsia="仿宋" w:cs="仿宋"/>
          <w:color w:val="auto"/>
          <w:kern w:val="0"/>
          <w:sz w:val="24"/>
          <w:szCs w:val="24"/>
          <w:highlight w:val="none"/>
          <w:lang w:eastAsia="zh-CN"/>
        </w:rPr>
        <w:t>政法、公安</w:t>
      </w:r>
      <w:r>
        <w:rPr>
          <w:rFonts w:hint="eastAsia" w:ascii="仿宋" w:hAnsi="仿宋" w:eastAsia="仿宋" w:cs="仿宋"/>
          <w:color w:val="auto"/>
          <w:kern w:val="0"/>
          <w:sz w:val="24"/>
          <w:szCs w:val="24"/>
          <w:highlight w:val="none"/>
        </w:rPr>
        <w:t>部门负责对被保险人见义勇为行为进行认定。协调公安部门负责提供辖区内户籍人口数据信息。协调民政部门负责提供投保单盖章及协助理赔申报等工作。协调财政部门负责保费资金的预算、筹集、拨付等工作。协调卫</w:t>
      </w:r>
      <w:r>
        <w:rPr>
          <w:rFonts w:hint="eastAsia" w:ascii="仿宋" w:hAnsi="仿宋" w:eastAsia="仿宋" w:cs="仿宋"/>
          <w:color w:val="auto"/>
          <w:kern w:val="0"/>
          <w:sz w:val="24"/>
          <w:szCs w:val="24"/>
          <w:highlight w:val="none"/>
          <w:lang w:eastAsia="zh-CN"/>
        </w:rPr>
        <w:t>健</w:t>
      </w:r>
      <w:r>
        <w:rPr>
          <w:rFonts w:hint="eastAsia" w:ascii="仿宋" w:hAnsi="仿宋" w:eastAsia="仿宋" w:cs="仿宋"/>
          <w:color w:val="auto"/>
          <w:kern w:val="0"/>
          <w:sz w:val="24"/>
          <w:szCs w:val="24"/>
          <w:highlight w:val="none"/>
        </w:rPr>
        <w:t>部门负责督促各医疗单位做好灾害发生后的救死扶伤工作，将损失降到最低程度。协调宣传部门深入广泛宣传，确保保险政策家喻户晓。</w:t>
      </w:r>
    </w:p>
    <w:p>
      <w:pPr>
        <w:keepNext w:val="0"/>
        <w:keepLines w:val="0"/>
        <w:pageBreakBefore w:val="0"/>
        <w:widowControl w:val="0"/>
        <w:numPr>
          <w:ilvl w:val="0"/>
          <w:numId w:val="28"/>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val="zh-TW" w:eastAsia="zh-CN"/>
        </w:rPr>
        <w:t>协调提供投保资料，确保承保顺利出单。</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协议签订后5日内，甲方根据辖区内(公安局口径)人数，以县市区为单位，按每人1元(财政专项列支)，</w:t>
      </w:r>
      <w:r>
        <w:rPr>
          <w:rFonts w:hint="eastAsia" w:ascii="仿宋" w:hAnsi="仿宋" w:eastAsia="仿宋" w:cs="仿宋"/>
          <w:color w:val="auto"/>
          <w:kern w:val="0"/>
          <w:sz w:val="24"/>
          <w:szCs w:val="24"/>
          <w:highlight w:val="none"/>
          <w:lang w:eastAsia="zh-CN"/>
        </w:rPr>
        <w:t>与乙方</w:t>
      </w:r>
      <w:r>
        <w:rPr>
          <w:rFonts w:hint="eastAsia" w:ascii="仿宋" w:hAnsi="仿宋" w:eastAsia="仿宋" w:cs="仿宋"/>
          <w:color w:val="auto"/>
          <w:kern w:val="0"/>
          <w:sz w:val="24"/>
          <w:szCs w:val="24"/>
          <w:highlight w:val="none"/>
        </w:rPr>
        <w:t>签订投保单并盖章，</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rPr>
        <w:t>按投保单统一出具保单。</w:t>
      </w:r>
    </w:p>
    <w:p>
      <w:pPr>
        <w:keepNext w:val="0"/>
        <w:keepLines w:val="0"/>
        <w:pageBreakBefore w:val="0"/>
        <w:widowControl w:val="0"/>
        <w:numPr>
          <w:ilvl w:val="0"/>
          <w:numId w:val="28"/>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val="zh-TW" w:eastAsia="zh-CN"/>
        </w:rPr>
        <w:t>协调保费划转，确保资金及时足额到账</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保单出具后，一个月内，</w:t>
      </w:r>
      <w:r>
        <w:rPr>
          <w:rFonts w:hint="eastAsia" w:ascii="仿宋" w:hAnsi="仿宋" w:eastAsia="仿宋" w:cs="仿宋"/>
          <w:color w:val="auto"/>
          <w:kern w:val="0"/>
          <w:sz w:val="24"/>
          <w:szCs w:val="24"/>
          <w:highlight w:val="none"/>
          <w:lang w:eastAsia="zh-CN"/>
        </w:rPr>
        <w:t>乙方开具保险发票，</w:t>
      </w:r>
      <w:r>
        <w:rPr>
          <w:rFonts w:hint="eastAsia" w:ascii="仿宋" w:hAnsi="仿宋" w:eastAsia="仿宋" w:cs="仿宋"/>
          <w:color w:val="auto"/>
          <w:kern w:val="0"/>
          <w:sz w:val="24"/>
          <w:szCs w:val="24"/>
          <w:highlight w:val="none"/>
        </w:rPr>
        <w:t>甲方协调市财政局</w:t>
      </w:r>
      <w:r>
        <w:rPr>
          <w:rFonts w:hint="eastAsia" w:ascii="仿宋" w:hAnsi="仿宋" w:eastAsia="仿宋" w:cs="仿宋"/>
          <w:color w:val="auto"/>
          <w:kern w:val="0"/>
          <w:sz w:val="24"/>
          <w:szCs w:val="24"/>
          <w:highlight w:val="none"/>
          <w:lang w:eastAsia="zh-CN"/>
        </w:rPr>
        <w:t>全额</w:t>
      </w:r>
      <w:r>
        <w:rPr>
          <w:rFonts w:hint="eastAsia" w:ascii="仿宋" w:hAnsi="仿宋" w:eastAsia="仿宋" w:cs="仿宋"/>
          <w:color w:val="auto"/>
          <w:kern w:val="0"/>
          <w:sz w:val="24"/>
          <w:szCs w:val="24"/>
          <w:highlight w:val="none"/>
        </w:rPr>
        <w:t>统一划转</w:t>
      </w:r>
      <w:r>
        <w:rPr>
          <w:rFonts w:hint="eastAsia" w:ascii="仿宋" w:hAnsi="仿宋" w:eastAsia="仿宋" w:cs="仿宋"/>
          <w:color w:val="auto"/>
          <w:kern w:val="0"/>
          <w:sz w:val="24"/>
          <w:szCs w:val="24"/>
          <w:highlight w:val="none"/>
          <w:lang w:eastAsia="zh-CN"/>
        </w:rPr>
        <w:t>资金</w:t>
      </w:r>
      <w:r>
        <w:rPr>
          <w:rFonts w:hint="eastAsia" w:ascii="仿宋" w:hAnsi="仿宋" w:eastAsia="仿宋" w:cs="仿宋"/>
          <w:color w:val="auto"/>
          <w:kern w:val="0"/>
          <w:sz w:val="24"/>
          <w:szCs w:val="24"/>
          <w:highlight w:val="none"/>
        </w:rPr>
        <w:t>。</w:t>
      </w:r>
    </w:p>
    <w:p>
      <w:pPr>
        <w:keepNext w:val="0"/>
        <w:keepLines w:val="0"/>
        <w:pageBreakBefore w:val="0"/>
        <w:widowControl w:val="0"/>
        <w:numPr>
          <w:ilvl w:val="0"/>
          <w:numId w:val="28"/>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val="zh-TW" w:eastAsia="zh-CN"/>
        </w:rPr>
        <w:t>协调提供理赔资料，确保案件及时处理。</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因自然灾害导致死亡的，甲方协调按保险条款列明的灾害类别由县政府、气象等部门出具灾害证明；因见义勇为、其他政府救助类责任等导致死亡的，协调县级及县级以上</w:t>
      </w:r>
      <w:r>
        <w:rPr>
          <w:rFonts w:hint="eastAsia" w:ascii="仿宋" w:hAnsi="仿宋" w:eastAsia="仿宋" w:cs="仿宋"/>
          <w:color w:val="auto"/>
          <w:kern w:val="0"/>
          <w:sz w:val="24"/>
          <w:szCs w:val="24"/>
          <w:highlight w:val="none"/>
          <w:lang w:eastAsia="zh-CN"/>
        </w:rPr>
        <w:t>政法委、公安局</w:t>
      </w:r>
      <w:r>
        <w:rPr>
          <w:rFonts w:hint="eastAsia" w:ascii="仿宋" w:hAnsi="仿宋" w:eastAsia="仿宋" w:cs="仿宋"/>
          <w:color w:val="auto"/>
          <w:kern w:val="0"/>
          <w:sz w:val="24"/>
          <w:szCs w:val="24"/>
          <w:highlight w:val="none"/>
        </w:rPr>
        <w:t>出具见义勇为认定证明、事故证明。死者亲属出具书面申请、死亡证明、户口注销单等材料。</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bCs/>
          <w:color w:val="auto"/>
          <w:sz w:val="24"/>
          <w:szCs w:val="24"/>
          <w:highlight w:val="none"/>
          <w:lang w:val="zh-TW" w:eastAsia="zh-CN"/>
        </w:rPr>
      </w:pPr>
      <w:r>
        <w:rPr>
          <w:rFonts w:hint="eastAsia" w:ascii="仿宋" w:hAnsi="仿宋" w:eastAsia="仿宋" w:cs="仿宋"/>
          <w:color w:val="auto"/>
          <w:kern w:val="0"/>
          <w:sz w:val="24"/>
          <w:szCs w:val="24"/>
          <w:highlight w:val="none"/>
        </w:rPr>
        <w:t>因上述责任事项致伤住院治疗或者致残的，在治疗终结后，协调县级及县级以上伤残评定机构出具伤残等级证明材料。其他材料由伤者提供。</w:t>
      </w:r>
    </w:p>
    <w:p>
      <w:pPr>
        <w:keepNext w:val="0"/>
        <w:keepLines w:val="0"/>
        <w:pageBreakBefore w:val="0"/>
        <w:widowControl w:val="0"/>
        <w:numPr>
          <w:ilvl w:val="0"/>
          <w:numId w:val="28"/>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val="zh-TW" w:eastAsia="zh-CN"/>
        </w:rPr>
        <w:t>监督检查，做好服务评价</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甲方协调市</w:t>
      </w:r>
      <w:r>
        <w:rPr>
          <w:rFonts w:hint="eastAsia" w:ascii="仿宋" w:hAnsi="仿宋" w:eastAsia="仿宋" w:cs="仿宋"/>
          <w:color w:val="auto"/>
          <w:kern w:val="0"/>
          <w:sz w:val="24"/>
          <w:szCs w:val="24"/>
          <w:highlight w:val="none"/>
          <w:lang w:eastAsia="zh-CN"/>
        </w:rPr>
        <w:t>保险监管部门</w:t>
      </w:r>
      <w:r>
        <w:rPr>
          <w:rFonts w:hint="eastAsia" w:ascii="仿宋" w:hAnsi="仿宋" w:eastAsia="仿宋" w:cs="仿宋"/>
          <w:color w:val="auto"/>
          <w:kern w:val="0"/>
          <w:sz w:val="24"/>
          <w:szCs w:val="24"/>
          <w:highlight w:val="none"/>
        </w:rPr>
        <w:t>，对乙方理赔服务规范性和服务质量进行监督检查，并做出年度评价。</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乙方权利和义务</w:t>
      </w:r>
    </w:p>
    <w:p>
      <w:pPr>
        <w:keepNext w:val="0"/>
        <w:keepLines w:val="0"/>
        <w:pageBreakBefore w:val="0"/>
        <w:widowControl w:val="0"/>
        <w:numPr>
          <w:ilvl w:val="0"/>
          <w:numId w:val="29"/>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CN"/>
        </w:rPr>
      </w:pPr>
      <w:r>
        <w:rPr>
          <w:rFonts w:hint="eastAsia" w:ascii="仿宋" w:hAnsi="仿宋" w:eastAsia="仿宋" w:cs="仿宋"/>
          <w:bCs/>
          <w:color w:val="auto"/>
          <w:sz w:val="24"/>
          <w:szCs w:val="24"/>
          <w:highlight w:val="none"/>
          <w:lang w:val="zh-TW" w:eastAsia="zh-CN"/>
        </w:rPr>
        <w:t>乙方按合同规定出具保单，收取保费。</w:t>
      </w:r>
    </w:p>
    <w:p>
      <w:pPr>
        <w:keepNext w:val="0"/>
        <w:keepLines w:val="0"/>
        <w:pageBreakBefore w:val="0"/>
        <w:widowControl w:val="0"/>
        <w:numPr>
          <w:ilvl w:val="0"/>
          <w:numId w:val="29"/>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CN"/>
        </w:rPr>
      </w:pPr>
      <w:r>
        <w:rPr>
          <w:rFonts w:hint="eastAsia" w:ascii="仿宋" w:hAnsi="仿宋" w:eastAsia="仿宋" w:cs="仿宋"/>
          <w:bCs/>
          <w:color w:val="auto"/>
          <w:sz w:val="24"/>
          <w:szCs w:val="24"/>
          <w:highlight w:val="none"/>
          <w:lang w:val="zh-TW" w:eastAsia="zh-CN"/>
        </w:rPr>
        <w:t>乙方做好事故现场勘查和案件上报工作。乙方分支机构在接到报案后第一时间内赴事故现场进行勘查，并及时将事故灾害有关情况及理赔办案情况报送市金融办和有关部门。</w:t>
      </w:r>
    </w:p>
    <w:p>
      <w:pPr>
        <w:keepNext w:val="0"/>
        <w:keepLines w:val="0"/>
        <w:pageBreakBefore w:val="0"/>
        <w:widowControl w:val="0"/>
        <w:numPr>
          <w:ilvl w:val="0"/>
          <w:numId w:val="29"/>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CN"/>
        </w:rPr>
      </w:pPr>
      <w:r>
        <w:rPr>
          <w:rFonts w:hint="eastAsia" w:ascii="仿宋" w:hAnsi="仿宋" w:eastAsia="仿宋" w:cs="仿宋"/>
          <w:bCs/>
          <w:color w:val="auto"/>
          <w:sz w:val="24"/>
          <w:szCs w:val="24"/>
          <w:highlight w:val="none"/>
          <w:lang w:val="zh-TW" w:eastAsia="zh-CN"/>
        </w:rPr>
        <w:t>乙方收集资料，应一次性告知申报人所需理赔资料，并向申报人提供必要的帮助。</w:t>
      </w:r>
    </w:p>
    <w:p>
      <w:pPr>
        <w:keepNext w:val="0"/>
        <w:keepLines w:val="0"/>
        <w:pageBreakBefore w:val="0"/>
        <w:widowControl w:val="0"/>
        <w:numPr>
          <w:ilvl w:val="0"/>
          <w:numId w:val="29"/>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CN"/>
        </w:rPr>
      </w:pPr>
      <w:r>
        <w:rPr>
          <w:rFonts w:hint="eastAsia" w:ascii="仿宋" w:hAnsi="仿宋" w:eastAsia="仿宋" w:cs="仿宋"/>
          <w:bCs/>
          <w:color w:val="auto"/>
          <w:sz w:val="24"/>
          <w:szCs w:val="24"/>
          <w:highlight w:val="none"/>
          <w:lang w:val="zh-TW" w:eastAsia="zh-CN"/>
        </w:rPr>
        <w:t>乙方收集理赔材料后，应在</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TW" w:eastAsia="zh-CN"/>
        </w:rPr>
        <w:t>个工作日内将赔款支付到被保险受益人账户。</w:t>
      </w:r>
    </w:p>
    <w:p>
      <w:pPr>
        <w:keepNext w:val="0"/>
        <w:keepLines w:val="0"/>
        <w:pageBreakBefore w:val="0"/>
        <w:widowControl w:val="0"/>
        <w:numPr>
          <w:ilvl w:val="0"/>
          <w:numId w:val="29"/>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CN"/>
        </w:rPr>
      </w:pPr>
      <w:r>
        <w:rPr>
          <w:rFonts w:hint="eastAsia" w:ascii="仿宋" w:hAnsi="仿宋" w:eastAsia="仿宋" w:cs="仿宋"/>
          <w:bCs/>
          <w:color w:val="auto"/>
          <w:sz w:val="24"/>
          <w:szCs w:val="24"/>
          <w:highlight w:val="none"/>
          <w:lang w:val="zh-TW" w:eastAsia="zh-CN"/>
        </w:rPr>
        <w:t>乙方做好理赔信息通报。乙方每月向市金融工作办公室等部门报告赔案处理情况及信息统计报表。若遇到群体性重大保险责任事故，要及时报告要情概况，并在理赔案件结束</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TW" w:eastAsia="zh-CN"/>
        </w:rPr>
        <w:t>个工作日内报告信息情况。</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eastAsia" w:ascii="仿宋" w:hAnsi="仿宋" w:eastAsia="仿宋" w:cs="仿宋"/>
          <w:b/>
          <w:bCs/>
          <w:color w:val="auto"/>
          <w:kern w:val="0"/>
          <w:sz w:val="24"/>
          <w:szCs w:val="24"/>
          <w:highlight w:val="none"/>
          <w:lang w:val="zh-TW" w:eastAsia="zh-CN"/>
        </w:rPr>
      </w:pPr>
      <w:r>
        <w:rPr>
          <w:rFonts w:hint="eastAsia" w:ascii="仿宋" w:hAnsi="仿宋" w:eastAsia="仿宋" w:cs="仿宋"/>
          <w:b/>
          <w:bCs/>
          <w:color w:val="auto"/>
          <w:kern w:val="0"/>
          <w:sz w:val="24"/>
          <w:szCs w:val="24"/>
          <w:highlight w:val="none"/>
          <w:lang w:val="zh-TW" w:eastAsia="zh-CN"/>
        </w:rPr>
        <w:t>保密条款</w:t>
      </w:r>
    </w:p>
    <w:p>
      <w:pPr>
        <w:keepNext w:val="0"/>
        <w:keepLines w:val="0"/>
        <w:pageBreakBefore w:val="0"/>
        <w:widowControl w:val="0"/>
        <w:numPr>
          <w:ilvl w:val="0"/>
          <w:numId w:val="30"/>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CN"/>
        </w:rPr>
      </w:pPr>
      <w:r>
        <w:rPr>
          <w:rFonts w:hint="eastAsia" w:ascii="仿宋" w:hAnsi="仿宋" w:eastAsia="仿宋" w:cs="仿宋"/>
          <w:b w:val="0"/>
          <w:bCs/>
          <w:color w:val="auto"/>
          <w:kern w:val="2"/>
          <w:sz w:val="24"/>
          <w:szCs w:val="24"/>
          <w:highlight w:val="none"/>
          <w:u w:val="none"/>
          <w:lang w:val="zh-TW" w:eastAsia="zh-CN" w:bidi="ar-SA"/>
        </w:rPr>
        <w:t>未经采购人</w:t>
      </w:r>
      <w:r>
        <w:rPr>
          <w:rFonts w:hint="eastAsia" w:ascii="仿宋" w:hAnsi="仿宋" w:eastAsia="仿宋" w:cs="仿宋"/>
          <w:bCs/>
          <w:color w:val="auto"/>
          <w:kern w:val="2"/>
          <w:sz w:val="24"/>
          <w:szCs w:val="24"/>
          <w:highlight w:val="none"/>
          <w:u w:val="none"/>
          <w:lang w:val="zh-TW" w:eastAsia="zh-CN" w:bidi="ar-SA"/>
        </w:rPr>
        <w:t>同意，成交</w:t>
      </w:r>
      <w:r>
        <w:rPr>
          <w:rFonts w:hint="eastAsia" w:ascii="仿宋" w:hAnsi="仿宋" w:eastAsia="仿宋" w:cs="仿宋"/>
          <w:bCs/>
          <w:color w:val="auto"/>
          <w:sz w:val="24"/>
          <w:szCs w:val="24"/>
          <w:highlight w:val="none"/>
          <w:lang w:val="zh-TW" w:eastAsia="zh-CN"/>
        </w:rPr>
        <w:t>服务商不得向第三方扩散、转让报告的所有中间成果和最终成果；</w:t>
      </w:r>
    </w:p>
    <w:p>
      <w:pPr>
        <w:keepNext w:val="0"/>
        <w:keepLines w:val="0"/>
        <w:pageBreakBefore w:val="0"/>
        <w:widowControl w:val="0"/>
        <w:numPr>
          <w:ilvl w:val="0"/>
          <w:numId w:val="30"/>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sz w:val="24"/>
          <w:szCs w:val="24"/>
          <w:highlight w:val="none"/>
          <w:lang w:val="zh-TW" w:eastAsia="zh-CN"/>
        </w:rPr>
      </w:pPr>
      <w:r>
        <w:rPr>
          <w:rFonts w:hint="eastAsia" w:ascii="仿宋" w:hAnsi="仿宋" w:eastAsia="仿宋" w:cs="仿宋"/>
          <w:bCs/>
          <w:color w:val="auto"/>
          <w:sz w:val="24"/>
          <w:szCs w:val="24"/>
          <w:highlight w:val="none"/>
          <w:lang w:val="zh-TW" w:eastAsia="zh-CN"/>
        </w:rPr>
        <w:t>双方应妥善保管对方提供的资料，保守对方的各项秘密。未经对方许可，不得利用知悉的对方资料和成果为自己或第三方谋取利益。</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eastAsia" w:ascii="仿宋" w:hAnsi="仿宋" w:eastAsia="仿宋" w:cs="仿宋"/>
          <w:b/>
          <w:bCs/>
          <w:color w:val="auto"/>
          <w:kern w:val="0"/>
          <w:sz w:val="24"/>
          <w:szCs w:val="24"/>
          <w:highlight w:val="none"/>
          <w:lang w:val="zh-TW" w:eastAsia="zh-CN"/>
        </w:rPr>
      </w:pPr>
      <w:r>
        <w:rPr>
          <w:rFonts w:hint="eastAsia" w:ascii="仿宋" w:hAnsi="仿宋" w:eastAsia="仿宋" w:cs="仿宋"/>
          <w:b/>
          <w:bCs/>
          <w:color w:val="auto"/>
          <w:kern w:val="0"/>
          <w:sz w:val="24"/>
          <w:szCs w:val="24"/>
          <w:highlight w:val="none"/>
          <w:lang w:val="zh-TW" w:eastAsia="zh-CN"/>
        </w:rPr>
        <w:t>违约责任</w:t>
      </w:r>
    </w:p>
    <w:p>
      <w:pPr>
        <w:keepNext w:val="0"/>
        <w:keepLines w:val="0"/>
        <w:pageBreakBefore w:val="0"/>
        <w:widowControl w:val="0"/>
        <w:numPr>
          <w:ilvl w:val="0"/>
          <w:numId w:val="31"/>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kern w:val="2"/>
          <w:sz w:val="24"/>
          <w:szCs w:val="24"/>
          <w:highlight w:val="none"/>
          <w:u w:val="none"/>
          <w:lang w:val="zh-TW" w:eastAsia="zh-CN" w:bidi="ar-SA"/>
        </w:rPr>
      </w:pPr>
      <w:r>
        <w:rPr>
          <w:rFonts w:hint="eastAsia" w:ascii="仿宋" w:hAnsi="仿宋" w:eastAsia="仿宋" w:cs="仿宋"/>
          <w:bCs/>
          <w:color w:val="auto"/>
          <w:sz w:val="24"/>
          <w:szCs w:val="24"/>
          <w:highlight w:val="none"/>
          <w:lang w:val="zh-TW" w:eastAsia="zh-CN"/>
        </w:rPr>
        <w:t>按《中华人民共和国民法典》中的相关条款执行。</w:t>
      </w:r>
    </w:p>
    <w:p>
      <w:pPr>
        <w:keepNext w:val="0"/>
        <w:keepLines w:val="0"/>
        <w:pageBreakBefore w:val="0"/>
        <w:widowControl w:val="0"/>
        <w:numPr>
          <w:ilvl w:val="0"/>
          <w:numId w:val="31"/>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kern w:val="2"/>
          <w:sz w:val="24"/>
          <w:szCs w:val="24"/>
          <w:highlight w:val="none"/>
          <w:u w:val="none"/>
          <w:lang w:val="zh-TW" w:eastAsia="zh-CN" w:bidi="ar-SA"/>
        </w:rPr>
      </w:pPr>
      <w:r>
        <w:rPr>
          <w:rFonts w:hint="eastAsia" w:ascii="仿宋" w:hAnsi="仿宋" w:eastAsia="仿宋" w:cs="仿宋"/>
          <w:bCs/>
          <w:color w:val="auto"/>
          <w:kern w:val="2"/>
          <w:sz w:val="24"/>
          <w:szCs w:val="24"/>
          <w:highlight w:val="none"/>
          <w:u w:val="none"/>
          <w:lang w:val="zh-TW" w:eastAsia="zh-CN" w:bidi="ar-SA"/>
        </w:rPr>
        <w:t>乙方履约延误</w:t>
      </w:r>
    </w:p>
    <w:p>
      <w:pPr>
        <w:keepNext w:val="0"/>
        <w:keepLines w:val="0"/>
        <w:pageBreakBefore w:val="0"/>
        <w:widowControl w:val="0"/>
        <w:numPr>
          <w:ilvl w:val="1"/>
          <w:numId w:val="31"/>
        </w:numPr>
        <w:wordWrap/>
        <w:overflowPunct/>
        <w:topLinePunct w:val="0"/>
        <w:autoSpaceDE/>
        <w:autoSpaceDN/>
        <w:bidi w:val="0"/>
        <w:adjustRightInd w:val="0"/>
        <w:snapToGrid w:val="0"/>
        <w:spacing w:line="336" w:lineRule="auto"/>
        <w:ind w:left="420" w:leftChars="200" w:firstLine="420" w:firstLineChars="0"/>
        <w:textAlignment w:val="auto"/>
        <w:rPr>
          <w:rFonts w:hint="eastAsia" w:ascii="仿宋" w:hAnsi="仿宋" w:eastAsia="仿宋" w:cs="仿宋"/>
          <w:bCs/>
          <w:color w:val="auto"/>
          <w:kern w:val="2"/>
          <w:sz w:val="24"/>
          <w:szCs w:val="24"/>
          <w:highlight w:val="none"/>
          <w:u w:val="none"/>
          <w:lang w:val="zh-TW" w:eastAsia="zh-CN" w:bidi="ar-SA"/>
        </w:rPr>
      </w:pPr>
      <w:r>
        <w:rPr>
          <w:rFonts w:hint="eastAsia" w:ascii="仿宋" w:hAnsi="仿宋" w:eastAsia="仿宋" w:cs="仿宋"/>
          <w:bCs/>
          <w:color w:val="auto"/>
          <w:kern w:val="2"/>
          <w:sz w:val="24"/>
          <w:szCs w:val="24"/>
          <w:highlight w:val="none"/>
          <w:u w:val="none"/>
          <w:lang w:val="zh-TW" w:eastAsia="zh-CN" w:bidi="ar-SA"/>
        </w:rPr>
        <w:t>如乙方事先未征得甲方同意并得到甲方的谅解而单方面延迟交货，将按违约终止合同。</w:t>
      </w:r>
    </w:p>
    <w:p>
      <w:pPr>
        <w:keepNext w:val="0"/>
        <w:keepLines w:val="0"/>
        <w:pageBreakBefore w:val="0"/>
        <w:widowControl w:val="0"/>
        <w:numPr>
          <w:ilvl w:val="1"/>
          <w:numId w:val="31"/>
        </w:numPr>
        <w:wordWrap/>
        <w:overflowPunct/>
        <w:topLinePunct w:val="0"/>
        <w:autoSpaceDE/>
        <w:autoSpaceDN/>
        <w:bidi w:val="0"/>
        <w:adjustRightInd w:val="0"/>
        <w:snapToGrid w:val="0"/>
        <w:spacing w:line="336" w:lineRule="auto"/>
        <w:ind w:left="420" w:leftChars="200" w:firstLine="420" w:firstLineChars="0"/>
        <w:textAlignment w:val="auto"/>
        <w:rPr>
          <w:rFonts w:hint="eastAsia" w:ascii="仿宋" w:hAnsi="仿宋" w:eastAsia="仿宋" w:cs="仿宋"/>
          <w:bCs/>
          <w:color w:val="auto"/>
          <w:kern w:val="2"/>
          <w:sz w:val="24"/>
          <w:szCs w:val="24"/>
          <w:highlight w:val="none"/>
          <w:u w:val="none"/>
          <w:lang w:val="zh-TW" w:eastAsia="zh-CN" w:bidi="ar-SA"/>
        </w:rPr>
      </w:pPr>
      <w:r>
        <w:rPr>
          <w:rFonts w:hint="eastAsia" w:ascii="仿宋" w:hAnsi="仿宋" w:eastAsia="仿宋" w:cs="仿宋"/>
          <w:bCs/>
          <w:color w:val="auto"/>
          <w:kern w:val="2"/>
          <w:sz w:val="24"/>
          <w:szCs w:val="24"/>
          <w:highlight w:val="none"/>
          <w:u w:val="none"/>
          <w:lang w:val="zh-TW" w:eastAsia="zh-CN" w:bidi="ar-SA"/>
        </w:rPr>
        <w:t>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产品交货价或未提供服务的服务费用的百分之零点五（0.5%）计收，直至交货或提供服务为止。误期赔偿费的最高限额为合同价格的百分之五（5%）。一旦达到误期赔偿费的最高限额，甲方可终止合同。</w:t>
      </w:r>
    </w:p>
    <w:p>
      <w:pPr>
        <w:keepNext w:val="0"/>
        <w:keepLines w:val="0"/>
        <w:pageBreakBefore w:val="0"/>
        <w:widowControl w:val="0"/>
        <w:numPr>
          <w:ilvl w:val="1"/>
          <w:numId w:val="31"/>
        </w:numPr>
        <w:wordWrap/>
        <w:overflowPunct/>
        <w:topLinePunct w:val="0"/>
        <w:autoSpaceDE/>
        <w:autoSpaceDN/>
        <w:bidi w:val="0"/>
        <w:adjustRightInd w:val="0"/>
        <w:snapToGrid w:val="0"/>
        <w:spacing w:line="336" w:lineRule="auto"/>
        <w:ind w:left="420" w:leftChars="200" w:firstLine="420" w:firstLineChars="0"/>
        <w:textAlignment w:val="auto"/>
        <w:rPr>
          <w:rFonts w:hint="eastAsia" w:ascii="仿宋" w:hAnsi="仿宋" w:eastAsia="仿宋" w:cs="仿宋"/>
          <w:bCs/>
          <w:color w:val="auto"/>
          <w:kern w:val="2"/>
          <w:sz w:val="24"/>
          <w:szCs w:val="24"/>
          <w:highlight w:val="none"/>
          <w:u w:val="none"/>
          <w:lang w:val="zh-TW" w:eastAsia="zh-TW" w:bidi="ar-SA"/>
        </w:rPr>
      </w:pPr>
      <w:r>
        <w:rPr>
          <w:rFonts w:hint="eastAsia" w:ascii="仿宋" w:hAnsi="仿宋" w:eastAsia="仿宋" w:cs="仿宋"/>
          <w:bCs/>
          <w:color w:val="auto"/>
          <w:kern w:val="2"/>
          <w:sz w:val="24"/>
          <w:szCs w:val="24"/>
          <w:highlight w:val="none"/>
          <w:u w:val="none"/>
          <w:lang w:val="zh-TW" w:eastAsia="zh-CN" w:bidi="ar-SA"/>
        </w:rPr>
        <w:t>违约终止合同：未按合同要求提供产品或质量不能满足技术要求，甲方会同监督机构有权终止合同，对乙方违约行为进行追究，同时按政府采购法的有关规定进行相应的处罚。</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eastAsia" w:ascii="仿宋" w:hAnsi="仿宋" w:eastAsia="仿宋" w:cs="仿宋"/>
          <w:b/>
          <w:bCs/>
          <w:color w:val="auto"/>
          <w:kern w:val="0"/>
          <w:sz w:val="24"/>
          <w:szCs w:val="24"/>
          <w:highlight w:val="none"/>
          <w:lang w:val="zh-TW" w:eastAsia="zh-TW"/>
        </w:rPr>
      </w:pPr>
      <w:r>
        <w:rPr>
          <w:rFonts w:hint="eastAsia" w:ascii="仿宋" w:hAnsi="仿宋" w:eastAsia="仿宋" w:cs="仿宋"/>
          <w:b/>
          <w:bCs/>
          <w:color w:val="auto"/>
          <w:kern w:val="0"/>
          <w:sz w:val="24"/>
          <w:szCs w:val="24"/>
          <w:highlight w:val="none"/>
          <w:lang w:val="zh-TW" w:eastAsia="zh-TW"/>
        </w:rPr>
        <w:t>合同争议解决的方式</w:t>
      </w:r>
    </w:p>
    <w:p>
      <w:pPr>
        <w:keepNext w:val="0"/>
        <w:keepLines w:val="0"/>
        <w:pageBreakBefore w:val="0"/>
        <w:widowControl w:val="0"/>
        <w:numPr>
          <w:ilvl w:val="0"/>
          <w:numId w:val="0"/>
        </w:numPr>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bCs/>
          <w:color w:val="auto"/>
          <w:kern w:val="2"/>
          <w:sz w:val="24"/>
          <w:szCs w:val="24"/>
          <w:highlight w:val="none"/>
          <w:u w:val="none"/>
          <w:lang w:val="zh-TW" w:eastAsia="zh-TW" w:bidi="ar-SA"/>
        </w:rPr>
      </w:pPr>
      <w:r>
        <w:rPr>
          <w:rFonts w:hint="eastAsia" w:ascii="仿宋" w:hAnsi="仿宋" w:eastAsia="仿宋" w:cs="仿宋"/>
          <w:bCs/>
          <w:color w:val="auto"/>
          <w:kern w:val="2"/>
          <w:sz w:val="24"/>
          <w:szCs w:val="24"/>
          <w:highlight w:val="none"/>
          <w:u w:val="none"/>
          <w:lang w:val="zh-TW" w:eastAsia="zh-TW" w:bidi="ar-SA"/>
        </w:rPr>
        <w:t>本合同在履行过程中发生的争议，由甲、乙双方当事人协商解决，协商不成的按下列第（二）种方式解决：</w:t>
      </w:r>
    </w:p>
    <w:p>
      <w:pPr>
        <w:keepNext w:val="0"/>
        <w:keepLines w:val="0"/>
        <w:pageBreakBefore w:val="0"/>
        <w:widowControl w:val="0"/>
        <w:numPr>
          <w:ilvl w:val="0"/>
          <w:numId w:val="32"/>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kern w:val="2"/>
          <w:sz w:val="24"/>
          <w:szCs w:val="24"/>
          <w:highlight w:val="none"/>
          <w:u w:val="none"/>
          <w:lang w:val="zh-TW" w:eastAsia="zh-TW" w:bidi="ar-SA"/>
        </w:rPr>
      </w:pPr>
      <w:r>
        <w:rPr>
          <w:rFonts w:hint="eastAsia" w:ascii="仿宋" w:hAnsi="仿宋" w:eastAsia="仿宋" w:cs="仿宋"/>
          <w:bCs/>
          <w:color w:val="auto"/>
          <w:sz w:val="24"/>
          <w:szCs w:val="24"/>
          <w:highlight w:val="none"/>
          <w:lang w:val="zh-TW" w:eastAsia="zh-TW"/>
        </w:rPr>
        <w:t>提交</w:t>
      </w:r>
      <w:r>
        <w:rPr>
          <w:rFonts w:hint="eastAsia" w:ascii="仿宋" w:hAnsi="仿宋" w:eastAsia="仿宋" w:cs="仿宋"/>
          <w:bCs/>
          <w:color w:val="auto"/>
          <w:sz w:val="24"/>
          <w:szCs w:val="24"/>
          <w:highlight w:val="none"/>
          <w:lang w:val="zh-TW" w:eastAsia="zh-CN"/>
        </w:rPr>
        <w:t>铜川市</w:t>
      </w:r>
      <w:r>
        <w:rPr>
          <w:rFonts w:hint="eastAsia" w:ascii="仿宋" w:hAnsi="仿宋" w:eastAsia="仿宋" w:cs="仿宋"/>
          <w:bCs/>
          <w:color w:val="auto"/>
          <w:sz w:val="24"/>
          <w:szCs w:val="24"/>
          <w:highlight w:val="none"/>
          <w:lang w:val="zh-TW" w:eastAsia="zh-TW"/>
        </w:rPr>
        <w:t>仲裁委员会仲裁；</w:t>
      </w:r>
    </w:p>
    <w:p>
      <w:pPr>
        <w:keepNext w:val="0"/>
        <w:keepLines w:val="0"/>
        <w:pageBreakBefore w:val="0"/>
        <w:widowControl w:val="0"/>
        <w:numPr>
          <w:ilvl w:val="0"/>
          <w:numId w:val="32"/>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kern w:val="2"/>
          <w:sz w:val="24"/>
          <w:szCs w:val="24"/>
          <w:highlight w:val="none"/>
          <w:u w:val="none"/>
          <w:lang w:val="zh-TW" w:eastAsia="zh-TW" w:bidi="ar-SA"/>
        </w:rPr>
      </w:pPr>
      <w:r>
        <w:rPr>
          <w:rFonts w:hint="eastAsia" w:ascii="仿宋" w:hAnsi="仿宋" w:eastAsia="仿宋" w:cs="仿宋"/>
          <w:bCs/>
          <w:color w:val="auto"/>
          <w:kern w:val="2"/>
          <w:sz w:val="24"/>
          <w:szCs w:val="24"/>
          <w:highlight w:val="none"/>
          <w:u w:val="none"/>
          <w:lang w:val="zh-TW" w:eastAsia="zh-TW" w:bidi="ar-SA"/>
        </w:rPr>
        <w:t>依法向甲方所在地人民法院起诉。</w:t>
      </w:r>
    </w:p>
    <w:p>
      <w:pPr>
        <w:keepNext w:val="0"/>
        <w:keepLines w:val="0"/>
        <w:pageBreakBefore w:val="0"/>
        <w:widowControl w:val="0"/>
        <w:numPr>
          <w:ilvl w:val="0"/>
          <w:numId w:val="25"/>
        </w:numPr>
        <w:wordWrap/>
        <w:overflowPunct/>
        <w:topLinePunct w:val="0"/>
        <w:autoSpaceDE/>
        <w:autoSpaceDN/>
        <w:bidi w:val="0"/>
        <w:adjustRightInd w:val="0"/>
        <w:snapToGrid w:val="0"/>
        <w:spacing w:line="336" w:lineRule="auto"/>
        <w:ind w:left="0" w:leftChars="0" w:firstLine="422" w:firstLineChars="175"/>
        <w:textAlignment w:val="auto"/>
        <w:rPr>
          <w:rFonts w:hint="eastAsia" w:ascii="仿宋" w:hAnsi="仿宋" w:eastAsia="仿宋" w:cs="仿宋"/>
          <w:b/>
          <w:bCs/>
          <w:color w:val="auto"/>
          <w:kern w:val="0"/>
          <w:sz w:val="24"/>
          <w:szCs w:val="24"/>
          <w:highlight w:val="none"/>
          <w:lang w:val="zh-TW" w:eastAsia="zh-TW"/>
        </w:rPr>
      </w:pPr>
      <w:r>
        <w:rPr>
          <w:rFonts w:hint="eastAsia" w:ascii="仿宋" w:hAnsi="仿宋" w:eastAsia="仿宋" w:cs="仿宋"/>
          <w:b/>
          <w:bCs/>
          <w:color w:val="auto"/>
          <w:kern w:val="0"/>
          <w:sz w:val="24"/>
          <w:szCs w:val="24"/>
          <w:highlight w:val="none"/>
          <w:lang w:val="zh-TW" w:eastAsia="zh-TW"/>
        </w:rPr>
        <w:t>合同生效</w:t>
      </w:r>
    </w:p>
    <w:p>
      <w:pPr>
        <w:keepNext w:val="0"/>
        <w:keepLines w:val="0"/>
        <w:pageBreakBefore w:val="0"/>
        <w:widowControl w:val="0"/>
        <w:numPr>
          <w:ilvl w:val="0"/>
          <w:numId w:val="33"/>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kern w:val="2"/>
          <w:sz w:val="24"/>
          <w:szCs w:val="24"/>
          <w:highlight w:val="none"/>
          <w:u w:val="none"/>
          <w:lang w:val="zh-TW" w:eastAsia="zh-TW" w:bidi="ar-SA"/>
        </w:rPr>
      </w:pPr>
      <w:r>
        <w:rPr>
          <w:rFonts w:hint="eastAsia" w:ascii="仿宋" w:hAnsi="仿宋" w:eastAsia="仿宋" w:cs="仿宋"/>
          <w:bCs/>
          <w:color w:val="auto"/>
          <w:kern w:val="2"/>
          <w:sz w:val="24"/>
          <w:szCs w:val="24"/>
          <w:highlight w:val="none"/>
          <w:u w:val="none"/>
          <w:lang w:val="zh-TW" w:eastAsia="zh-TW" w:bidi="ar-SA"/>
        </w:rPr>
        <w:t>本合同经双方签字盖章后生效。</w:t>
      </w:r>
    </w:p>
    <w:p>
      <w:pPr>
        <w:keepNext w:val="0"/>
        <w:keepLines w:val="0"/>
        <w:pageBreakBefore w:val="0"/>
        <w:widowControl w:val="0"/>
        <w:numPr>
          <w:ilvl w:val="0"/>
          <w:numId w:val="33"/>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kern w:val="2"/>
          <w:sz w:val="24"/>
          <w:szCs w:val="24"/>
          <w:highlight w:val="none"/>
          <w:u w:val="none"/>
          <w:lang w:val="zh-TW" w:eastAsia="zh-TW" w:bidi="ar-SA"/>
        </w:rPr>
      </w:pPr>
      <w:r>
        <w:rPr>
          <w:rFonts w:hint="eastAsia" w:ascii="仿宋" w:hAnsi="仿宋" w:eastAsia="仿宋" w:cs="仿宋"/>
          <w:bCs/>
          <w:color w:val="auto"/>
          <w:kern w:val="2"/>
          <w:sz w:val="24"/>
          <w:szCs w:val="24"/>
          <w:highlight w:val="none"/>
          <w:u w:val="none"/>
          <w:lang w:val="zh-TW" w:eastAsia="zh-TW" w:bidi="ar-SA"/>
        </w:rPr>
        <w:t>本合同须经甲、乙双方的法定代表人</w:t>
      </w:r>
      <w:r>
        <w:rPr>
          <w:rFonts w:hint="eastAsia" w:ascii="仿宋" w:hAnsi="仿宋" w:eastAsia="仿宋" w:cs="仿宋"/>
          <w:bCs/>
          <w:color w:val="auto"/>
          <w:kern w:val="2"/>
          <w:sz w:val="24"/>
          <w:szCs w:val="24"/>
          <w:highlight w:val="none"/>
          <w:u w:val="none"/>
          <w:lang w:val="en-US" w:eastAsia="zh-CN" w:bidi="ar-SA"/>
        </w:rPr>
        <w:t>/负责人</w:t>
      </w:r>
      <w:r>
        <w:rPr>
          <w:rFonts w:hint="eastAsia" w:ascii="仿宋" w:hAnsi="仿宋" w:eastAsia="仿宋" w:cs="仿宋"/>
          <w:bCs/>
          <w:color w:val="auto"/>
          <w:kern w:val="2"/>
          <w:sz w:val="24"/>
          <w:szCs w:val="24"/>
          <w:highlight w:val="none"/>
          <w:u w:val="none"/>
          <w:lang w:val="zh-TW" w:eastAsia="zh-TW" w:bidi="ar-SA"/>
        </w:rPr>
        <w:t>（授权代理人）在合同书上签字并加盖本单位公章后正实生效。</w:t>
      </w:r>
    </w:p>
    <w:p>
      <w:pPr>
        <w:keepNext w:val="0"/>
        <w:keepLines w:val="0"/>
        <w:pageBreakBefore w:val="0"/>
        <w:widowControl w:val="0"/>
        <w:numPr>
          <w:ilvl w:val="0"/>
          <w:numId w:val="33"/>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kern w:val="2"/>
          <w:sz w:val="24"/>
          <w:szCs w:val="24"/>
          <w:highlight w:val="none"/>
          <w:u w:val="none"/>
          <w:lang w:val="zh-TW" w:eastAsia="zh-TW" w:bidi="ar-SA"/>
        </w:rPr>
      </w:pPr>
      <w:r>
        <w:rPr>
          <w:rFonts w:hint="eastAsia" w:ascii="仿宋" w:hAnsi="仿宋" w:eastAsia="仿宋" w:cs="仿宋"/>
          <w:bCs/>
          <w:color w:val="auto"/>
          <w:kern w:val="2"/>
          <w:sz w:val="24"/>
          <w:szCs w:val="24"/>
          <w:highlight w:val="none"/>
          <w:u w:val="none"/>
          <w:lang w:val="zh-TW" w:eastAsia="zh-TW" w:bidi="ar-SA"/>
        </w:rPr>
        <w:t>合同生效后，甲、乙双方须严格执行本合同条款的规定，全面履行合同，违者按《中华人民共和国</w:t>
      </w:r>
      <w:r>
        <w:rPr>
          <w:rFonts w:hint="eastAsia" w:ascii="仿宋" w:hAnsi="仿宋" w:eastAsia="仿宋" w:cs="仿宋"/>
          <w:bCs/>
          <w:color w:val="auto"/>
          <w:kern w:val="2"/>
          <w:sz w:val="24"/>
          <w:szCs w:val="24"/>
          <w:highlight w:val="none"/>
          <w:u w:val="none"/>
          <w:lang w:val="zh-TW" w:eastAsia="zh-CN" w:bidi="ar-SA"/>
        </w:rPr>
        <w:t>民法典</w:t>
      </w:r>
      <w:r>
        <w:rPr>
          <w:rFonts w:hint="eastAsia" w:ascii="仿宋" w:hAnsi="仿宋" w:eastAsia="仿宋" w:cs="仿宋"/>
          <w:bCs/>
          <w:color w:val="auto"/>
          <w:kern w:val="2"/>
          <w:sz w:val="24"/>
          <w:szCs w:val="24"/>
          <w:highlight w:val="none"/>
          <w:u w:val="none"/>
          <w:lang w:val="zh-TW" w:eastAsia="zh-TW" w:bidi="ar-SA"/>
        </w:rPr>
        <w:t>》的有关规定承担相应责任。</w:t>
      </w:r>
    </w:p>
    <w:p>
      <w:pPr>
        <w:keepNext w:val="0"/>
        <w:keepLines w:val="0"/>
        <w:pageBreakBefore w:val="0"/>
        <w:widowControl w:val="0"/>
        <w:numPr>
          <w:ilvl w:val="0"/>
          <w:numId w:val="33"/>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kern w:val="2"/>
          <w:sz w:val="24"/>
          <w:szCs w:val="24"/>
          <w:highlight w:val="none"/>
          <w:u w:val="none"/>
          <w:lang w:val="zh-TW" w:eastAsia="zh-TW" w:bidi="ar-SA"/>
        </w:rPr>
      </w:pPr>
      <w:r>
        <w:rPr>
          <w:rFonts w:hint="eastAsia" w:ascii="仿宋" w:hAnsi="仿宋" w:eastAsia="仿宋" w:cs="仿宋"/>
          <w:bCs/>
          <w:color w:val="auto"/>
          <w:kern w:val="2"/>
          <w:sz w:val="24"/>
          <w:szCs w:val="24"/>
          <w:highlight w:val="none"/>
          <w:u w:val="none"/>
          <w:lang w:val="zh-TW" w:eastAsia="zh-TW" w:bidi="ar-SA"/>
        </w:rPr>
        <w:t>本合同一式</w:t>
      </w:r>
      <w:r>
        <w:rPr>
          <w:rFonts w:hint="eastAsia" w:ascii="仿宋" w:hAnsi="仿宋" w:eastAsia="仿宋" w:cs="仿宋"/>
          <w:bCs/>
          <w:color w:val="auto"/>
          <w:kern w:val="2"/>
          <w:sz w:val="24"/>
          <w:szCs w:val="24"/>
          <w:highlight w:val="none"/>
          <w:u w:val="single" w:color="auto"/>
          <w:lang w:val="zh-TW" w:eastAsia="zh-TW" w:bidi="ar-SA"/>
        </w:rPr>
        <w:t xml:space="preserve"> </w:t>
      </w:r>
      <w:r>
        <w:rPr>
          <w:rFonts w:hint="eastAsia" w:ascii="仿宋" w:hAnsi="仿宋" w:eastAsia="仿宋" w:cs="仿宋"/>
          <w:bCs/>
          <w:color w:val="auto"/>
          <w:kern w:val="2"/>
          <w:sz w:val="24"/>
          <w:szCs w:val="24"/>
          <w:highlight w:val="none"/>
          <w:u w:val="single" w:color="auto"/>
          <w:lang w:val="en-US" w:eastAsia="zh-CN" w:bidi="ar-SA"/>
        </w:rPr>
        <w:t xml:space="preserve">    </w:t>
      </w:r>
      <w:r>
        <w:rPr>
          <w:rFonts w:hint="eastAsia" w:ascii="仿宋" w:hAnsi="仿宋" w:eastAsia="仿宋" w:cs="仿宋"/>
          <w:bCs/>
          <w:color w:val="auto"/>
          <w:kern w:val="2"/>
          <w:sz w:val="24"/>
          <w:szCs w:val="24"/>
          <w:highlight w:val="none"/>
          <w:u w:val="single" w:color="auto"/>
          <w:lang w:val="zh-TW" w:eastAsia="zh-TW" w:bidi="ar-SA"/>
        </w:rPr>
        <w:t xml:space="preserve"> </w:t>
      </w:r>
      <w:r>
        <w:rPr>
          <w:rFonts w:hint="eastAsia" w:ascii="仿宋" w:hAnsi="仿宋" w:eastAsia="仿宋" w:cs="仿宋"/>
          <w:bCs/>
          <w:color w:val="auto"/>
          <w:kern w:val="2"/>
          <w:sz w:val="24"/>
          <w:szCs w:val="24"/>
          <w:highlight w:val="none"/>
          <w:u w:val="none"/>
          <w:lang w:val="zh-TW" w:eastAsia="zh-TW" w:bidi="ar-SA"/>
        </w:rPr>
        <w:t>份，甲乙双方各执</w:t>
      </w:r>
      <w:r>
        <w:rPr>
          <w:rFonts w:hint="eastAsia" w:ascii="仿宋" w:hAnsi="仿宋" w:eastAsia="仿宋" w:cs="仿宋"/>
          <w:bCs/>
          <w:color w:val="auto"/>
          <w:kern w:val="2"/>
          <w:sz w:val="24"/>
          <w:szCs w:val="24"/>
          <w:highlight w:val="none"/>
          <w:u w:val="single" w:color="auto"/>
          <w:lang w:val="zh-TW" w:eastAsia="zh-TW" w:bidi="ar-SA"/>
        </w:rPr>
        <w:t xml:space="preserve"> </w:t>
      </w:r>
      <w:r>
        <w:rPr>
          <w:rFonts w:hint="eastAsia" w:ascii="仿宋" w:hAnsi="仿宋" w:eastAsia="仿宋" w:cs="仿宋"/>
          <w:bCs/>
          <w:color w:val="auto"/>
          <w:kern w:val="2"/>
          <w:sz w:val="24"/>
          <w:szCs w:val="24"/>
          <w:highlight w:val="none"/>
          <w:u w:val="single" w:color="auto"/>
          <w:lang w:val="en-US" w:eastAsia="zh-CN" w:bidi="ar-SA"/>
        </w:rPr>
        <w:t xml:space="preserve">    </w:t>
      </w:r>
      <w:r>
        <w:rPr>
          <w:rFonts w:hint="eastAsia" w:ascii="仿宋" w:hAnsi="仿宋" w:eastAsia="仿宋" w:cs="仿宋"/>
          <w:bCs/>
          <w:color w:val="auto"/>
          <w:kern w:val="2"/>
          <w:sz w:val="24"/>
          <w:szCs w:val="24"/>
          <w:highlight w:val="none"/>
          <w:u w:val="single" w:color="auto"/>
          <w:lang w:val="zh-TW" w:eastAsia="zh-TW" w:bidi="ar-SA"/>
        </w:rPr>
        <w:t xml:space="preserve"> </w:t>
      </w:r>
      <w:r>
        <w:rPr>
          <w:rFonts w:hint="eastAsia" w:ascii="仿宋" w:hAnsi="仿宋" w:eastAsia="仿宋" w:cs="仿宋"/>
          <w:bCs/>
          <w:color w:val="auto"/>
          <w:kern w:val="2"/>
          <w:sz w:val="24"/>
          <w:szCs w:val="24"/>
          <w:highlight w:val="none"/>
          <w:u w:val="none"/>
          <w:lang w:val="zh-TW" w:eastAsia="zh-TW" w:bidi="ar-SA"/>
        </w:rPr>
        <w:t>份。</w:t>
      </w:r>
    </w:p>
    <w:p>
      <w:pPr>
        <w:keepNext w:val="0"/>
        <w:keepLines w:val="0"/>
        <w:pageBreakBefore w:val="0"/>
        <w:widowControl w:val="0"/>
        <w:numPr>
          <w:ilvl w:val="0"/>
          <w:numId w:val="33"/>
        </w:numPr>
        <w:wordWrap/>
        <w:overflowPunct/>
        <w:topLinePunct w:val="0"/>
        <w:autoSpaceDE/>
        <w:autoSpaceDN/>
        <w:bidi w:val="0"/>
        <w:adjustRightInd w:val="0"/>
        <w:snapToGrid w:val="0"/>
        <w:spacing w:line="336" w:lineRule="auto"/>
        <w:ind w:left="0" w:leftChars="0" w:firstLine="420" w:firstLineChars="0"/>
        <w:textAlignment w:val="auto"/>
        <w:rPr>
          <w:rFonts w:hint="eastAsia" w:ascii="仿宋" w:hAnsi="仿宋" w:eastAsia="仿宋" w:cs="仿宋"/>
          <w:bCs/>
          <w:color w:val="auto"/>
          <w:kern w:val="2"/>
          <w:sz w:val="24"/>
          <w:szCs w:val="24"/>
          <w:highlight w:val="none"/>
          <w:u w:val="none"/>
          <w:lang w:val="zh-TW" w:eastAsia="zh-TW" w:bidi="ar-SA"/>
        </w:rPr>
      </w:pPr>
      <w:r>
        <w:rPr>
          <w:rFonts w:hint="eastAsia" w:ascii="仿宋" w:hAnsi="仿宋" w:eastAsia="仿宋" w:cs="仿宋"/>
          <w:bCs/>
          <w:color w:val="auto"/>
          <w:kern w:val="2"/>
          <w:sz w:val="24"/>
          <w:szCs w:val="24"/>
          <w:highlight w:val="none"/>
          <w:u w:val="none"/>
          <w:lang w:val="zh-TW" w:eastAsia="zh-TW" w:bidi="ar-SA"/>
        </w:rPr>
        <w:t>本合同如有未尽事宜，甲、乙双方协商解决。</w:t>
      </w:r>
    </w:p>
    <w:p>
      <w:pPr>
        <w:pStyle w:val="26"/>
        <w:pageBreakBefore w:val="0"/>
        <w:bidi w:val="0"/>
        <w:spacing w:line="336" w:lineRule="auto"/>
        <w:rPr>
          <w:rFonts w:eastAsia="仿宋" w:cs="仿宋"/>
          <w:color w:val="auto"/>
          <w:sz w:val="24"/>
          <w:szCs w:val="24"/>
          <w:highlight w:val="none"/>
        </w:rPr>
      </w:pPr>
    </w:p>
    <w:tbl>
      <w:tblPr>
        <w:tblStyle w:val="38"/>
        <w:tblW w:w="9558" w:type="dxa"/>
        <w:jc w:val="center"/>
        <w:tblLayout w:type="fixed"/>
        <w:tblCellMar>
          <w:top w:w="0" w:type="dxa"/>
          <w:left w:w="108" w:type="dxa"/>
          <w:bottom w:w="0" w:type="dxa"/>
          <w:right w:w="108" w:type="dxa"/>
        </w:tblCellMar>
      </w:tblPr>
      <w:tblGrid>
        <w:gridCol w:w="4715"/>
        <w:gridCol w:w="351"/>
        <w:gridCol w:w="4492"/>
      </w:tblGrid>
      <w:tr>
        <w:tblPrEx>
          <w:tblCellMar>
            <w:top w:w="0" w:type="dxa"/>
            <w:left w:w="108" w:type="dxa"/>
            <w:bottom w:w="0" w:type="dxa"/>
            <w:right w:w="108" w:type="dxa"/>
          </w:tblCellMar>
        </w:tblPrEx>
        <w:trPr>
          <w:trHeight w:val="631" w:hRule="atLeast"/>
          <w:jc w:val="center"/>
        </w:trPr>
        <w:tc>
          <w:tcPr>
            <w:tcW w:w="4715" w:type="dxa"/>
            <w:vAlign w:val="center"/>
          </w:tcPr>
          <w:p>
            <w:pPr>
              <w:pageBreakBefore w:val="0"/>
              <w:bidi w:val="0"/>
              <w:spacing w:line="336" w:lineRule="auto"/>
              <w:ind w:left="1680" w:hanging="1440" w:hangingChars="600"/>
              <w:rPr>
                <w:rFonts w:eastAsia="仿宋" w:cs="仿宋"/>
                <w:color w:val="auto"/>
                <w:sz w:val="24"/>
                <w:szCs w:val="24"/>
                <w:highlight w:val="none"/>
              </w:rPr>
            </w:pPr>
            <w:r>
              <w:rPr>
                <w:rFonts w:hint="eastAsia" w:eastAsia="仿宋" w:cs="仿宋"/>
                <w:color w:val="auto"/>
                <w:sz w:val="24"/>
                <w:szCs w:val="24"/>
                <w:highlight w:val="none"/>
              </w:rPr>
              <w:t>甲方名称：</w:t>
            </w:r>
          </w:p>
        </w:tc>
        <w:tc>
          <w:tcPr>
            <w:tcW w:w="351" w:type="dxa"/>
            <w:vAlign w:val="center"/>
          </w:tcPr>
          <w:p>
            <w:pPr>
              <w:pageBreakBefore w:val="0"/>
              <w:bidi w:val="0"/>
              <w:spacing w:line="336" w:lineRule="auto"/>
              <w:ind w:left="480"/>
              <w:rPr>
                <w:rFonts w:eastAsia="仿宋" w:cs="仿宋"/>
                <w:color w:val="auto"/>
                <w:sz w:val="24"/>
                <w:szCs w:val="24"/>
                <w:highlight w:val="none"/>
              </w:rPr>
            </w:pPr>
          </w:p>
        </w:tc>
        <w:tc>
          <w:tcPr>
            <w:tcW w:w="4492" w:type="dxa"/>
            <w:vAlign w:val="center"/>
          </w:tcPr>
          <w:p>
            <w:pPr>
              <w:pageBreakBefore w:val="0"/>
              <w:bidi w:val="0"/>
              <w:spacing w:line="336" w:lineRule="auto"/>
              <w:ind w:left="1680" w:hanging="1440" w:hangingChars="600"/>
              <w:rPr>
                <w:rFonts w:eastAsia="仿宋" w:cs="仿宋"/>
                <w:color w:val="auto"/>
                <w:sz w:val="24"/>
                <w:szCs w:val="24"/>
                <w:highlight w:val="none"/>
              </w:rPr>
            </w:pPr>
            <w:r>
              <w:rPr>
                <w:rFonts w:hint="eastAsia" w:eastAsia="仿宋" w:cs="仿宋"/>
                <w:color w:val="auto"/>
                <w:sz w:val="24"/>
                <w:szCs w:val="24"/>
                <w:highlight w:val="none"/>
              </w:rPr>
              <w:t>乙方名称：</w:t>
            </w:r>
          </w:p>
        </w:tc>
      </w:tr>
      <w:tr>
        <w:tblPrEx>
          <w:tblCellMar>
            <w:top w:w="0" w:type="dxa"/>
            <w:left w:w="108" w:type="dxa"/>
            <w:bottom w:w="0" w:type="dxa"/>
            <w:right w:w="108" w:type="dxa"/>
          </w:tblCellMar>
        </w:tblPrEx>
        <w:trPr>
          <w:trHeight w:val="631" w:hRule="atLeast"/>
          <w:jc w:val="center"/>
        </w:trPr>
        <w:tc>
          <w:tcPr>
            <w:tcW w:w="4715"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法定代表人：(盖章)</w:t>
            </w:r>
          </w:p>
        </w:tc>
        <w:tc>
          <w:tcPr>
            <w:tcW w:w="351" w:type="dxa"/>
            <w:vAlign w:val="center"/>
          </w:tcPr>
          <w:p>
            <w:pPr>
              <w:pageBreakBefore w:val="0"/>
              <w:bidi w:val="0"/>
              <w:spacing w:line="336" w:lineRule="auto"/>
              <w:ind w:left="480"/>
              <w:rPr>
                <w:rFonts w:eastAsia="仿宋" w:cs="仿宋"/>
                <w:color w:val="auto"/>
                <w:sz w:val="24"/>
                <w:szCs w:val="24"/>
                <w:highlight w:val="none"/>
              </w:rPr>
            </w:pPr>
          </w:p>
        </w:tc>
        <w:tc>
          <w:tcPr>
            <w:tcW w:w="4492"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法定代表人</w:t>
            </w:r>
            <w:r>
              <w:rPr>
                <w:rFonts w:hint="eastAsia" w:eastAsia="仿宋" w:cs="仿宋"/>
                <w:color w:val="auto"/>
                <w:sz w:val="24"/>
                <w:szCs w:val="24"/>
                <w:highlight w:val="none"/>
                <w:lang w:val="en-US" w:eastAsia="zh-CN"/>
              </w:rPr>
              <w:t>/负责人</w:t>
            </w:r>
            <w:r>
              <w:rPr>
                <w:rFonts w:hint="eastAsia" w:eastAsia="仿宋" w:cs="仿宋"/>
                <w:color w:val="auto"/>
                <w:sz w:val="24"/>
                <w:szCs w:val="24"/>
                <w:highlight w:val="none"/>
              </w:rPr>
              <w:t>：(盖章)</w:t>
            </w:r>
          </w:p>
        </w:tc>
      </w:tr>
      <w:tr>
        <w:tblPrEx>
          <w:tblCellMar>
            <w:top w:w="0" w:type="dxa"/>
            <w:left w:w="108" w:type="dxa"/>
            <w:bottom w:w="0" w:type="dxa"/>
            <w:right w:w="108" w:type="dxa"/>
          </w:tblCellMar>
        </w:tblPrEx>
        <w:trPr>
          <w:trHeight w:val="631" w:hRule="atLeast"/>
          <w:jc w:val="center"/>
        </w:trPr>
        <w:tc>
          <w:tcPr>
            <w:tcW w:w="4715"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委托代理人：（签字）</w:t>
            </w:r>
          </w:p>
        </w:tc>
        <w:tc>
          <w:tcPr>
            <w:tcW w:w="351" w:type="dxa"/>
            <w:vAlign w:val="center"/>
          </w:tcPr>
          <w:p>
            <w:pPr>
              <w:pageBreakBefore w:val="0"/>
              <w:bidi w:val="0"/>
              <w:spacing w:line="336" w:lineRule="auto"/>
              <w:ind w:left="480"/>
              <w:rPr>
                <w:rFonts w:eastAsia="仿宋" w:cs="仿宋"/>
                <w:color w:val="auto"/>
                <w:sz w:val="24"/>
                <w:szCs w:val="24"/>
                <w:highlight w:val="none"/>
              </w:rPr>
            </w:pPr>
          </w:p>
        </w:tc>
        <w:tc>
          <w:tcPr>
            <w:tcW w:w="4492"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委托代理人：（签字）</w:t>
            </w:r>
          </w:p>
        </w:tc>
      </w:tr>
      <w:tr>
        <w:tblPrEx>
          <w:tblCellMar>
            <w:top w:w="0" w:type="dxa"/>
            <w:left w:w="108" w:type="dxa"/>
            <w:bottom w:w="0" w:type="dxa"/>
            <w:right w:w="108" w:type="dxa"/>
          </w:tblCellMar>
        </w:tblPrEx>
        <w:trPr>
          <w:trHeight w:val="631" w:hRule="atLeast"/>
          <w:jc w:val="center"/>
        </w:trPr>
        <w:tc>
          <w:tcPr>
            <w:tcW w:w="4715" w:type="dxa"/>
            <w:vAlign w:val="center"/>
          </w:tcPr>
          <w:p>
            <w:pPr>
              <w:pageBreakBefore w:val="0"/>
              <w:bidi w:val="0"/>
              <w:spacing w:line="336" w:lineRule="auto"/>
              <w:ind w:left="1400" w:hanging="1200" w:hangingChars="500"/>
              <w:rPr>
                <w:rFonts w:eastAsia="仿宋" w:cs="仿宋"/>
                <w:color w:val="auto"/>
                <w:sz w:val="24"/>
                <w:szCs w:val="24"/>
                <w:highlight w:val="none"/>
              </w:rPr>
            </w:pPr>
            <w:r>
              <w:rPr>
                <w:rFonts w:hint="eastAsia" w:eastAsia="仿宋" w:cs="仿宋"/>
                <w:color w:val="auto"/>
                <w:sz w:val="24"/>
                <w:szCs w:val="24"/>
                <w:highlight w:val="none"/>
              </w:rPr>
              <w:t>住    所：</w:t>
            </w:r>
          </w:p>
        </w:tc>
        <w:tc>
          <w:tcPr>
            <w:tcW w:w="351" w:type="dxa"/>
            <w:vAlign w:val="center"/>
          </w:tcPr>
          <w:p>
            <w:pPr>
              <w:pageBreakBefore w:val="0"/>
              <w:bidi w:val="0"/>
              <w:spacing w:line="336" w:lineRule="auto"/>
              <w:ind w:left="480"/>
              <w:rPr>
                <w:rFonts w:eastAsia="仿宋" w:cs="仿宋"/>
                <w:color w:val="auto"/>
                <w:sz w:val="24"/>
                <w:szCs w:val="24"/>
                <w:highlight w:val="none"/>
              </w:rPr>
            </w:pPr>
          </w:p>
        </w:tc>
        <w:tc>
          <w:tcPr>
            <w:tcW w:w="4492"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住    所：</w:t>
            </w:r>
          </w:p>
        </w:tc>
      </w:tr>
      <w:tr>
        <w:tblPrEx>
          <w:tblCellMar>
            <w:top w:w="0" w:type="dxa"/>
            <w:left w:w="108" w:type="dxa"/>
            <w:bottom w:w="0" w:type="dxa"/>
            <w:right w:w="108" w:type="dxa"/>
          </w:tblCellMar>
        </w:tblPrEx>
        <w:trPr>
          <w:trHeight w:val="631" w:hRule="atLeast"/>
          <w:jc w:val="center"/>
        </w:trPr>
        <w:tc>
          <w:tcPr>
            <w:tcW w:w="4715"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邮政编码：</w:t>
            </w:r>
          </w:p>
        </w:tc>
        <w:tc>
          <w:tcPr>
            <w:tcW w:w="351" w:type="dxa"/>
            <w:vAlign w:val="center"/>
          </w:tcPr>
          <w:p>
            <w:pPr>
              <w:pageBreakBefore w:val="0"/>
              <w:bidi w:val="0"/>
              <w:spacing w:line="336" w:lineRule="auto"/>
              <w:ind w:left="480"/>
              <w:rPr>
                <w:rFonts w:eastAsia="仿宋" w:cs="仿宋"/>
                <w:color w:val="auto"/>
                <w:sz w:val="24"/>
                <w:szCs w:val="24"/>
                <w:highlight w:val="none"/>
              </w:rPr>
            </w:pPr>
          </w:p>
        </w:tc>
        <w:tc>
          <w:tcPr>
            <w:tcW w:w="4492"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邮政编码：</w:t>
            </w:r>
          </w:p>
        </w:tc>
      </w:tr>
      <w:tr>
        <w:tblPrEx>
          <w:tblCellMar>
            <w:top w:w="0" w:type="dxa"/>
            <w:left w:w="108" w:type="dxa"/>
            <w:bottom w:w="0" w:type="dxa"/>
            <w:right w:w="108" w:type="dxa"/>
          </w:tblCellMar>
        </w:tblPrEx>
        <w:trPr>
          <w:trHeight w:val="631" w:hRule="atLeast"/>
          <w:jc w:val="center"/>
        </w:trPr>
        <w:tc>
          <w:tcPr>
            <w:tcW w:w="4715"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电    话：</w:t>
            </w:r>
          </w:p>
        </w:tc>
        <w:tc>
          <w:tcPr>
            <w:tcW w:w="351" w:type="dxa"/>
            <w:vAlign w:val="center"/>
          </w:tcPr>
          <w:p>
            <w:pPr>
              <w:pageBreakBefore w:val="0"/>
              <w:bidi w:val="0"/>
              <w:spacing w:line="336" w:lineRule="auto"/>
              <w:ind w:left="480"/>
              <w:rPr>
                <w:rFonts w:eastAsia="仿宋" w:cs="仿宋"/>
                <w:color w:val="auto"/>
                <w:sz w:val="24"/>
                <w:szCs w:val="24"/>
                <w:highlight w:val="none"/>
              </w:rPr>
            </w:pPr>
          </w:p>
        </w:tc>
        <w:tc>
          <w:tcPr>
            <w:tcW w:w="4492"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电    话：</w:t>
            </w:r>
          </w:p>
        </w:tc>
      </w:tr>
      <w:tr>
        <w:tblPrEx>
          <w:tblCellMar>
            <w:top w:w="0" w:type="dxa"/>
            <w:left w:w="108" w:type="dxa"/>
            <w:bottom w:w="0" w:type="dxa"/>
            <w:right w:w="108" w:type="dxa"/>
          </w:tblCellMar>
        </w:tblPrEx>
        <w:trPr>
          <w:trHeight w:val="631" w:hRule="atLeast"/>
          <w:jc w:val="center"/>
        </w:trPr>
        <w:tc>
          <w:tcPr>
            <w:tcW w:w="4715"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传    真：/</w:t>
            </w:r>
          </w:p>
        </w:tc>
        <w:tc>
          <w:tcPr>
            <w:tcW w:w="351" w:type="dxa"/>
            <w:vAlign w:val="center"/>
          </w:tcPr>
          <w:p>
            <w:pPr>
              <w:pageBreakBefore w:val="0"/>
              <w:bidi w:val="0"/>
              <w:spacing w:line="336" w:lineRule="auto"/>
              <w:ind w:left="480"/>
              <w:rPr>
                <w:rFonts w:eastAsia="仿宋" w:cs="仿宋"/>
                <w:color w:val="auto"/>
                <w:sz w:val="24"/>
                <w:szCs w:val="24"/>
                <w:highlight w:val="none"/>
              </w:rPr>
            </w:pPr>
          </w:p>
        </w:tc>
        <w:tc>
          <w:tcPr>
            <w:tcW w:w="4492"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传    真：</w:t>
            </w:r>
          </w:p>
        </w:tc>
      </w:tr>
      <w:tr>
        <w:tblPrEx>
          <w:tblCellMar>
            <w:top w:w="0" w:type="dxa"/>
            <w:left w:w="108" w:type="dxa"/>
            <w:bottom w:w="0" w:type="dxa"/>
            <w:right w:w="108" w:type="dxa"/>
          </w:tblCellMar>
        </w:tblPrEx>
        <w:trPr>
          <w:trHeight w:val="631" w:hRule="atLeast"/>
          <w:jc w:val="center"/>
        </w:trPr>
        <w:tc>
          <w:tcPr>
            <w:tcW w:w="4715" w:type="dxa"/>
            <w:vAlign w:val="center"/>
          </w:tcPr>
          <w:p>
            <w:pPr>
              <w:pageBreakBefore w:val="0"/>
              <w:bidi w:val="0"/>
              <w:spacing w:line="336" w:lineRule="auto"/>
              <w:rPr>
                <w:rFonts w:eastAsia="仿宋" w:cs="仿宋"/>
                <w:color w:val="auto"/>
                <w:sz w:val="24"/>
                <w:szCs w:val="24"/>
                <w:highlight w:val="none"/>
              </w:rPr>
            </w:pPr>
            <w:r>
              <w:rPr>
                <w:rFonts w:hint="eastAsia" w:eastAsia="仿宋" w:cs="仿宋"/>
                <w:color w:val="auto"/>
                <w:sz w:val="24"/>
                <w:szCs w:val="24"/>
                <w:highlight w:val="none"/>
              </w:rPr>
              <w:t>开户银行：</w:t>
            </w:r>
          </w:p>
        </w:tc>
        <w:tc>
          <w:tcPr>
            <w:tcW w:w="351" w:type="dxa"/>
            <w:vAlign w:val="center"/>
          </w:tcPr>
          <w:p>
            <w:pPr>
              <w:pageBreakBefore w:val="0"/>
              <w:bidi w:val="0"/>
              <w:spacing w:line="336" w:lineRule="auto"/>
              <w:ind w:left="480"/>
              <w:rPr>
                <w:rFonts w:eastAsia="仿宋" w:cs="仿宋"/>
                <w:color w:val="auto"/>
                <w:sz w:val="24"/>
                <w:szCs w:val="24"/>
                <w:highlight w:val="none"/>
              </w:rPr>
            </w:pPr>
          </w:p>
        </w:tc>
        <w:tc>
          <w:tcPr>
            <w:tcW w:w="4492" w:type="dxa"/>
            <w:vAlign w:val="center"/>
          </w:tcPr>
          <w:p>
            <w:pPr>
              <w:pageBreakBefore w:val="0"/>
              <w:bidi w:val="0"/>
              <w:spacing w:line="336" w:lineRule="auto"/>
              <w:ind w:left="1400" w:hanging="1200" w:hangingChars="500"/>
              <w:rPr>
                <w:rFonts w:eastAsia="仿宋" w:cs="仿宋"/>
                <w:color w:val="auto"/>
                <w:sz w:val="24"/>
                <w:szCs w:val="24"/>
                <w:highlight w:val="none"/>
              </w:rPr>
            </w:pPr>
            <w:r>
              <w:rPr>
                <w:rFonts w:hint="eastAsia" w:eastAsia="仿宋" w:cs="仿宋"/>
                <w:color w:val="auto"/>
                <w:sz w:val="24"/>
                <w:szCs w:val="24"/>
                <w:highlight w:val="none"/>
              </w:rPr>
              <w:t>开户银行：</w:t>
            </w:r>
          </w:p>
        </w:tc>
      </w:tr>
      <w:tr>
        <w:tblPrEx>
          <w:tblCellMar>
            <w:top w:w="0" w:type="dxa"/>
            <w:left w:w="108" w:type="dxa"/>
            <w:bottom w:w="0" w:type="dxa"/>
            <w:right w:w="108" w:type="dxa"/>
          </w:tblCellMar>
        </w:tblPrEx>
        <w:trPr>
          <w:trHeight w:val="631" w:hRule="atLeast"/>
          <w:jc w:val="center"/>
        </w:trPr>
        <w:tc>
          <w:tcPr>
            <w:tcW w:w="4715" w:type="dxa"/>
            <w:vAlign w:val="center"/>
          </w:tcPr>
          <w:p>
            <w:pPr>
              <w:pageBreakBefore w:val="0"/>
              <w:bidi w:val="0"/>
              <w:spacing w:line="336" w:lineRule="auto"/>
              <w:jc w:val="left"/>
              <w:rPr>
                <w:rFonts w:eastAsia="仿宋" w:cs="仿宋"/>
                <w:color w:val="auto"/>
                <w:sz w:val="24"/>
                <w:szCs w:val="24"/>
                <w:highlight w:val="none"/>
              </w:rPr>
            </w:pPr>
            <w:r>
              <w:rPr>
                <w:rFonts w:hint="eastAsia" w:eastAsia="仿宋" w:cs="仿宋"/>
                <w:color w:val="auto"/>
                <w:sz w:val="24"/>
                <w:szCs w:val="24"/>
                <w:highlight w:val="none"/>
              </w:rPr>
              <w:t>银行帐号：</w:t>
            </w:r>
          </w:p>
        </w:tc>
        <w:tc>
          <w:tcPr>
            <w:tcW w:w="351" w:type="dxa"/>
            <w:vAlign w:val="center"/>
          </w:tcPr>
          <w:p>
            <w:pPr>
              <w:pageBreakBefore w:val="0"/>
              <w:bidi w:val="0"/>
              <w:spacing w:line="336" w:lineRule="auto"/>
              <w:ind w:left="480"/>
              <w:rPr>
                <w:rFonts w:eastAsia="仿宋" w:cs="仿宋"/>
                <w:color w:val="auto"/>
                <w:sz w:val="24"/>
                <w:szCs w:val="24"/>
                <w:highlight w:val="none"/>
              </w:rPr>
            </w:pPr>
          </w:p>
        </w:tc>
        <w:tc>
          <w:tcPr>
            <w:tcW w:w="4492" w:type="dxa"/>
            <w:vAlign w:val="center"/>
          </w:tcPr>
          <w:p>
            <w:pPr>
              <w:pageBreakBefore w:val="0"/>
              <w:bidi w:val="0"/>
              <w:spacing w:line="336" w:lineRule="auto"/>
              <w:jc w:val="left"/>
              <w:rPr>
                <w:rFonts w:eastAsia="仿宋" w:cs="仿宋"/>
                <w:color w:val="auto"/>
                <w:sz w:val="24"/>
                <w:szCs w:val="24"/>
                <w:highlight w:val="none"/>
              </w:rPr>
            </w:pPr>
            <w:r>
              <w:rPr>
                <w:rFonts w:hint="eastAsia" w:eastAsia="仿宋" w:cs="仿宋"/>
                <w:color w:val="auto"/>
                <w:sz w:val="24"/>
                <w:szCs w:val="24"/>
                <w:highlight w:val="none"/>
              </w:rPr>
              <w:t>银行帐号：</w:t>
            </w:r>
          </w:p>
        </w:tc>
      </w:tr>
    </w:tbl>
    <w:p>
      <w:pPr>
        <w:keepNext w:val="0"/>
        <w:keepLines w:val="0"/>
        <w:pageBreakBefore w:val="0"/>
        <w:widowControl w:val="0"/>
        <w:kinsoku/>
        <w:wordWrap/>
        <w:overflowPunct/>
        <w:topLinePunct w:val="0"/>
        <w:bidi w:val="0"/>
        <w:snapToGrid w:val="0"/>
        <w:spacing w:afterAutospacing="0" w:line="336" w:lineRule="auto"/>
        <w:ind w:left="0" w:leftChars="0" w:firstLine="480" w:firstLineChars="200"/>
        <w:textAlignment w:val="auto"/>
        <w:rPr>
          <w:rFonts w:hint="eastAsia" w:ascii="仿宋" w:hAnsi="仿宋" w:eastAsia="仿宋" w:cs="仿宋"/>
          <w:color w:val="auto"/>
          <w:sz w:val="24"/>
          <w:szCs w:val="24"/>
          <w:highlight w:val="none"/>
        </w:rPr>
      </w:pPr>
    </w:p>
    <w:p>
      <w:pPr>
        <w:pageBreakBefore w:val="0"/>
        <w:widowControl/>
        <w:overflowPunct/>
        <w:bidi w:val="0"/>
        <w:spacing w:afterAutospacing="0" w:line="336" w:lineRule="auto"/>
        <w:ind w:firstLine="1316" w:firstLineChars="298"/>
        <w:outlineLvl w:val="9"/>
        <w:rPr>
          <w:rFonts w:hint="eastAsia" w:ascii="仿宋" w:hAnsi="仿宋" w:eastAsia="仿宋" w:cs="仿宋"/>
          <w:b/>
          <w:bCs/>
          <w:kern w:val="0"/>
          <w:sz w:val="44"/>
          <w:szCs w:val="44"/>
          <w:highlight w:val="none"/>
        </w:rPr>
      </w:pPr>
      <w:r>
        <w:rPr>
          <w:rFonts w:hint="eastAsia" w:ascii="仿宋" w:hAnsi="仿宋" w:eastAsia="仿宋" w:cs="仿宋"/>
          <w:b/>
          <w:bCs/>
          <w:kern w:val="0"/>
          <w:sz w:val="44"/>
          <w:szCs w:val="44"/>
          <w:highlight w:val="none"/>
        </w:rPr>
        <w:t xml:space="preserve">  </w:t>
      </w:r>
    </w:p>
    <w:p>
      <w:pPr>
        <w:pageBreakBefore w:val="0"/>
        <w:widowControl/>
        <w:overflowPunct/>
        <w:bidi w:val="0"/>
        <w:spacing w:afterAutospacing="0" w:line="336" w:lineRule="auto"/>
        <w:ind w:firstLine="1316" w:firstLineChars="298"/>
        <w:outlineLvl w:val="9"/>
        <w:rPr>
          <w:rFonts w:hint="eastAsia" w:ascii="仿宋" w:hAnsi="仿宋" w:eastAsia="仿宋" w:cs="仿宋"/>
          <w:b/>
          <w:bCs/>
          <w:kern w:val="0"/>
          <w:sz w:val="44"/>
          <w:szCs w:val="44"/>
          <w:highlight w:val="none"/>
        </w:rPr>
      </w:pPr>
      <w:r>
        <w:rPr>
          <w:rFonts w:hint="eastAsia" w:ascii="仿宋" w:hAnsi="仿宋" w:eastAsia="仿宋" w:cs="仿宋"/>
          <w:b/>
          <w:bCs/>
          <w:kern w:val="0"/>
          <w:sz w:val="44"/>
          <w:szCs w:val="44"/>
          <w:highlight w:val="none"/>
        </w:rPr>
        <w:br w:type="page"/>
      </w:r>
    </w:p>
    <w:p>
      <w:pPr>
        <w:pageBreakBefore w:val="0"/>
        <w:widowControl/>
        <w:numPr>
          <w:ilvl w:val="0"/>
          <w:numId w:val="24"/>
        </w:numPr>
        <w:overflowPunct/>
        <w:bidi w:val="0"/>
        <w:spacing w:afterAutospacing="0" w:line="336" w:lineRule="auto"/>
        <w:ind w:left="0" w:leftChars="0" w:firstLine="0" w:firstLineChars="0"/>
        <w:jc w:val="center"/>
        <w:outlineLvl w:val="0"/>
        <w:rPr>
          <w:rFonts w:hint="eastAsia" w:ascii="仿宋" w:hAnsi="仿宋" w:eastAsia="仿宋" w:cs="仿宋"/>
          <w:b/>
          <w:bCs/>
          <w:kern w:val="0"/>
          <w:sz w:val="44"/>
          <w:szCs w:val="44"/>
          <w:highlight w:val="none"/>
          <w:lang w:eastAsia="zh-CN"/>
        </w:rPr>
      </w:pPr>
      <w:r>
        <w:rPr>
          <w:rFonts w:hint="eastAsia" w:ascii="仿宋" w:hAnsi="仿宋" w:eastAsia="仿宋" w:cs="仿宋"/>
          <w:b/>
          <w:bCs/>
          <w:kern w:val="0"/>
          <w:sz w:val="44"/>
          <w:szCs w:val="44"/>
          <w:highlight w:val="none"/>
        </w:rPr>
        <w:t xml:space="preserve"> </w:t>
      </w:r>
      <w:bookmarkStart w:id="26" w:name="_Toc17296"/>
      <w:r>
        <w:rPr>
          <w:rFonts w:hint="eastAsia" w:ascii="仿宋" w:hAnsi="仿宋" w:eastAsia="仿宋" w:cs="仿宋"/>
          <w:b/>
          <w:bCs/>
          <w:kern w:val="0"/>
          <w:sz w:val="44"/>
          <w:szCs w:val="44"/>
          <w:highlight w:val="none"/>
          <w:lang w:val="en-US" w:eastAsia="zh-CN"/>
        </w:rPr>
        <w:t>服务</w:t>
      </w:r>
      <w:r>
        <w:rPr>
          <w:rFonts w:hint="eastAsia" w:ascii="仿宋" w:hAnsi="仿宋" w:eastAsia="仿宋" w:cs="仿宋"/>
          <w:b/>
          <w:bCs/>
          <w:kern w:val="0"/>
          <w:sz w:val="44"/>
          <w:szCs w:val="44"/>
          <w:highlight w:val="none"/>
        </w:rPr>
        <w:t>内容</w:t>
      </w:r>
      <w:r>
        <w:rPr>
          <w:rFonts w:hint="eastAsia" w:ascii="仿宋" w:hAnsi="仿宋" w:eastAsia="仿宋" w:cs="仿宋"/>
          <w:b/>
          <w:bCs/>
          <w:kern w:val="0"/>
          <w:sz w:val="44"/>
          <w:szCs w:val="44"/>
          <w:highlight w:val="none"/>
          <w:lang w:eastAsia="zh-CN"/>
        </w:rPr>
        <w:t>及商务要求</w:t>
      </w:r>
      <w:bookmarkEnd w:id="26"/>
    </w:p>
    <w:p>
      <w:pPr>
        <w:pageBreakBefore w:val="0"/>
        <w:widowControl w:val="0"/>
        <w:kinsoku/>
        <w:wordWrap/>
        <w:overflowPunct/>
        <w:topLinePunct w:val="0"/>
        <w:autoSpaceDE/>
        <w:autoSpaceDN/>
        <w:bidi w:val="0"/>
        <w:adjustRightInd/>
        <w:spacing w:line="336" w:lineRule="auto"/>
        <w:textAlignment w:val="auto"/>
        <w:rPr>
          <w:rFonts w:hint="eastAsia" w:ascii="仿宋" w:hAnsi="仿宋" w:eastAsia="仿宋" w:cs="仿宋"/>
          <w:b/>
          <w:bCs/>
          <w:sz w:val="28"/>
          <w:szCs w:val="28"/>
          <w:highlight w:val="none"/>
          <w:lang w:val="en-US" w:eastAsia="zh-CN"/>
        </w:rPr>
      </w:pPr>
    </w:p>
    <w:p>
      <w:pPr>
        <w:pageBreakBefore w:val="0"/>
        <w:widowControl w:val="0"/>
        <w:numPr>
          <w:ilvl w:val="1"/>
          <w:numId w:val="34"/>
        </w:numPr>
        <w:kinsoku/>
        <w:wordWrap/>
        <w:overflowPunct/>
        <w:topLinePunct w:val="0"/>
        <w:autoSpaceDE/>
        <w:autoSpaceDN/>
        <w:bidi w:val="0"/>
        <w:adjustRightInd/>
        <w:spacing w:line="336" w:lineRule="auto"/>
        <w:ind w:left="425" w:leftChars="0" w:hanging="425"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服务内容</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项目名称：铜川市2023年度一元民生保险采购项目</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单项预算：1元/人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参保人数：361397人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总 预 算：361397.00元</w:t>
      </w:r>
      <w:r>
        <w:rPr>
          <w:rFonts w:hint="eastAsia" w:ascii="仿宋" w:hAnsi="仿宋" w:eastAsia="仿宋" w:cs="仿宋"/>
          <w:b/>
          <w:bCs/>
          <w:sz w:val="24"/>
          <w:szCs w:val="24"/>
          <w:highlight w:val="none"/>
          <w:lang w:val="en-US" w:eastAsia="zh-CN"/>
        </w:rPr>
        <w:t>（若投标单项报价高于或低于采购单项预算，投标总价高于总预算的均按无效文件处理。）</w:t>
      </w:r>
    </w:p>
    <w:p>
      <w:pPr>
        <w:pageBreakBefore w:val="0"/>
        <w:widowControl w:val="0"/>
        <w:numPr>
          <w:ilvl w:val="1"/>
          <w:numId w:val="34"/>
        </w:numPr>
        <w:kinsoku/>
        <w:wordWrap/>
        <w:overflowPunct/>
        <w:topLinePunct w:val="0"/>
        <w:autoSpaceDE/>
        <w:autoSpaceDN/>
        <w:bidi w:val="0"/>
        <w:adjustRightInd/>
        <w:spacing w:line="336" w:lineRule="auto"/>
        <w:ind w:left="425" w:leftChars="0" w:hanging="425"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保障内容</w:t>
      </w:r>
    </w:p>
    <w:p>
      <w:pPr>
        <w:pageBreakBefore w:val="0"/>
        <w:widowControl w:val="0"/>
        <w:numPr>
          <w:ilvl w:val="2"/>
          <w:numId w:val="34"/>
        </w:numPr>
        <w:kinsoku/>
        <w:wordWrap/>
        <w:overflowPunct/>
        <w:topLinePunct w:val="0"/>
        <w:autoSpaceDE/>
        <w:autoSpaceDN/>
        <w:bidi w:val="0"/>
        <w:adjustRightInd/>
        <w:spacing w:line="336" w:lineRule="auto"/>
        <w:ind w:left="425" w:leftChars="0" w:hanging="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被保险人</w:t>
      </w:r>
    </w:p>
    <w:p>
      <w:pPr>
        <w:keepNext w:val="0"/>
        <w:keepLines w:val="0"/>
        <w:pageBreakBefore w:val="0"/>
        <w:widowControl w:val="0"/>
        <w:kinsoku/>
        <w:wordWrap/>
        <w:overflowPunct/>
        <w:topLinePunct w:val="0"/>
        <w:autoSpaceDE/>
        <w:autoSpaceDN/>
        <w:bidi w:val="0"/>
        <w:adjustRightInd/>
        <w:snapToGrid/>
        <w:spacing w:line="336" w:lineRule="auto"/>
        <w:ind w:firstLine="720" w:firstLineChars="3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铜川市行政区域内户籍人口。</w:t>
      </w:r>
    </w:p>
    <w:p>
      <w:pPr>
        <w:pageBreakBefore w:val="0"/>
        <w:widowControl w:val="0"/>
        <w:numPr>
          <w:ilvl w:val="2"/>
          <w:numId w:val="34"/>
        </w:numPr>
        <w:kinsoku/>
        <w:wordWrap/>
        <w:overflowPunct/>
        <w:topLinePunct w:val="0"/>
        <w:autoSpaceDE/>
        <w:autoSpaceDN/>
        <w:bidi w:val="0"/>
        <w:adjustRightInd/>
        <w:spacing w:line="336" w:lineRule="auto"/>
        <w:ind w:left="425" w:leftChars="0" w:hanging="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保险期限</w:t>
      </w:r>
    </w:p>
    <w:p>
      <w:pPr>
        <w:keepNext w:val="0"/>
        <w:keepLines w:val="0"/>
        <w:pageBreakBefore w:val="0"/>
        <w:widowControl w:val="0"/>
        <w:kinsoku/>
        <w:wordWrap/>
        <w:overflowPunct/>
        <w:topLinePunct w:val="0"/>
        <w:autoSpaceDE/>
        <w:autoSpaceDN/>
        <w:bidi w:val="0"/>
        <w:adjustRightInd/>
        <w:snapToGrid/>
        <w:spacing w:line="336" w:lineRule="auto"/>
        <w:ind w:firstLine="720" w:firstLineChars="3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一年。即从本保险签单生效日至下一年次日止。</w:t>
      </w:r>
    </w:p>
    <w:p>
      <w:pPr>
        <w:pageBreakBefore w:val="0"/>
        <w:widowControl w:val="0"/>
        <w:numPr>
          <w:ilvl w:val="2"/>
          <w:numId w:val="34"/>
        </w:numPr>
        <w:kinsoku/>
        <w:wordWrap/>
        <w:overflowPunct/>
        <w:topLinePunct w:val="0"/>
        <w:autoSpaceDE/>
        <w:autoSpaceDN/>
        <w:bidi w:val="0"/>
        <w:adjustRightInd/>
        <w:spacing w:line="336" w:lineRule="auto"/>
        <w:ind w:left="425" w:leftChars="0" w:hanging="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保险责任范围</w:t>
      </w:r>
    </w:p>
    <w:p>
      <w:pPr>
        <w:pageBreakBefore w:val="0"/>
        <w:widowControl w:val="0"/>
        <w:numPr>
          <w:ilvl w:val="3"/>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主险：</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自然灾害公众责任保险</w:t>
      </w:r>
    </w:p>
    <w:p>
      <w:pPr>
        <w:pageBreakBefore w:val="0"/>
        <w:widowControl w:val="0"/>
        <w:numPr>
          <w:ilvl w:val="0"/>
          <w:numId w:val="0"/>
        </w:numPr>
        <w:kinsoku/>
        <w:wordWrap/>
        <w:overflowPunct/>
        <w:topLinePunct w:val="0"/>
        <w:autoSpaceDE/>
        <w:autoSpaceDN/>
        <w:bidi w:val="0"/>
        <w:adjustRightInd/>
        <w:spacing w:line="336" w:lineRule="auto"/>
        <w:ind w:left="420" w:leftChars="200" w:firstLine="540" w:firstLineChars="225"/>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因自然灾害或抢险救灾导致伤残或死亡。自然灾害包括：暴风、暴雨、崖崩、雷击、洪水、龙卷风、飑线、台风（热带风暴）、海啸、泥石流、突发性滑坡、冰雹。</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见义勇为救助责任保险</w:t>
      </w:r>
    </w:p>
    <w:p>
      <w:pPr>
        <w:pageBreakBefore w:val="0"/>
        <w:widowControl w:val="0"/>
        <w:numPr>
          <w:ilvl w:val="0"/>
          <w:numId w:val="0"/>
        </w:numPr>
        <w:kinsoku/>
        <w:wordWrap/>
        <w:overflowPunct/>
        <w:topLinePunct w:val="0"/>
        <w:autoSpaceDE/>
        <w:autoSpaceDN/>
        <w:bidi w:val="0"/>
        <w:adjustRightInd/>
        <w:spacing w:line="336" w:lineRule="auto"/>
        <w:ind w:left="420" w:leftChars="200" w:firstLine="540" w:firstLineChars="225"/>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在保险期内，居民在承保区域内由县级以上政府部门认定的见义勇为行为导致伤残或死亡的。</w:t>
      </w:r>
    </w:p>
    <w:p>
      <w:pPr>
        <w:pageBreakBefore w:val="0"/>
        <w:widowControl w:val="0"/>
        <w:numPr>
          <w:ilvl w:val="3"/>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附加险</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拥挤、踩踏救助。居民在承保区域内参加群众性活动中因发生拥挤、踩踏事故导致人身伤亡。</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火灾、爆炸救助。居民在承保区域内因发生火灾、爆炸事故导致人身伤亡。</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传染病救助。居民在承保区域内感染《中华人民共和国传染病防治法》规定的甲类传染病（鼠疫、霍乱）或保险单载明的狂犬病等其他传染病病种。</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恐怖活动救助。居民在承保区域内因恐怖分子或组织进行恐怖活动导致人身伤亡。</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精神病人伤人救助。居民在承保区域内由于被诊断、鉴定为精神病人的故意伤害导致人身伤亡。</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重大恶性案件救助。居民在承保区域内因发生危害公共安全罪的犯罪行为导致人身伤亡。</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高空坠物伤人救助。在保险期内，居民在承保区域内因高空坠物导致人身伤亡。</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煤气、燃气、毒气泄漏及水暖管爆裂伤亡救助。在保险期内，居民在承保区域内因煤气、燃气毒气、泄漏，以及水暖管爆裂导致人身伤亡。</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危房塌陷事故救助。居民在承保区域内因发生经事故地县级以上人民政府或相关主管部门认定的危房塌陷导致人身伤亡。</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溺水事故救助。</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公共设施漏电事故救助。</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群体性食品安全事故救助。</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环卫工人意外事故救助。</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包村干部意外伤害事故救助。</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建档立卡脱贫户及监测户交通事故救助。</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安置费用救助。</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窨井井盖事故救助。在保险期间内，居民在承保区域内因窨井盖缺失、沉降等原因发生意外事故导致人身伤亡。</w:t>
      </w:r>
    </w:p>
    <w:p>
      <w:pPr>
        <w:pageBreakBefore w:val="0"/>
        <w:widowControl w:val="0"/>
        <w:numPr>
          <w:ilvl w:val="4"/>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救灾人员伤亡救助。在保险期间内，发生保险责任范围内事故时，参与事故现场救助的人员（含专业消防人员）在救助过程中发生意外事故导致人身伤亡。</w:t>
      </w:r>
    </w:p>
    <w:p>
      <w:pPr>
        <w:pageBreakBefore w:val="0"/>
        <w:widowControl w:val="0"/>
        <w:numPr>
          <w:ilvl w:val="2"/>
          <w:numId w:val="34"/>
        </w:numPr>
        <w:kinsoku/>
        <w:wordWrap/>
        <w:overflowPunct/>
        <w:topLinePunct w:val="0"/>
        <w:autoSpaceDE/>
        <w:autoSpaceDN/>
        <w:bidi w:val="0"/>
        <w:adjustRightInd/>
        <w:spacing w:line="336" w:lineRule="auto"/>
        <w:ind w:left="425" w:leftChars="0" w:hanging="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理赔标准</w:t>
      </w:r>
    </w:p>
    <w:p>
      <w:pPr>
        <w:keepNext w:val="0"/>
        <w:keepLines w:val="0"/>
        <w:pageBreakBefore w:val="0"/>
        <w:widowControl w:val="0"/>
        <w:kinsoku/>
        <w:wordWrap/>
        <w:overflowPunct/>
        <w:topLinePunct w:val="0"/>
        <w:autoSpaceDE/>
        <w:autoSpaceDN/>
        <w:bidi w:val="0"/>
        <w:adjustRightInd/>
        <w:snapToGrid/>
        <w:spacing w:line="336" w:lineRule="auto"/>
        <w:ind w:left="218" w:leftChars="104" w:firstLine="499" w:firstLineChars="208"/>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在保险期内，被保险人因上述保险事故造成保险责任的，每个被保险人累计赔偿限额为5.5万元（每人死亡或伤残赔偿限额5万元，每人医疗费用赔偿限额0.5万元）。</w:t>
      </w:r>
    </w:p>
    <w:p>
      <w:pPr>
        <w:pageBreakBefore w:val="0"/>
        <w:widowControl w:val="0"/>
        <w:numPr>
          <w:ilvl w:val="3"/>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死亡理赔：保险期间内，被保险人因上述保险事故导致死亡的，每人赔偿5万元。</w:t>
      </w:r>
    </w:p>
    <w:p>
      <w:pPr>
        <w:pageBreakBefore w:val="0"/>
        <w:widowControl w:val="0"/>
        <w:numPr>
          <w:ilvl w:val="3"/>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医疗费用理赔：在保险期间内，已参加基本医疗保险的被保险人因上述保险事故致伤进行急诊、抢救、住院治疗的，经城镇职工医疗保险、城镇居民医疗保险或“新农合”报销后，对未报销差额按照90%的比例赔偿；未参加基本医疗保险的被保险人因上述保险事故致伤进行急诊、抢救、住院治疗的，对符合我省基本医疗保险药品目录、诊疗项目、医疗服务设施标准的医疗费用按照70%比例赔偿，在保险期间内每人医疗费用赔偿限额0.5万元。</w:t>
      </w:r>
    </w:p>
    <w:p>
      <w:pPr>
        <w:pageBreakBefore w:val="0"/>
        <w:widowControl w:val="0"/>
        <w:numPr>
          <w:ilvl w:val="3"/>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伤残理赔：在保险期内，被保险人因上述保险事故导致残疾的，根据伤残等级，按1％－100％比例赔付，最高限额每人５万元。</w:t>
      </w:r>
    </w:p>
    <w:p>
      <w:pPr>
        <w:pageBreakBefore w:val="0"/>
        <w:widowControl w:val="0"/>
        <w:numPr>
          <w:ilvl w:val="3"/>
          <w:numId w:val="34"/>
        </w:numPr>
        <w:kinsoku/>
        <w:wordWrap/>
        <w:overflowPunct/>
        <w:topLinePunct w:val="0"/>
        <w:autoSpaceDE/>
        <w:autoSpaceDN/>
        <w:bidi w:val="0"/>
        <w:adjustRightInd/>
        <w:spacing w:line="336" w:lineRule="auto"/>
        <w:ind w:left="42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安置费用理赔：在保险期限内，被保险人在承保区域内因保险责任范围范围内的事故，导致房屋其室内附属设备（如固定装置的水暖、气暖，卫生、供水、管道煤气及供电设备等，不包括室内装潢及室内财产）损毁，每户赔偿限额0.1万元。建档立卡脱贫户每户安置费用再补贴0.1万元，每户限额赔偿0.2万元。</w:t>
      </w:r>
    </w:p>
    <w:p>
      <w:pPr>
        <w:pageBreakBefore w:val="0"/>
        <w:widowControl w:val="0"/>
        <w:numPr>
          <w:ilvl w:val="1"/>
          <w:numId w:val="34"/>
        </w:numPr>
        <w:kinsoku/>
        <w:wordWrap/>
        <w:overflowPunct/>
        <w:topLinePunct w:val="0"/>
        <w:autoSpaceDE/>
        <w:autoSpaceDN/>
        <w:bidi w:val="0"/>
        <w:adjustRightInd/>
        <w:spacing w:line="336" w:lineRule="auto"/>
        <w:ind w:left="425" w:leftChars="0" w:hanging="425"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投保办法</w:t>
      </w:r>
    </w:p>
    <w:p>
      <w:pPr>
        <w:pageBreakBefore w:val="0"/>
        <w:widowControl w:val="0"/>
        <w:numPr>
          <w:ilvl w:val="0"/>
          <w:numId w:val="0"/>
        </w:numPr>
        <w:kinsoku/>
        <w:wordWrap/>
        <w:overflowPunct/>
        <w:topLinePunct w:val="0"/>
        <w:autoSpaceDE/>
        <w:autoSpaceDN/>
        <w:bidi w:val="0"/>
        <w:adjustRightInd/>
        <w:spacing w:line="336"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元民生保险由市铜川市金融工作办公室作为投保人，与经过政府采购招标后确定的保险机构签订投保合同，保险费按铜川市行政区域内户籍人口每人一元缴纳，所需资金列入市财政预算。保险期限为一年，具体以签订保险合同的起讫时间为准。</w:t>
      </w:r>
    </w:p>
    <w:p>
      <w:pPr>
        <w:pageBreakBefore w:val="0"/>
        <w:widowControl w:val="0"/>
        <w:numPr>
          <w:ilvl w:val="1"/>
          <w:numId w:val="34"/>
        </w:numPr>
        <w:kinsoku/>
        <w:wordWrap/>
        <w:overflowPunct/>
        <w:topLinePunct w:val="0"/>
        <w:autoSpaceDE/>
        <w:autoSpaceDN/>
        <w:bidi w:val="0"/>
        <w:adjustRightInd/>
        <w:spacing w:line="336" w:lineRule="auto"/>
        <w:ind w:left="425" w:leftChars="0" w:hanging="425"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理赔程序</w:t>
      </w:r>
    </w:p>
    <w:p>
      <w:pPr>
        <w:pageBreakBefore w:val="0"/>
        <w:widowControl w:val="0"/>
        <w:numPr>
          <w:ilvl w:val="0"/>
          <w:numId w:val="0"/>
        </w:numPr>
        <w:kinsoku/>
        <w:wordWrap/>
        <w:overflowPunct/>
        <w:topLinePunct w:val="0"/>
        <w:autoSpaceDE/>
        <w:autoSpaceDN/>
        <w:bidi w:val="0"/>
        <w:adjustRightInd/>
        <w:spacing w:line="336"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保险承办机构要成立主要领导牵头负责的理赔工作领导机构，设立24小时专线服务电话，开通绿色理赔通道，并向社会公开理赔服务承诺。</w:t>
      </w:r>
    </w:p>
    <w:p>
      <w:pPr>
        <w:pageBreakBefore w:val="0"/>
        <w:widowControl w:val="0"/>
        <w:numPr>
          <w:ilvl w:val="2"/>
          <w:numId w:val="34"/>
        </w:numPr>
        <w:kinsoku/>
        <w:wordWrap/>
        <w:overflowPunct/>
        <w:topLinePunct w:val="0"/>
        <w:autoSpaceDE/>
        <w:autoSpaceDN/>
        <w:bidi w:val="0"/>
        <w:adjustRightInd/>
        <w:spacing w:line="336" w:lineRule="auto"/>
        <w:ind w:left="425" w:leftChars="0" w:hanging="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及时申报</w:t>
      </w:r>
    </w:p>
    <w:p>
      <w:pPr>
        <w:keepNext w:val="0"/>
        <w:keepLines w:val="0"/>
        <w:pageBreakBefore w:val="0"/>
        <w:widowControl w:val="0"/>
        <w:kinsoku/>
        <w:wordWrap/>
        <w:overflowPunct/>
        <w:topLinePunct w:val="0"/>
        <w:autoSpaceDE/>
        <w:autoSpaceDN/>
        <w:bidi w:val="0"/>
        <w:adjustRightInd/>
        <w:snapToGrid/>
        <w:spacing w:line="336" w:lineRule="auto"/>
        <w:ind w:firstLine="720" w:firstLineChars="3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保险事故发生后，被保险人就近在事故发生地保险承保机构报案。</w:t>
      </w:r>
    </w:p>
    <w:p>
      <w:pPr>
        <w:pageBreakBefore w:val="0"/>
        <w:widowControl w:val="0"/>
        <w:numPr>
          <w:ilvl w:val="2"/>
          <w:numId w:val="34"/>
        </w:numPr>
        <w:kinsoku/>
        <w:wordWrap/>
        <w:overflowPunct/>
        <w:topLinePunct w:val="0"/>
        <w:autoSpaceDE/>
        <w:autoSpaceDN/>
        <w:bidi w:val="0"/>
        <w:adjustRightInd/>
        <w:spacing w:line="336" w:lineRule="auto"/>
        <w:ind w:left="425" w:leftChars="0" w:hanging="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现场查勘</w:t>
      </w:r>
    </w:p>
    <w:p>
      <w:pPr>
        <w:keepNext w:val="0"/>
        <w:keepLines w:val="0"/>
        <w:pageBreakBefore w:val="0"/>
        <w:widowControl w:val="0"/>
        <w:kinsoku/>
        <w:wordWrap/>
        <w:overflowPunct/>
        <w:topLinePunct w:val="0"/>
        <w:autoSpaceDE/>
        <w:autoSpaceDN/>
        <w:bidi w:val="0"/>
        <w:adjustRightInd/>
        <w:snapToGrid/>
        <w:spacing w:line="336" w:lineRule="auto"/>
        <w:ind w:left="218" w:leftChars="104" w:firstLine="499" w:firstLineChars="208"/>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发生在我市范围内的保险事故，保险承保机构在接到报案后2小时内，会同当地民政等相关部门赴事故现场进行查勘，并及时将事故灾害有关情况及理赔方案报送市金融办。对发生在我市以外国境以内（港、澳、台除外）应承担保险责任的保险事故，由保险承保机构委托当地分支机构负责查勘定损。</w:t>
      </w:r>
    </w:p>
    <w:p>
      <w:pPr>
        <w:pageBreakBefore w:val="0"/>
        <w:widowControl w:val="0"/>
        <w:numPr>
          <w:ilvl w:val="2"/>
          <w:numId w:val="34"/>
        </w:numPr>
        <w:kinsoku/>
        <w:wordWrap/>
        <w:overflowPunct/>
        <w:topLinePunct w:val="0"/>
        <w:autoSpaceDE/>
        <w:autoSpaceDN/>
        <w:bidi w:val="0"/>
        <w:adjustRightInd/>
        <w:spacing w:line="336" w:lineRule="auto"/>
        <w:ind w:left="425" w:leftChars="0" w:hanging="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索赔事项</w:t>
      </w:r>
    </w:p>
    <w:p>
      <w:pPr>
        <w:keepNext w:val="0"/>
        <w:keepLines w:val="0"/>
        <w:pageBreakBefore w:val="0"/>
        <w:widowControl w:val="0"/>
        <w:kinsoku/>
        <w:wordWrap/>
        <w:overflowPunct/>
        <w:topLinePunct w:val="0"/>
        <w:autoSpaceDE/>
        <w:autoSpaceDN/>
        <w:bidi w:val="0"/>
        <w:adjustRightInd/>
        <w:snapToGrid/>
        <w:spacing w:line="336" w:lineRule="auto"/>
        <w:ind w:left="218" w:leftChars="104" w:firstLine="499" w:firstLineChars="208"/>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自然灾害导致死亡的，按保险条款列明的灾害类别分别由各县市区及气象等相关部门出具灾害证明；因见义勇为导致死亡的，由县级及县级以上政法委出具见义勇为认定证明。其他保险责任导致死亡的，由公安机关或医疗机构出具死亡证明。</w:t>
      </w:r>
    </w:p>
    <w:p>
      <w:pPr>
        <w:keepNext w:val="0"/>
        <w:keepLines w:val="0"/>
        <w:pageBreakBefore w:val="0"/>
        <w:widowControl w:val="0"/>
        <w:kinsoku/>
        <w:wordWrap/>
        <w:overflowPunct/>
        <w:topLinePunct w:val="0"/>
        <w:autoSpaceDE/>
        <w:autoSpaceDN/>
        <w:bidi w:val="0"/>
        <w:adjustRightInd/>
        <w:snapToGrid/>
        <w:spacing w:line="336" w:lineRule="auto"/>
        <w:ind w:left="218" w:leftChars="104" w:firstLine="499" w:firstLineChars="208"/>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上述责任事项致伤住院治疗或者致残的，在治疗终结后，被保险人应及时提供诊断证明、病历、医院结算清单。已参加工伤保险的被保险人属工伤范围内的伤残等级鉴定报告，由市人社部门出具；其他被保险人伤残等级鉴定报告，由卫健委指定一家具有鉴定资质的医疗机构出具鉴定报告。</w:t>
      </w:r>
    </w:p>
    <w:p>
      <w:pPr>
        <w:keepNext w:val="0"/>
        <w:keepLines w:val="0"/>
        <w:pageBreakBefore w:val="0"/>
        <w:widowControl w:val="0"/>
        <w:kinsoku/>
        <w:wordWrap/>
        <w:overflowPunct/>
        <w:topLinePunct w:val="0"/>
        <w:autoSpaceDE/>
        <w:autoSpaceDN/>
        <w:bidi w:val="0"/>
        <w:adjustRightInd/>
        <w:snapToGrid/>
        <w:spacing w:line="336" w:lineRule="auto"/>
        <w:ind w:left="218" w:leftChars="104" w:firstLine="499" w:firstLineChars="208"/>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被保险人就基本医保和大病保险报销后的个人自负部分申报理赔时，需提供加盖上述医疗报销机构公章的票据复印件。</w:t>
      </w:r>
    </w:p>
    <w:p>
      <w:pPr>
        <w:keepNext w:val="0"/>
        <w:keepLines w:val="0"/>
        <w:pageBreakBefore w:val="0"/>
        <w:widowControl w:val="0"/>
        <w:kinsoku/>
        <w:wordWrap/>
        <w:overflowPunct/>
        <w:topLinePunct w:val="0"/>
        <w:autoSpaceDE/>
        <w:autoSpaceDN/>
        <w:bidi w:val="0"/>
        <w:adjustRightInd/>
        <w:snapToGrid/>
        <w:spacing w:line="336" w:lineRule="auto"/>
        <w:ind w:left="218" w:leftChars="104" w:firstLine="499" w:firstLineChars="208"/>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以上所需证明材料均由保险承保机构协助收集。</w:t>
      </w:r>
    </w:p>
    <w:p>
      <w:pPr>
        <w:pageBreakBefore w:val="0"/>
        <w:widowControl w:val="0"/>
        <w:numPr>
          <w:ilvl w:val="2"/>
          <w:numId w:val="34"/>
        </w:numPr>
        <w:kinsoku/>
        <w:wordWrap/>
        <w:overflowPunct/>
        <w:topLinePunct w:val="0"/>
        <w:autoSpaceDE/>
        <w:autoSpaceDN/>
        <w:bidi w:val="0"/>
        <w:adjustRightInd/>
        <w:spacing w:line="336" w:lineRule="auto"/>
        <w:ind w:left="425" w:leftChars="0" w:hanging="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保险赔付</w:t>
      </w:r>
    </w:p>
    <w:p>
      <w:pPr>
        <w:keepNext w:val="0"/>
        <w:keepLines w:val="0"/>
        <w:pageBreakBefore w:val="0"/>
        <w:widowControl w:val="0"/>
        <w:kinsoku/>
        <w:wordWrap/>
        <w:overflowPunct/>
        <w:topLinePunct w:val="0"/>
        <w:autoSpaceDE/>
        <w:autoSpaceDN/>
        <w:bidi w:val="0"/>
        <w:adjustRightInd/>
        <w:snapToGrid/>
        <w:spacing w:line="336" w:lineRule="auto"/>
        <w:ind w:left="218" w:leftChars="104" w:firstLine="499" w:firstLineChars="208"/>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保险承保机构应尽快收集所有理赔资料，资料收集齐全后，保险承保机构应在7个工作日内将赔款拨付到保险受益人账户。</w:t>
      </w:r>
    </w:p>
    <w:p>
      <w:pPr>
        <w:pageBreakBefore w:val="0"/>
        <w:widowControl w:val="0"/>
        <w:numPr>
          <w:ilvl w:val="2"/>
          <w:numId w:val="34"/>
        </w:numPr>
        <w:kinsoku/>
        <w:wordWrap/>
        <w:overflowPunct/>
        <w:topLinePunct w:val="0"/>
        <w:autoSpaceDE/>
        <w:autoSpaceDN/>
        <w:bidi w:val="0"/>
        <w:adjustRightInd/>
        <w:spacing w:line="336" w:lineRule="auto"/>
        <w:ind w:left="425" w:leftChars="0" w:hanging="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理赔信息通报</w:t>
      </w:r>
    </w:p>
    <w:p>
      <w:pPr>
        <w:keepNext w:val="0"/>
        <w:keepLines w:val="0"/>
        <w:pageBreakBefore w:val="0"/>
        <w:widowControl w:val="0"/>
        <w:kinsoku/>
        <w:wordWrap/>
        <w:overflowPunct/>
        <w:topLinePunct w:val="0"/>
        <w:autoSpaceDE/>
        <w:autoSpaceDN/>
        <w:bidi w:val="0"/>
        <w:adjustRightInd/>
        <w:snapToGrid/>
        <w:spacing w:line="336" w:lineRule="auto"/>
        <w:ind w:left="218" w:leftChars="104" w:firstLine="499" w:firstLineChars="208"/>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在赔案结束后3个工作日内，保险承保机构向市金融办报告赔案处理情况。</w:t>
      </w:r>
    </w:p>
    <w:p>
      <w:pPr>
        <w:pageBreakBefore w:val="0"/>
        <w:bidi w:val="0"/>
        <w:spacing w:line="336" w:lineRule="auto"/>
        <w:rPr>
          <w:rFonts w:hint="eastAsia" w:ascii="仿宋" w:hAnsi="仿宋" w:eastAsia="仿宋" w:cs="仿宋"/>
          <w:b/>
          <w:bCs/>
          <w:sz w:val="15"/>
          <w:szCs w:val="15"/>
          <w:highlight w:val="none"/>
          <w:lang w:val="en-US" w:eastAsia="zh-CN"/>
        </w:rPr>
      </w:pPr>
      <w:r>
        <w:rPr>
          <w:rFonts w:hint="eastAsia" w:ascii="仿宋" w:hAnsi="仿宋" w:eastAsia="仿宋" w:cs="仿宋"/>
          <w:b/>
          <w:bCs/>
          <w:sz w:val="15"/>
          <w:szCs w:val="15"/>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铜川市一元民生保险伤亡理赔比例表</w:t>
      </w:r>
    </w:p>
    <w:p>
      <w:pPr>
        <w:pStyle w:val="45"/>
        <w:pageBreakBefore w:val="0"/>
        <w:bidi w:val="0"/>
        <w:spacing w:line="336" w:lineRule="auto"/>
        <w:rPr>
          <w:rFonts w:hint="eastAsia"/>
          <w:sz w:val="21"/>
          <w:szCs w:val="20"/>
          <w:highlight w:val="none"/>
          <w:lang w:val="en-US" w:eastAsia="zh-CN"/>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514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伤害程度</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赔付比例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死亡</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永久丧失工作能力或一级伤残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四</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五</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四级伤残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六</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五级伤残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七</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六级伤残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八</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七级伤残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九</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八级伤残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十</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九级伤残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十一</w:t>
            </w:r>
          </w:p>
        </w:tc>
        <w:tc>
          <w:tcPr>
            <w:tcW w:w="514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十级伤残</w:t>
            </w:r>
          </w:p>
        </w:tc>
        <w:tc>
          <w:tcPr>
            <w:tcW w:w="2252"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w:t>
            </w:r>
          </w:p>
        </w:tc>
      </w:tr>
    </w:tbl>
    <w:p>
      <w:pPr>
        <w:pageBreakBefore w:val="0"/>
        <w:widowControl w:val="0"/>
        <w:numPr>
          <w:ilvl w:val="1"/>
          <w:numId w:val="34"/>
        </w:numPr>
        <w:kinsoku/>
        <w:wordWrap/>
        <w:overflowPunct/>
        <w:topLinePunct w:val="0"/>
        <w:autoSpaceDE/>
        <w:autoSpaceDN/>
        <w:bidi w:val="0"/>
        <w:adjustRightInd/>
        <w:spacing w:line="336" w:lineRule="auto"/>
        <w:ind w:left="425" w:leftChars="0" w:hanging="425"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付款方式</w:t>
      </w:r>
    </w:p>
    <w:p>
      <w:pPr>
        <w:pageBreakBefore w:val="0"/>
        <w:widowControl w:val="0"/>
        <w:numPr>
          <w:ilvl w:val="0"/>
          <w:numId w:val="0"/>
        </w:numPr>
        <w:kinsoku/>
        <w:wordWrap/>
        <w:overflowPunct/>
        <w:topLinePunct w:val="0"/>
        <w:autoSpaceDE/>
        <w:autoSpaceDN/>
        <w:bidi w:val="0"/>
        <w:adjustRightInd/>
        <w:spacing w:line="336" w:lineRule="auto"/>
        <w:ind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按照合同签订的实际参保人数，据实结算，一次性付清。</w:t>
      </w:r>
    </w:p>
    <w:p>
      <w:pPr>
        <w:pageBreakBefore w:val="0"/>
        <w:widowControl w:val="0"/>
        <w:numPr>
          <w:ilvl w:val="1"/>
          <w:numId w:val="34"/>
        </w:numPr>
        <w:kinsoku/>
        <w:wordWrap/>
        <w:overflowPunct/>
        <w:topLinePunct w:val="0"/>
        <w:autoSpaceDE/>
        <w:autoSpaceDN/>
        <w:bidi w:val="0"/>
        <w:adjustRightInd/>
        <w:spacing w:line="336" w:lineRule="auto"/>
        <w:ind w:left="425" w:leftChars="0" w:hanging="425" w:firstLineChars="0"/>
        <w:textAlignment w:val="auto"/>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合同实施</w:t>
      </w:r>
    </w:p>
    <w:p>
      <w:pPr>
        <w:pageBreakBefore w:val="0"/>
        <w:widowControl w:val="0"/>
        <w:numPr>
          <w:ilvl w:val="2"/>
          <w:numId w:val="34"/>
        </w:numPr>
        <w:kinsoku/>
        <w:wordWrap/>
        <w:overflowPunct/>
        <w:topLinePunct w:val="0"/>
        <w:autoSpaceDE/>
        <w:autoSpaceDN/>
        <w:bidi w:val="0"/>
        <w:adjustRightInd/>
        <w:spacing w:line="336" w:lineRule="auto"/>
        <w:ind w:left="5" w:leftChars="0" w:firstLine="415" w:firstLineChars="0"/>
        <w:textAlignment w:val="auto"/>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成交单位应在合同签订后3个日历日内安排人员（项目组成人员简历表所列）与使用单位就</w:t>
      </w:r>
      <w:r>
        <w:rPr>
          <w:rFonts w:hint="eastAsia" w:ascii="仿宋" w:hAnsi="仿宋" w:eastAsia="仿宋" w:cs="仿宋"/>
          <w:b w:val="0"/>
          <w:bCs w:val="0"/>
          <w:sz w:val="24"/>
          <w:szCs w:val="24"/>
          <w:highlight w:val="none"/>
          <w:lang w:val="en-US" w:eastAsia="zh-CN"/>
        </w:rPr>
        <w:t>服务实施方案</w:t>
      </w:r>
      <w:r>
        <w:rPr>
          <w:rFonts w:hint="default"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lang w:val="en-US" w:eastAsia="zh-CN"/>
        </w:rPr>
        <w:t>计划、</w:t>
      </w:r>
      <w:r>
        <w:rPr>
          <w:rFonts w:hint="default" w:ascii="仿宋" w:hAnsi="仿宋" w:eastAsia="仿宋" w:cs="仿宋"/>
          <w:b w:val="0"/>
          <w:bCs w:val="0"/>
          <w:sz w:val="24"/>
          <w:szCs w:val="24"/>
          <w:highlight w:val="none"/>
          <w:lang w:val="en-US" w:eastAsia="zh-CN"/>
        </w:rPr>
        <w:t>培训</w:t>
      </w:r>
      <w:r>
        <w:rPr>
          <w:rFonts w:hint="eastAsia" w:ascii="仿宋" w:hAnsi="仿宋" w:eastAsia="仿宋" w:cs="仿宋"/>
          <w:b w:val="0"/>
          <w:bCs w:val="0"/>
          <w:sz w:val="24"/>
          <w:szCs w:val="24"/>
          <w:highlight w:val="none"/>
          <w:lang w:val="en-US" w:eastAsia="zh-CN"/>
        </w:rPr>
        <w:t>、仪器设备</w:t>
      </w:r>
      <w:r>
        <w:rPr>
          <w:rFonts w:hint="default" w:ascii="仿宋" w:hAnsi="仿宋" w:eastAsia="仿宋" w:cs="仿宋"/>
          <w:b w:val="0"/>
          <w:bCs w:val="0"/>
          <w:sz w:val="24"/>
          <w:szCs w:val="24"/>
          <w:highlight w:val="none"/>
          <w:lang w:val="en-US" w:eastAsia="zh-CN"/>
        </w:rPr>
        <w:t>等工作进行安排、部署。</w:t>
      </w:r>
    </w:p>
    <w:p>
      <w:pPr>
        <w:pageBreakBefore w:val="0"/>
        <w:widowControl w:val="0"/>
        <w:numPr>
          <w:ilvl w:val="2"/>
          <w:numId w:val="34"/>
        </w:numPr>
        <w:kinsoku/>
        <w:wordWrap/>
        <w:overflowPunct/>
        <w:topLinePunct w:val="0"/>
        <w:autoSpaceDE/>
        <w:autoSpaceDN/>
        <w:bidi w:val="0"/>
        <w:adjustRightInd/>
        <w:spacing w:line="336" w:lineRule="auto"/>
        <w:ind w:left="5" w:leftChars="0" w:firstLine="415" w:firstLineChars="0"/>
        <w:textAlignment w:val="auto"/>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若因成交单位原因未能在</w:t>
      </w:r>
      <w:r>
        <w:rPr>
          <w:rFonts w:hint="eastAsia" w:ascii="仿宋" w:hAnsi="仿宋" w:eastAsia="仿宋" w:cs="仿宋"/>
          <w:b w:val="0"/>
          <w:bCs w:val="0"/>
          <w:sz w:val="24"/>
          <w:szCs w:val="24"/>
          <w:highlight w:val="none"/>
          <w:lang w:val="en-US" w:eastAsia="zh-CN"/>
        </w:rPr>
        <w:t>服务期限</w:t>
      </w:r>
      <w:r>
        <w:rPr>
          <w:rFonts w:hint="default" w:ascii="仿宋" w:hAnsi="仿宋" w:eastAsia="仿宋" w:cs="仿宋"/>
          <w:b w:val="0"/>
          <w:bCs w:val="0"/>
          <w:sz w:val="24"/>
          <w:szCs w:val="24"/>
          <w:highlight w:val="none"/>
          <w:lang w:val="en-US" w:eastAsia="zh-CN"/>
        </w:rPr>
        <w:t>内完成合同规定的义务，由此对采购人造成的延误和一切损失，由成交单位人承担和赔偿。</w:t>
      </w:r>
    </w:p>
    <w:p>
      <w:pPr>
        <w:pageBreakBefore w:val="0"/>
        <w:widowControl w:val="0"/>
        <w:numPr>
          <w:ilvl w:val="1"/>
          <w:numId w:val="34"/>
        </w:numPr>
        <w:kinsoku/>
        <w:wordWrap/>
        <w:overflowPunct/>
        <w:topLinePunct w:val="0"/>
        <w:autoSpaceDE/>
        <w:autoSpaceDN/>
        <w:bidi w:val="0"/>
        <w:adjustRightInd/>
        <w:spacing w:line="336" w:lineRule="auto"/>
        <w:ind w:left="425" w:leftChars="0" w:hanging="425" w:firstLineChars="0"/>
        <w:textAlignment w:val="auto"/>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违约责任</w:t>
      </w:r>
    </w:p>
    <w:p>
      <w:pPr>
        <w:pageBreakBefore w:val="0"/>
        <w:widowControl w:val="0"/>
        <w:numPr>
          <w:ilvl w:val="2"/>
          <w:numId w:val="34"/>
        </w:numPr>
        <w:kinsoku/>
        <w:wordWrap/>
        <w:overflowPunct/>
        <w:topLinePunct w:val="0"/>
        <w:autoSpaceDE/>
        <w:autoSpaceDN/>
        <w:bidi w:val="0"/>
        <w:adjustRightInd/>
        <w:spacing w:line="336" w:lineRule="auto"/>
        <w:ind w:left="5" w:leftChars="0" w:firstLine="415" w:firstLineChars="0"/>
        <w:textAlignment w:val="auto"/>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按《中华人民共和国</w:t>
      </w:r>
      <w:r>
        <w:rPr>
          <w:rFonts w:hint="eastAsia" w:ascii="仿宋" w:hAnsi="仿宋" w:eastAsia="仿宋" w:cs="仿宋"/>
          <w:b w:val="0"/>
          <w:bCs w:val="0"/>
          <w:sz w:val="24"/>
          <w:szCs w:val="24"/>
          <w:highlight w:val="none"/>
          <w:lang w:val="en-US" w:eastAsia="zh-CN"/>
        </w:rPr>
        <w:t>民法典</w:t>
      </w:r>
      <w:r>
        <w:rPr>
          <w:rFonts w:hint="default" w:ascii="仿宋" w:hAnsi="仿宋" w:eastAsia="仿宋" w:cs="仿宋"/>
          <w:b w:val="0"/>
          <w:bCs w:val="0"/>
          <w:sz w:val="24"/>
          <w:szCs w:val="24"/>
          <w:highlight w:val="none"/>
          <w:lang w:val="en-US" w:eastAsia="zh-CN"/>
        </w:rPr>
        <w:t>》中的相关条款执行。</w:t>
      </w:r>
    </w:p>
    <w:p>
      <w:pPr>
        <w:pageBreakBefore w:val="0"/>
        <w:widowControl w:val="0"/>
        <w:numPr>
          <w:ilvl w:val="2"/>
          <w:numId w:val="34"/>
        </w:numPr>
        <w:kinsoku/>
        <w:wordWrap/>
        <w:overflowPunct/>
        <w:topLinePunct w:val="0"/>
        <w:autoSpaceDE/>
        <w:autoSpaceDN/>
        <w:bidi w:val="0"/>
        <w:adjustRightInd/>
        <w:spacing w:line="336" w:lineRule="auto"/>
        <w:ind w:left="5" w:leftChars="0" w:firstLine="415" w:firstLineChars="0"/>
        <w:textAlignment w:val="auto"/>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未按合同要求提供产品不能满足技术要求，采购人有权终止合同，并对供方违约行为进行追究，同时按《中华人民共和国政府采购法》的有关规定进行处罚。</w:t>
      </w:r>
    </w:p>
    <w:p>
      <w:pPr>
        <w:pageBreakBefore w:val="0"/>
        <w:widowControl w:val="0"/>
        <w:numPr>
          <w:ilvl w:val="1"/>
          <w:numId w:val="34"/>
        </w:numPr>
        <w:kinsoku/>
        <w:wordWrap/>
        <w:overflowPunct/>
        <w:topLinePunct w:val="0"/>
        <w:autoSpaceDE/>
        <w:autoSpaceDN/>
        <w:bidi w:val="0"/>
        <w:adjustRightInd/>
        <w:spacing w:line="336" w:lineRule="auto"/>
        <w:ind w:left="425" w:leftChars="0" w:hanging="425" w:firstLineChars="0"/>
        <w:textAlignment w:val="auto"/>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其他事项</w:t>
      </w:r>
    </w:p>
    <w:p>
      <w:pPr>
        <w:pageBreakBefore w:val="0"/>
        <w:widowControl w:val="0"/>
        <w:numPr>
          <w:ilvl w:val="2"/>
          <w:numId w:val="34"/>
        </w:numPr>
        <w:kinsoku/>
        <w:wordWrap/>
        <w:overflowPunct/>
        <w:topLinePunct w:val="0"/>
        <w:autoSpaceDE/>
        <w:autoSpaceDN/>
        <w:bidi w:val="0"/>
        <w:adjustRightInd/>
        <w:spacing w:line="336" w:lineRule="auto"/>
        <w:ind w:left="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为优化一元民生保险工作机制，提升承保、理赔效率，有效扩大赔付规模和赔付率，根据各区县户籍人口分布情况，将</w:t>
      </w:r>
      <w:r>
        <w:rPr>
          <w:rFonts w:hint="eastAsia" w:ascii="仿宋" w:hAnsi="仿宋" w:eastAsia="仿宋" w:cs="仿宋"/>
          <w:b/>
          <w:bCs/>
          <w:sz w:val="24"/>
          <w:szCs w:val="24"/>
          <w:highlight w:val="none"/>
          <w:lang w:val="en-US" w:eastAsia="zh-CN"/>
        </w:rPr>
        <w:t>耀州区、新区（361397人）设为一标段。</w:t>
      </w:r>
    </w:p>
    <w:p>
      <w:pPr>
        <w:pageBreakBefore w:val="0"/>
        <w:widowControl w:val="0"/>
        <w:numPr>
          <w:ilvl w:val="2"/>
          <w:numId w:val="34"/>
        </w:numPr>
        <w:kinsoku/>
        <w:wordWrap/>
        <w:overflowPunct/>
        <w:topLinePunct w:val="0"/>
        <w:autoSpaceDE/>
        <w:autoSpaceDN/>
        <w:bidi w:val="0"/>
        <w:adjustRightInd/>
        <w:spacing w:line="336" w:lineRule="auto"/>
        <w:ind w:left="5" w:leftChars="0" w:firstLine="415"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户籍在铜川的居民，以户籍所在地为准确定承保、理赔机构；户籍不在铜川的居民，以事故出险地为准，确定承保、理赔机构。</w:t>
      </w:r>
    </w:p>
    <w:bookmarkEnd w:id="25"/>
    <w:p>
      <w:pPr>
        <w:pageBreakBefore w:val="0"/>
        <w:bidi w:val="0"/>
        <w:spacing w:line="336" w:lineRule="auto"/>
        <w:rPr>
          <w:rFonts w:hint="eastAsia" w:ascii="仿宋" w:hAnsi="仿宋" w:eastAsia="仿宋" w:cs="仿宋"/>
          <w:b/>
          <w:sz w:val="44"/>
          <w:szCs w:val="44"/>
          <w:highlight w:val="none"/>
        </w:rPr>
      </w:pPr>
      <w:bookmarkStart w:id="27" w:name="_Toc21054"/>
      <w:bookmarkStart w:id="28" w:name="_Toc16778"/>
      <w:bookmarkStart w:id="29" w:name="_Toc30044"/>
      <w:bookmarkStart w:id="30" w:name="_Toc11608"/>
      <w:bookmarkStart w:id="31" w:name="_Toc23598"/>
      <w:r>
        <w:rPr>
          <w:rFonts w:hint="eastAsia" w:ascii="仿宋" w:hAnsi="仿宋" w:eastAsia="仿宋" w:cs="仿宋"/>
          <w:b/>
          <w:sz w:val="44"/>
          <w:szCs w:val="44"/>
          <w:highlight w:val="none"/>
        </w:rPr>
        <w:br w:type="page"/>
      </w:r>
    </w:p>
    <w:p>
      <w:pPr>
        <w:pageBreakBefore w:val="0"/>
        <w:numPr>
          <w:ilvl w:val="0"/>
          <w:numId w:val="24"/>
        </w:numPr>
        <w:overflowPunct/>
        <w:bidi w:val="0"/>
        <w:spacing w:afterAutospacing="0" w:line="336" w:lineRule="auto"/>
        <w:ind w:left="0" w:leftChars="0" w:right="0" w:rightChars="0" w:firstLine="0" w:firstLineChars="0"/>
        <w:jc w:val="center"/>
        <w:outlineLvl w:val="0"/>
        <w:rPr>
          <w:rFonts w:hint="eastAsia" w:ascii="仿宋" w:hAnsi="仿宋" w:eastAsia="仿宋" w:cs="仿宋"/>
          <w:b/>
          <w:sz w:val="44"/>
          <w:szCs w:val="44"/>
          <w:highlight w:val="none"/>
        </w:rPr>
      </w:pPr>
      <w:r>
        <w:rPr>
          <w:rFonts w:hint="eastAsia" w:ascii="仿宋" w:hAnsi="仿宋" w:eastAsia="仿宋" w:cs="仿宋"/>
          <w:b/>
          <w:sz w:val="44"/>
          <w:szCs w:val="44"/>
          <w:highlight w:val="none"/>
        </w:rPr>
        <w:t>评审办法及标准</w:t>
      </w:r>
      <w:bookmarkEnd w:id="27"/>
    </w:p>
    <w:p>
      <w:pPr>
        <w:pStyle w:val="15"/>
        <w:pageBreakBefore w:val="0"/>
        <w:overflowPunct/>
        <w:bidi w:val="0"/>
        <w:spacing w:line="336" w:lineRule="auto"/>
        <w:rPr>
          <w:rFonts w:hint="eastAsia" w:ascii="仿宋" w:hAnsi="仿宋" w:eastAsia="仿宋" w:cs="仿宋"/>
          <w:highlight w:val="none"/>
        </w:rPr>
      </w:pPr>
    </w:p>
    <w:p>
      <w:pPr>
        <w:pageBreakBefore w:val="0"/>
        <w:numPr>
          <w:ilvl w:val="0"/>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0"/>
        <w:rPr>
          <w:rFonts w:hint="eastAsia" w:ascii="仿宋" w:hAnsi="仿宋" w:eastAsia="仿宋" w:cs="仿宋"/>
          <w:b/>
          <w:bCs/>
          <w:sz w:val="24"/>
          <w:highlight w:val="none"/>
          <w:lang w:val="zh-CN"/>
        </w:rPr>
      </w:pPr>
      <w:bookmarkStart w:id="32" w:name="_Toc44767170"/>
      <w:r>
        <w:rPr>
          <w:rFonts w:hint="eastAsia" w:ascii="仿宋" w:hAnsi="仿宋" w:eastAsia="仿宋" w:cs="仿宋"/>
          <w:b/>
          <w:bCs/>
          <w:sz w:val="24"/>
          <w:highlight w:val="none"/>
          <w:lang w:val="zh-CN"/>
        </w:rPr>
        <w:t>评审方法</w:t>
      </w:r>
    </w:p>
    <w:p>
      <w:pPr>
        <w:pageBreakBefore w:val="0"/>
        <w:tabs>
          <w:tab w:val="left" w:pos="0"/>
          <w:tab w:val="left" w:pos="210"/>
          <w:tab w:val="left" w:pos="420"/>
          <w:tab w:val="left" w:pos="630"/>
          <w:tab w:val="left" w:pos="840"/>
          <w:tab w:val="left" w:pos="105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按照《中华人民共和国政府采购法》、中华人民共和国2015年第658号国务院令--《中华人民共和国政府采购法实施条例》、中华人民共和国财政部财库〔2014〕214号文件《政府采购竞争性磋商采购方式管理暂行办法》和中华人民共和国财政部财库〔2015〕124号文件《关于政府采购竞争性磋商采购方式管理暂行办法有关问题的补充通知》的规定，竞争性磋商小组采用综合评分法对提交最后报价的供应商的响应文件和最后报价进行综合评分，按照评审得分由高到低顺序推荐3名成交候选供应商。</w:t>
      </w:r>
    </w:p>
    <w:p>
      <w:pPr>
        <w:pageBreakBefore w:val="0"/>
        <w:numPr>
          <w:ilvl w:val="0"/>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评审程序</w:t>
      </w:r>
      <w:bookmarkEnd w:id="32"/>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2" w:firstLineChars="20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响应文件初步评审</w:t>
      </w:r>
    </w:p>
    <w:p>
      <w:pPr>
        <w:pageBreakBefore w:val="0"/>
        <w:numPr>
          <w:ilvl w:val="2"/>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基本资格审查</w:t>
      </w:r>
    </w:p>
    <w:p>
      <w:pPr>
        <w:pageBreakBefore w:val="0"/>
        <w:tabs>
          <w:tab w:val="left" w:pos="0"/>
          <w:tab w:val="left" w:pos="210"/>
          <w:tab w:val="left" w:pos="420"/>
          <w:tab w:val="left" w:pos="630"/>
          <w:tab w:val="left" w:pos="840"/>
          <w:tab w:val="left" w:pos="105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按下表所列举的审查标准对供应商的基本资格条件进行审查，供应商若有一项不合格，即判定其基本资格条件审查结果为不合格，将不具备磋商资格，按无效响应文件处理。</w:t>
      </w:r>
    </w:p>
    <w:p>
      <w:pPr>
        <w:pageBreakBefore w:val="0"/>
        <w:tabs>
          <w:tab w:val="left" w:pos="0"/>
          <w:tab w:val="left" w:pos="210"/>
          <w:tab w:val="left" w:pos="420"/>
          <w:tab w:val="left" w:pos="630"/>
          <w:tab w:val="left" w:pos="840"/>
          <w:tab w:val="left" w:pos="105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未通过资格审查的供应商，不得进入后续磋商环节。</w:t>
      </w:r>
    </w:p>
    <w:p>
      <w:pPr>
        <w:pageBreakBefore w:val="0"/>
        <w:tabs>
          <w:tab w:val="left" w:pos="0"/>
          <w:tab w:val="left" w:pos="210"/>
          <w:tab w:val="left" w:pos="420"/>
          <w:tab w:val="left" w:pos="630"/>
          <w:tab w:val="left" w:pos="840"/>
          <w:tab w:val="left" w:pos="1050"/>
        </w:tabs>
        <w:kinsoku/>
        <w:bidi w:val="0"/>
        <w:adjustRightInd w:val="0"/>
        <w:snapToGrid w:val="0"/>
        <w:spacing w:line="336" w:lineRule="auto"/>
        <w:ind w:firstLine="482" w:firstLineChars="200"/>
        <w:jc w:val="center"/>
        <w:rPr>
          <w:rFonts w:hint="eastAsia" w:ascii="仿宋" w:hAnsi="仿宋" w:eastAsia="仿宋" w:cs="仿宋"/>
          <w:b/>
          <w:bCs/>
          <w:sz w:val="24"/>
          <w:highlight w:val="none"/>
        </w:rPr>
      </w:pPr>
    </w:p>
    <w:p>
      <w:pPr>
        <w:pageBreakBefore w:val="0"/>
        <w:tabs>
          <w:tab w:val="left" w:pos="0"/>
          <w:tab w:val="left" w:pos="210"/>
          <w:tab w:val="left" w:pos="420"/>
          <w:tab w:val="left" w:pos="630"/>
          <w:tab w:val="left" w:pos="840"/>
          <w:tab w:val="left" w:pos="1050"/>
        </w:tabs>
        <w:kinsoku/>
        <w:bidi w:val="0"/>
        <w:adjustRightInd w:val="0"/>
        <w:snapToGrid w:val="0"/>
        <w:spacing w:line="336" w:lineRule="auto"/>
        <w:ind w:firstLine="482" w:firstLineChars="200"/>
        <w:jc w:val="center"/>
        <w:rPr>
          <w:rFonts w:hint="eastAsia" w:ascii="仿宋" w:hAnsi="仿宋" w:eastAsia="仿宋" w:cs="仿宋"/>
          <w:highlight w:val="none"/>
        </w:rPr>
      </w:pPr>
      <w:r>
        <w:rPr>
          <w:rFonts w:hint="eastAsia" w:ascii="仿宋" w:hAnsi="仿宋" w:eastAsia="仿宋" w:cs="仿宋"/>
          <w:b/>
          <w:bCs/>
          <w:sz w:val="24"/>
          <w:highlight w:val="none"/>
        </w:rPr>
        <w:t>基本资格审查标准</w:t>
      </w:r>
    </w:p>
    <w:tbl>
      <w:tblPr>
        <w:tblStyle w:val="38"/>
        <w:tblpPr w:leftFromText="180" w:rightFromText="180" w:vertAnchor="text" w:horzAnchor="page" w:tblpX="1450" w:tblpY="410"/>
        <w:tblOverlap w:val="never"/>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58" w:type="dxa"/>
            <w:noWrap w:val="0"/>
            <w:vAlign w:val="center"/>
          </w:tcPr>
          <w:p>
            <w:pPr>
              <w:pageBreakBefore w:val="0"/>
              <w:kinsoku/>
              <w:bidi w:val="0"/>
              <w:adjustRightInd w:val="0"/>
              <w:snapToGrid w:val="0"/>
              <w:spacing w:line="336" w:lineRule="auto"/>
              <w:jc w:val="center"/>
              <w:rPr>
                <w:rFonts w:hint="eastAsia" w:ascii="仿宋" w:hAnsi="仿宋" w:eastAsia="仿宋" w:cs="仿宋"/>
                <w:b/>
                <w:sz w:val="24"/>
                <w:highlight w:val="none"/>
              </w:rPr>
            </w:pPr>
            <w:r>
              <w:rPr>
                <w:rFonts w:hint="eastAsia" w:ascii="仿宋" w:hAnsi="仿宋" w:eastAsia="仿宋" w:cs="仿宋"/>
                <w:b/>
                <w:sz w:val="24"/>
                <w:highlight w:val="none"/>
              </w:rPr>
              <w:t>评审要素</w:t>
            </w:r>
          </w:p>
        </w:tc>
        <w:tc>
          <w:tcPr>
            <w:tcW w:w="6481" w:type="dxa"/>
            <w:noWrap w:val="0"/>
            <w:vAlign w:val="center"/>
          </w:tcPr>
          <w:p>
            <w:pPr>
              <w:pageBreakBefore w:val="0"/>
              <w:kinsoku/>
              <w:bidi w:val="0"/>
              <w:adjustRightInd w:val="0"/>
              <w:snapToGrid w:val="0"/>
              <w:spacing w:line="336" w:lineRule="auto"/>
              <w:jc w:val="center"/>
              <w:rPr>
                <w:rFonts w:hint="eastAsia" w:ascii="仿宋" w:hAnsi="仿宋" w:eastAsia="仿宋" w:cs="仿宋"/>
                <w:b/>
                <w:sz w:val="24"/>
                <w:highlight w:val="none"/>
              </w:rPr>
            </w:pPr>
            <w:r>
              <w:rPr>
                <w:rFonts w:hint="eastAsia" w:ascii="仿宋" w:hAnsi="仿宋" w:eastAsia="仿宋" w:cs="仿宋"/>
                <w:b/>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758" w:type="dxa"/>
            <w:noWrap w:val="0"/>
            <w:vAlign w:val="center"/>
          </w:tcPr>
          <w:p>
            <w:pPr>
              <w:pageBreakBefore w:val="0"/>
              <w:tabs>
                <w:tab w:val="left" w:pos="0"/>
              </w:tabs>
              <w:kinsoku/>
              <w:bidi w:val="0"/>
              <w:adjustRightInd w:val="0"/>
              <w:snapToGrid w:val="0"/>
              <w:spacing w:line="336" w:lineRule="auto"/>
              <w:jc w:val="center"/>
              <w:rPr>
                <w:rFonts w:hint="eastAsia" w:ascii="仿宋" w:hAnsi="仿宋" w:eastAsia="仿宋" w:cs="仿宋"/>
                <w:szCs w:val="21"/>
                <w:highlight w:val="none"/>
              </w:rPr>
            </w:pPr>
            <w:r>
              <w:rPr>
                <w:rFonts w:hint="eastAsia" w:ascii="仿宋" w:hAnsi="仿宋" w:eastAsia="仿宋" w:cs="仿宋"/>
                <w:kern w:val="0"/>
                <w:szCs w:val="21"/>
                <w:highlight w:val="none"/>
              </w:rPr>
              <w:t>供应商资质条件</w:t>
            </w:r>
          </w:p>
        </w:tc>
        <w:tc>
          <w:tcPr>
            <w:tcW w:w="6481" w:type="dxa"/>
            <w:noWrap w:val="0"/>
            <w:vAlign w:val="center"/>
          </w:tcPr>
          <w:p>
            <w:pPr>
              <w:pageBreakBefore w:val="0"/>
              <w:tabs>
                <w:tab w:val="left" w:pos="0"/>
              </w:tabs>
              <w:kinsoku/>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符合供应商须知前附表第</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条规定</w:t>
            </w:r>
          </w:p>
        </w:tc>
      </w:tr>
    </w:tbl>
    <w:p>
      <w:pPr>
        <w:pageBreakBefore w:val="0"/>
        <w:numPr>
          <w:ilvl w:val="0"/>
          <w:numId w:val="0"/>
        </w:numPr>
        <w:tabs>
          <w:tab w:val="left" w:pos="0"/>
          <w:tab w:val="left" w:pos="210"/>
          <w:tab w:val="left" w:pos="420"/>
          <w:tab w:val="left" w:pos="630"/>
          <w:tab w:val="left" w:pos="840"/>
          <w:tab w:val="left" w:pos="1050"/>
        </w:tabs>
        <w:kinsoku/>
        <w:overflowPunct/>
        <w:bidi w:val="0"/>
        <w:adjustRightInd w:val="0"/>
        <w:snapToGrid w:val="0"/>
        <w:spacing w:line="336" w:lineRule="auto"/>
        <w:rPr>
          <w:rFonts w:hint="eastAsia" w:ascii="仿宋" w:hAnsi="仿宋" w:eastAsia="仿宋" w:cs="仿宋"/>
          <w:sz w:val="24"/>
          <w:highlight w:val="none"/>
          <w:lang w:val="zh-CN"/>
        </w:rPr>
      </w:pPr>
    </w:p>
    <w:p>
      <w:pPr>
        <w:pageBreakBefore w:val="0"/>
        <w:bidi w:val="0"/>
        <w:spacing w:line="336" w:lineRule="auto"/>
        <w:rPr>
          <w:rFonts w:hint="eastAsia" w:ascii="仿宋" w:hAnsi="仿宋" w:eastAsia="仿宋" w:cs="仿宋"/>
          <w:highlight w:val="none"/>
          <w:lang w:val="zh-CN"/>
        </w:rPr>
      </w:pPr>
    </w:p>
    <w:p>
      <w:pPr>
        <w:pageBreakBefore w:val="0"/>
        <w:numPr>
          <w:ilvl w:val="2"/>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符合性审查</w:t>
      </w:r>
    </w:p>
    <w:p>
      <w:pPr>
        <w:pageBreakBefore w:val="0"/>
        <w:tabs>
          <w:tab w:val="left" w:pos="0"/>
          <w:tab w:val="left" w:pos="210"/>
          <w:tab w:val="left" w:pos="420"/>
          <w:tab w:val="left" w:pos="630"/>
          <w:tab w:val="left" w:pos="840"/>
          <w:tab w:val="left" w:pos="105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按下列评审标准对供应商的响应文件进行符合性审查，供应商若有一项不合格，即判定其符合性审查结果为不合格，将不具备磋商资格，按无效响应文件处理。</w:t>
      </w:r>
    </w:p>
    <w:p>
      <w:pPr>
        <w:pageBreakBefore w:val="0"/>
        <w:tabs>
          <w:tab w:val="left" w:pos="0"/>
          <w:tab w:val="left" w:pos="210"/>
          <w:tab w:val="left" w:pos="420"/>
          <w:tab w:val="left" w:pos="630"/>
          <w:tab w:val="left" w:pos="840"/>
          <w:tab w:val="left" w:pos="1050"/>
        </w:tabs>
        <w:kinsoku/>
        <w:overflowPunct/>
        <w:bidi w:val="0"/>
        <w:adjustRightInd w:val="0"/>
        <w:snapToGrid w:val="0"/>
        <w:spacing w:line="336" w:lineRule="auto"/>
        <w:ind w:firstLine="480" w:firstLineChars="200"/>
        <w:jc w:val="both"/>
        <w:rPr>
          <w:rFonts w:hint="eastAsia" w:ascii="仿宋" w:hAnsi="仿宋" w:eastAsia="仿宋" w:cs="仿宋"/>
          <w:sz w:val="24"/>
          <w:highlight w:val="none"/>
          <w:lang w:val="zh-CN"/>
        </w:rPr>
      </w:pPr>
      <w:r>
        <w:rPr>
          <w:rFonts w:hint="eastAsia" w:ascii="仿宋" w:hAnsi="仿宋" w:eastAsia="仿宋" w:cs="仿宋"/>
          <w:sz w:val="24"/>
          <w:highlight w:val="none"/>
          <w:lang w:val="zh-CN"/>
        </w:rPr>
        <w:t>未通过符合性检查的供应商，不得进入后续磋商环节。</w:t>
      </w:r>
    </w:p>
    <w:p>
      <w:pPr>
        <w:pageBreakBefore w:val="0"/>
        <w:bidi w:val="0"/>
        <w:spacing w:line="336" w:lineRule="auto"/>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br w:type="page"/>
      </w:r>
    </w:p>
    <w:p>
      <w:pPr>
        <w:pageBreakBefore w:val="0"/>
        <w:tabs>
          <w:tab w:val="left" w:pos="0"/>
          <w:tab w:val="left" w:pos="210"/>
          <w:tab w:val="left" w:pos="420"/>
          <w:tab w:val="left" w:pos="630"/>
          <w:tab w:val="left" w:pos="840"/>
          <w:tab w:val="left" w:pos="1050"/>
        </w:tabs>
        <w:kinsoku/>
        <w:overflowPunct/>
        <w:bidi w:val="0"/>
        <w:adjustRightInd w:val="0"/>
        <w:snapToGrid w:val="0"/>
        <w:spacing w:line="336" w:lineRule="auto"/>
        <w:jc w:val="center"/>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符合性审查标准</w:t>
      </w:r>
    </w:p>
    <w:p>
      <w:pPr>
        <w:pStyle w:val="15"/>
        <w:pageBreakBefore w:val="0"/>
        <w:bidi w:val="0"/>
        <w:spacing w:line="336" w:lineRule="auto"/>
        <w:rPr>
          <w:rFonts w:hint="eastAsia" w:ascii="仿宋" w:hAnsi="仿宋" w:eastAsia="仿宋" w:cs="仿宋"/>
          <w:highlight w:val="none"/>
          <w:lang w:val="zh-CN"/>
        </w:rPr>
      </w:pPr>
    </w:p>
    <w:tbl>
      <w:tblPr>
        <w:tblStyle w:val="3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423"/>
        <w:gridCol w:w="5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950" w:type="dxa"/>
            <w:gridSpan w:val="2"/>
            <w:noWrap w:val="0"/>
            <w:vAlign w:val="center"/>
          </w:tcPr>
          <w:p>
            <w:pPr>
              <w:pageBreakBefore w:val="0"/>
              <w:tabs>
                <w:tab w:val="left" w:pos="0"/>
              </w:tabs>
              <w:kinsoku/>
              <w:overflowPunct/>
              <w:bidi w:val="0"/>
              <w:adjustRightInd w:val="0"/>
              <w:snapToGrid w:val="0"/>
              <w:spacing w:line="336" w:lineRule="auto"/>
              <w:jc w:val="center"/>
              <w:rPr>
                <w:rFonts w:hint="eastAsia" w:ascii="仿宋" w:hAnsi="仿宋" w:eastAsia="仿宋" w:cs="仿宋"/>
                <w:b/>
                <w:szCs w:val="21"/>
                <w:highlight w:val="none"/>
              </w:rPr>
            </w:pPr>
            <w:r>
              <w:rPr>
                <w:rFonts w:hint="eastAsia" w:ascii="仿宋" w:hAnsi="仿宋" w:eastAsia="仿宋" w:cs="仿宋"/>
                <w:b/>
                <w:szCs w:val="21"/>
                <w:highlight w:val="none"/>
              </w:rPr>
              <w:t>评审因素</w:t>
            </w:r>
          </w:p>
        </w:tc>
        <w:tc>
          <w:tcPr>
            <w:tcW w:w="5229" w:type="dxa"/>
            <w:noWrap w:val="0"/>
            <w:vAlign w:val="center"/>
          </w:tcPr>
          <w:p>
            <w:pPr>
              <w:pageBreakBefore w:val="0"/>
              <w:tabs>
                <w:tab w:val="left" w:pos="0"/>
              </w:tabs>
              <w:kinsoku/>
              <w:overflowPunct/>
              <w:bidi w:val="0"/>
              <w:adjustRightInd w:val="0"/>
              <w:snapToGrid w:val="0"/>
              <w:spacing w:line="336" w:lineRule="auto"/>
              <w:jc w:val="center"/>
              <w:rPr>
                <w:rFonts w:hint="eastAsia" w:ascii="仿宋" w:hAnsi="仿宋" w:eastAsia="仿宋" w:cs="仿宋"/>
                <w:b/>
                <w:szCs w:val="21"/>
                <w:highlight w:val="none"/>
              </w:rPr>
            </w:pPr>
            <w:r>
              <w:rPr>
                <w:rFonts w:hint="eastAsia" w:ascii="仿宋" w:hAnsi="仿宋" w:eastAsia="仿宋" w:cs="仿宋"/>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27" w:type="dxa"/>
            <w:vMerge w:val="restart"/>
            <w:noWrap w:val="0"/>
            <w:vAlign w:val="center"/>
          </w:tcPr>
          <w:p>
            <w:pPr>
              <w:pageBreakBefore w:val="0"/>
              <w:tabs>
                <w:tab w:val="left" w:pos="0"/>
              </w:tabs>
              <w:kinsoku/>
              <w:overflowPunct/>
              <w:bidi w:val="0"/>
              <w:adjustRightInd w:val="0"/>
              <w:snapToGrid w:val="0"/>
              <w:spacing w:line="336" w:lineRule="auto"/>
              <w:jc w:val="center"/>
              <w:rPr>
                <w:rFonts w:hint="eastAsia" w:ascii="仿宋" w:hAnsi="仿宋" w:eastAsia="仿宋" w:cs="仿宋"/>
                <w:szCs w:val="21"/>
                <w:highlight w:val="none"/>
              </w:rPr>
            </w:pPr>
            <w:r>
              <w:rPr>
                <w:rFonts w:hint="eastAsia" w:ascii="仿宋" w:hAnsi="仿宋" w:eastAsia="仿宋" w:cs="仿宋"/>
                <w:szCs w:val="21"/>
                <w:highlight w:val="none"/>
                <w:lang w:val="zh-CN"/>
              </w:rPr>
              <w:t>符合性</w:t>
            </w:r>
            <w:r>
              <w:rPr>
                <w:rFonts w:hint="eastAsia" w:ascii="仿宋" w:hAnsi="仿宋" w:eastAsia="仿宋" w:cs="仿宋"/>
                <w:szCs w:val="21"/>
                <w:highlight w:val="none"/>
              </w:rPr>
              <w:t>审查</w:t>
            </w:r>
          </w:p>
        </w:tc>
        <w:tc>
          <w:tcPr>
            <w:tcW w:w="2423"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响应文件的签字、盖章</w:t>
            </w:r>
          </w:p>
        </w:tc>
        <w:tc>
          <w:tcPr>
            <w:tcW w:w="5229"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符合供应商须知前附表第</w:t>
            </w:r>
            <w:r>
              <w:rPr>
                <w:rFonts w:hint="eastAsia" w:ascii="仿宋" w:hAnsi="仿宋" w:eastAsia="仿宋" w:cs="仿宋"/>
                <w:szCs w:val="21"/>
                <w:highlight w:val="none"/>
                <w:lang w:val="en-US" w:eastAsia="zh-CN"/>
              </w:rPr>
              <w:t>3.5.4</w:t>
            </w:r>
            <w:r>
              <w:rPr>
                <w:rFonts w:hint="eastAsia" w:ascii="仿宋" w:hAnsi="仿宋" w:eastAsia="仿宋" w:cs="仿宋"/>
                <w:szCs w:val="21"/>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27" w:type="dxa"/>
            <w:vMerge w:val="continue"/>
            <w:noWrap w:val="0"/>
            <w:vAlign w:val="top"/>
          </w:tcPr>
          <w:p>
            <w:pPr>
              <w:pageBreakBefore w:val="0"/>
              <w:tabs>
                <w:tab w:val="left" w:pos="0"/>
              </w:tabs>
              <w:kinsoku/>
              <w:overflowPunct/>
              <w:bidi w:val="0"/>
              <w:adjustRightInd w:val="0"/>
              <w:snapToGrid w:val="0"/>
              <w:spacing w:line="336" w:lineRule="auto"/>
              <w:rPr>
                <w:rFonts w:hint="eastAsia" w:ascii="仿宋" w:hAnsi="仿宋" w:eastAsia="仿宋" w:cs="仿宋"/>
                <w:szCs w:val="21"/>
                <w:highlight w:val="none"/>
              </w:rPr>
            </w:pPr>
          </w:p>
        </w:tc>
        <w:tc>
          <w:tcPr>
            <w:tcW w:w="2423"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响应文件格式</w:t>
            </w:r>
          </w:p>
        </w:tc>
        <w:tc>
          <w:tcPr>
            <w:tcW w:w="5229"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应符合第六</w:t>
            </w:r>
            <w:r>
              <w:rPr>
                <w:rFonts w:hint="eastAsia" w:ascii="仿宋" w:hAnsi="仿宋" w:eastAsia="仿宋" w:cs="仿宋"/>
                <w:szCs w:val="21"/>
                <w:highlight w:val="none"/>
                <w:lang w:eastAsia="zh-CN"/>
              </w:rPr>
              <w:t>部分</w:t>
            </w:r>
            <w:r>
              <w:rPr>
                <w:rFonts w:hint="eastAsia" w:ascii="仿宋" w:hAnsi="仿宋" w:eastAsia="仿宋" w:cs="仿宋"/>
                <w:szCs w:val="21"/>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27" w:type="dxa"/>
            <w:vMerge w:val="continue"/>
            <w:noWrap w:val="0"/>
            <w:vAlign w:val="top"/>
          </w:tcPr>
          <w:p>
            <w:pPr>
              <w:pageBreakBefore w:val="0"/>
              <w:tabs>
                <w:tab w:val="left" w:pos="0"/>
              </w:tabs>
              <w:kinsoku/>
              <w:overflowPunct/>
              <w:bidi w:val="0"/>
              <w:adjustRightInd w:val="0"/>
              <w:snapToGrid w:val="0"/>
              <w:spacing w:line="336" w:lineRule="auto"/>
              <w:rPr>
                <w:rFonts w:hint="eastAsia" w:ascii="仿宋" w:hAnsi="仿宋" w:eastAsia="仿宋" w:cs="仿宋"/>
                <w:szCs w:val="21"/>
                <w:highlight w:val="none"/>
              </w:rPr>
            </w:pPr>
          </w:p>
        </w:tc>
        <w:tc>
          <w:tcPr>
            <w:tcW w:w="2423"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报价</w:t>
            </w:r>
          </w:p>
        </w:tc>
        <w:tc>
          <w:tcPr>
            <w:tcW w:w="5229"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报价不超过</w:t>
            </w:r>
            <w:r>
              <w:rPr>
                <w:rFonts w:hint="eastAsia" w:ascii="仿宋" w:hAnsi="仿宋" w:eastAsia="仿宋" w:cs="仿宋"/>
                <w:sz w:val="21"/>
                <w:szCs w:val="21"/>
                <w:highlight w:val="none"/>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27" w:type="dxa"/>
            <w:vMerge w:val="continue"/>
            <w:noWrap w:val="0"/>
            <w:vAlign w:val="center"/>
          </w:tcPr>
          <w:p>
            <w:pPr>
              <w:pageBreakBefore w:val="0"/>
              <w:tabs>
                <w:tab w:val="left" w:pos="0"/>
              </w:tabs>
              <w:kinsoku/>
              <w:overflowPunct/>
              <w:bidi w:val="0"/>
              <w:adjustRightInd w:val="0"/>
              <w:snapToGrid w:val="0"/>
              <w:spacing w:line="336" w:lineRule="auto"/>
              <w:jc w:val="center"/>
              <w:rPr>
                <w:rFonts w:hint="eastAsia" w:ascii="仿宋" w:hAnsi="仿宋" w:eastAsia="仿宋" w:cs="仿宋"/>
                <w:szCs w:val="21"/>
                <w:highlight w:val="none"/>
              </w:rPr>
            </w:pPr>
          </w:p>
        </w:tc>
        <w:tc>
          <w:tcPr>
            <w:tcW w:w="2423"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响应文件份数</w:t>
            </w:r>
          </w:p>
        </w:tc>
        <w:tc>
          <w:tcPr>
            <w:tcW w:w="5229"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符合供应商须知前附表第</w:t>
            </w:r>
            <w:r>
              <w:rPr>
                <w:rFonts w:hint="eastAsia" w:ascii="仿宋" w:hAnsi="仿宋" w:eastAsia="仿宋" w:cs="仿宋"/>
                <w:szCs w:val="21"/>
                <w:highlight w:val="none"/>
                <w:lang w:val="en-US" w:eastAsia="zh-CN"/>
              </w:rPr>
              <w:t>3.5.1</w:t>
            </w:r>
            <w:r>
              <w:rPr>
                <w:rFonts w:hint="eastAsia" w:ascii="仿宋" w:hAnsi="仿宋" w:eastAsia="仿宋" w:cs="仿宋"/>
                <w:szCs w:val="21"/>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27" w:type="dxa"/>
            <w:vMerge w:val="continue"/>
            <w:noWrap w:val="0"/>
            <w:vAlign w:val="top"/>
          </w:tcPr>
          <w:p>
            <w:pPr>
              <w:pageBreakBefore w:val="0"/>
              <w:tabs>
                <w:tab w:val="left" w:pos="0"/>
              </w:tabs>
              <w:kinsoku/>
              <w:overflowPunct/>
              <w:bidi w:val="0"/>
              <w:adjustRightInd w:val="0"/>
              <w:snapToGrid w:val="0"/>
              <w:spacing w:line="336" w:lineRule="auto"/>
              <w:rPr>
                <w:rFonts w:hint="eastAsia" w:ascii="仿宋" w:hAnsi="仿宋" w:eastAsia="仿宋" w:cs="仿宋"/>
                <w:szCs w:val="21"/>
                <w:highlight w:val="none"/>
              </w:rPr>
            </w:pPr>
          </w:p>
        </w:tc>
        <w:tc>
          <w:tcPr>
            <w:tcW w:w="2423"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保险期限</w:t>
            </w:r>
          </w:p>
        </w:tc>
        <w:tc>
          <w:tcPr>
            <w:tcW w:w="5229"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符合供应商须知前附表第</w:t>
            </w:r>
            <w:r>
              <w:rPr>
                <w:rFonts w:hint="eastAsia" w:ascii="仿宋" w:hAnsi="仿宋" w:eastAsia="仿宋" w:cs="仿宋"/>
                <w:szCs w:val="21"/>
                <w:highlight w:val="none"/>
                <w:lang w:val="en-US" w:eastAsia="zh-CN"/>
              </w:rPr>
              <w:t>1.3.2</w:t>
            </w:r>
            <w:r>
              <w:rPr>
                <w:rFonts w:hint="eastAsia" w:ascii="仿宋" w:hAnsi="仿宋" w:eastAsia="仿宋" w:cs="仿宋"/>
                <w:szCs w:val="21"/>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527" w:type="dxa"/>
            <w:vMerge w:val="continue"/>
            <w:noWrap w:val="0"/>
            <w:vAlign w:val="top"/>
          </w:tcPr>
          <w:p>
            <w:pPr>
              <w:pageBreakBefore w:val="0"/>
              <w:tabs>
                <w:tab w:val="left" w:pos="0"/>
              </w:tabs>
              <w:kinsoku/>
              <w:overflowPunct/>
              <w:bidi w:val="0"/>
              <w:adjustRightInd w:val="0"/>
              <w:snapToGrid w:val="0"/>
              <w:spacing w:line="336" w:lineRule="auto"/>
              <w:rPr>
                <w:rFonts w:hint="eastAsia" w:ascii="仿宋" w:hAnsi="仿宋" w:eastAsia="仿宋" w:cs="仿宋"/>
                <w:szCs w:val="21"/>
                <w:highlight w:val="none"/>
              </w:rPr>
            </w:pPr>
          </w:p>
        </w:tc>
        <w:tc>
          <w:tcPr>
            <w:tcW w:w="2423" w:type="dxa"/>
            <w:noWrap w:val="0"/>
            <w:vAlign w:val="center"/>
          </w:tcPr>
          <w:p>
            <w:pPr>
              <w:pageBreakBefore w:val="0"/>
              <w:tabs>
                <w:tab w:val="left" w:pos="0"/>
              </w:tabs>
              <w:kinsoku/>
              <w:overflowPunct/>
              <w:bidi w:val="0"/>
              <w:adjustRightInd w:val="0"/>
              <w:snapToGrid w:val="0"/>
              <w:spacing w:line="336" w:lineRule="auto"/>
              <w:rPr>
                <w:rFonts w:hint="eastAsia" w:ascii="仿宋" w:hAnsi="仿宋" w:eastAsia="仿宋" w:cs="仿宋"/>
                <w:szCs w:val="21"/>
                <w:highlight w:val="none"/>
              </w:rPr>
            </w:pPr>
            <w:r>
              <w:rPr>
                <w:rFonts w:hint="eastAsia" w:ascii="仿宋" w:hAnsi="仿宋" w:eastAsia="仿宋" w:cs="仿宋"/>
                <w:szCs w:val="21"/>
                <w:highlight w:val="none"/>
              </w:rPr>
              <w:t>磋商有效期</w:t>
            </w:r>
          </w:p>
        </w:tc>
        <w:tc>
          <w:tcPr>
            <w:tcW w:w="5229" w:type="dxa"/>
            <w:noWrap w:val="0"/>
            <w:vAlign w:val="center"/>
          </w:tcPr>
          <w:p>
            <w:pPr>
              <w:pageBreakBefore w:val="0"/>
              <w:tabs>
                <w:tab w:val="left" w:pos="0"/>
              </w:tabs>
              <w:kinsoku/>
              <w:overflowPunct/>
              <w:bidi w:val="0"/>
              <w:adjustRightInd w:val="0"/>
              <w:snapToGrid w:val="0"/>
              <w:spacing w:line="336" w:lineRule="auto"/>
              <w:jc w:val="left"/>
              <w:rPr>
                <w:rFonts w:hint="eastAsia" w:ascii="仿宋" w:hAnsi="仿宋" w:eastAsia="仿宋" w:cs="仿宋"/>
                <w:szCs w:val="21"/>
                <w:highlight w:val="none"/>
              </w:rPr>
            </w:pPr>
            <w:r>
              <w:rPr>
                <w:rFonts w:hint="eastAsia" w:ascii="仿宋" w:hAnsi="仿宋" w:eastAsia="仿宋" w:cs="仿宋"/>
                <w:szCs w:val="21"/>
                <w:highlight w:val="none"/>
              </w:rPr>
              <w:t>符合供应商须知前附表第</w:t>
            </w:r>
            <w:r>
              <w:rPr>
                <w:rFonts w:hint="eastAsia" w:ascii="仿宋" w:hAnsi="仿宋" w:eastAsia="仿宋" w:cs="仿宋"/>
                <w:szCs w:val="21"/>
                <w:highlight w:val="none"/>
                <w:lang w:val="en-US" w:eastAsia="zh-CN"/>
              </w:rPr>
              <w:t>3.3</w:t>
            </w:r>
            <w:r>
              <w:rPr>
                <w:rFonts w:hint="eastAsia" w:ascii="仿宋" w:hAnsi="仿宋" w:eastAsia="仿宋" w:cs="仿宋"/>
                <w:szCs w:val="21"/>
                <w:highlight w:val="none"/>
              </w:rPr>
              <w:t>条规定</w:t>
            </w:r>
          </w:p>
        </w:tc>
      </w:tr>
    </w:tbl>
    <w:p>
      <w:pPr>
        <w:pageBreakBefore w:val="0"/>
        <w:tabs>
          <w:tab w:val="left" w:pos="0"/>
          <w:tab w:val="left" w:pos="210"/>
          <w:tab w:val="left" w:pos="420"/>
          <w:tab w:val="left" w:pos="840"/>
          <w:tab w:val="left" w:pos="1680"/>
          <w:tab w:val="left" w:pos="1890"/>
        </w:tabs>
        <w:kinsoku/>
        <w:overflowPunct/>
        <w:bidi w:val="0"/>
        <w:adjustRightInd w:val="0"/>
        <w:snapToGrid w:val="0"/>
        <w:spacing w:line="336" w:lineRule="auto"/>
        <w:rPr>
          <w:rFonts w:hint="eastAsia" w:ascii="仿宋" w:hAnsi="仿宋" w:eastAsia="仿宋" w:cs="仿宋"/>
          <w:b/>
          <w:bCs/>
          <w:sz w:val="24"/>
          <w:highlight w:val="none"/>
          <w:lang w:val="zh-CN"/>
        </w:rPr>
      </w:pPr>
    </w:p>
    <w:p>
      <w:pPr>
        <w:pageBreakBefore w:val="0"/>
        <w:numPr>
          <w:ilvl w:val="1"/>
          <w:numId w:val="35"/>
        </w:numPr>
        <w:tabs>
          <w:tab w:val="left" w:pos="0"/>
          <w:tab w:val="left" w:pos="210"/>
          <w:tab w:val="left" w:pos="420"/>
          <w:tab w:val="left" w:pos="630"/>
          <w:tab w:val="left" w:pos="840"/>
          <w:tab w:val="left" w:pos="1050"/>
        </w:tabs>
        <w:kinsoku/>
        <w:bidi w:val="0"/>
        <w:adjustRightInd w:val="0"/>
        <w:snapToGrid w:val="0"/>
        <w:spacing w:line="336" w:lineRule="auto"/>
        <w:ind w:left="0" w:firstLine="482" w:firstLineChars="200"/>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政策性扣减</w:t>
      </w:r>
    </w:p>
    <w:p>
      <w:pPr>
        <w:pageBreakBefore w:val="0"/>
        <w:numPr>
          <w:ilvl w:val="2"/>
          <w:numId w:val="35"/>
        </w:numPr>
        <w:tabs>
          <w:tab w:val="left" w:pos="0"/>
          <w:tab w:val="left" w:pos="210"/>
          <w:tab w:val="left" w:pos="420"/>
          <w:tab w:val="left" w:pos="630"/>
          <w:tab w:val="left" w:pos="840"/>
          <w:tab w:val="left" w:pos="1050"/>
        </w:tabs>
        <w:kinsoku/>
        <w:bidi w:val="0"/>
        <w:adjustRightInd w:val="0"/>
        <w:snapToGrid w:val="0"/>
        <w:spacing w:line="336" w:lineRule="auto"/>
        <w:ind w:left="420" w:leftChars="0" w:firstLine="482" w:firstLineChars="200"/>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政策性扣减范围</w:t>
      </w:r>
    </w:p>
    <w:p>
      <w:pPr>
        <w:pageBreakBefore w:val="0"/>
        <w:numPr>
          <w:ilvl w:val="0"/>
          <w:numId w:val="36"/>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供应商符合小型、微型企业或监狱企业、残疾人福利性单位条件的，其磋商报价价格评审时将按相应比例进行扣减。</w:t>
      </w:r>
    </w:p>
    <w:p>
      <w:pPr>
        <w:pageBreakBefore w:val="0"/>
        <w:numPr>
          <w:ilvl w:val="0"/>
          <w:numId w:val="36"/>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依照&lt;关于印发《政府采购促进中小企业发展暂行办法》的通知&gt;（财库(2011〕181号）的规定，小型、微型企业应当同时符合以下条件：</w:t>
      </w:r>
    </w:p>
    <w:p>
      <w:pPr>
        <w:pageBreakBefore w:val="0"/>
        <w:numPr>
          <w:ilvl w:val="1"/>
          <w:numId w:val="36"/>
        </w:numPr>
        <w:tabs>
          <w:tab w:val="left" w:pos="0"/>
          <w:tab w:val="left" w:pos="210"/>
          <w:tab w:val="left" w:pos="420"/>
          <w:tab w:val="left" w:pos="630"/>
          <w:tab w:val="left" w:pos="1060"/>
          <w:tab w:val="left" w:pos="1260"/>
          <w:tab w:val="left" w:pos="1480"/>
        </w:tabs>
        <w:kinsoku/>
        <w:overflowPunct/>
        <w:bidi w:val="0"/>
        <w:adjustRightInd w:val="0"/>
        <w:snapToGrid w:val="0"/>
        <w:spacing w:line="336" w:lineRule="auto"/>
        <w:ind w:left="420" w:leftChars="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符合中小企业划分标准（中小企业划分标准是指国务院有关部门根据企业从业人员、营业收入、资产总额等指标制定的中小企业划型标准（工信部联企业〔2011〕300号））。</w:t>
      </w:r>
    </w:p>
    <w:p>
      <w:pPr>
        <w:pageBreakBefore w:val="0"/>
        <w:numPr>
          <w:ilvl w:val="1"/>
          <w:numId w:val="36"/>
        </w:numPr>
        <w:tabs>
          <w:tab w:val="left" w:pos="0"/>
          <w:tab w:val="left" w:pos="210"/>
          <w:tab w:val="left" w:pos="420"/>
          <w:tab w:val="left" w:pos="630"/>
          <w:tab w:val="left" w:pos="1060"/>
          <w:tab w:val="left" w:pos="1260"/>
          <w:tab w:val="left" w:pos="1480"/>
        </w:tabs>
        <w:kinsoku/>
        <w:overflowPunct/>
        <w:bidi w:val="0"/>
        <w:adjustRightInd w:val="0"/>
        <w:snapToGrid w:val="0"/>
        <w:spacing w:line="336" w:lineRule="auto"/>
        <w:ind w:left="420" w:leftChars="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提供本企业制造的货物、承担的工程或者服务，或者提供其他中小企业制造的货物，不包括提供或使用大型企业注册商标的货物。</w:t>
      </w:r>
    </w:p>
    <w:p>
      <w:pPr>
        <w:pageBreakBefore w:val="0"/>
        <w:numPr>
          <w:ilvl w:val="1"/>
          <w:numId w:val="36"/>
        </w:numPr>
        <w:tabs>
          <w:tab w:val="left" w:pos="0"/>
          <w:tab w:val="left" w:pos="210"/>
          <w:tab w:val="left" w:pos="420"/>
          <w:tab w:val="left" w:pos="630"/>
          <w:tab w:val="left" w:pos="1060"/>
          <w:tab w:val="left" w:pos="1260"/>
          <w:tab w:val="left" w:pos="1480"/>
        </w:tabs>
        <w:kinsoku/>
        <w:overflowPunct/>
        <w:bidi w:val="0"/>
        <w:adjustRightInd w:val="0"/>
        <w:snapToGrid w:val="0"/>
        <w:spacing w:line="336" w:lineRule="auto"/>
        <w:ind w:left="420" w:leftChars="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小型、微型企业提供中型企业制造的货物的，视同为中型企业；小型、微型、中型企业提供大型企业制造的货物的，视同为大型企业。</w:t>
      </w:r>
    </w:p>
    <w:p>
      <w:pPr>
        <w:pageBreakBefore w:val="0"/>
        <w:numPr>
          <w:ilvl w:val="0"/>
          <w:numId w:val="36"/>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采购人拟采购产品属于优先采购节能、环境标志产品范围的，应当优先采购节能、环境标志产品；拟采购产品符合政府采购强制采购政策的，实行强制采购。</w:t>
      </w:r>
    </w:p>
    <w:p>
      <w:pPr>
        <w:pageBreakBefore w:val="0"/>
        <w:numPr>
          <w:ilvl w:val="1"/>
          <w:numId w:val="36"/>
        </w:numPr>
        <w:tabs>
          <w:tab w:val="left" w:pos="0"/>
          <w:tab w:val="left" w:pos="210"/>
          <w:tab w:val="left" w:pos="420"/>
          <w:tab w:val="left" w:pos="630"/>
          <w:tab w:val="left" w:pos="1060"/>
          <w:tab w:val="left" w:pos="1260"/>
          <w:tab w:val="left" w:pos="1480"/>
        </w:tabs>
        <w:kinsoku/>
        <w:overflowPunct/>
        <w:bidi w:val="0"/>
        <w:adjustRightInd w:val="0"/>
        <w:snapToGrid w:val="0"/>
        <w:spacing w:line="336" w:lineRule="auto"/>
        <w:ind w:left="420" w:leftChars="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采购人依据节能产品、环境标志产品品目清单和节能、环境标志产品认证证书实施政府优先采购和强制采购。</w:t>
      </w:r>
    </w:p>
    <w:p>
      <w:pPr>
        <w:pageBreakBefore w:val="0"/>
        <w:numPr>
          <w:ilvl w:val="1"/>
          <w:numId w:val="36"/>
        </w:numPr>
        <w:tabs>
          <w:tab w:val="left" w:pos="0"/>
          <w:tab w:val="left" w:pos="210"/>
          <w:tab w:val="left" w:pos="420"/>
          <w:tab w:val="left" w:pos="630"/>
          <w:tab w:val="left" w:pos="1060"/>
          <w:tab w:val="left" w:pos="1260"/>
          <w:tab w:val="left" w:pos="1480"/>
        </w:tabs>
        <w:kinsoku/>
        <w:overflowPunct/>
        <w:bidi w:val="0"/>
        <w:adjustRightInd w:val="0"/>
        <w:snapToGrid w:val="0"/>
        <w:spacing w:line="336" w:lineRule="auto"/>
        <w:ind w:left="420" w:leftChars="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pageBreakBefore w:val="0"/>
        <w:numPr>
          <w:ilvl w:val="0"/>
          <w:numId w:val="36"/>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监狱企业参加政府采购活动时，应当提供由省级以上监狱管理局、戒毒管理局(含新疆生产建设兵团)出具的属于监狱企业的证明文件。监狱企业参加政府采购活动时，视同小型、微型企业。</w:t>
      </w:r>
    </w:p>
    <w:p>
      <w:pPr>
        <w:pageBreakBefore w:val="0"/>
        <w:numPr>
          <w:ilvl w:val="0"/>
          <w:numId w:val="36"/>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ageBreakBefore w:val="0"/>
        <w:numPr>
          <w:ilvl w:val="2"/>
          <w:numId w:val="35"/>
        </w:numPr>
        <w:tabs>
          <w:tab w:val="left" w:pos="0"/>
          <w:tab w:val="left" w:pos="210"/>
          <w:tab w:val="left" w:pos="420"/>
          <w:tab w:val="left" w:pos="630"/>
          <w:tab w:val="left" w:pos="840"/>
          <w:tab w:val="left" w:pos="1050"/>
        </w:tabs>
        <w:kinsoku/>
        <w:bidi w:val="0"/>
        <w:adjustRightInd w:val="0"/>
        <w:snapToGrid w:val="0"/>
        <w:spacing w:line="336" w:lineRule="auto"/>
        <w:ind w:left="420" w:leftChars="0" w:firstLine="482" w:firstLineChars="200"/>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政策性扣减方式</w:t>
      </w:r>
    </w:p>
    <w:p>
      <w:pPr>
        <w:pageBreakBefore w:val="0"/>
        <w:numPr>
          <w:ilvl w:val="0"/>
          <w:numId w:val="0"/>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供应商为非联合体参与磋商的情况：</w:t>
      </w:r>
    </w:p>
    <w:p>
      <w:pPr>
        <w:pageBreakBefore w:val="0"/>
        <w:numPr>
          <w:ilvl w:val="0"/>
          <w:numId w:val="37"/>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在磋商最终报价的基础上，对小微企业、监狱企业、残疾人福利性单位，按“磋商报价×</w:t>
      </w:r>
      <w:r>
        <w:rPr>
          <w:rFonts w:hint="eastAsia" w:ascii="仿宋" w:hAnsi="仿宋" w:eastAsia="仿宋" w:cs="仿宋"/>
          <w:sz w:val="24"/>
          <w:szCs w:val="24"/>
          <w:highlight w:val="none"/>
          <w:lang w:val="en-US" w:eastAsia="zh-CN"/>
        </w:rPr>
        <w:t>(10%-20</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”进行扣减；</w:t>
      </w:r>
    </w:p>
    <w:p>
      <w:pPr>
        <w:pageBreakBefore w:val="0"/>
        <w:numPr>
          <w:ilvl w:val="0"/>
          <w:numId w:val="37"/>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小微企业、监狱企业、残疾人福利性单位不重复享受优惠政策；</w:t>
      </w:r>
    </w:p>
    <w:p>
      <w:pPr>
        <w:pageBreakBefore w:val="0"/>
        <w:numPr>
          <w:ilvl w:val="0"/>
          <w:numId w:val="37"/>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供应商享受支持中小型企业发展政策优惠的，可以同时享受节能、环境标志产品优先采购政策。</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2" w:firstLineChars="200"/>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响应文件的澄清</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磋商小组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磋商小组要求供应商澄清、说明或者更正响应文件应当以书面形式作出。供应商的澄清、说明或者更正应当由其法定代表人</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lang w:val="zh-CN"/>
        </w:rPr>
        <w:t>或其授权代表签字或者加盖公章。由委托代理人签字的，应当附法定代表人</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lang w:val="zh-CN"/>
        </w:rPr>
        <w:t>授权书。供应商为自然人的，应当由本人签字并附身份证明；</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供应商拒不按照要求对响应文件进行澄清、说明或者更正的，磋商小组可以拒绝其响应文件。磋商小组不接受供应商主动提出的澄清、说明或者更正；</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有效的书面澄清、说明或者更正材料，是响应文件的补充材料，并构成响应文件的组成部分；</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磋商小组对供应商提交的澄清、说明或者更正有疑问的，可以要求供应商进一步澄清、说明或者更正，直至满足磋商小组的要求。</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2" w:firstLineChars="200"/>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磋商</w:t>
      </w:r>
    </w:p>
    <w:p>
      <w:pPr>
        <w:pageBreakBefore w:val="0"/>
        <w:numPr>
          <w:ilvl w:val="2"/>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磋商方式</w:t>
      </w:r>
    </w:p>
    <w:p>
      <w:pPr>
        <w:pageBreakBefore w:val="0"/>
        <w:numPr>
          <w:ilvl w:val="0"/>
          <w:numId w:val="38"/>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对资格性审查和符合性审查合格的供应商，进入本次磋商环节；</w:t>
      </w:r>
    </w:p>
    <w:p>
      <w:pPr>
        <w:pageBreakBefore w:val="0"/>
        <w:numPr>
          <w:ilvl w:val="0"/>
          <w:numId w:val="38"/>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在磋商期间，供应商应派代表参加磋商，代表人数不超过</w:t>
      </w:r>
      <w:r>
        <w:rPr>
          <w:rFonts w:hint="eastAsia" w:ascii="仿宋" w:hAnsi="仿宋" w:eastAsia="仿宋" w:cs="仿宋"/>
          <w:sz w:val="24"/>
          <w:highlight w:val="none"/>
        </w:rPr>
        <w:t>1</w:t>
      </w:r>
      <w:r>
        <w:rPr>
          <w:rFonts w:hint="eastAsia" w:ascii="仿宋" w:hAnsi="仿宋" w:eastAsia="仿宋" w:cs="仿宋"/>
          <w:sz w:val="24"/>
          <w:highlight w:val="none"/>
          <w:lang w:val="zh-CN"/>
        </w:rPr>
        <w:t>人；</w:t>
      </w:r>
    </w:p>
    <w:p>
      <w:pPr>
        <w:pageBreakBefore w:val="0"/>
        <w:numPr>
          <w:ilvl w:val="0"/>
          <w:numId w:val="38"/>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将通过随机方式确定供应商进行磋商的顺序，所有成员集中与单一供应商按照顺序分别进行磋商，并给予所有参加磋商的供应商平等的磋商机会。磋商的任何一方不得透露与磋商有关的其他供应商的价格和其他信息；</w:t>
      </w:r>
    </w:p>
    <w:p>
      <w:pPr>
        <w:pageBreakBefore w:val="0"/>
        <w:numPr>
          <w:ilvl w:val="0"/>
          <w:numId w:val="38"/>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已提交响应文件的供应商，在提交最后报价之前，可以根据磋商情况退出磋商。</w:t>
      </w:r>
    </w:p>
    <w:p>
      <w:pPr>
        <w:pageBreakBefore w:val="0"/>
        <w:numPr>
          <w:ilvl w:val="2"/>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磋商小组逐一与实质性响应磋商文件要求的供应商进行磋商；</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磋商步骤</w:t>
      </w:r>
    </w:p>
    <w:p>
      <w:pPr>
        <w:pageBreakBefore w:val="0"/>
        <w:numPr>
          <w:ilvl w:val="0"/>
          <w:numId w:val="39"/>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第一轮磋商，磋商小组对进入第一轮磋商的供应商再次进行评审、质疑和澄清。在此阶段，磋商小组依据参加磋商的供应商递交的响应文件进行磋商。</w:t>
      </w:r>
    </w:p>
    <w:p>
      <w:pPr>
        <w:pageBreakBefore w:val="0"/>
        <w:numPr>
          <w:ilvl w:val="0"/>
          <w:numId w:val="39"/>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磋商小组可以根据实际需要与单一供应商分别进行磋商，并给予所有参加磋商的供应商平等的磋商机会。</w:t>
      </w:r>
    </w:p>
    <w:p>
      <w:pPr>
        <w:pageBreakBefore w:val="0"/>
        <w:numPr>
          <w:ilvl w:val="0"/>
          <w:numId w:val="39"/>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第二轮磋商，对第一轮磋商结果不满意，磋商小组可以再次要求参加磋商的供应商进行第二轮磋商，磋商内容及要求与第一轮磋商相同。</w:t>
      </w:r>
    </w:p>
    <w:p>
      <w:pPr>
        <w:pageBreakBefore w:val="0"/>
        <w:numPr>
          <w:ilvl w:val="0"/>
          <w:numId w:val="39"/>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后一轮磋商报价高于前一轮磋商报价的供应商，视为后一轮磋商报价无效，以前一轮磋商报价进行评审。</w:t>
      </w:r>
    </w:p>
    <w:p>
      <w:pPr>
        <w:pageBreakBefore w:val="0"/>
        <w:numPr>
          <w:ilvl w:val="0"/>
          <w:numId w:val="39"/>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磋商小组应在最后一轮磋商前告知所有符合磋商要求的供应商是否是最后一次磋商。</w:t>
      </w:r>
    </w:p>
    <w:p>
      <w:pPr>
        <w:pageBreakBefore w:val="0"/>
        <w:numPr>
          <w:ilvl w:val="0"/>
          <w:numId w:val="39"/>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最后一轮磋商结束后，磋商小组将对进入最后一轮的供应商的响应文件进行详细评审。</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2" w:firstLineChars="20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最终报价</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供应商应当以书面形式提交最终报价；</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最终报价是供应商响应文件的有效组成部分；</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最终报价仅向采购人及监督人员宣布，并由监督人员确认。</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2" w:firstLineChars="20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响应文件详细评审</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经磋商确定最终采购需求和提交最后报价的供应商后，由磋商小组采用综合评分法对提交最后报价的供应商的响应文件和最后报价进行综合评分；</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磋商小组将综合分析响应文件的各项评审因素，而不以单项评审因素的优劣评选出成交供应商。对所有供应商的响应文件进行评价，都采用相同的程序和标准，严格按照响应文件的要求和条件进行。</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2" w:firstLineChars="20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特殊情况处理</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若出现综合得分并列时，磋商报价得分高者为第一成交候选人，若磋商报价的得分相同，技术得分高者为第一成交候选人，若上述两项得分相同，则由全体磋商小组成员无记名投票，得票高者为第一成交候选人。</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当</w:t>
      </w:r>
      <w:r>
        <w:rPr>
          <w:rFonts w:hint="eastAsia" w:ascii="仿宋" w:hAnsi="仿宋" w:eastAsia="仿宋" w:cs="仿宋"/>
          <w:sz w:val="24"/>
          <w:highlight w:val="none"/>
          <w:lang w:val="zh-CN" w:eastAsia="zh-CN"/>
        </w:rPr>
        <w:t>供应商</w:t>
      </w:r>
      <w:r>
        <w:rPr>
          <w:rFonts w:hint="eastAsia" w:ascii="仿宋" w:hAnsi="仿宋" w:eastAsia="仿宋" w:cs="仿宋"/>
          <w:sz w:val="24"/>
          <w:highlight w:val="none"/>
          <w:lang w:val="zh-CN"/>
        </w:rPr>
        <w:t>某评分项出现未报、漏报或零报价时，该分项得零分，并不参与磋商报价分的计算。</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评审过程中，若出现本评分方法以外的特殊情况时，将暂停评审，待磋商小组商榷后再进行复会。</w:t>
      </w:r>
    </w:p>
    <w:p>
      <w:pPr>
        <w:pageBreakBefore w:val="0"/>
        <w:bidi w:val="0"/>
        <w:spacing w:line="336" w:lineRule="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br w:type="page"/>
      </w:r>
    </w:p>
    <w:p>
      <w:pPr>
        <w:pageBreakBefore w:val="0"/>
        <w:tabs>
          <w:tab w:val="left" w:pos="0"/>
          <w:tab w:val="left" w:pos="210"/>
          <w:tab w:val="left" w:pos="420"/>
          <w:tab w:val="left" w:pos="630"/>
          <w:tab w:val="left" w:pos="1050"/>
        </w:tabs>
        <w:kinsoku/>
        <w:overflowPunct/>
        <w:bidi w:val="0"/>
        <w:adjustRightInd w:val="0"/>
        <w:snapToGrid w:val="0"/>
        <w:spacing w:line="336" w:lineRule="auto"/>
        <w:jc w:val="center"/>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详细评审标准</w:t>
      </w:r>
    </w:p>
    <w:tbl>
      <w:tblPr>
        <w:tblStyle w:val="3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7682"/>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right="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评审因素</w:t>
            </w:r>
          </w:p>
        </w:tc>
        <w:tc>
          <w:tcPr>
            <w:tcW w:w="7682"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right="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内     容</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right="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noWrap w:val="0"/>
            <w:vAlign w:val="center"/>
          </w:tcPr>
          <w:p>
            <w:pPr>
              <w:keepNext w:val="0"/>
              <w:keepLines w:val="0"/>
              <w:pageBreakBefore w:val="0"/>
              <w:suppressLineNumbers w:val="0"/>
              <w:overflowPunct/>
              <w:bidi w:val="0"/>
              <w:spacing w:before="0" w:beforeAutospacing="0" w:after="0" w:afterAutospacing="0" w:line="336" w:lineRule="auto"/>
              <w:ind w:left="0" w:right="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磋商报价</w:t>
            </w: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满足</w:t>
            </w:r>
            <w:r>
              <w:rPr>
                <w:rFonts w:hint="eastAsia" w:ascii="仿宋" w:hAnsi="仿宋" w:eastAsia="仿宋" w:cs="仿宋"/>
                <w:color w:val="auto"/>
                <w:sz w:val="22"/>
                <w:szCs w:val="22"/>
                <w:highlight w:val="none"/>
                <w:lang w:eastAsia="zh-CN"/>
              </w:rPr>
              <w:t>磋商</w:t>
            </w:r>
            <w:r>
              <w:rPr>
                <w:rFonts w:hint="eastAsia" w:ascii="仿宋" w:hAnsi="仿宋" w:eastAsia="仿宋" w:cs="仿宋"/>
                <w:color w:val="auto"/>
                <w:sz w:val="22"/>
                <w:szCs w:val="22"/>
                <w:highlight w:val="none"/>
              </w:rPr>
              <w:t>文件要求且投标价格最低的投标报价为评标基准价，其价格分为满分。其他供应商的价格分按照下列公式计算：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rPr>
              <w:t>投标报价得分=（评标基准价/投标报价）×</w:t>
            </w:r>
            <w:r>
              <w:rPr>
                <w:rFonts w:hint="eastAsia" w:ascii="仿宋" w:hAnsi="仿宋" w:eastAsia="仿宋" w:cs="仿宋"/>
                <w:b/>
                <w:bCs/>
                <w:color w:val="auto"/>
                <w:sz w:val="22"/>
                <w:szCs w:val="22"/>
                <w:highlight w:val="none"/>
                <w:lang w:val="en-US" w:eastAsia="zh-CN"/>
              </w:rPr>
              <w:t>价格权值</w:t>
            </w:r>
            <w:r>
              <w:rPr>
                <w:rFonts w:hint="eastAsia" w:ascii="仿宋" w:hAnsi="仿宋" w:eastAsia="仿宋" w:cs="仿宋"/>
                <w:b/>
                <w:bCs/>
                <w:color w:val="auto"/>
                <w:sz w:val="22"/>
                <w:szCs w:val="22"/>
                <w:highlight w:val="none"/>
              </w:rPr>
              <w:t>×</w:t>
            </w:r>
            <w:r>
              <w:rPr>
                <w:rFonts w:hint="eastAsia" w:ascii="仿宋" w:hAnsi="仿宋" w:eastAsia="仿宋" w:cs="仿宋"/>
                <w:b/>
                <w:bCs/>
                <w:color w:val="auto"/>
                <w:sz w:val="22"/>
                <w:szCs w:val="22"/>
                <w:highlight w:val="none"/>
                <w:lang w:val="en-US" w:eastAsia="zh-CN"/>
              </w:rPr>
              <w:t>100%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restart"/>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企业实力</w:t>
            </w: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根据供应商提供的经第三方机构审计的总公司2021年度末偿付能力报告，进行评比：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1.总公司2021年末，偿付能力达到150%且偿付能力第一名的得3分。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2.偿付能力达到150%且偿付能力第二名的得2分。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3.偿付能力达到150%且偿付能力第三名及其以后的得1分。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4.偿付能力低于150%不得分。（未提供经第三方机构审计的总公司2021年度末偿付能力报告不得分）。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continue"/>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提供中国银保监会拥有两个主险条款备案的证明材料，每一个计2分，共计4分，未提供者不计分。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restart"/>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服务方案</w:t>
            </w: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有规范、健全的业务承揽（反商业贿赂）、出单、保费收取、报案、查勘、收集资料、理赔、财务管理、业务操作流程等制度（或办法）</w:t>
            </w:r>
            <w:r>
              <w:rPr>
                <w:rFonts w:hint="default"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lang w:val="en-US" w:eastAsia="zh-CN"/>
              </w:rPr>
              <w:t>按其响应程度计0-15分。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continue"/>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en-US" w:eastAsia="zh-CN"/>
              </w:rPr>
            </w:pP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出险报案后的响应时间，现场施救、应急措施、理赔服务承诺、赔付时效，视其科学性、合理性、可操作性。</w:t>
            </w:r>
            <w:r>
              <w:rPr>
                <w:rFonts w:hint="eastAsia" w:ascii="仿宋" w:hAnsi="仿宋" w:eastAsia="仿宋" w:cs="仿宋"/>
                <w:color w:val="auto"/>
                <w:sz w:val="22"/>
                <w:szCs w:val="22"/>
                <w:highlight w:val="none"/>
                <w:lang w:val="en-US" w:eastAsia="zh-CN"/>
              </w:rPr>
              <w:t>按其响应程度计0-15分。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continue"/>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en-US" w:eastAsia="zh-CN"/>
              </w:rPr>
            </w:pP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提供全程定期上门服务,建立用户档案、开展跟踪服务，积极宣传安全防灾知识和保险政策</w:t>
            </w:r>
            <w:r>
              <w:rPr>
                <w:rFonts w:hint="eastAsia" w:ascii="仿宋" w:hAnsi="仿宋" w:eastAsia="仿宋" w:cs="仿宋"/>
                <w:color w:val="auto"/>
                <w:sz w:val="22"/>
                <w:szCs w:val="22"/>
                <w:highlight w:val="none"/>
                <w:lang w:val="en-US" w:eastAsia="zh-CN"/>
              </w:rPr>
              <w:t>。按其响应程度计0-15分。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continue"/>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zh-CN" w:eastAsia="zh-CN"/>
              </w:rPr>
            </w:pP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default"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供应商在该项目所在标段内设有分支机构且分支机构及网点能够全部覆盖的得</w:t>
            </w:r>
            <w:r>
              <w:rPr>
                <w:rFonts w:hint="eastAsia" w:ascii="仿宋" w:hAnsi="仿宋" w:eastAsia="仿宋" w:cs="仿宋"/>
                <w:color w:val="auto"/>
                <w:sz w:val="22"/>
                <w:szCs w:val="22"/>
                <w:highlight w:val="none"/>
                <w:lang w:val="en-US" w:eastAsia="zh-CN"/>
              </w:rPr>
              <w:t>3</w:t>
            </w:r>
            <w:r>
              <w:rPr>
                <w:rFonts w:hint="default" w:ascii="仿宋" w:hAnsi="仿宋" w:eastAsia="仿宋" w:cs="仿宋"/>
                <w:color w:val="auto"/>
                <w:sz w:val="22"/>
                <w:szCs w:val="22"/>
                <w:highlight w:val="none"/>
                <w:lang w:val="en-US" w:eastAsia="zh-CN"/>
              </w:rPr>
              <w:t>分，只能覆盖部分的得</w:t>
            </w:r>
            <w:r>
              <w:rPr>
                <w:rFonts w:hint="eastAsia" w:ascii="仿宋" w:hAnsi="仿宋" w:eastAsia="仿宋" w:cs="仿宋"/>
                <w:color w:val="auto"/>
                <w:sz w:val="22"/>
                <w:szCs w:val="22"/>
                <w:highlight w:val="none"/>
                <w:lang w:val="en-US" w:eastAsia="zh-CN"/>
              </w:rPr>
              <w:t>1</w:t>
            </w:r>
            <w:r>
              <w:rPr>
                <w:rFonts w:hint="default" w:ascii="仿宋" w:hAnsi="仿宋" w:eastAsia="仿宋" w:cs="仿宋"/>
                <w:color w:val="auto"/>
                <w:sz w:val="22"/>
                <w:szCs w:val="22"/>
                <w:highlight w:val="none"/>
                <w:lang w:val="en-US" w:eastAsia="zh-CN"/>
              </w:rPr>
              <w:t>分，未能覆盖的不得分。</w:t>
            </w:r>
            <w:r>
              <w:rPr>
                <w:rFonts w:hint="eastAsia" w:ascii="仿宋" w:hAnsi="仿宋" w:eastAsia="仿宋" w:cs="仿宋"/>
                <w:b/>
                <w:bCs/>
                <w:color w:val="auto"/>
                <w:sz w:val="22"/>
                <w:szCs w:val="22"/>
                <w:highlight w:val="none"/>
                <w:lang w:val="en-US" w:eastAsia="zh-CN"/>
              </w:rPr>
              <w:t>（以提供当地营业执照和保险经营许可证为准）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restart"/>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zh-CN" w:eastAsia="zh-CN"/>
              </w:rPr>
              <w:t>服务</w:t>
            </w:r>
            <w:r>
              <w:rPr>
                <w:rFonts w:hint="eastAsia" w:ascii="仿宋" w:hAnsi="仿宋" w:eastAsia="仿宋" w:cs="仿宋"/>
                <w:color w:val="auto"/>
                <w:sz w:val="22"/>
                <w:szCs w:val="22"/>
                <w:highlight w:val="none"/>
                <w:lang w:val="en-US" w:eastAsia="zh-CN"/>
              </w:rPr>
              <w:t>能力</w:t>
            </w: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设有全国统一的服务专线和专业电话服务系统，保证 7*24 小时专人接听，可提供报案、救援和咨询等专业服务。按其响应程度计0-9分。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continue"/>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zh-CN" w:eastAsia="zh-CN"/>
              </w:rPr>
            </w:pP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保险公司应对采购人、被保险人在保险期限内有计划的定期和不定期的开展保险专业知识和风险管理方面的培训和交流</w:t>
            </w:r>
            <w:r>
              <w:rPr>
                <w:rFonts w:hint="eastAsia" w:ascii="仿宋" w:hAnsi="仿宋" w:eastAsia="仿宋" w:cs="仿宋"/>
                <w:color w:val="auto"/>
                <w:sz w:val="22"/>
                <w:szCs w:val="22"/>
                <w:highlight w:val="none"/>
                <w:lang w:val="zh-CN" w:eastAsia="zh-CN"/>
              </w:rPr>
              <w:t>。</w:t>
            </w:r>
            <w:r>
              <w:rPr>
                <w:rFonts w:hint="eastAsia" w:ascii="仿宋" w:hAnsi="仿宋" w:eastAsia="仿宋" w:cs="仿宋"/>
                <w:color w:val="auto"/>
                <w:sz w:val="22"/>
                <w:szCs w:val="22"/>
                <w:highlight w:val="none"/>
                <w:lang w:val="en-US" w:eastAsia="zh-CN"/>
              </w:rPr>
              <w:t>按其响应程度计0-9分。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continue"/>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zh-CN" w:eastAsia="zh-CN"/>
              </w:rPr>
            </w:pP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服务水平，成立现场服务小组，勘查现场、材料搜集、定损理赔等服务能力。按其响应程度计0-9分。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vMerge w:val="continue"/>
            <w:noWrap w:val="0"/>
            <w:vAlign w:val="center"/>
          </w:tcPr>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zh-CN" w:eastAsia="zh-CN"/>
              </w:rPr>
            </w:pP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供应商对被保险人的增值服务，依据承诺增值服务方案优劣进行比较、排序打分。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第一名的得5分，第二名的得3分，第三名及其以后的得1分。</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4" w:type="dxa"/>
            <w:noWrap w:val="0"/>
            <w:vAlign w:val="center"/>
          </w:tcPr>
          <w:p>
            <w:pPr>
              <w:keepNext w:val="0"/>
              <w:keepLines w:val="0"/>
              <w:pageBreakBefore w:val="0"/>
              <w:suppressLineNumbers w:val="0"/>
              <w:overflowPunct/>
              <w:bidi w:val="0"/>
              <w:spacing w:before="0" w:beforeAutospacing="0" w:after="0" w:afterAutospacing="0" w:line="336" w:lineRule="auto"/>
              <w:ind w:left="0" w:right="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相关从业</w:t>
            </w:r>
          </w:p>
          <w:p>
            <w:pPr>
              <w:keepNext w:val="0"/>
              <w:keepLines w:val="0"/>
              <w:pageBreakBefore w:val="0"/>
              <w:suppressLineNumbers w:val="0"/>
              <w:overflowPunct/>
              <w:bidi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经验</w:t>
            </w:r>
          </w:p>
        </w:tc>
        <w:tc>
          <w:tcPr>
            <w:tcW w:w="7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提供供应商20</w:t>
            </w: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年1月1日至今已承接过的类似项目业绩（已完成履约），以合同复印件</w:t>
            </w:r>
            <w:r>
              <w:rPr>
                <w:rFonts w:hint="eastAsia" w:ascii="仿宋" w:hAnsi="仿宋" w:eastAsia="仿宋" w:cs="仿宋"/>
                <w:color w:val="auto"/>
                <w:sz w:val="22"/>
                <w:szCs w:val="22"/>
                <w:highlight w:val="none"/>
                <w:lang w:eastAsia="zh-CN"/>
              </w:rPr>
              <w:t>或中标通知书</w:t>
            </w:r>
            <w:r>
              <w:rPr>
                <w:rFonts w:hint="eastAsia" w:ascii="仿宋" w:hAnsi="仿宋" w:eastAsia="仿宋" w:cs="仿宋"/>
                <w:color w:val="auto"/>
                <w:sz w:val="22"/>
                <w:szCs w:val="22"/>
                <w:highlight w:val="none"/>
              </w:rPr>
              <w:t>为准，</w:t>
            </w:r>
            <w:r>
              <w:rPr>
                <w:rFonts w:hint="eastAsia" w:ascii="仿宋" w:hAnsi="仿宋" w:eastAsia="仿宋" w:cs="仿宋"/>
                <w:color w:val="auto"/>
                <w:sz w:val="22"/>
                <w:szCs w:val="22"/>
                <w:highlight w:val="none"/>
                <w:lang w:eastAsia="zh-CN"/>
              </w:rPr>
              <w:t>每提供一份</w:t>
            </w:r>
            <w:r>
              <w:rPr>
                <w:rFonts w:hint="eastAsia" w:ascii="仿宋" w:hAnsi="仿宋" w:eastAsia="仿宋" w:cs="仿宋"/>
                <w:color w:val="auto"/>
                <w:sz w:val="22"/>
                <w:szCs w:val="22"/>
                <w:highlight w:val="none"/>
              </w:rPr>
              <w:t>计</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val="en-US" w:eastAsia="zh-CN"/>
              </w:rPr>
              <w:t>满分3</w:t>
            </w:r>
            <w:r>
              <w:rPr>
                <w:rFonts w:hint="eastAsia" w:ascii="仿宋" w:hAnsi="仿宋" w:eastAsia="仿宋" w:cs="仿宋"/>
                <w:color w:val="auto"/>
                <w:sz w:val="22"/>
                <w:szCs w:val="22"/>
                <w:highlight w:val="none"/>
              </w:rPr>
              <w:t>分，未提供得0分。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lang w:eastAsia="zh-CN"/>
              </w:rPr>
              <w:t>注：</w:t>
            </w:r>
            <w:r>
              <w:rPr>
                <w:rFonts w:hint="eastAsia" w:ascii="仿宋" w:hAnsi="仿宋" w:eastAsia="仿宋" w:cs="仿宋"/>
                <w:b/>
                <w:bCs/>
                <w:color w:val="auto"/>
                <w:sz w:val="22"/>
                <w:szCs w:val="22"/>
                <w:highlight w:val="none"/>
                <w:lang w:val="en-US" w:eastAsia="zh-CN"/>
              </w:rPr>
              <w:t>业绩证明资料如有</w:t>
            </w:r>
            <w:r>
              <w:rPr>
                <w:rFonts w:hint="eastAsia" w:ascii="仿宋" w:hAnsi="仿宋" w:eastAsia="仿宋" w:cs="仿宋"/>
                <w:b/>
                <w:bCs/>
                <w:color w:val="auto"/>
                <w:sz w:val="22"/>
                <w:szCs w:val="22"/>
                <w:highlight w:val="none"/>
              </w:rPr>
              <w:t>弄虚作假者，取消其投标资格。</w:t>
            </w:r>
            <w:r>
              <w:rPr>
                <w:rFonts w:hint="eastAsia" w:ascii="仿宋" w:hAnsi="仿宋" w:eastAsia="仿宋" w:cs="仿宋"/>
                <w:b/>
                <w:bCs/>
                <w:color w:val="auto"/>
                <w:sz w:val="22"/>
                <w:szCs w:val="22"/>
                <w:highlight w:val="none"/>
                <w:lang w:val="en-US" w:eastAsia="zh-CN"/>
              </w:rPr>
              <w:t>并</w:t>
            </w:r>
            <w:r>
              <w:rPr>
                <w:rFonts w:hint="eastAsia" w:ascii="仿宋" w:hAnsi="仿宋" w:eastAsia="仿宋" w:cs="仿宋"/>
                <w:b/>
                <w:bCs/>
                <w:color w:val="auto"/>
                <w:sz w:val="22"/>
                <w:szCs w:val="22"/>
                <w:highlight w:val="none"/>
              </w:rPr>
              <w:t>依照</w:t>
            </w:r>
            <w:r>
              <w:rPr>
                <w:rFonts w:hint="eastAsia" w:ascii="仿宋" w:hAnsi="仿宋" w:eastAsia="仿宋" w:cs="仿宋"/>
                <w:b/>
                <w:bCs/>
                <w:color w:val="auto"/>
                <w:sz w:val="22"/>
                <w:szCs w:val="22"/>
                <w:highlight w:val="none"/>
                <w:lang w:val="en-US" w:eastAsia="zh-CN"/>
              </w:rPr>
              <w:t>相关法律法规</w:t>
            </w:r>
            <w:r>
              <w:rPr>
                <w:rFonts w:hint="eastAsia" w:ascii="仿宋" w:hAnsi="仿宋" w:eastAsia="仿宋" w:cs="仿宋"/>
                <w:b/>
                <w:bCs/>
                <w:color w:val="auto"/>
                <w:sz w:val="22"/>
                <w:szCs w:val="22"/>
                <w:highlight w:val="none"/>
              </w:rPr>
              <w:t>追究</w:t>
            </w:r>
            <w:r>
              <w:rPr>
                <w:rFonts w:hint="eastAsia" w:ascii="仿宋" w:hAnsi="仿宋" w:eastAsia="仿宋" w:cs="仿宋"/>
                <w:b/>
                <w:bCs/>
                <w:color w:val="auto"/>
                <w:sz w:val="22"/>
                <w:szCs w:val="22"/>
                <w:highlight w:val="none"/>
                <w:lang w:val="en-US" w:eastAsia="zh-CN"/>
              </w:rPr>
              <w:t>其</w:t>
            </w:r>
            <w:r>
              <w:rPr>
                <w:rFonts w:hint="eastAsia" w:ascii="仿宋" w:hAnsi="仿宋" w:eastAsia="仿宋" w:cs="仿宋"/>
                <w:b/>
                <w:bCs/>
                <w:color w:val="auto"/>
                <w:sz w:val="22"/>
                <w:szCs w:val="22"/>
                <w:highlight w:val="none"/>
              </w:rPr>
              <w:t>相应责任。</w:t>
            </w:r>
          </w:p>
        </w:tc>
        <w:tc>
          <w:tcPr>
            <w:tcW w:w="884" w:type="dxa"/>
            <w:noWrap w:val="0"/>
            <w:vAlign w:val="center"/>
          </w:tcPr>
          <w:p>
            <w:pPr>
              <w:keepNext w:val="0"/>
              <w:keepLines w:val="0"/>
              <w:pageBreakBefore w:val="0"/>
              <w:suppressLineNumbers w:val="0"/>
              <w:overflowPunct/>
              <w:bidi w:val="0"/>
              <w:adjustRightInd w:val="0"/>
              <w:snapToGrid w:val="0"/>
              <w:spacing w:before="0" w:beforeAutospacing="0" w:after="0" w:afterAutospacing="0" w:line="336" w:lineRule="auto"/>
              <w:ind w:left="0" w:leftChars="0" w:right="0" w:right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r>
    </w:tbl>
    <w:p>
      <w:pPr>
        <w:pageBreakBefore w:val="0"/>
        <w:numPr>
          <w:ilvl w:val="0"/>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br w:type="page"/>
      </w:r>
      <w:r>
        <w:rPr>
          <w:rFonts w:hint="eastAsia" w:ascii="仿宋" w:hAnsi="仿宋" w:eastAsia="仿宋" w:cs="仿宋"/>
          <w:b/>
          <w:bCs/>
          <w:sz w:val="24"/>
          <w:highlight w:val="none"/>
          <w:lang w:val="zh-CN"/>
        </w:rPr>
        <w:t>综合评分法</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420" w:firstLine="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综合评分法</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本采购项目评审方法采用综合评分法；</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综合评分法评审标准中的分值设置应当与评审因素的量化指标相对应。响应文件中没有规定的评审标准不得作为评审依据。</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420" w:firstLine="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评审总得分</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评审总得分为详细评审标准中各评分项得分之和，满分</w:t>
      </w:r>
      <w:r>
        <w:rPr>
          <w:rFonts w:hint="eastAsia" w:ascii="仿宋" w:hAnsi="仿宋" w:eastAsia="仿宋" w:cs="仿宋"/>
          <w:sz w:val="24"/>
          <w:highlight w:val="none"/>
          <w:lang w:val="en-US" w:eastAsia="zh-CN"/>
        </w:rPr>
        <w:t>100</w:t>
      </w:r>
      <w:r>
        <w:rPr>
          <w:rFonts w:hint="eastAsia" w:ascii="仿宋" w:hAnsi="仿宋" w:eastAsia="仿宋" w:cs="仿宋"/>
          <w:sz w:val="24"/>
          <w:highlight w:val="none"/>
          <w:lang w:val="zh-CN"/>
        </w:rPr>
        <w:t>分；</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评审过程中，不得去掉报价中的最高报价和最低报价；</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磋商小组成员应当独立对满足磋商文件全部实质性要求供应商的响应文件进行评价、评分，然后汇总每个供应商每项评分因素的得分。每个供应商的最终得分为所有磋商小组成员评分的算术平均值。</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420" w:firstLine="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无效响应文件的认定</w:t>
      </w:r>
    </w:p>
    <w:p>
      <w:pPr>
        <w:pStyle w:val="16"/>
        <w:pageBreakBefore w:val="0"/>
        <w:tabs>
          <w:tab w:val="left" w:pos="600"/>
        </w:tabs>
        <w:kinsoku/>
        <w:overflowPunct/>
        <w:bidi w:val="0"/>
        <w:snapToGrid w:val="0"/>
        <w:spacing w:line="336" w:lineRule="auto"/>
        <w:jc w:val="left"/>
        <w:rPr>
          <w:rFonts w:hint="eastAsia" w:ascii="仿宋" w:hAnsi="仿宋" w:eastAsia="仿宋" w:cs="仿宋"/>
          <w:kern w:val="2"/>
          <w:szCs w:val="24"/>
          <w:highlight w:val="none"/>
          <w:lang w:val="zh-CN"/>
        </w:rPr>
      </w:pPr>
      <w:r>
        <w:rPr>
          <w:rFonts w:hint="eastAsia" w:ascii="仿宋" w:hAnsi="仿宋" w:eastAsia="仿宋" w:cs="仿宋"/>
          <w:kern w:val="2"/>
          <w:szCs w:val="24"/>
          <w:highlight w:val="none"/>
          <w:lang w:val="zh-CN"/>
        </w:rPr>
        <w:t>在评审过程中，出现下列情形之一的，响应文件无效：</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不具备磋商文件规定的供应商资格条件和要求的；</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响应文件未按照磋商文件规定的格式要求编制的；</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响应文件未按照磋商文件规定和要求签署、盖章的；</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磋商报价超过了磋商文件中规定的最高限价的；</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响应文件未完全响应磋商文件内容出现漏项、缺项的；</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响应文件的关键内容字迹模糊和无法辨认的；</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保险期限、质量、承诺等条款不能满足磋商文件要求的；</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响应文件中附有采购人不能接受的附加条件的；</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磋商文件和法律法规规定的其他情形。</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2" w:firstLineChars="20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复核与核对评审结果</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评分汇总结束后，磋商小组应当进行复核，特别要对拟推荐成交候选人的、最后报价最低的、响应文件被认定无效的进行重点复核；</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评审结果汇总完成后，评审报告签署前，采购代理机构应当核对评审结果，除下列情形外，任何人不得修改评审结果：</w:t>
      </w:r>
    </w:p>
    <w:p>
      <w:pPr>
        <w:pageBreakBefore w:val="0"/>
        <w:numPr>
          <w:ilvl w:val="0"/>
          <w:numId w:val="40"/>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资格性认定错误的；</w:t>
      </w:r>
    </w:p>
    <w:p>
      <w:pPr>
        <w:pageBreakBefore w:val="0"/>
        <w:numPr>
          <w:ilvl w:val="0"/>
          <w:numId w:val="40"/>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分值汇总计算错误的；</w:t>
      </w:r>
    </w:p>
    <w:p>
      <w:pPr>
        <w:pageBreakBefore w:val="0"/>
        <w:numPr>
          <w:ilvl w:val="0"/>
          <w:numId w:val="40"/>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分项评分超出评分标准范围的；</w:t>
      </w:r>
    </w:p>
    <w:p>
      <w:pPr>
        <w:pageBreakBefore w:val="0"/>
        <w:numPr>
          <w:ilvl w:val="0"/>
          <w:numId w:val="40"/>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磋商小组对客观评审因素评分不一致的；</w:t>
      </w:r>
    </w:p>
    <w:p>
      <w:pPr>
        <w:pageBreakBefore w:val="0"/>
        <w:numPr>
          <w:ilvl w:val="0"/>
          <w:numId w:val="40"/>
        </w:numPr>
        <w:tabs>
          <w:tab w:val="left" w:pos="0"/>
          <w:tab w:val="left" w:pos="210"/>
          <w:tab w:val="left" w:pos="420"/>
          <w:tab w:val="left" w:pos="630"/>
          <w:tab w:val="left" w:pos="840"/>
          <w:tab w:val="left" w:pos="1060"/>
          <w:tab w:val="left" w:pos="1480"/>
        </w:tabs>
        <w:kinsoku/>
        <w:overflowPunct/>
        <w:bidi w:val="0"/>
        <w:adjustRightInd w:val="0"/>
        <w:snapToGrid w:val="0"/>
        <w:spacing w:line="336"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经磋商小组一致认定评分畸高、畸低的。</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经复核发现存在以上情形之一的，磋商小组应当当场修改评审结果，并在评审报告中记载。</w:t>
      </w:r>
    </w:p>
    <w:p>
      <w:pPr>
        <w:pageBreakBefore w:val="0"/>
        <w:numPr>
          <w:ilvl w:val="1"/>
          <w:numId w:val="35"/>
        </w:numPr>
        <w:tabs>
          <w:tab w:val="left" w:pos="0"/>
          <w:tab w:val="left" w:pos="210"/>
          <w:tab w:val="left" w:pos="420"/>
          <w:tab w:val="left" w:pos="630"/>
          <w:tab w:val="left" w:pos="840"/>
          <w:tab w:val="left" w:pos="1050"/>
        </w:tabs>
        <w:kinsoku/>
        <w:overflowPunct/>
        <w:bidi w:val="0"/>
        <w:adjustRightInd w:val="0"/>
        <w:snapToGrid w:val="0"/>
        <w:spacing w:line="336" w:lineRule="auto"/>
        <w:ind w:left="0" w:firstLine="482" w:firstLineChars="200"/>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评审报告</w:t>
      </w:r>
    </w:p>
    <w:p>
      <w:pPr>
        <w:pageBreakBefore w:val="0"/>
        <w:numPr>
          <w:ilvl w:val="2"/>
          <w:numId w:val="35"/>
        </w:numPr>
        <w:tabs>
          <w:tab w:val="left" w:pos="0"/>
          <w:tab w:val="left" w:pos="210"/>
          <w:tab w:val="left" w:pos="420"/>
          <w:tab w:val="left" w:pos="630"/>
          <w:tab w:val="left" w:pos="1050"/>
        </w:tabs>
        <w:kinsoku/>
        <w:overflowPunct/>
        <w:bidi w:val="0"/>
        <w:adjustRightInd w:val="0"/>
        <w:snapToGrid w:val="0"/>
        <w:spacing w:line="336" w:lineRule="auto"/>
        <w:ind w:left="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磋商小组根据得分由高到低的顺序推荐3名成交候选人，并标明推荐顺序。</w:t>
      </w:r>
    </w:p>
    <w:p>
      <w:pPr>
        <w:pStyle w:val="26"/>
        <w:pageBreakBefore w:val="0"/>
        <w:numPr>
          <w:ilvl w:val="0"/>
          <w:numId w:val="0"/>
        </w:numPr>
        <w:overflowPunct/>
        <w:bidi w:val="0"/>
        <w:spacing w:line="336" w:lineRule="auto"/>
        <w:ind w:leftChars="0"/>
        <w:rPr>
          <w:rFonts w:hint="eastAsia" w:ascii="仿宋" w:hAnsi="仿宋" w:eastAsia="仿宋" w:cs="仿宋"/>
          <w:highlight w:val="none"/>
        </w:rPr>
      </w:pPr>
      <w:r>
        <w:rPr>
          <w:rFonts w:hint="eastAsia" w:ascii="仿宋" w:hAnsi="仿宋" w:eastAsia="仿宋" w:cs="仿宋"/>
          <w:sz w:val="24"/>
          <w:highlight w:val="none"/>
          <w:lang w:val="zh-CN"/>
        </w:rPr>
        <w:t>磋商小组在完成评标后，由应当向采购人提交书面评标报告。</w:t>
      </w:r>
    </w:p>
    <w:p>
      <w:pPr>
        <w:pageBreakBefore w:val="0"/>
        <w:overflowPunct/>
        <w:bidi w:val="0"/>
        <w:spacing w:afterAutospacing="0" w:line="336" w:lineRule="auto"/>
        <w:ind w:right="-2"/>
        <w:jc w:val="both"/>
        <w:rPr>
          <w:rFonts w:hint="eastAsia" w:ascii="仿宋" w:hAnsi="仿宋" w:eastAsia="仿宋" w:cs="仿宋"/>
          <w:bCs/>
          <w:sz w:val="24"/>
          <w:szCs w:val="24"/>
          <w:highlight w:val="none"/>
        </w:rPr>
      </w:pPr>
    </w:p>
    <w:p>
      <w:pPr>
        <w:pageBreakBefore w:val="0"/>
        <w:overflowPunct/>
        <w:bidi w:val="0"/>
        <w:spacing w:afterAutospacing="0" w:line="336" w:lineRule="auto"/>
        <w:jc w:val="both"/>
        <w:outlineLvl w:val="9"/>
        <w:rPr>
          <w:rFonts w:hint="eastAsia" w:ascii="仿宋" w:hAnsi="仿宋" w:eastAsia="仿宋" w:cs="仿宋"/>
          <w:b/>
          <w:sz w:val="44"/>
          <w:szCs w:val="44"/>
          <w:highlight w:val="none"/>
        </w:rPr>
      </w:pPr>
    </w:p>
    <w:p>
      <w:pPr>
        <w:pageBreakBefore w:val="0"/>
        <w:overflowPunct/>
        <w:bidi w:val="0"/>
        <w:spacing w:afterAutospacing="0" w:line="336" w:lineRule="auto"/>
        <w:jc w:val="center"/>
        <w:outlineLvl w:val="9"/>
        <w:rPr>
          <w:rFonts w:hint="eastAsia" w:ascii="仿宋" w:hAnsi="仿宋" w:eastAsia="仿宋" w:cs="仿宋"/>
          <w:b/>
          <w:sz w:val="44"/>
          <w:szCs w:val="44"/>
          <w:highlight w:val="none"/>
        </w:rPr>
      </w:pPr>
    </w:p>
    <w:p>
      <w:pPr>
        <w:pageBreakBefore w:val="0"/>
        <w:overflowPunct/>
        <w:bidi w:val="0"/>
        <w:spacing w:afterAutospacing="0" w:line="336" w:lineRule="auto"/>
        <w:jc w:val="both"/>
        <w:outlineLvl w:val="9"/>
        <w:rPr>
          <w:rFonts w:hint="eastAsia" w:ascii="仿宋" w:hAnsi="仿宋" w:eastAsia="仿宋" w:cs="仿宋"/>
          <w:b/>
          <w:sz w:val="44"/>
          <w:szCs w:val="44"/>
          <w:highlight w:val="none"/>
        </w:rPr>
      </w:pPr>
    </w:p>
    <w:p>
      <w:pPr>
        <w:pageBreakBefore w:val="0"/>
        <w:overflowPunct/>
        <w:bidi w:val="0"/>
        <w:spacing w:afterAutospacing="0" w:line="336" w:lineRule="auto"/>
        <w:jc w:val="center"/>
        <w:outlineLvl w:val="9"/>
        <w:rPr>
          <w:rFonts w:hint="eastAsia" w:ascii="仿宋" w:hAnsi="仿宋" w:eastAsia="仿宋" w:cs="仿宋"/>
          <w:b/>
          <w:sz w:val="44"/>
          <w:szCs w:val="44"/>
          <w:highlight w:val="none"/>
        </w:rPr>
      </w:pPr>
    </w:p>
    <w:p>
      <w:pPr>
        <w:pageBreakBefore w:val="0"/>
        <w:overflowPunct/>
        <w:bidi w:val="0"/>
        <w:spacing w:afterAutospacing="0" w:line="336" w:lineRule="auto"/>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pageBreakBefore w:val="0"/>
        <w:numPr>
          <w:ilvl w:val="0"/>
          <w:numId w:val="24"/>
        </w:numPr>
        <w:overflowPunct/>
        <w:bidi w:val="0"/>
        <w:spacing w:afterAutospacing="0" w:line="336" w:lineRule="auto"/>
        <w:ind w:left="0" w:leftChars="0" w:right="0" w:rightChars="0" w:firstLine="0" w:firstLineChars="0"/>
        <w:jc w:val="center"/>
        <w:outlineLvl w:val="0"/>
        <w:rPr>
          <w:rFonts w:hint="eastAsia" w:ascii="仿宋" w:hAnsi="仿宋" w:eastAsia="仿宋" w:cs="仿宋"/>
          <w:b/>
          <w:sz w:val="44"/>
          <w:szCs w:val="44"/>
          <w:highlight w:val="none"/>
        </w:rPr>
      </w:pPr>
      <w:bookmarkStart w:id="33" w:name="_Toc19046"/>
      <w:r>
        <w:rPr>
          <w:rFonts w:hint="eastAsia" w:ascii="仿宋" w:hAnsi="仿宋" w:eastAsia="仿宋" w:cs="仿宋"/>
          <w:b/>
          <w:sz w:val="44"/>
          <w:szCs w:val="44"/>
          <w:highlight w:val="none"/>
        </w:rPr>
        <w:t>响应文件格式</w:t>
      </w:r>
      <w:bookmarkEnd w:id="28"/>
      <w:bookmarkEnd w:id="29"/>
      <w:bookmarkEnd w:id="30"/>
      <w:bookmarkEnd w:id="31"/>
      <w:bookmarkEnd w:id="33"/>
    </w:p>
    <w:p>
      <w:pPr>
        <w:pStyle w:val="15"/>
        <w:pageBreakBefore w:val="0"/>
        <w:numPr>
          <w:ilvl w:val="0"/>
          <w:numId w:val="0"/>
        </w:numPr>
        <w:overflowPunct/>
        <w:bidi w:val="0"/>
        <w:spacing w:line="336" w:lineRule="auto"/>
        <w:ind w:leftChars="0"/>
        <w:rPr>
          <w:rFonts w:hint="eastAsia" w:ascii="仿宋" w:hAnsi="仿宋" w:eastAsia="仿宋" w:cs="仿宋"/>
          <w:highlight w:val="none"/>
        </w:rPr>
      </w:pPr>
    </w:p>
    <w:p>
      <w:pPr>
        <w:pStyle w:val="15"/>
        <w:pageBreakBefore w:val="0"/>
        <w:kinsoku/>
        <w:overflowPunct/>
        <w:bidi w:val="0"/>
        <w:spacing w:line="336" w:lineRule="auto"/>
        <w:rPr>
          <w:rFonts w:hint="eastAsia" w:ascii="仿宋" w:hAnsi="仿宋" w:eastAsia="仿宋" w:cs="仿宋"/>
          <w:highlight w:val="none"/>
        </w:rPr>
      </w:pPr>
    </w:p>
    <w:p>
      <w:pPr>
        <w:pageBreakBefore w:val="0"/>
        <w:numPr>
          <w:ilvl w:val="0"/>
          <w:numId w:val="41"/>
        </w:numPr>
        <w:tabs>
          <w:tab w:val="left" w:pos="0"/>
          <w:tab w:val="left" w:pos="210"/>
          <w:tab w:val="left" w:pos="420"/>
          <w:tab w:val="left" w:pos="630"/>
          <w:tab w:val="left" w:pos="840"/>
          <w:tab w:val="left" w:pos="1050"/>
        </w:tabs>
        <w:kinsoku/>
        <w:overflowPunct/>
        <w:bidi w:val="0"/>
        <w:adjustRightInd w:val="0"/>
        <w:snapToGrid w:val="0"/>
        <w:spacing w:line="336" w:lineRule="auto"/>
        <w:ind w:left="222" w:leftChars="0" w:firstLine="408" w:firstLineChars="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供应商应按照磋商文件格式要求编制响应文件；混乱的编排导致响应文件被误导或查找不到，后果由供应商承担。</w:t>
      </w:r>
    </w:p>
    <w:p>
      <w:pPr>
        <w:pageBreakBefore w:val="0"/>
        <w:numPr>
          <w:ilvl w:val="0"/>
          <w:numId w:val="41"/>
        </w:numPr>
        <w:tabs>
          <w:tab w:val="left" w:pos="0"/>
          <w:tab w:val="left" w:pos="210"/>
          <w:tab w:val="left" w:pos="420"/>
          <w:tab w:val="left" w:pos="630"/>
          <w:tab w:val="left" w:pos="840"/>
          <w:tab w:val="left" w:pos="1050"/>
        </w:tabs>
        <w:kinsoku/>
        <w:overflowPunct/>
        <w:bidi w:val="0"/>
        <w:adjustRightInd w:val="0"/>
        <w:snapToGrid w:val="0"/>
        <w:spacing w:line="336" w:lineRule="auto"/>
        <w:ind w:left="222" w:leftChars="0" w:firstLine="408" w:firstLineChars="0"/>
        <w:rPr>
          <w:rFonts w:hint="eastAsia" w:ascii="仿宋" w:hAnsi="仿宋" w:eastAsia="仿宋" w:cs="仿宋"/>
          <w:sz w:val="24"/>
          <w:highlight w:val="none"/>
          <w:lang w:val="zh-CN"/>
        </w:rPr>
      </w:pPr>
      <w:r>
        <w:rPr>
          <w:rFonts w:hint="eastAsia" w:ascii="仿宋" w:hAnsi="仿宋" w:eastAsia="仿宋" w:cs="仿宋"/>
          <w:sz w:val="24"/>
          <w:highlight w:val="none"/>
          <w:lang w:val="zh-CN"/>
        </w:rPr>
        <w:t>编制响应文件前，请详细阅读磋商文件，理解文件中的每一项要求，做出逐一实质性响应。</w:t>
      </w:r>
    </w:p>
    <w:p>
      <w:pPr>
        <w:pageBreakBefore w:val="0"/>
        <w:numPr>
          <w:ilvl w:val="0"/>
          <w:numId w:val="41"/>
        </w:numPr>
        <w:tabs>
          <w:tab w:val="left" w:pos="0"/>
          <w:tab w:val="left" w:pos="210"/>
          <w:tab w:val="left" w:pos="420"/>
          <w:tab w:val="left" w:pos="630"/>
          <w:tab w:val="left" w:pos="840"/>
          <w:tab w:val="left" w:pos="1050"/>
        </w:tabs>
        <w:kinsoku/>
        <w:overflowPunct/>
        <w:bidi w:val="0"/>
        <w:adjustRightInd w:val="0"/>
        <w:snapToGrid w:val="0"/>
        <w:spacing w:line="336" w:lineRule="auto"/>
        <w:ind w:left="222" w:leftChars="0" w:firstLine="408" w:firstLineChars="0"/>
        <w:rPr>
          <w:rFonts w:hint="eastAsia" w:ascii="仿宋" w:hAnsi="仿宋" w:eastAsia="仿宋" w:cs="仿宋"/>
          <w:sz w:val="24"/>
          <w:highlight w:val="none"/>
          <w:lang w:val="zh-CN"/>
        </w:rPr>
      </w:pPr>
      <w:r>
        <w:rPr>
          <w:rFonts w:hint="eastAsia" w:ascii="仿宋" w:hAnsi="仿宋" w:eastAsia="仿宋" w:cs="仿宋"/>
          <w:sz w:val="24"/>
          <w:highlight w:val="none"/>
          <w:lang w:val="zh-CN"/>
        </w:rPr>
        <w:t>所附表格中要求回答的全部问题和信息都必须正面回答。</w:t>
      </w:r>
    </w:p>
    <w:p>
      <w:pPr>
        <w:pageBreakBefore w:val="0"/>
        <w:numPr>
          <w:ilvl w:val="0"/>
          <w:numId w:val="41"/>
        </w:numPr>
        <w:tabs>
          <w:tab w:val="left" w:pos="0"/>
          <w:tab w:val="left" w:pos="210"/>
          <w:tab w:val="left" w:pos="420"/>
          <w:tab w:val="left" w:pos="630"/>
          <w:tab w:val="left" w:pos="840"/>
          <w:tab w:val="left" w:pos="1050"/>
        </w:tabs>
        <w:kinsoku/>
        <w:overflowPunct/>
        <w:bidi w:val="0"/>
        <w:adjustRightInd w:val="0"/>
        <w:snapToGrid w:val="0"/>
        <w:spacing w:line="336" w:lineRule="auto"/>
        <w:ind w:left="222" w:leftChars="0" w:firstLine="408" w:firstLineChars="0"/>
        <w:rPr>
          <w:rFonts w:hint="eastAsia" w:ascii="仿宋" w:hAnsi="仿宋" w:eastAsia="仿宋" w:cs="仿宋"/>
          <w:sz w:val="24"/>
          <w:highlight w:val="none"/>
          <w:lang w:val="zh-CN"/>
        </w:rPr>
      </w:pPr>
      <w:r>
        <w:rPr>
          <w:rFonts w:hint="eastAsia" w:ascii="仿宋" w:hAnsi="仿宋" w:eastAsia="仿宋" w:cs="仿宋"/>
          <w:sz w:val="24"/>
          <w:highlight w:val="none"/>
          <w:lang w:val="zh-CN"/>
        </w:rPr>
        <w:t>本资格声明的签字人应保证全部声明和问题的回答是真实的和准确的。</w:t>
      </w:r>
    </w:p>
    <w:p>
      <w:pPr>
        <w:pageBreakBefore w:val="0"/>
        <w:numPr>
          <w:ilvl w:val="0"/>
          <w:numId w:val="41"/>
        </w:numPr>
        <w:tabs>
          <w:tab w:val="left" w:pos="0"/>
          <w:tab w:val="left" w:pos="210"/>
          <w:tab w:val="left" w:pos="420"/>
          <w:tab w:val="left" w:pos="630"/>
          <w:tab w:val="left" w:pos="840"/>
          <w:tab w:val="left" w:pos="1050"/>
        </w:tabs>
        <w:kinsoku/>
        <w:overflowPunct/>
        <w:bidi w:val="0"/>
        <w:adjustRightInd w:val="0"/>
        <w:snapToGrid w:val="0"/>
        <w:spacing w:line="336" w:lineRule="auto"/>
        <w:ind w:left="222" w:leftChars="0" w:firstLine="408" w:firstLineChars="0"/>
        <w:rPr>
          <w:rFonts w:hint="eastAsia" w:ascii="仿宋" w:hAnsi="仿宋" w:eastAsia="仿宋" w:cs="仿宋"/>
          <w:sz w:val="24"/>
          <w:highlight w:val="none"/>
          <w:lang w:val="zh-CN"/>
        </w:rPr>
      </w:pPr>
      <w:r>
        <w:rPr>
          <w:rFonts w:hint="eastAsia" w:ascii="仿宋" w:hAnsi="仿宋" w:eastAsia="仿宋" w:cs="仿宋"/>
          <w:sz w:val="24"/>
          <w:highlight w:val="none"/>
          <w:lang w:val="zh-CN"/>
        </w:rPr>
        <w:t>全部文件应按供应商须知中规定的语言和份数提交。</w:t>
      </w:r>
    </w:p>
    <w:p>
      <w:pPr>
        <w:pageBreakBefore w:val="0"/>
        <w:numPr>
          <w:ilvl w:val="0"/>
          <w:numId w:val="41"/>
        </w:numPr>
        <w:tabs>
          <w:tab w:val="left" w:pos="0"/>
          <w:tab w:val="left" w:pos="210"/>
          <w:tab w:val="left" w:pos="420"/>
          <w:tab w:val="left" w:pos="630"/>
          <w:tab w:val="left" w:pos="840"/>
          <w:tab w:val="left" w:pos="1050"/>
        </w:tabs>
        <w:kinsoku/>
        <w:overflowPunct/>
        <w:bidi w:val="0"/>
        <w:adjustRightInd w:val="0"/>
        <w:snapToGrid w:val="0"/>
        <w:spacing w:line="336" w:lineRule="auto"/>
        <w:ind w:left="222" w:leftChars="0" w:firstLine="408" w:firstLineChars="0"/>
        <w:rPr>
          <w:rFonts w:hint="eastAsia" w:ascii="仿宋" w:hAnsi="仿宋" w:eastAsia="仿宋" w:cs="仿宋"/>
          <w:sz w:val="24"/>
          <w:highlight w:val="none"/>
          <w:lang w:val="zh-CN"/>
        </w:rPr>
      </w:pPr>
      <w:r>
        <w:rPr>
          <w:rFonts w:hint="eastAsia" w:ascii="仿宋" w:hAnsi="仿宋" w:eastAsia="仿宋" w:cs="仿宋"/>
          <w:sz w:val="24"/>
          <w:highlight w:val="none"/>
          <w:lang w:val="zh-CN"/>
        </w:rPr>
        <w:t>如有必要，可以增加附页，作为响应文件的组成部分。</w:t>
      </w:r>
    </w:p>
    <w:p>
      <w:pPr>
        <w:pageBreakBefore w:val="0"/>
        <w:overflowPunct/>
        <w:bidi w:val="0"/>
        <w:spacing w:line="336" w:lineRule="auto"/>
        <w:rPr>
          <w:rFonts w:hint="eastAsia" w:ascii="仿宋" w:hAnsi="仿宋" w:eastAsia="仿宋" w:cs="仿宋"/>
          <w:highlight w:val="none"/>
        </w:rPr>
      </w:pPr>
    </w:p>
    <w:p>
      <w:pPr>
        <w:pageBreakBefore w:val="0"/>
        <w:widowControl/>
        <w:tabs>
          <w:tab w:val="left" w:pos="1620"/>
        </w:tabs>
        <w:overflowPunct/>
        <w:bidi w:val="0"/>
        <w:snapToGrid w:val="0"/>
        <w:spacing w:afterAutospacing="0" w:line="336" w:lineRule="auto"/>
        <w:ind w:right="-197" w:rightChars="-94"/>
        <w:jc w:val="left"/>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bookmarkStart w:id="34" w:name="_Toc21866"/>
    </w:p>
    <w:p>
      <w:pPr>
        <w:pageBreakBefore w:val="0"/>
        <w:overflowPunct/>
        <w:bidi w:val="0"/>
        <w:spacing w:afterAutospacing="0" w:line="336" w:lineRule="auto"/>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pPr>
        <w:pageBreakBefore w:val="0"/>
        <w:widowControl/>
        <w:tabs>
          <w:tab w:val="left" w:pos="1620"/>
        </w:tabs>
        <w:overflowPunct/>
        <w:bidi w:val="0"/>
        <w:snapToGrid w:val="0"/>
        <w:spacing w:afterAutospacing="0" w:line="336" w:lineRule="auto"/>
        <w:ind w:right="-197" w:rightChars="-94" w:firstLine="8353" w:firstLineChars="2600"/>
        <w:jc w:val="left"/>
        <w:outlineLvl w:val="0"/>
        <w:rPr>
          <w:rFonts w:hint="eastAsia" w:ascii="仿宋" w:hAnsi="仿宋" w:eastAsia="仿宋" w:cs="仿宋"/>
          <w:b/>
          <w:sz w:val="36"/>
          <w:szCs w:val="36"/>
          <w:highlight w:val="none"/>
        </w:rPr>
      </w:pPr>
      <w:bookmarkStart w:id="35" w:name="_Toc31750"/>
      <w:r>
        <w:rPr>
          <w:rFonts w:hint="eastAsia" w:ascii="仿宋" w:hAnsi="仿宋" w:eastAsia="仿宋" w:cs="仿宋"/>
          <w:b/>
          <w:sz w:val="32"/>
          <w:szCs w:val="32"/>
          <w:highlight w:val="none"/>
        </w:rPr>
        <w:t>正/副本</w:t>
      </w:r>
      <w:bookmarkEnd w:id="34"/>
      <w:bookmarkEnd w:id="35"/>
    </w:p>
    <w:p>
      <w:pPr>
        <w:pageBreakBefore w:val="0"/>
        <w:widowControl/>
        <w:tabs>
          <w:tab w:val="left" w:pos="1620"/>
        </w:tabs>
        <w:overflowPunct/>
        <w:bidi w:val="0"/>
        <w:snapToGrid w:val="0"/>
        <w:spacing w:afterAutospacing="0" w:line="336" w:lineRule="auto"/>
        <w:ind w:right="-197" w:rightChars="-94" w:firstLine="5722" w:firstLineChars="1900"/>
        <w:jc w:val="left"/>
        <w:outlineLvl w:val="0"/>
        <w:rPr>
          <w:rFonts w:hint="eastAsia" w:ascii="仿宋" w:hAnsi="仿宋" w:eastAsia="仿宋" w:cs="仿宋"/>
          <w:b/>
          <w:sz w:val="30"/>
          <w:szCs w:val="30"/>
          <w:highlight w:val="none"/>
        </w:rPr>
      </w:pPr>
      <w:bookmarkStart w:id="36" w:name="_Toc17609"/>
      <w:bookmarkStart w:id="37" w:name="_Toc14594"/>
    </w:p>
    <w:p>
      <w:pPr>
        <w:pageBreakBefore w:val="0"/>
        <w:widowControl/>
        <w:tabs>
          <w:tab w:val="left" w:pos="1620"/>
        </w:tabs>
        <w:overflowPunct/>
        <w:bidi w:val="0"/>
        <w:snapToGrid w:val="0"/>
        <w:spacing w:afterAutospacing="0" w:line="336" w:lineRule="auto"/>
        <w:ind w:right="-197" w:rightChars="-94"/>
        <w:jc w:val="left"/>
        <w:outlineLvl w:val="0"/>
        <w:rPr>
          <w:rFonts w:hint="eastAsia" w:ascii="仿宋" w:hAnsi="仿宋" w:eastAsia="仿宋" w:cs="仿宋"/>
          <w:b/>
          <w:sz w:val="30"/>
          <w:szCs w:val="30"/>
          <w:highlight w:val="none"/>
          <w:lang w:eastAsia="zh-CN"/>
        </w:rPr>
      </w:pPr>
      <w:r>
        <w:rPr>
          <w:rFonts w:hint="eastAsia" w:ascii="仿宋" w:hAnsi="仿宋" w:eastAsia="仿宋" w:cs="仿宋"/>
          <w:b/>
          <w:sz w:val="30"/>
          <w:szCs w:val="30"/>
          <w:highlight w:val="none"/>
        </w:rPr>
        <w:t xml:space="preserve">项目编号: </w:t>
      </w:r>
      <w:bookmarkEnd w:id="36"/>
      <w:bookmarkEnd w:id="37"/>
      <w:r>
        <w:rPr>
          <w:rFonts w:hint="eastAsia" w:ascii="仿宋" w:hAnsi="仿宋" w:eastAsia="仿宋" w:cs="仿宋"/>
          <w:b/>
          <w:sz w:val="30"/>
          <w:szCs w:val="30"/>
          <w:highlight w:val="none"/>
          <w:lang w:eastAsia="zh-CN"/>
        </w:rPr>
        <w:t>TCC2022-1119Z-01</w:t>
      </w:r>
    </w:p>
    <w:p>
      <w:pPr>
        <w:pageBreakBefore w:val="0"/>
        <w:overflowPunct/>
        <w:bidi w:val="0"/>
        <w:spacing w:afterAutospacing="0" w:line="336" w:lineRule="auto"/>
        <w:rPr>
          <w:rFonts w:hint="eastAsia" w:ascii="仿宋" w:hAnsi="仿宋" w:eastAsia="仿宋" w:cs="仿宋"/>
          <w:sz w:val="28"/>
          <w:szCs w:val="28"/>
          <w:highlight w:val="none"/>
        </w:rPr>
      </w:pPr>
    </w:p>
    <w:p>
      <w:pPr>
        <w:pageBreakBefore w:val="0"/>
        <w:overflowPunct/>
        <w:bidi w:val="0"/>
        <w:spacing w:afterAutospacing="0" w:line="336" w:lineRule="auto"/>
        <w:rPr>
          <w:rFonts w:hint="eastAsia" w:ascii="仿宋" w:hAnsi="仿宋" w:eastAsia="仿宋" w:cs="仿宋"/>
          <w:sz w:val="28"/>
          <w:szCs w:val="28"/>
          <w:highlight w:val="none"/>
        </w:rPr>
      </w:pPr>
    </w:p>
    <w:p>
      <w:pPr>
        <w:pageBreakBefore w:val="0"/>
        <w:overflowPunct/>
        <w:bidi w:val="0"/>
        <w:spacing w:afterAutospacing="0" w:line="336" w:lineRule="auto"/>
        <w:jc w:val="center"/>
        <w:outlineLvl w:val="0"/>
        <w:rPr>
          <w:rFonts w:hint="eastAsia" w:ascii="仿宋" w:hAnsi="仿宋" w:eastAsia="仿宋" w:cs="仿宋"/>
          <w:b/>
          <w:bCs/>
          <w:sz w:val="44"/>
          <w:szCs w:val="44"/>
          <w:highlight w:val="none"/>
          <w:lang w:eastAsia="zh-CN"/>
        </w:rPr>
      </w:pPr>
      <w:r>
        <w:rPr>
          <w:rFonts w:hint="eastAsia" w:ascii="仿宋" w:hAnsi="仿宋" w:eastAsia="仿宋" w:cs="仿宋"/>
          <w:b/>
          <w:bCs/>
          <w:sz w:val="44"/>
          <w:szCs w:val="44"/>
          <w:highlight w:val="none"/>
          <w:lang w:eastAsia="zh-CN"/>
        </w:rPr>
        <w:t>铜川市2023年度一元民生保险采购项目</w:t>
      </w:r>
    </w:p>
    <w:p>
      <w:pPr>
        <w:pStyle w:val="2"/>
        <w:jc w:val="center"/>
        <w:rPr>
          <w:rFonts w:hint="eastAsia" w:ascii="仿宋" w:hAnsi="仿宋" w:eastAsia="仿宋" w:cs="仿宋"/>
          <w:b/>
          <w:bCs/>
          <w:sz w:val="44"/>
          <w:szCs w:val="44"/>
          <w:highlight w:val="none"/>
          <w:u w:val="single"/>
          <w:lang w:val="en-US" w:eastAsia="zh-CN"/>
        </w:rPr>
      </w:pPr>
    </w:p>
    <w:p>
      <w:pPr>
        <w:pageBreakBefore w:val="0"/>
        <w:overflowPunct/>
        <w:bidi w:val="0"/>
        <w:spacing w:afterAutospacing="0" w:line="336" w:lineRule="auto"/>
        <w:jc w:val="both"/>
        <w:rPr>
          <w:rFonts w:hint="eastAsia" w:ascii="仿宋" w:hAnsi="仿宋" w:eastAsia="仿宋" w:cs="仿宋"/>
          <w:b/>
          <w:sz w:val="72"/>
          <w:szCs w:val="72"/>
          <w:highlight w:val="none"/>
          <w:lang w:eastAsia="zh-CN"/>
        </w:rPr>
      </w:pPr>
    </w:p>
    <w:p>
      <w:pPr>
        <w:pStyle w:val="2"/>
        <w:rPr>
          <w:rFonts w:hint="eastAsia"/>
          <w:highlight w:val="none"/>
          <w:lang w:eastAsia="zh-CN"/>
        </w:rPr>
      </w:pPr>
    </w:p>
    <w:p>
      <w:pPr>
        <w:pStyle w:val="15"/>
        <w:pageBreakBefore w:val="0"/>
        <w:overflowPunct/>
        <w:bidi w:val="0"/>
        <w:spacing w:line="336" w:lineRule="auto"/>
        <w:rPr>
          <w:rFonts w:hint="eastAsia" w:ascii="仿宋" w:hAnsi="仿宋" w:eastAsia="仿宋" w:cs="仿宋"/>
          <w:highlight w:val="none"/>
          <w:lang w:eastAsia="zh-CN"/>
        </w:rPr>
      </w:pPr>
    </w:p>
    <w:p>
      <w:pPr>
        <w:pageBreakBefore w:val="0"/>
        <w:bidi w:val="0"/>
        <w:spacing w:line="336" w:lineRule="auto"/>
        <w:rPr>
          <w:rFonts w:hint="eastAsia" w:ascii="仿宋" w:hAnsi="仿宋" w:eastAsia="仿宋" w:cs="仿宋"/>
          <w:highlight w:val="none"/>
          <w:lang w:eastAsia="zh-CN"/>
        </w:rPr>
      </w:pPr>
    </w:p>
    <w:p>
      <w:pPr>
        <w:pageBreakBefore w:val="0"/>
        <w:overflowPunct/>
        <w:bidi w:val="0"/>
        <w:spacing w:afterAutospacing="0" w:line="336" w:lineRule="auto"/>
        <w:jc w:val="center"/>
        <w:outlineLvl w:val="0"/>
        <w:rPr>
          <w:rFonts w:hint="eastAsia" w:ascii="仿宋" w:hAnsi="仿宋" w:eastAsia="仿宋" w:cs="仿宋"/>
          <w:b/>
          <w:sz w:val="84"/>
          <w:szCs w:val="84"/>
          <w:highlight w:val="none"/>
        </w:rPr>
      </w:pPr>
      <w:bookmarkStart w:id="38" w:name="_Toc22336"/>
      <w:bookmarkStart w:id="39" w:name="_Toc21581"/>
      <w:r>
        <w:rPr>
          <w:rFonts w:hint="eastAsia" w:ascii="仿宋" w:hAnsi="仿宋" w:eastAsia="仿宋" w:cs="仿宋"/>
          <w:b/>
          <w:sz w:val="84"/>
          <w:szCs w:val="84"/>
          <w:highlight w:val="none"/>
        </w:rPr>
        <w:t>磋商响应文件</w:t>
      </w:r>
      <w:bookmarkEnd w:id="38"/>
      <w:bookmarkEnd w:id="39"/>
    </w:p>
    <w:p>
      <w:pPr>
        <w:pageBreakBefore w:val="0"/>
        <w:overflowPunct/>
        <w:bidi w:val="0"/>
        <w:spacing w:afterAutospacing="0" w:line="336" w:lineRule="auto"/>
        <w:rPr>
          <w:rFonts w:hint="eastAsia" w:ascii="仿宋" w:hAnsi="仿宋" w:eastAsia="仿宋" w:cs="仿宋"/>
          <w:b/>
          <w:sz w:val="28"/>
          <w:szCs w:val="28"/>
          <w:highlight w:val="none"/>
        </w:rPr>
      </w:pPr>
    </w:p>
    <w:p>
      <w:pPr>
        <w:pageBreakBefore w:val="0"/>
        <w:overflowPunct/>
        <w:bidi w:val="0"/>
        <w:spacing w:afterAutospacing="0" w:line="336" w:lineRule="auto"/>
        <w:rPr>
          <w:rFonts w:hint="eastAsia" w:ascii="仿宋" w:hAnsi="仿宋" w:eastAsia="仿宋" w:cs="仿宋"/>
          <w:b/>
          <w:sz w:val="28"/>
          <w:szCs w:val="28"/>
          <w:highlight w:val="none"/>
        </w:rPr>
      </w:pPr>
    </w:p>
    <w:p>
      <w:pPr>
        <w:pageBreakBefore w:val="0"/>
        <w:overflowPunct/>
        <w:bidi w:val="0"/>
        <w:spacing w:afterAutospacing="0" w:line="336" w:lineRule="auto"/>
        <w:rPr>
          <w:rFonts w:hint="eastAsia" w:ascii="仿宋" w:hAnsi="仿宋" w:eastAsia="仿宋" w:cs="仿宋"/>
          <w:b/>
          <w:sz w:val="28"/>
          <w:szCs w:val="28"/>
          <w:highlight w:val="none"/>
        </w:rPr>
      </w:pPr>
    </w:p>
    <w:p>
      <w:pPr>
        <w:pageBreakBefore w:val="0"/>
        <w:overflowPunct/>
        <w:bidi w:val="0"/>
        <w:spacing w:afterAutospacing="0" w:line="336" w:lineRule="auto"/>
        <w:rPr>
          <w:rFonts w:hint="eastAsia" w:ascii="仿宋" w:hAnsi="仿宋" w:eastAsia="仿宋" w:cs="仿宋"/>
          <w:b/>
          <w:sz w:val="28"/>
          <w:szCs w:val="28"/>
          <w:highlight w:val="none"/>
        </w:rPr>
      </w:pPr>
    </w:p>
    <w:p>
      <w:pPr>
        <w:pageBreakBefore w:val="0"/>
        <w:bidi w:val="0"/>
        <w:spacing w:line="336" w:lineRule="auto"/>
        <w:ind w:firstLine="1687" w:firstLineChars="600"/>
        <w:rPr>
          <w:rFonts w:hint="eastAsia" w:ascii="仿宋" w:hAnsi="仿宋" w:eastAsia="仿宋" w:cs="仿宋"/>
          <w:b/>
          <w:color w:val="auto"/>
          <w:sz w:val="28"/>
          <w:szCs w:val="28"/>
          <w:highlight w:val="none"/>
          <w:u w:val="none"/>
          <w:lang w:val="en-US" w:eastAsia="zh-CN"/>
        </w:rPr>
      </w:pPr>
      <w:r>
        <w:rPr>
          <w:rFonts w:hint="eastAsia" w:ascii="仿宋" w:hAnsi="仿宋" w:eastAsia="仿宋" w:cs="仿宋"/>
          <w:b/>
          <w:color w:val="auto"/>
          <w:sz w:val="28"/>
          <w:szCs w:val="28"/>
          <w:highlight w:val="none"/>
        </w:rPr>
        <w:t>采   购   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p>
    <w:p>
      <w:pPr>
        <w:pageBreakBefore w:val="0"/>
        <w:bidi w:val="0"/>
        <w:spacing w:line="336" w:lineRule="auto"/>
        <w:ind w:firstLine="1687" w:firstLineChars="600"/>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lang w:val="en-US" w:eastAsia="zh-CN"/>
        </w:rPr>
        <w:t>供   应   商</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（盖章）</w:t>
      </w:r>
    </w:p>
    <w:p>
      <w:pPr>
        <w:pageBreakBefore w:val="0"/>
        <w:bidi w:val="0"/>
        <w:spacing w:line="336" w:lineRule="auto"/>
        <w:ind w:firstLine="1661" w:firstLineChars="591"/>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b/>
          <w:color w:val="auto"/>
          <w:sz w:val="28"/>
          <w:szCs w:val="28"/>
          <w:highlight w:val="none"/>
        </w:rPr>
        <w:t>采购代理机构：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p>
    <w:p>
      <w:pPr>
        <w:pageBreakBefore w:val="0"/>
        <w:overflowPunct/>
        <w:bidi w:val="0"/>
        <w:spacing w:afterAutospacing="0" w:line="336" w:lineRule="auto"/>
        <w:ind w:firstLine="1687" w:firstLineChars="600"/>
        <w:rPr>
          <w:rFonts w:hint="eastAsia" w:ascii="仿宋" w:hAnsi="仿宋" w:eastAsia="仿宋" w:cs="仿宋"/>
          <w:b/>
          <w:sz w:val="13"/>
          <w:szCs w:val="13"/>
          <w:highlight w:val="none"/>
          <w:u w:val="single"/>
        </w:rPr>
      </w:pPr>
      <w:r>
        <w:rPr>
          <w:rFonts w:hint="eastAsia" w:ascii="仿宋" w:hAnsi="仿宋" w:eastAsia="仿宋" w:cs="仿宋"/>
          <w:b/>
          <w:color w:val="auto"/>
          <w:sz w:val="28"/>
          <w:szCs w:val="28"/>
          <w:highlight w:val="none"/>
          <w:lang w:val="en-US" w:eastAsia="zh-CN"/>
        </w:rPr>
        <w:t>日        期</w:t>
      </w:r>
      <w:r>
        <w:rPr>
          <w:rFonts w:hint="eastAsia" w:ascii="仿宋" w:hAnsi="仿宋" w:eastAsia="仿宋" w:cs="仿宋"/>
          <w:b/>
          <w:color w:val="auto"/>
          <w:sz w:val="28"/>
          <w:szCs w:val="28"/>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p>
    <w:p>
      <w:pPr>
        <w:pageBreakBefore w:val="0"/>
        <w:overflowPunct/>
        <w:bidi w:val="0"/>
        <w:spacing w:afterAutospacing="0" w:line="336" w:lineRule="auto"/>
        <w:ind w:firstLine="3697" w:firstLineChars="837"/>
        <w:rPr>
          <w:rFonts w:hint="eastAsia" w:ascii="仿宋" w:hAnsi="仿宋" w:eastAsia="仿宋" w:cs="仿宋"/>
          <w:b/>
          <w:sz w:val="44"/>
          <w:szCs w:val="44"/>
          <w:highlight w:val="none"/>
        </w:rPr>
      </w:pPr>
    </w:p>
    <w:p>
      <w:pPr>
        <w:rPr>
          <w:rFonts w:hint="eastAsia" w:ascii="仿宋" w:hAnsi="仿宋" w:eastAsia="仿宋" w:cs="仿宋"/>
          <w:b/>
          <w:sz w:val="44"/>
          <w:szCs w:val="44"/>
          <w:highlight w:val="none"/>
        </w:rPr>
      </w:pPr>
      <w:bookmarkStart w:id="40" w:name="_Toc14808"/>
      <w:bookmarkStart w:id="41" w:name="_Toc29918"/>
      <w:r>
        <w:rPr>
          <w:rFonts w:hint="eastAsia" w:ascii="仿宋" w:hAnsi="仿宋" w:eastAsia="仿宋" w:cs="仿宋"/>
          <w:b/>
          <w:sz w:val="44"/>
          <w:szCs w:val="44"/>
          <w:highlight w:val="none"/>
        </w:rPr>
        <w:br w:type="page"/>
      </w:r>
    </w:p>
    <w:p>
      <w:pPr>
        <w:pageBreakBefore w:val="0"/>
        <w:overflowPunct/>
        <w:bidi w:val="0"/>
        <w:spacing w:afterAutospacing="0" w:line="336" w:lineRule="auto"/>
        <w:jc w:val="center"/>
        <w:outlineLvl w:val="0"/>
        <w:rPr>
          <w:rFonts w:hint="eastAsia" w:ascii="仿宋" w:hAnsi="仿宋" w:eastAsia="仿宋" w:cs="仿宋"/>
          <w:b/>
          <w:sz w:val="44"/>
          <w:szCs w:val="44"/>
          <w:highlight w:val="none"/>
        </w:rPr>
      </w:pPr>
    </w:p>
    <w:p>
      <w:pPr>
        <w:pageBreakBefore w:val="0"/>
        <w:overflowPunct/>
        <w:bidi w:val="0"/>
        <w:spacing w:afterAutospacing="0" w:line="336" w:lineRule="auto"/>
        <w:jc w:val="center"/>
        <w:outlineLvl w:val="0"/>
        <w:rPr>
          <w:rFonts w:hint="eastAsia" w:ascii="仿宋" w:hAnsi="仿宋" w:eastAsia="仿宋" w:cs="仿宋"/>
          <w:b/>
          <w:sz w:val="44"/>
          <w:szCs w:val="44"/>
          <w:highlight w:val="none"/>
        </w:rPr>
      </w:pPr>
    </w:p>
    <w:p>
      <w:pPr>
        <w:pageBreakBefore w:val="0"/>
        <w:overflowPunct/>
        <w:bidi w:val="0"/>
        <w:spacing w:afterAutospacing="0" w:line="336" w:lineRule="auto"/>
        <w:jc w:val="center"/>
        <w:outlineLvl w:val="0"/>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bookmarkEnd w:id="40"/>
      <w:bookmarkEnd w:id="41"/>
    </w:p>
    <w:p>
      <w:pPr>
        <w:pStyle w:val="15"/>
        <w:pageBreakBefore w:val="0"/>
        <w:overflowPunct/>
        <w:bidi w:val="0"/>
        <w:spacing w:line="336" w:lineRule="auto"/>
        <w:rPr>
          <w:rFonts w:hint="eastAsia" w:ascii="仿宋" w:hAnsi="仿宋" w:eastAsia="仿宋" w:cs="仿宋"/>
          <w:b/>
          <w:sz w:val="44"/>
          <w:szCs w:val="44"/>
          <w:highlight w:val="none"/>
        </w:rPr>
      </w:pPr>
    </w:p>
    <w:p>
      <w:pPr>
        <w:pageBreakBefore w:val="0"/>
        <w:overflowPunct/>
        <w:bidi w:val="0"/>
        <w:spacing w:line="336" w:lineRule="auto"/>
        <w:rPr>
          <w:rFonts w:hint="eastAsia" w:ascii="仿宋" w:hAnsi="仿宋" w:eastAsia="仿宋" w:cs="仿宋"/>
          <w:highlight w:val="none"/>
        </w:rPr>
      </w:pPr>
    </w:p>
    <w:p>
      <w:pPr>
        <w:pageBreakBefore w:val="0"/>
        <w:overflowPunct/>
        <w:bidi w:val="0"/>
        <w:spacing w:line="336" w:lineRule="auto"/>
        <w:jc w:val="center"/>
        <w:rPr>
          <w:rFonts w:hint="eastAsia" w:ascii="仿宋" w:hAnsi="仿宋" w:eastAsia="仿宋" w:cs="仿宋"/>
          <w:highlight w:val="none"/>
          <w:lang w:eastAsia="zh-CN"/>
        </w:rPr>
      </w:pPr>
      <w:bookmarkStart w:id="42" w:name="_Toc13311"/>
      <w:r>
        <w:rPr>
          <w:rFonts w:hint="eastAsia" w:ascii="仿宋" w:hAnsi="仿宋" w:eastAsia="仿宋" w:cs="仿宋"/>
          <w:b/>
          <w:bCs/>
          <w:spacing w:val="-2"/>
          <w:sz w:val="24"/>
          <w:szCs w:val="24"/>
          <w:highlight w:val="none"/>
        </w:rPr>
        <w:t>（格式自拟，目录内容须与正文内容一致并有详细页码）</w:t>
      </w:r>
      <w:bookmarkEnd w:id="42"/>
    </w:p>
    <w:p>
      <w:pPr>
        <w:pageBreakBefore w:val="0"/>
        <w:overflowPunct/>
        <w:bidi w:val="0"/>
        <w:spacing w:afterAutospacing="0" w:line="336" w:lineRule="auto"/>
        <w:ind w:left="210" w:leftChars="100"/>
        <w:rPr>
          <w:rFonts w:hint="eastAsia" w:ascii="仿宋" w:hAnsi="仿宋" w:eastAsia="仿宋" w:cs="仿宋"/>
          <w:highlight w:val="none"/>
        </w:rPr>
      </w:pPr>
    </w:p>
    <w:p>
      <w:pPr>
        <w:pageBreakBefore w:val="0"/>
        <w:overflowPunct/>
        <w:bidi w:val="0"/>
        <w:spacing w:afterAutospacing="0" w:line="336" w:lineRule="auto"/>
        <w:ind w:firstLine="1898" w:firstLineChars="678"/>
        <w:rPr>
          <w:rFonts w:hint="eastAsia" w:ascii="仿宋" w:hAnsi="仿宋" w:eastAsia="仿宋" w:cs="仿宋"/>
          <w:sz w:val="28"/>
          <w:szCs w:val="28"/>
          <w:highlight w:val="none"/>
        </w:rPr>
      </w:pPr>
    </w:p>
    <w:p>
      <w:pPr>
        <w:pageBreakBefore w:val="0"/>
        <w:overflowPunct/>
        <w:bidi w:val="0"/>
        <w:spacing w:afterAutospacing="0" w:line="336" w:lineRule="auto"/>
        <w:ind w:firstLine="723" w:firstLineChars="200"/>
        <w:rPr>
          <w:rFonts w:hint="eastAsia" w:ascii="仿宋" w:hAnsi="仿宋" w:eastAsia="仿宋" w:cs="仿宋"/>
          <w:b/>
          <w:sz w:val="36"/>
          <w:szCs w:val="36"/>
          <w:highlight w:val="none"/>
        </w:rPr>
      </w:pPr>
    </w:p>
    <w:p>
      <w:pPr>
        <w:pageBreakBefore w:val="0"/>
        <w:tabs>
          <w:tab w:val="left" w:pos="1665"/>
        </w:tabs>
        <w:overflowPunct/>
        <w:bidi w:val="0"/>
        <w:spacing w:afterAutospacing="0" w:line="336"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ab/>
      </w:r>
    </w:p>
    <w:p>
      <w:pPr>
        <w:pageBreakBefore w:val="0"/>
        <w:tabs>
          <w:tab w:val="left" w:pos="1665"/>
        </w:tabs>
        <w:overflowPunct/>
        <w:bidi w:val="0"/>
        <w:spacing w:afterAutospacing="0" w:line="336" w:lineRule="auto"/>
        <w:rPr>
          <w:rFonts w:hint="eastAsia" w:ascii="仿宋" w:hAnsi="仿宋" w:eastAsia="仿宋" w:cs="仿宋"/>
          <w:b/>
          <w:sz w:val="28"/>
          <w:szCs w:val="28"/>
          <w:highlight w:val="none"/>
        </w:rPr>
      </w:pPr>
    </w:p>
    <w:p>
      <w:pPr>
        <w:pageBreakBefore w:val="0"/>
        <w:tabs>
          <w:tab w:val="left" w:pos="1665"/>
        </w:tabs>
        <w:overflowPunct/>
        <w:bidi w:val="0"/>
        <w:spacing w:afterAutospacing="0" w:line="336" w:lineRule="auto"/>
        <w:rPr>
          <w:rFonts w:hint="eastAsia" w:ascii="仿宋" w:hAnsi="仿宋" w:eastAsia="仿宋" w:cs="仿宋"/>
          <w:b/>
          <w:sz w:val="28"/>
          <w:szCs w:val="28"/>
          <w:highlight w:val="none"/>
        </w:rPr>
      </w:pPr>
    </w:p>
    <w:p>
      <w:pPr>
        <w:pageBreakBefore w:val="0"/>
        <w:tabs>
          <w:tab w:val="left" w:pos="1665"/>
        </w:tabs>
        <w:overflowPunct/>
        <w:bidi w:val="0"/>
        <w:spacing w:afterAutospacing="0" w:line="336" w:lineRule="auto"/>
        <w:rPr>
          <w:rFonts w:hint="eastAsia" w:ascii="仿宋" w:hAnsi="仿宋" w:eastAsia="仿宋" w:cs="仿宋"/>
          <w:b/>
          <w:sz w:val="28"/>
          <w:szCs w:val="28"/>
          <w:highlight w:val="none"/>
        </w:rPr>
      </w:pPr>
    </w:p>
    <w:p>
      <w:pPr>
        <w:pStyle w:val="2"/>
        <w:pageBreakBefore w:val="0"/>
        <w:overflowPunct/>
        <w:bidi w:val="0"/>
        <w:spacing w:afterAutospacing="0" w:line="336" w:lineRule="auto"/>
        <w:ind w:left="0" w:leftChars="0" w:firstLine="0" w:firstLineChars="0"/>
        <w:rPr>
          <w:rFonts w:hint="eastAsia" w:ascii="仿宋" w:hAnsi="仿宋" w:eastAsia="仿宋" w:cs="仿宋"/>
          <w:b/>
          <w:sz w:val="28"/>
          <w:szCs w:val="28"/>
          <w:highlight w:val="none"/>
        </w:rPr>
      </w:pPr>
    </w:p>
    <w:p>
      <w:pPr>
        <w:pageBreakBefore w:val="0"/>
        <w:overflowPunct/>
        <w:bidi w:val="0"/>
        <w:spacing w:afterAutospacing="0" w:line="336"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pageBreakBefore w:val="0"/>
        <w:numPr>
          <w:ilvl w:val="0"/>
          <w:numId w:val="42"/>
        </w:numPr>
        <w:kinsoku/>
        <w:overflowPunct/>
        <w:bidi w:val="0"/>
        <w:spacing w:line="336" w:lineRule="auto"/>
        <w:ind w:firstLine="0"/>
        <w:jc w:val="center"/>
        <w:outlineLvl w:val="0"/>
        <w:rPr>
          <w:rFonts w:hint="eastAsia" w:ascii="仿宋" w:hAnsi="仿宋" w:eastAsia="仿宋" w:cs="仿宋"/>
          <w:b/>
          <w:color w:val="000000"/>
          <w:sz w:val="36"/>
          <w:szCs w:val="36"/>
          <w:highlight w:val="none"/>
        </w:rPr>
      </w:pPr>
      <w:bookmarkStart w:id="43" w:name="_Toc24737"/>
      <w:bookmarkStart w:id="44" w:name="_Toc31584"/>
      <w:r>
        <w:rPr>
          <w:rFonts w:hint="eastAsia" w:ascii="仿宋" w:hAnsi="仿宋" w:eastAsia="仿宋" w:cs="仿宋"/>
          <w:b/>
          <w:color w:val="000000"/>
          <w:sz w:val="36"/>
          <w:szCs w:val="36"/>
          <w:highlight w:val="none"/>
        </w:rPr>
        <w:t>磋商函</w:t>
      </w:r>
      <w:bookmarkEnd w:id="43"/>
      <w:bookmarkEnd w:id="44"/>
    </w:p>
    <w:p>
      <w:pPr>
        <w:pageBreakBefore w:val="0"/>
        <w:overflowPunct/>
        <w:bidi w:val="0"/>
        <w:spacing w:afterAutospacing="0" w:line="336" w:lineRule="auto"/>
        <w:rPr>
          <w:rFonts w:hint="eastAsia" w:ascii="仿宋" w:hAnsi="仿宋" w:eastAsia="仿宋" w:cs="仿宋"/>
          <w:b/>
          <w:sz w:val="24"/>
          <w:szCs w:val="24"/>
          <w:highlight w:val="none"/>
        </w:rPr>
      </w:pPr>
    </w:p>
    <w:p>
      <w:pPr>
        <w:pageBreakBefore w:val="0"/>
        <w:overflowPunct/>
        <w:bidi w:val="0"/>
        <w:spacing w:afterAutospacing="0" w:line="336" w:lineRule="auto"/>
        <w:rPr>
          <w:rFonts w:hint="eastAsia" w:ascii="仿宋" w:hAnsi="仿宋" w:eastAsia="仿宋" w:cs="仿宋"/>
          <w:color w:val="000000"/>
          <w:sz w:val="24"/>
          <w:szCs w:val="24"/>
          <w:highlight w:val="none"/>
        </w:rPr>
      </w:pPr>
      <w:r>
        <w:rPr>
          <w:rFonts w:hint="eastAsia" w:ascii="仿宋" w:hAnsi="仿宋" w:eastAsia="仿宋" w:cs="仿宋"/>
          <w:b/>
          <w:sz w:val="24"/>
          <w:szCs w:val="24"/>
          <w:highlight w:val="none"/>
        </w:rPr>
        <w:t>致：</w:t>
      </w:r>
      <w:r>
        <w:rPr>
          <w:rFonts w:hint="eastAsia" w:ascii="仿宋" w:hAnsi="仿宋" w:eastAsia="仿宋" w:cs="仿宋"/>
          <w:b/>
          <w:sz w:val="24"/>
          <w:szCs w:val="24"/>
          <w:highlight w:val="none"/>
          <w:u w:val="single"/>
          <w:lang w:eastAsia="zh-CN"/>
        </w:rPr>
        <w:t>（采购人名称）</w:t>
      </w:r>
      <w:r>
        <w:rPr>
          <w:rFonts w:hint="eastAsia" w:ascii="仿宋" w:hAnsi="仿宋" w:eastAsia="仿宋" w:cs="仿宋"/>
          <w:b/>
          <w:bCs/>
          <w:sz w:val="24"/>
          <w:szCs w:val="24"/>
          <w:highlight w:val="none"/>
          <w:u w:val="single"/>
        </w:rPr>
        <w:t xml:space="preserve"> </w:t>
      </w:r>
    </w:p>
    <w:p>
      <w:pPr>
        <w:pageBreakBefore w:val="0"/>
        <w:kinsoku/>
        <w:overflowPunct/>
        <w:bidi w:val="0"/>
        <w:spacing w:line="336"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根据贵单位</w:t>
      </w:r>
      <w:r>
        <w:rPr>
          <w:rFonts w:hint="eastAsia" w:ascii="仿宋" w:hAnsi="仿宋" w:eastAsia="仿宋" w:cs="仿宋"/>
          <w:sz w:val="24"/>
          <w:szCs w:val="24"/>
          <w:highlight w:val="none"/>
          <w:u w:val="single"/>
        </w:rPr>
        <w:t xml:space="preserve"> （项目名称） （项目编号）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的磋商</w:t>
      </w:r>
      <w:r>
        <w:rPr>
          <w:rFonts w:hint="eastAsia" w:ascii="仿宋" w:hAnsi="仿宋" w:eastAsia="仿宋" w:cs="仿宋"/>
          <w:sz w:val="24"/>
          <w:szCs w:val="24"/>
          <w:highlight w:val="none"/>
          <w:lang w:val="en-US" w:eastAsia="zh-CN"/>
        </w:rPr>
        <w:t>文件</w:t>
      </w:r>
      <w:r>
        <w:rPr>
          <w:rFonts w:hint="eastAsia" w:ascii="仿宋" w:hAnsi="仿宋" w:eastAsia="仿宋" w:cs="仿宋"/>
          <w:sz w:val="24"/>
          <w:szCs w:val="24"/>
          <w:highlight w:val="none"/>
        </w:rPr>
        <w:t>，我方代表</w:t>
      </w:r>
      <w:r>
        <w:rPr>
          <w:rFonts w:hint="eastAsia" w:ascii="仿宋" w:hAnsi="仿宋" w:eastAsia="仿宋" w:cs="仿宋"/>
          <w:sz w:val="24"/>
          <w:szCs w:val="24"/>
          <w:highlight w:val="none"/>
          <w:u w:val="single"/>
        </w:rPr>
        <w:t xml:space="preserve"> （姓名、职务）</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经正式授权并代表</w:t>
      </w:r>
      <w:r>
        <w:rPr>
          <w:rFonts w:hint="eastAsia" w:ascii="仿宋" w:hAnsi="仿宋" w:eastAsia="仿宋" w:cs="仿宋"/>
          <w:sz w:val="24"/>
          <w:szCs w:val="24"/>
          <w:highlight w:val="none"/>
          <w:u w:val="single"/>
        </w:rPr>
        <w:t xml:space="preserve">  （供应商名称）  </w:t>
      </w:r>
      <w:r>
        <w:rPr>
          <w:rFonts w:hint="eastAsia" w:ascii="仿宋" w:hAnsi="仿宋" w:eastAsia="仿宋" w:cs="仿宋"/>
          <w:sz w:val="24"/>
          <w:szCs w:val="24"/>
          <w:highlight w:val="none"/>
        </w:rPr>
        <w:t>就该项目进行竞争性磋商。</w:t>
      </w:r>
    </w:p>
    <w:p>
      <w:pPr>
        <w:pageBreakBefore w:val="0"/>
        <w:kinsoku/>
        <w:overflowPunct/>
        <w:bidi w:val="0"/>
        <w:spacing w:line="336"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在此，我方郑重声明以下诸点，并负法律责任：</w:t>
      </w:r>
    </w:p>
    <w:p>
      <w:pPr>
        <w:pStyle w:val="19"/>
        <w:pageBreakBefore w:val="0"/>
        <w:numPr>
          <w:ilvl w:val="0"/>
          <w:numId w:val="43"/>
        </w:numPr>
        <w:kinsoku/>
        <w:overflowPunct/>
        <w:bidi w:val="0"/>
        <w:adjustRightInd w:val="0"/>
        <w:snapToGrid w:val="0"/>
        <w:spacing w:line="336" w:lineRule="auto"/>
        <w:ind w:hanging="5"/>
        <w:rPr>
          <w:rFonts w:hint="eastAsia" w:ascii="仿宋" w:hAnsi="仿宋" w:eastAsia="仿宋" w:cs="仿宋"/>
          <w:sz w:val="24"/>
          <w:szCs w:val="24"/>
          <w:highlight w:val="none"/>
        </w:rPr>
      </w:pPr>
      <w:r>
        <w:rPr>
          <w:rFonts w:hint="eastAsia" w:ascii="仿宋" w:hAnsi="仿宋" w:eastAsia="仿宋" w:cs="仿宋"/>
          <w:sz w:val="24"/>
          <w:szCs w:val="24"/>
          <w:highlight w:val="none"/>
        </w:rPr>
        <w:t>我方提交响应文件正本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份和副本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份，电子文件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pPr>
        <w:pStyle w:val="19"/>
        <w:pageBreakBefore w:val="0"/>
        <w:numPr>
          <w:ilvl w:val="0"/>
          <w:numId w:val="43"/>
        </w:numPr>
        <w:kinsoku/>
        <w:overflowPunct/>
        <w:bidi w:val="0"/>
        <w:adjustRightInd w:val="0"/>
        <w:snapToGrid w:val="0"/>
        <w:spacing w:line="336" w:lineRule="auto"/>
        <w:ind w:left="5" w:firstLine="415"/>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0"/>
          <w:highlight w:val="none"/>
        </w:rPr>
        <w:t>愿意按照磋商文件中的一切要求，总报价为</w:t>
      </w:r>
      <w:r>
        <w:rPr>
          <w:rFonts w:hint="eastAsia" w:ascii="仿宋" w:hAnsi="仿宋" w:eastAsia="仿宋" w:cs="仿宋"/>
          <w:sz w:val="24"/>
          <w:szCs w:val="20"/>
          <w:highlight w:val="none"/>
          <w:lang w:eastAsia="zh-CN"/>
        </w:rPr>
        <w:t>：</w:t>
      </w:r>
      <w:r>
        <w:rPr>
          <w:rFonts w:hint="eastAsia" w:ascii="仿宋" w:hAnsi="仿宋" w:eastAsia="仿宋" w:cs="仿宋"/>
          <w:sz w:val="24"/>
          <w:szCs w:val="20"/>
          <w:highlight w:val="none"/>
        </w:rPr>
        <w:t>人民币（大写）：</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；（小写）</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元</w:t>
      </w:r>
      <w:r>
        <w:rPr>
          <w:rFonts w:hint="eastAsia" w:ascii="仿宋" w:hAnsi="仿宋" w:eastAsia="仿宋" w:cs="仿宋"/>
          <w:sz w:val="24"/>
          <w:szCs w:val="20"/>
          <w:highlight w:val="none"/>
          <w:lang w:eastAsia="zh-CN"/>
        </w:rPr>
        <w:t>。</w:t>
      </w:r>
      <w:r>
        <w:rPr>
          <w:rFonts w:hint="eastAsia" w:ascii="仿宋" w:hAnsi="仿宋" w:eastAsia="仿宋" w:cs="仿宋"/>
          <w:sz w:val="24"/>
          <w:szCs w:val="20"/>
          <w:highlight w:val="none"/>
        </w:rPr>
        <w:t>该报价不受市场因素的影响。</w:t>
      </w:r>
    </w:p>
    <w:p>
      <w:pPr>
        <w:pStyle w:val="19"/>
        <w:pageBreakBefore w:val="0"/>
        <w:numPr>
          <w:ilvl w:val="0"/>
          <w:numId w:val="43"/>
        </w:numPr>
        <w:kinsoku/>
        <w:overflowPunct/>
        <w:bidi w:val="0"/>
        <w:adjustRightInd w:val="0"/>
        <w:snapToGrid w:val="0"/>
        <w:spacing w:line="336" w:lineRule="auto"/>
        <w:ind w:left="5" w:firstLine="415"/>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我方已详细审查全部磋商文件，完全理解并同意放弃对这方面有不明及误解质疑的权力。</w:t>
      </w:r>
    </w:p>
    <w:p>
      <w:pPr>
        <w:pStyle w:val="19"/>
        <w:pageBreakBefore w:val="0"/>
        <w:numPr>
          <w:ilvl w:val="0"/>
          <w:numId w:val="43"/>
        </w:numPr>
        <w:kinsoku/>
        <w:overflowPunct/>
        <w:bidi w:val="0"/>
        <w:adjustRightInd w:val="0"/>
        <w:snapToGrid w:val="0"/>
        <w:spacing w:line="336" w:lineRule="auto"/>
        <w:ind w:left="5" w:firstLine="415"/>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我方同意按照要求提供磋商有关的一切服务。</w:t>
      </w:r>
    </w:p>
    <w:p>
      <w:pPr>
        <w:pStyle w:val="19"/>
        <w:pageBreakBefore w:val="0"/>
        <w:numPr>
          <w:ilvl w:val="0"/>
          <w:numId w:val="43"/>
        </w:numPr>
        <w:kinsoku/>
        <w:overflowPunct/>
        <w:bidi w:val="0"/>
        <w:adjustRightInd w:val="0"/>
        <w:snapToGrid w:val="0"/>
        <w:spacing w:line="336" w:lineRule="auto"/>
        <w:ind w:left="5" w:firstLine="415"/>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我方将按磋商文件的规定履行合同责任和义务。</w:t>
      </w:r>
    </w:p>
    <w:p>
      <w:pPr>
        <w:pStyle w:val="19"/>
        <w:pageBreakBefore w:val="0"/>
        <w:numPr>
          <w:ilvl w:val="0"/>
          <w:numId w:val="43"/>
        </w:numPr>
        <w:kinsoku/>
        <w:overflowPunct/>
        <w:bidi w:val="0"/>
        <w:adjustRightInd w:val="0"/>
        <w:snapToGrid w:val="0"/>
        <w:spacing w:line="336" w:lineRule="auto"/>
        <w:ind w:left="5" w:firstLine="415"/>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我方承诺本次参与磋商的所有报告均不存在侵权问题，因此产生的一切责任由我方自行承担。</w:t>
      </w:r>
    </w:p>
    <w:p>
      <w:pPr>
        <w:pStyle w:val="19"/>
        <w:pageBreakBefore w:val="0"/>
        <w:numPr>
          <w:ilvl w:val="0"/>
          <w:numId w:val="43"/>
        </w:numPr>
        <w:kinsoku/>
        <w:overflowPunct/>
        <w:bidi w:val="0"/>
        <w:adjustRightInd w:val="0"/>
        <w:snapToGrid w:val="0"/>
        <w:spacing w:line="336" w:lineRule="auto"/>
        <w:ind w:left="5" w:firstLine="415"/>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我方完全理解最低报价不是成交的唯一条件，尊重评标委员会的评审结果，并同意放弃对这方面有不明及误解质疑的权力。 </w:t>
      </w:r>
    </w:p>
    <w:p>
      <w:pPr>
        <w:pStyle w:val="19"/>
        <w:pageBreakBefore w:val="0"/>
        <w:numPr>
          <w:ilvl w:val="0"/>
          <w:numId w:val="43"/>
        </w:numPr>
        <w:kinsoku/>
        <w:overflowPunct/>
        <w:bidi w:val="0"/>
        <w:adjustRightInd w:val="0"/>
        <w:snapToGrid w:val="0"/>
        <w:spacing w:line="336" w:lineRule="auto"/>
        <w:ind w:left="5" w:firstLine="415"/>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我方同意按磋商文件规定，遵守贵方有关磋商的各项规定。</w:t>
      </w:r>
    </w:p>
    <w:p>
      <w:pPr>
        <w:pStyle w:val="19"/>
        <w:pageBreakBefore w:val="0"/>
        <w:numPr>
          <w:ilvl w:val="0"/>
          <w:numId w:val="43"/>
        </w:numPr>
        <w:kinsoku/>
        <w:overflowPunct/>
        <w:bidi w:val="0"/>
        <w:adjustRightInd w:val="0"/>
        <w:snapToGrid w:val="0"/>
        <w:spacing w:line="336" w:lineRule="auto"/>
        <w:ind w:left="5" w:firstLine="415"/>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en-US" w:eastAsia="zh-CN" w:bidi="ar-SA"/>
        </w:rPr>
        <w:t>磋商有效期为递交响应文件截止之日起90日历天。</w:t>
      </w:r>
    </w:p>
    <w:p>
      <w:pPr>
        <w:pStyle w:val="19"/>
        <w:pageBreakBefore w:val="0"/>
        <w:numPr>
          <w:ilvl w:val="0"/>
          <w:numId w:val="43"/>
        </w:numPr>
        <w:tabs>
          <w:tab w:val="left" w:pos="630"/>
          <w:tab w:val="left" w:pos="840"/>
          <w:tab w:val="left" w:pos="1050"/>
        </w:tabs>
        <w:kinsoku/>
        <w:overflowPunct/>
        <w:bidi w:val="0"/>
        <w:adjustRightInd w:val="0"/>
        <w:snapToGrid w:val="0"/>
        <w:spacing w:line="336" w:lineRule="auto"/>
        <w:ind w:left="5" w:firstLine="415"/>
        <w:rPr>
          <w:rFonts w:hint="eastAsia" w:ascii="仿宋" w:hAnsi="仿宋" w:eastAsia="仿宋" w:cs="仿宋"/>
          <w:sz w:val="24"/>
          <w:szCs w:val="24"/>
          <w:highlight w:val="none"/>
          <w:lang w:val="zh-CN" w:eastAsia="zh-CN"/>
        </w:rPr>
      </w:pPr>
      <w:r>
        <w:rPr>
          <w:rFonts w:hint="eastAsia" w:ascii="仿宋" w:hAnsi="仿宋" w:eastAsia="仿宋" w:cs="仿宋"/>
          <w:kern w:val="2"/>
          <w:sz w:val="24"/>
          <w:szCs w:val="24"/>
          <w:highlight w:val="none"/>
          <w:lang w:val="en-US" w:eastAsia="zh-CN" w:bidi="ar-SA"/>
        </w:rPr>
        <w:t>所有关于本项目的函电，请按下列地址</w:t>
      </w:r>
      <w:r>
        <w:rPr>
          <w:rFonts w:hint="eastAsia" w:ascii="仿宋" w:hAnsi="仿宋" w:eastAsia="仿宋" w:cs="仿宋"/>
          <w:sz w:val="24"/>
          <w:szCs w:val="24"/>
          <w:highlight w:val="none"/>
        </w:rPr>
        <w:t>联系：</w:t>
      </w:r>
    </w:p>
    <w:p>
      <w:pPr>
        <w:pageBreakBefore w:val="0"/>
        <w:kinsoku/>
        <w:overflowPunct/>
        <w:bidi w:val="0"/>
        <w:spacing w:line="336" w:lineRule="auto"/>
        <w:ind w:firstLine="480" w:firstLineChars="200"/>
        <w:jc w:val="both"/>
        <w:rPr>
          <w:rFonts w:hint="eastAsia" w:ascii="仿宋" w:hAnsi="仿宋" w:eastAsia="仿宋" w:cs="仿宋"/>
          <w:sz w:val="24"/>
          <w:szCs w:val="24"/>
          <w:highlight w:val="none"/>
          <w:lang w:val="zh-CN" w:eastAsia="zh-CN"/>
        </w:rPr>
      </w:pPr>
    </w:p>
    <w:p>
      <w:pPr>
        <w:pageBreakBefore w:val="0"/>
        <w:kinsoku/>
        <w:overflowPunct/>
        <w:bidi w:val="0"/>
        <w:spacing w:line="336" w:lineRule="auto"/>
        <w:ind w:firstLine="480" w:firstLineChars="200"/>
        <w:jc w:val="both"/>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eastAsia="zh-CN"/>
        </w:rPr>
        <w:t>供应商</w:t>
      </w:r>
      <w:r>
        <w:rPr>
          <w:rFonts w:hint="eastAsia" w:ascii="仿宋" w:hAnsi="仿宋" w:eastAsia="仿宋" w:cs="仿宋"/>
          <w:sz w:val="24"/>
          <w:szCs w:val="24"/>
          <w:highlight w:val="none"/>
          <w:lang w:val="zh-CN"/>
        </w:rPr>
        <w:t>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盖</w:t>
      </w:r>
      <w:r>
        <w:rPr>
          <w:rFonts w:hint="eastAsia" w:ascii="仿宋" w:hAnsi="仿宋" w:eastAsia="仿宋" w:cs="仿宋"/>
          <w:sz w:val="24"/>
          <w:szCs w:val="24"/>
          <w:highlight w:val="none"/>
          <w:lang w:val="zh-CN"/>
        </w:rPr>
        <w:t>章）</w:t>
      </w:r>
    </w:p>
    <w:p>
      <w:pPr>
        <w:pageBreakBefore w:val="0"/>
        <w:kinsoku/>
        <w:overflowPunct/>
        <w:bidi w:val="0"/>
        <w:spacing w:line="336" w:lineRule="auto"/>
        <w:ind w:firstLine="480" w:firstLineChars="200"/>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lang w:val="zh-CN"/>
        </w:rPr>
        <w:t>或委托代理人：</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（签字或盖章）</w:t>
      </w:r>
    </w:p>
    <w:p>
      <w:pPr>
        <w:pageBreakBefore w:val="0"/>
        <w:kinsoku/>
        <w:overflowPunct/>
        <w:bidi w:val="0"/>
        <w:spacing w:line="336" w:lineRule="auto"/>
        <w:ind w:firstLine="480" w:firstLineChars="200"/>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详 细 地 址：</w:t>
      </w:r>
    </w:p>
    <w:p>
      <w:pPr>
        <w:pageBreakBefore w:val="0"/>
        <w:kinsoku/>
        <w:overflowPunct/>
        <w:bidi w:val="0"/>
        <w:spacing w:line="336" w:lineRule="auto"/>
        <w:ind w:firstLine="480" w:firstLineChars="200"/>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邮 政 编 码：</w:t>
      </w:r>
    </w:p>
    <w:p>
      <w:pPr>
        <w:pageBreakBefore w:val="0"/>
        <w:kinsoku/>
        <w:overflowPunct/>
        <w:bidi w:val="0"/>
        <w:spacing w:line="336" w:lineRule="auto"/>
        <w:ind w:firstLine="480" w:firstLineChars="200"/>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电       话：</w:t>
      </w:r>
    </w:p>
    <w:p>
      <w:pPr>
        <w:pageBreakBefore w:val="0"/>
        <w:kinsoku/>
        <w:overflowPunct/>
        <w:bidi w:val="0"/>
        <w:spacing w:line="336" w:lineRule="auto"/>
        <w:ind w:firstLine="480" w:firstLineChars="200"/>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传       真：</w:t>
      </w:r>
    </w:p>
    <w:p>
      <w:pPr>
        <w:pageBreakBefore w:val="0"/>
        <w:kinsoku/>
        <w:overflowPunct/>
        <w:bidi w:val="0"/>
        <w:spacing w:line="336" w:lineRule="auto"/>
        <w:ind w:firstLine="480" w:firstLineChars="200"/>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电 子 邮 件：</w:t>
      </w:r>
    </w:p>
    <w:p>
      <w:pPr>
        <w:pageBreakBefore w:val="0"/>
        <w:kinsoku/>
        <w:overflowPunct/>
        <w:bidi w:val="0"/>
        <w:spacing w:line="336" w:lineRule="auto"/>
        <w:ind w:firstLine="480" w:firstLineChars="200"/>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 户 银 行：</w:t>
      </w:r>
    </w:p>
    <w:p>
      <w:pPr>
        <w:pageBreakBefore w:val="0"/>
        <w:kinsoku/>
        <w:overflowPunct/>
        <w:bidi w:val="0"/>
        <w:spacing w:line="336" w:lineRule="auto"/>
        <w:ind w:firstLine="480" w:firstLineChars="200"/>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帐       号</w:t>
      </w:r>
      <w:r>
        <w:rPr>
          <w:rFonts w:hint="eastAsia" w:ascii="仿宋" w:hAnsi="仿宋" w:eastAsia="仿宋" w:cs="仿宋"/>
          <w:color w:val="auto"/>
          <w:sz w:val="24"/>
          <w:szCs w:val="24"/>
          <w:highlight w:val="none"/>
          <w:lang w:val="zh-CN"/>
        </w:rPr>
        <w:t>：</w:t>
      </w:r>
    </w:p>
    <w:p>
      <w:pPr>
        <w:pageBreakBefore w:val="0"/>
        <w:kinsoku/>
        <w:overflowPunct/>
        <w:bidi w:val="0"/>
        <w:spacing w:line="336" w:lineRule="auto"/>
        <w:ind w:firstLine="6240" w:firstLineChars="2600"/>
        <w:rPr>
          <w:rFonts w:hint="eastAsia" w:ascii="仿宋" w:hAnsi="仿宋" w:eastAsia="仿宋" w:cs="仿宋"/>
          <w:b/>
          <w:color w:val="000000"/>
          <w:sz w:val="36"/>
          <w:szCs w:val="36"/>
          <w:highlight w:val="none"/>
          <w:lang w:val="zh-CN"/>
        </w:rPr>
      </w:pP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bookmarkStart w:id="45" w:name="_Toc10538"/>
    </w:p>
    <w:p>
      <w:pPr>
        <w:rPr>
          <w:rFonts w:hint="eastAsia" w:ascii="仿宋" w:hAnsi="仿宋" w:eastAsia="仿宋" w:cs="仿宋"/>
          <w:b/>
          <w:color w:val="000000"/>
          <w:sz w:val="36"/>
          <w:szCs w:val="36"/>
          <w:highlight w:val="none"/>
          <w:lang w:val="zh-CN"/>
        </w:rPr>
      </w:pPr>
      <w:r>
        <w:rPr>
          <w:rFonts w:hint="eastAsia" w:ascii="仿宋" w:hAnsi="仿宋" w:eastAsia="仿宋" w:cs="仿宋"/>
          <w:b/>
          <w:color w:val="000000"/>
          <w:sz w:val="36"/>
          <w:szCs w:val="36"/>
          <w:highlight w:val="none"/>
        </w:rPr>
        <w:br w:type="page"/>
      </w:r>
    </w:p>
    <w:p>
      <w:pPr>
        <w:pageBreakBefore w:val="0"/>
        <w:numPr>
          <w:ilvl w:val="0"/>
          <w:numId w:val="42"/>
        </w:numPr>
        <w:kinsoku/>
        <w:overflowPunct/>
        <w:bidi w:val="0"/>
        <w:spacing w:line="336" w:lineRule="auto"/>
        <w:ind w:firstLine="0"/>
        <w:jc w:val="center"/>
        <w:outlineLvl w:val="0"/>
        <w:rPr>
          <w:rFonts w:hint="eastAsia" w:ascii="仿宋" w:hAnsi="仿宋" w:eastAsia="仿宋" w:cs="仿宋"/>
          <w:b/>
          <w:color w:val="000000"/>
          <w:sz w:val="36"/>
          <w:szCs w:val="36"/>
          <w:highlight w:val="none"/>
          <w:lang w:val="zh-CN"/>
        </w:rPr>
      </w:pPr>
      <w:r>
        <w:rPr>
          <w:rFonts w:hint="eastAsia" w:ascii="仿宋" w:hAnsi="仿宋" w:eastAsia="仿宋" w:cs="仿宋"/>
          <w:b/>
          <w:color w:val="000000"/>
          <w:sz w:val="36"/>
          <w:szCs w:val="36"/>
          <w:highlight w:val="none"/>
        </w:rPr>
        <w:t>磋商报价</w:t>
      </w:r>
      <w:r>
        <w:rPr>
          <w:rFonts w:hint="eastAsia" w:ascii="仿宋" w:hAnsi="仿宋" w:eastAsia="仿宋" w:cs="仿宋"/>
          <w:b/>
          <w:color w:val="000000"/>
          <w:sz w:val="36"/>
          <w:szCs w:val="36"/>
          <w:highlight w:val="none"/>
          <w:lang w:eastAsia="zh-CN"/>
        </w:rPr>
        <w:t>一览</w:t>
      </w:r>
      <w:r>
        <w:rPr>
          <w:rFonts w:hint="eastAsia" w:ascii="仿宋" w:hAnsi="仿宋" w:eastAsia="仿宋" w:cs="仿宋"/>
          <w:b/>
          <w:color w:val="000000"/>
          <w:sz w:val="36"/>
          <w:szCs w:val="36"/>
          <w:highlight w:val="none"/>
        </w:rPr>
        <w:t>表</w:t>
      </w:r>
      <w:bookmarkEnd w:id="45"/>
    </w:p>
    <w:p>
      <w:pPr>
        <w:pStyle w:val="15"/>
        <w:pageBreakBefore w:val="0"/>
        <w:kinsoku/>
        <w:overflowPunct/>
        <w:bidi w:val="0"/>
        <w:spacing w:line="336" w:lineRule="auto"/>
        <w:jc w:val="right"/>
        <w:rPr>
          <w:rFonts w:hint="eastAsia" w:ascii="仿宋" w:hAnsi="仿宋" w:eastAsia="仿宋" w:cs="仿宋"/>
          <w:b/>
          <w:sz w:val="22"/>
          <w:szCs w:val="28"/>
          <w:highlight w:val="none"/>
        </w:rPr>
      </w:pPr>
    </w:p>
    <w:p>
      <w:pPr>
        <w:pStyle w:val="15"/>
        <w:pageBreakBefore w:val="0"/>
        <w:kinsoku/>
        <w:overflowPunct/>
        <w:bidi w:val="0"/>
        <w:spacing w:line="336" w:lineRule="auto"/>
        <w:jc w:val="center"/>
        <w:rPr>
          <w:rFonts w:hint="eastAsia"/>
          <w:highlight w:val="none"/>
        </w:rPr>
      </w:pPr>
      <w:r>
        <w:rPr>
          <w:rFonts w:hint="eastAsia" w:ascii="仿宋" w:hAnsi="仿宋" w:eastAsia="仿宋" w:cs="仿宋"/>
          <w:b/>
          <w:sz w:val="22"/>
          <w:szCs w:val="28"/>
          <w:highlight w:val="none"/>
          <w:lang w:val="en-US" w:eastAsia="zh-CN"/>
        </w:rPr>
        <w:t xml:space="preserve">                                                               </w:t>
      </w:r>
      <w:r>
        <w:rPr>
          <w:rFonts w:hint="eastAsia" w:ascii="仿宋" w:hAnsi="仿宋" w:eastAsia="仿宋" w:cs="仿宋"/>
          <w:b/>
          <w:sz w:val="22"/>
          <w:szCs w:val="28"/>
          <w:highlight w:val="none"/>
        </w:rPr>
        <w:t>单位：元（人民币）</w:t>
      </w:r>
    </w:p>
    <w:tbl>
      <w:tblPr>
        <w:tblStyle w:val="3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591"/>
        <w:gridCol w:w="6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12" w:type="dxa"/>
            <w:noWrap w:val="0"/>
            <w:vAlign w:val="center"/>
          </w:tcPr>
          <w:p>
            <w:pPr>
              <w:pageBreakBefore w:val="0"/>
              <w:kinsoku/>
              <w:overflowPunct/>
              <w:bidi w:val="0"/>
              <w:spacing w:line="336"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项目名称</w:t>
            </w:r>
          </w:p>
        </w:tc>
        <w:tc>
          <w:tcPr>
            <w:tcW w:w="7656" w:type="dxa"/>
            <w:gridSpan w:val="2"/>
            <w:noWrap w:val="0"/>
            <w:vAlign w:val="center"/>
          </w:tcPr>
          <w:p>
            <w:pPr>
              <w:pageBreakBefore w:val="0"/>
              <w:kinsoku/>
              <w:overflowPunct/>
              <w:bidi w:val="0"/>
              <w:spacing w:line="336" w:lineRule="auto"/>
              <w:ind w:firstLine="440" w:firstLineChars="200"/>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12" w:type="dxa"/>
            <w:noWrap w:val="0"/>
            <w:vAlign w:val="center"/>
          </w:tcPr>
          <w:p>
            <w:pPr>
              <w:pageBreakBefore w:val="0"/>
              <w:kinsoku/>
              <w:overflowPunct/>
              <w:bidi w:val="0"/>
              <w:spacing w:line="336"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项目编号</w:t>
            </w:r>
          </w:p>
        </w:tc>
        <w:tc>
          <w:tcPr>
            <w:tcW w:w="7656" w:type="dxa"/>
            <w:gridSpan w:val="2"/>
            <w:noWrap w:val="0"/>
            <w:vAlign w:val="center"/>
          </w:tcPr>
          <w:p>
            <w:pPr>
              <w:pageBreakBefore w:val="0"/>
              <w:kinsoku/>
              <w:overflowPunct/>
              <w:bidi w:val="0"/>
              <w:spacing w:line="336" w:lineRule="auto"/>
              <w:ind w:firstLine="440" w:firstLineChars="200"/>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12" w:type="dxa"/>
            <w:noWrap w:val="0"/>
            <w:vAlign w:val="center"/>
          </w:tcPr>
          <w:p>
            <w:pPr>
              <w:pageBreakBefore w:val="0"/>
              <w:kinsoku/>
              <w:overflowPunct/>
              <w:bidi w:val="0"/>
              <w:spacing w:line="336"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供应商名称</w:t>
            </w:r>
          </w:p>
        </w:tc>
        <w:tc>
          <w:tcPr>
            <w:tcW w:w="7656" w:type="dxa"/>
            <w:gridSpan w:val="2"/>
            <w:noWrap w:val="0"/>
            <w:vAlign w:val="center"/>
          </w:tcPr>
          <w:p>
            <w:pPr>
              <w:pageBreakBefore w:val="0"/>
              <w:kinsoku/>
              <w:overflowPunct/>
              <w:bidi w:val="0"/>
              <w:spacing w:line="336" w:lineRule="auto"/>
              <w:ind w:firstLine="440" w:firstLineChars="200"/>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12" w:type="dxa"/>
            <w:noWrap w:val="0"/>
            <w:vAlign w:val="center"/>
          </w:tcPr>
          <w:p>
            <w:pPr>
              <w:pageBreakBefore w:val="0"/>
              <w:kinsoku/>
              <w:overflowPunct/>
              <w:bidi w:val="0"/>
              <w:spacing w:line="336" w:lineRule="auto"/>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单价（元/人）</w:t>
            </w:r>
          </w:p>
        </w:tc>
        <w:tc>
          <w:tcPr>
            <w:tcW w:w="7656" w:type="dxa"/>
            <w:gridSpan w:val="2"/>
            <w:noWrap w:val="0"/>
            <w:vAlign w:val="center"/>
          </w:tcPr>
          <w:p>
            <w:pPr>
              <w:pageBreakBefore w:val="0"/>
              <w:kinsoku/>
              <w:overflowPunct/>
              <w:bidi w:val="0"/>
              <w:spacing w:line="336" w:lineRule="auto"/>
              <w:ind w:firstLine="440" w:firstLineChars="200"/>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12" w:type="dxa"/>
            <w:noWrap w:val="0"/>
            <w:vAlign w:val="center"/>
          </w:tcPr>
          <w:p>
            <w:pPr>
              <w:pageBreakBefore w:val="0"/>
              <w:kinsoku/>
              <w:overflowPunct/>
              <w:bidi w:val="0"/>
              <w:spacing w:line="336"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参保人数（人）</w:t>
            </w:r>
          </w:p>
        </w:tc>
        <w:tc>
          <w:tcPr>
            <w:tcW w:w="7656" w:type="dxa"/>
            <w:gridSpan w:val="2"/>
            <w:noWrap w:val="0"/>
            <w:vAlign w:val="center"/>
          </w:tcPr>
          <w:p>
            <w:pPr>
              <w:pageBreakBefore w:val="0"/>
              <w:kinsoku/>
              <w:overflowPunct/>
              <w:bidi w:val="0"/>
              <w:spacing w:line="336" w:lineRule="auto"/>
              <w:ind w:firstLine="880" w:firstLineChars="400"/>
              <w:rPr>
                <w:rFonts w:hint="default" w:ascii="仿宋" w:hAnsi="仿宋" w:eastAsia="仿宋" w:cs="仿宋"/>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912" w:type="dxa"/>
            <w:vMerge w:val="restart"/>
            <w:noWrap w:val="0"/>
            <w:vAlign w:val="center"/>
          </w:tcPr>
          <w:p>
            <w:pPr>
              <w:pageBreakBefore w:val="0"/>
              <w:kinsoku/>
              <w:overflowPunct/>
              <w:bidi w:val="0"/>
              <w:spacing w:line="336"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磋商总价</w:t>
            </w:r>
          </w:p>
        </w:tc>
        <w:tc>
          <w:tcPr>
            <w:tcW w:w="1591" w:type="dxa"/>
            <w:noWrap w:val="0"/>
            <w:vAlign w:val="center"/>
          </w:tcPr>
          <w:p>
            <w:pPr>
              <w:pageBreakBefore w:val="0"/>
              <w:kinsoku/>
              <w:overflowPunct/>
              <w:bidi w:val="0"/>
              <w:spacing w:line="336"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（大写）</w:t>
            </w:r>
          </w:p>
        </w:tc>
        <w:tc>
          <w:tcPr>
            <w:tcW w:w="6065" w:type="dxa"/>
            <w:noWrap w:val="0"/>
            <w:vAlign w:val="center"/>
          </w:tcPr>
          <w:p>
            <w:pPr>
              <w:pageBreakBefore w:val="0"/>
              <w:kinsoku/>
              <w:overflowPunct/>
              <w:bidi w:val="0"/>
              <w:spacing w:line="336" w:lineRule="auto"/>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912" w:type="dxa"/>
            <w:vMerge w:val="continue"/>
            <w:noWrap w:val="0"/>
            <w:vAlign w:val="center"/>
          </w:tcPr>
          <w:p>
            <w:pPr>
              <w:pageBreakBefore w:val="0"/>
              <w:kinsoku/>
              <w:overflowPunct/>
              <w:bidi w:val="0"/>
              <w:spacing w:line="336" w:lineRule="auto"/>
              <w:jc w:val="center"/>
              <w:rPr>
                <w:rFonts w:hint="eastAsia" w:ascii="仿宋" w:hAnsi="仿宋" w:eastAsia="仿宋" w:cs="仿宋"/>
                <w:sz w:val="22"/>
                <w:szCs w:val="22"/>
                <w:highlight w:val="none"/>
              </w:rPr>
            </w:pPr>
          </w:p>
        </w:tc>
        <w:tc>
          <w:tcPr>
            <w:tcW w:w="1591" w:type="dxa"/>
            <w:noWrap w:val="0"/>
            <w:vAlign w:val="center"/>
          </w:tcPr>
          <w:p>
            <w:pPr>
              <w:pageBreakBefore w:val="0"/>
              <w:kinsoku/>
              <w:overflowPunct/>
              <w:bidi w:val="0"/>
              <w:spacing w:line="336"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（小写）</w:t>
            </w:r>
          </w:p>
        </w:tc>
        <w:tc>
          <w:tcPr>
            <w:tcW w:w="6065" w:type="dxa"/>
            <w:noWrap w:val="0"/>
            <w:vAlign w:val="center"/>
          </w:tcPr>
          <w:p>
            <w:pPr>
              <w:pageBreakBefore w:val="0"/>
              <w:kinsoku/>
              <w:overflowPunct/>
              <w:bidi w:val="0"/>
              <w:spacing w:line="336" w:lineRule="auto"/>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912" w:type="dxa"/>
            <w:noWrap w:val="0"/>
            <w:vAlign w:val="center"/>
          </w:tcPr>
          <w:p>
            <w:pPr>
              <w:pageBreakBefore w:val="0"/>
              <w:kinsoku/>
              <w:overflowPunct/>
              <w:bidi w:val="0"/>
              <w:spacing w:line="336" w:lineRule="auto"/>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保险期限</w:t>
            </w:r>
          </w:p>
          <w:p>
            <w:pPr>
              <w:pageBreakBefore w:val="0"/>
              <w:kinsoku/>
              <w:overflowPunct/>
              <w:bidi w:val="0"/>
              <w:spacing w:line="336" w:lineRule="auto"/>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（日历日）</w:t>
            </w:r>
          </w:p>
        </w:tc>
        <w:tc>
          <w:tcPr>
            <w:tcW w:w="7656" w:type="dxa"/>
            <w:gridSpan w:val="2"/>
            <w:noWrap w:val="0"/>
            <w:vAlign w:val="center"/>
          </w:tcPr>
          <w:p>
            <w:pPr>
              <w:pageBreakBefore w:val="0"/>
              <w:kinsoku/>
              <w:overflowPunct/>
              <w:bidi w:val="0"/>
              <w:spacing w:line="336" w:lineRule="auto"/>
              <w:ind w:firstLine="440" w:firstLineChars="200"/>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912" w:type="dxa"/>
            <w:noWrap w:val="0"/>
            <w:vAlign w:val="center"/>
          </w:tcPr>
          <w:p>
            <w:pPr>
              <w:pageBreakBefore w:val="0"/>
              <w:kinsoku/>
              <w:overflowPunct/>
              <w:bidi w:val="0"/>
              <w:spacing w:line="336"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tc>
        <w:tc>
          <w:tcPr>
            <w:tcW w:w="7656" w:type="dxa"/>
            <w:gridSpan w:val="2"/>
            <w:noWrap w:val="0"/>
            <w:vAlign w:val="center"/>
          </w:tcPr>
          <w:p>
            <w:pPr>
              <w:pageBreakBefore w:val="0"/>
              <w:kinsoku/>
              <w:overflowPunct/>
              <w:bidi w:val="0"/>
              <w:spacing w:line="336" w:lineRule="auto"/>
              <w:ind w:firstLine="440" w:firstLineChars="200"/>
              <w:rPr>
                <w:rFonts w:hint="eastAsia" w:ascii="仿宋" w:hAnsi="仿宋" w:eastAsia="仿宋" w:cs="仿宋"/>
                <w:sz w:val="22"/>
                <w:szCs w:val="22"/>
                <w:highlight w:val="none"/>
              </w:rPr>
            </w:pPr>
          </w:p>
        </w:tc>
      </w:tr>
    </w:tbl>
    <w:p>
      <w:pPr>
        <w:pageBreakBefore w:val="0"/>
        <w:numPr>
          <w:ilvl w:val="0"/>
          <w:numId w:val="0"/>
        </w:numPr>
        <w:kinsoku/>
        <w:overflowPunct/>
        <w:bidi w:val="0"/>
        <w:spacing w:line="336" w:lineRule="auto"/>
        <w:ind w:leftChars="0" w:firstLine="210" w:firstLineChars="100"/>
        <w:rPr>
          <w:rFonts w:hint="eastAsia" w:ascii="仿宋" w:hAnsi="仿宋" w:eastAsia="仿宋" w:cs="仿宋"/>
          <w:szCs w:val="21"/>
          <w:highlight w:val="none"/>
        </w:rPr>
      </w:pPr>
      <w:r>
        <w:rPr>
          <w:rFonts w:hint="eastAsia" w:ascii="仿宋" w:hAnsi="仿宋" w:eastAsia="仿宋" w:cs="仿宋"/>
          <w:szCs w:val="21"/>
          <w:highlight w:val="none"/>
        </w:rPr>
        <w:t>注：</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本表价格应按磋商总价填写，同时应保证磋商响应文件的正、副本中仍有此表且一致。</w:t>
      </w:r>
    </w:p>
    <w:p>
      <w:pPr>
        <w:pageBreakBefore w:val="0"/>
        <w:numPr>
          <w:ilvl w:val="0"/>
          <w:numId w:val="0"/>
        </w:numPr>
        <w:kinsoku/>
        <w:overflowPunct/>
        <w:bidi w:val="0"/>
        <w:spacing w:line="336" w:lineRule="auto"/>
        <w:ind w:leftChars="0" w:firstLine="630" w:firstLineChars="300"/>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此表中任何信息与响应文件其他处不一致时以此表为准。</w:t>
      </w:r>
    </w:p>
    <w:p>
      <w:pPr>
        <w:pageBreakBefore w:val="0"/>
        <w:numPr>
          <w:ilvl w:val="0"/>
          <w:numId w:val="0"/>
        </w:numPr>
        <w:kinsoku/>
        <w:overflowPunct/>
        <w:bidi w:val="0"/>
        <w:spacing w:line="336" w:lineRule="auto"/>
        <w:ind w:leftChars="0" w:firstLine="630" w:firstLineChars="300"/>
        <w:rPr>
          <w:rFonts w:hint="eastAsia"/>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lang w:eastAsia="zh-CN"/>
        </w:rPr>
        <w:t>后期具体</w:t>
      </w:r>
      <w:r>
        <w:rPr>
          <w:rFonts w:hint="eastAsia" w:ascii="仿宋" w:hAnsi="仿宋" w:eastAsia="仿宋" w:cs="仿宋"/>
          <w:szCs w:val="21"/>
          <w:highlight w:val="none"/>
        </w:rPr>
        <w:t>参保人数按市公安局提供的市域辖区内户籍人口数</w:t>
      </w:r>
      <w:r>
        <w:rPr>
          <w:rFonts w:hint="eastAsia" w:ascii="仿宋" w:hAnsi="仿宋" w:eastAsia="仿宋" w:cs="仿宋"/>
          <w:szCs w:val="21"/>
          <w:highlight w:val="none"/>
          <w:lang w:eastAsia="zh-CN"/>
        </w:rPr>
        <w:t>确定。</w:t>
      </w:r>
    </w:p>
    <w:p>
      <w:pPr>
        <w:pStyle w:val="19"/>
        <w:pageBreakBefore w:val="0"/>
        <w:kinsoku/>
        <w:overflowPunct/>
        <w:bidi w:val="0"/>
        <w:adjustRightInd w:val="0"/>
        <w:snapToGrid w:val="0"/>
        <w:spacing w:line="336" w:lineRule="auto"/>
        <w:rPr>
          <w:rFonts w:hint="eastAsia" w:ascii="仿宋" w:hAnsi="仿宋" w:eastAsia="仿宋" w:cs="仿宋"/>
          <w:sz w:val="24"/>
          <w:szCs w:val="24"/>
          <w:highlight w:val="none"/>
        </w:rPr>
      </w:pPr>
    </w:p>
    <w:p>
      <w:pPr>
        <w:pageBreakBefore w:val="0"/>
        <w:kinsoku/>
        <w:overflowPunct/>
        <w:bidi w:val="0"/>
        <w:spacing w:line="336" w:lineRule="auto"/>
        <w:ind w:firstLine="4080" w:firstLineChars="17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（盖</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章）</w:t>
      </w:r>
    </w:p>
    <w:p>
      <w:pPr>
        <w:pageBreakBefore w:val="0"/>
        <w:kinsoku/>
        <w:overflowPunct/>
        <w:bidi w:val="0"/>
        <w:spacing w:line="336" w:lineRule="auto"/>
        <w:ind w:firstLine="4080" w:firstLineChars="17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lang w:val="zh-CN"/>
        </w:rPr>
        <w:t>或委托代理人：</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（签字或盖章）</w:t>
      </w:r>
    </w:p>
    <w:p>
      <w:pPr>
        <w:pageBreakBefore w:val="0"/>
        <w:kinsoku/>
        <w:overflowPunct/>
        <w:bidi w:val="0"/>
        <w:spacing w:line="336" w:lineRule="auto"/>
        <w:ind w:firstLine="4080" w:firstLineChars="17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日期：</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p>
    <w:p>
      <w:pPr>
        <w:pageBreakBefore w:val="0"/>
        <w:overflowPunct/>
        <w:bidi w:val="0"/>
        <w:spacing w:afterAutospacing="0" w:line="336" w:lineRule="auto"/>
        <w:jc w:val="center"/>
        <w:rPr>
          <w:rFonts w:hint="eastAsia" w:ascii="仿宋" w:hAnsi="仿宋" w:eastAsia="仿宋" w:cs="仿宋"/>
          <w:sz w:val="28"/>
          <w:szCs w:val="28"/>
          <w:highlight w:val="none"/>
        </w:rPr>
      </w:pPr>
    </w:p>
    <w:p>
      <w:pPr>
        <w:pageBreakBefore w:val="0"/>
        <w:overflowPunct/>
        <w:autoSpaceDE w:val="0"/>
        <w:autoSpaceDN w:val="0"/>
        <w:bidi w:val="0"/>
        <w:adjustRightInd w:val="0"/>
        <w:spacing w:afterAutospacing="0" w:line="336" w:lineRule="auto"/>
        <w:rPr>
          <w:rFonts w:hint="eastAsia" w:ascii="仿宋" w:hAnsi="仿宋" w:eastAsia="仿宋" w:cs="仿宋"/>
          <w:sz w:val="28"/>
          <w:szCs w:val="28"/>
          <w:highlight w:val="none"/>
          <w:lang w:val="zh-CN"/>
        </w:rPr>
        <w:sectPr>
          <w:footerReference r:id="rId9" w:type="first"/>
          <w:headerReference r:id="rId7" w:type="default"/>
          <w:footerReference r:id="rId8" w:type="default"/>
          <w:pgSz w:w="11907" w:h="16840"/>
          <w:pgMar w:top="1440" w:right="1080" w:bottom="1440" w:left="1080" w:header="851" w:footer="850" w:gutter="0"/>
          <w:pgNumType w:fmt="decimal" w:start="1"/>
          <w:cols w:space="720" w:num="1"/>
          <w:titlePg/>
          <w:docGrid w:type="lines" w:linePitch="312" w:charSpace="0"/>
        </w:sectPr>
      </w:pPr>
    </w:p>
    <w:p>
      <w:pPr>
        <w:pageBreakBefore w:val="0"/>
        <w:numPr>
          <w:ilvl w:val="0"/>
          <w:numId w:val="42"/>
        </w:numPr>
        <w:kinsoku/>
        <w:overflowPunct/>
        <w:bidi w:val="0"/>
        <w:spacing w:line="336" w:lineRule="auto"/>
        <w:ind w:firstLine="0"/>
        <w:jc w:val="center"/>
        <w:outlineLvl w:val="0"/>
        <w:rPr>
          <w:rFonts w:hint="eastAsia" w:ascii="仿宋" w:hAnsi="仿宋" w:eastAsia="仿宋" w:cs="仿宋"/>
          <w:b/>
          <w:color w:val="000000"/>
          <w:sz w:val="36"/>
          <w:szCs w:val="36"/>
          <w:highlight w:val="none"/>
          <w:lang w:val="zh-CN"/>
        </w:rPr>
      </w:pPr>
      <w:r>
        <w:rPr>
          <w:rFonts w:hint="eastAsia" w:ascii="仿宋" w:hAnsi="仿宋" w:eastAsia="仿宋" w:cs="仿宋"/>
          <w:b/>
          <w:color w:val="000000"/>
          <w:sz w:val="36"/>
          <w:szCs w:val="36"/>
          <w:highlight w:val="none"/>
          <w:lang w:val="en-US" w:eastAsia="zh-CN"/>
        </w:rPr>
        <w:t>法定代表人/负责人证明书</w:t>
      </w:r>
    </w:p>
    <w:p>
      <w:pPr>
        <w:pageBreakBefore w:val="0"/>
        <w:tabs>
          <w:tab w:val="left" w:pos="1155"/>
        </w:tabs>
        <w:kinsoku/>
        <w:overflowPunct w:val="0"/>
        <w:topLinePunct/>
        <w:bidi w:val="0"/>
        <w:spacing w:line="336" w:lineRule="auto"/>
        <w:rPr>
          <w:rFonts w:hint="eastAsia" w:ascii="仿宋" w:hAnsi="仿宋" w:eastAsia="仿宋" w:cs="仿宋"/>
          <w:bCs/>
          <w:color w:val="000000"/>
          <w:sz w:val="24"/>
          <w:highlight w:val="none"/>
        </w:rPr>
      </w:pPr>
    </w:p>
    <w:p>
      <w:pPr>
        <w:pageBreakBefore w:val="0"/>
        <w:kinsoku/>
        <w:bidi w:val="0"/>
        <w:spacing w:line="336" w:lineRule="auto"/>
        <w:ind w:left="560"/>
        <w:rPr>
          <w:rFonts w:hint="eastAsia" w:ascii="仿宋" w:hAnsi="仿宋" w:eastAsia="仿宋" w:cs="仿宋"/>
          <w:sz w:val="24"/>
          <w:highlight w:val="none"/>
        </w:rPr>
      </w:pPr>
    </w:p>
    <w:p>
      <w:pPr>
        <w:pageBreakBefore w:val="0"/>
        <w:kinsoku/>
        <w:bidi w:val="0"/>
        <w:spacing w:line="336" w:lineRule="auto"/>
        <w:rPr>
          <w:rFonts w:hint="eastAsia" w:ascii="仿宋" w:hAnsi="仿宋" w:eastAsia="仿宋" w:cs="仿宋"/>
          <w:highlight w:val="none"/>
        </w:rPr>
      </w:pPr>
    </w:p>
    <w:p>
      <w:pPr>
        <w:pageBreakBefore w:val="0"/>
        <w:kinsoku/>
        <w:bidi w:val="0"/>
        <w:spacing w:before="120" w:beforeLines="50" w:after="120" w:afterLines="50"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pageBreakBefore w:val="0"/>
        <w:kinsoku/>
        <w:bidi w:val="0"/>
        <w:spacing w:before="120" w:beforeLines="50" w:after="120" w:afterLines="50"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职务：</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pageBreakBefore w:val="0"/>
        <w:kinsoku/>
        <w:bidi w:val="0"/>
        <w:spacing w:before="120" w:beforeLines="50" w:after="120" w:afterLines="50"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（供应商单位名称）         </w:t>
      </w:r>
      <w:r>
        <w:rPr>
          <w:rFonts w:hint="eastAsia" w:ascii="仿宋" w:hAnsi="仿宋" w:eastAsia="仿宋" w:cs="仿宋"/>
          <w:sz w:val="24"/>
          <w:highlight w:val="none"/>
        </w:rPr>
        <w:t>的</w:t>
      </w:r>
      <w:r>
        <w:rPr>
          <w:rFonts w:hint="eastAsia" w:ascii="仿宋" w:hAnsi="仿宋" w:eastAsia="仿宋" w:cs="仿宋"/>
          <w:b w:val="0"/>
          <w:bCs w:val="0"/>
          <w:sz w:val="24"/>
          <w:highlight w:val="none"/>
        </w:rPr>
        <w:t>法定代表人</w:t>
      </w:r>
      <w:r>
        <w:rPr>
          <w:rFonts w:hint="eastAsia" w:ascii="仿宋" w:hAnsi="仿宋" w:eastAsia="仿宋" w:cs="仿宋"/>
          <w:b w:val="0"/>
          <w:bCs w:val="0"/>
          <w:sz w:val="24"/>
          <w:highlight w:val="none"/>
          <w:lang w:val="en-US" w:eastAsia="zh-CN"/>
        </w:rPr>
        <w:t>/负责人</w:t>
      </w:r>
      <w:r>
        <w:rPr>
          <w:rFonts w:hint="eastAsia" w:ascii="仿宋" w:hAnsi="仿宋" w:eastAsia="仿宋" w:cs="仿宋"/>
          <w:sz w:val="24"/>
          <w:highlight w:val="none"/>
        </w:rPr>
        <w:t>。</w:t>
      </w:r>
    </w:p>
    <w:p>
      <w:pPr>
        <w:pageBreakBefore w:val="0"/>
        <w:kinsoku/>
        <w:bidi w:val="0"/>
        <w:spacing w:before="120" w:beforeLines="50" w:after="120" w:afterLines="50" w:line="336" w:lineRule="auto"/>
        <w:ind w:firstLine="480" w:firstLineChars="200"/>
        <w:jc w:val="left"/>
        <w:rPr>
          <w:rFonts w:hint="eastAsia" w:ascii="仿宋" w:hAnsi="仿宋" w:eastAsia="仿宋" w:cs="仿宋"/>
          <w:sz w:val="28"/>
          <w:szCs w:val="28"/>
          <w:highlight w:val="none"/>
        </w:rPr>
      </w:pPr>
      <w:r>
        <w:rPr>
          <w:rFonts w:hint="eastAsia" w:ascii="仿宋" w:hAnsi="仿宋" w:eastAsia="仿宋" w:cs="仿宋"/>
          <w:sz w:val="24"/>
          <w:highlight w:val="none"/>
        </w:rPr>
        <w:t>特此证明。</w:t>
      </w:r>
    </w:p>
    <w:p>
      <w:pPr>
        <w:pageBreakBefore w:val="0"/>
        <w:kinsoku/>
        <w:autoSpaceDE w:val="0"/>
        <w:autoSpaceDN w:val="0"/>
        <w:bidi w:val="0"/>
        <w:spacing w:line="336" w:lineRule="auto"/>
        <w:ind w:firstLine="482" w:firstLineChars="200"/>
        <w:jc w:val="left"/>
        <w:rPr>
          <w:rFonts w:hint="eastAsia" w:ascii="仿宋" w:hAnsi="仿宋" w:eastAsia="仿宋" w:cs="仿宋"/>
          <w:b/>
          <w:bCs/>
          <w:sz w:val="24"/>
          <w:highlight w:val="none"/>
        </w:rPr>
      </w:pPr>
    </w:p>
    <w:p>
      <w:pPr>
        <w:pageBreakBefore w:val="0"/>
        <w:kinsoku/>
        <w:autoSpaceDE w:val="0"/>
        <w:autoSpaceDN w:val="0"/>
        <w:bidi w:val="0"/>
        <w:spacing w:line="336" w:lineRule="auto"/>
        <w:ind w:firstLine="482" w:firstLineChars="200"/>
        <w:jc w:val="left"/>
        <w:rPr>
          <w:rFonts w:hint="eastAsia" w:ascii="仿宋" w:hAnsi="仿宋" w:eastAsia="仿宋" w:cs="仿宋"/>
          <w:b/>
          <w:bCs/>
          <w:sz w:val="24"/>
          <w:highlight w:val="none"/>
        </w:rPr>
      </w:pPr>
    </w:p>
    <w:p>
      <w:pPr>
        <w:pageBreakBefore w:val="0"/>
        <w:kinsoku/>
        <w:autoSpaceDE w:val="0"/>
        <w:autoSpaceDN w:val="0"/>
        <w:bidi w:val="0"/>
        <w:spacing w:line="336" w:lineRule="auto"/>
        <w:ind w:firstLine="723" w:firstLineChars="300"/>
        <w:jc w:val="left"/>
        <w:rPr>
          <w:rFonts w:hint="eastAsia" w:ascii="仿宋" w:hAnsi="仿宋" w:eastAsia="仿宋" w:cs="仿宋"/>
          <w:b/>
          <w:bCs/>
          <w:kern w:val="0"/>
          <w:sz w:val="24"/>
          <w:highlight w:val="none"/>
        </w:rPr>
      </w:pPr>
      <w:r>
        <w:rPr>
          <w:rFonts w:hint="eastAsia" w:ascii="仿宋" w:hAnsi="仿宋" w:eastAsia="仿宋" w:cs="仿宋"/>
          <w:b/>
          <w:bCs/>
          <w:sz w:val="24"/>
          <w:highlight w:val="none"/>
        </w:rPr>
        <w:t>附：法定代表人</w:t>
      </w:r>
      <w:r>
        <w:rPr>
          <w:rFonts w:hint="eastAsia" w:ascii="仿宋" w:hAnsi="仿宋" w:eastAsia="仿宋" w:cs="仿宋"/>
          <w:b/>
          <w:bCs/>
          <w:sz w:val="24"/>
          <w:highlight w:val="none"/>
          <w:lang w:val="en-US" w:eastAsia="zh-CN"/>
        </w:rPr>
        <w:t>/负责人</w:t>
      </w:r>
      <w:r>
        <w:rPr>
          <w:rFonts w:hint="eastAsia" w:ascii="仿宋" w:hAnsi="仿宋" w:eastAsia="仿宋" w:cs="仿宋"/>
          <w:b/>
          <w:bCs/>
          <w:sz w:val="24"/>
          <w:highlight w:val="none"/>
        </w:rPr>
        <w:t>身份证复印件并加盖公章。</w:t>
      </w:r>
    </w:p>
    <w:p>
      <w:pPr>
        <w:pageBreakBefore w:val="0"/>
        <w:kinsoku/>
        <w:bidi w:val="0"/>
        <w:spacing w:before="120" w:beforeLines="50" w:after="120" w:afterLines="50" w:line="336" w:lineRule="auto"/>
        <w:jc w:val="left"/>
        <w:rPr>
          <w:rFonts w:hint="eastAsia" w:ascii="仿宋" w:hAnsi="仿宋" w:eastAsia="仿宋" w:cs="仿宋"/>
          <w:sz w:val="24"/>
          <w:highlight w:val="none"/>
        </w:rPr>
      </w:pPr>
    </w:p>
    <w:p>
      <w:pPr>
        <w:pageBreakBefore w:val="0"/>
        <w:kinsoku/>
        <w:bidi w:val="0"/>
        <w:spacing w:before="120" w:beforeLines="50" w:after="120" w:afterLines="50" w:line="336" w:lineRule="auto"/>
        <w:jc w:val="left"/>
        <w:rPr>
          <w:rFonts w:hint="eastAsia" w:ascii="仿宋" w:hAnsi="仿宋" w:eastAsia="仿宋" w:cs="仿宋"/>
          <w:sz w:val="24"/>
          <w:highlight w:val="none"/>
        </w:rPr>
      </w:pPr>
    </w:p>
    <w:p>
      <w:pPr>
        <w:pageBreakBefore w:val="0"/>
        <w:kinsoku/>
        <w:bidi w:val="0"/>
        <w:spacing w:before="120" w:beforeLines="50" w:after="120" w:afterLines="50" w:line="336" w:lineRule="auto"/>
        <w:jc w:val="left"/>
        <w:rPr>
          <w:rFonts w:hint="eastAsia" w:ascii="仿宋" w:hAnsi="仿宋" w:eastAsia="仿宋" w:cs="仿宋"/>
          <w:sz w:val="24"/>
          <w:highlight w:val="none"/>
        </w:rPr>
      </w:pPr>
    </w:p>
    <w:p>
      <w:pPr>
        <w:pageBreakBefore w:val="0"/>
        <w:kinsoku/>
        <w:bidi w:val="0"/>
        <w:spacing w:before="120" w:beforeLines="50" w:after="120" w:afterLines="50" w:line="336" w:lineRule="auto"/>
        <w:ind w:firstLine="3360" w:firstLineChars="14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（单位全称）     </w:t>
      </w:r>
      <w:r>
        <w:rPr>
          <w:rFonts w:hint="eastAsia" w:ascii="仿宋" w:hAnsi="仿宋" w:eastAsia="仿宋" w:cs="仿宋"/>
          <w:sz w:val="24"/>
          <w:szCs w:val="24"/>
          <w:highlight w:val="none"/>
        </w:rPr>
        <w:t>（盖 章）</w:t>
      </w:r>
    </w:p>
    <w:p>
      <w:pPr>
        <w:pageBreakBefore w:val="0"/>
        <w:kinsoku/>
        <w:bidi w:val="0"/>
        <w:spacing w:before="120" w:beforeLines="50" w:after="120" w:afterLines="50" w:line="336" w:lineRule="auto"/>
        <w:ind w:firstLine="3360" w:firstLineChars="1400"/>
        <w:jc w:val="left"/>
        <w:rPr>
          <w:rFonts w:hint="eastAsia" w:ascii="仿宋" w:hAnsi="仿宋" w:eastAsia="仿宋" w:cs="仿宋"/>
          <w:highlight w:val="none"/>
          <w:lang w:val="zh-CN"/>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ageBreakBefore w:val="0"/>
        <w:numPr>
          <w:ilvl w:val="0"/>
          <w:numId w:val="42"/>
        </w:numPr>
        <w:kinsoku/>
        <w:overflowPunct/>
        <w:bidi w:val="0"/>
        <w:spacing w:line="336" w:lineRule="auto"/>
        <w:ind w:firstLine="0"/>
        <w:jc w:val="center"/>
        <w:outlineLvl w:val="0"/>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br w:type="page"/>
      </w:r>
      <w:r>
        <w:rPr>
          <w:rFonts w:hint="eastAsia" w:ascii="仿宋" w:hAnsi="仿宋" w:eastAsia="仿宋" w:cs="仿宋"/>
          <w:b/>
          <w:color w:val="000000"/>
          <w:sz w:val="36"/>
          <w:szCs w:val="36"/>
          <w:highlight w:val="none"/>
          <w:lang w:val="en-US" w:eastAsia="zh-CN"/>
        </w:rPr>
        <w:t>法定代表人/负责人授权书</w:t>
      </w:r>
    </w:p>
    <w:p>
      <w:pPr>
        <w:pStyle w:val="15"/>
        <w:pageBreakBefore w:val="0"/>
        <w:kinsoku/>
        <w:bidi w:val="0"/>
        <w:spacing w:line="336" w:lineRule="auto"/>
        <w:rPr>
          <w:rFonts w:hint="eastAsia" w:ascii="仿宋" w:hAnsi="仿宋" w:eastAsia="仿宋" w:cs="仿宋"/>
          <w:b/>
          <w:sz w:val="36"/>
          <w:szCs w:val="22"/>
          <w:highlight w:val="none"/>
          <w:lang w:val="zh-CN"/>
        </w:rPr>
      </w:pPr>
    </w:p>
    <w:p>
      <w:pPr>
        <w:pageBreakBefore w:val="0"/>
        <w:kinsoku/>
        <w:bidi w:val="0"/>
        <w:spacing w:before="120" w:beforeLines="50" w:after="120" w:afterLines="50"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pageBreakBefore w:val="0"/>
        <w:kinsoku/>
        <w:bidi w:val="0"/>
        <w:spacing w:before="120" w:beforeLines="50" w:after="120" w:afterLines="50"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职务：</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pageBreakBefore w:val="0"/>
        <w:kinsoku/>
        <w:bidi w:val="0"/>
        <w:spacing w:before="120" w:beforeLines="50" w:after="120" w:afterLines="50"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（供应商单位名称）         </w:t>
      </w:r>
      <w:r>
        <w:rPr>
          <w:rFonts w:hint="eastAsia" w:ascii="仿宋" w:hAnsi="仿宋" w:eastAsia="仿宋" w:cs="仿宋"/>
          <w:sz w:val="24"/>
          <w:highlight w:val="none"/>
        </w:rPr>
        <w:t>的委托代理人。</w:t>
      </w:r>
    </w:p>
    <w:p>
      <w:pPr>
        <w:pageBreakBefore w:val="0"/>
        <w:kinsoku/>
        <w:bidi w:val="0"/>
        <w:spacing w:before="120" w:beforeLines="50" w:after="120" w:afterLines="50" w:line="336" w:lineRule="auto"/>
        <w:ind w:firstLine="480" w:firstLineChars="200"/>
        <w:jc w:val="left"/>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授权期限：</w:t>
      </w:r>
      <w:r>
        <w:rPr>
          <w:rFonts w:hint="eastAsia" w:ascii="仿宋" w:hAnsi="仿宋" w:eastAsia="仿宋" w:cs="仿宋"/>
          <w:color w:val="auto"/>
          <w:kern w:val="2"/>
          <w:sz w:val="24"/>
          <w:szCs w:val="24"/>
          <w:highlight w:val="none"/>
          <w:u w:val="single"/>
          <w:lang w:val="en-US" w:eastAsia="zh-CN" w:bidi="ar-SA"/>
        </w:rPr>
        <w:t xml:space="preserve">                       </w:t>
      </w:r>
    </w:p>
    <w:p>
      <w:pPr>
        <w:pageBreakBefore w:val="0"/>
        <w:kinsoku/>
        <w:bidi w:val="0"/>
        <w:spacing w:before="120" w:beforeLines="50" w:after="120" w:afterLines="50"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特此证明。</w:t>
      </w:r>
    </w:p>
    <w:p>
      <w:pPr>
        <w:pageBreakBefore w:val="0"/>
        <w:kinsoku/>
        <w:bidi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rPr>
        <w:t>身份证及委托代理人身份证复印件。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9"/>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4139"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rPr>
              <w:t>身份证</w:t>
            </w:r>
          </w:p>
          <w:p>
            <w:pPr>
              <w:pageBreakBefore w:val="0"/>
              <w:kinsoku/>
              <w:bidi w:val="0"/>
              <w:spacing w:line="336" w:lineRule="auto"/>
              <w:jc w:val="center"/>
              <w:rPr>
                <w:rFonts w:hint="eastAsia" w:ascii="仿宋" w:hAnsi="仿宋" w:eastAsia="仿宋" w:cs="仿宋"/>
                <w:sz w:val="24"/>
                <w:highlight w:val="none"/>
                <w:u w:val="single"/>
              </w:rPr>
            </w:pPr>
            <w:r>
              <w:rPr>
                <w:rFonts w:hint="eastAsia" w:ascii="仿宋" w:hAnsi="仿宋" w:eastAsia="仿宋" w:cs="仿宋"/>
                <w:sz w:val="24"/>
                <w:highlight w:val="none"/>
              </w:rPr>
              <w:t>正/反面</w:t>
            </w:r>
          </w:p>
        </w:tc>
        <w:tc>
          <w:tcPr>
            <w:tcW w:w="4140"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委托代理人身份证</w:t>
            </w:r>
          </w:p>
          <w:p>
            <w:pPr>
              <w:pageBreakBefore w:val="0"/>
              <w:kinsoku/>
              <w:bidi w:val="0"/>
              <w:spacing w:line="336" w:lineRule="auto"/>
              <w:jc w:val="center"/>
              <w:rPr>
                <w:rFonts w:hint="eastAsia" w:ascii="仿宋" w:hAnsi="仿宋" w:eastAsia="仿宋" w:cs="仿宋"/>
                <w:sz w:val="24"/>
                <w:highlight w:val="none"/>
                <w:u w:val="single"/>
              </w:rPr>
            </w:pPr>
            <w:r>
              <w:rPr>
                <w:rFonts w:hint="eastAsia" w:ascii="仿宋" w:hAnsi="仿宋" w:eastAsia="仿宋" w:cs="仿宋"/>
                <w:sz w:val="24"/>
                <w:highlight w:val="none"/>
              </w:rPr>
              <w:t>正/反面</w:t>
            </w:r>
          </w:p>
        </w:tc>
      </w:tr>
    </w:tbl>
    <w:p>
      <w:pPr>
        <w:pStyle w:val="15"/>
        <w:pageBreakBefore w:val="0"/>
        <w:kinsoku/>
        <w:bidi w:val="0"/>
        <w:spacing w:line="336" w:lineRule="auto"/>
        <w:rPr>
          <w:rFonts w:hint="eastAsia" w:ascii="仿宋" w:hAnsi="仿宋" w:eastAsia="仿宋" w:cs="仿宋"/>
          <w:color w:val="auto"/>
          <w:sz w:val="24"/>
          <w:highlight w:val="none"/>
        </w:rPr>
      </w:pPr>
    </w:p>
    <w:p>
      <w:pPr>
        <w:pageBreakBefore w:val="0"/>
        <w:kinsoku/>
        <w:bidi w:val="0"/>
        <w:spacing w:line="336" w:lineRule="auto"/>
        <w:rPr>
          <w:rFonts w:hint="eastAsia" w:ascii="仿宋" w:hAnsi="仿宋" w:eastAsia="仿宋" w:cs="仿宋"/>
          <w:highlight w:val="none"/>
        </w:rPr>
      </w:pPr>
    </w:p>
    <w:p>
      <w:pPr>
        <w:pageBreakBefore w:val="0"/>
        <w:kinsoku/>
        <w:bidi w:val="0"/>
        <w:spacing w:line="336" w:lineRule="auto"/>
        <w:ind w:firstLine="3360" w:firstLineChars="1400"/>
        <w:rPr>
          <w:rFonts w:hint="eastAsia" w:ascii="仿宋" w:hAnsi="仿宋" w:eastAsia="仿宋" w:cs="仿宋"/>
          <w:sz w:val="24"/>
          <w:highlight w:val="none"/>
        </w:rPr>
      </w:pPr>
      <w:r>
        <w:rPr>
          <w:rFonts w:hint="eastAsia" w:ascii="仿宋" w:hAnsi="仿宋" w:eastAsia="仿宋" w:cs="仿宋"/>
          <w:sz w:val="24"/>
          <w:highlight w:val="none"/>
        </w:rPr>
        <w:t>供 应 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      章）</w:t>
      </w:r>
    </w:p>
    <w:p>
      <w:pPr>
        <w:pageBreakBefore w:val="0"/>
        <w:kinsoku/>
        <w:bidi w:val="0"/>
        <w:spacing w:line="336" w:lineRule="auto"/>
        <w:ind w:firstLine="3360" w:firstLineChars="14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（签字或盖章）</w:t>
      </w:r>
    </w:p>
    <w:p>
      <w:pPr>
        <w:pageBreakBefore w:val="0"/>
        <w:kinsoku/>
        <w:bidi w:val="0"/>
        <w:spacing w:line="336" w:lineRule="auto"/>
        <w:ind w:firstLine="3360" w:firstLineChars="1400"/>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（签字或盖章）</w:t>
      </w:r>
    </w:p>
    <w:p>
      <w:pPr>
        <w:pageBreakBefore w:val="0"/>
        <w:kinsoku/>
        <w:bidi w:val="0"/>
        <w:spacing w:line="33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15"/>
        <w:pageBreakBefore w:val="0"/>
        <w:kinsoku/>
        <w:bidi w:val="0"/>
        <w:spacing w:line="336" w:lineRule="auto"/>
        <w:rPr>
          <w:rFonts w:hint="eastAsia" w:ascii="仿宋" w:hAnsi="仿宋" w:eastAsia="仿宋" w:cs="仿宋"/>
          <w:color w:val="auto"/>
          <w:sz w:val="24"/>
          <w:highlight w:val="none"/>
        </w:rPr>
      </w:pPr>
    </w:p>
    <w:p>
      <w:pPr>
        <w:pageBreakBefore w:val="0"/>
        <w:kinsoku/>
        <w:bidi w:val="0"/>
        <w:spacing w:line="336" w:lineRule="auto"/>
        <w:rPr>
          <w:rFonts w:hint="eastAsia" w:ascii="仿宋" w:hAnsi="仿宋" w:eastAsia="仿宋" w:cs="仿宋"/>
          <w:sz w:val="24"/>
          <w:highlight w:val="none"/>
        </w:rPr>
      </w:pPr>
    </w:p>
    <w:p>
      <w:pPr>
        <w:pStyle w:val="15"/>
        <w:pageBreakBefore w:val="0"/>
        <w:kinsoku/>
        <w:bidi w:val="0"/>
        <w:spacing w:line="336" w:lineRule="auto"/>
        <w:rPr>
          <w:rFonts w:hint="eastAsia" w:ascii="仿宋" w:hAnsi="仿宋" w:eastAsia="仿宋" w:cs="仿宋"/>
          <w:color w:val="auto"/>
          <w:sz w:val="24"/>
          <w:highlight w:val="none"/>
        </w:rPr>
      </w:pPr>
    </w:p>
    <w:p>
      <w:pPr>
        <w:pageBreakBefore w:val="0"/>
        <w:kinsoku/>
        <w:bidi w:val="0"/>
        <w:spacing w:line="336" w:lineRule="auto"/>
        <w:rPr>
          <w:rFonts w:hint="eastAsia" w:ascii="仿宋" w:hAnsi="仿宋" w:eastAsia="仿宋" w:cs="仿宋"/>
          <w:sz w:val="24"/>
          <w:highlight w:val="none"/>
        </w:rPr>
      </w:pPr>
    </w:p>
    <w:p>
      <w:pPr>
        <w:pageBreakBefore w:val="0"/>
        <w:overflowPunct/>
        <w:bidi w:val="0"/>
        <w:spacing w:afterAutospacing="0" w:line="336" w:lineRule="auto"/>
        <w:outlineLvl w:val="1"/>
        <w:rPr>
          <w:rFonts w:hint="eastAsia" w:ascii="仿宋" w:hAnsi="仿宋" w:eastAsia="仿宋" w:cs="仿宋"/>
          <w:b/>
          <w:bCs/>
          <w:spacing w:val="2"/>
          <w:sz w:val="24"/>
          <w:highlight w:val="none"/>
        </w:rPr>
      </w:pPr>
      <w:r>
        <w:rPr>
          <w:rFonts w:hint="eastAsia" w:ascii="仿宋" w:hAnsi="仿宋" w:eastAsia="仿宋" w:cs="仿宋"/>
          <w:b/>
          <w:bCs/>
          <w:spacing w:val="2"/>
          <w:sz w:val="24"/>
          <w:highlight w:val="none"/>
        </w:rPr>
        <w:t>（备注：投标签字代表为法定代表人</w:t>
      </w:r>
      <w:r>
        <w:rPr>
          <w:rFonts w:hint="eastAsia" w:ascii="仿宋" w:hAnsi="仿宋" w:eastAsia="仿宋" w:cs="仿宋"/>
          <w:b/>
          <w:bCs/>
          <w:spacing w:val="2"/>
          <w:sz w:val="24"/>
          <w:highlight w:val="none"/>
          <w:lang w:val="en-US" w:eastAsia="zh-CN"/>
        </w:rPr>
        <w:t>/负责人</w:t>
      </w:r>
      <w:r>
        <w:rPr>
          <w:rFonts w:hint="eastAsia" w:ascii="仿宋" w:hAnsi="仿宋" w:eastAsia="仿宋" w:cs="仿宋"/>
          <w:b/>
          <w:bCs/>
          <w:spacing w:val="2"/>
          <w:sz w:val="24"/>
          <w:highlight w:val="none"/>
        </w:rPr>
        <w:t>，则本表不需提交）</w:t>
      </w:r>
    </w:p>
    <w:p>
      <w:pPr>
        <w:pageBreakBefore w:val="0"/>
        <w:bidi w:val="0"/>
        <w:spacing w:line="336" w:lineRule="auto"/>
        <w:rPr>
          <w:rFonts w:hint="eastAsia" w:ascii="仿宋" w:hAnsi="仿宋" w:eastAsia="仿宋" w:cs="仿宋"/>
          <w:b/>
          <w:color w:val="000000"/>
          <w:sz w:val="36"/>
          <w:szCs w:val="36"/>
          <w:highlight w:val="none"/>
        </w:rPr>
      </w:pPr>
      <w:bookmarkStart w:id="46" w:name="_Toc2586"/>
      <w:r>
        <w:rPr>
          <w:rFonts w:hint="eastAsia" w:ascii="仿宋" w:hAnsi="仿宋" w:eastAsia="仿宋" w:cs="仿宋"/>
          <w:b/>
          <w:color w:val="000000"/>
          <w:sz w:val="36"/>
          <w:szCs w:val="36"/>
          <w:highlight w:val="none"/>
        </w:rPr>
        <w:br w:type="page"/>
      </w:r>
    </w:p>
    <w:bookmarkEnd w:id="46"/>
    <w:p>
      <w:pPr>
        <w:pageBreakBefore w:val="0"/>
        <w:numPr>
          <w:ilvl w:val="0"/>
          <w:numId w:val="42"/>
        </w:numPr>
        <w:kinsoku/>
        <w:overflowPunct/>
        <w:bidi w:val="0"/>
        <w:spacing w:line="336" w:lineRule="auto"/>
        <w:ind w:firstLine="0"/>
        <w:jc w:val="center"/>
        <w:outlineLvl w:val="0"/>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供应商资格证明材料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仿宋" w:hAnsi="仿宋" w:eastAsia="仿宋" w:cs="仿宋"/>
          <w:b/>
          <w:bCs w:val="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仿宋" w:hAnsi="仿宋" w:eastAsia="仿宋" w:cs="仿宋"/>
          <w:b/>
          <w:bCs w:val="0"/>
          <w:sz w:val="24"/>
          <w:highlight w:val="none"/>
          <w:lang w:val="en-US" w:eastAsia="zh-CN"/>
        </w:rPr>
      </w:pPr>
      <w:r>
        <w:rPr>
          <w:rFonts w:hint="eastAsia" w:ascii="仿宋" w:hAnsi="仿宋" w:eastAsia="仿宋" w:cs="仿宋"/>
          <w:b/>
          <w:bCs w:val="0"/>
          <w:sz w:val="24"/>
          <w:highlight w:val="none"/>
          <w:lang w:val="en-US" w:eastAsia="zh-CN"/>
        </w:rPr>
        <w:t>《中华人民共和国政府采购法》第二十二条的规定，供应商参加政府采购活动应当具备下列条件:</w:t>
      </w:r>
    </w:p>
    <w:p>
      <w:pPr>
        <w:keepNext w:val="0"/>
        <w:keepLines w:val="0"/>
        <w:pageBreakBefore w:val="0"/>
        <w:widowControl w:val="0"/>
        <w:numPr>
          <w:ilvl w:val="0"/>
          <w:numId w:val="44"/>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具有独立承担民事责任的能力；</w:t>
      </w:r>
    </w:p>
    <w:p>
      <w:pPr>
        <w:keepNext w:val="0"/>
        <w:keepLines w:val="0"/>
        <w:pageBreakBefore w:val="0"/>
        <w:widowControl w:val="0"/>
        <w:numPr>
          <w:ilvl w:val="0"/>
          <w:numId w:val="44"/>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具有良好的商业信誉和健全的财务会计制度；</w:t>
      </w:r>
    </w:p>
    <w:p>
      <w:pPr>
        <w:keepNext w:val="0"/>
        <w:keepLines w:val="0"/>
        <w:pageBreakBefore w:val="0"/>
        <w:widowControl w:val="0"/>
        <w:numPr>
          <w:ilvl w:val="0"/>
          <w:numId w:val="44"/>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具有履行合同所必需的设备和专业技术能力；</w:t>
      </w:r>
    </w:p>
    <w:p>
      <w:pPr>
        <w:keepNext w:val="0"/>
        <w:keepLines w:val="0"/>
        <w:pageBreakBefore w:val="0"/>
        <w:widowControl w:val="0"/>
        <w:numPr>
          <w:ilvl w:val="0"/>
          <w:numId w:val="44"/>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有依法缴纳税收和社会保障资金的良好记录；</w:t>
      </w:r>
    </w:p>
    <w:p>
      <w:pPr>
        <w:keepNext w:val="0"/>
        <w:keepLines w:val="0"/>
        <w:pageBreakBefore w:val="0"/>
        <w:widowControl w:val="0"/>
        <w:numPr>
          <w:ilvl w:val="0"/>
          <w:numId w:val="44"/>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参加政府采购活动前三年内，在经营活动中没有重大违法记录；</w:t>
      </w:r>
    </w:p>
    <w:p>
      <w:pPr>
        <w:keepNext w:val="0"/>
        <w:keepLines w:val="0"/>
        <w:pageBreakBefore w:val="0"/>
        <w:widowControl w:val="0"/>
        <w:numPr>
          <w:ilvl w:val="0"/>
          <w:numId w:val="44"/>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法律、行政法规规定的其他条件。</w:t>
      </w:r>
    </w:p>
    <w:p>
      <w:pPr>
        <w:pStyle w:val="15"/>
        <w:pageBreakBefore w:val="0"/>
        <w:bidi w:val="0"/>
        <w:spacing w:line="336" w:lineRule="auto"/>
        <w:rPr>
          <w:rFonts w:hint="eastAsia" w:ascii="仿宋" w:hAnsi="仿宋" w:eastAsia="仿宋" w:cs="仿宋"/>
          <w:bCs/>
          <w:sz w:val="24"/>
          <w:highlight w:val="none"/>
          <w:lang w:val="en-US" w:eastAsia="zh-CN"/>
        </w:rPr>
      </w:pPr>
      <w:r>
        <w:rPr>
          <w:rFonts w:hint="eastAsia" w:ascii="仿宋" w:hAnsi="仿宋" w:eastAsia="仿宋" w:cs="仿宋"/>
          <w:b/>
          <w:bCs w:val="0"/>
          <w:sz w:val="24"/>
          <w:highlight w:val="none"/>
          <w:lang w:eastAsia="zh-CN"/>
        </w:rPr>
        <w:t>特定资格，</w:t>
      </w:r>
      <w:r>
        <w:rPr>
          <w:rFonts w:hint="eastAsia" w:ascii="仿宋" w:hAnsi="仿宋" w:eastAsia="仿宋" w:cs="仿宋"/>
          <w:b/>
          <w:bCs w:val="0"/>
          <w:sz w:val="24"/>
          <w:highlight w:val="none"/>
        </w:rPr>
        <w:t>提供以下资料但不限于</w:t>
      </w:r>
      <w:r>
        <w:rPr>
          <w:rFonts w:hint="eastAsia" w:ascii="仿宋" w:hAnsi="仿宋" w:eastAsia="仿宋" w:cs="仿宋"/>
          <w:bCs/>
          <w:sz w:val="24"/>
          <w:highlight w:val="none"/>
        </w:rPr>
        <w:t>：</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供应商具有中国保险监督管理委员会颁发的《保险业务经营许可证》；</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供应商为保险公司分支机构开展本项目保险业务的，需经其总公司或所属省级公司授权同意，并提供业务、财务、信息技术等支持，能够实现一元民生保险业务单独核算（提供相关证明文件）；</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财务状况报告：须提供近3年任意一年度的财务报表或具有财务审计资质的单位出具的财务报告（至少包括资产负债表和利润表，成立时间至提交竞争性磋商响应文件截止时间不足一年的可提供成立后任意时段的资产负债表），或银行出具的资信证明；</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 xml:space="preserve">税收缴纳证明：提供响应文件截止时间前1年内任意1个月的纳税证明或完税证明，依法免税的供应商应提供相关文件证明； </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 xml:space="preserve">社会保障资金缴纳证明：提供响应文件截止时间前1年内任意1个月的有效社会保障资金缴纳证明。依法不需要缴纳社会保障资金的供应商应提供相关文件证明； </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供应商需具备履行合同所必需的设备和专业技</w:t>
      </w:r>
      <w:r>
        <w:rPr>
          <w:rFonts w:hint="eastAsia" w:ascii="仿宋" w:hAnsi="仿宋" w:eastAsia="仿宋" w:cs="仿宋"/>
          <w:b w:val="0"/>
          <w:bCs/>
          <w:kern w:val="2"/>
          <w:sz w:val="24"/>
          <w:szCs w:val="24"/>
          <w:highlight w:val="none"/>
          <w:lang w:val="en-US" w:eastAsia="zh-CN" w:bidi="ar-SA"/>
        </w:rPr>
        <w:t>术能力，须提供书面承诺书（附件一）；</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供应商参加采购活动近3年内经营活动中无重大违法记录声明（附件二）；</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供应商信誉要求：“信用中国”网站（www.creditchina.gov.cn）和“中国政府采购网”（www.ccgp.gov.cn）为供应商信用信息查询渠道，如果供应商被查实在投标截止时间前已列入失信被执行人、重大税收违法案件当事人名单、政府采购严重违法失信行为记录名单，其投标为无效；（提供查询结果网页截图并加盖供应商公章）；</w:t>
      </w:r>
    </w:p>
    <w:p>
      <w:pPr>
        <w:keepNext w:val="0"/>
        <w:keepLines w:val="0"/>
        <w:pageBreakBefore w:val="0"/>
        <w:widowControl w:val="0"/>
        <w:numPr>
          <w:ilvl w:val="0"/>
          <w:numId w:val="45"/>
        </w:numPr>
        <w:kinsoku/>
        <w:wordWrap/>
        <w:overflowPunct/>
        <w:topLinePunct w:val="0"/>
        <w:autoSpaceDE/>
        <w:autoSpaceDN/>
        <w:bidi w:val="0"/>
        <w:adjustRightInd w:val="0"/>
        <w:snapToGrid w:val="0"/>
        <w:spacing w:line="336" w:lineRule="auto"/>
        <w:ind w:left="0" w:leftChars="0" w:firstLine="480" w:firstLineChars="200"/>
        <w:jc w:val="both"/>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单位负责人为同一人或者存在直接控股、管理关系的不同供应商，不得参加同一合同项下的政府采购活动（附件三）。</w:t>
      </w:r>
    </w:p>
    <w:p>
      <w:pPr>
        <w:pageBreakBefore w:val="0"/>
        <w:bidi w:val="0"/>
        <w:spacing w:line="336" w:lineRule="auto"/>
        <w:rPr>
          <w:rFonts w:hint="eastAsia" w:ascii="仿宋" w:hAnsi="仿宋" w:eastAsia="仿宋" w:cs="仿宋"/>
          <w:b/>
          <w:bCs/>
          <w:color w:val="333333"/>
          <w:kern w:val="0"/>
          <w:sz w:val="28"/>
          <w:szCs w:val="28"/>
          <w:highlight w:val="none"/>
        </w:rPr>
      </w:pPr>
      <w:r>
        <w:rPr>
          <w:rFonts w:hint="eastAsia" w:ascii="仿宋" w:hAnsi="仿宋" w:eastAsia="仿宋" w:cs="仿宋"/>
          <w:b/>
          <w:bCs/>
          <w:color w:val="333333"/>
          <w:kern w:val="0"/>
          <w:sz w:val="28"/>
          <w:szCs w:val="28"/>
          <w:highlight w:val="none"/>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textAlignment w:val="auto"/>
        <w:rPr>
          <w:rFonts w:hint="eastAsia" w:ascii="仿宋" w:hAnsi="仿宋" w:eastAsia="仿宋" w:cs="仿宋"/>
          <w:b/>
          <w:bCs/>
          <w:color w:val="333333"/>
          <w:kern w:val="0"/>
          <w:sz w:val="28"/>
          <w:szCs w:val="28"/>
          <w:highlight w:val="none"/>
        </w:rPr>
      </w:pPr>
      <w:r>
        <w:rPr>
          <w:rFonts w:hint="eastAsia" w:ascii="仿宋" w:hAnsi="仿宋" w:eastAsia="仿宋" w:cs="仿宋"/>
          <w:b/>
          <w:bCs/>
          <w:color w:val="333333"/>
          <w:kern w:val="0"/>
          <w:sz w:val="28"/>
          <w:szCs w:val="28"/>
          <w:highlight w:val="none"/>
        </w:rPr>
        <w:t>附件一：具备履行合同所必需的设备和专业技术能力的承诺书格式</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ageBreakBefore w:val="0"/>
        <w:kinsoku/>
        <w:autoSpaceDE w:val="0"/>
        <w:autoSpaceDN w:val="0"/>
        <w:bidi w:val="0"/>
        <w:adjustRightInd w:val="0"/>
        <w:spacing w:line="336" w:lineRule="auto"/>
        <w:jc w:val="center"/>
        <w:rPr>
          <w:rFonts w:hint="eastAsia" w:ascii="仿宋" w:hAnsi="仿宋" w:eastAsia="仿宋" w:cs="仿宋"/>
          <w:b/>
          <w:bCs w:val="0"/>
          <w:sz w:val="28"/>
          <w:szCs w:val="28"/>
          <w:highlight w:val="none"/>
          <w:lang w:val="en-US" w:eastAsia="zh-CN"/>
        </w:rPr>
      </w:pPr>
    </w:p>
    <w:p>
      <w:pPr>
        <w:pageBreakBefore w:val="0"/>
        <w:kinsoku/>
        <w:autoSpaceDE w:val="0"/>
        <w:autoSpaceDN w:val="0"/>
        <w:bidi w:val="0"/>
        <w:adjustRightInd w:val="0"/>
        <w:spacing w:line="336" w:lineRule="auto"/>
        <w:jc w:val="center"/>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具备履行合同所必需的设备和专业技术能力的承诺书</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ageBreakBefore w:val="0"/>
        <w:kinsoku/>
        <w:autoSpaceDE w:val="0"/>
        <w:autoSpaceDN w:val="0"/>
        <w:bidi w:val="0"/>
        <w:adjustRightInd w:val="0"/>
        <w:spacing w:line="336" w:lineRule="auto"/>
        <w:rPr>
          <w:rFonts w:hint="eastAsia" w:ascii="仿宋" w:hAnsi="仿宋" w:eastAsia="仿宋" w:cs="仿宋"/>
          <w:bCs/>
          <w:sz w:val="24"/>
          <w:szCs w:val="24"/>
          <w:highlight w:val="none"/>
          <w:u w:val="single"/>
          <w:lang w:val="zh-CN" w:eastAsia="zh-CN"/>
        </w:rPr>
      </w:pPr>
      <w:r>
        <w:rPr>
          <w:rFonts w:hint="eastAsia" w:ascii="仿宋" w:hAnsi="仿宋" w:eastAsia="仿宋" w:cs="仿宋"/>
          <w:bCs/>
          <w:sz w:val="24"/>
          <w:szCs w:val="24"/>
          <w:highlight w:val="none"/>
          <w:lang w:val="en-US" w:eastAsia="zh-CN"/>
        </w:rPr>
        <w:t>致：</w:t>
      </w:r>
      <w:r>
        <w:rPr>
          <w:rFonts w:hint="eastAsia" w:ascii="仿宋" w:hAnsi="仿宋" w:eastAsia="仿宋" w:cs="仿宋"/>
          <w:bCs/>
          <w:sz w:val="24"/>
          <w:szCs w:val="24"/>
          <w:highlight w:val="none"/>
          <w:u w:val="single"/>
          <w:lang w:val="en-US" w:eastAsia="zh-CN"/>
        </w:rPr>
        <w:t xml:space="preserve">        （采购人）</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Style w:val="19"/>
        <w:pageBreakBefore w:val="0"/>
        <w:bidi w:val="0"/>
        <w:adjustRightInd w:val="0"/>
        <w:snapToGrid w:val="0"/>
        <w:spacing w:line="336" w:lineRule="auto"/>
        <w:ind w:firstLine="496"/>
        <w:rPr>
          <w:rFonts w:hint="eastAsia" w:ascii="仿宋" w:hAnsi="仿宋" w:eastAsia="仿宋" w:cs="仿宋"/>
          <w:bCs/>
          <w:sz w:val="24"/>
          <w:szCs w:val="24"/>
          <w:highlight w:val="none"/>
          <w:lang w:val="en-US" w:eastAsia="zh-CN"/>
        </w:rPr>
      </w:pPr>
      <w:r>
        <w:rPr>
          <w:rFonts w:hint="eastAsia" w:ascii="仿宋" w:hAnsi="仿宋" w:eastAsia="仿宋" w:cs="仿宋"/>
          <w:bCs/>
          <w:kern w:val="2"/>
          <w:sz w:val="24"/>
          <w:szCs w:val="24"/>
          <w:highlight w:val="none"/>
          <w:u w:val="single"/>
          <w:lang w:val="en-US" w:eastAsia="zh-CN" w:bidi="ar-SA"/>
        </w:rPr>
        <w:t xml:space="preserve"> （供应商名称） </w:t>
      </w:r>
      <w:r>
        <w:rPr>
          <w:rFonts w:hint="eastAsia" w:ascii="仿宋" w:hAnsi="仿宋" w:eastAsia="仿宋" w:cs="仿宋"/>
          <w:bCs/>
          <w:kern w:val="2"/>
          <w:sz w:val="24"/>
          <w:szCs w:val="24"/>
          <w:highlight w:val="none"/>
          <w:lang w:val="en-US" w:eastAsia="zh-CN" w:bidi="ar-SA"/>
        </w:rPr>
        <w:t>于</w:t>
      </w:r>
      <w:r>
        <w:rPr>
          <w:rFonts w:hint="eastAsia" w:ascii="仿宋" w:hAnsi="仿宋" w:eastAsia="仿宋" w:cs="仿宋"/>
          <w:bCs/>
          <w:kern w:val="2"/>
          <w:sz w:val="24"/>
          <w:szCs w:val="24"/>
          <w:highlight w:val="none"/>
          <w:u w:val="single"/>
          <w:lang w:val="en-US" w:eastAsia="zh-CN" w:bidi="ar-SA"/>
        </w:rPr>
        <w:t xml:space="preserve">    </w:t>
      </w:r>
      <w:r>
        <w:rPr>
          <w:rFonts w:hint="eastAsia" w:ascii="仿宋" w:hAnsi="仿宋" w:eastAsia="仿宋" w:cs="仿宋"/>
          <w:bCs/>
          <w:kern w:val="2"/>
          <w:sz w:val="24"/>
          <w:szCs w:val="24"/>
          <w:highlight w:val="none"/>
          <w:lang w:val="en-US" w:eastAsia="zh-CN" w:bidi="ar-SA"/>
        </w:rPr>
        <w:t>年</w:t>
      </w:r>
      <w:r>
        <w:rPr>
          <w:rFonts w:hint="eastAsia" w:ascii="仿宋" w:hAnsi="仿宋" w:eastAsia="仿宋" w:cs="仿宋"/>
          <w:bCs/>
          <w:kern w:val="2"/>
          <w:sz w:val="24"/>
          <w:szCs w:val="24"/>
          <w:highlight w:val="none"/>
          <w:u w:val="single"/>
          <w:lang w:val="en-US" w:eastAsia="zh-CN" w:bidi="ar-SA"/>
        </w:rPr>
        <w:t xml:space="preserve">    </w:t>
      </w:r>
      <w:r>
        <w:rPr>
          <w:rFonts w:hint="eastAsia" w:ascii="仿宋" w:hAnsi="仿宋" w:eastAsia="仿宋" w:cs="仿宋"/>
          <w:bCs/>
          <w:kern w:val="2"/>
          <w:sz w:val="24"/>
          <w:szCs w:val="24"/>
          <w:highlight w:val="none"/>
          <w:lang w:val="en-US" w:eastAsia="zh-CN" w:bidi="ar-SA"/>
        </w:rPr>
        <w:t>月</w:t>
      </w:r>
      <w:r>
        <w:rPr>
          <w:rFonts w:hint="eastAsia" w:ascii="仿宋" w:hAnsi="仿宋" w:eastAsia="仿宋" w:cs="仿宋"/>
          <w:bCs/>
          <w:kern w:val="2"/>
          <w:sz w:val="24"/>
          <w:szCs w:val="24"/>
          <w:highlight w:val="none"/>
          <w:u w:val="single"/>
          <w:lang w:val="en-US" w:eastAsia="zh-CN" w:bidi="ar-SA"/>
        </w:rPr>
        <w:t xml:space="preserve">    </w:t>
      </w:r>
      <w:r>
        <w:rPr>
          <w:rFonts w:hint="eastAsia" w:ascii="仿宋" w:hAnsi="仿宋" w:eastAsia="仿宋" w:cs="仿宋"/>
          <w:bCs/>
          <w:kern w:val="2"/>
          <w:sz w:val="24"/>
          <w:szCs w:val="24"/>
          <w:highlight w:val="none"/>
          <w:lang w:val="en-US" w:eastAsia="zh-CN" w:bidi="ar-SA"/>
        </w:rPr>
        <w:t>日在中华人民共和国境内</w:t>
      </w:r>
      <w:r>
        <w:rPr>
          <w:rFonts w:hint="eastAsia" w:ascii="仿宋" w:hAnsi="仿宋" w:eastAsia="仿宋" w:cs="仿宋"/>
          <w:bCs/>
          <w:kern w:val="2"/>
          <w:sz w:val="24"/>
          <w:szCs w:val="24"/>
          <w:highlight w:val="none"/>
          <w:u w:val="single"/>
          <w:lang w:val="en-US" w:eastAsia="zh-CN" w:bidi="ar-SA"/>
        </w:rPr>
        <w:t xml:space="preserve"> （详细注册地址） </w:t>
      </w:r>
      <w:r>
        <w:rPr>
          <w:rFonts w:hint="eastAsia" w:ascii="仿宋" w:hAnsi="仿宋" w:eastAsia="仿宋" w:cs="仿宋"/>
          <w:bCs/>
          <w:kern w:val="2"/>
          <w:sz w:val="24"/>
          <w:szCs w:val="24"/>
          <w:highlight w:val="none"/>
          <w:lang w:val="en-US" w:eastAsia="zh-CN" w:bidi="ar-SA"/>
        </w:rPr>
        <w:t>合法注册并经营，公司主营业务为</w:t>
      </w:r>
      <w:r>
        <w:rPr>
          <w:rFonts w:hint="eastAsia" w:ascii="仿宋" w:hAnsi="仿宋" w:eastAsia="仿宋" w:cs="仿宋"/>
          <w:bCs/>
          <w:kern w:val="2"/>
          <w:sz w:val="24"/>
          <w:szCs w:val="24"/>
          <w:highlight w:val="none"/>
          <w:u w:val="single"/>
          <w:lang w:val="en-US" w:eastAsia="zh-CN" w:bidi="ar-SA"/>
        </w:rPr>
        <w:t xml:space="preserve">             </w:t>
      </w:r>
      <w:r>
        <w:rPr>
          <w:rFonts w:hint="eastAsia" w:ascii="仿宋" w:hAnsi="仿宋" w:eastAsia="仿宋" w:cs="仿宋"/>
          <w:bCs/>
          <w:kern w:val="2"/>
          <w:sz w:val="24"/>
          <w:szCs w:val="24"/>
          <w:highlight w:val="none"/>
          <w:lang w:val="en-US" w:eastAsia="zh-CN" w:bidi="ar-SA"/>
        </w:rPr>
        <w:t>，营业（生产经营）面积为</w:t>
      </w:r>
      <w:r>
        <w:rPr>
          <w:rFonts w:hint="eastAsia" w:ascii="仿宋" w:hAnsi="仿宋" w:eastAsia="仿宋" w:cs="仿宋"/>
          <w:bCs/>
          <w:kern w:val="2"/>
          <w:sz w:val="24"/>
          <w:szCs w:val="24"/>
          <w:highlight w:val="none"/>
          <w:u w:val="single"/>
          <w:lang w:val="en-US" w:eastAsia="zh-CN" w:bidi="ar-SA"/>
        </w:rPr>
        <w:t xml:space="preserve">      </w:t>
      </w:r>
      <w:r>
        <w:rPr>
          <w:rFonts w:hint="eastAsia" w:ascii="仿宋" w:hAnsi="仿宋" w:eastAsia="仿宋" w:cs="仿宋"/>
          <w:bCs/>
          <w:kern w:val="2"/>
          <w:sz w:val="24"/>
          <w:szCs w:val="24"/>
          <w:highlight w:val="none"/>
          <w:lang w:val="en-US" w:eastAsia="zh-CN" w:bidi="ar-SA"/>
        </w:rPr>
        <w:t xml:space="preserve">，现有员工数量为 </w:t>
      </w:r>
      <w:r>
        <w:rPr>
          <w:rFonts w:hint="eastAsia" w:ascii="仿宋" w:hAnsi="仿宋" w:eastAsia="仿宋" w:cs="仿宋"/>
          <w:bCs/>
          <w:kern w:val="2"/>
          <w:sz w:val="24"/>
          <w:szCs w:val="24"/>
          <w:highlight w:val="none"/>
          <w:u w:val="single"/>
          <w:lang w:val="en-US" w:eastAsia="zh-CN" w:bidi="ar-SA"/>
        </w:rPr>
        <w:t xml:space="preserve">      </w:t>
      </w:r>
      <w:r>
        <w:rPr>
          <w:rFonts w:hint="eastAsia" w:ascii="仿宋" w:hAnsi="仿宋" w:eastAsia="仿宋" w:cs="仿宋"/>
          <w:bCs/>
          <w:kern w:val="2"/>
          <w:sz w:val="24"/>
          <w:szCs w:val="24"/>
          <w:highlight w:val="none"/>
          <w:lang w:val="en-US" w:eastAsia="zh-CN" w:bidi="ar-SA"/>
        </w:rPr>
        <w:t>，本公司郑重承诺，具有履行本合同所必需的设备和专业技术能力。</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特此声明！</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Style w:val="4"/>
        <w:pageBreakBefore w:val="0"/>
        <w:kinsoku/>
        <w:bidi w:val="0"/>
        <w:spacing w:line="336" w:lineRule="auto"/>
        <w:outlineLvl w:val="9"/>
        <w:rPr>
          <w:rFonts w:hint="eastAsia" w:ascii="仿宋" w:hAnsi="仿宋" w:eastAsia="仿宋" w:cs="仿宋"/>
          <w:color w:val="333333"/>
          <w:kern w:val="0"/>
          <w:sz w:val="28"/>
          <w:szCs w:val="28"/>
          <w:highlight w:val="none"/>
        </w:rPr>
      </w:pPr>
    </w:p>
    <w:p>
      <w:pPr>
        <w:pageBreakBefore w:val="0"/>
        <w:kinsoku/>
        <w:bidi w:val="0"/>
        <w:spacing w:line="336" w:lineRule="auto"/>
        <w:rPr>
          <w:rFonts w:hint="eastAsia" w:ascii="仿宋" w:hAnsi="仿宋" w:eastAsia="仿宋" w:cs="仿宋"/>
          <w:color w:val="333333"/>
          <w:kern w:val="0"/>
          <w:sz w:val="28"/>
          <w:szCs w:val="28"/>
          <w:highlight w:val="none"/>
        </w:rPr>
      </w:pP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color w:val="333333"/>
          <w:kern w:val="0"/>
          <w:sz w:val="28"/>
          <w:szCs w:val="28"/>
          <w:highlight w:val="none"/>
        </w:rPr>
      </w:pPr>
      <w:r>
        <w:rPr>
          <w:rFonts w:hint="eastAsia" w:ascii="仿宋" w:hAnsi="仿宋" w:eastAsia="仿宋" w:cs="仿宋"/>
          <w:sz w:val="24"/>
          <w:highlight w:val="none"/>
          <w:lang w:val="zh-CN"/>
        </w:rPr>
        <w:t>日期：</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pageBreakBefore w:val="0"/>
        <w:kinsoku/>
        <w:autoSpaceDE w:val="0"/>
        <w:autoSpaceDN w:val="0"/>
        <w:bidi w:val="0"/>
        <w:adjustRightInd w:val="0"/>
        <w:spacing w:line="336" w:lineRule="auto"/>
        <w:rPr>
          <w:rFonts w:hint="eastAsia" w:ascii="仿宋" w:hAnsi="仿宋" w:eastAsia="仿宋" w:cs="仿宋"/>
          <w:b/>
          <w:bCs/>
          <w:color w:val="333333"/>
          <w:kern w:val="0"/>
          <w:sz w:val="28"/>
          <w:szCs w:val="28"/>
          <w:highlight w:val="none"/>
          <w:lang w:val="en-US" w:eastAsia="zh-CN" w:bidi="ar-SA"/>
        </w:rPr>
      </w:pPr>
      <w:r>
        <w:rPr>
          <w:rFonts w:hint="eastAsia" w:ascii="仿宋" w:hAnsi="仿宋" w:eastAsia="仿宋" w:cs="仿宋"/>
          <w:b/>
          <w:bCs/>
          <w:color w:val="333333"/>
          <w:kern w:val="0"/>
          <w:sz w:val="28"/>
          <w:szCs w:val="28"/>
          <w:highlight w:val="none"/>
          <w:lang w:val="en-US" w:eastAsia="zh-CN" w:bidi="ar-SA"/>
        </w:rPr>
        <w:br w:type="page"/>
      </w:r>
      <w:r>
        <w:rPr>
          <w:rFonts w:hint="eastAsia" w:ascii="仿宋" w:hAnsi="仿宋" w:eastAsia="仿宋" w:cs="仿宋"/>
          <w:b/>
          <w:bCs/>
          <w:color w:val="333333"/>
          <w:kern w:val="0"/>
          <w:sz w:val="28"/>
          <w:szCs w:val="28"/>
          <w:highlight w:val="none"/>
          <w:lang w:val="en-US" w:eastAsia="zh-CN" w:bidi="ar-SA"/>
        </w:rPr>
        <w:t>附件二：在经营活动中没有重大违法记录的书面声明格式</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Style w:val="12"/>
        <w:pageBreakBefore w:val="0"/>
        <w:kinsoku/>
        <w:bidi w:val="0"/>
        <w:spacing w:line="336" w:lineRule="auto"/>
        <w:ind w:left="0" w:leftChars="0" w:firstLine="0" w:firstLineChars="0"/>
        <w:jc w:val="center"/>
        <w:rPr>
          <w:rFonts w:hint="eastAsia" w:ascii="仿宋" w:hAnsi="仿宋" w:eastAsia="仿宋" w:cs="仿宋"/>
          <w:b/>
          <w:bCs/>
          <w:color w:val="333333"/>
          <w:kern w:val="0"/>
          <w:sz w:val="28"/>
          <w:szCs w:val="28"/>
          <w:highlight w:val="none"/>
          <w:lang w:val="en-US" w:eastAsia="zh-CN" w:bidi="ar-SA"/>
        </w:rPr>
      </w:pPr>
      <w:r>
        <w:rPr>
          <w:rFonts w:hint="eastAsia" w:ascii="仿宋" w:hAnsi="仿宋" w:eastAsia="仿宋" w:cs="仿宋"/>
          <w:b/>
          <w:bCs/>
          <w:color w:val="333333"/>
          <w:kern w:val="0"/>
          <w:sz w:val="28"/>
          <w:szCs w:val="28"/>
          <w:highlight w:val="none"/>
          <w:lang w:val="en-US" w:eastAsia="zh-CN" w:bidi="ar-SA"/>
        </w:rPr>
        <w:t>在经营活动中没有重大违法记录的书面声明</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ageBreakBefore w:val="0"/>
        <w:kinsoku/>
        <w:autoSpaceDE w:val="0"/>
        <w:autoSpaceDN w:val="0"/>
        <w:bidi w:val="0"/>
        <w:adjustRightInd w:val="0"/>
        <w:spacing w:line="336" w:lineRule="auto"/>
        <w:rPr>
          <w:rFonts w:hint="eastAsia" w:ascii="仿宋" w:hAnsi="仿宋" w:eastAsia="仿宋" w:cs="仿宋"/>
          <w:bCs/>
          <w:sz w:val="24"/>
          <w:szCs w:val="24"/>
          <w:highlight w:val="none"/>
          <w:u w:val="single"/>
          <w:lang w:val="zh-CN" w:eastAsia="zh-CN"/>
        </w:rPr>
      </w:pPr>
      <w:r>
        <w:rPr>
          <w:rFonts w:hint="eastAsia" w:ascii="仿宋" w:hAnsi="仿宋" w:eastAsia="仿宋" w:cs="仿宋"/>
          <w:bCs/>
          <w:sz w:val="24"/>
          <w:szCs w:val="24"/>
          <w:highlight w:val="none"/>
          <w:lang w:val="en-US" w:eastAsia="zh-CN"/>
        </w:rPr>
        <w:t>致</w:t>
      </w:r>
      <w:r>
        <w:rPr>
          <w:rFonts w:hint="eastAsia" w:ascii="仿宋" w:hAnsi="仿宋" w:eastAsia="仿宋" w:cs="仿宋"/>
          <w:bCs/>
          <w:sz w:val="24"/>
          <w:szCs w:val="24"/>
          <w:highlight w:val="none"/>
          <w:u w:val="single"/>
          <w:lang w:val="en-US" w:eastAsia="zh-CN"/>
        </w:rPr>
        <w:t>：        （采购人）</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我公司</w:t>
      </w:r>
      <w:r>
        <w:rPr>
          <w:rFonts w:hint="eastAsia" w:ascii="仿宋" w:hAnsi="仿宋" w:eastAsia="仿宋" w:cs="仿宋"/>
          <w:bCs/>
          <w:sz w:val="24"/>
          <w:szCs w:val="24"/>
          <w:highlight w:val="none"/>
          <w:u w:val="single"/>
          <w:lang w:val="en-US" w:eastAsia="zh-CN"/>
        </w:rPr>
        <w:t xml:space="preserve"> （供应商名称）</w:t>
      </w:r>
      <w:r>
        <w:rPr>
          <w:rFonts w:hint="eastAsia" w:ascii="仿宋" w:hAnsi="仿宋" w:eastAsia="仿宋" w:cs="仿宋"/>
          <w:bCs/>
          <w:sz w:val="24"/>
          <w:szCs w:val="24"/>
          <w:highlight w:val="none"/>
          <w:lang w:val="en-US" w:eastAsia="zh-CN"/>
        </w:rPr>
        <w:t>，就参加</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lang w:val="en-US" w:eastAsia="zh-CN"/>
        </w:rPr>
        <w:t>采购项目（采购项目编号：</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lang w:val="en-US" w:eastAsia="zh-CN"/>
        </w:rPr>
        <w:t>）磋商事宜，在此郑重声明：</w:t>
      </w:r>
    </w:p>
    <w:p>
      <w:pPr>
        <w:pageBreakBefore w:val="0"/>
        <w:numPr>
          <w:ilvl w:val="0"/>
          <w:numId w:val="46"/>
        </w:numPr>
        <w:kinsoku/>
        <w:autoSpaceDE w:val="0"/>
        <w:autoSpaceDN w:val="0"/>
        <w:bidi w:val="0"/>
        <w:adjustRightInd w:val="0"/>
        <w:spacing w:line="336" w:lineRule="auto"/>
        <w:ind w:left="5" w:leftChars="0" w:firstLine="415" w:firstLineChars="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Cs/>
          <w:sz w:val="24"/>
          <w:szCs w:val="24"/>
          <w:highlight w:val="none"/>
          <w:lang w:val="en-US" w:eastAsia="zh-CN"/>
        </w:rPr>
        <w:t>我公</w:t>
      </w:r>
      <w:r>
        <w:rPr>
          <w:rFonts w:hint="eastAsia" w:ascii="仿宋" w:hAnsi="仿宋" w:eastAsia="仿宋" w:cs="仿宋"/>
          <w:b w:val="0"/>
          <w:bCs/>
          <w:kern w:val="2"/>
          <w:sz w:val="24"/>
          <w:szCs w:val="24"/>
          <w:highlight w:val="none"/>
          <w:lang w:val="en-US" w:eastAsia="zh-CN" w:bidi="ar-SA"/>
        </w:rPr>
        <w:t>司所提交的磋商响应文件全部真实有效。</w:t>
      </w:r>
    </w:p>
    <w:p>
      <w:pPr>
        <w:pageBreakBefore w:val="0"/>
        <w:numPr>
          <w:ilvl w:val="0"/>
          <w:numId w:val="46"/>
        </w:numPr>
        <w:kinsoku/>
        <w:autoSpaceDE w:val="0"/>
        <w:autoSpaceDN w:val="0"/>
        <w:bidi w:val="0"/>
        <w:adjustRightInd w:val="0"/>
        <w:spacing w:line="336" w:lineRule="auto"/>
        <w:ind w:left="5" w:leftChars="0" w:firstLine="415" w:firstLineChars="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我公司近3年来无因安全事故.质量事故.违规等不良记录被政府有关部门处罚或仍在处罚期限内的情形存在。</w:t>
      </w:r>
    </w:p>
    <w:p>
      <w:pPr>
        <w:pageBreakBefore w:val="0"/>
        <w:numPr>
          <w:ilvl w:val="0"/>
          <w:numId w:val="46"/>
        </w:numPr>
        <w:kinsoku/>
        <w:autoSpaceDE w:val="0"/>
        <w:autoSpaceDN w:val="0"/>
        <w:bidi w:val="0"/>
        <w:adjustRightInd w:val="0"/>
        <w:spacing w:line="336" w:lineRule="auto"/>
        <w:ind w:left="5" w:leftChars="0" w:firstLine="415" w:firstLineChars="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我公司近3年来无违规违法经营受到责令停产(或停止经营). 吊销生产许可证（或经营许可证）.较大数额罚款等行政处罚的情形存在。</w:t>
      </w:r>
    </w:p>
    <w:p>
      <w:pPr>
        <w:pageBreakBefore w:val="0"/>
        <w:numPr>
          <w:ilvl w:val="0"/>
          <w:numId w:val="46"/>
        </w:numPr>
        <w:kinsoku/>
        <w:autoSpaceDE w:val="0"/>
        <w:autoSpaceDN w:val="0"/>
        <w:bidi w:val="0"/>
        <w:adjustRightInd w:val="0"/>
        <w:spacing w:line="336" w:lineRule="auto"/>
        <w:ind w:left="5" w:leftChars="0" w:firstLine="415" w:firstLineChars="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我公司无企业财产被查封.冻结或处于破产状态或严重亏损状态等情形存在。</w:t>
      </w:r>
    </w:p>
    <w:p>
      <w:pPr>
        <w:pageBreakBefore w:val="0"/>
        <w:numPr>
          <w:ilvl w:val="0"/>
          <w:numId w:val="46"/>
        </w:numPr>
        <w:kinsoku/>
        <w:autoSpaceDE w:val="0"/>
        <w:autoSpaceDN w:val="0"/>
        <w:bidi w:val="0"/>
        <w:adjustRightInd w:val="0"/>
        <w:spacing w:line="336" w:lineRule="auto"/>
        <w:ind w:left="5" w:leftChars="0" w:firstLine="415" w:firstLineChars="0"/>
        <w:rPr>
          <w:rFonts w:hint="eastAsia" w:ascii="仿宋" w:hAnsi="仿宋" w:eastAsia="仿宋" w:cs="仿宋"/>
          <w:bCs/>
          <w:sz w:val="24"/>
          <w:szCs w:val="24"/>
          <w:highlight w:val="none"/>
          <w:lang w:val="en-US" w:eastAsia="zh-CN"/>
        </w:rPr>
      </w:pPr>
      <w:r>
        <w:rPr>
          <w:rFonts w:hint="eastAsia" w:ascii="仿宋" w:hAnsi="仿宋" w:eastAsia="仿宋" w:cs="仿宋"/>
          <w:b w:val="0"/>
          <w:bCs/>
          <w:kern w:val="2"/>
          <w:sz w:val="24"/>
          <w:szCs w:val="24"/>
          <w:highlight w:val="none"/>
          <w:lang w:val="en-US" w:eastAsia="zh-CN" w:bidi="ar-SA"/>
        </w:rPr>
        <w:t>我公司承诺在磋商过程中，保证不予其他单位围标.串标，不出让磋商资格，不采取不正当手段诋毁.排挤其他供应商，不向招标方.磋商小组行贿。</w:t>
      </w:r>
    </w:p>
    <w:p>
      <w:pPr>
        <w:pageBreakBefore w:val="0"/>
        <w:numPr>
          <w:ilvl w:val="0"/>
          <w:numId w:val="46"/>
        </w:numPr>
        <w:kinsoku/>
        <w:autoSpaceDE w:val="0"/>
        <w:autoSpaceDN w:val="0"/>
        <w:bidi w:val="0"/>
        <w:adjustRightInd w:val="0"/>
        <w:spacing w:line="336" w:lineRule="auto"/>
        <w:ind w:left="5" w:leftChars="0" w:firstLine="415" w:firstLineChars="0"/>
        <w:rPr>
          <w:rFonts w:hint="eastAsia" w:ascii="仿宋" w:hAnsi="仿宋" w:eastAsia="仿宋" w:cs="仿宋"/>
          <w:bCs/>
          <w:sz w:val="24"/>
          <w:szCs w:val="24"/>
          <w:highlight w:val="none"/>
          <w:lang w:val="en-US" w:eastAsia="zh-CN"/>
        </w:rPr>
      </w:pPr>
      <w:r>
        <w:rPr>
          <w:rFonts w:hint="eastAsia" w:ascii="仿宋" w:hAnsi="仿宋" w:eastAsia="仿宋" w:cs="仿宋"/>
          <w:b w:val="0"/>
          <w:bCs/>
          <w:kern w:val="2"/>
          <w:sz w:val="24"/>
          <w:szCs w:val="24"/>
          <w:highlight w:val="none"/>
          <w:lang w:val="en-US" w:eastAsia="zh-CN" w:bidi="ar-SA"/>
        </w:rPr>
        <w:t>我公司承诺在投标</w:t>
      </w:r>
      <w:r>
        <w:rPr>
          <w:rFonts w:hint="eastAsia" w:ascii="仿宋" w:hAnsi="仿宋" w:eastAsia="仿宋" w:cs="仿宋"/>
          <w:bCs/>
          <w:sz w:val="24"/>
          <w:szCs w:val="24"/>
          <w:highlight w:val="none"/>
          <w:lang w:val="en-US" w:eastAsia="zh-CN"/>
        </w:rPr>
        <w:t>过程中不存在单位负责人为同一人或者存在直接控股.管理关系的不同供应商。</w:t>
      </w:r>
    </w:p>
    <w:p>
      <w:pPr>
        <w:pageBreakBefore w:val="0"/>
        <w:numPr>
          <w:ilvl w:val="0"/>
          <w:numId w:val="0"/>
        </w:numPr>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以上声明若有违反，一经查实，本公司愿意接受政府有关部门的相应处罚，并愿意承担由此带来的法律后果。</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特此声明！</w:t>
      </w: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ageBreakBefore w:val="0"/>
        <w:kinsoku/>
        <w:autoSpaceDE w:val="0"/>
        <w:autoSpaceDN w:val="0"/>
        <w:bidi w:val="0"/>
        <w:adjustRightInd w:val="0"/>
        <w:spacing w:line="336" w:lineRule="auto"/>
        <w:ind w:firstLine="480" w:firstLineChars="200"/>
        <w:rPr>
          <w:rFonts w:hint="eastAsia" w:ascii="仿宋" w:hAnsi="仿宋" w:eastAsia="仿宋" w:cs="仿宋"/>
          <w:bCs/>
          <w:sz w:val="24"/>
          <w:szCs w:val="24"/>
          <w:highlight w:val="none"/>
          <w:lang w:val="en-US" w:eastAsia="zh-CN"/>
        </w:rPr>
      </w:pP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日期：</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pStyle w:val="11"/>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both"/>
        <w:textAlignment w:val="auto"/>
        <w:rPr>
          <w:rFonts w:hint="eastAsia" w:ascii="仿宋" w:hAnsi="仿宋" w:eastAsia="仿宋" w:cs="仿宋"/>
          <w:b/>
          <w:bCs/>
          <w:color w:val="333333"/>
          <w:kern w:val="0"/>
          <w:sz w:val="28"/>
          <w:szCs w:val="28"/>
          <w:highlight w:val="none"/>
          <w:lang w:val="en-US" w:eastAsia="zh-CN" w:bidi="ar-SA"/>
        </w:rPr>
      </w:pPr>
      <w:r>
        <w:rPr>
          <w:rFonts w:hint="eastAsia" w:ascii="仿宋" w:hAnsi="仿宋" w:eastAsia="仿宋" w:cs="仿宋"/>
          <w:b/>
          <w:bCs/>
          <w:color w:val="333333"/>
          <w:kern w:val="0"/>
          <w:sz w:val="28"/>
          <w:szCs w:val="28"/>
          <w:highlight w:val="none"/>
          <w:lang w:val="en-US" w:eastAsia="zh-CN" w:bidi="ar-SA"/>
        </w:rPr>
        <w:br w:type="page"/>
      </w:r>
      <w:r>
        <w:rPr>
          <w:rFonts w:hint="eastAsia" w:ascii="仿宋" w:hAnsi="仿宋" w:eastAsia="仿宋" w:cs="仿宋"/>
          <w:b/>
          <w:bCs/>
          <w:color w:val="333333"/>
          <w:kern w:val="0"/>
          <w:sz w:val="28"/>
          <w:szCs w:val="28"/>
          <w:highlight w:val="none"/>
          <w:lang w:val="en-US" w:eastAsia="zh-CN" w:bidi="ar-SA"/>
        </w:rPr>
        <w:t>附件三：申请人关联关系书面声明</w:t>
      </w:r>
    </w:p>
    <w:p>
      <w:pPr>
        <w:pStyle w:val="12"/>
        <w:pageBreakBefore w:val="0"/>
        <w:kinsoku/>
        <w:bidi w:val="0"/>
        <w:spacing w:line="336" w:lineRule="auto"/>
        <w:rPr>
          <w:rFonts w:hint="eastAsia" w:ascii="仿宋" w:hAnsi="仿宋" w:eastAsia="仿宋" w:cs="仿宋"/>
          <w:highlight w:val="none"/>
          <w:lang w:val="en-US" w:eastAsia="zh-CN"/>
        </w:rPr>
      </w:pPr>
    </w:p>
    <w:p>
      <w:pPr>
        <w:pStyle w:val="12"/>
        <w:pageBreakBefore w:val="0"/>
        <w:kinsoku/>
        <w:bidi w:val="0"/>
        <w:spacing w:line="336" w:lineRule="auto"/>
        <w:ind w:left="0" w:leftChars="0" w:firstLine="0" w:firstLineChars="0"/>
        <w:jc w:val="center"/>
        <w:rPr>
          <w:rFonts w:hint="eastAsia" w:ascii="仿宋" w:hAnsi="仿宋" w:eastAsia="仿宋" w:cs="仿宋"/>
          <w:b/>
          <w:bCs/>
          <w:color w:val="333333"/>
          <w:kern w:val="0"/>
          <w:sz w:val="28"/>
          <w:szCs w:val="28"/>
          <w:highlight w:val="none"/>
          <w:lang w:val="en-US" w:eastAsia="zh-CN" w:bidi="ar-SA"/>
        </w:rPr>
      </w:pPr>
      <w:r>
        <w:rPr>
          <w:rFonts w:hint="eastAsia" w:ascii="仿宋" w:hAnsi="仿宋" w:eastAsia="仿宋" w:cs="仿宋"/>
          <w:b/>
          <w:bCs/>
          <w:color w:val="333333"/>
          <w:kern w:val="0"/>
          <w:sz w:val="28"/>
          <w:szCs w:val="28"/>
          <w:highlight w:val="none"/>
          <w:lang w:val="en-US" w:eastAsia="zh-CN" w:bidi="ar-SA"/>
        </w:rPr>
        <w:t>申请人关联关系书面声明</w:t>
      </w:r>
    </w:p>
    <w:p>
      <w:pPr>
        <w:pageBreakBefore w:val="0"/>
        <w:kinsoku/>
        <w:bidi w:val="0"/>
        <w:spacing w:line="336" w:lineRule="auto"/>
        <w:rPr>
          <w:rFonts w:hint="eastAsia" w:ascii="仿宋" w:hAnsi="仿宋" w:eastAsia="仿宋" w:cs="仿宋"/>
          <w:highlight w:val="none"/>
          <w:lang w:val="en-US" w:eastAsia="zh-CN"/>
        </w:rPr>
      </w:pPr>
    </w:p>
    <w:p>
      <w:pPr>
        <w:pageBreakBefore w:val="0"/>
        <w:kinsoku/>
        <w:bidi w:val="0"/>
        <w:spacing w:line="336" w:lineRule="auto"/>
        <w:rPr>
          <w:rFonts w:hint="eastAsia" w:ascii="仿宋" w:hAnsi="仿宋" w:eastAsia="仿宋" w:cs="仿宋"/>
          <w:highlight w:val="none"/>
          <w:lang w:val="en-US" w:eastAsia="zh-CN"/>
        </w:rPr>
      </w:pPr>
    </w:p>
    <w:p>
      <w:pPr>
        <w:pStyle w:val="15"/>
        <w:pageBreakBefore w:val="0"/>
        <w:numPr>
          <w:ilvl w:val="0"/>
          <w:numId w:val="47"/>
        </w:numPr>
        <w:kinsoku/>
        <w:bidi w:val="0"/>
        <w:spacing w:line="336" w:lineRule="auto"/>
        <w:ind w:firstLine="480" w:firstLineChars="200"/>
        <w:rPr>
          <w:rFonts w:hint="eastAsia" w:ascii="仿宋" w:hAnsi="仿宋" w:eastAsia="仿宋" w:cs="仿宋"/>
          <w:color w:val="000000"/>
          <w:kern w:val="2"/>
          <w:sz w:val="24"/>
          <w:szCs w:val="24"/>
          <w:highlight w:val="none"/>
          <w:u w:val="single"/>
          <w:lang w:val="en-US" w:eastAsia="zh-CN" w:bidi="ar-SA"/>
        </w:rPr>
      </w:pPr>
      <w:r>
        <w:rPr>
          <w:rFonts w:hint="eastAsia" w:ascii="仿宋" w:hAnsi="仿宋" w:eastAsia="仿宋" w:cs="仿宋"/>
          <w:color w:val="000000"/>
          <w:kern w:val="2"/>
          <w:sz w:val="24"/>
          <w:szCs w:val="24"/>
          <w:highlight w:val="none"/>
          <w:lang w:val="en-US" w:eastAsia="zh-CN" w:bidi="ar-SA"/>
        </w:rPr>
        <w:t>申请人单位负责人在其他单位任职情况：</w:t>
      </w:r>
      <w:r>
        <w:rPr>
          <w:rFonts w:hint="eastAsia" w:ascii="仿宋" w:hAnsi="仿宋" w:eastAsia="仿宋" w:cs="仿宋"/>
          <w:color w:val="000000"/>
          <w:kern w:val="2"/>
          <w:sz w:val="24"/>
          <w:szCs w:val="24"/>
          <w:highlight w:val="none"/>
          <w:u w:val="single"/>
          <w:lang w:val="en-US" w:eastAsia="zh-CN" w:bidi="ar-SA"/>
        </w:rPr>
        <w:t xml:space="preserve">              </w:t>
      </w:r>
    </w:p>
    <w:p>
      <w:pPr>
        <w:pageBreakBefore w:val="0"/>
        <w:numPr>
          <w:ilvl w:val="0"/>
          <w:numId w:val="0"/>
        </w:numPr>
        <w:bidi w:val="0"/>
        <w:spacing w:line="336" w:lineRule="auto"/>
        <w:rPr>
          <w:rFonts w:hint="eastAsia" w:ascii="仿宋" w:hAnsi="仿宋" w:eastAsia="仿宋" w:cs="仿宋"/>
          <w:highlight w:val="none"/>
          <w:lang w:val="en-US" w:eastAsia="zh-CN"/>
        </w:rPr>
      </w:pP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2、申请人控股关系说明</w:t>
      </w: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申请人下属控股单位： </w:t>
      </w:r>
      <w:r>
        <w:rPr>
          <w:rFonts w:hint="eastAsia" w:ascii="仿宋" w:hAnsi="仿宋" w:eastAsia="仿宋" w:cs="仿宋"/>
          <w:color w:val="000000"/>
          <w:kern w:val="2"/>
          <w:sz w:val="24"/>
          <w:szCs w:val="24"/>
          <w:highlight w:val="none"/>
          <w:u w:val="single"/>
          <w:lang w:val="en-US" w:eastAsia="zh-CN" w:bidi="ar-SA"/>
        </w:rPr>
        <w:t xml:space="preserve">                 </w:t>
      </w: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申请人上属被控股单位：</w:t>
      </w:r>
      <w:r>
        <w:rPr>
          <w:rFonts w:hint="eastAsia" w:ascii="仿宋" w:hAnsi="仿宋" w:eastAsia="仿宋" w:cs="仿宋"/>
          <w:color w:val="000000"/>
          <w:kern w:val="2"/>
          <w:sz w:val="24"/>
          <w:szCs w:val="24"/>
          <w:highlight w:val="none"/>
          <w:u w:val="single"/>
          <w:lang w:val="en-US" w:eastAsia="zh-CN" w:bidi="ar-SA"/>
        </w:rPr>
        <w:t xml:space="preserve">                </w:t>
      </w: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3、申请人管理关系说明</w:t>
      </w: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u w:val="single"/>
          <w:lang w:val="en-US" w:eastAsia="zh-CN" w:bidi="ar-SA"/>
        </w:rPr>
      </w:pPr>
      <w:r>
        <w:rPr>
          <w:rFonts w:hint="eastAsia" w:ascii="仿宋" w:hAnsi="仿宋" w:eastAsia="仿宋" w:cs="仿宋"/>
          <w:color w:val="000000"/>
          <w:kern w:val="2"/>
          <w:sz w:val="24"/>
          <w:szCs w:val="24"/>
          <w:highlight w:val="none"/>
          <w:lang w:val="en-US" w:eastAsia="zh-CN" w:bidi="ar-SA"/>
        </w:rPr>
        <w:t xml:space="preserve">申请人下属管理单位： </w:t>
      </w:r>
      <w:r>
        <w:rPr>
          <w:rFonts w:hint="eastAsia" w:ascii="仿宋" w:hAnsi="仿宋" w:eastAsia="仿宋" w:cs="仿宋"/>
          <w:color w:val="000000"/>
          <w:kern w:val="2"/>
          <w:sz w:val="24"/>
          <w:szCs w:val="24"/>
          <w:highlight w:val="none"/>
          <w:u w:val="single"/>
          <w:lang w:val="en-US" w:eastAsia="zh-CN" w:bidi="ar-SA"/>
        </w:rPr>
        <w:t xml:space="preserve">                   </w:t>
      </w: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管理职责（行政、人事等）：</w:t>
      </w:r>
      <w:r>
        <w:rPr>
          <w:rFonts w:hint="eastAsia" w:ascii="仿宋" w:hAnsi="仿宋" w:eastAsia="仿宋" w:cs="仿宋"/>
          <w:color w:val="000000"/>
          <w:kern w:val="2"/>
          <w:sz w:val="24"/>
          <w:szCs w:val="24"/>
          <w:highlight w:val="none"/>
          <w:u w:val="single"/>
          <w:lang w:val="en-US" w:eastAsia="zh-CN" w:bidi="ar-SA"/>
        </w:rPr>
        <w:t xml:space="preserve">              </w:t>
      </w: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申请人上属被管理管理： </w:t>
      </w:r>
      <w:r>
        <w:rPr>
          <w:rFonts w:hint="eastAsia" w:ascii="仿宋" w:hAnsi="仿宋" w:eastAsia="仿宋" w:cs="仿宋"/>
          <w:color w:val="000000"/>
          <w:kern w:val="2"/>
          <w:sz w:val="24"/>
          <w:szCs w:val="24"/>
          <w:highlight w:val="none"/>
          <w:u w:val="single"/>
          <w:lang w:val="en-US" w:eastAsia="zh-CN" w:bidi="ar-SA"/>
        </w:rPr>
        <w:t xml:space="preserve">                 </w:t>
      </w: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管理职责（行政、人事等）：</w:t>
      </w:r>
      <w:r>
        <w:rPr>
          <w:rFonts w:hint="eastAsia" w:ascii="仿宋" w:hAnsi="仿宋" w:eastAsia="仿宋" w:cs="仿宋"/>
          <w:color w:val="000000"/>
          <w:kern w:val="2"/>
          <w:sz w:val="24"/>
          <w:szCs w:val="24"/>
          <w:highlight w:val="none"/>
          <w:u w:val="single"/>
          <w:lang w:val="en-US" w:eastAsia="zh-CN" w:bidi="ar-SA"/>
        </w:rPr>
        <w:t xml:space="preserve">              </w:t>
      </w: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p>
    <w:p>
      <w:pPr>
        <w:pStyle w:val="15"/>
        <w:pageBreakBefore w:val="0"/>
        <w:kinsoku/>
        <w:bidi w:val="0"/>
        <w:spacing w:line="336"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我单位承诺以上说明真实有效，无虚假内容或隐瞒。</w:t>
      </w:r>
    </w:p>
    <w:p>
      <w:pPr>
        <w:pageBreakBefore w:val="0"/>
        <w:kinsoku/>
        <w:bidi w:val="0"/>
        <w:spacing w:line="336" w:lineRule="auto"/>
        <w:ind w:firstLine="4080" w:firstLineChars="1700"/>
        <w:rPr>
          <w:rFonts w:hint="eastAsia" w:ascii="仿宋" w:hAnsi="仿宋" w:eastAsia="仿宋" w:cs="仿宋"/>
          <w:sz w:val="24"/>
          <w:szCs w:val="24"/>
          <w:highlight w:val="none"/>
          <w:lang w:val="zh-CN"/>
        </w:rPr>
      </w:pPr>
    </w:p>
    <w:p>
      <w:pPr>
        <w:pageBreakBefore w:val="0"/>
        <w:kinsoku/>
        <w:bidi w:val="0"/>
        <w:spacing w:line="336" w:lineRule="auto"/>
        <w:rPr>
          <w:rFonts w:hint="eastAsia" w:ascii="仿宋" w:hAnsi="仿宋" w:eastAsia="仿宋" w:cs="仿宋"/>
          <w:sz w:val="24"/>
          <w:highlight w:val="none"/>
          <w:lang w:val="zh-CN"/>
        </w:rPr>
      </w:pP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highlight w:val="none"/>
          <w:lang w:val="en-US" w:eastAsia="zh-CN"/>
        </w:rPr>
      </w:pPr>
      <w:r>
        <w:rPr>
          <w:rFonts w:hint="eastAsia" w:ascii="仿宋" w:hAnsi="仿宋" w:eastAsia="仿宋" w:cs="仿宋"/>
          <w:sz w:val="24"/>
          <w:highlight w:val="none"/>
          <w:lang w:val="zh-CN"/>
        </w:rPr>
        <w:t>日期：</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pageBreakBefore w:val="0"/>
        <w:bidi w:val="0"/>
        <w:spacing w:line="336"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pageBreakBefore w:val="0"/>
        <w:numPr>
          <w:ilvl w:val="0"/>
          <w:numId w:val="42"/>
        </w:numPr>
        <w:kinsoku/>
        <w:overflowPunct/>
        <w:bidi w:val="0"/>
        <w:spacing w:line="336" w:lineRule="auto"/>
        <w:ind w:firstLine="0"/>
        <w:jc w:val="center"/>
        <w:outlineLvl w:val="0"/>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lang w:val="en-US" w:eastAsia="zh-CN"/>
        </w:rPr>
        <w:t>服务及商务</w:t>
      </w:r>
      <w:r>
        <w:rPr>
          <w:rFonts w:hint="eastAsia" w:ascii="仿宋" w:hAnsi="仿宋" w:eastAsia="仿宋" w:cs="仿宋"/>
          <w:b/>
          <w:color w:val="000000"/>
          <w:sz w:val="36"/>
          <w:szCs w:val="36"/>
          <w:highlight w:val="none"/>
        </w:rPr>
        <w:t>偏离表</w:t>
      </w:r>
    </w:p>
    <w:p>
      <w:pPr>
        <w:pStyle w:val="15"/>
        <w:pageBreakBefore w:val="0"/>
        <w:bidi w:val="0"/>
        <w:spacing w:line="336" w:lineRule="auto"/>
        <w:rPr>
          <w:rFonts w:hint="eastAsia" w:ascii="仿宋" w:hAnsi="仿宋" w:eastAsia="仿宋" w:cs="仿宋"/>
          <w:highlight w:val="none"/>
        </w:rPr>
      </w:pPr>
    </w:p>
    <w:p>
      <w:pPr>
        <w:pageBreakBefore w:val="0"/>
        <w:kinsoku/>
        <w:bidi w:val="0"/>
        <w:spacing w:line="336" w:lineRule="auto"/>
        <w:ind w:firstLine="480" w:firstLineChars="200"/>
        <w:rPr>
          <w:rFonts w:hint="eastAsia" w:ascii="仿宋" w:hAnsi="仿宋" w:eastAsia="仿宋" w:cs="仿宋"/>
          <w:sz w:val="24"/>
          <w:szCs w:val="24"/>
          <w:highlight w:val="none"/>
          <w:u w:val="single"/>
        </w:rPr>
      </w:pPr>
      <w:bookmarkStart w:id="47" w:name="_Toc194663925"/>
      <w:bookmarkStart w:id="48" w:name="_Toc47261690"/>
      <w:bookmarkStart w:id="49" w:name="_Toc47418938"/>
      <w:bookmarkStart w:id="50" w:name="_Toc49019497"/>
      <w:bookmarkStart w:id="51" w:name="_Toc188808839"/>
      <w:bookmarkStart w:id="52" w:name="_Toc47418731"/>
      <w:bookmarkStart w:id="53" w:name="_Toc47262069"/>
      <w:bookmarkStart w:id="54" w:name="_Toc47418255"/>
      <w:bookmarkStart w:id="55" w:name="_Toc193126888"/>
      <w:bookmarkStart w:id="56" w:name="_Toc48995851"/>
      <w:bookmarkStart w:id="57" w:name="_Toc47261885"/>
      <w:bookmarkStart w:id="58" w:name="_Toc49019236"/>
      <w:bookmarkStart w:id="59" w:name="_Toc193187104"/>
      <w:bookmarkStart w:id="60" w:name="_Toc48791235"/>
      <w:r>
        <w:rPr>
          <w:rFonts w:hint="eastAsia" w:ascii="仿宋" w:hAnsi="仿宋" w:eastAsia="仿宋" w:cs="仿宋"/>
          <w:sz w:val="24"/>
          <w:szCs w:val="24"/>
          <w:highlight w:val="none"/>
        </w:rPr>
        <w:t>项目名称：</w:t>
      </w:r>
    </w:p>
    <w:p>
      <w:pPr>
        <w:pageBreakBefore w:val="0"/>
        <w:kinsoku/>
        <w:bidi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38"/>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jc w:val="center"/>
              <w:rPr>
                <w:rFonts w:eastAsia="仿宋" w:cs="仿宋"/>
                <w:b/>
                <w:color w:val="auto"/>
                <w:sz w:val="24"/>
                <w:szCs w:val="24"/>
              </w:rPr>
            </w:pPr>
            <w:r>
              <w:rPr>
                <w:rFonts w:hint="eastAsia" w:eastAsia="仿宋" w:cs="仿宋"/>
                <w:b/>
                <w:color w:val="auto"/>
                <w:sz w:val="24"/>
                <w:szCs w:val="24"/>
              </w:rPr>
              <w:t>序号</w:t>
            </w:r>
          </w:p>
        </w:tc>
        <w:tc>
          <w:tcPr>
            <w:tcW w:w="2678" w:type="dxa"/>
            <w:tcMar>
              <w:top w:w="57" w:type="dxa"/>
              <w:left w:w="28" w:type="dxa"/>
              <w:bottom w:w="57" w:type="dxa"/>
              <w:right w:w="28" w:type="dxa"/>
            </w:tcMar>
            <w:vAlign w:val="center"/>
          </w:tcPr>
          <w:p>
            <w:pPr>
              <w:spacing w:line="480" w:lineRule="exact"/>
              <w:jc w:val="center"/>
              <w:rPr>
                <w:rFonts w:eastAsia="仿宋" w:cs="仿宋"/>
                <w:b/>
                <w:color w:val="auto"/>
                <w:sz w:val="24"/>
                <w:szCs w:val="24"/>
              </w:rPr>
            </w:pPr>
            <w:r>
              <w:rPr>
                <w:rFonts w:hint="eastAsia" w:eastAsia="仿宋" w:cs="仿宋"/>
                <w:b/>
                <w:color w:val="auto"/>
                <w:sz w:val="24"/>
                <w:szCs w:val="24"/>
              </w:rPr>
              <w:t>竞争性磋商文件</w:t>
            </w:r>
          </w:p>
          <w:p>
            <w:pPr>
              <w:spacing w:line="480" w:lineRule="exact"/>
              <w:jc w:val="center"/>
              <w:rPr>
                <w:rFonts w:eastAsia="仿宋" w:cs="仿宋"/>
                <w:b/>
                <w:color w:val="auto"/>
                <w:sz w:val="24"/>
                <w:szCs w:val="24"/>
              </w:rPr>
            </w:pPr>
            <w:r>
              <w:rPr>
                <w:rFonts w:hint="eastAsia" w:eastAsia="仿宋" w:cs="仿宋"/>
                <w:b/>
                <w:color w:val="auto"/>
                <w:sz w:val="24"/>
                <w:szCs w:val="24"/>
              </w:rPr>
              <w:t>服务、商务要求</w:t>
            </w:r>
          </w:p>
        </w:tc>
        <w:tc>
          <w:tcPr>
            <w:tcW w:w="2700" w:type="dxa"/>
            <w:tcMar>
              <w:top w:w="57" w:type="dxa"/>
              <w:left w:w="28" w:type="dxa"/>
              <w:bottom w:w="57" w:type="dxa"/>
              <w:right w:w="28" w:type="dxa"/>
            </w:tcMar>
            <w:vAlign w:val="center"/>
          </w:tcPr>
          <w:p>
            <w:pPr>
              <w:spacing w:line="480" w:lineRule="exact"/>
              <w:jc w:val="center"/>
              <w:rPr>
                <w:rFonts w:eastAsia="仿宋" w:cs="仿宋"/>
                <w:b/>
                <w:color w:val="auto"/>
                <w:sz w:val="24"/>
                <w:szCs w:val="24"/>
              </w:rPr>
            </w:pPr>
            <w:r>
              <w:rPr>
                <w:rFonts w:hint="eastAsia" w:eastAsia="仿宋" w:cs="仿宋"/>
                <w:b/>
                <w:color w:val="auto"/>
                <w:sz w:val="24"/>
                <w:szCs w:val="24"/>
              </w:rPr>
              <w:t>竞争性磋商响应文件</w:t>
            </w:r>
          </w:p>
          <w:p>
            <w:pPr>
              <w:spacing w:line="480" w:lineRule="exact"/>
              <w:jc w:val="center"/>
              <w:rPr>
                <w:rFonts w:eastAsia="仿宋" w:cs="仿宋"/>
                <w:b/>
                <w:color w:val="auto"/>
                <w:sz w:val="24"/>
                <w:szCs w:val="24"/>
              </w:rPr>
            </w:pPr>
            <w:r>
              <w:rPr>
                <w:rFonts w:hint="eastAsia" w:eastAsia="仿宋" w:cs="仿宋"/>
                <w:b/>
                <w:color w:val="auto"/>
                <w:sz w:val="24"/>
                <w:szCs w:val="24"/>
              </w:rPr>
              <w:t>服务、商务响应</w:t>
            </w:r>
          </w:p>
        </w:tc>
        <w:tc>
          <w:tcPr>
            <w:tcW w:w="1650" w:type="dxa"/>
            <w:tcMar>
              <w:top w:w="57" w:type="dxa"/>
              <w:left w:w="28" w:type="dxa"/>
              <w:bottom w:w="57" w:type="dxa"/>
              <w:right w:w="28" w:type="dxa"/>
            </w:tcMar>
            <w:vAlign w:val="center"/>
          </w:tcPr>
          <w:p>
            <w:pPr>
              <w:spacing w:line="480" w:lineRule="exact"/>
              <w:jc w:val="center"/>
              <w:rPr>
                <w:rFonts w:eastAsia="仿宋" w:cs="仿宋"/>
                <w:b/>
                <w:color w:val="auto"/>
                <w:sz w:val="24"/>
                <w:szCs w:val="24"/>
              </w:rPr>
            </w:pPr>
            <w:r>
              <w:rPr>
                <w:rFonts w:hint="eastAsia" w:eastAsia="仿宋" w:cs="仿宋"/>
                <w:b/>
                <w:color w:val="auto"/>
                <w:sz w:val="24"/>
                <w:szCs w:val="24"/>
              </w:rPr>
              <w:t>偏离情况</w:t>
            </w:r>
          </w:p>
        </w:tc>
        <w:tc>
          <w:tcPr>
            <w:tcW w:w="1438" w:type="dxa"/>
            <w:vAlign w:val="center"/>
          </w:tcPr>
          <w:p>
            <w:pPr>
              <w:spacing w:line="480" w:lineRule="exact"/>
              <w:jc w:val="center"/>
              <w:rPr>
                <w:rFonts w:eastAsia="仿宋" w:cs="仿宋"/>
                <w:b/>
                <w:color w:val="auto"/>
                <w:sz w:val="24"/>
                <w:szCs w:val="24"/>
              </w:rPr>
            </w:pPr>
            <w:r>
              <w:rPr>
                <w:rFonts w:hint="eastAsia" w:eastAsia="仿宋" w:cs="仿宋"/>
                <w:b/>
                <w:color w:val="auto"/>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rPr>
                <w:rFonts w:eastAsia="仿宋" w:cs="仿宋"/>
                <w:color w:val="auto"/>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jc w:val="center"/>
              <w:rPr>
                <w:rFonts w:eastAsia="仿宋" w:cs="仿宋"/>
                <w:b/>
                <w:color w:val="auto"/>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jc w:val="center"/>
              <w:rPr>
                <w:rFonts w:eastAsia="仿宋" w:cs="仿宋"/>
                <w:b/>
                <w:color w:val="auto"/>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rPr>
                <w:rFonts w:eastAsia="仿宋" w:cs="仿宋"/>
                <w:color w:val="auto"/>
                <w:sz w:val="24"/>
                <w:szCs w:val="24"/>
              </w:rPr>
            </w:pPr>
          </w:p>
        </w:tc>
        <w:tc>
          <w:tcPr>
            <w:tcW w:w="1438" w:type="dxa"/>
            <w:tcBorders>
              <w:bottom w:val="single" w:color="auto" w:sz="4" w:space="0"/>
            </w:tcBorders>
            <w:vAlign w:val="center"/>
          </w:tcPr>
          <w:p>
            <w:pPr>
              <w:spacing w:line="480" w:lineRule="exact"/>
              <w:rPr>
                <w:rFonts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rPr>
                <w:rFonts w:eastAsia="仿宋" w:cs="仿宋"/>
                <w:color w:val="auto"/>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rPr>
                <w:rFonts w:eastAsia="仿宋" w:cs="仿宋"/>
                <w:color w:val="auto"/>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rPr>
                <w:rFonts w:eastAsia="仿宋" w:cs="仿宋"/>
                <w:color w:val="auto"/>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rPr>
                <w:rFonts w:eastAsia="仿宋" w:cs="仿宋"/>
                <w:color w:val="auto"/>
                <w:sz w:val="24"/>
                <w:szCs w:val="24"/>
              </w:rPr>
            </w:pPr>
          </w:p>
        </w:tc>
        <w:tc>
          <w:tcPr>
            <w:tcW w:w="1438" w:type="dxa"/>
            <w:tcBorders>
              <w:bottom w:val="single" w:color="auto" w:sz="4" w:space="0"/>
            </w:tcBorders>
            <w:vAlign w:val="center"/>
          </w:tcPr>
          <w:p>
            <w:pPr>
              <w:spacing w:line="480" w:lineRule="exact"/>
              <w:rPr>
                <w:rFonts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678"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70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65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438" w:type="dxa"/>
            <w:vAlign w:val="center"/>
          </w:tcPr>
          <w:p>
            <w:pPr>
              <w:spacing w:line="480" w:lineRule="exact"/>
              <w:rPr>
                <w:rFonts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678"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70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65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438" w:type="dxa"/>
            <w:vAlign w:val="center"/>
          </w:tcPr>
          <w:p>
            <w:pPr>
              <w:spacing w:line="480" w:lineRule="exact"/>
              <w:rPr>
                <w:rFonts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678"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70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65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438" w:type="dxa"/>
            <w:vAlign w:val="center"/>
          </w:tcPr>
          <w:p>
            <w:pPr>
              <w:spacing w:line="480" w:lineRule="exact"/>
              <w:rPr>
                <w:rFonts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678"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70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65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438" w:type="dxa"/>
            <w:vAlign w:val="center"/>
          </w:tcPr>
          <w:p>
            <w:pPr>
              <w:spacing w:line="480" w:lineRule="exact"/>
              <w:rPr>
                <w:rFonts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678"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70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65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438" w:type="dxa"/>
            <w:vAlign w:val="center"/>
          </w:tcPr>
          <w:p>
            <w:pPr>
              <w:spacing w:line="480" w:lineRule="exact"/>
              <w:rPr>
                <w:rFonts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678"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270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650" w:type="dxa"/>
            <w:tcMar>
              <w:top w:w="57" w:type="dxa"/>
              <w:left w:w="28" w:type="dxa"/>
              <w:bottom w:w="57" w:type="dxa"/>
              <w:right w:w="28" w:type="dxa"/>
            </w:tcMar>
            <w:vAlign w:val="center"/>
          </w:tcPr>
          <w:p>
            <w:pPr>
              <w:spacing w:line="480" w:lineRule="exact"/>
              <w:rPr>
                <w:rFonts w:eastAsia="仿宋" w:cs="仿宋"/>
                <w:color w:val="auto"/>
                <w:sz w:val="24"/>
                <w:szCs w:val="24"/>
              </w:rPr>
            </w:pPr>
          </w:p>
        </w:tc>
        <w:tc>
          <w:tcPr>
            <w:tcW w:w="1438" w:type="dxa"/>
            <w:vAlign w:val="center"/>
          </w:tcPr>
          <w:p>
            <w:pPr>
              <w:spacing w:line="480" w:lineRule="exact"/>
              <w:rPr>
                <w:rFonts w:eastAsia="仿宋" w:cs="仿宋"/>
                <w:color w:val="auto"/>
                <w:sz w:val="24"/>
                <w:szCs w:val="24"/>
              </w:rPr>
            </w:pPr>
          </w:p>
        </w:tc>
      </w:tr>
    </w:tbl>
    <w:p>
      <w:pPr>
        <w:pStyle w:val="2"/>
        <w:rPr>
          <w:rFonts w:hint="eastAsia"/>
        </w:rPr>
      </w:pPr>
    </w:p>
    <w:p>
      <w:pPr>
        <w:pageBreakBefore w:val="0"/>
        <w:kinsoku/>
        <w:bidi w:val="0"/>
        <w:spacing w:line="336" w:lineRule="auto"/>
        <w:rPr>
          <w:rFonts w:hint="eastAsia" w:ascii="仿宋" w:hAnsi="仿宋" w:eastAsia="仿宋" w:cs="仿宋"/>
          <w:szCs w:val="21"/>
          <w:highlight w:val="none"/>
        </w:rPr>
      </w:pPr>
      <w:r>
        <w:rPr>
          <w:rFonts w:hint="eastAsia" w:ascii="仿宋" w:hAnsi="仿宋" w:eastAsia="仿宋" w:cs="仿宋"/>
          <w:szCs w:val="21"/>
          <w:highlight w:val="none"/>
        </w:rPr>
        <w:t>声明：</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本表只填写</w:t>
      </w:r>
      <w:r>
        <w:rPr>
          <w:rFonts w:hint="eastAsia" w:ascii="仿宋" w:hAnsi="仿宋" w:eastAsia="仿宋" w:cs="仿宋"/>
          <w:szCs w:val="21"/>
          <w:highlight w:val="none"/>
          <w:lang w:eastAsia="zh-CN"/>
        </w:rPr>
        <w:t>响应文件</w:t>
      </w:r>
      <w:r>
        <w:rPr>
          <w:rFonts w:hint="eastAsia" w:ascii="仿宋" w:hAnsi="仿宋" w:eastAsia="仿宋" w:cs="仿宋"/>
          <w:szCs w:val="21"/>
          <w:highlight w:val="none"/>
        </w:rPr>
        <w:t>中与</w:t>
      </w:r>
      <w:r>
        <w:rPr>
          <w:rFonts w:hint="eastAsia" w:ascii="仿宋" w:hAnsi="仿宋" w:eastAsia="仿宋" w:cs="仿宋"/>
          <w:szCs w:val="21"/>
          <w:highlight w:val="none"/>
          <w:lang w:eastAsia="zh-CN"/>
        </w:rPr>
        <w:t>磋商文件</w:t>
      </w:r>
      <w:r>
        <w:rPr>
          <w:rFonts w:hint="eastAsia" w:ascii="仿宋" w:hAnsi="仿宋" w:eastAsia="仿宋" w:cs="仿宋"/>
          <w:szCs w:val="21"/>
          <w:highlight w:val="none"/>
        </w:rPr>
        <w:t>有偏离（包括正偏离和负偏离）的内容，</w:t>
      </w:r>
      <w:r>
        <w:rPr>
          <w:rFonts w:hint="eastAsia" w:ascii="仿宋" w:hAnsi="仿宋" w:eastAsia="仿宋" w:cs="仿宋"/>
          <w:b/>
          <w:bCs/>
          <w:szCs w:val="21"/>
          <w:highlight w:val="none"/>
          <w:lang w:eastAsia="zh-CN"/>
        </w:rPr>
        <w:t>响应文件</w:t>
      </w:r>
      <w:r>
        <w:rPr>
          <w:rFonts w:hint="eastAsia" w:ascii="仿宋" w:hAnsi="仿宋" w:eastAsia="仿宋" w:cs="仿宋"/>
          <w:b/>
          <w:bCs/>
          <w:szCs w:val="21"/>
          <w:highlight w:val="none"/>
        </w:rPr>
        <w:t>中的</w:t>
      </w:r>
      <w:r>
        <w:rPr>
          <w:rFonts w:hint="eastAsia" w:ascii="仿宋" w:hAnsi="仿宋" w:eastAsia="仿宋" w:cs="仿宋"/>
          <w:b/>
          <w:bCs/>
          <w:szCs w:val="21"/>
          <w:highlight w:val="none"/>
          <w:lang w:val="en-US" w:eastAsia="zh-CN"/>
        </w:rPr>
        <w:t>服务及</w:t>
      </w:r>
      <w:r>
        <w:rPr>
          <w:rFonts w:hint="eastAsia" w:ascii="仿宋" w:hAnsi="仿宋" w:eastAsia="仿宋" w:cs="仿宋"/>
          <w:b/>
          <w:bCs/>
          <w:szCs w:val="21"/>
          <w:highlight w:val="none"/>
        </w:rPr>
        <w:t>商务响应与</w:t>
      </w:r>
      <w:r>
        <w:rPr>
          <w:rFonts w:hint="eastAsia" w:ascii="仿宋" w:hAnsi="仿宋" w:eastAsia="仿宋" w:cs="仿宋"/>
          <w:b/>
          <w:bCs/>
          <w:szCs w:val="21"/>
          <w:highlight w:val="none"/>
          <w:lang w:eastAsia="zh-CN"/>
        </w:rPr>
        <w:t>磋商文件</w:t>
      </w:r>
      <w:r>
        <w:rPr>
          <w:rFonts w:hint="eastAsia" w:ascii="仿宋" w:hAnsi="仿宋" w:eastAsia="仿宋" w:cs="仿宋"/>
          <w:b/>
          <w:bCs/>
          <w:szCs w:val="21"/>
          <w:highlight w:val="none"/>
        </w:rPr>
        <w:t>要求完全一致的，不用在此表中列出，但必须提交空白表</w:t>
      </w:r>
      <w:r>
        <w:rPr>
          <w:rFonts w:hint="eastAsia" w:ascii="仿宋" w:hAnsi="仿宋" w:eastAsia="仿宋" w:cs="仿宋"/>
          <w:szCs w:val="21"/>
          <w:highlight w:val="none"/>
        </w:rPr>
        <w:t>。</w:t>
      </w:r>
    </w:p>
    <w:p>
      <w:pPr>
        <w:pStyle w:val="113"/>
        <w:pageBreakBefore w:val="0"/>
        <w:widowControl/>
        <w:numPr>
          <w:ilvl w:val="0"/>
          <w:numId w:val="48"/>
        </w:numPr>
        <w:tabs>
          <w:tab w:val="left" w:pos="630"/>
        </w:tabs>
        <w:kinsoku/>
        <w:bidi w:val="0"/>
        <w:spacing w:line="336" w:lineRule="auto"/>
        <w:ind w:firstLine="420" w:firstLineChars="200"/>
        <w:rPr>
          <w:rFonts w:hint="eastAsia" w:ascii="仿宋" w:hAnsi="仿宋" w:eastAsia="仿宋" w:cs="仿宋"/>
          <w:highlight w:val="none"/>
        </w:rPr>
      </w:pPr>
      <w:r>
        <w:rPr>
          <w:rFonts w:hint="eastAsia" w:ascii="仿宋" w:hAnsi="仿宋" w:eastAsia="仿宋" w:cs="仿宋"/>
          <w:highlight w:val="none"/>
        </w:rPr>
        <w:t>“偏离情况”栏注明“正偏离”</w:t>
      </w:r>
      <w:r>
        <w:rPr>
          <w:rFonts w:hint="eastAsia" w:ascii="仿宋" w:hAnsi="仿宋" w:eastAsia="仿宋" w:cs="仿宋"/>
          <w:highlight w:val="none"/>
          <w:lang w:eastAsia="zh-CN"/>
        </w:rPr>
        <w:t>、</w:t>
      </w:r>
      <w:r>
        <w:rPr>
          <w:rFonts w:hint="eastAsia" w:ascii="仿宋" w:hAnsi="仿宋" w:eastAsia="仿宋" w:cs="仿宋"/>
          <w:highlight w:val="none"/>
        </w:rPr>
        <w:t>“负偏离”</w:t>
      </w:r>
      <w:r>
        <w:rPr>
          <w:rFonts w:hint="eastAsia" w:ascii="仿宋" w:hAnsi="仿宋" w:eastAsia="仿宋" w:cs="仿宋"/>
          <w:highlight w:val="none"/>
          <w:lang w:val="en-US" w:eastAsia="zh-CN"/>
        </w:rPr>
        <w:t>或“无偏离”</w:t>
      </w:r>
      <w:r>
        <w:rPr>
          <w:rFonts w:hint="eastAsia" w:ascii="仿宋" w:hAnsi="仿宋" w:eastAsia="仿宋" w:cs="仿宋"/>
          <w:highlight w:val="none"/>
        </w:rPr>
        <w:t>。</w:t>
      </w:r>
    </w:p>
    <w:p>
      <w:pPr>
        <w:pStyle w:val="113"/>
        <w:pageBreakBefore w:val="0"/>
        <w:widowControl/>
        <w:numPr>
          <w:ilvl w:val="0"/>
          <w:numId w:val="48"/>
        </w:numPr>
        <w:tabs>
          <w:tab w:val="left" w:pos="630"/>
        </w:tabs>
        <w:kinsoku/>
        <w:bidi w:val="0"/>
        <w:spacing w:line="336" w:lineRule="auto"/>
        <w:ind w:firstLine="420" w:firstLineChars="200"/>
        <w:rPr>
          <w:rFonts w:hint="eastAsia" w:ascii="仿宋" w:hAnsi="仿宋" w:eastAsia="仿宋" w:cs="仿宋"/>
          <w:highlight w:val="none"/>
          <w:lang w:val="zh-CN"/>
        </w:rPr>
      </w:pPr>
      <w:r>
        <w:rPr>
          <w:rFonts w:hint="eastAsia" w:ascii="仿宋" w:hAnsi="仿宋" w:eastAsia="仿宋" w:cs="仿宋"/>
          <w:highlight w:val="none"/>
          <w:lang w:eastAsia="zh-CN"/>
        </w:rPr>
        <w:t>供应商</w:t>
      </w:r>
      <w:r>
        <w:rPr>
          <w:rFonts w:hint="eastAsia" w:ascii="仿宋" w:hAnsi="仿宋" w:eastAsia="仿宋" w:cs="仿宋"/>
          <w:highlight w:val="none"/>
        </w:rPr>
        <w:t>必须据实填写，不得虚假投标，否则将取消其中标资格，并按有关规定进行处罚。</w:t>
      </w:r>
    </w:p>
    <w:p>
      <w:pPr>
        <w:pStyle w:val="113"/>
        <w:pageBreakBefore w:val="0"/>
        <w:widowControl/>
        <w:numPr>
          <w:ilvl w:val="0"/>
          <w:numId w:val="48"/>
        </w:numPr>
        <w:tabs>
          <w:tab w:val="left" w:pos="630"/>
        </w:tabs>
        <w:kinsoku/>
        <w:bidi w:val="0"/>
        <w:spacing w:line="336" w:lineRule="auto"/>
        <w:ind w:firstLine="420" w:firstLineChars="200"/>
        <w:rPr>
          <w:rFonts w:hint="eastAsia" w:ascii="仿宋" w:hAnsi="仿宋" w:eastAsia="仿宋" w:cs="仿宋"/>
          <w:highlight w:val="none"/>
          <w:lang w:val="zh-CN"/>
        </w:rPr>
      </w:pPr>
      <w:r>
        <w:rPr>
          <w:rFonts w:hint="eastAsia" w:ascii="仿宋" w:hAnsi="仿宋" w:eastAsia="仿宋" w:cs="仿宋"/>
          <w:highlight w:val="none"/>
        </w:rPr>
        <w:t>除本表中所列的偏离项目外，其他所有</w:t>
      </w:r>
      <w:r>
        <w:rPr>
          <w:rFonts w:hint="eastAsia" w:ascii="仿宋" w:hAnsi="仿宋" w:eastAsia="仿宋" w:cs="仿宋"/>
          <w:highlight w:val="none"/>
          <w:lang w:val="en-US" w:eastAsia="zh-CN"/>
        </w:rPr>
        <w:t>服务及</w:t>
      </w:r>
      <w:r>
        <w:rPr>
          <w:rFonts w:hint="eastAsia" w:ascii="仿宋" w:hAnsi="仿宋" w:eastAsia="仿宋" w:cs="仿宋"/>
          <w:highlight w:val="none"/>
        </w:rPr>
        <w:t>商务均完全响应“磋商文件”中的要求。</w:t>
      </w:r>
    </w:p>
    <w:p>
      <w:pPr>
        <w:pStyle w:val="15"/>
        <w:pageBreakBefore w:val="0"/>
        <w:bidi w:val="0"/>
        <w:spacing w:line="336" w:lineRule="auto"/>
        <w:rPr>
          <w:rFonts w:hint="eastAsia" w:ascii="仿宋" w:hAnsi="仿宋" w:eastAsia="仿宋" w:cs="仿宋"/>
          <w:b/>
          <w:color w:val="000000"/>
          <w:sz w:val="28"/>
          <w:szCs w:val="28"/>
          <w:highlight w:val="none"/>
          <w:lang w:val="en-US" w:eastAsia="zh-CN"/>
        </w:rPr>
      </w:pP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szCs w:val="24"/>
          <w:highlight w:val="none"/>
          <w:lang w:val="zh-CN"/>
        </w:rPr>
      </w:pPr>
      <w:r>
        <w:rPr>
          <w:rFonts w:hint="eastAsia" w:ascii="仿宋" w:hAnsi="仿宋" w:eastAsia="仿宋" w:cs="仿宋"/>
          <w:sz w:val="24"/>
          <w:highlight w:val="none"/>
          <w:lang w:val="zh-CN"/>
        </w:rPr>
        <w:t>日期：</w:t>
      </w:r>
      <w:r>
        <w:rPr>
          <w:rFonts w:hint="eastAsia" w:ascii="仿宋" w:hAnsi="仿宋" w:eastAsia="仿宋" w:cs="仿宋"/>
          <w:szCs w:val="24"/>
          <w:highlight w:val="none"/>
          <w:u w:val="single"/>
          <w:lang w:val="zh-CN"/>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lang w:val="zh-CN"/>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lang w:val="zh-CN"/>
        </w:rPr>
        <w:t xml:space="preserve">      </w:t>
      </w:r>
      <w:r>
        <w:rPr>
          <w:rFonts w:hint="eastAsia" w:ascii="仿宋" w:hAnsi="仿宋" w:eastAsia="仿宋" w:cs="仿宋"/>
          <w:szCs w:val="24"/>
          <w:highlight w:val="none"/>
          <w:lang w:val="zh-CN"/>
        </w:rPr>
        <w:t>日</w:t>
      </w:r>
    </w:p>
    <w:p>
      <w:pPr>
        <w:pStyle w:val="15"/>
        <w:pageBreakBefore w:val="0"/>
        <w:bidi w:val="0"/>
        <w:spacing w:line="336" w:lineRule="auto"/>
        <w:rPr>
          <w:rFonts w:hint="eastAsia" w:ascii="仿宋" w:hAnsi="仿宋" w:eastAsia="仿宋" w:cs="仿宋"/>
          <w:szCs w:val="24"/>
          <w:highlight w:val="none"/>
          <w:lang w:val="zh-CN"/>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p>
      <w:pPr>
        <w:pageBreakBefore w:val="0"/>
        <w:overflowPunct/>
        <w:bidi w:val="0"/>
        <w:spacing w:afterAutospacing="0" w:line="336" w:lineRule="auto"/>
        <w:rPr>
          <w:rFonts w:hint="eastAsia" w:ascii="仿宋" w:hAnsi="仿宋" w:eastAsia="仿宋" w:cs="仿宋"/>
          <w:b/>
          <w:color w:val="auto"/>
          <w:sz w:val="28"/>
          <w:szCs w:val="28"/>
          <w:highlight w:val="none"/>
          <w:lang w:val="en-US" w:eastAsia="zh-CN"/>
        </w:rPr>
      </w:pPr>
    </w:p>
    <w:p>
      <w:pPr>
        <w:pageBreakBefore w:val="0"/>
        <w:bidi w:val="0"/>
        <w:spacing w:line="336" w:lineRule="auto"/>
        <w:rPr>
          <w:rFonts w:hint="eastAsia" w:ascii="仿宋" w:hAnsi="仿宋" w:eastAsia="仿宋" w:cs="仿宋"/>
          <w:b/>
          <w:color w:val="000000"/>
          <w:sz w:val="36"/>
          <w:szCs w:val="36"/>
          <w:highlight w:val="none"/>
        </w:rPr>
      </w:pPr>
      <w:bookmarkStart w:id="61" w:name="_Toc26902"/>
      <w:r>
        <w:rPr>
          <w:rFonts w:hint="eastAsia" w:ascii="仿宋" w:hAnsi="仿宋" w:eastAsia="仿宋" w:cs="仿宋"/>
          <w:b/>
          <w:color w:val="000000"/>
          <w:sz w:val="36"/>
          <w:szCs w:val="36"/>
          <w:highlight w:val="none"/>
          <w:lang w:eastAsia="zh-CN"/>
        </w:rPr>
        <w:br w:type="page"/>
      </w:r>
    </w:p>
    <w:p>
      <w:pPr>
        <w:pageBreakBefore w:val="0"/>
        <w:numPr>
          <w:ilvl w:val="0"/>
          <w:numId w:val="42"/>
        </w:numPr>
        <w:kinsoku/>
        <w:overflowPunct/>
        <w:bidi w:val="0"/>
        <w:spacing w:line="336" w:lineRule="auto"/>
        <w:ind w:firstLine="0"/>
        <w:jc w:val="center"/>
        <w:outlineLvl w:val="0"/>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lang w:eastAsia="zh-CN"/>
        </w:rPr>
        <w:t>人员配置</w:t>
      </w:r>
      <w:bookmarkEnd w:id="61"/>
    </w:p>
    <w:p>
      <w:pPr>
        <w:pageBreakBefore w:val="0"/>
        <w:numPr>
          <w:ilvl w:val="0"/>
          <w:numId w:val="0"/>
        </w:numPr>
        <w:kinsoku/>
        <w:bidi w:val="0"/>
        <w:spacing w:line="336" w:lineRule="auto"/>
        <w:jc w:val="center"/>
        <w:rPr>
          <w:rFonts w:hint="eastAsia" w:ascii="仿宋" w:hAnsi="仿宋" w:eastAsia="仿宋" w:cs="仿宋"/>
          <w:b/>
          <w:sz w:val="32"/>
          <w:szCs w:val="21"/>
          <w:highlight w:val="none"/>
        </w:rPr>
      </w:pPr>
    </w:p>
    <w:p>
      <w:pPr>
        <w:pageBreakBefore w:val="0"/>
        <w:numPr>
          <w:ilvl w:val="0"/>
          <w:numId w:val="0"/>
        </w:numPr>
        <w:kinsoku/>
        <w:bidi w:val="0"/>
        <w:spacing w:line="336" w:lineRule="auto"/>
        <w:jc w:val="center"/>
        <w:rPr>
          <w:rFonts w:hint="eastAsia" w:ascii="仿宋" w:hAnsi="仿宋" w:eastAsia="仿宋" w:cs="仿宋"/>
          <w:b/>
          <w:sz w:val="32"/>
          <w:szCs w:val="21"/>
          <w:highlight w:val="none"/>
        </w:rPr>
      </w:pPr>
      <w:r>
        <w:rPr>
          <w:rFonts w:hint="eastAsia" w:ascii="仿宋" w:hAnsi="仿宋" w:eastAsia="仿宋" w:cs="仿宋"/>
          <w:b/>
          <w:sz w:val="32"/>
          <w:szCs w:val="21"/>
          <w:highlight w:val="none"/>
        </w:rPr>
        <w:t>拟投入项目人员</w:t>
      </w:r>
      <w:r>
        <w:rPr>
          <w:rFonts w:hint="eastAsia" w:ascii="仿宋" w:hAnsi="仿宋" w:eastAsia="仿宋" w:cs="仿宋"/>
          <w:b/>
          <w:sz w:val="32"/>
          <w:szCs w:val="21"/>
          <w:highlight w:val="none"/>
          <w:lang w:eastAsia="zh-CN"/>
        </w:rPr>
        <w:t>汇总</w:t>
      </w:r>
      <w:r>
        <w:rPr>
          <w:rFonts w:hint="eastAsia" w:ascii="仿宋" w:hAnsi="仿宋" w:eastAsia="仿宋" w:cs="仿宋"/>
          <w:b/>
          <w:sz w:val="32"/>
          <w:szCs w:val="21"/>
          <w:highlight w:val="none"/>
        </w:rPr>
        <w:t>表</w:t>
      </w:r>
    </w:p>
    <w:p>
      <w:pPr>
        <w:pStyle w:val="36"/>
        <w:pageBreakBefore w:val="0"/>
        <w:kinsoku/>
        <w:bidi w:val="0"/>
        <w:spacing w:line="336" w:lineRule="auto"/>
        <w:ind w:firstLine="0"/>
        <w:rPr>
          <w:rFonts w:hint="eastAsia" w:ascii="仿宋" w:hAnsi="仿宋" w:eastAsia="仿宋" w:cs="仿宋"/>
          <w:b/>
          <w:sz w:val="32"/>
          <w:szCs w:val="21"/>
          <w:highlight w:val="none"/>
        </w:rPr>
      </w:pPr>
    </w:p>
    <w:tbl>
      <w:tblPr>
        <w:tblStyle w:val="38"/>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33"/>
        <w:gridCol w:w="1633"/>
        <w:gridCol w:w="1633"/>
        <w:gridCol w:w="1722"/>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4" w:hRule="atLeast"/>
          <w:jc w:val="center"/>
        </w:trPr>
        <w:tc>
          <w:tcPr>
            <w:tcW w:w="797" w:type="dxa"/>
            <w:noWrap w:val="0"/>
            <w:vAlign w:val="center"/>
          </w:tcPr>
          <w:p>
            <w:pPr>
              <w:pageBreakBefore w:val="0"/>
              <w:kinsoku/>
              <w:bidi w:val="0"/>
              <w:spacing w:line="336" w:lineRule="auto"/>
              <w:jc w:val="center"/>
              <w:rPr>
                <w:rFonts w:hint="eastAsia" w:ascii="仿宋" w:hAnsi="仿宋" w:eastAsia="仿宋" w:cs="仿宋"/>
                <w:b/>
                <w:bCs w:val="0"/>
                <w:sz w:val="22"/>
                <w:szCs w:val="22"/>
                <w:highlight w:val="none"/>
              </w:rPr>
            </w:pPr>
            <w:r>
              <w:rPr>
                <w:rFonts w:hint="eastAsia" w:ascii="仿宋" w:hAnsi="仿宋" w:eastAsia="仿宋" w:cs="仿宋"/>
                <w:b/>
                <w:bCs w:val="0"/>
                <w:sz w:val="22"/>
                <w:szCs w:val="22"/>
                <w:highlight w:val="none"/>
              </w:rPr>
              <w:t>序号</w:t>
            </w:r>
          </w:p>
        </w:tc>
        <w:tc>
          <w:tcPr>
            <w:tcW w:w="1633" w:type="dxa"/>
            <w:noWrap w:val="0"/>
            <w:vAlign w:val="center"/>
          </w:tcPr>
          <w:p>
            <w:pPr>
              <w:pageBreakBefore w:val="0"/>
              <w:kinsoku/>
              <w:bidi w:val="0"/>
              <w:spacing w:line="336" w:lineRule="auto"/>
              <w:jc w:val="center"/>
              <w:rPr>
                <w:rFonts w:hint="eastAsia" w:ascii="仿宋" w:hAnsi="仿宋" w:eastAsia="仿宋" w:cs="仿宋"/>
                <w:b/>
                <w:bCs w:val="0"/>
                <w:sz w:val="22"/>
                <w:szCs w:val="22"/>
                <w:highlight w:val="none"/>
              </w:rPr>
            </w:pPr>
            <w:r>
              <w:rPr>
                <w:rFonts w:hint="eastAsia" w:ascii="仿宋" w:hAnsi="仿宋" w:eastAsia="仿宋" w:cs="仿宋"/>
                <w:b/>
                <w:bCs w:val="0"/>
                <w:sz w:val="22"/>
                <w:szCs w:val="22"/>
                <w:highlight w:val="none"/>
              </w:rPr>
              <w:t>姓名</w:t>
            </w:r>
          </w:p>
        </w:tc>
        <w:tc>
          <w:tcPr>
            <w:tcW w:w="1633" w:type="dxa"/>
            <w:noWrap w:val="0"/>
            <w:vAlign w:val="center"/>
          </w:tcPr>
          <w:p>
            <w:pPr>
              <w:pageBreakBefore w:val="0"/>
              <w:kinsoku/>
              <w:bidi w:val="0"/>
              <w:spacing w:line="336" w:lineRule="auto"/>
              <w:jc w:val="center"/>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22"/>
                <w:szCs w:val="22"/>
                <w:highlight w:val="none"/>
                <w:lang w:val="en-US" w:eastAsia="zh-CN"/>
              </w:rPr>
              <w:t>性别</w:t>
            </w:r>
          </w:p>
        </w:tc>
        <w:tc>
          <w:tcPr>
            <w:tcW w:w="1633" w:type="dxa"/>
            <w:noWrap w:val="0"/>
            <w:vAlign w:val="center"/>
          </w:tcPr>
          <w:p>
            <w:pPr>
              <w:pageBreakBefore w:val="0"/>
              <w:kinsoku/>
              <w:bidi w:val="0"/>
              <w:spacing w:line="336" w:lineRule="auto"/>
              <w:jc w:val="center"/>
              <w:rPr>
                <w:rFonts w:hint="eastAsia" w:ascii="仿宋" w:hAnsi="仿宋" w:eastAsia="仿宋" w:cs="仿宋"/>
                <w:b/>
                <w:bCs w:val="0"/>
                <w:sz w:val="22"/>
                <w:szCs w:val="22"/>
                <w:highlight w:val="none"/>
              </w:rPr>
            </w:pPr>
            <w:r>
              <w:rPr>
                <w:rFonts w:hint="eastAsia" w:ascii="仿宋" w:hAnsi="仿宋" w:eastAsia="仿宋" w:cs="仿宋"/>
                <w:b/>
                <w:bCs w:val="0"/>
                <w:sz w:val="22"/>
                <w:szCs w:val="22"/>
                <w:highlight w:val="none"/>
              </w:rPr>
              <w:t>年龄</w:t>
            </w:r>
          </w:p>
        </w:tc>
        <w:tc>
          <w:tcPr>
            <w:tcW w:w="1722" w:type="dxa"/>
            <w:noWrap w:val="0"/>
            <w:vAlign w:val="center"/>
          </w:tcPr>
          <w:p>
            <w:pPr>
              <w:pageBreakBefore w:val="0"/>
              <w:kinsoku/>
              <w:bidi w:val="0"/>
              <w:spacing w:line="336" w:lineRule="auto"/>
              <w:jc w:val="center"/>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22"/>
                <w:szCs w:val="22"/>
                <w:highlight w:val="none"/>
                <w:lang w:val="en-US" w:eastAsia="zh-CN"/>
              </w:rPr>
              <w:t>学历</w:t>
            </w:r>
          </w:p>
        </w:tc>
        <w:tc>
          <w:tcPr>
            <w:tcW w:w="1722" w:type="dxa"/>
            <w:noWrap w:val="0"/>
            <w:vAlign w:val="center"/>
          </w:tcPr>
          <w:p>
            <w:pPr>
              <w:pageBreakBefore w:val="0"/>
              <w:kinsoku/>
              <w:bidi w:val="0"/>
              <w:spacing w:line="336" w:lineRule="auto"/>
              <w:jc w:val="center"/>
              <w:rPr>
                <w:rFonts w:hint="eastAsia" w:ascii="仿宋" w:hAnsi="仿宋" w:eastAsia="仿宋" w:cs="仿宋"/>
                <w:b/>
                <w:bCs w:val="0"/>
                <w:sz w:val="22"/>
                <w:szCs w:val="22"/>
                <w:highlight w:val="none"/>
              </w:rPr>
            </w:pPr>
            <w:r>
              <w:rPr>
                <w:rFonts w:hint="eastAsia" w:ascii="仿宋" w:hAnsi="仿宋" w:eastAsia="仿宋" w:cs="仿宋"/>
                <w:b/>
                <w:bCs w:val="0"/>
                <w:sz w:val="22"/>
                <w:szCs w:val="22"/>
                <w:highlight w:val="none"/>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97"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97"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97"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97"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97"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97"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633" w:type="dxa"/>
            <w:noWrap w:val="0"/>
            <w:vAlign w:val="center"/>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c>
          <w:tcPr>
            <w:tcW w:w="1722" w:type="dxa"/>
            <w:noWrap w:val="0"/>
            <w:vAlign w:val="top"/>
          </w:tcPr>
          <w:p>
            <w:pPr>
              <w:pageBreakBefore w:val="0"/>
              <w:kinsoku/>
              <w:bidi w:val="0"/>
              <w:spacing w:line="336" w:lineRule="auto"/>
              <w:jc w:val="center"/>
              <w:rPr>
                <w:rFonts w:hint="eastAsia" w:ascii="仿宋" w:hAnsi="仿宋" w:eastAsia="仿宋" w:cs="仿宋"/>
                <w:sz w:val="18"/>
                <w:szCs w:val="20"/>
                <w:highlight w:val="none"/>
              </w:rPr>
            </w:pPr>
          </w:p>
        </w:tc>
      </w:tr>
    </w:tbl>
    <w:p>
      <w:pPr>
        <w:pageBreakBefore w:val="0"/>
        <w:kinsoku/>
        <w:autoSpaceDE w:val="0"/>
        <w:autoSpaceDN w:val="0"/>
        <w:bidi w:val="0"/>
        <w:spacing w:line="336" w:lineRule="auto"/>
        <w:ind w:firstLine="234" w:firstLineChars="100"/>
        <w:rPr>
          <w:rFonts w:hint="eastAsia" w:ascii="仿宋" w:hAnsi="仿宋" w:eastAsia="仿宋" w:cs="仿宋"/>
          <w:spacing w:val="-3"/>
          <w:sz w:val="24"/>
          <w:highlight w:val="none"/>
        </w:rPr>
      </w:pPr>
    </w:p>
    <w:p>
      <w:pPr>
        <w:pageBreakBefore w:val="0"/>
        <w:kinsoku/>
        <w:autoSpaceDE w:val="0"/>
        <w:autoSpaceDN w:val="0"/>
        <w:bidi w:val="0"/>
        <w:spacing w:line="336" w:lineRule="auto"/>
        <w:ind w:firstLine="723" w:firstLineChars="300"/>
        <w:rPr>
          <w:rFonts w:hint="eastAsia" w:ascii="仿宋" w:hAnsi="仿宋" w:eastAsia="仿宋" w:cs="仿宋"/>
          <w:spacing w:val="-3"/>
          <w:sz w:val="24"/>
          <w:highlight w:val="none"/>
        </w:rPr>
      </w:pPr>
      <w:r>
        <w:rPr>
          <w:rFonts w:hint="eastAsia" w:ascii="仿宋" w:hAnsi="仿宋" w:eastAsia="仿宋" w:cs="仿宋"/>
          <w:b/>
          <w:bCs/>
          <w:color w:val="auto"/>
          <w:kern w:val="2"/>
          <w:sz w:val="24"/>
          <w:szCs w:val="24"/>
          <w:highlight w:val="none"/>
          <w:lang w:val="en-US" w:eastAsia="zh-CN" w:bidi="ar-SA"/>
        </w:rPr>
        <w:t>说明：供应商可根据情况自行添加相关证明材料。</w:t>
      </w:r>
    </w:p>
    <w:p>
      <w:pPr>
        <w:pageBreakBefore w:val="0"/>
        <w:kinsoku/>
        <w:bidi w:val="0"/>
        <w:spacing w:line="336" w:lineRule="auto"/>
        <w:rPr>
          <w:rFonts w:hint="eastAsia" w:ascii="仿宋" w:hAnsi="仿宋" w:eastAsia="仿宋" w:cs="仿宋"/>
          <w:szCs w:val="21"/>
          <w:highlight w:val="none"/>
        </w:rPr>
      </w:pPr>
    </w:p>
    <w:p>
      <w:pPr>
        <w:pStyle w:val="15"/>
        <w:pageBreakBefore w:val="0"/>
        <w:kinsoku/>
        <w:bidi w:val="0"/>
        <w:spacing w:line="336" w:lineRule="auto"/>
        <w:rPr>
          <w:rFonts w:hint="eastAsia" w:ascii="仿宋" w:hAnsi="仿宋" w:eastAsia="仿宋" w:cs="仿宋"/>
          <w:szCs w:val="21"/>
          <w:highlight w:val="none"/>
        </w:rPr>
      </w:pPr>
    </w:p>
    <w:p>
      <w:pPr>
        <w:pageBreakBefore w:val="0"/>
        <w:kinsoku/>
        <w:bidi w:val="0"/>
        <w:spacing w:line="336" w:lineRule="auto"/>
        <w:rPr>
          <w:rFonts w:hint="eastAsia" w:ascii="仿宋" w:hAnsi="仿宋" w:eastAsia="仿宋" w:cs="仿宋"/>
          <w:highlight w:val="none"/>
        </w:rPr>
      </w:pP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日期：</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pageBreakBefore w:val="0"/>
        <w:bidi w:val="0"/>
        <w:spacing w:line="336" w:lineRule="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pStyle w:val="15"/>
        <w:pageBreakBefore w:val="0"/>
        <w:kinsoku/>
        <w:overflowPunct/>
        <w:bidi w:val="0"/>
        <w:spacing w:line="336" w:lineRule="auto"/>
        <w:jc w:val="center"/>
        <w:rPr>
          <w:rFonts w:hint="eastAsia" w:ascii="仿宋" w:hAnsi="仿宋" w:eastAsia="仿宋" w:cs="仿宋"/>
          <w:b/>
          <w:color w:val="auto"/>
          <w:sz w:val="32"/>
          <w:szCs w:val="32"/>
          <w:highlight w:val="none"/>
        </w:rPr>
      </w:pPr>
    </w:p>
    <w:p>
      <w:pPr>
        <w:pStyle w:val="15"/>
        <w:pageBreakBefore w:val="0"/>
        <w:kinsoku/>
        <w:overflowPunct/>
        <w:bidi w:val="0"/>
        <w:spacing w:line="336"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拟派项目负责人情况表</w:t>
      </w:r>
    </w:p>
    <w:p>
      <w:pPr>
        <w:pStyle w:val="15"/>
        <w:pageBreakBefore w:val="0"/>
        <w:kinsoku/>
        <w:overflowPunct/>
        <w:bidi w:val="0"/>
        <w:spacing w:line="336" w:lineRule="auto"/>
        <w:rPr>
          <w:rFonts w:hint="eastAsia" w:ascii="仿宋" w:hAnsi="仿宋" w:eastAsia="仿宋" w:cs="仿宋"/>
          <w:b/>
          <w:color w:val="auto"/>
          <w:sz w:val="24"/>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081"/>
        <w:gridCol w:w="1157"/>
        <w:gridCol w:w="1574"/>
        <w:gridCol w:w="2171"/>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85"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姓  名</w:t>
            </w:r>
          </w:p>
        </w:tc>
        <w:tc>
          <w:tcPr>
            <w:tcW w:w="1081"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157"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年  龄</w:t>
            </w:r>
          </w:p>
        </w:tc>
        <w:tc>
          <w:tcPr>
            <w:tcW w:w="1574"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171"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学  历</w:t>
            </w:r>
          </w:p>
        </w:tc>
        <w:tc>
          <w:tcPr>
            <w:tcW w:w="1769"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85"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职  务</w:t>
            </w:r>
          </w:p>
        </w:tc>
        <w:tc>
          <w:tcPr>
            <w:tcW w:w="1081"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157"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专业</w:t>
            </w:r>
          </w:p>
        </w:tc>
        <w:tc>
          <w:tcPr>
            <w:tcW w:w="1574"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171"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拟在本项目任职</w:t>
            </w:r>
          </w:p>
        </w:tc>
        <w:tc>
          <w:tcPr>
            <w:tcW w:w="1769"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623" w:type="dxa"/>
            <w:gridSpan w:val="3"/>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证书编号</w:t>
            </w:r>
          </w:p>
        </w:tc>
        <w:tc>
          <w:tcPr>
            <w:tcW w:w="5514" w:type="dxa"/>
            <w:gridSpan w:val="3"/>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137" w:type="dxa"/>
            <w:gridSpan w:val="6"/>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85"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时  间</w:t>
            </w:r>
          </w:p>
        </w:tc>
        <w:tc>
          <w:tcPr>
            <w:tcW w:w="2238" w:type="dxa"/>
            <w:gridSpan w:val="2"/>
            <w:noWrap w:val="0"/>
            <w:vAlign w:val="center"/>
          </w:tcPr>
          <w:p>
            <w:pPr>
              <w:pageBreakBefore w:val="0"/>
              <w:kinsoku/>
              <w:overflowPunct/>
              <w:bidi w:val="0"/>
              <w:spacing w:line="336" w:lineRule="auto"/>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担任过的项目名称</w:t>
            </w:r>
          </w:p>
        </w:tc>
        <w:tc>
          <w:tcPr>
            <w:tcW w:w="1574"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但任何职</w:t>
            </w:r>
          </w:p>
        </w:tc>
        <w:tc>
          <w:tcPr>
            <w:tcW w:w="2171" w:type="dxa"/>
            <w:noWrap w:val="0"/>
            <w:vAlign w:val="center"/>
          </w:tcPr>
          <w:p>
            <w:pPr>
              <w:pageBreakBefore w:val="0"/>
              <w:kinsoku/>
              <w:overflowPunct/>
              <w:bidi w:val="0"/>
              <w:spacing w:line="336" w:lineRule="auto"/>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主要工作内容</w:t>
            </w:r>
          </w:p>
        </w:tc>
        <w:tc>
          <w:tcPr>
            <w:tcW w:w="1769"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85"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238" w:type="dxa"/>
            <w:gridSpan w:val="2"/>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574"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171"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769"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85"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238" w:type="dxa"/>
            <w:gridSpan w:val="2"/>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574"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171"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769"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85"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238" w:type="dxa"/>
            <w:gridSpan w:val="2"/>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574"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171"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769"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85"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238" w:type="dxa"/>
            <w:gridSpan w:val="2"/>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574"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2171"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c>
          <w:tcPr>
            <w:tcW w:w="1769" w:type="dxa"/>
            <w:noWrap w:val="0"/>
            <w:vAlign w:val="center"/>
          </w:tcPr>
          <w:p>
            <w:pPr>
              <w:pageBreakBefore w:val="0"/>
              <w:kinsoku/>
              <w:overflowPunct/>
              <w:bidi w:val="0"/>
              <w:spacing w:line="336" w:lineRule="auto"/>
              <w:jc w:val="center"/>
              <w:rPr>
                <w:rFonts w:hint="eastAsia" w:ascii="仿宋" w:hAnsi="仿宋" w:eastAsia="仿宋" w:cs="仿宋"/>
                <w:snapToGrid w:val="0"/>
                <w:sz w:val="24"/>
                <w:szCs w:val="24"/>
                <w:highlight w:val="none"/>
              </w:rPr>
            </w:pPr>
          </w:p>
        </w:tc>
      </w:tr>
    </w:tbl>
    <w:p>
      <w:pPr>
        <w:pStyle w:val="15"/>
        <w:pageBreakBefore w:val="0"/>
        <w:kinsoku/>
        <w:overflowPunct/>
        <w:bidi w:val="0"/>
        <w:spacing w:line="336" w:lineRule="auto"/>
        <w:ind w:firstLine="482" w:firstLineChars="200"/>
        <w:rPr>
          <w:rFonts w:hint="eastAsia" w:ascii="仿宋" w:hAnsi="仿宋" w:eastAsia="仿宋" w:cs="仿宋"/>
          <w:b/>
          <w:bCs/>
          <w:color w:val="auto"/>
          <w:sz w:val="24"/>
          <w:highlight w:val="none"/>
        </w:rPr>
      </w:pPr>
    </w:p>
    <w:p>
      <w:pPr>
        <w:pStyle w:val="15"/>
        <w:pageBreakBefore w:val="0"/>
        <w:kinsoku/>
        <w:overflowPunct/>
        <w:bidi w:val="0"/>
        <w:spacing w:line="336" w:lineRule="auto"/>
        <w:ind w:firstLine="482" w:firstLineChars="200"/>
        <w:rPr>
          <w:rFonts w:hint="eastAsia" w:ascii="仿宋" w:hAnsi="仿宋" w:eastAsia="仿宋" w:cs="仿宋"/>
          <w:b/>
          <w:bCs/>
          <w:sz w:val="24"/>
          <w:highlight w:val="none"/>
          <w:lang w:eastAsia="zh-CN"/>
        </w:rPr>
      </w:pPr>
      <w:r>
        <w:rPr>
          <w:rFonts w:hint="eastAsia" w:ascii="仿宋" w:hAnsi="仿宋" w:eastAsia="仿宋" w:cs="仿宋"/>
          <w:b/>
          <w:bCs/>
          <w:color w:val="auto"/>
          <w:sz w:val="24"/>
          <w:highlight w:val="none"/>
        </w:rPr>
        <w:t>注：供应商可根据情况自行添加相关证明材料。</w:t>
      </w:r>
    </w:p>
    <w:p>
      <w:pPr>
        <w:pageBreakBefore w:val="0"/>
        <w:kinsoku/>
        <w:bidi w:val="0"/>
        <w:spacing w:line="336" w:lineRule="auto"/>
        <w:rPr>
          <w:rFonts w:hint="eastAsia" w:ascii="仿宋" w:hAnsi="仿宋" w:eastAsia="仿宋" w:cs="仿宋"/>
          <w:b/>
          <w:bCs/>
          <w:sz w:val="24"/>
          <w:highlight w:val="none"/>
          <w:lang w:eastAsia="zh-CN"/>
        </w:rPr>
      </w:pPr>
    </w:p>
    <w:p>
      <w:pPr>
        <w:pageBreakBefore w:val="0"/>
        <w:kinsoku/>
        <w:bidi w:val="0"/>
        <w:spacing w:line="336" w:lineRule="auto"/>
        <w:rPr>
          <w:rFonts w:hint="eastAsia" w:ascii="仿宋" w:hAnsi="仿宋" w:eastAsia="仿宋" w:cs="仿宋"/>
          <w:highlight w:val="none"/>
        </w:rPr>
      </w:pPr>
    </w:p>
    <w:p>
      <w:pPr>
        <w:pStyle w:val="15"/>
        <w:pageBreakBefore w:val="0"/>
        <w:kinsoku/>
        <w:bidi w:val="0"/>
        <w:spacing w:line="336" w:lineRule="auto"/>
        <w:rPr>
          <w:rFonts w:hint="eastAsia" w:ascii="仿宋" w:hAnsi="仿宋" w:eastAsia="仿宋" w:cs="仿宋"/>
          <w:highlight w:val="none"/>
        </w:rPr>
      </w:pP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日期：</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pageBreakBefore w:val="0"/>
        <w:bidi w:val="0"/>
        <w:spacing w:line="336" w:lineRule="auto"/>
        <w:rPr>
          <w:rFonts w:hint="eastAsia" w:ascii="仿宋" w:hAnsi="仿宋" w:eastAsia="仿宋" w:cs="仿宋"/>
          <w:highlight w:val="none"/>
        </w:rPr>
      </w:pPr>
      <w:r>
        <w:rPr>
          <w:rFonts w:hint="eastAsia" w:ascii="仿宋" w:hAnsi="仿宋" w:eastAsia="仿宋" w:cs="仿宋"/>
          <w:highlight w:val="none"/>
        </w:rPr>
        <w:br w:type="page"/>
      </w:r>
    </w:p>
    <w:p>
      <w:pPr>
        <w:pageBreakBefore w:val="0"/>
        <w:numPr>
          <w:ilvl w:val="0"/>
          <w:numId w:val="42"/>
        </w:numPr>
        <w:kinsoku/>
        <w:overflowPunct/>
        <w:bidi w:val="0"/>
        <w:spacing w:line="336" w:lineRule="auto"/>
        <w:ind w:firstLine="0"/>
        <w:jc w:val="center"/>
        <w:outlineLvl w:val="0"/>
        <w:rPr>
          <w:rFonts w:hint="eastAsia" w:ascii="仿宋" w:hAnsi="仿宋" w:eastAsia="仿宋" w:cs="仿宋"/>
          <w:b/>
          <w:color w:val="000000"/>
          <w:sz w:val="36"/>
          <w:szCs w:val="36"/>
          <w:highlight w:val="none"/>
          <w:lang w:eastAsia="zh-CN"/>
        </w:rPr>
      </w:pPr>
      <w:bookmarkStart w:id="62" w:name="_Toc8821"/>
      <w:r>
        <w:rPr>
          <w:rFonts w:hint="eastAsia" w:ascii="仿宋" w:hAnsi="仿宋" w:eastAsia="仿宋" w:cs="仿宋"/>
          <w:b/>
          <w:color w:val="000000"/>
          <w:sz w:val="36"/>
          <w:szCs w:val="36"/>
          <w:highlight w:val="none"/>
          <w:lang w:eastAsia="zh-CN"/>
        </w:rPr>
        <w:t>磋商响应方案说明书</w:t>
      </w:r>
      <w:bookmarkEnd w:id="62"/>
    </w:p>
    <w:p>
      <w:pPr>
        <w:pStyle w:val="15"/>
        <w:pageBreakBefore w:val="0"/>
        <w:kinsoku/>
        <w:bidi w:val="0"/>
        <w:spacing w:line="336" w:lineRule="auto"/>
        <w:rPr>
          <w:rFonts w:hint="eastAsia" w:ascii="仿宋" w:hAnsi="仿宋" w:eastAsia="仿宋" w:cs="仿宋"/>
          <w:b/>
          <w:color w:val="000000"/>
          <w:sz w:val="32"/>
          <w:szCs w:val="32"/>
          <w:highlight w:val="none"/>
          <w:lang w:eastAsia="zh-CN"/>
        </w:rPr>
      </w:pPr>
    </w:p>
    <w:p>
      <w:pPr>
        <w:pageBreakBefore w:val="0"/>
        <w:kinsoku w:val="0"/>
        <w:bidi w:val="0"/>
        <w:spacing w:line="336" w:lineRule="auto"/>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按照磋商文件的要求编制响应方案说明书，参照磋商文件《</w:t>
      </w:r>
      <w:r>
        <w:rPr>
          <w:rFonts w:hint="eastAsia" w:ascii="仿宋" w:hAnsi="仿宋" w:eastAsia="仿宋" w:cs="仿宋"/>
          <w:b/>
          <w:bCs/>
          <w:sz w:val="24"/>
          <w:szCs w:val="32"/>
          <w:highlight w:val="none"/>
          <w:lang w:eastAsia="zh-CN"/>
        </w:rPr>
        <w:t>详细评审标准</w:t>
      </w:r>
      <w:r>
        <w:rPr>
          <w:rFonts w:hint="eastAsia" w:ascii="仿宋" w:hAnsi="仿宋" w:eastAsia="仿宋" w:cs="仿宋"/>
          <w:b/>
          <w:bCs/>
          <w:sz w:val="24"/>
          <w:szCs w:val="32"/>
          <w:highlight w:val="none"/>
        </w:rPr>
        <w:t>》各条款的要求，结合</w:t>
      </w:r>
      <w:r>
        <w:rPr>
          <w:rFonts w:hint="eastAsia" w:ascii="仿宋" w:hAnsi="仿宋" w:eastAsia="仿宋" w:cs="仿宋"/>
          <w:b/>
          <w:bCs/>
          <w:sz w:val="24"/>
          <w:szCs w:val="32"/>
          <w:highlight w:val="none"/>
          <w:lang w:val="en-US" w:eastAsia="zh-CN"/>
        </w:rPr>
        <w:t>服务</w:t>
      </w:r>
      <w:r>
        <w:rPr>
          <w:rFonts w:hint="eastAsia" w:ascii="仿宋" w:hAnsi="仿宋" w:eastAsia="仿宋" w:cs="仿宋"/>
          <w:b/>
          <w:bCs/>
          <w:sz w:val="24"/>
          <w:szCs w:val="32"/>
          <w:highlight w:val="none"/>
        </w:rPr>
        <w:t>内容及要求编制磋商响应方案。</w:t>
      </w:r>
    </w:p>
    <w:p>
      <w:pPr>
        <w:pageBreakBefore w:val="0"/>
        <w:kinsoku w:val="0"/>
        <w:bidi w:val="0"/>
        <w:spacing w:line="336" w:lineRule="auto"/>
        <w:ind w:firstLine="420" w:firstLineChars="200"/>
        <w:jc w:val="center"/>
        <w:rPr>
          <w:rFonts w:hint="eastAsia" w:ascii="仿宋" w:hAnsi="仿宋" w:eastAsia="仿宋" w:cs="仿宋"/>
          <w:bCs/>
          <w:szCs w:val="24"/>
          <w:highlight w:val="none"/>
        </w:rPr>
      </w:pPr>
    </w:p>
    <w:p>
      <w:pPr>
        <w:pageBreakBefore w:val="0"/>
        <w:kinsoku w:val="0"/>
        <w:bidi w:val="0"/>
        <w:spacing w:line="336" w:lineRule="auto"/>
        <w:ind w:firstLine="420" w:firstLineChars="200"/>
        <w:jc w:val="center"/>
        <w:rPr>
          <w:rFonts w:hint="eastAsia" w:ascii="仿宋" w:hAnsi="仿宋" w:eastAsia="仿宋" w:cs="仿宋"/>
          <w:bCs/>
          <w:szCs w:val="24"/>
          <w:highlight w:val="none"/>
        </w:rPr>
      </w:pPr>
    </w:p>
    <w:p>
      <w:pPr>
        <w:pageBreakBefore w:val="0"/>
        <w:kinsoku/>
        <w:bidi w:val="0"/>
        <w:spacing w:line="336" w:lineRule="auto"/>
        <w:jc w:val="center"/>
        <w:rPr>
          <w:rFonts w:hint="eastAsia" w:ascii="仿宋" w:hAnsi="仿宋" w:eastAsia="仿宋" w:cs="仿宋"/>
          <w:b/>
          <w:color w:val="000000"/>
          <w:sz w:val="32"/>
          <w:szCs w:val="32"/>
          <w:highlight w:val="none"/>
        </w:rPr>
      </w:pPr>
      <w:r>
        <w:rPr>
          <w:rFonts w:hint="eastAsia" w:ascii="仿宋" w:hAnsi="仿宋" w:eastAsia="仿宋" w:cs="仿宋"/>
          <w:b/>
          <w:sz w:val="24"/>
          <w:szCs w:val="24"/>
          <w:highlight w:val="none"/>
        </w:rPr>
        <w:t>（格式自拟）</w:t>
      </w:r>
    </w:p>
    <w:p>
      <w:pPr>
        <w:pageBreakBefore w:val="0"/>
        <w:kinsoku/>
        <w:bidi w:val="0"/>
        <w:spacing w:line="336" w:lineRule="auto"/>
        <w:rPr>
          <w:rFonts w:hint="eastAsia" w:ascii="仿宋" w:hAnsi="仿宋" w:eastAsia="仿宋" w:cs="仿宋"/>
          <w:highlight w:val="none"/>
          <w:lang w:eastAsia="zh-CN"/>
        </w:rPr>
      </w:pPr>
    </w:p>
    <w:p>
      <w:pPr>
        <w:pageBreakBefore w:val="0"/>
        <w:bidi w:val="0"/>
        <w:spacing w:line="336" w:lineRule="auto"/>
        <w:rPr>
          <w:rFonts w:hint="eastAsia" w:ascii="仿宋" w:hAnsi="仿宋" w:eastAsia="仿宋" w:cs="仿宋"/>
          <w:b/>
          <w:color w:val="000000"/>
          <w:sz w:val="36"/>
          <w:szCs w:val="36"/>
          <w:highlight w:val="none"/>
          <w:lang w:eastAsia="zh-CN"/>
        </w:rPr>
      </w:pPr>
      <w:bookmarkStart w:id="63" w:name="_Toc12579"/>
      <w:r>
        <w:rPr>
          <w:rFonts w:hint="eastAsia" w:ascii="仿宋" w:hAnsi="仿宋" w:eastAsia="仿宋" w:cs="仿宋"/>
          <w:b/>
          <w:color w:val="000000"/>
          <w:sz w:val="36"/>
          <w:szCs w:val="36"/>
          <w:highlight w:val="none"/>
          <w:lang w:eastAsia="zh-CN"/>
        </w:rPr>
        <w:br w:type="page"/>
      </w:r>
    </w:p>
    <w:p>
      <w:pPr>
        <w:pageBreakBefore w:val="0"/>
        <w:numPr>
          <w:ilvl w:val="0"/>
          <w:numId w:val="42"/>
        </w:numPr>
        <w:kinsoku/>
        <w:overflowPunct/>
        <w:bidi w:val="0"/>
        <w:spacing w:line="336" w:lineRule="auto"/>
        <w:ind w:firstLine="0"/>
        <w:jc w:val="center"/>
        <w:outlineLvl w:val="0"/>
        <w:rPr>
          <w:rFonts w:hint="eastAsia" w:ascii="仿宋" w:hAnsi="仿宋" w:eastAsia="仿宋" w:cs="仿宋"/>
          <w:b/>
          <w:color w:val="000000"/>
          <w:sz w:val="36"/>
          <w:szCs w:val="36"/>
          <w:highlight w:val="none"/>
          <w:lang w:eastAsia="zh-CN"/>
        </w:rPr>
      </w:pPr>
      <w:r>
        <w:rPr>
          <w:rFonts w:hint="eastAsia" w:ascii="仿宋" w:hAnsi="仿宋" w:eastAsia="仿宋" w:cs="仿宋"/>
          <w:b/>
          <w:color w:val="000000"/>
          <w:sz w:val="36"/>
          <w:szCs w:val="36"/>
          <w:highlight w:val="none"/>
          <w:lang w:eastAsia="zh-CN"/>
        </w:rPr>
        <w:t>相关从业经验</w:t>
      </w:r>
      <w:bookmarkEnd w:id="63"/>
    </w:p>
    <w:p>
      <w:pPr>
        <w:pageBreakBefore w:val="0"/>
        <w:kinsoku/>
        <w:bidi w:val="0"/>
        <w:spacing w:before="120" w:beforeLines="50" w:after="240" w:afterLines="100" w:line="336" w:lineRule="auto"/>
        <w:jc w:val="center"/>
        <w:outlineLvl w:val="2"/>
        <w:rPr>
          <w:rFonts w:hint="eastAsia" w:ascii="仿宋" w:hAnsi="仿宋" w:eastAsia="仿宋" w:cs="仿宋"/>
          <w:b/>
          <w:spacing w:val="4"/>
          <w:sz w:val="24"/>
          <w:highlight w:val="none"/>
        </w:rPr>
      </w:pPr>
      <w:r>
        <w:rPr>
          <w:rFonts w:hint="eastAsia" w:ascii="仿宋" w:hAnsi="仿宋" w:eastAsia="仿宋" w:cs="仿宋"/>
          <w:b/>
          <w:spacing w:val="4"/>
          <w:sz w:val="28"/>
          <w:szCs w:val="28"/>
          <w:highlight w:val="none"/>
        </w:rPr>
        <w:t>项目业绩情况表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业绩序号</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第   项 / 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项目所在地</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发包人名称</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发包人地址</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发包人联系人及电话</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合同价格</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lang w:eastAsia="zh-CN"/>
              </w:rPr>
              <w:t>保险期限</w:t>
            </w:r>
            <w:r>
              <w:rPr>
                <w:rFonts w:hint="eastAsia" w:ascii="仿宋" w:hAnsi="仿宋" w:eastAsia="仿宋" w:cs="仿宋"/>
                <w:sz w:val="24"/>
                <w:highlight w:val="none"/>
              </w:rPr>
              <w:t>限</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承担的工作</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项目负责人</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项目描述</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p>
            <w:pPr>
              <w:pageBreakBefore w:val="0"/>
              <w:kinsoku/>
              <w:bidi w:val="0"/>
              <w:spacing w:line="336"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564" w:type="dxa"/>
            <w:noWrap w:val="0"/>
            <w:vAlign w:val="center"/>
          </w:tcPr>
          <w:p>
            <w:pPr>
              <w:pageBreakBefore w:val="0"/>
              <w:kinsoku/>
              <w:bidi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c>
          <w:tcPr>
            <w:tcW w:w="6435" w:type="dxa"/>
            <w:noWrap w:val="0"/>
            <w:vAlign w:val="center"/>
          </w:tcPr>
          <w:p>
            <w:pPr>
              <w:pageBreakBefore w:val="0"/>
              <w:kinsoku/>
              <w:bidi w:val="0"/>
              <w:spacing w:line="336" w:lineRule="auto"/>
              <w:jc w:val="center"/>
              <w:rPr>
                <w:rFonts w:hint="eastAsia" w:ascii="仿宋" w:hAnsi="仿宋" w:eastAsia="仿宋" w:cs="仿宋"/>
                <w:sz w:val="24"/>
                <w:highlight w:val="none"/>
              </w:rPr>
            </w:pPr>
          </w:p>
        </w:tc>
      </w:tr>
    </w:tbl>
    <w:p>
      <w:pPr>
        <w:pageBreakBefore w:val="0"/>
        <w:kinsoku/>
        <w:bidi w:val="0"/>
        <w:spacing w:line="336" w:lineRule="auto"/>
        <w:ind w:firstLine="354" w:firstLineChars="147"/>
        <w:rPr>
          <w:rFonts w:hint="eastAsia" w:ascii="仿宋" w:hAnsi="仿宋" w:eastAsia="仿宋" w:cs="仿宋"/>
          <w:b/>
          <w:sz w:val="24"/>
          <w:highlight w:val="none"/>
        </w:rPr>
      </w:pPr>
    </w:p>
    <w:p>
      <w:pPr>
        <w:pStyle w:val="11"/>
        <w:pageBreakBefore w:val="0"/>
        <w:kinsoku/>
        <w:bidi w:val="0"/>
        <w:spacing w:line="336" w:lineRule="auto"/>
        <w:ind w:firstLine="480"/>
        <w:rPr>
          <w:rFonts w:hint="eastAsia" w:ascii="仿宋" w:hAnsi="仿宋" w:eastAsia="仿宋" w:cs="仿宋"/>
          <w:highlight w:val="none"/>
        </w:rPr>
      </w:pPr>
      <w:r>
        <w:rPr>
          <w:rFonts w:hint="eastAsia" w:ascii="仿宋" w:hAnsi="仿宋" w:eastAsia="仿宋" w:cs="仿宋"/>
          <w:sz w:val="24"/>
          <w:highlight w:val="none"/>
        </w:rPr>
        <w:t>备注：本表后附业绩证明材料复印件（加盖单位公章）。每张表格只填写一个项目，并标明序号。以提供的合同或中标通知书为准。时间以签订时间为准。</w:t>
      </w:r>
    </w:p>
    <w:p>
      <w:pPr>
        <w:pStyle w:val="15"/>
        <w:pageBreakBefore w:val="0"/>
        <w:kinsoku/>
        <w:bidi w:val="0"/>
        <w:spacing w:line="336" w:lineRule="auto"/>
        <w:rPr>
          <w:rFonts w:hint="eastAsia" w:ascii="仿宋" w:hAnsi="仿宋" w:eastAsia="仿宋" w:cs="仿宋"/>
          <w:b/>
          <w:sz w:val="36"/>
          <w:szCs w:val="36"/>
          <w:highlight w:val="none"/>
        </w:rPr>
      </w:pP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b/>
          <w:sz w:val="32"/>
          <w:szCs w:val="21"/>
          <w:highlight w:val="none"/>
        </w:rPr>
      </w:pPr>
      <w:r>
        <w:rPr>
          <w:rFonts w:hint="eastAsia" w:ascii="仿宋" w:hAnsi="仿宋" w:eastAsia="仿宋" w:cs="仿宋"/>
          <w:sz w:val="24"/>
          <w:szCs w:val="24"/>
          <w:highlight w:val="none"/>
          <w:lang w:val="zh-CN"/>
        </w:rPr>
        <w:t>日期：</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p>
    <w:p>
      <w:pPr>
        <w:pageBreakBefore w:val="0"/>
        <w:bidi w:val="0"/>
        <w:spacing w:line="336" w:lineRule="auto"/>
        <w:rPr>
          <w:rFonts w:hint="eastAsia" w:ascii="仿宋" w:hAnsi="仿宋" w:eastAsia="仿宋" w:cs="仿宋"/>
          <w:b/>
          <w:color w:val="000000"/>
          <w:sz w:val="36"/>
          <w:szCs w:val="36"/>
          <w:highlight w:val="none"/>
          <w:lang w:val="zh-CN"/>
        </w:rPr>
      </w:pPr>
      <w:r>
        <w:rPr>
          <w:rFonts w:hint="eastAsia" w:ascii="仿宋" w:hAnsi="仿宋" w:eastAsia="仿宋" w:cs="仿宋"/>
          <w:b/>
          <w:sz w:val="32"/>
          <w:szCs w:val="21"/>
          <w:highlight w:val="none"/>
        </w:rPr>
        <w:br w:type="page"/>
      </w:r>
      <w:bookmarkStart w:id="64" w:name="_Toc1636"/>
    </w:p>
    <w:p>
      <w:pPr>
        <w:pageBreakBefore w:val="0"/>
        <w:numPr>
          <w:ilvl w:val="0"/>
          <w:numId w:val="42"/>
        </w:numPr>
        <w:kinsoku/>
        <w:bidi w:val="0"/>
        <w:spacing w:line="336" w:lineRule="auto"/>
        <w:ind w:firstLine="0"/>
        <w:jc w:val="center"/>
        <w:outlineLvl w:val="0"/>
        <w:rPr>
          <w:rFonts w:hint="eastAsia" w:ascii="仿宋" w:hAnsi="仿宋" w:eastAsia="仿宋" w:cs="仿宋"/>
          <w:b/>
          <w:color w:val="000000"/>
          <w:sz w:val="36"/>
          <w:szCs w:val="36"/>
          <w:highlight w:val="none"/>
          <w:lang w:val="zh-CN"/>
        </w:rPr>
      </w:pPr>
      <w:bookmarkStart w:id="65" w:name="_Toc1828"/>
      <w:r>
        <w:rPr>
          <w:rFonts w:hint="eastAsia" w:ascii="仿宋" w:hAnsi="仿宋" w:eastAsia="仿宋" w:cs="仿宋"/>
          <w:b/>
          <w:color w:val="000000"/>
          <w:sz w:val="36"/>
          <w:szCs w:val="36"/>
          <w:highlight w:val="none"/>
          <w:lang w:val="en-US" w:eastAsia="zh-CN"/>
        </w:rPr>
        <w:t>中小企业声明函</w:t>
      </w:r>
      <w:bookmarkEnd w:id="65"/>
    </w:p>
    <w:p>
      <w:pPr>
        <w:pageBreakBefore w:val="0"/>
        <w:bidi w:val="0"/>
        <w:spacing w:line="336" w:lineRule="auto"/>
        <w:rPr>
          <w:rFonts w:hint="eastAsia" w:ascii="仿宋" w:hAnsi="仿宋" w:eastAsia="仿宋" w:cs="仿宋"/>
          <w:b/>
          <w:bCs/>
          <w:sz w:val="24"/>
          <w:szCs w:val="24"/>
          <w:highlight w:val="none"/>
          <w:lang w:eastAsia="zh-CN"/>
        </w:rPr>
      </w:pPr>
    </w:p>
    <w:p>
      <w:pPr>
        <w:pageBreakBefore w:val="0"/>
        <w:bidi w:val="0"/>
        <w:spacing w:line="336" w:lineRule="auto"/>
        <w:rPr>
          <w:rFonts w:hint="eastAsia" w:ascii="仿宋" w:hAnsi="仿宋" w:eastAsia="仿宋" w:cs="仿宋"/>
          <w:b w:val="0"/>
          <w:bCs w:val="0"/>
          <w:sz w:val="24"/>
          <w:szCs w:val="24"/>
          <w:highlight w:val="none"/>
          <w:lang w:eastAsia="zh-CN"/>
        </w:rPr>
      </w:pPr>
      <w:r>
        <w:rPr>
          <w:rFonts w:hint="eastAsia" w:ascii="仿宋" w:hAnsi="仿宋" w:eastAsia="仿宋" w:cs="仿宋"/>
          <w:b/>
          <w:bCs/>
          <w:sz w:val="24"/>
          <w:szCs w:val="24"/>
          <w:highlight w:val="none"/>
          <w:lang w:eastAsia="zh-CN"/>
        </w:rPr>
        <w:t>附件1： 中小企业声明函（货物）</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 </w:t>
      </w:r>
    </w:p>
    <w:p>
      <w:pPr>
        <w:pStyle w:val="11"/>
        <w:pageBreakBefore w:val="0"/>
        <w:bidi w:val="0"/>
        <w:spacing w:line="336" w:lineRule="auto"/>
        <w:ind w:left="0" w:leftChars="0" w:firstLine="0" w:firstLineChars="0"/>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中小企业声明函(货物)</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本公司(联合体)郑重声明，根据《政府采购促进中小企业发展管理办法》(财库(2020)46号)的规定，本公司(联合体)参加</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u w:val="single"/>
          <w:lang w:val="en-US" w:eastAsia="zh-CN"/>
        </w:rPr>
        <w:t>采购</w:t>
      </w:r>
      <w:r>
        <w:rPr>
          <w:rFonts w:hint="eastAsia" w:ascii="仿宋" w:hAnsi="仿宋" w:eastAsia="仿宋" w:cs="仿宋"/>
          <w:b w:val="0"/>
          <w:bCs w:val="0"/>
          <w:sz w:val="24"/>
          <w:szCs w:val="24"/>
          <w:highlight w:val="none"/>
          <w:u w:val="single"/>
          <w:lang w:eastAsia="zh-CN"/>
        </w:rPr>
        <w:t xml:space="preserve">单位名称)  </w:t>
      </w:r>
      <w:r>
        <w:rPr>
          <w:rFonts w:hint="eastAsia" w:ascii="仿宋" w:hAnsi="仿宋" w:eastAsia="仿宋" w:cs="仿宋"/>
          <w:b w:val="0"/>
          <w:bCs w:val="0"/>
          <w:sz w:val="24"/>
          <w:szCs w:val="24"/>
          <w:highlight w:val="none"/>
          <w:lang w:eastAsia="zh-CN"/>
        </w:rPr>
        <w:t>的</w:t>
      </w:r>
      <w:r>
        <w:rPr>
          <w:rFonts w:hint="eastAsia" w:ascii="仿宋" w:hAnsi="仿宋" w:eastAsia="仿宋" w:cs="仿宋"/>
          <w:b w:val="0"/>
          <w:bCs w:val="0"/>
          <w:sz w:val="24"/>
          <w:szCs w:val="24"/>
          <w:highlight w:val="none"/>
          <w:u w:val="single"/>
          <w:lang w:eastAsia="zh-CN"/>
        </w:rPr>
        <w:t xml:space="preserve"> (项目名称) </w:t>
      </w:r>
      <w:r>
        <w:rPr>
          <w:rFonts w:hint="eastAsia" w:ascii="仿宋" w:hAnsi="仿宋" w:eastAsia="仿宋" w:cs="仿宋"/>
          <w:b w:val="0"/>
          <w:bCs w:val="0"/>
          <w:sz w:val="24"/>
          <w:szCs w:val="24"/>
          <w:highlight w:val="none"/>
          <w:lang w:eastAsia="zh-CN"/>
        </w:rPr>
        <w:t>采购活动，提供的货物全部由符合政策要求的中小企业制造。相关企业(含联合体中的中小企业、签订分包意向协议的中小企业)的具体情况如下：</w:t>
      </w:r>
    </w:p>
    <w:p>
      <w:pPr>
        <w:pStyle w:val="11"/>
        <w:pageBreakBefore w:val="0"/>
        <w:numPr>
          <w:ilvl w:val="0"/>
          <w:numId w:val="0"/>
        </w:numPr>
        <w:bidi w:val="0"/>
        <w:spacing w:line="336" w:lineRule="auto"/>
        <w:ind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eastAsia="zh-CN"/>
        </w:rPr>
        <w:t xml:space="preserve">(标的名称)  </w:t>
      </w:r>
      <w:r>
        <w:rPr>
          <w:rFonts w:hint="eastAsia" w:ascii="仿宋" w:hAnsi="仿宋" w:eastAsia="仿宋" w:cs="仿宋"/>
          <w:b w:val="0"/>
          <w:bCs w:val="0"/>
          <w:sz w:val="24"/>
          <w:szCs w:val="24"/>
          <w:highlight w:val="none"/>
          <w:lang w:eastAsia="zh-CN"/>
        </w:rPr>
        <w:t>，属于</w:t>
      </w:r>
      <w:r>
        <w:rPr>
          <w:rFonts w:hint="eastAsia" w:ascii="仿宋" w:hAnsi="仿宋" w:eastAsia="仿宋" w:cs="仿宋"/>
          <w:b w:val="0"/>
          <w:bCs w:val="0"/>
          <w:sz w:val="24"/>
          <w:szCs w:val="24"/>
          <w:highlight w:val="none"/>
          <w:u w:val="single"/>
          <w:lang w:eastAsia="zh-CN"/>
        </w:rPr>
        <w:t xml:space="preserve">  ( 采购文件中明确的所属行业) </w:t>
      </w:r>
      <w:r>
        <w:rPr>
          <w:rFonts w:hint="eastAsia" w:ascii="仿宋" w:hAnsi="仿宋" w:eastAsia="仿宋" w:cs="仿宋"/>
          <w:b w:val="0"/>
          <w:bCs w:val="0"/>
          <w:sz w:val="24"/>
          <w:szCs w:val="24"/>
          <w:highlight w:val="none"/>
          <w:lang w:eastAsia="zh-CN"/>
        </w:rPr>
        <w:t>行业 ；制造商为</w:t>
      </w:r>
      <w:r>
        <w:rPr>
          <w:rFonts w:hint="eastAsia" w:ascii="仿宋" w:hAnsi="仿宋" w:eastAsia="仿宋" w:cs="仿宋"/>
          <w:b w:val="0"/>
          <w:bCs w:val="0"/>
          <w:sz w:val="24"/>
          <w:szCs w:val="24"/>
          <w:highlight w:val="none"/>
          <w:u w:val="single"/>
          <w:lang w:eastAsia="zh-CN"/>
        </w:rPr>
        <w:t xml:space="preserve"> (企业名称)  </w:t>
      </w:r>
      <w:r>
        <w:rPr>
          <w:rFonts w:hint="eastAsia" w:ascii="仿宋" w:hAnsi="仿宋" w:eastAsia="仿宋" w:cs="仿宋"/>
          <w:b w:val="0"/>
          <w:bCs w:val="0"/>
          <w:sz w:val="24"/>
          <w:szCs w:val="24"/>
          <w:highlight w:val="none"/>
          <w:lang w:eastAsia="zh-CN"/>
        </w:rPr>
        <w:t>，从业人员</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lang w:eastAsia="zh-CN"/>
        </w:rPr>
        <w:t>人，营业收入为</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lang w:eastAsia="zh-CN"/>
        </w:rPr>
        <w:t>万元，资产总额为</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lang w:eastAsia="zh-CN"/>
        </w:rPr>
        <w:t>万元，属于</w:t>
      </w:r>
      <w:r>
        <w:rPr>
          <w:rFonts w:hint="eastAsia" w:ascii="仿宋" w:hAnsi="仿宋" w:eastAsia="仿宋" w:cs="仿宋"/>
          <w:b w:val="0"/>
          <w:bCs w:val="0"/>
          <w:sz w:val="24"/>
          <w:szCs w:val="24"/>
          <w:highlight w:val="none"/>
          <w:u w:val="single"/>
          <w:lang w:eastAsia="zh-CN"/>
        </w:rPr>
        <w:t xml:space="preserve"> (中型企业、小型企业、微型企业）</w:t>
      </w:r>
      <w:r>
        <w:rPr>
          <w:rFonts w:hint="eastAsia" w:ascii="仿宋" w:hAnsi="仿宋" w:eastAsia="仿宋" w:cs="仿宋"/>
          <w:b w:val="0"/>
          <w:bCs w:val="0"/>
          <w:sz w:val="24"/>
          <w:szCs w:val="24"/>
          <w:highlight w:val="none"/>
          <w:lang w:eastAsia="zh-CN"/>
        </w:rPr>
        <w:t>；</w:t>
      </w: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2.</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eastAsia="zh-CN"/>
        </w:rPr>
        <w:t xml:space="preserve">(标的名称)  </w:t>
      </w:r>
      <w:r>
        <w:rPr>
          <w:rFonts w:hint="eastAsia" w:ascii="仿宋" w:hAnsi="仿宋" w:eastAsia="仿宋" w:cs="仿宋"/>
          <w:b w:val="0"/>
          <w:bCs w:val="0"/>
          <w:sz w:val="24"/>
          <w:szCs w:val="24"/>
          <w:highlight w:val="none"/>
          <w:lang w:eastAsia="zh-CN"/>
        </w:rPr>
        <w:t>，属于</w:t>
      </w:r>
      <w:r>
        <w:rPr>
          <w:rFonts w:hint="eastAsia" w:ascii="仿宋" w:hAnsi="仿宋" w:eastAsia="仿宋" w:cs="仿宋"/>
          <w:b w:val="0"/>
          <w:bCs w:val="0"/>
          <w:sz w:val="24"/>
          <w:szCs w:val="24"/>
          <w:highlight w:val="none"/>
          <w:u w:val="single"/>
          <w:lang w:eastAsia="zh-CN"/>
        </w:rPr>
        <w:t xml:space="preserve">  ( 采购文件中明确的所属行业) </w:t>
      </w:r>
      <w:r>
        <w:rPr>
          <w:rFonts w:hint="eastAsia" w:ascii="仿宋" w:hAnsi="仿宋" w:eastAsia="仿宋" w:cs="仿宋"/>
          <w:b w:val="0"/>
          <w:bCs w:val="0"/>
          <w:sz w:val="24"/>
          <w:szCs w:val="24"/>
          <w:highlight w:val="none"/>
          <w:lang w:eastAsia="zh-CN"/>
        </w:rPr>
        <w:t>行业 ；</w:t>
      </w:r>
      <w:r>
        <w:rPr>
          <w:rFonts w:hint="eastAsia" w:ascii="仿宋" w:hAnsi="仿宋" w:eastAsia="仿宋" w:cs="仿宋"/>
          <w:b w:val="0"/>
          <w:bCs w:val="0"/>
          <w:sz w:val="24"/>
          <w:szCs w:val="24"/>
          <w:highlight w:val="none"/>
          <w:u w:val="single"/>
          <w:lang w:eastAsia="zh-CN"/>
        </w:rPr>
        <w:t xml:space="preserve">制造商为 (企业名称)  </w:t>
      </w:r>
      <w:r>
        <w:rPr>
          <w:rFonts w:hint="eastAsia" w:ascii="仿宋" w:hAnsi="仿宋" w:eastAsia="仿宋" w:cs="仿宋"/>
          <w:b w:val="0"/>
          <w:bCs w:val="0"/>
          <w:sz w:val="24"/>
          <w:szCs w:val="24"/>
          <w:highlight w:val="none"/>
          <w:lang w:eastAsia="zh-CN"/>
        </w:rPr>
        <w:t>，从业人员</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lang w:eastAsia="zh-CN"/>
        </w:rPr>
        <w:t>人，营业收入为</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lang w:eastAsia="zh-CN"/>
        </w:rPr>
        <w:t>万元，资产总额为</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lang w:eastAsia="zh-CN"/>
        </w:rPr>
        <w:t>万元，属于</w:t>
      </w:r>
      <w:r>
        <w:rPr>
          <w:rFonts w:hint="eastAsia" w:ascii="仿宋" w:hAnsi="仿宋" w:eastAsia="仿宋" w:cs="仿宋"/>
          <w:b w:val="0"/>
          <w:bCs w:val="0"/>
          <w:sz w:val="24"/>
          <w:szCs w:val="24"/>
          <w:highlight w:val="none"/>
          <w:u w:val="single"/>
          <w:lang w:eastAsia="zh-CN"/>
        </w:rPr>
        <w:t xml:space="preserve"> (中型企业、小型企业、微型企业）</w:t>
      </w:r>
      <w:r>
        <w:rPr>
          <w:rFonts w:hint="eastAsia" w:ascii="仿宋" w:hAnsi="仿宋" w:eastAsia="仿宋" w:cs="仿宋"/>
          <w:b w:val="0"/>
          <w:bCs w:val="0"/>
          <w:sz w:val="24"/>
          <w:szCs w:val="24"/>
          <w:highlight w:val="none"/>
          <w:lang w:eastAsia="zh-CN"/>
        </w:rPr>
        <w:t>；</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以上企业，不属于大企业的分支机构，不存在控股股东为大企业的情形，也不存在与大企业的负责人为同一人的情形。</w:t>
      </w: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本企业对上述声明内容的真实性负责。如有虚假，将依法承担相应责任。</w:t>
      </w:r>
    </w:p>
    <w:p>
      <w:pPr>
        <w:pStyle w:val="11"/>
        <w:pageBreakBefore w:val="0"/>
        <w:bidi w:val="0"/>
        <w:spacing w:line="336" w:lineRule="auto"/>
        <w:ind w:left="0" w:leftChars="0" w:firstLine="0" w:firstLineChars="0"/>
        <w:jc w:val="right"/>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0" w:firstLineChars="0"/>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w:t>
      </w:r>
    </w:p>
    <w:p>
      <w:pPr>
        <w:pStyle w:val="11"/>
        <w:pageBreakBefore w:val="0"/>
        <w:bidi w:val="0"/>
        <w:spacing w:line="336" w:lineRule="auto"/>
        <w:ind w:left="0" w:leftChars="0" w:firstLine="0" w:firstLineChars="0"/>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highlight w:val="none"/>
          <w:lang w:val="zh-CN"/>
        </w:rPr>
        <w:t>日期：</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ageBreakBefore w:val="0"/>
        <w:bidi w:val="0"/>
        <w:spacing w:line="336" w:lineRule="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br w:type="page"/>
      </w:r>
    </w:p>
    <w:p>
      <w:pPr>
        <w:pStyle w:val="11"/>
        <w:pageBreakBefore w:val="0"/>
        <w:bidi w:val="0"/>
        <w:spacing w:line="336" w:lineRule="auto"/>
        <w:ind w:left="0" w:leftChars="0" w:firstLine="0" w:firstLineChars="0"/>
        <w:outlineLvl w:val="0"/>
        <w:rPr>
          <w:rFonts w:hint="eastAsia" w:ascii="仿宋" w:hAnsi="仿宋" w:eastAsia="仿宋" w:cs="仿宋"/>
          <w:b w:val="0"/>
          <w:bCs w:val="0"/>
          <w:sz w:val="24"/>
          <w:szCs w:val="24"/>
          <w:highlight w:val="none"/>
          <w:lang w:eastAsia="zh-CN"/>
        </w:rPr>
      </w:pPr>
      <w:bookmarkStart w:id="66" w:name="_Toc620"/>
      <w:bookmarkStart w:id="67" w:name="_Toc23366"/>
      <w:r>
        <w:rPr>
          <w:rFonts w:hint="eastAsia" w:ascii="仿宋" w:hAnsi="仿宋" w:eastAsia="仿宋" w:cs="仿宋"/>
          <w:b/>
          <w:bCs/>
          <w:sz w:val="24"/>
          <w:szCs w:val="24"/>
          <w:highlight w:val="none"/>
          <w:lang w:eastAsia="zh-CN"/>
        </w:rPr>
        <w:t>附件2 ：中小企业声明函（工程、服务）</w:t>
      </w:r>
      <w:bookmarkEnd w:id="66"/>
      <w:bookmarkEnd w:id="67"/>
    </w:p>
    <w:p>
      <w:pPr>
        <w:pStyle w:val="11"/>
        <w:pageBreakBefore w:val="0"/>
        <w:bidi w:val="0"/>
        <w:spacing w:line="336" w:lineRule="auto"/>
        <w:ind w:left="0" w:leftChars="0" w:firstLine="0" w:firstLineChars="0"/>
        <w:rPr>
          <w:rFonts w:hint="eastAsia" w:ascii="仿宋" w:hAnsi="仿宋" w:eastAsia="仿宋" w:cs="仿宋"/>
          <w:b/>
          <w:bCs/>
          <w:sz w:val="24"/>
          <w:szCs w:val="24"/>
          <w:highlight w:val="none"/>
          <w:lang w:eastAsia="zh-CN"/>
        </w:rPr>
      </w:pPr>
    </w:p>
    <w:p>
      <w:pPr>
        <w:pStyle w:val="11"/>
        <w:pageBreakBefore w:val="0"/>
        <w:bidi w:val="0"/>
        <w:spacing w:line="336" w:lineRule="auto"/>
        <w:ind w:left="0" w:leftChars="0" w:firstLine="0" w:firstLineChars="0"/>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中小企业声明函（工程、服务）</w:t>
      </w:r>
    </w:p>
    <w:p>
      <w:pPr>
        <w:pStyle w:val="12"/>
        <w:pageBreakBefore w:val="0"/>
        <w:bidi w:val="0"/>
        <w:spacing w:line="336" w:lineRule="auto"/>
        <w:rPr>
          <w:rFonts w:hint="eastAsia"/>
          <w:highlight w:val="none"/>
          <w:lang w:eastAsia="zh-CN"/>
        </w:rPr>
      </w:pP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本公司（联合体）郑重声明，根据《政府采购促进中小企业发展管理办法》（财库﹝2020﹞46 号）的规定，本公司（联合体）参加</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lang w:val="en-US" w:eastAsia="zh-CN"/>
        </w:rPr>
        <w:t>采购</w:t>
      </w:r>
      <w:r>
        <w:rPr>
          <w:rFonts w:hint="eastAsia" w:ascii="仿宋" w:hAnsi="仿宋" w:eastAsia="仿宋" w:cs="仿宋"/>
          <w:b w:val="0"/>
          <w:bCs w:val="0"/>
          <w:sz w:val="24"/>
          <w:szCs w:val="24"/>
          <w:highlight w:val="none"/>
          <w:u w:val="single"/>
          <w:lang w:eastAsia="zh-CN"/>
        </w:rPr>
        <w:t>单位名称）</w:t>
      </w:r>
      <w:r>
        <w:rPr>
          <w:rFonts w:hint="eastAsia" w:ascii="仿宋" w:hAnsi="仿宋" w:eastAsia="仿宋" w:cs="仿宋"/>
          <w:b w:val="0"/>
          <w:bCs w:val="0"/>
          <w:sz w:val="24"/>
          <w:szCs w:val="24"/>
          <w:highlight w:val="none"/>
          <w:lang w:eastAsia="zh-CN"/>
        </w:rPr>
        <w:t>的</w:t>
      </w:r>
      <w:r>
        <w:rPr>
          <w:rFonts w:hint="eastAsia" w:ascii="仿宋" w:hAnsi="仿宋" w:eastAsia="仿宋" w:cs="仿宋"/>
          <w:b w:val="0"/>
          <w:bCs w:val="0"/>
          <w:sz w:val="24"/>
          <w:szCs w:val="24"/>
          <w:highlight w:val="none"/>
          <w:u w:val="single"/>
          <w:lang w:eastAsia="zh-CN"/>
        </w:rPr>
        <w:t>（项目名称）</w:t>
      </w:r>
      <w:r>
        <w:rPr>
          <w:rFonts w:hint="eastAsia" w:ascii="仿宋" w:hAnsi="仿宋" w:eastAsia="仿宋" w:cs="仿宋"/>
          <w:b w:val="0"/>
          <w:bCs w:val="0"/>
          <w:sz w:val="24"/>
          <w:szCs w:val="24"/>
          <w:highlight w:val="none"/>
          <w:lang w:eastAsia="zh-CN"/>
        </w:rPr>
        <w:t>采购活动，工程的施工单位全部为符合政策要求的中小企业（或者：服务全部由符合政策要求的中小企业承接）。相关企业（含联合 体中的中小企业、签订分包意向协议的中小企业）的具体情况如下：</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1.</w:t>
      </w:r>
      <w:r>
        <w:rPr>
          <w:rFonts w:hint="eastAsia" w:ascii="仿宋" w:hAnsi="仿宋" w:eastAsia="仿宋" w:cs="仿宋"/>
          <w:b w:val="0"/>
          <w:bCs w:val="0"/>
          <w:sz w:val="24"/>
          <w:szCs w:val="24"/>
          <w:highlight w:val="none"/>
          <w:u w:val="single"/>
          <w:lang w:eastAsia="zh-CN"/>
        </w:rPr>
        <w:t>（标的名称）</w:t>
      </w:r>
      <w:r>
        <w:rPr>
          <w:rFonts w:hint="eastAsia" w:ascii="仿宋" w:hAnsi="仿宋" w:eastAsia="仿宋" w:cs="仿宋"/>
          <w:b w:val="0"/>
          <w:bCs w:val="0"/>
          <w:sz w:val="24"/>
          <w:szCs w:val="24"/>
          <w:highlight w:val="none"/>
          <w:lang w:eastAsia="zh-CN"/>
        </w:rPr>
        <w:t>，属于</w:t>
      </w:r>
      <w:r>
        <w:rPr>
          <w:rFonts w:hint="eastAsia" w:ascii="仿宋" w:hAnsi="仿宋" w:eastAsia="仿宋" w:cs="仿宋"/>
          <w:b w:val="0"/>
          <w:bCs w:val="0"/>
          <w:sz w:val="24"/>
          <w:szCs w:val="24"/>
          <w:highlight w:val="none"/>
          <w:u w:val="single"/>
          <w:lang w:eastAsia="zh-CN"/>
        </w:rPr>
        <w:t>（采购文件中明确的所属行业）</w:t>
      </w:r>
      <w:r>
        <w:rPr>
          <w:rFonts w:hint="eastAsia" w:ascii="仿宋" w:hAnsi="仿宋" w:eastAsia="仿宋" w:cs="仿宋"/>
          <w:b w:val="0"/>
          <w:bCs w:val="0"/>
          <w:sz w:val="24"/>
          <w:szCs w:val="24"/>
          <w:highlight w:val="none"/>
          <w:lang w:eastAsia="zh-CN"/>
        </w:rPr>
        <w:t>；承建（承接）企业为</w:t>
      </w:r>
      <w:r>
        <w:rPr>
          <w:rFonts w:hint="eastAsia" w:ascii="仿宋" w:hAnsi="仿宋" w:eastAsia="仿宋" w:cs="仿宋"/>
          <w:b w:val="0"/>
          <w:bCs w:val="0"/>
          <w:sz w:val="24"/>
          <w:szCs w:val="24"/>
          <w:highlight w:val="none"/>
          <w:u w:val="single"/>
          <w:lang w:eastAsia="zh-CN"/>
        </w:rPr>
        <w:t>（企业名称）</w:t>
      </w:r>
      <w:r>
        <w:rPr>
          <w:rFonts w:hint="eastAsia" w:ascii="仿宋" w:hAnsi="仿宋" w:eastAsia="仿宋" w:cs="仿宋"/>
          <w:b w:val="0"/>
          <w:bCs w:val="0"/>
          <w:sz w:val="24"/>
          <w:szCs w:val="24"/>
          <w:highlight w:val="none"/>
          <w:lang w:eastAsia="zh-CN"/>
        </w:rPr>
        <w:t>，从业人员</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人，营业收入为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万元，资产总额为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万元，属于</w:t>
      </w:r>
      <w:r>
        <w:rPr>
          <w:rFonts w:hint="eastAsia" w:ascii="仿宋" w:hAnsi="仿宋" w:eastAsia="仿宋" w:cs="仿宋"/>
          <w:b w:val="0"/>
          <w:bCs w:val="0"/>
          <w:sz w:val="24"/>
          <w:szCs w:val="24"/>
          <w:highlight w:val="none"/>
          <w:u w:val="single"/>
          <w:lang w:eastAsia="zh-CN"/>
        </w:rPr>
        <w:t>（中型企业、小型企业、微型企业）</w:t>
      </w:r>
      <w:r>
        <w:rPr>
          <w:rFonts w:hint="eastAsia" w:ascii="仿宋" w:hAnsi="仿宋" w:eastAsia="仿宋" w:cs="仿宋"/>
          <w:b w:val="0"/>
          <w:bCs w:val="0"/>
          <w:sz w:val="24"/>
          <w:szCs w:val="24"/>
          <w:highlight w:val="none"/>
          <w:lang w:eastAsia="zh-CN"/>
        </w:rPr>
        <w:t>；</w:t>
      </w: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2.</w:t>
      </w:r>
      <w:r>
        <w:rPr>
          <w:rFonts w:hint="eastAsia" w:ascii="仿宋" w:hAnsi="仿宋" w:eastAsia="仿宋" w:cs="仿宋"/>
          <w:b w:val="0"/>
          <w:bCs w:val="0"/>
          <w:sz w:val="24"/>
          <w:szCs w:val="24"/>
          <w:highlight w:val="none"/>
          <w:u w:val="single"/>
          <w:lang w:eastAsia="zh-CN"/>
        </w:rPr>
        <w:t>（标的名称）</w:t>
      </w:r>
      <w:r>
        <w:rPr>
          <w:rFonts w:hint="eastAsia" w:ascii="仿宋" w:hAnsi="仿宋" w:eastAsia="仿宋" w:cs="仿宋"/>
          <w:b w:val="0"/>
          <w:bCs w:val="0"/>
          <w:sz w:val="24"/>
          <w:szCs w:val="24"/>
          <w:highlight w:val="none"/>
          <w:lang w:eastAsia="zh-CN"/>
        </w:rPr>
        <w:t>，属于</w:t>
      </w:r>
      <w:r>
        <w:rPr>
          <w:rFonts w:hint="eastAsia" w:ascii="仿宋" w:hAnsi="仿宋" w:eastAsia="仿宋" w:cs="仿宋"/>
          <w:b w:val="0"/>
          <w:bCs w:val="0"/>
          <w:sz w:val="24"/>
          <w:szCs w:val="24"/>
          <w:highlight w:val="none"/>
          <w:u w:val="single"/>
          <w:lang w:eastAsia="zh-CN"/>
        </w:rPr>
        <w:t>（采购文件中明确的所属行业）</w:t>
      </w:r>
      <w:r>
        <w:rPr>
          <w:rFonts w:hint="eastAsia" w:ascii="仿宋" w:hAnsi="仿宋" w:eastAsia="仿宋" w:cs="仿宋"/>
          <w:b w:val="0"/>
          <w:bCs w:val="0"/>
          <w:sz w:val="24"/>
          <w:szCs w:val="24"/>
          <w:highlight w:val="none"/>
          <w:lang w:eastAsia="zh-CN"/>
        </w:rPr>
        <w:t>；承建（承接）企业为</w:t>
      </w:r>
      <w:r>
        <w:rPr>
          <w:rFonts w:hint="eastAsia" w:ascii="仿宋" w:hAnsi="仿宋" w:eastAsia="仿宋" w:cs="仿宋"/>
          <w:b w:val="0"/>
          <w:bCs w:val="0"/>
          <w:sz w:val="24"/>
          <w:szCs w:val="24"/>
          <w:highlight w:val="none"/>
          <w:u w:val="single"/>
          <w:lang w:eastAsia="zh-CN"/>
        </w:rPr>
        <w:t>（企业名称）</w:t>
      </w:r>
      <w:r>
        <w:rPr>
          <w:rFonts w:hint="eastAsia" w:ascii="仿宋" w:hAnsi="仿宋" w:eastAsia="仿宋" w:cs="仿宋"/>
          <w:b w:val="0"/>
          <w:bCs w:val="0"/>
          <w:sz w:val="24"/>
          <w:szCs w:val="24"/>
          <w:highlight w:val="none"/>
          <w:lang w:eastAsia="zh-CN"/>
        </w:rPr>
        <w:t>，从业人员</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人，营业收入为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万元，资产总额为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万元，属于</w:t>
      </w:r>
      <w:r>
        <w:rPr>
          <w:rFonts w:hint="eastAsia" w:ascii="仿宋" w:hAnsi="仿宋" w:eastAsia="仿宋" w:cs="仿宋"/>
          <w:b w:val="0"/>
          <w:bCs w:val="0"/>
          <w:sz w:val="24"/>
          <w:szCs w:val="24"/>
          <w:highlight w:val="none"/>
          <w:u w:val="single"/>
          <w:lang w:eastAsia="zh-CN"/>
        </w:rPr>
        <w:t>（中型企业、小型企业、微型企业）</w:t>
      </w:r>
      <w:r>
        <w:rPr>
          <w:rFonts w:hint="eastAsia" w:ascii="仿宋" w:hAnsi="仿宋" w:eastAsia="仿宋" w:cs="仿宋"/>
          <w:b w:val="0"/>
          <w:bCs w:val="0"/>
          <w:sz w:val="24"/>
          <w:szCs w:val="24"/>
          <w:highlight w:val="none"/>
          <w:lang w:eastAsia="zh-CN"/>
        </w:rPr>
        <w:t>；</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以上企业，不属于大企业的分支机构，不存在控股股东为大企业的情形，也不存在与大企业的负责人为同一人的情形。</w:t>
      </w: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本企业对上述声明内容的真实性负责。如有虚假，将依法承担相应责任。</w:t>
      </w:r>
    </w:p>
    <w:p>
      <w:pPr>
        <w:pStyle w:val="11"/>
        <w:pageBreakBefore w:val="0"/>
        <w:bidi w:val="0"/>
        <w:spacing w:line="336" w:lineRule="auto"/>
        <w:ind w:left="0" w:leftChars="0" w:firstLine="3600" w:firstLineChars="150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3840" w:firstLineChars="160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3840" w:firstLineChars="1600"/>
        <w:rPr>
          <w:rFonts w:hint="eastAsia" w:ascii="仿宋" w:hAnsi="仿宋" w:eastAsia="仿宋" w:cs="仿宋"/>
          <w:b w:val="0"/>
          <w:bCs w:val="0"/>
          <w:sz w:val="24"/>
          <w:szCs w:val="24"/>
          <w:highlight w:val="none"/>
          <w:lang w:eastAsia="zh-CN"/>
        </w:rPr>
      </w:pPr>
    </w:p>
    <w:p>
      <w:pPr>
        <w:pageBreakBefore w:val="0"/>
        <w:kinsoku/>
        <w:bidi w:val="0"/>
        <w:spacing w:line="336" w:lineRule="auto"/>
        <w:ind w:firstLine="4080" w:firstLineChars="1700"/>
        <w:rPr>
          <w:rFonts w:hint="eastAsia" w:ascii="仿宋" w:hAnsi="仿宋" w:eastAsia="仿宋" w:cs="仿宋"/>
          <w:sz w:val="24"/>
          <w:highlight w:val="none"/>
          <w:lang w:val="zh-CN"/>
        </w:rPr>
      </w:pPr>
      <w:bookmarkStart w:id="68" w:name="_Toc16144"/>
      <w:bookmarkStart w:id="69" w:name="_Toc15440"/>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zh-CN"/>
        </w:rPr>
        <w:t>日期：</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r>
        <w:rPr>
          <w:rFonts w:hint="eastAsia" w:ascii="仿宋" w:hAnsi="仿宋" w:eastAsia="仿宋" w:cs="仿宋"/>
          <w:b/>
          <w:bCs/>
          <w:sz w:val="24"/>
          <w:szCs w:val="24"/>
          <w:highlight w:val="none"/>
          <w:lang w:eastAsia="zh-CN"/>
        </w:rPr>
        <w:br w:type="page"/>
      </w:r>
    </w:p>
    <w:p>
      <w:pPr>
        <w:pStyle w:val="11"/>
        <w:pageBreakBefore w:val="0"/>
        <w:bidi w:val="0"/>
        <w:spacing w:line="336" w:lineRule="auto"/>
        <w:ind w:left="0" w:leftChars="0" w:firstLine="0" w:firstLineChars="0"/>
        <w:outlineLvl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附件3： 残疾人福利性单位声明函（非残疾人福利企业不填写）</w:t>
      </w:r>
      <w:bookmarkEnd w:id="68"/>
      <w:bookmarkEnd w:id="69"/>
    </w:p>
    <w:p>
      <w:pPr>
        <w:pStyle w:val="12"/>
        <w:pageBreakBefore w:val="0"/>
        <w:bidi w:val="0"/>
        <w:spacing w:line="336" w:lineRule="auto"/>
        <w:ind w:left="0" w:leftChars="0" w:firstLine="0" w:firstLineChars="0"/>
        <w:jc w:val="center"/>
        <w:rPr>
          <w:rFonts w:hint="eastAsia" w:ascii="仿宋" w:hAnsi="仿宋" w:eastAsia="仿宋" w:cs="仿宋"/>
          <w:b/>
          <w:bCs/>
          <w:kern w:val="2"/>
          <w:sz w:val="32"/>
          <w:szCs w:val="32"/>
          <w:highlight w:val="none"/>
          <w:lang w:val="en-US" w:eastAsia="zh-CN" w:bidi="ar-SA"/>
        </w:rPr>
      </w:pPr>
    </w:p>
    <w:p>
      <w:pPr>
        <w:pStyle w:val="12"/>
        <w:pageBreakBefore w:val="0"/>
        <w:bidi w:val="0"/>
        <w:spacing w:line="336" w:lineRule="auto"/>
        <w:ind w:left="0" w:leftChars="0" w:firstLine="0" w:firstLineChars="0"/>
        <w:jc w:val="cente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残疾人福利性单位声明函</w:t>
      </w:r>
    </w:p>
    <w:p>
      <w:pPr>
        <w:pStyle w:val="11"/>
        <w:pageBreakBefore w:val="0"/>
        <w:bidi w:val="0"/>
        <w:spacing w:line="336" w:lineRule="auto"/>
        <w:ind w:left="0" w:leftChars="0" w:firstLine="0" w:firstLineChars="0"/>
        <w:rPr>
          <w:rFonts w:hint="eastAsia" w:ascii="仿宋" w:hAnsi="仿宋" w:eastAsia="仿宋" w:cs="仿宋"/>
          <w:b/>
          <w:bCs/>
          <w:sz w:val="24"/>
          <w:szCs w:val="24"/>
          <w:highlight w:val="none"/>
          <w:lang w:eastAsia="zh-CN"/>
        </w:rPr>
      </w:pP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本单位郑重声明，根据《财政部 民政部 中国残疾人联合会关于促进残疾人就业政府采购政策的通知》（财库〔2017〕141号）的规定，本单位为符合条件的残疾人福利性单位，且本单位参加的</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本单位对上述声明的真实性负责。如有虚假，将依法承担相应责任。</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highlight w:val="none"/>
          <w:lang w:val="zh-CN"/>
        </w:rPr>
        <w:t>日期：</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备注：投标人提供的《残疾人福利性单位声明函》必须真实有效，如果被举报经查实出具虚假声明函的，将被取消投标资格，并按有关规定予以处理。</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0" w:firstLineChars="0"/>
        <w:rPr>
          <w:rFonts w:hint="eastAsia" w:ascii="仿宋" w:hAnsi="仿宋" w:eastAsia="仿宋" w:cs="仿宋"/>
          <w:b/>
          <w:bCs/>
          <w:sz w:val="24"/>
          <w:szCs w:val="24"/>
          <w:highlight w:val="none"/>
          <w:lang w:eastAsia="zh-CN"/>
        </w:rPr>
      </w:pPr>
    </w:p>
    <w:p>
      <w:pPr>
        <w:pStyle w:val="11"/>
        <w:pageBreakBefore w:val="0"/>
        <w:bidi w:val="0"/>
        <w:spacing w:line="336" w:lineRule="auto"/>
        <w:ind w:left="0" w:leftChars="0" w:firstLine="0" w:firstLineChars="0"/>
        <w:rPr>
          <w:rFonts w:hint="eastAsia" w:ascii="仿宋" w:hAnsi="仿宋" w:eastAsia="仿宋" w:cs="仿宋"/>
          <w:b/>
          <w:bCs/>
          <w:sz w:val="24"/>
          <w:szCs w:val="24"/>
          <w:highlight w:val="none"/>
          <w:lang w:eastAsia="zh-CN"/>
        </w:rPr>
      </w:pPr>
    </w:p>
    <w:p>
      <w:pPr>
        <w:pStyle w:val="11"/>
        <w:pageBreakBefore w:val="0"/>
        <w:bidi w:val="0"/>
        <w:spacing w:line="336" w:lineRule="auto"/>
        <w:ind w:left="0" w:leftChars="0" w:firstLine="0" w:firstLineChars="0"/>
        <w:rPr>
          <w:rFonts w:hint="eastAsia" w:ascii="仿宋" w:hAnsi="仿宋" w:eastAsia="仿宋" w:cs="仿宋"/>
          <w:b/>
          <w:bCs/>
          <w:sz w:val="24"/>
          <w:szCs w:val="24"/>
          <w:highlight w:val="none"/>
          <w:lang w:eastAsia="zh-CN"/>
        </w:rPr>
      </w:pPr>
    </w:p>
    <w:p>
      <w:pPr>
        <w:pStyle w:val="11"/>
        <w:pageBreakBefore w:val="0"/>
        <w:bidi w:val="0"/>
        <w:spacing w:line="336" w:lineRule="auto"/>
        <w:ind w:left="0" w:leftChars="0" w:firstLine="0" w:firstLineChars="0"/>
        <w:rPr>
          <w:rFonts w:hint="eastAsia" w:ascii="仿宋" w:hAnsi="仿宋" w:eastAsia="仿宋" w:cs="仿宋"/>
          <w:b/>
          <w:bCs/>
          <w:sz w:val="24"/>
          <w:szCs w:val="24"/>
          <w:highlight w:val="none"/>
          <w:lang w:eastAsia="zh-CN"/>
        </w:rPr>
      </w:pPr>
    </w:p>
    <w:p>
      <w:pPr>
        <w:pStyle w:val="11"/>
        <w:pageBreakBefore w:val="0"/>
        <w:bidi w:val="0"/>
        <w:spacing w:line="336" w:lineRule="auto"/>
        <w:ind w:left="0" w:leftChars="0" w:firstLine="0" w:firstLineChars="0"/>
        <w:rPr>
          <w:rFonts w:hint="eastAsia" w:ascii="仿宋" w:hAnsi="仿宋" w:eastAsia="仿宋" w:cs="仿宋"/>
          <w:b/>
          <w:bCs/>
          <w:sz w:val="24"/>
          <w:szCs w:val="24"/>
          <w:highlight w:val="none"/>
          <w:lang w:eastAsia="zh-CN"/>
        </w:rPr>
      </w:pPr>
    </w:p>
    <w:p>
      <w:pPr>
        <w:pageBreakBefore w:val="0"/>
        <w:bidi w:val="0"/>
        <w:spacing w:line="336" w:lineRule="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br w:type="page"/>
      </w:r>
    </w:p>
    <w:p>
      <w:pPr>
        <w:pStyle w:val="11"/>
        <w:pageBreakBefore w:val="0"/>
        <w:bidi w:val="0"/>
        <w:spacing w:line="336" w:lineRule="auto"/>
        <w:ind w:left="0" w:leftChars="0" w:firstLine="0" w:firstLineChars="0"/>
        <w:outlineLvl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附件4： 监狱、戒毒企业声明函（非监狱、戒毒企业不填写）</w:t>
      </w:r>
    </w:p>
    <w:p>
      <w:pPr>
        <w:pStyle w:val="11"/>
        <w:pageBreakBefore w:val="0"/>
        <w:bidi w:val="0"/>
        <w:spacing w:line="336" w:lineRule="auto"/>
        <w:ind w:left="0" w:leftChars="0" w:firstLine="0" w:firstLineChars="0"/>
        <w:jc w:val="center"/>
        <w:rPr>
          <w:rFonts w:hint="eastAsia" w:ascii="仿宋" w:hAnsi="仿宋" w:eastAsia="仿宋" w:cs="仿宋"/>
          <w:b/>
          <w:bCs/>
          <w:kern w:val="2"/>
          <w:sz w:val="32"/>
          <w:szCs w:val="32"/>
          <w:highlight w:val="none"/>
          <w:lang w:val="en-US" w:eastAsia="zh-CN" w:bidi="ar-SA"/>
        </w:rPr>
      </w:pPr>
    </w:p>
    <w:p>
      <w:pPr>
        <w:pStyle w:val="11"/>
        <w:pageBreakBefore w:val="0"/>
        <w:bidi w:val="0"/>
        <w:spacing w:line="336" w:lineRule="auto"/>
        <w:ind w:left="0" w:leftChars="0" w:firstLine="0" w:firstLineChars="0"/>
        <w:jc w:val="cente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监狱、戒毒企业声明函</w:t>
      </w:r>
    </w:p>
    <w:p>
      <w:pPr>
        <w:pStyle w:val="12"/>
        <w:pageBreakBefore w:val="0"/>
        <w:bidi w:val="0"/>
        <w:spacing w:line="336" w:lineRule="auto"/>
        <w:rPr>
          <w:rFonts w:hint="eastAsia"/>
          <w:highlight w:val="none"/>
          <w:lang w:val="en-US" w:eastAsia="zh-CN"/>
        </w:rPr>
      </w:pP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本单位郑重声明，根据《财政部 司法部 关于政府采购支持监狱企业发展有关问题的通知》（财库〔2014〕 68号）的规定，本单位为符合条件的监狱、戒毒企业，且本单位参加的</w:t>
      </w:r>
      <w:r>
        <w:rPr>
          <w:rFonts w:hint="eastAsia" w:ascii="仿宋" w:hAnsi="仿宋" w:eastAsia="仿宋" w:cs="仿宋"/>
          <w:b w:val="0"/>
          <w:bCs w:val="0"/>
          <w:sz w:val="24"/>
          <w:szCs w:val="24"/>
          <w:highlight w:val="none"/>
          <w:u w:val="single"/>
          <w:lang w:eastAsia="zh-CN"/>
        </w:rPr>
        <w:t xml:space="preserve">      </w:t>
      </w:r>
      <w:r>
        <w:rPr>
          <w:rFonts w:hint="eastAsia" w:ascii="仿宋" w:hAnsi="仿宋" w:eastAsia="仿宋" w:cs="仿宋"/>
          <w:b w:val="0"/>
          <w:bCs w:val="0"/>
          <w:sz w:val="24"/>
          <w:szCs w:val="24"/>
          <w:highlight w:val="none"/>
          <w:lang w:eastAsia="zh-CN"/>
        </w:rPr>
        <w:t>项目采购活动提供本单位制造的货物（由本单位承担工程/提供服务），或者提供其他监狱、戒毒企业制造的货物（不包括使用非监狱、戒毒企业注册商标的货物）。</w:t>
      </w:r>
    </w:p>
    <w:p>
      <w:pPr>
        <w:pStyle w:val="11"/>
        <w:pageBreakBefore w:val="0"/>
        <w:bidi w:val="0"/>
        <w:spacing w:line="336" w:lineRule="auto"/>
        <w:ind w:left="0" w:leftChars="0"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本单位对上述声明的真实性负责。如有虚假，将依法承担相应责任。</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（盖</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章）</w:t>
      </w:r>
    </w:p>
    <w:p>
      <w:pPr>
        <w:pageBreakBefore w:val="0"/>
        <w:kinsoku/>
        <w:bidi w:val="0"/>
        <w:spacing w:line="336" w:lineRule="auto"/>
        <w:ind w:firstLine="4080" w:firstLineChars="170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lang w:val="en-US" w:eastAsia="zh-CN"/>
        </w:rPr>
        <w:t>/负责人</w:t>
      </w:r>
      <w:r>
        <w:rPr>
          <w:rFonts w:hint="eastAsia" w:ascii="仿宋" w:hAnsi="仿宋" w:eastAsia="仿宋" w:cs="仿宋"/>
          <w:sz w:val="24"/>
          <w:highlight w:val="none"/>
          <w:lang w:val="zh-CN"/>
        </w:rPr>
        <w:t>或委托代理人：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（签字或盖章）</w:t>
      </w:r>
    </w:p>
    <w:p>
      <w:pPr>
        <w:pageBreakBefore w:val="0"/>
        <w:kinsoku/>
        <w:bidi w:val="0"/>
        <w:spacing w:line="336" w:lineRule="auto"/>
        <w:ind w:firstLine="4080" w:firstLineChars="1700"/>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highlight w:val="none"/>
          <w:lang w:val="zh-CN"/>
        </w:rPr>
        <w:t>日期：</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Style w:val="11"/>
        <w:pageBreakBefore w:val="0"/>
        <w:bidi w:val="0"/>
        <w:spacing w:line="336" w:lineRule="auto"/>
        <w:ind w:left="0" w:leftChars="0" w:firstLine="0" w:firstLineChars="0"/>
        <w:rPr>
          <w:rFonts w:hint="eastAsia" w:ascii="仿宋" w:hAnsi="仿宋" w:eastAsia="仿宋" w:cs="仿宋"/>
          <w:b w:val="0"/>
          <w:bCs w:val="0"/>
          <w:sz w:val="24"/>
          <w:szCs w:val="24"/>
          <w:highlight w:val="none"/>
          <w:lang w:eastAsia="zh-CN"/>
        </w:rPr>
      </w:pPr>
    </w:p>
    <w:p>
      <w:pPr>
        <w:pStyle w:val="18"/>
        <w:pageBreakBefore w:val="0"/>
        <w:kinsoku/>
        <w:bidi w:val="0"/>
        <w:spacing w:line="336" w:lineRule="auto"/>
        <w:ind w:left="0" w:leftChars="0" w:firstLine="480" w:firstLineChars="200"/>
        <w:rPr>
          <w:rFonts w:hint="eastAsia" w:ascii="仿宋" w:hAnsi="仿宋" w:eastAsia="仿宋" w:cs="仿宋"/>
          <w:sz w:val="24"/>
          <w:szCs w:val="18"/>
          <w:highlight w:val="none"/>
          <w:lang w:val="zh-CN"/>
        </w:rPr>
      </w:pPr>
      <w:r>
        <w:rPr>
          <w:rFonts w:hint="eastAsia" w:ascii="仿宋" w:hAnsi="仿宋" w:eastAsia="仿宋" w:cs="仿宋"/>
          <w:b w:val="0"/>
          <w:bCs w:val="0"/>
          <w:sz w:val="24"/>
          <w:szCs w:val="24"/>
          <w:highlight w:val="none"/>
          <w:lang w:eastAsia="zh-CN"/>
        </w:rPr>
        <w:t>备注：投标人提供的《监狱、戒毒企业声明函》必须真实有效，投标人应当提供由省级以上监狱管理局、戒毒管理局(含新疆生产建设兵团)出具的属于监狱企业的证明文件。</w:t>
      </w:r>
    </w:p>
    <w:p>
      <w:pP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br w:type="page"/>
      </w:r>
    </w:p>
    <w:p>
      <w:pPr>
        <w:pStyle w:val="11"/>
        <w:pageBreakBefore w:val="0"/>
        <w:bidi w:val="0"/>
        <w:spacing w:line="336" w:lineRule="auto"/>
        <w:ind w:left="0" w:leftChars="0" w:firstLine="0" w:firstLineChars="0"/>
        <w:outlineLvl w:val="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eastAsia="zh-CN"/>
        </w:rPr>
        <w:t>附件</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lang w:eastAsia="zh-CN"/>
        </w:rPr>
        <w:t>： “节能产品”、“环境标志产品”证明</w:t>
      </w:r>
      <w:r>
        <w:rPr>
          <w:rFonts w:hint="eastAsia" w:ascii="仿宋" w:hAnsi="仿宋" w:eastAsia="仿宋" w:cs="仿宋"/>
          <w:b/>
          <w:bCs/>
          <w:sz w:val="24"/>
          <w:szCs w:val="24"/>
          <w:highlight w:val="none"/>
          <w:lang w:val="en-US" w:eastAsia="zh-CN"/>
        </w:rPr>
        <w:t>材料</w:t>
      </w:r>
    </w:p>
    <w:p>
      <w:pPr>
        <w:pageBreakBefore w:val="0"/>
        <w:kinsoku/>
        <w:bidi w:val="0"/>
        <w:adjustRightInd w:val="0"/>
        <w:snapToGrid w:val="0"/>
        <w:spacing w:line="312" w:lineRule="auto"/>
        <w:jc w:val="both"/>
        <w:rPr>
          <w:rFonts w:hint="eastAsia" w:ascii="仿宋" w:hAnsi="仿宋" w:eastAsia="仿宋" w:cs="仿宋"/>
          <w:b/>
          <w:bCs/>
          <w:spacing w:val="6"/>
          <w:sz w:val="28"/>
          <w:szCs w:val="28"/>
          <w:highlight w:val="none"/>
        </w:rPr>
      </w:pPr>
    </w:p>
    <w:p>
      <w:pPr>
        <w:pageBreakBefore w:val="0"/>
        <w:kinsoku/>
        <w:bidi w:val="0"/>
        <w:adjustRightInd w:val="0"/>
        <w:snapToGrid w:val="0"/>
        <w:spacing w:line="312" w:lineRule="auto"/>
        <w:jc w:val="center"/>
        <w:rPr>
          <w:rFonts w:hint="eastAsia" w:ascii="仿宋" w:hAnsi="仿宋" w:eastAsia="仿宋" w:cs="仿宋"/>
          <w:b/>
          <w:bCs/>
          <w:szCs w:val="21"/>
          <w:highlight w:val="none"/>
        </w:rPr>
      </w:pPr>
      <w:r>
        <w:rPr>
          <w:rFonts w:hint="eastAsia" w:ascii="仿宋" w:hAnsi="仿宋" w:eastAsia="仿宋" w:cs="仿宋"/>
          <w:b/>
          <w:bCs/>
          <w:spacing w:val="6"/>
          <w:sz w:val="28"/>
          <w:szCs w:val="28"/>
          <w:highlight w:val="none"/>
        </w:rPr>
        <w:t>“节能产品”、“环境标志产品”证明材料</w:t>
      </w:r>
    </w:p>
    <w:p>
      <w:pPr>
        <w:pageBreakBefore w:val="0"/>
        <w:kinsoku/>
        <w:bidi w:val="0"/>
        <w:spacing w:line="312" w:lineRule="auto"/>
        <w:rPr>
          <w:rFonts w:hint="eastAsia" w:ascii="仿宋" w:hAnsi="仿宋" w:eastAsia="仿宋" w:cs="仿宋"/>
          <w:szCs w:val="21"/>
          <w:highlight w:val="none"/>
        </w:rPr>
      </w:pPr>
    </w:p>
    <w:p>
      <w:pPr>
        <w:pageBreakBefore w:val="0"/>
        <w:kinsoku/>
        <w:bidi w:val="0"/>
        <w:adjustRightInd w:val="0"/>
        <w:snapToGrid w:val="0"/>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pPr>
        <w:pageBreakBefore w:val="0"/>
        <w:numPr>
          <w:ilvl w:val="0"/>
          <w:numId w:val="0"/>
        </w:numPr>
        <w:tabs>
          <w:tab w:val="left" w:pos="630"/>
          <w:tab w:val="left" w:pos="840"/>
        </w:tabs>
        <w:kinsoku/>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提供的产品属于下列情形，应按规定提供相关证明材料(清单或目录所在页复印件)，并在《货物分项报价表》中提供相应数据。</w:t>
      </w:r>
    </w:p>
    <w:p>
      <w:pPr>
        <w:pageBreakBefore w:val="0"/>
        <w:numPr>
          <w:ilvl w:val="0"/>
          <w:numId w:val="0"/>
        </w:numPr>
        <w:tabs>
          <w:tab w:val="left" w:pos="630"/>
          <w:tab w:val="left" w:pos="840"/>
        </w:tabs>
        <w:kinsoku/>
        <w:bidi w:val="0"/>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符合</w:t>
      </w:r>
      <w:r>
        <w:rPr>
          <w:rFonts w:hint="eastAsia" w:ascii="仿宋" w:hAnsi="仿宋" w:eastAsia="仿宋" w:cs="仿宋"/>
          <w:sz w:val="24"/>
          <w:szCs w:val="24"/>
          <w:highlight w:val="none"/>
        </w:rPr>
        <w:t>政府采购强制采购政策的(《节能产品政府采购清单》中标记★符号节能产品及其他强制采购产品)；</w:t>
      </w:r>
    </w:p>
    <w:p>
      <w:pPr>
        <w:pageBreakBefore w:val="0"/>
        <w:numPr>
          <w:ilvl w:val="0"/>
          <w:numId w:val="0"/>
        </w:numPr>
        <w:tabs>
          <w:tab w:val="left" w:pos="630"/>
          <w:tab w:val="left" w:pos="840"/>
        </w:tabs>
        <w:kinsoku/>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符合政府采购优先采购政策的(《节能产品政府采购清单》中非标记★符号节能产品，《环境标志产品政府采购清单》中环境标志产品。</w:t>
      </w:r>
    </w:p>
    <w:p>
      <w:pPr>
        <w:pageBreakBefore w:val="0"/>
        <w:numPr>
          <w:ilvl w:val="0"/>
          <w:numId w:val="0"/>
        </w:numPr>
        <w:tabs>
          <w:tab w:val="left" w:pos="630"/>
          <w:tab w:val="left" w:pos="840"/>
        </w:tabs>
        <w:kinsoku/>
        <w:bidi w:val="0"/>
        <w:adjustRightInd w:val="0"/>
        <w:snapToGrid w:val="0"/>
        <w:spacing w:line="312" w:lineRule="auto"/>
        <w:ind w:firstLine="480" w:firstLineChars="200"/>
        <w:rPr>
          <w:rFonts w:hint="eastAsia" w:ascii="仿宋" w:hAnsi="仿宋" w:eastAsia="仿宋" w:cs="仿宋"/>
          <w:b/>
          <w:color w:val="000000"/>
          <w:sz w:val="36"/>
          <w:szCs w:val="36"/>
          <w:highlight w:val="none"/>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未按上述要求提供、填写的，评审时不予以考虑。</w:t>
      </w:r>
    </w:p>
    <w:p>
      <w:pPr>
        <w:rPr>
          <w:rFonts w:hint="eastAsia" w:ascii="仿宋" w:hAnsi="仿宋" w:eastAsia="仿宋" w:cs="仿宋"/>
          <w:b/>
          <w:color w:val="000000"/>
          <w:sz w:val="36"/>
          <w:szCs w:val="36"/>
          <w:highlight w:val="none"/>
          <w:lang w:val="zh-CN"/>
        </w:rPr>
      </w:pPr>
      <w:r>
        <w:rPr>
          <w:rFonts w:hint="eastAsia" w:ascii="仿宋" w:hAnsi="仿宋" w:eastAsia="仿宋" w:cs="仿宋"/>
          <w:b/>
          <w:color w:val="000000"/>
          <w:sz w:val="36"/>
          <w:szCs w:val="36"/>
          <w:highlight w:val="none"/>
          <w:lang w:val="zh-CN"/>
        </w:rPr>
        <w:br w:type="page"/>
      </w:r>
    </w:p>
    <w:p>
      <w:pPr>
        <w:pageBreakBefore w:val="0"/>
        <w:numPr>
          <w:ilvl w:val="0"/>
          <w:numId w:val="42"/>
        </w:numPr>
        <w:kinsoku/>
        <w:bidi w:val="0"/>
        <w:spacing w:line="336" w:lineRule="auto"/>
        <w:ind w:firstLine="0"/>
        <w:jc w:val="center"/>
        <w:outlineLvl w:val="0"/>
        <w:rPr>
          <w:rFonts w:hint="eastAsia" w:ascii="仿宋" w:hAnsi="仿宋" w:eastAsia="仿宋" w:cs="仿宋"/>
          <w:b/>
          <w:color w:val="000000"/>
          <w:sz w:val="36"/>
          <w:szCs w:val="36"/>
          <w:highlight w:val="none"/>
          <w:lang w:val="zh-CN"/>
        </w:rPr>
      </w:pPr>
      <w:r>
        <w:rPr>
          <w:rFonts w:hint="eastAsia" w:ascii="仿宋" w:hAnsi="仿宋" w:eastAsia="仿宋" w:cs="仿宋"/>
          <w:b/>
          <w:color w:val="000000"/>
          <w:sz w:val="36"/>
          <w:szCs w:val="36"/>
          <w:highlight w:val="none"/>
          <w:lang w:val="zh-CN"/>
        </w:rPr>
        <w:t>供应商承诺书</w:t>
      </w:r>
    </w:p>
    <w:p>
      <w:pPr>
        <w:pageBreakBefore w:val="0"/>
        <w:widowControl/>
        <w:bidi w:val="0"/>
        <w:spacing w:line="336"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承诺书（一）</w:t>
      </w:r>
    </w:p>
    <w:p>
      <w:pPr>
        <w:pageBreakBefore w:val="0"/>
        <w:bidi w:val="0"/>
        <w:spacing w:line="336" w:lineRule="auto"/>
        <w:jc w:val="center"/>
        <w:rPr>
          <w:rFonts w:hint="eastAsia" w:ascii="仿宋" w:hAnsi="仿宋" w:eastAsia="仿宋" w:cs="仿宋"/>
          <w:b/>
          <w:color w:val="auto"/>
          <w:szCs w:val="21"/>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pageBreakBefore w:val="0"/>
              <w:bidi w:val="0"/>
              <w:spacing w:line="336"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eastAsia="zh-CN"/>
              </w:rPr>
              <w:t>陕西同昌成项目管理有限公司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pageBreakBefore w:val="0"/>
              <w:bidi w:val="0"/>
              <w:spacing w:line="336"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作为参加贵公司组织的采购项目的供应商，本公司承诺：在参加本项目磋商之前不存在被依法禁止经营行为、财产被接管或冻结的情况，如有隐瞒实情，愿承担一切责任及后果。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p>
        </w:tc>
        <w:tc>
          <w:tcPr>
            <w:tcW w:w="3420" w:type="dxa"/>
            <w:noWrap w:val="0"/>
            <w:vAlign w:val="center"/>
          </w:tcPr>
          <w:p>
            <w:pPr>
              <w:pageBreakBefore w:val="0"/>
              <w:bidi w:val="0"/>
              <w:spacing w:line="336"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zh-CN"/>
              </w:rPr>
              <w:t>法定代表人</w:t>
            </w:r>
            <w:r>
              <w:rPr>
                <w:rFonts w:hint="eastAsia" w:ascii="仿宋" w:hAnsi="仿宋" w:eastAsia="仿宋" w:cs="仿宋"/>
                <w:color w:val="auto"/>
                <w:szCs w:val="21"/>
                <w:highlight w:val="none"/>
                <w:lang w:val="en-US" w:eastAsia="zh-CN"/>
              </w:rPr>
              <w:t>/负责人</w:t>
            </w:r>
            <w:r>
              <w:rPr>
                <w:rFonts w:hint="eastAsia" w:ascii="仿宋" w:hAnsi="仿宋" w:eastAsia="仿宋" w:cs="仿宋"/>
                <w:color w:val="auto"/>
                <w:szCs w:val="21"/>
                <w:highlight w:val="none"/>
                <w:lang w:val="zh-CN"/>
              </w:rPr>
              <w:t>或委托代理人</w:t>
            </w:r>
          </w:p>
        </w:tc>
        <w:tc>
          <w:tcPr>
            <w:tcW w:w="2340"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3240"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（公章）</w:t>
            </w:r>
          </w:p>
        </w:tc>
        <w:tc>
          <w:tcPr>
            <w:tcW w:w="3420"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（签字或盖章）</w:t>
            </w:r>
          </w:p>
        </w:tc>
        <w:tc>
          <w:tcPr>
            <w:tcW w:w="2340" w:type="dxa"/>
            <w:noWrap w:val="0"/>
            <w:vAlign w:val="center"/>
          </w:tcPr>
          <w:p>
            <w:pPr>
              <w:pageBreakBefore w:val="0"/>
              <w:bidi w:val="0"/>
              <w:spacing w:line="336" w:lineRule="auto"/>
              <w:ind w:firstLine="210" w:firstLineChars="1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tc>
      </w:tr>
    </w:tbl>
    <w:p>
      <w:pPr>
        <w:pageBreakBefore w:val="0"/>
        <w:bidi w:val="0"/>
        <w:spacing w:line="336" w:lineRule="auto"/>
        <w:jc w:val="center"/>
        <w:rPr>
          <w:rFonts w:hint="eastAsia" w:ascii="仿宋" w:hAnsi="仿宋" w:eastAsia="仿宋" w:cs="仿宋"/>
          <w:b/>
          <w:color w:val="auto"/>
          <w:szCs w:val="21"/>
          <w:highlight w:val="none"/>
        </w:rPr>
      </w:pPr>
    </w:p>
    <w:p>
      <w:pPr>
        <w:pageBreakBefore w:val="0"/>
        <w:widowControl/>
        <w:bidi w:val="0"/>
        <w:spacing w:line="336" w:lineRule="auto"/>
        <w:jc w:val="both"/>
        <w:rPr>
          <w:rFonts w:hint="eastAsia" w:ascii="仿宋" w:hAnsi="仿宋" w:eastAsia="仿宋" w:cs="仿宋"/>
          <w:b/>
          <w:color w:val="auto"/>
          <w:sz w:val="28"/>
          <w:szCs w:val="28"/>
          <w:highlight w:val="none"/>
        </w:rPr>
      </w:pPr>
    </w:p>
    <w:p>
      <w:pPr>
        <w:pageBreakBefore w:val="0"/>
        <w:widowControl/>
        <w:bidi w:val="0"/>
        <w:spacing w:line="336"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承诺书（二）</w:t>
      </w:r>
    </w:p>
    <w:p>
      <w:pPr>
        <w:pStyle w:val="15"/>
        <w:pageBreakBefore w:val="0"/>
        <w:bidi w:val="0"/>
        <w:spacing w:line="336" w:lineRule="auto"/>
        <w:rPr>
          <w:rFonts w:hint="eastAsia" w:ascii="仿宋" w:hAnsi="仿宋" w:eastAsia="仿宋" w:cs="仿宋"/>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pageBreakBefore w:val="0"/>
              <w:bidi w:val="0"/>
              <w:spacing w:line="33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eastAsia="zh-CN"/>
              </w:rPr>
              <w:t>陕西同昌成项目管理有限公司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pageBreakBefore w:val="0"/>
              <w:bidi w:val="0"/>
              <w:spacing w:line="336"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作为参加贵公司组织的采购项目的供应商，本公司郑重申告并承诺：近三年受到有关行政主管部门的行政处理、不良行为记录为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p>
        </w:tc>
        <w:tc>
          <w:tcPr>
            <w:tcW w:w="3420" w:type="dxa"/>
            <w:noWrap w:val="0"/>
            <w:vAlign w:val="center"/>
          </w:tcPr>
          <w:p>
            <w:pPr>
              <w:pageBreakBefore w:val="0"/>
              <w:bidi w:val="0"/>
              <w:spacing w:line="336"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zh-CN"/>
              </w:rPr>
              <w:t>法定代表人</w:t>
            </w:r>
            <w:r>
              <w:rPr>
                <w:rFonts w:hint="eastAsia" w:ascii="仿宋" w:hAnsi="仿宋" w:eastAsia="仿宋" w:cs="仿宋"/>
                <w:color w:val="auto"/>
                <w:szCs w:val="21"/>
                <w:highlight w:val="none"/>
                <w:lang w:val="en-US" w:eastAsia="zh-CN"/>
              </w:rPr>
              <w:t>/负责人</w:t>
            </w:r>
            <w:r>
              <w:rPr>
                <w:rFonts w:hint="eastAsia" w:ascii="仿宋" w:hAnsi="仿宋" w:eastAsia="仿宋" w:cs="仿宋"/>
                <w:color w:val="auto"/>
                <w:szCs w:val="21"/>
                <w:highlight w:val="none"/>
                <w:lang w:val="zh-CN"/>
              </w:rPr>
              <w:t>或委托代理人</w:t>
            </w:r>
          </w:p>
        </w:tc>
        <w:tc>
          <w:tcPr>
            <w:tcW w:w="2340"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3240"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（公章）</w:t>
            </w:r>
          </w:p>
        </w:tc>
        <w:tc>
          <w:tcPr>
            <w:tcW w:w="3420"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（签字或盖章）</w:t>
            </w:r>
          </w:p>
        </w:tc>
        <w:tc>
          <w:tcPr>
            <w:tcW w:w="2340" w:type="dxa"/>
            <w:noWrap w:val="0"/>
            <w:vAlign w:val="center"/>
          </w:tcPr>
          <w:p>
            <w:pPr>
              <w:pageBreakBefore w:val="0"/>
              <w:bidi w:val="0"/>
              <w:spacing w:line="336" w:lineRule="auto"/>
              <w:ind w:firstLine="210" w:firstLineChars="1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tc>
      </w:tr>
    </w:tbl>
    <w:p>
      <w:pPr>
        <w:pageBreakBefore w:val="0"/>
        <w:bidi w:val="0"/>
        <w:spacing w:line="336"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pageBreakBefore w:val="0"/>
        <w:bidi w:val="0"/>
        <w:spacing w:line="336" w:lineRule="auto"/>
        <w:jc w:val="center"/>
        <w:rPr>
          <w:rFonts w:hint="eastAsia" w:ascii="仿宋" w:hAnsi="仿宋" w:eastAsia="仿宋" w:cs="仿宋"/>
          <w:b/>
          <w:color w:val="auto"/>
          <w:szCs w:val="21"/>
          <w:highlight w:val="none"/>
        </w:rPr>
      </w:pPr>
    </w:p>
    <w:p>
      <w:pPr>
        <w:pageBreakBefore w:val="0"/>
        <w:bidi w:val="0"/>
        <w:spacing w:line="336" w:lineRule="auto"/>
        <w:jc w:val="center"/>
        <w:rPr>
          <w:rFonts w:hint="eastAsia" w:ascii="仿宋" w:hAnsi="仿宋" w:eastAsia="仿宋" w:cs="仿宋"/>
          <w:b/>
          <w:color w:val="auto"/>
          <w:szCs w:val="21"/>
          <w:highlight w:val="none"/>
        </w:rPr>
      </w:pPr>
      <w:r>
        <w:rPr>
          <w:rFonts w:hint="eastAsia" w:ascii="仿宋" w:hAnsi="仿宋" w:eastAsia="仿宋" w:cs="仿宋"/>
          <w:b/>
          <w:color w:val="auto"/>
          <w:sz w:val="28"/>
          <w:szCs w:val="28"/>
          <w:highlight w:val="none"/>
        </w:rPr>
        <w:t>承诺书（三）</w:t>
      </w:r>
    </w:p>
    <w:p>
      <w:pPr>
        <w:pageBreakBefore w:val="0"/>
        <w:bidi w:val="0"/>
        <w:spacing w:line="336" w:lineRule="auto"/>
        <w:jc w:val="center"/>
        <w:rPr>
          <w:rFonts w:hint="eastAsia" w:ascii="仿宋" w:hAnsi="仿宋" w:eastAsia="仿宋" w:cs="仿宋"/>
          <w:b/>
          <w:color w:val="auto"/>
          <w:szCs w:val="21"/>
          <w:highlight w:val="none"/>
        </w:rPr>
      </w:pPr>
    </w:p>
    <w:tbl>
      <w:tblPr>
        <w:tblStyle w:val="3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60" w:type="dxa"/>
            <w:gridSpan w:val="3"/>
            <w:noWrap w:val="0"/>
            <w:vAlign w:val="center"/>
          </w:tcPr>
          <w:p>
            <w:pPr>
              <w:pageBreakBefore w:val="0"/>
              <w:bidi w:val="0"/>
              <w:spacing w:line="33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eastAsia="zh-CN"/>
              </w:rPr>
              <w:t>陕西同昌成项目管理有限公司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9360" w:type="dxa"/>
            <w:gridSpan w:val="3"/>
            <w:noWrap w:val="0"/>
            <w:vAlign w:val="center"/>
          </w:tcPr>
          <w:p>
            <w:pPr>
              <w:pageBreakBefore w:val="0"/>
              <w:bidi w:val="0"/>
              <w:spacing w:line="336"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作为参加贵公司组织的采购项目的供应商，本公司郑重申告：近三年因服务质量问题的不法行为记录为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次（没有填零），如有隐瞒实情，愿承担一切责任及后果。</w:t>
            </w:r>
          </w:p>
          <w:p>
            <w:pPr>
              <w:pageBreakBefore w:val="0"/>
              <w:bidi w:val="0"/>
              <w:spacing w:line="336"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本公司承诺：本次采购标的物为正品行货。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369"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p>
        </w:tc>
        <w:tc>
          <w:tcPr>
            <w:tcW w:w="3556"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法定代表人</w:t>
            </w:r>
            <w:r>
              <w:rPr>
                <w:rFonts w:hint="eastAsia" w:ascii="仿宋" w:hAnsi="仿宋" w:eastAsia="仿宋" w:cs="仿宋"/>
                <w:color w:val="auto"/>
                <w:szCs w:val="21"/>
                <w:highlight w:val="none"/>
                <w:lang w:val="en-US" w:eastAsia="zh-CN"/>
              </w:rPr>
              <w:t>/负责人</w:t>
            </w:r>
            <w:r>
              <w:rPr>
                <w:rFonts w:hint="eastAsia" w:ascii="仿宋" w:hAnsi="仿宋" w:eastAsia="仿宋" w:cs="仿宋"/>
                <w:color w:val="auto"/>
                <w:szCs w:val="21"/>
                <w:highlight w:val="none"/>
                <w:lang w:val="zh-CN"/>
              </w:rPr>
              <w:t>或委托代理人</w:t>
            </w:r>
          </w:p>
        </w:tc>
        <w:tc>
          <w:tcPr>
            <w:tcW w:w="2435"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3369"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（公章）</w:t>
            </w:r>
          </w:p>
        </w:tc>
        <w:tc>
          <w:tcPr>
            <w:tcW w:w="3556"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（签字或盖章）</w:t>
            </w:r>
          </w:p>
        </w:tc>
        <w:tc>
          <w:tcPr>
            <w:tcW w:w="2435" w:type="dxa"/>
            <w:noWrap w:val="0"/>
            <w:vAlign w:val="center"/>
          </w:tcPr>
          <w:p>
            <w:pPr>
              <w:pageBreakBefore w:val="0"/>
              <w:bidi w:val="0"/>
              <w:spacing w:line="336" w:lineRule="auto"/>
              <w:ind w:firstLine="210" w:firstLineChars="1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tc>
      </w:tr>
    </w:tbl>
    <w:p>
      <w:pPr>
        <w:pageBreakBefore w:val="0"/>
        <w:bidi w:val="0"/>
        <w:spacing w:line="336" w:lineRule="auto"/>
        <w:rPr>
          <w:rFonts w:hint="eastAsia" w:ascii="仿宋" w:hAnsi="仿宋" w:eastAsia="仿宋" w:cs="仿宋"/>
          <w:b/>
          <w:color w:val="auto"/>
          <w:szCs w:val="21"/>
          <w:highlight w:val="none"/>
        </w:rPr>
      </w:pPr>
    </w:p>
    <w:p>
      <w:pPr>
        <w:pStyle w:val="15"/>
        <w:pageBreakBefore w:val="0"/>
        <w:bidi w:val="0"/>
        <w:spacing w:line="336" w:lineRule="auto"/>
        <w:rPr>
          <w:rFonts w:hint="eastAsia" w:ascii="仿宋" w:hAnsi="仿宋" w:eastAsia="仿宋" w:cs="仿宋"/>
          <w:highlight w:val="none"/>
        </w:rPr>
      </w:pPr>
    </w:p>
    <w:p>
      <w:pPr>
        <w:pageBreakBefore w:val="0"/>
        <w:bidi w:val="0"/>
        <w:spacing w:line="336" w:lineRule="auto"/>
        <w:jc w:val="center"/>
        <w:rPr>
          <w:rFonts w:hint="eastAsia" w:ascii="仿宋" w:hAnsi="仿宋" w:eastAsia="仿宋" w:cs="仿宋"/>
          <w:b/>
          <w:color w:val="auto"/>
          <w:szCs w:val="21"/>
          <w:highlight w:val="none"/>
        </w:rPr>
      </w:pPr>
      <w:r>
        <w:rPr>
          <w:rFonts w:hint="eastAsia" w:ascii="仿宋" w:hAnsi="仿宋" w:eastAsia="仿宋" w:cs="仿宋"/>
          <w:b/>
          <w:color w:val="auto"/>
          <w:sz w:val="28"/>
          <w:szCs w:val="28"/>
          <w:highlight w:val="none"/>
        </w:rPr>
        <w:t>承诺书（四）</w:t>
      </w:r>
    </w:p>
    <w:p>
      <w:pPr>
        <w:pStyle w:val="36"/>
        <w:pageBreakBefore w:val="0"/>
        <w:bidi w:val="0"/>
        <w:spacing w:line="336" w:lineRule="auto"/>
        <w:ind w:left="0" w:leftChars="0" w:firstLine="0" w:firstLineChars="0"/>
        <w:rPr>
          <w:rFonts w:hint="eastAsia" w:ascii="仿宋" w:hAnsi="仿宋" w:eastAsia="仿宋" w:cs="仿宋"/>
          <w:color w:val="auto"/>
          <w:highlight w:val="none"/>
        </w:rPr>
      </w:pPr>
    </w:p>
    <w:tbl>
      <w:tblPr>
        <w:tblStyle w:val="3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320" w:type="dxa"/>
            <w:gridSpan w:val="3"/>
            <w:noWrap w:val="0"/>
            <w:vAlign w:val="center"/>
          </w:tcPr>
          <w:p>
            <w:pPr>
              <w:pageBreakBefore w:val="0"/>
              <w:bidi w:val="0"/>
              <w:spacing w:line="33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eastAsia="zh-CN"/>
              </w:rPr>
              <w:t>陕西同昌成项目管理有限公司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9320" w:type="dxa"/>
            <w:gridSpan w:val="3"/>
            <w:noWrap w:val="0"/>
            <w:vAlign w:val="center"/>
          </w:tcPr>
          <w:p>
            <w:pPr>
              <w:pageBreakBefore w:val="0"/>
              <w:bidi w:val="0"/>
              <w:spacing w:line="336"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作为参加贵公司组织的采购项目的供应商，本公司承诺：参加本次磋商活动提交的所有资质证明文件及业绩证明文件是真实的、有效的，如有隐瞒实情，愿承担一切责任及后果。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355"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p>
        </w:tc>
        <w:tc>
          <w:tcPr>
            <w:tcW w:w="3541"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法定代表人</w:t>
            </w:r>
            <w:r>
              <w:rPr>
                <w:rFonts w:hint="eastAsia" w:ascii="仿宋" w:hAnsi="仿宋" w:eastAsia="仿宋" w:cs="仿宋"/>
                <w:color w:val="auto"/>
                <w:szCs w:val="21"/>
                <w:highlight w:val="none"/>
                <w:lang w:val="en-US" w:eastAsia="zh-CN"/>
              </w:rPr>
              <w:t>/负责人</w:t>
            </w:r>
            <w:r>
              <w:rPr>
                <w:rFonts w:hint="eastAsia" w:ascii="仿宋" w:hAnsi="仿宋" w:eastAsia="仿宋" w:cs="仿宋"/>
                <w:color w:val="auto"/>
                <w:szCs w:val="21"/>
                <w:highlight w:val="none"/>
                <w:lang w:val="zh-CN"/>
              </w:rPr>
              <w:t>或委托代理人</w:t>
            </w:r>
          </w:p>
        </w:tc>
        <w:tc>
          <w:tcPr>
            <w:tcW w:w="2424"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3355"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（公章）</w:t>
            </w:r>
          </w:p>
        </w:tc>
        <w:tc>
          <w:tcPr>
            <w:tcW w:w="3541" w:type="dxa"/>
            <w:noWrap w:val="0"/>
            <w:vAlign w:val="center"/>
          </w:tcPr>
          <w:p>
            <w:pPr>
              <w:pageBreakBefore w:val="0"/>
              <w:bidi w:val="0"/>
              <w:spacing w:line="33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（签字或盖章）</w:t>
            </w:r>
          </w:p>
        </w:tc>
        <w:tc>
          <w:tcPr>
            <w:tcW w:w="2424" w:type="dxa"/>
            <w:noWrap w:val="0"/>
            <w:vAlign w:val="center"/>
          </w:tcPr>
          <w:p>
            <w:pPr>
              <w:pageBreakBefore w:val="0"/>
              <w:bidi w:val="0"/>
              <w:spacing w:line="336" w:lineRule="auto"/>
              <w:ind w:firstLine="210" w:firstLineChars="1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tc>
      </w:tr>
    </w:tbl>
    <w:p>
      <w:pPr>
        <w:pageBreakBefore w:val="0"/>
        <w:bidi w:val="0"/>
        <w:spacing w:line="336"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r>
        <w:rPr>
          <w:rFonts w:hint="eastAsia" w:ascii="仿宋" w:hAnsi="仿宋" w:eastAsia="仿宋" w:cs="仿宋"/>
          <w:b/>
          <w:color w:val="auto"/>
          <w:sz w:val="28"/>
          <w:szCs w:val="28"/>
          <w:highlight w:val="none"/>
        </w:rPr>
        <w:t>承诺书（五）</w:t>
      </w:r>
    </w:p>
    <w:p>
      <w:pPr>
        <w:pStyle w:val="15"/>
        <w:pageBreakBefore w:val="0"/>
        <w:bidi w:val="0"/>
        <w:spacing w:line="336" w:lineRule="auto"/>
        <w:rPr>
          <w:rFonts w:hint="eastAsia" w:ascii="仿宋" w:hAnsi="仿宋" w:eastAsia="仿宋" w:cs="仿宋"/>
          <w:color w:val="auto"/>
          <w:highlight w:val="none"/>
        </w:rPr>
      </w:pPr>
    </w:p>
    <w:p>
      <w:pPr>
        <w:pageBreakBefore w:val="0"/>
        <w:bidi w:val="0"/>
        <w:spacing w:line="336"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供应商拒绝政府采购领域商业贿赂承诺书</w:t>
      </w:r>
    </w:p>
    <w:p>
      <w:pPr>
        <w:pageBreakBefore w:val="0"/>
        <w:widowControl/>
        <w:bidi w:val="0"/>
        <w:spacing w:line="336" w:lineRule="auto"/>
        <w:rPr>
          <w:rFonts w:hint="eastAsia" w:ascii="仿宋" w:hAnsi="仿宋" w:eastAsia="仿宋" w:cs="仿宋"/>
          <w:color w:val="auto"/>
          <w:kern w:val="0"/>
          <w:sz w:val="24"/>
          <w:szCs w:val="24"/>
          <w:highlight w:val="none"/>
        </w:rPr>
      </w:pPr>
    </w:p>
    <w:p>
      <w:pPr>
        <w:pageBreakBefore w:val="0"/>
        <w:widowControl/>
        <w:bidi w:val="0"/>
        <w:spacing w:line="336" w:lineRule="auto"/>
        <w:ind w:firstLine="480" w:firstLineChars="200"/>
        <w:rPr>
          <w:rFonts w:hint="eastAsia" w:ascii="仿宋" w:hAnsi="仿宋" w:eastAsia="仿宋" w:cs="仿宋"/>
          <w:sz w:val="28"/>
          <w:szCs w:val="28"/>
          <w:highlight w:val="none"/>
        </w:rPr>
      </w:pPr>
      <w:r>
        <w:rPr>
          <w:rFonts w:hint="eastAsia" w:ascii="仿宋" w:hAnsi="仿宋" w:eastAsia="仿宋" w:cs="仿宋"/>
          <w:color w:val="auto"/>
          <w:kern w:val="0"/>
          <w:sz w:val="24"/>
          <w:szCs w:val="24"/>
          <w:highlight w:val="none"/>
        </w:rPr>
        <w:t>为响应党中央</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国务院关于治理政府采购领域商业贿赂行为的号召，我单位在此庄严承诺：</w:t>
      </w:r>
      <w:r>
        <w:rPr>
          <w:rFonts w:hint="eastAsia" w:ascii="仿宋" w:hAnsi="仿宋" w:eastAsia="仿宋" w:cs="仿宋"/>
          <w:sz w:val="28"/>
          <w:szCs w:val="28"/>
          <w:highlight w:val="none"/>
        </w:rPr>
        <w:t xml:space="preserve"> </w:t>
      </w:r>
    </w:p>
    <w:p>
      <w:pPr>
        <w:pageBreakBefore w:val="0"/>
        <w:widowControl/>
        <w:numPr>
          <w:ilvl w:val="0"/>
          <w:numId w:val="49"/>
        </w:numPr>
        <w:tabs>
          <w:tab w:val="left" w:pos="210"/>
          <w:tab w:val="left" w:pos="420"/>
          <w:tab w:val="left" w:pos="630"/>
          <w:tab w:val="left" w:pos="840"/>
          <w:tab w:val="left" w:pos="1050"/>
        </w:tabs>
        <w:bidi w:val="0"/>
        <w:spacing w:line="336" w:lineRule="auto"/>
        <w:ind w:left="0" w:leftChars="0" w:firstLine="42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在参与政府采购活动中遵纪守法</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诚信经营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公平竞标。 </w:t>
      </w:r>
    </w:p>
    <w:p>
      <w:pPr>
        <w:pageBreakBefore w:val="0"/>
        <w:widowControl/>
        <w:numPr>
          <w:ilvl w:val="0"/>
          <w:numId w:val="49"/>
        </w:numPr>
        <w:tabs>
          <w:tab w:val="left" w:pos="420"/>
          <w:tab w:val="left" w:pos="630"/>
          <w:tab w:val="left" w:pos="840"/>
          <w:tab w:val="left" w:pos="1050"/>
        </w:tabs>
        <w:bidi w:val="0"/>
        <w:spacing w:line="336" w:lineRule="auto"/>
        <w:ind w:left="0" w:leftChars="0" w:firstLine="42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不向招标人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采购代理机构和政府采购磋商专家进行任何形式的商业贿赂以谋取交易机会。 </w:t>
      </w:r>
    </w:p>
    <w:p>
      <w:pPr>
        <w:pageBreakBefore w:val="0"/>
        <w:widowControl/>
        <w:numPr>
          <w:ilvl w:val="0"/>
          <w:numId w:val="49"/>
        </w:numPr>
        <w:tabs>
          <w:tab w:val="left" w:pos="420"/>
          <w:tab w:val="left" w:pos="630"/>
          <w:tab w:val="left" w:pos="840"/>
          <w:tab w:val="left" w:pos="1050"/>
        </w:tabs>
        <w:bidi w:val="0"/>
        <w:spacing w:line="336" w:lineRule="auto"/>
        <w:ind w:left="0" w:leftChars="0" w:firstLine="42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不向政府采购采购代理机构和招标人提供虚假资质文件或采用虚假应标方式参与政府采购市场竞争并谋取成交。 </w:t>
      </w:r>
    </w:p>
    <w:p>
      <w:pPr>
        <w:pageBreakBefore w:val="0"/>
        <w:widowControl/>
        <w:numPr>
          <w:ilvl w:val="0"/>
          <w:numId w:val="49"/>
        </w:numPr>
        <w:tabs>
          <w:tab w:val="left" w:pos="420"/>
          <w:tab w:val="left" w:pos="630"/>
          <w:tab w:val="left" w:pos="840"/>
          <w:tab w:val="left" w:pos="1050"/>
        </w:tabs>
        <w:bidi w:val="0"/>
        <w:spacing w:line="336" w:lineRule="auto"/>
        <w:ind w:left="0" w:leftChars="0" w:firstLine="42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不采取“围标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陪标”等商业欺诈手段获得政府采购定单。</w:t>
      </w:r>
    </w:p>
    <w:p>
      <w:pPr>
        <w:pageBreakBefore w:val="0"/>
        <w:widowControl/>
        <w:numPr>
          <w:ilvl w:val="0"/>
          <w:numId w:val="49"/>
        </w:numPr>
        <w:tabs>
          <w:tab w:val="left" w:pos="420"/>
          <w:tab w:val="left" w:pos="630"/>
          <w:tab w:val="left" w:pos="840"/>
          <w:tab w:val="left" w:pos="1050"/>
        </w:tabs>
        <w:bidi w:val="0"/>
        <w:spacing w:line="336" w:lineRule="auto"/>
        <w:ind w:left="0" w:leftChars="0" w:firstLine="42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不采取不正当手段诋毁</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排挤其他</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w:t>
      </w:r>
    </w:p>
    <w:p>
      <w:pPr>
        <w:pageBreakBefore w:val="0"/>
        <w:widowControl/>
        <w:numPr>
          <w:ilvl w:val="0"/>
          <w:numId w:val="49"/>
        </w:numPr>
        <w:tabs>
          <w:tab w:val="left" w:pos="420"/>
          <w:tab w:val="left" w:pos="630"/>
          <w:tab w:val="left" w:pos="840"/>
          <w:tab w:val="left" w:pos="1050"/>
        </w:tabs>
        <w:bidi w:val="0"/>
        <w:spacing w:line="336" w:lineRule="auto"/>
        <w:ind w:left="0" w:leftChars="0" w:firstLine="42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不在提供商品和服务时“偷梁换柱</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以次充好”损害招标人的合法权益。     </w:t>
      </w:r>
    </w:p>
    <w:p>
      <w:pPr>
        <w:pageBreakBefore w:val="0"/>
        <w:widowControl/>
        <w:numPr>
          <w:ilvl w:val="0"/>
          <w:numId w:val="49"/>
        </w:numPr>
        <w:tabs>
          <w:tab w:val="left" w:pos="420"/>
          <w:tab w:val="left" w:pos="630"/>
          <w:tab w:val="left" w:pos="840"/>
          <w:tab w:val="left" w:pos="1050"/>
        </w:tabs>
        <w:bidi w:val="0"/>
        <w:spacing w:line="336" w:lineRule="auto"/>
        <w:ind w:left="0" w:leftChars="0" w:firstLine="42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不与招标人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采购代理机构政府采购磋商专家或其它</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恶意串通，进行质疑和投诉，维护政府采购市场秩序。</w:t>
      </w:r>
    </w:p>
    <w:p>
      <w:pPr>
        <w:pageBreakBefore w:val="0"/>
        <w:widowControl/>
        <w:numPr>
          <w:ilvl w:val="0"/>
          <w:numId w:val="49"/>
        </w:numPr>
        <w:tabs>
          <w:tab w:val="left" w:pos="420"/>
          <w:tab w:val="left" w:pos="630"/>
          <w:tab w:val="left" w:pos="840"/>
          <w:tab w:val="left" w:pos="1050"/>
        </w:tabs>
        <w:bidi w:val="0"/>
        <w:spacing w:line="336" w:lineRule="auto"/>
        <w:ind w:left="0" w:leftChars="0" w:firstLine="42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尊重和接受政府采购监督管理部门的监督和政府采购代理机构采购要求，承担因违约行为给招标人造成的损失。</w:t>
      </w:r>
    </w:p>
    <w:p>
      <w:pPr>
        <w:pageBreakBefore w:val="0"/>
        <w:widowControl/>
        <w:numPr>
          <w:ilvl w:val="0"/>
          <w:numId w:val="49"/>
        </w:numPr>
        <w:tabs>
          <w:tab w:val="left" w:pos="420"/>
          <w:tab w:val="left" w:pos="630"/>
          <w:tab w:val="left" w:pos="840"/>
          <w:tab w:val="left" w:pos="1050"/>
        </w:tabs>
        <w:bidi w:val="0"/>
        <w:spacing w:line="336" w:lineRule="auto"/>
        <w:ind w:left="0" w:leftChars="0" w:firstLine="42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不发生其他有悖于政府采购公开</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公平</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公正和诚信原则的行为。 </w:t>
      </w:r>
    </w:p>
    <w:p>
      <w:pPr>
        <w:pageBreakBefore w:val="0"/>
        <w:widowControl/>
        <w:bidi w:val="0"/>
        <w:spacing w:line="336" w:lineRule="auto"/>
        <w:ind w:firstLine="480" w:firstLineChars="200"/>
        <w:jc w:val="left"/>
        <w:rPr>
          <w:rFonts w:hint="eastAsia" w:ascii="仿宋" w:hAnsi="仿宋" w:eastAsia="仿宋" w:cs="仿宋"/>
          <w:color w:val="auto"/>
          <w:kern w:val="0"/>
          <w:sz w:val="24"/>
          <w:szCs w:val="24"/>
          <w:highlight w:val="none"/>
        </w:rPr>
      </w:pPr>
    </w:p>
    <w:p>
      <w:pPr>
        <w:pageBreakBefore w:val="0"/>
        <w:widowControl/>
        <w:bidi w:val="0"/>
        <w:spacing w:line="336" w:lineRule="auto"/>
        <w:ind w:firstLine="480" w:firstLineChars="200"/>
        <w:jc w:val="left"/>
        <w:rPr>
          <w:rFonts w:hint="eastAsia" w:ascii="仿宋" w:hAnsi="仿宋" w:eastAsia="仿宋" w:cs="仿宋"/>
          <w:color w:val="auto"/>
          <w:kern w:val="0"/>
          <w:sz w:val="24"/>
          <w:szCs w:val="24"/>
          <w:highlight w:val="none"/>
        </w:rPr>
      </w:pPr>
    </w:p>
    <w:p>
      <w:pPr>
        <w:pageBreakBefore w:val="0"/>
        <w:widowControl/>
        <w:bidi w:val="0"/>
        <w:spacing w:line="336" w:lineRule="auto"/>
        <w:ind w:firstLine="480" w:firstLineChars="200"/>
        <w:jc w:val="left"/>
        <w:rPr>
          <w:rFonts w:hint="eastAsia" w:ascii="仿宋" w:hAnsi="仿宋" w:eastAsia="仿宋" w:cs="仿宋"/>
          <w:color w:val="auto"/>
          <w:kern w:val="0"/>
          <w:sz w:val="24"/>
          <w:szCs w:val="24"/>
          <w:highlight w:val="none"/>
        </w:rPr>
      </w:pPr>
    </w:p>
    <w:p>
      <w:pPr>
        <w:pageBreakBefore w:val="0"/>
        <w:widowControl/>
        <w:bidi w:val="0"/>
        <w:spacing w:line="336"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承诺单位：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pPr>
        <w:pageBreakBefore w:val="0"/>
        <w:widowControl/>
        <w:bidi w:val="0"/>
        <w:spacing w:line="336"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法定</w:t>
      </w:r>
      <w:r>
        <w:rPr>
          <w:rFonts w:hint="eastAsia" w:ascii="仿宋" w:hAnsi="仿宋" w:eastAsia="仿宋" w:cs="仿宋"/>
          <w:color w:val="auto"/>
          <w:kern w:val="0"/>
          <w:sz w:val="24"/>
          <w:szCs w:val="24"/>
          <w:highlight w:val="none"/>
        </w:rPr>
        <w:t>代表</w:t>
      </w:r>
      <w:r>
        <w:rPr>
          <w:rFonts w:hint="eastAsia" w:ascii="仿宋" w:hAnsi="仿宋" w:eastAsia="仿宋" w:cs="仿宋"/>
          <w:color w:val="auto"/>
          <w:kern w:val="0"/>
          <w:sz w:val="24"/>
          <w:szCs w:val="24"/>
          <w:highlight w:val="none"/>
          <w:lang w:eastAsia="zh-CN"/>
        </w:rPr>
        <w:t>人</w:t>
      </w:r>
      <w:r>
        <w:rPr>
          <w:rFonts w:hint="eastAsia" w:ascii="仿宋" w:hAnsi="仿宋" w:eastAsia="仿宋" w:cs="仿宋"/>
          <w:color w:val="auto"/>
          <w:kern w:val="0"/>
          <w:sz w:val="24"/>
          <w:szCs w:val="24"/>
          <w:highlight w:val="none"/>
          <w:lang w:val="en-US" w:eastAsia="zh-CN"/>
        </w:rPr>
        <w:t>/负责人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（签字）</w:t>
      </w:r>
    </w:p>
    <w:p>
      <w:pPr>
        <w:pageBreakBefore w:val="0"/>
        <w:widowControl/>
        <w:bidi w:val="0"/>
        <w:spacing w:line="336"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pPr>
        <w:pageBreakBefore w:val="0"/>
        <w:widowControl/>
        <w:bidi w:val="0"/>
        <w:spacing w:line="336"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p>
    <w:p>
      <w:pPr>
        <w:pageBreakBefore w:val="0"/>
        <w:widowControl/>
        <w:bidi w:val="0"/>
        <w:spacing w:line="336" w:lineRule="auto"/>
        <w:ind w:firstLine="48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4"/>
          <w:szCs w:val="24"/>
          <w:highlight w:val="none"/>
        </w:rPr>
        <w:t>邮    编：</w:t>
      </w:r>
      <w:r>
        <w:rPr>
          <w:rFonts w:hint="eastAsia" w:ascii="仿宋" w:hAnsi="仿宋" w:eastAsia="仿宋" w:cs="仿宋"/>
          <w:color w:val="auto"/>
          <w:kern w:val="0"/>
          <w:sz w:val="24"/>
          <w:szCs w:val="24"/>
          <w:highlight w:val="none"/>
          <w:u w:val="single"/>
        </w:rPr>
        <w:t xml:space="preserve">　　         　       </w:t>
      </w:r>
    </w:p>
    <w:p>
      <w:pPr>
        <w:pageBreakBefore w:val="0"/>
        <w:bidi w:val="0"/>
        <w:spacing w:line="336" w:lineRule="auto"/>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lang w:val="zh-CN"/>
        </w:rPr>
        <w:br w:type="page"/>
      </w:r>
    </w:p>
    <w:p>
      <w:pPr>
        <w:pageBreakBefore w:val="0"/>
        <w:numPr>
          <w:ilvl w:val="0"/>
          <w:numId w:val="42"/>
        </w:numPr>
        <w:kinsoku/>
        <w:bidi w:val="0"/>
        <w:spacing w:line="336" w:lineRule="auto"/>
        <w:ind w:firstLine="0"/>
        <w:jc w:val="center"/>
        <w:outlineLvl w:val="0"/>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lang w:val="zh-CN"/>
        </w:rPr>
        <w:t>其他需要说明的内容</w:t>
      </w:r>
      <w:bookmarkEnd w:id="64"/>
    </w:p>
    <w:p>
      <w:pPr>
        <w:pStyle w:val="15"/>
        <w:pageBreakBefore w:val="0"/>
        <w:kinsoku/>
        <w:bidi w:val="0"/>
        <w:spacing w:line="336" w:lineRule="auto"/>
        <w:rPr>
          <w:rFonts w:hint="eastAsia" w:ascii="仿宋" w:hAnsi="仿宋" w:eastAsia="仿宋" w:cs="仿宋"/>
          <w:b/>
          <w:color w:val="000000"/>
          <w:sz w:val="32"/>
          <w:szCs w:val="32"/>
          <w:highlight w:val="none"/>
          <w:lang w:eastAsia="zh-CN"/>
        </w:rPr>
      </w:pPr>
    </w:p>
    <w:p>
      <w:pPr>
        <w:pageBreakBefore w:val="0"/>
        <w:bidi w:val="0"/>
        <w:spacing w:line="336" w:lineRule="auto"/>
        <w:rPr>
          <w:rFonts w:hint="eastAsia" w:ascii="仿宋" w:hAnsi="仿宋" w:eastAsia="仿宋" w:cs="仿宋"/>
          <w:highlight w:val="none"/>
          <w:lang w:eastAsia="zh-CN"/>
        </w:rPr>
      </w:pPr>
    </w:p>
    <w:p>
      <w:pPr>
        <w:pStyle w:val="15"/>
        <w:pageBreakBefore w:val="0"/>
        <w:kinsoku/>
        <w:bidi w:val="0"/>
        <w:spacing w:line="336" w:lineRule="auto"/>
        <w:ind w:firstLine="482" w:firstLineChars="200"/>
        <w:jc w:val="both"/>
        <w:rPr>
          <w:rFonts w:hint="eastAsia" w:ascii="仿宋" w:hAnsi="仿宋" w:eastAsia="仿宋" w:cs="仿宋"/>
          <w:highlight w:val="none"/>
        </w:rPr>
      </w:pPr>
      <w:r>
        <w:rPr>
          <w:rFonts w:hint="eastAsia" w:ascii="仿宋" w:hAnsi="仿宋" w:eastAsia="仿宋" w:cs="仿宋"/>
          <w:b/>
          <w:color w:val="auto"/>
          <w:sz w:val="24"/>
          <w:szCs w:val="24"/>
          <w:highlight w:val="none"/>
          <w:lang w:val="en-US" w:eastAsia="zh-CN"/>
        </w:rPr>
        <w:t>各供应商根据实际情况，自行添加有利于展现企业实力的相关材料。</w:t>
      </w:r>
    </w:p>
    <w:p>
      <w:pPr>
        <w:pStyle w:val="15"/>
        <w:pageBreakBefore w:val="0"/>
        <w:kinsoku/>
        <w:bidi w:val="0"/>
        <w:spacing w:line="336" w:lineRule="auto"/>
        <w:jc w:val="center"/>
        <w:rPr>
          <w:rFonts w:hint="eastAsia" w:ascii="仿宋" w:hAnsi="仿宋" w:eastAsia="仿宋" w:cs="仿宋"/>
          <w:b/>
          <w:color w:val="auto"/>
          <w:szCs w:val="28"/>
          <w:highlight w:val="none"/>
        </w:rPr>
      </w:pPr>
    </w:p>
    <w:p>
      <w:pPr>
        <w:pStyle w:val="15"/>
        <w:pageBreakBefore w:val="0"/>
        <w:kinsoku/>
        <w:bidi w:val="0"/>
        <w:spacing w:line="336" w:lineRule="auto"/>
        <w:jc w:val="center"/>
        <w:rPr>
          <w:rFonts w:hint="eastAsia" w:ascii="仿宋" w:hAnsi="仿宋" w:eastAsia="仿宋" w:cs="仿宋"/>
          <w:b/>
          <w:bCs/>
          <w:color w:val="auto"/>
          <w:szCs w:val="28"/>
          <w:highlight w:val="none"/>
        </w:rPr>
      </w:pPr>
    </w:p>
    <w:p>
      <w:pPr>
        <w:pStyle w:val="15"/>
        <w:pageBreakBefore w:val="0"/>
        <w:tabs>
          <w:tab w:val="left" w:pos="2408"/>
        </w:tabs>
        <w:kinsoku/>
        <w:bidi w:val="0"/>
        <w:spacing w:line="336" w:lineRule="auto"/>
        <w:rPr>
          <w:rFonts w:hint="eastAsia" w:ascii="仿宋" w:hAnsi="仿宋" w:eastAsia="仿宋" w:cs="仿宋"/>
          <w:highlight w:val="none"/>
        </w:rPr>
      </w:pPr>
    </w:p>
    <w:p>
      <w:pPr>
        <w:pageBreakBefore w:val="0"/>
        <w:bidi w:val="0"/>
        <w:spacing w:line="336" w:lineRule="auto"/>
        <w:rPr>
          <w:rFonts w:hint="eastAsia" w:ascii="仿宋" w:hAnsi="仿宋" w:eastAsia="仿宋" w:cs="仿宋"/>
          <w:highlight w:val="none"/>
        </w:rPr>
      </w:pPr>
    </w:p>
    <w:p>
      <w:pPr>
        <w:pageBreakBefore w:val="0"/>
        <w:overflowPunct/>
        <w:bidi w:val="0"/>
        <w:spacing w:afterAutospacing="0" w:line="336" w:lineRule="auto"/>
        <w:rPr>
          <w:rFonts w:hint="eastAsia" w:ascii="仿宋" w:hAnsi="仿宋" w:eastAsia="仿宋" w:cs="仿宋"/>
          <w:b/>
          <w:bCs w:val="0"/>
          <w:kern w:val="2"/>
          <w:sz w:val="28"/>
          <w:szCs w:val="28"/>
          <w:highlight w:val="none"/>
          <w:lang w:val="en-US" w:eastAsia="zh-CN" w:bidi="ar-SA"/>
        </w:rPr>
      </w:pPr>
      <w:r>
        <w:rPr>
          <w:rFonts w:hint="eastAsia" w:ascii="仿宋" w:hAnsi="仿宋" w:eastAsia="仿宋" w:cs="仿宋"/>
          <w:b/>
          <w:bCs w:val="0"/>
          <w:kern w:val="2"/>
          <w:sz w:val="28"/>
          <w:szCs w:val="28"/>
          <w:highlight w:val="none"/>
          <w:lang w:val="en-US" w:eastAsia="zh-CN" w:bidi="ar-SA"/>
        </w:rPr>
        <w:br w:type="page"/>
      </w:r>
    </w:p>
    <w:p>
      <w:pPr>
        <w:pStyle w:val="11"/>
        <w:pageBreakBefore w:val="0"/>
        <w:overflowPunct/>
        <w:bidi w:val="0"/>
        <w:spacing w:afterAutospacing="0" w:line="336" w:lineRule="auto"/>
        <w:rPr>
          <w:rFonts w:hint="eastAsia" w:ascii="仿宋" w:hAnsi="仿宋" w:eastAsia="仿宋" w:cs="仿宋"/>
          <w:b/>
          <w:sz w:val="44"/>
          <w:szCs w:val="44"/>
          <w:highlight w:val="none"/>
        </w:rPr>
      </w:pPr>
    </w:p>
    <w:p>
      <w:pPr>
        <w:pageBreakBefore w:val="0"/>
        <w:overflowPunct/>
        <w:bidi w:val="0"/>
        <w:spacing w:afterAutospacing="0" w:line="336" w:lineRule="auto"/>
        <w:rPr>
          <w:rFonts w:hint="eastAsia" w:ascii="仿宋" w:hAnsi="仿宋" w:eastAsia="仿宋" w:cs="仿宋"/>
          <w:b/>
          <w:sz w:val="44"/>
          <w:szCs w:val="44"/>
          <w:highlight w:val="none"/>
        </w:rPr>
      </w:pPr>
    </w:p>
    <w:p>
      <w:pPr>
        <w:pStyle w:val="26"/>
        <w:pageBreakBefore w:val="0"/>
        <w:bidi w:val="0"/>
        <w:spacing w:line="336" w:lineRule="auto"/>
        <w:rPr>
          <w:rFonts w:hint="eastAsia" w:ascii="仿宋" w:hAnsi="仿宋" w:eastAsia="仿宋" w:cs="仿宋"/>
          <w:b/>
          <w:sz w:val="44"/>
          <w:szCs w:val="44"/>
          <w:highlight w:val="none"/>
        </w:rPr>
      </w:pPr>
    </w:p>
    <w:p>
      <w:pPr>
        <w:pStyle w:val="22"/>
        <w:pageBreakBefore w:val="0"/>
        <w:bidi w:val="0"/>
        <w:spacing w:line="336" w:lineRule="auto"/>
        <w:rPr>
          <w:rFonts w:hint="eastAsia" w:ascii="仿宋" w:hAnsi="仿宋" w:eastAsia="仿宋" w:cs="仿宋"/>
          <w:b/>
          <w:sz w:val="44"/>
          <w:szCs w:val="44"/>
          <w:highlight w:val="none"/>
        </w:rPr>
      </w:pPr>
    </w:p>
    <w:p>
      <w:pPr>
        <w:pageBreakBefore w:val="0"/>
        <w:bidi w:val="0"/>
        <w:spacing w:line="336" w:lineRule="auto"/>
        <w:rPr>
          <w:rFonts w:hint="eastAsia" w:ascii="仿宋" w:hAnsi="仿宋" w:eastAsia="仿宋" w:cs="仿宋"/>
          <w:b/>
          <w:sz w:val="44"/>
          <w:szCs w:val="44"/>
          <w:highlight w:val="none"/>
        </w:rPr>
      </w:pPr>
    </w:p>
    <w:p>
      <w:pPr>
        <w:pStyle w:val="26"/>
        <w:pageBreakBefore w:val="0"/>
        <w:bidi w:val="0"/>
        <w:spacing w:line="336" w:lineRule="auto"/>
        <w:rPr>
          <w:rFonts w:hint="eastAsia" w:ascii="仿宋" w:hAnsi="仿宋" w:eastAsia="仿宋" w:cs="仿宋"/>
          <w:b/>
          <w:sz w:val="44"/>
          <w:szCs w:val="44"/>
          <w:highlight w:val="none"/>
        </w:rPr>
      </w:pPr>
    </w:p>
    <w:p>
      <w:pPr>
        <w:pStyle w:val="22"/>
        <w:pageBreakBefore w:val="0"/>
        <w:bidi w:val="0"/>
        <w:spacing w:line="336" w:lineRule="auto"/>
        <w:rPr>
          <w:rFonts w:hint="eastAsia" w:ascii="仿宋" w:hAnsi="仿宋" w:eastAsia="仿宋" w:cs="仿宋"/>
          <w:highlight w:val="none"/>
        </w:rPr>
      </w:pPr>
    </w:p>
    <w:p>
      <w:pPr>
        <w:pageBreakBefore w:val="0"/>
        <w:overflowPunct/>
        <w:bidi w:val="0"/>
        <w:spacing w:afterAutospacing="0" w:line="336" w:lineRule="auto"/>
        <w:jc w:val="center"/>
        <w:outlineLvl w:val="0"/>
        <w:rPr>
          <w:rFonts w:hint="eastAsia" w:ascii="仿宋" w:hAnsi="仿宋" w:eastAsia="仿宋" w:cs="仿宋"/>
          <w:b/>
          <w:sz w:val="44"/>
          <w:szCs w:val="44"/>
          <w:highlight w:val="none"/>
        </w:rPr>
      </w:pPr>
      <w:bookmarkStart w:id="70" w:name="_Toc20055"/>
      <w:bookmarkStart w:id="71" w:name="_Toc15264"/>
      <w:r>
        <w:rPr>
          <w:rFonts w:hint="eastAsia" w:ascii="仿宋" w:hAnsi="仿宋" w:eastAsia="仿宋" w:cs="仿宋"/>
          <w:b/>
          <w:sz w:val="44"/>
          <w:szCs w:val="44"/>
          <w:highlight w:val="none"/>
        </w:rPr>
        <w:t>本页以下无内容</w:t>
      </w:r>
      <w:bookmarkEnd w:id="70"/>
      <w:bookmarkEnd w:id="71"/>
    </w:p>
    <w:p>
      <w:pPr>
        <w:pStyle w:val="47"/>
        <w:pageBreakBefore w:val="0"/>
        <w:overflowPunct/>
        <w:bidi w:val="0"/>
        <w:spacing w:afterAutospacing="0" w:line="336" w:lineRule="auto"/>
        <w:rPr>
          <w:rFonts w:hint="eastAsia" w:ascii="仿宋" w:hAnsi="仿宋" w:eastAsia="仿宋" w:cs="仿宋"/>
          <w:b/>
          <w:sz w:val="44"/>
          <w:szCs w:val="44"/>
          <w:highlight w:val="none"/>
        </w:rPr>
      </w:pPr>
    </w:p>
    <w:p>
      <w:pPr>
        <w:pStyle w:val="47"/>
        <w:pageBreakBefore w:val="0"/>
        <w:overflowPunct/>
        <w:bidi w:val="0"/>
        <w:spacing w:afterAutospacing="0" w:line="336" w:lineRule="auto"/>
        <w:rPr>
          <w:rFonts w:hint="eastAsia" w:ascii="仿宋" w:hAnsi="仿宋" w:eastAsia="仿宋" w:cs="仿宋"/>
          <w:b/>
          <w:sz w:val="44"/>
          <w:szCs w:val="44"/>
          <w:highlight w:val="none"/>
        </w:rPr>
      </w:pPr>
    </w:p>
    <w:p>
      <w:pPr>
        <w:pStyle w:val="47"/>
        <w:pageBreakBefore w:val="0"/>
        <w:overflowPunct/>
        <w:bidi w:val="0"/>
        <w:spacing w:afterAutospacing="0" w:line="336" w:lineRule="auto"/>
        <w:rPr>
          <w:rFonts w:hint="eastAsia" w:ascii="仿宋" w:hAnsi="仿宋" w:eastAsia="仿宋" w:cs="仿宋"/>
          <w:b/>
          <w:sz w:val="44"/>
          <w:szCs w:val="44"/>
          <w:highlight w:val="none"/>
        </w:rPr>
      </w:pPr>
    </w:p>
    <w:p>
      <w:pPr>
        <w:pageBreakBefore w:val="0"/>
        <w:pBdr>
          <w:bottom w:val="single" w:color="auto" w:sz="6" w:space="1"/>
        </w:pBdr>
        <w:overflowPunct/>
        <w:bidi w:val="0"/>
        <w:spacing w:afterAutospacing="0" w:line="336" w:lineRule="auto"/>
        <w:rPr>
          <w:rFonts w:hint="eastAsia" w:ascii="仿宋" w:hAnsi="仿宋" w:eastAsia="仿宋" w:cs="仿宋"/>
          <w:b/>
          <w:sz w:val="44"/>
          <w:szCs w:val="44"/>
          <w:highlight w:val="none"/>
        </w:rPr>
      </w:pPr>
    </w:p>
    <w:p>
      <w:pPr>
        <w:pageBreakBefore w:val="0"/>
        <w:pBdr>
          <w:bottom w:val="single" w:color="auto" w:sz="6" w:space="1"/>
        </w:pBdr>
        <w:overflowPunct/>
        <w:bidi w:val="0"/>
        <w:spacing w:afterAutospacing="0" w:line="336" w:lineRule="auto"/>
        <w:rPr>
          <w:rFonts w:hint="eastAsia" w:ascii="仿宋" w:hAnsi="仿宋" w:eastAsia="仿宋" w:cs="仿宋"/>
          <w:b/>
          <w:sz w:val="44"/>
          <w:szCs w:val="44"/>
          <w:highlight w:val="none"/>
        </w:rPr>
      </w:pPr>
    </w:p>
    <w:p>
      <w:pPr>
        <w:pStyle w:val="47"/>
        <w:pageBreakBefore w:val="0"/>
        <w:overflowPunct/>
        <w:bidi w:val="0"/>
        <w:spacing w:afterAutospacing="0" w:line="336" w:lineRule="auto"/>
        <w:rPr>
          <w:rFonts w:hint="eastAsia" w:ascii="仿宋" w:hAnsi="仿宋" w:eastAsia="仿宋" w:cs="仿宋"/>
          <w:highlight w:val="none"/>
        </w:rPr>
      </w:pPr>
    </w:p>
    <w:p>
      <w:pPr>
        <w:pStyle w:val="47"/>
        <w:pageBreakBefore w:val="0"/>
        <w:overflowPunct/>
        <w:bidi w:val="0"/>
        <w:spacing w:afterAutospacing="0" w:line="336" w:lineRule="auto"/>
        <w:rPr>
          <w:rFonts w:hint="eastAsia" w:ascii="仿宋" w:hAnsi="仿宋" w:eastAsia="仿宋" w:cs="仿宋"/>
          <w:b/>
          <w:sz w:val="44"/>
          <w:szCs w:val="44"/>
          <w:highlight w:val="none"/>
        </w:rPr>
      </w:pPr>
    </w:p>
    <w:p>
      <w:pPr>
        <w:pStyle w:val="47"/>
        <w:pageBreakBefore w:val="0"/>
        <w:overflowPunct/>
        <w:bidi w:val="0"/>
        <w:spacing w:afterAutospacing="0" w:line="336" w:lineRule="auto"/>
        <w:rPr>
          <w:rFonts w:hint="eastAsia" w:ascii="仿宋" w:hAnsi="仿宋" w:eastAsia="仿宋" w:cs="仿宋"/>
          <w:b/>
          <w:sz w:val="44"/>
          <w:szCs w:val="44"/>
          <w:highlight w:val="none"/>
        </w:rPr>
      </w:pPr>
    </w:p>
    <w:sectPr>
      <w:pgSz w:w="11907" w:h="16840"/>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none" lIns="0" tIns="0" rIns="0" bIns="0" upright="0">
                      <a:spAutoFit/>
                    </wps:bodyPr>
                  </wps:wsp>
                </a:graphicData>
              </a:graphic>
            </wp:anchor>
          </w:drawing>
        </mc:Choice>
        <mc:Fallback>
          <w:pict>
            <v:shape id="文本框 9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zWDOrTAQAApAMAAA4AAAAAAAAAAQAgAAAA&#10;IgEAAGRycy9lMm9Eb2MueG1sUEsFBgAAAAAGAAYAWQEAAGcFAAAAAA==&#10;">
              <v:fill on="f" focussize="0,0"/>
              <v:stroke on="f" weight="1.2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none" lIns="0" tIns="0" rIns="0" bIns="0" upright="0">
                      <a:spAutoFit/>
                    </wps:bodyPr>
                  </wps:wsp>
                </a:graphicData>
              </a:graphic>
            </wp:anchor>
          </w:drawing>
        </mc:Choice>
        <mc:Fallback>
          <w:pict>
            <v:shape id="文本框 9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BIaL/TAQAApAMAAA4AAAAAAAAAAQAgAAAA&#10;IgEAAGRycy9lMm9Eb2MueG1sUEsFBgAAAAAGAAYAWQEAAGcFAAAAAA==&#10;">
              <v:fill on="f" focussize="0,0"/>
              <v:stroke on="f" weight="1.2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rPr>
        <w:rFonts w:hint="default" w:ascii="仿宋" w:hAnsi="仿宋" w:eastAsia="仿宋" w:cs="仿宋"/>
        <w:b w:val="0"/>
        <w:bCs/>
        <w:spacing w:val="-17"/>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F9FBFA" w:sz="6" w:space="1"/>
      </w:pBdr>
      <w:jc w:val="both"/>
      <w:rPr>
        <w:b/>
        <w:bCs w:val="0"/>
        <w:spacing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rPr>
        <w:rFonts w:hint="default" w:eastAsia="宋体"/>
        <w:spacing w:val="-6"/>
        <w:sz w:val="20"/>
        <w:szCs w:val="22"/>
        <w:lang w:val="en-US" w:eastAsia="zh-CN"/>
      </w:rPr>
    </w:pPr>
    <w:r>
      <w:rPr>
        <w:rFonts w:hint="eastAsia" w:ascii="宋体" w:hAnsi="宋体" w:cs="Times New Roman"/>
        <w:b/>
        <w:bCs/>
        <w:sz w:val="20"/>
        <w:szCs w:val="20"/>
        <w:u w:val="single"/>
        <w:shd w:val="pct10" w:color="auto" w:fill="FFFFFF"/>
        <w:lang w:val="en-US" w:eastAsia="zh-CN"/>
      </w:rPr>
      <w:t>铜川市2023年度一元民生保险采购项目</w:t>
    </w:r>
    <w:r>
      <w:rPr>
        <w:rFonts w:hint="eastAsia" w:ascii="宋体" w:hAnsi="宋体"/>
        <w:b/>
        <w:bCs/>
        <w:sz w:val="20"/>
        <w:szCs w:val="20"/>
        <w:u w:val="single"/>
        <w:shd w:val="pct10" w:color="auto" w:fill="FFFFFF"/>
      </w:rPr>
      <w:t xml:space="preserve">竞争性磋商文件   </w:t>
    </w:r>
    <w:r>
      <w:rPr>
        <w:rFonts w:hint="eastAsia" w:ascii="宋体" w:hAnsi="宋体"/>
        <w:b/>
        <w:bCs/>
        <w:sz w:val="20"/>
        <w:szCs w:val="20"/>
        <w:u w:val="single"/>
        <w:shd w:val="pct10" w:color="auto" w:fill="FFFFFF"/>
        <w:lang w:val="en-US" w:eastAsia="zh-CN"/>
      </w:rPr>
      <w:t xml:space="preserve">               </w:t>
    </w:r>
    <w:r>
      <w:rPr>
        <w:rFonts w:hint="eastAsia" w:ascii="宋体" w:hAnsi="宋体"/>
        <w:b/>
        <w:bCs/>
        <w:sz w:val="20"/>
        <w:szCs w:val="20"/>
        <w:u w:val="single"/>
        <w:shd w:val="pct10" w:color="auto" w:fill="FFFFFF"/>
      </w:rPr>
      <w:t xml:space="preserve"> 项目编号：</w:t>
    </w:r>
    <w:r>
      <w:rPr>
        <w:rFonts w:hint="eastAsia" w:ascii="宋体" w:hAnsi="宋体" w:cs="Times New Roman"/>
        <w:b/>
        <w:bCs/>
        <w:sz w:val="20"/>
        <w:szCs w:val="20"/>
        <w:u w:val="single"/>
        <w:shd w:val="pct10" w:color="auto" w:fill="FFFFFF"/>
        <w:lang w:eastAsia="zh-CN"/>
      </w:rPr>
      <w:t>TCC2022-1119Z-01</w:t>
    </w:r>
  </w:p>
  <w:p>
    <w:pPr>
      <w:pStyle w:val="27"/>
      <w:pBdr>
        <w:bottom w:val="dotted" w:color="F9FBFA" w:sz="4" w:space="1"/>
      </w:pBdr>
      <w:ind w:left="2782" w:hanging="1980" w:hangingChars="1100"/>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6977"/>
    <w:multiLevelType w:val="multilevel"/>
    <w:tmpl w:val="824D6977"/>
    <w:lvl w:ilvl="0" w:tentative="0">
      <w:start w:val="1"/>
      <w:numFmt w:val="decimal"/>
      <w:lvlText w:val="(%1)"/>
      <w:lvlJc w:val="left"/>
      <w:pPr>
        <w:ind w:left="425" w:hanging="425"/>
      </w:pPr>
      <w:rPr>
        <w:rFonts w:hint="default" w:ascii="仿宋" w:hAnsi="仿宋" w:eastAsia="仿宋" w:cs="仿宋"/>
      </w:rPr>
    </w:lvl>
    <w:lvl w:ilvl="1" w:tentative="0">
      <w:start w:val="1"/>
      <w:numFmt w:val="decimalEnclosedCircleChinese"/>
      <w:lvlText w:val="%2"/>
      <w:lvlJc w:val="left"/>
      <w:pPr>
        <w:tabs>
          <w:tab w:val="left" w:pos="840"/>
        </w:tabs>
        <w:ind w:left="840" w:hanging="420"/>
      </w:pPr>
      <w:rPr>
        <w:rFonts w:hint="eastAsia" w:ascii="仿宋" w:hAnsi="仿宋" w:eastAsia="仿宋" w:cs="仿宋"/>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8286AB5E"/>
    <w:multiLevelType w:val="singleLevel"/>
    <w:tmpl w:val="8286AB5E"/>
    <w:lvl w:ilvl="0" w:tentative="0">
      <w:start w:val="1"/>
      <w:numFmt w:val="chineseCounting"/>
      <w:suff w:val="space"/>
      <w:lvlText w:val="第%1部分"/>
      <w:lvlJc w:val="left"/>
      <w:rPr>
        <w:rFonts w:hint="eastAsia"/>
      </w:rPr>
    </w:lvl>
  </w:abstractNum>
  <w:abstractNum w:abstractNumId="2">
    <w:nsid w:val="82D271A3"/>
    <w:multiLevelType w:val="singleLevel"/>
    <w:tmpl w:val="82D271A3"/>
    <w:lvl w:ilvl="0" w:tentative="0">
      <w:start w:val="1"/>
      <w:numFmt w:val="decimal"/>
      <w:lvlText w:val="(%1)"/>
      <w:lvlJc w:val="left"/>
      <w:pPr>
        <w:ind w:left="425" w:hanging="425"/>
      </w:pPr>
      <w:rPr>
        <w:rFonts w:hint="default" w:ascii="仿宋" w:hAnsi="仿宋" w:eastAsia="仿宋" w:cs="仿宋"/>
      </w:rPr>
    </w:lvl>
  </w:abstractNum>
  <w:abstractNum w:abstractNumId="3">
    <w:nsid w:val="86576591"/>
    <w:multiLevelType w:val="multilevel"/>
    <w:tmpl w:val="86576591"/>
    <w:lvl w:ilvl="0" w:tentative="0">
      <w:start w:val="1"/>
      <w:numFmt w:val="decimal"/>
      <w:lvlText w:val="%1."/>
      <w:lvlJc w:val="left"/>
      <w:pPr>
        <w:ind w:left="425" w:hanging="425"/>
      </w:pPr>
      <w:rPr>
        <w:rFonts w:hint="default" w:ascii="仿宋" w:hAnsi="仿宋" w:eastAsia="仿宋" w:cs="仿宋"/>
      </w:rPr>
    </w:lvl>
    <w:lvl w:ilvl="1" w:tentative="0">
      <w:start w:val="1"/>
      <w:numFmt w:val="decimal"/>
      <w:lvlText w:val="%1.%2."/>
      <w:lvlJc w:val="left"/>
      <w:pPr>
        <w:ind w:left="567" w:hanging="567"/>
      </w:pPr>
      <w:rPr>
        <w:rFonts w:hint="default" w:ascii="仿宋" w:hAnsi="仿宋" w:eastAsia="仿宋" w:cs="仿宋"/>
      </w:rPr>
    </w:lvl>
    <w:lvl w:ilvl="2" w:tentative="0">
      <w:start w:val="1"/>
      <w:numFmt w:val="decimal"/>
      <w:lvlText w:val="%1.%2.%3."/>
      <w:lvlJc w:val="left"/>
      <w:pPr>
        <w:ind w:left="3545" w:hanging="709"/>
      </w:pPr>
      <w:rPr>
        <w:rFonts w:hint="default" w:ascii="仿宋" w:hAnsi="仿宋" w:eastAsia="仿宋" w:cs="仿宋"/>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8671E109"/>
    <w:multiLevelType w:val="singleLevel"/>
    <w:tmpl w:val="8671E109"/>
    <w:lvl w:ilvl="0" w:tentative="0">
      <w:start w:val="1"/>
      <w:numFmt w:val="chineseCounting"/>
      <w:suff w:val="nothing"/>
      <w:lvlText w:val="（%1）"/>
      <w:lvlJc w:val="left"/>
      <w:pPr>
        <w:ind w:left="0" w:firstLine="420"/>
      </w:pPr>
      <w:rPr>
        <w:rFonts w:hint="eastAsia"/>
      </w:rPr>
    </w:lvl>
  </w:abstractNum>
  <w:abstractNum w:abstractNumId="5">
    <w:nsid w:val="87F7C6A3"/>
    <w:multiLevelType w:val="multilevel"/>
    <w:tmpl w:val="87F7C6A3"/>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89D8604B"/>
    <w:multiLevelType w:val="singleLevel"/>
    <w:tmpl w:val="89D8604B"/>
    <w:lvl w:ilvl="0" w:tentative="0">
      <w:start w:val="1"/>
      <w:numFmt w:val="decimal"/>
      <w:lvlText w:val="(%1)"/>
      <w:lvlJc w:val="left"/>
      <w:pPr>
        <w:ind w:left="425" w:hanging="425"/>
      </w:pPr>
      <w:rPr>
        <w:rFonts w:hint="default" w:ascii="仿宋" w:hAnsi="仿宋" w:eastAsia="仿宋" w:cs="仿宋"/>
      </w:rPr>
    </w:lvl>
  </w:abstractNum>
  <w:abstractNum w:abstractNumId="7">
    <w:nsid w:val="967C221A"/>
    <w:multiLevelType w:val="singleLevel"/>
    <w:tmpl w:val="967C221A"/>
    <w:lvl w:ilvl="0" w:tentative="0">
      <w:start w:val="1"/>
      <w:numFmt w:val="chineseCounting"/>
      <w:suff w:val="nothing"/>
      <w:lvlText w:val="（%1）"/>
      <w:lvlJc w:val="left"/>
      <w:pPr>
        <w:ind w:left="0" w:firstLine="420"/>
      </w:pPr>
      <w:rPr>
        <w:rFonts w:hint="eastAsia"/>
      </w:rPr>
    </w:lvl>
  </w:abstractNum>
  <w:abstractNum w:abstractNumId="8">
    <w:nsid w:val="9BD9F40B"/>
    <w:multiLevelType w:val="singleLevel"/>
    <w:tmpl w:val="9BD9F40B"/>
    <w:lvl w:ilvl="0" w:tentative="0">
      <w:start w:val="1"/>
      <w:numFmt w:val="decimal"/>
      <w:lvlText w:val="(%1)"/>
      <w:lvlJc w:val="left"/>
      <w:pPr>
        <w:ind w:left="425" w:hanging="425"/>
      </w:pPr>
      <w:rPr>
        <w:rFonts w:hint="default" w:ascii="仿宋" w:hAnsi="仿宋" w:eastAsia="仿宋" w:cs="仿宋"/>
      </w:rPr>
    </w:lvl>
  </w:abstractNum>
  <w:abstractNum w:abstractNumId="9">
    <w:nsid w:val="A22CD6B2"/>
    <w:multiLevelType w:val="singleLevel"/>
    <w:tmpl w:val="A22CD6B2"/>
    <w:lvl w:ilvl="0" w:tentative="0">
      <w:start w:val="1"/>
      <w:numFmt w:val="decimal"/>
      <w:lvlText w:val="(%1)"/>
      <w:lvlJc w:val="left"/>
      <w:pPr>
        <w:ind w:left="425" w:hanging="425"/>
      </w:pPr>
      <w:rPr>
        <w:rFonts w:hint="default" w:ascii="仿宋" w:hAnsi="仿宋" w:eastAsia="仿宋" w:cs="仿宋"/>
      </w:rPr>
    </w:lvl>
  </w:abstractNum>
  <w:abstractNum w:abstractNumId="10">
    <w:nsid w:val="A9411DEF"/>
    <w:multiLevelType w:val="singleLevel"/>
    <w:tmpl w:val="A9411DEF"/>
    <w:lvl w:ilvl="0" w:tentative="0">
      <w:start w:val="1"/>
      <w:numFmt w:val="decimal"/>
      <w:lvlText w:val="(%1)"/>
      <w:lvlJc w:val="left"/>
      <w:pPr>
        <w:ind w:left="425" w:hanging="425"/>
      </w:pPr>
      <w:rPr>
        <w:rFonts w:hint="default" w:ascii="仿宋" w:hAnsi="仿宋" w:eastAsia="仿宋" w:cs="仿宋"/>
      </w:rPr>
    </w:lvl>
  </w:abstractNum>
  <w:abstractNum w:abstractNumId="11">
    <w:nsid w:val="AABED577"/>
    <w:multiLevelType w:val="multilevel"/>
    <w:tmpl w:val="AABED577"/>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ABB87961"/>
    <w:multiLevelType w:val="multilevel"/>
    <w:tmpl w:val="ABB87961"/>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3">
    <w:nsid w:val="C534FB48"/>
    <w:multiLevelType w:val="singleLevel"/>
    <w:tmpl w:val="C534FB48"/>
    <w:lvl w:ilvl="0" w:tentative="0">
      <w:start w:val="1"/>
      <w:numFmt w:val="decimal"/>
      <w:lvlText w:val="(%1)"/>
      <w:lvlJc w:val="left"/>
      <w:pPr>
        <w:ind w:left="636" w:hanging="425"/>
      </w:pPr>
      <w:rPr>
        <w:rFonts w:hint="default" w:ascii="仿宋" w:hAnsi="仿宋" w:eastAsia="仿宋" w:cs="仿宋"/>
      </w:rPr>
    </w:lvl>
  </w:abstractNum>
  <w:abstractNum w:abstractNumId="14">
    <w:nsid w:val="C64A9BDC"/>
    <w:multiLevelType w:val="singleLevel"/>
    <w:tmpl w:val="C64A9BDC"/>
    <w:lvl w:ilvl="0" w:tentative="0">
      <w:start w:val="1"/>
      <w:numFmt w:val="decimal"/>
      <w:lvlText w:val="(%1)"/>
      <w:lvlJc w:val="left"/>
      <w:pPr>
        <w:ind w:left="425" w:hanging="425"/>
      </w:pPr>
      <w:rPr>
        <w:rFonts w:hint="default" w:ascii="仿宋" w:hAnsi="仿宋" w:eastAsia="仿宋" w:cs="仿宋"/>
      </w:rPr>
    </w:lvl>
  </w:abstractNum>
  <w:abstractNum w:abstractNumId="15">
    <w:nsid w:val="C82ACE64"/>
    <w:multiLevelType w:val="singleLevel"/>
    <w:tmpl w:val="C82ACE64"/>
    <w:lvl w:ilvl="0" w:tentative="0">
      <w:start w:val="1"/>
      <w:numFmt w:val="decimal"/>
      <w:suff w:val="nothing"/>
      <w:lvlText w:val="%1．"/>
      <w:lvlJc w:val="left"/>
      <w:pPr>
        <w:ind w:left="0" w:firstLine="400"/>
      </w:pPr>
      <w:rPr>
        <w:rFonts w:hint="default"/>
      </w:rPr>
    </w:lvl>
  </w:abstractNum>
  <w:abstractNum w:abstractNumId="16">
    <w:nsid w:val="CD7DEECB"/>
    <w:multiLevelType w:val="singleLevel"/>
    <w:tmpl w:val="CD7DEECB"/>
    <w:lvl w:ilvl="0" w:tentative="0">
      <w:start w:val="1"/>
      <w:numFmt w:val="chineseCounting"/>
      <w:suff w:val="nothing"/>
      <w:lvlText w:val="%1、"/>
      <w:lvlJc w:val="left"/>
      <w:pPr>
        <w:ind w:left="0" w:firstLine="420"/>
      </w:pPr>
      <w:rPr>
        <w:rFonts w:hint="eastAsia"/>
      </w:rPr>
    </w:lvl>
  </w:abstractNum>
  <w:abstractNum w:abstractNumId="17">
    <w:nsid w:val="D137171C"/>
    <w:multiLevelType w:val="multilevel"/>
    <w:tmpl w:val="D137171C"/>
    <w:lvl w:ilvl="0" w:tentative="0">
      <w:start w:val="1"/>
      <w:numFmt w:val="decimal"/>
      <w:suff w:val="nothing"/>
      <w:lvlText w:val="（%1）"/>
      <w:lvlJc w:val="left"/>
      <w:rPr>
        <w:rFonts w:hint="default" w:ascii="仿宋" w:hAnsi="仿宋" w:eastAsia="仿宋" w:cs="仿宋"/>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8">
    <w:nsid w:val="D17F8BFD"/>
    <w:multiLevelType w:val="multilevel"/>
    <w:tmpl w:val="D17F8BFD"/>
    <w:lvl w:ilvl="0" w:tentative="0">
      <w:start w:val="1"/>
      <w:numFmt w:val="decimal"/>
      <w:suff w:val="nothing"/>
      <w:lvlText w:val="（%1）"/>
      <w:lvlJc w:val="left"/>
      <w:rPr>
        <w:rFonts w:hint="default" w:ascii="仿宋" w:hAnsi="仿宋" w:eastAsia="仿宋" w:cs="仿宋"/>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9">
    <w:nsid w:val="D1A594D9"/>
    <w:multiLevelType w:val="singleLevel"/>
    <w:tmpl w:val="D1A594D9"/>
    <w:lvl w:ilvl="0" w:tentative="0">
      <w:start w:val="1"/>
      <w:numFmt w:val="decimal"/>
      <w:lvlText w:val="(%1)"/>
      <w:lvlJc w:val="left"/>
      <w:pPr>
        <w:ind w:left="425" w:hanging="425"/>
      </w:pPr>
      <w:rPr>
        <w:rFonts w:hint="default"/>
      </w:rPr>
    </w:lvl>
  </w:abstractNum>
  <w:abstractNum w:abstractNumId="20">
    <w:nsid w:val="D950E6DC"/>
    <w:multiLevelType w:val="singleLevel"/>
    <w:tmpl w:val="D950E6DC"/>
    <w:lvl w:ilvl="0" w:tentative="0">
      <w:start w:val="1"/>
      <w:numFmt w:val="decimal"/>
      <w:lvlText w:val="(%1)"/>
      <w:lvlJc w:val="left"/>
      <w:pPr>
        <w:ind w:left="425" w:hanging="425"/>
      </w:pPr>
      <w:rPr>
        <w:rFonts w:hint="default" w:ascii="仿宋" w:hAnsi="仿宋" w:eastAsia="仿宋" w:cs="仿宋"/>
      </w:rPr>
    </w:lvl>
  </w:abstractNum>
  <w:abstractNum w:abstractNumId="21">
    <w:nsid w:val="DFB7E152"/>
    <w:multiLevelType w:val="singleLevel"/>
    <w:tmpl w:val="DFB7E152"/>
    <w:lvl w:ilvl="0" w:tentative="0">
      <w:start w:val="1"/>
      <w:numFmt w:val="chineseCounting"/>
      <w:suff w:val="nothing"/>
      <w:lvlText w:val="（%1）"/>
      <w:lvlJc w:val="left"/>
      <w:pPr>
        <w:ind w:left="0" w:firstLine="420"/>
      </w:pPr>
      <w:rPr>
        <w:rFonts w:hint="eastAsia"/>
      </w:rPr>
    </w:lvl>
  </w:abstractNum>
  <w:abstractNum w:abstractNumId="22">
    <w:nsid w:val="E67AA704"/>
    <w:multiLevelType w:val="singleLevel"/>
    <w:tmpl w:val="E67AA704"/>
    <w:lvl w:ilvl="0" w:tentative="0">
      <w:start w:val="1"/>
      <w:numFmt w:val="chineseCounting"/>
      <w:suff w:val="nothing"/>
      <w:lvlText w:val="（%1）"/>
      <w:lvlJc w:val="left"/>
      <w:pPr>
        <w:ind w:left="0" w:firstLine="420"/>
      </w:pPr>
      <w:rPr>
        <w:rFonts w:hint="eastAsia"/>
      </w:rPr>
    </w:lvl>
  </w:abstractNum>
  <w:abstractNum w:abstractNumId="23">
    <w:nsid w:val="F3324F33"/>
    <w:multiLevelType w:val="singleLevel"/>
    <w:tmpl w:val="F3324F33"/>
    <w:lvl w:ilvl="0" w:tentative="0">
      <w:start w:val="2"/>
      <w:numFmt w:val="chineseCounting"/>
      <w:suff w:val="space"/>
      <w:lvlText w:val="第%1部分"/>
      <w:lvlJc w:val="left"/>
      <w:rPr>
        <w:rFonts w:hint="eastAsia"/>
      </w:rPr>
    </w:lvl>
  </w:abstractNum>
  <w:abstractNum w:abstractNumId="24">
    <w:nsid w:val="F8F1CB00"/>
    <w:multiLevelType w:val="singleLevel"/>
    <w:tmpl w:val="F8F1CB00"/>
    <w:lvl w:ilvl="0" w:tentative="0">
      <w:start w:val="1"/>
      <w:numFmt w:val="chineseCounting"/>
      <w:suff w:val="nothing"/>
      <w:lvlText w:val="（%1）"/>
      <w:lvlJc w:val="left"/>
      <w:pPr>
        <w:ind w:left="0" w:firstLine="420"/>
      </w:pPr>
      <w:rPr>
        <w:rFonts w:hint="eastAsia"/>
      </w:rPr>
    </w:lvl>
  </w:abstractNum>
  <w:abstractNum w:abstractNumId="25">
    <w:nsid w:val="0000000C"/>
    <w:multiLevelType w:val="multilevel"/>
    <w:tmpl w:val="0000000C"/>
    <w:lvl w:ilvl="0" w:tentative="0">
      <w:start w:val="1"/>
      <w:numFmt w:val="none"/>
      <w:suff w:val="nothing"/>
      <w:lvlText w:val=""/>
      <w:lvlJc w:val="left"/>
    </w:lvl>
    <w:lvl w:ilvl="1" w:tentative="0">
      <w:start w:val="1"/>
      <w:numFmt w:val="none"/>
      <w:lvlText w:val=""/>
      <w:legacy w:legacy="1" w:legacySpace="0" w:legacyIndent="0"/>
      <w:lvlJc w:val="left"/>
    </w:lvl>
    <w:lvl w:ilvl="2" w:tentative="0">
      <w:start w:val="1"/>
      <w:numFmt w:val="none"/>
      <w:lvlText w:val=""/>
      <w:legacy w:legacy="1" w:legacySpace="0" w:legacyIndent="0"/>
      <w:lvlJc w:val="left"/>
    </w:lvl>
    <w:lvl w:ilvl="3" w:tentative="0">
      <w:start w:val="1"/>
      <w:numFmt w:val="none"/>
      <w:pStyle w:val="6"/>
      <w:lvlText w:val=""/>
      <w:legacy w:legacy="1" w:legacySpace="0" w:legacyIndent="0"/>
      <w:lvlJc w:val="left"/>
    </w:lvl>
    <w:lvl w:ilvl="4" w:tentative="0">
      <w:start w:val="1"/>
      <w:numFmt w:val="none"/>
      <w:lvlText w:val=""/>
      <w:legacy w:legacy="1" w:legacySpace="0" w:legacyIndent="0"/>
      <w:lvlJc w:val="left"/>
    </w:lvl>
    <w:lvl w:ilvl="5" w:tentative="0">
      <w:start w:val="1"/>
      <w:numFmt w:val="decimal"/>
      <w:lvlText w:val=".%6"/>
      <w:legacy w:legacy="1" w:legacySpace="144" w:legacyIndent="0"/>
      <w:lvlJc w:val="left"/>
    </w:lvl>
    <w:lvl w:ilvl="6" w:tentative="0">
      <w:start w:val="1"/>
      <w:numFmt w:val="decimal"/>
      <w:lvlText w:val=".%6.%7"/>
      <w:legacy w:legacy="1" w:legacySpace="144" w:legacyIndent="0"/>
      <w:lvlJc w:val="left"/>
    </w:lvl>
    <w:lvl w:ilvl="7" w:tentative="0">
      <w:start w:val="1"/>
      <w:numFmt w:val="decimal"/>
      <w:lvlText w:val=".%6.%7.%8"/>
      <w:legacy w:legacy="1" w:legacySpace="144" w:legacyIndent="0"/>
      <w:lvlJc w:val="left"/>
    </w:lvl>
    <w:lvl w:ilvl="8" w:tentative="0">
      <w:start w:val="1"/>
      <w:numFmt w:val="decimal"/>
      <w:lvlText w:val=".%6.%7.%8.%9"/>
      <w:legacy w:legacy="1" w:legacySpace="144" w:legacyIndent="0"/>
      <w:lvlJc w:val="left"/>
    </w:lvl>
  </w:abstractNum>
  <w:abstractNum w:abstractNumId="26">
    <w:nsid w:val="00B430A4"/>
    <w:multiLevelType w:val="singleLevel"/>
    <w:tmpl w:val="00B430A4"/>
    <w:lvl w:ilvl="0" w:tentative="0">
      <w:start w:val="1"/>
      <w:numFmt w:val="decimal"/>
      <w:lvlText w:val="(%1)"/>
      <w:lvlJc w:val="left"/>
      <w:pPr>
        <w:ind w:left="425" w:hanging="425"/>
      </w:pPr>
      <w:rPr>
        <w:rFonts w:hint="default" w:ascii="仿宋" w:hAnsi="仿宋" w:eastAsia="仿宋" w:cs="仿宋"/>
      </w:rPr>
    </w:lvl>
  </w:abstractNum>
  <w:abstractNum w:abstractNumId="27">
    <w:nsid w:val="042784B5"/>
    <w:multiLevelType w:val="multilevel"/>
    <w:tmpl w:val="042784B5"/>
    <w:lvl w:ilvl="0" w:tentative="0">
      <w:start w:val="1"/>
      <w:numFmt w:val="decimal"/>
      <w:lvlText w:val="%1."/>
      <w:lvlJc w:val="left"/>
      <w:pPr>
        <w:ind w:left="425" w:hanging="425"/>
      </w:pPr>
      <w:rPr>
        <w:rFonts w:hint="default" w:ascii="仿宋" w:hAnsi="仿宋" w:eastAsia="仿宋" w:cs="仿宋"/>
        <w:sz w:val="24"/>
        <w:szCs w:val="24"/>
      </w:rPr>
    </w:lvl>
    <w:lvl w:ilvl="1" w:tentative="0">
      <w:start w:val="1"/>
      <w:numFmt w:val="decimal"/>
      <w:lvlText w:val="%1.%2."/>
      <w:lvlJc w:val="left"/>
      <w:pPr>
        <w:ind w:left="850" w:hanging="453"/>
      </w:pPr>
      <w:rPr>
        <w:rFonts w:hint="default" w:ascii="仿宋" w:hAnsi="仿宋" w:eastAsia="仿宋" w:cs="仿宋"/>
        <w:sz w:val="24"/>
        <w:szCs w:val="24"/>
      </w:rPr>
    </w:lvl>
    <w:lvl w:ilvl="2" w:tentative="0">
      <w:start w:val="1"/>
      <w:numFmt w:val="decimal"/>
      <w:lvlText w:val="%1.%2.%3."/>
      <w:lvlJc w:val="left"/>
      <w:pPr>
        <w:ind w:left="1508" w:hanging="708"/>
      </w:pPr>
      <w:rPr>
        <w:rFonts w:hint="default" w:ascii="仿宋" w:hAnsi="仿宋" w:eastAsia="仿宋" w:cs="仿宋"/>
        <w:sz w:val="24"/>
        <w:szCs w:val="24"/>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8">
    <w:nsid w:val="05AA3B1B"/>
    <w:multiLevelType w:val="singleLevel"/>
    <w:tmpl w:val="05AA3B1B"/>
    <w:lvl w:ilvl="0" w:tentative="0">
      <w:start w:val="1"/>
      <w:numFmt w:val="chineseCounting"/>
      <w:suff w:val="nothing"/>
      <w:lvlText w:val="（%1）"/>
      <w:lvlJc w:val="left"/>
      <w:pPr>
        <w:ind w:left="0" w:firstLine="420"/>
      </w:pPr>
      <w:rPr>
        <w:rFonts w:hint="eastAsia"/>
      </w:rPr>
    </w:lvl>
  </w:abstractNum>
  <w:abstractNum w:abstractNumId="29">
    <w:nsid w:val="05B05D82"/>
    <w:multiLevelType w:val="singleLevel"/>
    <w:tmpl w:val="05B05D82"/>
    <w:lvl w:ilvl="0" w:tentative="0">
      <w:start w:val="1"/>
      <w:numFmt w:val="decimal"/>
      <w:lvlText w:val="%1."/>
      <w:lvlJc w:val="left"/>
      <w:pPr>
        <w:ind w:left="425" w:hanging="425"/>
      </w:pPr>
      <w:rPr>
        <w:rFonts w:hint="default"/>
      </w:rPr>
    </w:lvl>
  </w:abstractNum>
  <w:abstractNum w:abstractNumId="30">
    <w:nsid w:val="074867BA"/>
    <w:multiLevelType w:val="singleLevel"/>
    <w:tmpl w:val="074867BA"/>
    <w:lvl w:ilvl="0" w:tentative="0">
      <w:start w:val="1"/>
      <w:numFmt w:val="decimal"/>
      <w:suff w:val="nothing"/>
      <w:lvlText w:val="（%1）"/>
      <w:lvlJc w:val="left"/>
    </w:lvl>
  </w:abstractNum>
  <w:abstractNum w:abstractNumId="31">
    <w:nsid w:val="0B98D39C"/>
    <w:multiLevelType w:val="singleLevel"/>
    <w:tmpl w:val="0B98D39C"/>
    <w:lvl w:ilvl="0" w:tentative="0">
      <w:start w:val="1"/>
      <w:numFmt w:val="decimal"/>
      <w:suff w:val="nothing"/>
      <w:lvlText w:val="（%1）"/>
      <w:lvlJc w:val="left"/>
      <w:rPr>
        <w:rFonts w:hint="default" w:ascii="仿宋" w:hAnsi="仿宋" w:eastAsia="仿宋" w:cs="仿宋"/>
      </w:rPr>
    </w:lvl>
  </w:abstractNum>
  <w:abstractNum w:abstractNumId="32">
    <w:nsid w:val="1925C3D2"/>
    <w:multiLevelType w:val="singleLevel"/>
    <w:tmpl w:val="1925C3D2"/>
    <w:lvl w:ilvl="0" w:tentative="0">
      <w:start w:val="1"/>
      <w:numFmt w:val="decimal"/>
      <w:lvlText w:val="(%1)"/>
      <w:lvlJc w:val="left"/>
      <w:pPr>
        <w:ind w:left="425" w:hanging="425"/>
      </w:pPr>
      <w:rPr>
        <w:rFonts w:hint="default" w:ascii="仿宋" w:hAnsi="仿宋" w:eastAsia="仿宋" w:cs="仿宋"/>
      </w:rPr>
    </w:lvl>
  </w:abstractNum>
  <w:abstractNum w:abstractNumId="33">
    <w:nsid w:val="239A46CA"/>
    <w:multiLevelType w:val="singleLevel"/>
    <w:tmpl w:val="239A46CA"/>
    <w:lvl w:ilvl="0" w:tentative="0">
      <w:start w:val="1"/>
      <w:numFmt w:val="decimal"/>
      <w:lvlText w:val="(%1)"/>
      <w:lvlJc w:val="left"/>
      <w:pPr>
        <w:ind w:left="425" w:hanging="425"/>
      </w:pPr>
      <w:rPr>
        <w:rFonts w:hint="default"/>
      </w:rPr>
    </w:lvl>
  </w:abstractNum>
  <w:abstractNum w:abstractNumId="34">
    <w:nsid w:val="246342D1"/>
    <w:multiLevelType w:val="singleLevel"/>
    <w:tmpl w:val="246342D1"/>
    <w:lvl w:ilvl="0" w:tentative="0">
      <w:start w:val="1"/>
      <w:numFmt w:val="decimal"/>
      <w:suff w:val="nothing"/>
      <w:lvlText w:val="（%1）"/>
      <w:lvlJc w:val="left"/>
      <w:rPr>
        <w:rFonts w:hint="default" w:ascii="仿宋" w:hAnsi="仿宋" w:eastAsia="仿宋" w:cs="仿宋"/>
      </w:rPr>
    </w:lvl>
  </w:abstractNum>
  <w:abstractNum w:abstractNumId="35">
    <w:nsid w:val="24A39633"/>
    <w:multiLevelType w:val="singleLevel"/>
    <w:tmpl w:val="24A39633"/>
    <w:lvl w:ilvl="0" w:tentative="0">
      <w:start w:val="2"/>
      <w:numFmt w:val="decimal"/>
      <w:lvlText w:val="%1."/>
      <w:lvlJc w:val="left"/>
      <w:pPr>
        <w:tabs>
          <w:tab w:val="left" w:pos="312"/>
        </w:tabs>
      </w:pPr>
    </w:lvl>
  </w:abstractNum>
  <w:abstractNum w:abstractNumId="36">
    <w:nsid w:val="2BB44000"/>
    <w:multiLevelType w:val="multilevel"/>
    <w:tmpl w:val="2BB44000"/>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37">
    <w:nsid w:val="3574C716"/>
    <w:multiLevelType w:val="singleLevel"/>
    <w:tmpl w:val="3574C716"/>
    <w:lvl w:ilvl="0" w:tentative="0">
      <w:start w:val="1"/>
      <w:numFmt w:val="decimal"/>
      <w:lvlText w:val="(%1)"/>
      <w:lvlJc w:val="left"/>
      <w:pPr>
        <w:ind w:left="425" w:hanging="425"/>
      </w:pPr>
      <w:rPr>
        <w:rFonts w:hint="default" w:ascii="仿宋" w:hAnsi="仿宋" w:eastAsia="仿宋" w:cs="仿宋"/>
      </w:rPr>
    </w:lvl>
  </w:abstractNum>
  <w:abstractNum w:abstractNumId="38">
    <w:nsid w:val="394D0365"/>
    <w:multiLevelType w:val="singleLevel"/>
    <w:tmpl w:val="394D0365"/>
    <w:lvl w:ilvl="0" w:tentative="0">
      <w:start w:val="1"/>
      <w:numFmt w:val="decimal"/>
      <w:lvlText w:val="(%1)"/>
      <w:lvlJc w:val="left"/>
      <w:pPr>
        <w:ind w:left="425" w:hanging="425"/>
      </w:pPr>
      <w:rPr>
        <w:rFonts w:hint="default" w:ascii="仿宋" w:hAnsi="仿宋" w:eastAsia="仿宋" w:cs="仿宋"/>
      </w:rPr>
    </w:lvl>
  </w:abstractNum>
  <w:abstractNum w:abstractNumId="39">
    <w:nsid w:val="4C03CEB8"/>
    <w:multiLevelType w:val="multilevel"/>
    <w:tmpl w:val="4C03CEB8"/>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0">
    <w:nsid w:val="4D4F6039"/>
    <w:multiLevelType w:val="multilevel"/>
    <w:tmpl w:val="4D4F603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41">
    <w:nsid w:val="4FC2CD3D"/>
    <w:multiLevelType w:val="singleLevel"/>
    <w:tmpl w:val="4FC2CD3D"/>
    <w:lvl w:ilvl="0" w:tentative="0">
      <w:start w:val="1"/>
      <w:numFmt w:val="decimal"/>
      <w:lvlText w:val="(%1)"/>
      <w:lvlJc w:val="left"/>
      <w:pPr>
        <w:ind w:left="425" w:hanging="425"/>
      </w:pPr>
      <w:rPr>
        <w:rFonts w:hint="default" w:ascii="仿宋" w:hAnsi="仿宋" w:eastAsia="仿宋" w:cs="仿宋"/>
      </w:rPr>
    </w:lvl>
  </w:abstractNum>
  <w:abstractNum w:abstractNumId="42">
    <w:nsid w:val="5154EE9E"/>
    <w:multiLevelType w:val="multilevel"/>
    <w:tmpl w:val="5154EE9E"/>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3">
    <w:nsid w:val="5A1E28B4"/>
    <w:multiLevelType w:val="singleLevel"/>
    <w:tmpl w:val="5A1E28B4"/>
    <w:lvl w:ilvl="0" w:tentative="0">
      <w:start w:val="3"/>
      <w:numFmt w:val="chineseCounting"/>
      <w:suff w:val="space"/>
      <w:lvlText w:val="第%1部分"/>
      <w:lvlJc w:val="left"/>
    </w:lvl>
  </w:abstractNum>
  <w:abstractNum w:abstractNumId="44">
    <w:nsid w:val="5B283C50"/>
    <w:multiLevelType w:val="singleLevel"/>
    <w:tmpl w:val="5B283C50"/>
    <w:lvl w:ilvl="0" w:tentative="0">
      <w:start w:val="1"/>
      <w:numFmt w:val="decimal"/>
      <w:suff w:val="nothing"/>
      <w:lvlText w:val="%1．"/>
      <w:lvlJc w:val="left"/>
      <w:pPr>
        <w:ind w:left="0" w:firstLine="400"/>
      </w:pPr>
      <w:rPr>
        <w:rFonts w:hint="default"/>
      </w:rPr>
    </w:lvl>
  </w:abstractNum>
  <w:abstractNum w:abstractNumId="45">
    <w:nsid w:val="626A8FDB"/>
    <w:multiLevelType w:val="singleLevel"/>
    <w:tmpl w:val="626A8FDB"/>
    <w:lvl w:ilvl="0" w:tentative="0">
      <w:start w:val="1"/>
      <w:numFmt w:val="decimal"/>
      <w:suff w:val="nothing"/>
      <w:lvlText w:val="（%1）"/>
      <w:lvlJc w:val="left"/>
      <w:rPr>
        <w:rFonts w:hint="default" w:ascii="仿宋" w:hAnsi="仿宋" w:eastAsia="仿宋" w:cs="仿宋"/>
      </w:rPr>
    </w:lvl>
  </w:abstractNum>
  <w:abstractNum w:abstractNumId="46">
    <w:nsid w:val="65631BDF"/>
    <w:multiLevelType w:val="singleLevel"/>
    <w:tmpl w:val="65631BDF"/>
    <w:lvl w:ilvl="0" w:tentative="0">
      <w:start w:val="1"/>
      <w:numFmt w:val="decimal"/>
      <w:lvlText w:val="%1."/>
      <w:lvlJc w:val="left"/>
      <w:pPr>
        <w:ind w:left="425" w:hanging="425"/>
      </w:pPr>
      <w:rPr>
        <w:rFonts w:hint="default"/>
      </w:rPr>
    </w:lvl>
  </w:abstractNum>
  <w:abstractNum w:abstractNumId="47">
    <w:nsid w:val="65D8D0D1"/>
    <w:multiLevelType w:val="singleLevel"/>
    <w:tmpl w:val="65D8D0D1"/>
    <w:lvl w:ilvl="0" w:tentative="0">
      <w:start w:val="1"/>
      <w:numFmt w:val="chineseCounting"/>
      <w:suff w:val="space"/>
      <w:lvlText w:val="第%1条"/>
      <w:lvlJc w:val="left"/>
      <w:rPr>
        <w:rFonts w:hint="eastAsia"/>
      </w:rPr>
    </w:lvl>
  </w:abstractNum>
  <w:abstractNum w:abstractNumId="48">
    <w:nsid w:val="7D337714"/>
    <w:multiLevelType w:val="singleLevel"/>
    <w:tmpl w:val="7D337714"/>
    <w:lvl w:ilvl="0" w:tentative="0">
      <w:start w:val="1"/>
      <w:numFmt w:val="decimal"/>
      <w:suff w:val="nothing"/>
      <w:lvlText w:val="%1、"/>
      <w:lvlJc w:val="left"/>
    </w:lvl>
  </w:abstractNum>
  <w:num w:numId="1">
    <w:abstractNumId w:val="25"/>
  </w:num>
  <w:num w:numId="2">
    <w:abstractNumId w:val="1"/>
  </w:num>
  <w:num w:numId="3">
    <w:abstractNumId w:val="16"/>
  </w:num>
  <w:num w:numId="4">
    <w:abstractNumId w:val="42"/>
  </w:num>
  <w:num w:numId="5">
    <w:abstractNumId w:val="33"/>
  </w:num>
  <w:num w:numId="6">
    <w:abstractNumId w:val="19"/>
  </w:num>
  <w:num w:numId="7">
    <w:abstractNumId w:val="11"/>
  </w:num>
  <w:num w:numId="8">
    <w:abstractNumId w:val="23"/>
  </w:num>
  <w:num w:numId="9">
    <w:abstractNumId w:val="39"/>
  </w:num>
  <w:num w:numId="10">
    <w:abstractNumId w:val="30"/>
  </w:num>
  <w:num w:numId="11">
    <w:abstractNumId w:val="27"/>
  </w:num>
  <w:num w:numId="12">
    <w:abstractNumId w:val="8"/>
  </w:num>
  <w:num w:numId="13">
    <w:abstractNumId w:val="6"/>
  </w:num>
  <w:num w:numId="14">
    <w:abstractNumId w:val="41"/>
  </w:num>
  <w:num w:numId="15">
    <w:abstractNumId w:val="26"/>
  </w:num>
  <w:num w:numId="16">
    <w:abstractNumId w:val="9"/>
  </w:num>
  <w:num w:numId="17">
    <w:abstractNumId w:val="10"/>
  </w:num>
  <w:num w:numId="18">
    <w:abstractNumId w:val="38"/>
  </w:num>
  <w:num w:numId="19">
    <w:abstractNumId w:val="2"/>
  </w:num>
  <w:num w:numId="20">
    <w:abstractNumId w:val="37"/>
  </w:num>
  <w:num w:numId="21">
    <w:abstractNumId w:val="20"/>
  </w:num>
  <w:num w:numId="22">
    <w:abstractNumId w:val="32"/>
  </w:num>
  <w:num w:numId="23">
    <w:abstractNumId w:val="14"/>
  </w:num>
  <w:num w:numId="24">
    <w:abstractNumId w:val="43"/>
  </w:num>
  <w:num w:numId="25">
    <w:abstractNumId w:val="47"/>
  </w:num>
  <w:num w:numId="26">
    <w:abstractNumId w:val="22"/>
  </w:num>
  <w:num w:numId="27">
    <w:abstractNumId w:val="28"/>
  </w:num>
  <w:num w:numId="28">
    <w:abstractNumId w:val="21"/>
  </w:num>
  <w:num w:numId="29">
    <w:abstractNumId w:val="4"/>
  </w:num>
  <w:num w:numId="30">
    <w:abstractNumId w:val="7"/>
  </w:num>
  <w:num w:numId="31">
    <w:abstractNumId w:val="40"/>
  </w:num>
  <w:num w:numId="32">
    <w:abstractNumId w:val="12"/>
  </w:num>
  <w:num w:numId="33">
    <w:abstractNumId w:val="5"/>
  </w:num>
  <w:num w:numId="34">
    <w:abstractNumId w:val="36"/>
  </w:num>
  <w:num w:numId="35">
    <w:abstractNumId w:val="3"/>
  </w:num>
  <w:num w:numId="36">
    <w:abstractNumId w:val="17"/>
  </w:num>
  <w:num w:numId="37">
    <w:abstractNumId w:val="18"/>
  </w:num>
  <w:num w:numId="38">
    <w:abstractNumId w:val="45"/>
  </w:num>
  <w:num w:numId="39">
    <w:abstractNumId w:val="34"/>
  </w:num>
  <w:num w:numId="40">
    <w:abstractNumId w:val="31"/>
  </w:num>
  <w:num w:numId="41">
    <w:abstractNumId w:val="13"/>
  </w:num>
  <w:num w:numId="42">
    <w:abstractNumId w:val="24"/>
  </w:num>
  <w:num w:numId="43">
    <w:abstractNumId w:val="0"/>
  </w:num>
  <w:num w:numId="44">
    <w:abstractNumId w:val="44"/>
  </w:num>
  <w:num w:numId="45">
    <w:abstractNumId w:val="15"/>
  </w:num>
  <w:num w:numId="46">
    <w:abstractNumId w:val="29"/>
  </w:num>
  <w:num w:numId="47">
    <w:abstractNumId w:val="48"/>
  </w:num>
  <w:num w:numId="48">
    <w:abstractNumId w:val="3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NjJlODdkYzhmNDdiOWIyNGU1MGNhYmE5ZmJlYTYifQ=="/>
  </w:docVars>
  <w:rsids>
    <w:rsidRoot w:val="00172A27"/>
    <w:rsid w:val="0000095E"/>
    <w:rsid w:val="00002060"/>
    <w:rsid w:val="00004ED0"/>
    <w:rsid w:val="00013268"/>
    <w:rsid w:val="0001480B"/>
    <w:rsid w:val="00015C24"/>
    <w:rsid w:val="00015FCA"/>
    <w:rsid w:val="00020EBD"/>
    <w:rsid w:val="000330C7"/>
    <w:rsid w:val="00035A4A"/>
    <w:rsid w:val="00037328"/>
    <w:rsid w:val="00051ECC"/>
    <w:rsid w:val="00061953"/>
    <w:rsid w:val="00062676"/>
    <w:rsid w:val="000637F5"/>
    <w:rsid w:val="00074F21"/>
    <w:rsid w:val="00074FAA"/>
    <w:rsid w:val="0008654E"/>
    <w:rsid w:val="00093662"/>
    <w:rsid w:val="00093FD2"/>
    <w:rsid w:val="000A148E"/>
    <w:rsid w:val="000A17B5"/>
    <w:rsid w:val="000B3C69"/>
    <w:rsid w:val="000B48D0"/>
    <w:rsid w:val="000B5936"/>
    <w:rsid w:val="000C20DD"/>
    <w:rsid w:val="000C2741"/>
    <w:rsid w:val="000D0A65"/>
    <w:rsid w:val="000D3A44"/>
    <w:rsid w:val="000D4C63"/>
    <w:rsid w:val="000E0139"/>
    <w:rsid w:val="000E1F70"/>
    <w:rsid w:val="000E1FE3"/>
    <w:rsid w:val="000E57DD"/>
    <w:rsid w:val="000F1224"/>
    <w:rsid w:val="000F27B9"/>
    <w:rsid w:val="000F597C"/>
    <w:rsid w:val="000F615C"/>
    <w:rsid w:val="00101382"/>
    <w:rsid w:val="001054EA"/>
    <w:rsid w:val="00110A33"/>
    <w:rsid w:val="0011131C"/>
    <w:rsid w:val="00112B12"/>
    <w:rsid w:val="00115569"/>
    <w:rsid w:val="00117B12"/>
    <w:rsid w:val="00121314"/>
    <w:rsid w:val="001236CA"/>
    <w:rsid w:val="00127C55"/>
    <w:rsid w:val="001340C9"/>
    <w:rsid w:val="00135E3B"/>
    <w:rsid w:val="00143522"/>
    <w:rsid w:val="00143747"/>
    <w:rsid w:val="001437C9"/>
    <w:rsid w:val="00146349"/>
    <w:rsid w:val="00150F81"/>
    <w:rsid w:val="00151E4D"/>
    <w:rsid w:val="0015225E"/>
    <w:rsid w:val="001534A1"/>
    <w:rsid w:val="001623D7"/>
    <w:rsid w:val="00167E4E"/>
    <w:rsid w:val="00172A27"/>
    <w:rsid w:val="0017356F"/>
    <w:rsid w:val="00173D4B"/>
    <w:rsid w:val="00185BA2"/>
    <w:rsid w:val="00191B72"/>
    <w:rsid w:val="00192371"/>
    <w:rsid w:val="001A095A"/>
    <w:rsid w:val="001A0E88"/>
    <w:rsid w:val="001A2AEF"/>
    <w:rsid w:val="001A364A"/>
    <w:rsid w:val="001A3DA0"/>
    <w:rsid w:val="001A5C4D"/>
    <w:rsid w:val="001A7952"/>
    <w:rsid w:val="001B0E5B"/>
    <w:rsid w:val="001B15CE"/>
    <w:rsid w:val="001B18FC"/>
    <w:rsid w:val="001B1989"/>
    <w:rsid w:val="001B262A"/>
    <w:rsid w:val="001C3215"/>
    <w:rsid w:val="001C3FA9"/>
    <w:rsid w:val="001C5E49"/>
    <w:rsid w:val="001D3A1D"/>
    <w:rsid w:val="001E12A9"/>
    <w:rsid w:val="001E2802"/>
    <w:rsid w:val="001E2B8D"/>
    <w:rsid w:val="001F0C71"/>
    <w:rsid w:val="001F6CA3"/>
    <w:rsid w:val="00201D62"/>
    <w:rsid w:val="00203DD8"/>
    <w:rsid w:val="0020436E"/>
    <w:rsid w:val="00205A77"/>
    <w:rsid w:val="00215E69"/>
    <w:rsid w:val="00215F7E"/>
    <w:rsid w:val="00217817"/>
    <w:rsid w:val="00220624"/>
    <w:rsid w:val="00220CEC"/>
    <w:rsid w:val="002229D3"/>
    <w:rsid w:val="00223B70"/>
    <w:rsid w:val="00225DA5"/>
    <w:rsid w:val="002267C6"/>
    <w:rsid w:val="00227502"/>
    <w:rsid w:val="00236913"/>
    <w:rsid w:val="00236B4D"/>
    <w:rsid w:val="00246698"/>
    <w:rsid w:val="00247AC5"/>
    <w:rsid w:val="0025006A"/>
    <w:rsid w:val="002507D7"/>
    <w:rsid w:val="00251EAD"/>
    <w:rsid w:val="002522AA"/>
    <w:rsid w:val="002526B9"/>
    <w:rsid w:val="00254192"/>
    <w:rsid w:val="00256DF5"/>
    <w:rsid w:val="00264D20"/>
    <w:rsid w:val="00265B06"/>
    <w:rsid w:val="002759DD"/>
    <w:rsid w:val="00276D05"/>
    <w:rsid w:val="002802D2"/>
    <w:rsid w:val="002954A3"/>
    <w:rsid w:val="002B6583"/>
    <w:rsid w:val="002B7794"/>
    <w:rsid w:val="002B7B79"/>
    <w:rsid w:val="002C2AD2"/>
    <w:rsid w:val="002C3C4F"/>
    <w:rsid w:val="002D3F6E"/>
    <w:rsid w:val="002D796E"/>
    <w:rsid w:val="002E1D43"/>
    <w:rsid w:val="002E1D75"/>
    <w:rsid w:val="002E4980"/>
    <w:rsid w:val="002E7C50"/>
    <w:rsid w:val="002E7EDC"/>
    <w:rsid w:val="002F0E89"/>
    <w:rsid w:val="002F3160"/>
    <w:rsid w:val="002F7338"/>
    <w:rsid w:val="002F7A05"/>
    <w:rsid w:val="00305E75"/>
    <w:rsid w:val="00307F84"/>
    <w:rsid w:val="00310943"/>
    <w:rsid w:val="003118C2"/>
    <w:rsid w:val="003125CD"/>
    <w:rsid w:val="00314547"/>
    <w:rsid w:val="00314A04"/>
    <w:rsid w:val="00320712"/>
    <w:rsid w:val="00321266"/>
    <w:rsid w:val="00322A0F"/>
    <w:rsid w:val="00322F2F"/>
    <w:rsid w:val="00324A2C"/>
    <w:rsid w:val="00326C2E"/>
    <w:rsid w:val="00332CD8"/>
    <w:rsid w:val="003330EB"/>
    <w:rsid w:val="0033786C"/>
    <w:rsid w:val="00337D1E"/>
    <w:rsid w:val="00341912"/>
    <w:rsid w:val="0034690F"/>
    <w:rsid w:val="00350572"/>
    <w:rsid w:val="003514F4"/>
    <w:rsid w:val="003578F9"/>
    <w:rsid w:val="00362291"/>
    <w:rsid w:val="0036249F"/>
    <w:rsid w:val="00363563"/>
    <w:rsid w:val="00366C8B"/>
    <w:rsid w:val="0037060C"/>
    <w:rsid w:val="003710F9"/>
    <w:rsid w:val="0037147B"/>
    <w:rsid w:val="0037168F"/>
    <w:rsid w:val="00372EB2"/>
    <w:rsid w:val="00373DEE"/>
    <w:rsid w:val="003810A0"/>
    <w:rsid w:val="00381551"/>
    <w:rsid w:val="0038213B"/>
    <w:rsid w:val="003861C0"/>
    <w:rsid w:val="00390722"/>
    <w:rsid w:val="00390CF2"/>
    <w:rsid w:val="00392FE1"/>
    <w:rsid w:val="00393885"/>
    <w:rsid w:val="00397D37"/>
    <w:rsid w:val="003A070A"/>
    <w:rsid w:val="003A7D35"/>
    <w:rsid w:val="003A7D94"/>
    <w:rsid w:val="003B20EE"/>
    <w:rsid w:val="003B5F86"/>
    <w:rsid w:val="003B6BD6"/>
    <w:rsid w:val="003C3F15"/>
    <w:rsid w:val="003C4142"/>
    <w:rsid w:val="003C5770"/>
    <w:rsid w:val="003D2470"/>
    <w:rsid w:val="003D463F"/>
    <w:rsid w:val="003E02DC"/>
    <w:rsid w:val="003E3703"/>
    <w:rsid w:val="003E75FC"/>
    <w:rsid w:val="003F2AC2"/>
    <w:rsid w:val="003F2F47"/>
    <w:rsid w:val="003F6A26"/>
    <w:rsid w:val="0040149E"/>
    <w:rsid w:val="004020F6"/>
    <w:rsid w:val="0040396A"/>
    <w:rsid w:val="00404664"/>
    <w:rsid w:val="00412767"/>
    <w:rsid w:val="00415ECD"/>
    <w:rsid w:val="00417A3D"/>
    <w:rsid w:val="00420E7A"/>
    <w:rsid w:val="00420E7C"/>
    <w:rsid w:val="00422705"/>
    <w:rsid w:val="004244E5"/>
    <w:rsid w:val="00430DBB"/>
    <w:rsid w:val="00431C6A"/>
    <w:rsid w:val="00440C6F"/>
    <w:rsid w:val="0044625D"/>
    <w:rsid w:val="00453B06"/>
    <w:rsid w:val="00456A97"/>
    <w:rsid w:val="00457B46"/>
    <w:rsid w:val="00464C4D"/>
    <w:rsid w:val="00464FC8"/>
    <w:rsid w:val="004672B1"/>
    <w:rsid w:val="00470FAD"/>
    <w:rsid w:val="00481283"/>
    <w:rsid w:val="00484E61"/>
    <w:rsid w:val="00485EF5"/>
    <w:rsid w:val="00493E6C"/>
    <w:rsid w:val="004A1836"/>
    <w:rsid w:val="004A2012"/>
    <w:rsid w:val="004B2FEF"/>
    <w:rsid w:val="004B6024"/>
    <w:rsid w:val="004B6DDC"/>
    <w:rsid w:val="004B74C4"/>
    <w:rsid w:val="004C40C0"/>
    <w:rsid w:val="004C536C"/>
    <w:rsid w:val="004C7DF7"/>
    <w:rsid w:val="004D60AE"/>
    <w:rsid w:val="004E44C2"/>
    <w:rsid w:val="004E5F58"/>
    <w:rsid w:val="004E6867"/>
    <w:rsid w:val="004F35BF"/>
    <w:rsid w:val="004F4CD6"/>
    <w:rsid w:val="005073FE"/>
    <w:rsid w:val="00513889"/>
    <w:rsid w:val="0052188E"/>
    <w:rsid w:val="00522B8B"/>
    <w:rsid w:val="00523242"/>
    <w:rsid w:val="005244D5"/>
    <w:rsid w:val="005260BC"/>
    <w:rsid w:val="00530AF8"/>
    <w:rsid w:val="005431EA"/>
    <w:rsid w:val="00544619"/>
    <w:rsid w:val="00544B96"/>
    <w:rsid w:val="00544D57"/>
    <w:rsid w:val="005476B3"/>
    <w:rsid w:val="00554859"/>
    <w:rsid w:val="00555B83"/>
    <w:rsid w:val="00556D54"/>
    <w:rsid w:val="005579A1"/>
    <w:rsid w:val="005614F8"/>
    <w:rsid w:val="00572FD6"/>
    <w:rsid w:val="005764B7"/>
    <w:rsid w:val="00576505"/>
    <w:rsid w:val="0058056E"/>
    <w:rsid w:val="00581572"/>
    <w:rsid w:val="00582414"/>
    <w:rsid w:val="005928BF"/>
    <w:rsid w:val="00597F54"/>
    <w:rsid w:val="00597F69"/>
    <w:rsid w:val="005A2EC5"/>
    <w:rsid w:val="005A4175"/>
    <w:rsid w:val="005A5A5B"/>
    <w:rsid w:val="005B0721"/>
    <w:rsid w:val="005B2981"/>
    <w:rsid w:val="005B723C"/>
    <w:rsid w:val="005B7ED4"/>
    <w:rsid w:val="005D119A"/>
    <w:rsid w:val="005D4389"/>
    <w:rsid w:val="005D46D5"/>
    <w:rsid w:val="005D52C5"/>
    <w:rsid w:val="005D6BAB"/>
    <w:rsid w:val="005E7892"/>
    <w:rsid w:val="005F1345"/>
    <w:rsid w:val="005F3D57"/>
    <w:rsid w:val="005F3F2A"/>
    <w:rsid w:val="00600861"/>
    <w:rsid w:val="00601B4D"/>
    <w:rsid w:val="006022E6"/>
    <w:rsid w:val="00615522"/>
    <w:rsid w:val="00621C33"/>
    <w:rsid w:val="00625B2D"/>
    <w:rsid w:val="00630409"/>
    <w:rsid w:val="00633410"/>
    <w:rsid w:val="00634D81"/>
    <w:rsid w:val="00635018"/>
    <w:rsid w:val="00635B99"/>
    <w:rsid w:val="0063633D"/>
    <w:rsid w:val="006425FA"/>
    <w:rsid w:val="0064363C"/>
    <w:rsid w:val="00644932"/>
    <w:rsid w:val="006459AA"/>
    <w:rsid w:val="00655883"/>
    <w:rsid w:val="00661B36"/>
    <w:rsid w:val="0066445B"/>
    <w:rsid w:val="0066592B"/>
    <w:rsid w:val="006710FF"/>
    <w:rsid w:val="0067150F"/>
    <w:rsid w:val="006738D1"/>
    <w:rsid w:val="00675838"/>
    <w:rsid w:val="00682A55"/>
    <w:rsid w:val="0068417E"/>
    <w:rsid w:val="00684E43"/>
    <w:rsid w:val="00685A43"/>
    <w:rsid w:val="00686BE9"/>
    <w:rsid w:val="00694128"/>
    <w:rsid w:val="00697D44"/>
    <w:rsid w:val="006A0AC4"/>
    <w:rsid w:val="006A5D1F"/>
    <w:rsid w:val="006B0140"/>
    <w:rsid w:val="006B4F6A"/>
    <w:rsid w:val="006C0231"/>
    <w:rsid w:val="006C3FA0"/>
    <w:rsid w:val="006D3191"/>
    <w:rsid w:val="006D4204"/>
    <w:rsid w:val="006D6A81"/>
    <w:rsid w:val="006D79EA"/>
    <w:rsid w:val="006E2215"/>
    <w:rsid w:val="006E2309"/>
    <w:rsid w:val="006E3A21"/>
    <w:rsid w:val="006E55A0"/>
    <w:rsid w:val="006F12A8"/>
    <w:rsid w:val="006F24C5"/>
    <w:rsid w:val="006F24E7"/>
    <w:rsid w:val="007010D7"/>
    <w:rsid w:val="007010E3"/>
    <w:rsid w:val="00701552"/>
    <w:rsid w:val="00701FE6"/>
    <w:rsid w:val="00720840"/>
    <w:rsid w:val="007228A1"/>
    <w:rsid w:val="007261C3"/>
    <w:rsid w:val="00727BE9"/>
    <w:rsid w:val="0073065C"/>
    <w:rsid w:val="00730B01"/>
    <w:rsid w:val="00735344"/>
    <w:rsid w:val="00736A71"/>
    <w:rsid w:val="00737AB5"/>
    <w:rsid w:val="00740CC1"/>
    <w:rsid w:val="00743325"/>
    <w:rsid w:val="007466B1"/>
    <w:rsid w:val="00752E0C"/>
    <w:rsid w:val="00756B65"/>
    <w:rsid w:val="0075794A"/>
    <w:rsid w:val="007579B6"/>
    <w:rsid w:val="00757B79"/>
    <w:rsid w:val="00762912"/>
    <w:rsid w:val="0076458B"/>
    <w:rsid w:val="00766BD9"/>
    <w:rsid w:val="0076730C"/>
    <w:rsid w:val="007725B4"/>
    <w:rsid w:val="007736C2"/>
    <w:rsid w:val="007775DC"/>
    <w:rsid w:val="00780BA5"/>
    <w:rsid w:val="00781689"/>
    <w:rsid w:val="00781B37"/>
    <w:rsid w:val="00783360"/>
    <w:rsid w:val="00784D5E"/>
    <w:rsid w:val="007851D2"/>
    <w:rsid w:val="007859CD"/>
    <w:rsid w:val="00786BA7"/>
    <w:rsid w:val="0078762C"/>
    <w:rsid w:val="00787857"/>
    <w:rsid w:val="00787E33"/>
    <w:rsid w:val="007913B8"/>
    <w:rsid w:val="007936FD"/>
    <w:rsid w:val="00793E28"/>
    <w:rsid w:val="0079498C"/>
    <w:rsid w:val="00794A5F"/>
    <w:rsid w:val="007A0BF1"/>
    <w:rsid w:val="007A163C"/>
    <w:rsid w:val="007A35B7"/>
    <w:rsid w:val="007A4E7F"/>
    <w:rsid w:val="007A5A81"/>
    <w:rsid w:val="007B5AE6"/>
    <w:rsid w:val="007C416F"/>
    <w:rsid w:val="007D1780"/>
    <w:rsid w:val="007D4DA0"/>
    <w:rsid w:val="007E0F63"/>
    <w:rsid w:val="007E5426"/>
    <w:rsid w:val="007E638B"/>
    <w:rsid w:val="007E7341"/>
    <w:rsid w:val="007E75AF"/>
    <w:rsid w:val="007F0DA4"/>
    <w:rsid w:val="007F1954"/>
    <w:rsid w:val="00800A7D"/>
    <w:rsid w:val="008016B6"/>
    <w:rsid w:val="0080227F"/>
    <w:rsid w:val="00803E29"/>
    <w:rsid w:val="0080416E"/>
    <w:rsid w:val="008046D3"/>
    <w:rsid w:val="00804AE7"/>
    <w:rsid w:val="0080616F"/>
    <w:rsid w:val="0080659C"/>
    <w:rsid w:val="008073E2"/>
    <w:rsid w:val="00811585"/>
    <w:rsid w:val="008133A7"/>
    <w:rsid w:val="0081620F"/>
    <w:rsid w:val="00820AE9"/>
    <w:rsid w:val="00820D60"/>
    <w:rsid w:val="008230ED"/>
    <w:rsid w:val="00825691"/>
    <w:rsid w:val="0082672E"/>
    <w:rsid w:val="00832768"/>
    <w:rsid w:val="008333A7"/>
    <w:rsid w:val="00833D74"/>
    <w:rsid w:val="0083581C"/>
    <w:rsid w:val="00836263"/>
    <w:rsid w:val="008417ED"/>
    <w:rsid w:val="00847D42"/>
    <w:rsid w:val="0085001A"/>
    <w:rsid w:val="00850DE8"/>
    <w:rsid w:val="00851488"/>
    <w:rsid w:val="00852A81"/>
    <w:rsid w:val="0085363B"/>
    <w:rsid w:val="00857E7A"/>
    <w:rsid w:val="008631EA"/>
    <w:rsid w:val="0086377C"/>
    <w:rsid w:val="00864C9C"/>
    <w:rsid w:val="0087660B"/>
    <w:rsid w:val="008806BC"/>
    <w:rsid w:val="00882BD3"/>
    <w:rsid w:val="008840D3"/>
    <w:rsid w:val="008920EF"/>
    <w:rsid w:val="00893158"/>
    <w:rsid w:val="00893D82"/>
    <w:rsid w:val="00896CE1"/>
    <w:rsid w:val="00897072"/>
    <w:rsid w:val="008A04A6"/>
    <w:rsid w:val="008C07E1"/>
    <w:rsid w:val="008C08DD"/>
    <w:rsid w:val="008C0DFE"/>
    <w:rsid w:val="008C1CDA"/>
    <w:rsid w:val="008C502A"/>
    <w:rsid w:val="008D1A5C"/>
    <w:rsid w:val="008D374F"/>
    <w:rsid w:val="008D5A03"/>
    <w:rsid w:val="008E00BF"/>
    <w:rsid w:val="008E5B45"/>
    <w:rsid w:val="008F210F"/>
    <w:rsid w:val="008F70EE"/>
    <w:rsid w:val="0090567A"/>
    <w:rsid w:val="0091142B"/>
    <w:rsid w:val="00911AE5"/>
    <w:rsid w:val="009154A9"/>
    <w:rsid w:val="00923997"/>
    <w:rsid w:val="00926107"/>
    <w:rsid w:val="00926E27"/>
    <w:rsid w:val="00926EF5"/>
    <w:rsid w:val="00930D1E"/>
    <w:rsid w:val="00930F76"/>
    <w:rsid w:val="00931E3C"/>
    <w:rsid w:val="009350D1"/>
    <w:rsid w:val="00941992"/>
    <w:rsid w:val="009429F0"/>
    <w:rsid w:val="00943E78"/>
    <w:rsid w:val="00947BE9"/>
    <w:rsid w:val="009506F7"/>
    <w:rsid w:val="00950859"/>
    <w:rsid w:val="009519B8"/>
    <w:rsid w:val="009521D6"/>
    <w:rsid w:val="009559D2"/>
    <w:rsid w:val="00957534"/>
    <w:rsid w:val="00957DED"/>
    <w:rsid w:val="0096125D"/>
    <w:rsid w:val="00961E9C"/>
    <w:rsid w:val="00964036"/>
    <w:rsid w:val="00974726"/>
    <w:rsid w:val="00974AF0"/>
    <w:rsid w:val="00983238"/>
    <w:rsid w:val="0098419F"/>
    <w:rsid w:val="00984E70"/>
    <w:rsid w:val="00991FDC"/>
    <w:rsid w:val="009A0547"/>
    <w:rsid w:val="009A3B77"/>
    <w:rsid w:val="009A632F"/>
    <w:rsid w:val="009B0ABB"/>
    <w:rsid w:val="009B14DE"/>
    <w:rsid w:val="009B426F"/>
    <w:rsid w:val="009B5BE0"/>
    <w:rsid w:val="009C51C3"/>
    <w:rsid w:val="009D0BA2"/>
    <w:rsid w:val="009D1506"/>
    <w:rsid w:val="009E04CB"/>
    <w:rsid w:val="009E1AFD"/>
    <w:rsid w:val="009E66AB"/>
    <w:rsid w:val="00A008EA"/>
    <w:rsid w:val="00A02DFC"/>
    <w:rsid w:val="00A07E3E"/>
    <w:rsid w:val="00A129F3"/>
    <w:rsid w:val="00A14915"/>
    <w:rsid w:val="00A14CD1"/>
    <w:rsid w:val="00A17410"/>
    <w:rsid w:val="00A17838"/>
    <w:rsid w:val="00A1796A"/>
    <w:rsid w:val="00A23258"/>
    <w:rsid w:val="00A25ADB"/>
    <w:rsid w:val="00A31227"/>
    <w:rsid w:val="00A3232C"/>
    <w:rsid w:val="00A33EC0"/>
    <w:rsid w:val="00A40620"/>
    <w:rsid w:val="00A44651"/>
    <w:rsid w:val="00A4569D"/>
    <w:rsid w:val="00A45B38"/>
    <w:rsid w:val="00A46484"/>
    <w:rsid w:val="00A47CB7"/>
    <w:rsid w:val="00A53F60"/>
    <w:rsid w:val="00A55878"/>
    <w:rsid w:val="00A55F88"/>
    <w:rsid w:val="00A62447"/>
    <w:rsid w:val="00A6647A"/>
    <w:rsid w:val="00A6662A"/>
    <w:rsid w:val="00A846F4"/>
    <w:rsid w:val="00A8778B"/>
    <w:rsid w:val="00AA0D66"/>
    <w:rsid w:val="00AA459C"/>
    <w:rsid w:val="00AA74DC"/>
    <w:rsid w:val="00AB241B"/>
    <w:rsid w:val="00AB4C44"/>
    <w:rsid w:val="00AB73EC"/>
    <w:rsid w:val="00AD0027"/>
    <w:rsid w:val="00AD02C0"/>
    <w:rsid w:val="00AD0CF2"/>
    <w:rsid w:val="00AD26F1"/>
    <w:rsid w:val="00AD30BF"/>
    <w:rsid w:val="00AD31EE"/>
    <w:rsid w:val="00AD4CA8"/>
    <w:rsid w:val="00AE0857"/>
    <w:rsid w:val="00AE56BF"/>
    <w:rsid w:val="00AE7227"/>
    <w:rsid w:val="00AF11E8"/>
    <w:rsid w:val="00B0207C"/>
    <w:rsid w:val="00B03637"/>
    <w:rsid w:val="00B05B73"/>
    <w:rsid w:val="00B10493"/>
    <w:rsid w:val="00B117E7"/>
    <w:rsid w:val="00B14671"/>
    <w:rsid w:val="00B14E7C"/>
    <w:rsid w:val="00B200E7"/>
    <w:rsid w:val="00B210C4"/>
    <w:rsid w:val="00B23D30"/>
    <w:rsid w:val="00B30FCC"/>
    <w:rsid w:val="00B346A7"/>
    <w:rsid w:val="00B37410"/>
    <w:rsid w:val="00B4213C"/>
    <w:rsid w:val="00B4272C"/>
    <w:rsid w:val="00B432DA"/>
    <w:rsid w:val="00B4411C"/>
    <w:rsid w:val="00B4581C"/>
    <w:rsid w:val="00B45C3D"/>
    <w:rsid w:val="00B502A0"/>
    <w:rsid w:val="00B5047F"/>
    <w:rsid w:val="00B50662"/>
    <w:rsid w:val="00B519EB"/>
    <w:rsid w:val="00B61D82"/>
    <w:rsid w:val="00B6421D"/>
    <w:rsid w:val="00B64CA6"/>
    <w:rsid w:val="00B73894"/>
    <w:rsid w:val="00B7627E"/>
    <w:rsid w:val="00B76992"/>
    <w:rsid w:val="00B76B26"/>
    <w:rsid w:val="00B77EA9"/>
    <w:rsid w:val="00B81668"/>
    <w:rsid w:val="00B85608"/>
    <w:rsid w:val="00B9194C"/>
    <w:rsid w:val="00B93417"/>
    <w:rsid w:val="00B95634"/>
    <w:rsid w:val="00B973BA"/>
    <w:rsid w:val="00B9751C"/>
    <w:rsid w:val="00BA50CD"/>
    <w:rsid w:val="00BB248A"/>
    <w:rsid w:val="00BB46ED"/>
    <w:rsid w:val="00BB693F"/>
    <w:rsid w:val="00BC0B93"/>
    <w:rsid w:val="00BC4748"/>
    <w:rsid w:val="00BC5509"/>
    <w:rsid w:val="00BE0122"/>
    <w:rsid w:val="00BE0303"/>
    <w:rsid w:val="00BE2C68"/>
    <w:rsid w:val="00BE3A46"/>
    <w:rsid w:val="00BE6247"/>
    <w:rsid w:val="00BE6F8B"/>
    <w:rsid w:val="00BF00A9"/>
    <w:rsid w:val="00BF373F"/>
    <w:rsid w:val="00BF4E75"/>
    <w:rsid w:val="00C1021F"/>
    <w:rsid w:val="00C1119C"/>
    <w:rsid w:val="00C12795"/>
    <w:rsid w:val="00C15578"/>
    <w:rsid w:val="00C23EC1"/>
    <w:rsid w:val="00C32BA2"/>
    <w:rsid w:val="00C3757B"/>
    <w:rsid w:val="00C50A84"/>
    <w:rsid w:val="00C612E9"/>
    <w:rsid w:val="00C619B0"/>
    <w:rsid w:val="00C6437E"/>
    <w:rsid w:val="00C64BA9"/>
    <w:rsid w:val="00C64E39"/>
    <w:rsid w:val="00C67904"/>
    <w:rsid w:val="00C70DE1"/>
    <w:rsid w:val="00C710D5"/>
    <w:rsid w:val="00C73FE3"/>
    <w:rsid w:val="00C76F20"/>
    <w:rsid w:val="00C82E69"/>
    <w:rsid w:val="00C878E5"/>
    <w:rsid w:val="00C9137E"/>
    <w:rsid w:val="00C94885"/>
    <w:rsid w:val="00CA1BF9"/>
    <w:rsid w:val="00CA227C"/>
    <w:rsid w:val="00CA3DD4"/>
    <w:rsid w:val="00CA6489"/>
    <w:rsid w:val="00CB2DDD"/>
    <w:rsid w:val="00CC5A10"/>
    <w:rsid w:val="00CD1678"/>
    <w:rsid w:val="00CD3951"/>
    <w:rsid w:val="00CD70DB"/>
    <w:rsid w:val="00CE0256"/>
    <w:rsid w:val="00CE3678"/>
    <w:rsid w:val="00CE4A54"/>
    <w:rsid w:val="00CF0C79"/>
    <w:rsid w:val="00CF44B9"/>
    <w:rsid w:val="00CF69A2"/>
    <w:rsid w:val="00D02C55"/>
    <w:rsid w:val="00D0781C"/>
    <w:rsid w:val="00D12365"/>
    <w:rsid w:val="00D13838"/>
    <w:rsid w:val="00D1394E"/>
    <w:rsid w:val="00D153B2"/>
    <w:rsid w:val="00D21953"/>
    <w:rsid w:val="00D23CA2"/>
    <w:rsid w:val="00D326F9"/>
    <w:rsid w:val="00D34564"/>
    <w:rsid w:val="00D37551"/>
    <w:rsid w:val="00D37900"/>
    <w:rsid w:val="00D40761"/>
    <w:rsid w:val="00D511D4"/>
    <w:rsid w:val="00D512D2"/>
    <w:rsid w:val="00D53697"/>
    <w:rsid w:val="00D60631"/>
    <w:rsid w:val="00D66C0F"/>
    <w:rsid w:val="00D679A0"/>
    <w:rsid w:val="00D71C42"/>
    <w:rsid w:val="00D74560"/>
    <w:rsid w:val="00D76230"/>
    <w:rsid w:val="00D80968"/>
    <w:rsid w:val="00D86156"/>
    <w:rsid w:val="00D87847"/>
    <w:rsid w:val="00D91E64"/>
    <w:rsid w:val="00D9316B"/>
    <w:rsid w:val="00D94976"/>
    <w:rsid w:val="00D949D0"/>
    <w:rsid w:val="00DA56A0"/>
    <w:rsid w:val="00DA5BA4"/>
    <w:rsid w:val="00DB7D60"/>
    <w:rsid w:val="00DC33FE"/>
    <w:rsid w:val="00DC3857"/>
    <w:rsid w:val="00DC644E"/>
    <w:rsid w:val="00DC6944"/>
    <w:rsid w:val="00DD4AEA"/>
    <w:rsid w:val="00DE1C52"/>
    <w:rsid w:val="00DF0834"/>
    <w:rsid w:val="00DF55DB"/>
    <w:rsid w:val="00E041FD"/>
    <w:rsid w:val="00E06A06"/>
    <w:rsid w:val="00E11E9C"/>
    <w:rsid w:val="00E11F81"/>
    <w:rsid w:val="00E1265C"/>
    <w:rsid w:val="00E152CD"/>
    <w:rsid w:val="00E1654B"/>
    <w:rsid w:val="00E2587A"/>
    <w:rsid w:val="00E315E1"/>
    <w:rsid w:val="00E3257F"/>
    <w:rsid w:val="00E33A33"/>
    <w:rsid w:val="00E34FCA"/>
    <w:rsid w:val="00E46AD2"/>
    <w:rsid w:val="00E73AA8"/>
    <w:rsid w:val="00E77C5B"/>
    <w:rsid w:val="00E83A6E"/>
    <w:rsid w:val="00E8475D"/>
    <w:rsid w:val="00E86EC5"/>
    <w:rsid w:val="00E94630"/>
    <w:rsid w:val="00E96C04"/>
    <w:rsid w:val="00E97BE8"/>
    <w:rsid w:val="00E97DEE"/>
    <w:rsid w:val="00EA5F9D"/>
    <w:rsid w:val="00EA6EB7"/>
    <w:rsid w:val="00EB127A"/>
    <w:rsid w:val="00EB7E7F"/>
    <w:rsid w:val="00EC21F0"/>
    <w:rsid w:val="00EC5073"/>
    <w:rsid w:val="00ED3513"/>
    <w:rsid w:val="00ED3DBC"/>
    <w:rsid w:val="00ED5855"/>
    <w:rsid w:val="00ED6B47"/>
    <w:rsid w:val="00EE7587"/>
    <w:rsid w:val="00EF19A5"/>
    <w:rsid w:val="00EF3E42"/>
    <w:rsid w:val="00EF4E97"/>
    <w:rsid w:val="00EF6846"/>
    <w:rsid w:val="00F019DD"/>
    <w:rsid w:val="00F02847"/>
    <w:rsid w:val="00F02DF9"/>
    <w:rsid w:val="00F036DA"/>
    <w:rsid w:val="00F04A91"/>
    <w:rsid w:val="00F05089"/>
    <w:rsid w:val="00F079E9"/>
    <w:rsid w:val="00F07DD6"/>
    <w:rsid w:val="00F141C2"/>
    <w:rsid w:val="00F20337"/>
    <w:rsid w:val="00F20AA1"/>
    <w:rsid w:val="00F3028D"/>
    <w:rsid w:val="00F30CBE"/>
    <w:rsid w:val="00F34CB4"/>
    <w:rsid w:val="00F423E9"/>
    <w:rsid w:val="00F43A26"/>
    <w:rsid w:val="00F46811"/>
    <w:rsid w:val="00F479B2"/>
    <w:rsid w:val="00F53207"/>
    <w:rsid w:val="00F57E95"/>
    <w:rsid w:val="00F60335"/>
    <w:rsid w:val="00F619B7"/>
    <w:rsid w:val="00F64370"/>
    <w:rsid w:val="00F64E7F"/>
    <w:rsid w:val="00F6774C"/>
    <w:rsid w:val="00F71EC9"/>
    <w:rsid w:val="00F71F68"/>
    <w:rsid w:val="00F733A3"/>
    <w:rsid w:val="00F7604B"/>
    <w:rsid w:val="00F7612F"/>
    <w:rsid w:val="00F8009C"/>
    <w:rsid w:val="00F802B4"/>
    <w:rsid w:val="00F85FE1"/>
    <w:rsid w:val="00F912C0"/>
    <w:rsid w:val="00F9567A"/>
    <w:rsid w:val="00F96963"/>
    <w:rsid w:val="00FA0C81"/>
    <w:rsid w:val="00FB09CD"/>
    <w:rsid w:val="00FB2699"/>
    <w:rsid w:val="00FB2B45"/>
    <w:rsid w:val="00FB7B22"/>
    <w:rsid w:val="00FC206D"/>
    <w:rsid w:val="00FC6A4F"/>
    <w:rsid w:val="00FD1199"/>
    <w:rsid w:val="00FD4B11"/>
    <w:rsid w:val="00FD6CE1"/>
    <w:rsid w:val="00FF4609"/>
    <w:rsid w:val="00FF4B11"/>
    <w:rsid w:val="00FF59F3"/>
    <w:rsid w:val="00FF622D"/>
    <w:rsid w:val="010C214E"/>
    <w:rsid w:val="01156C56"/>
    <w:rsid w:val="0119116C"/>
    <w:rsid w:val="011E3CE2"/>
    <w:rsid w:val="012F2E69"/>
    <w:rsid w:val="01362463"/>
    <w:rsid w:val="0144257B"/>
    <w:rsid w:val="016D27CA"/>
    <w:rsid w:val="016F42C2"/>
    <w:rsid w:val="017C16D2"/>
    <w:rsid w:val="019404F8"/>
    <w:rsid w:val="019A6EAF"/>
    <w:rsid w:val="019B6B2F"/>
    <w:rsid w:val="01B01053"/>
    <w:rsid w:val="01B87BAA"/>
    <w:rsid w:val="01C03A89"/>
    <w:rsid w:val="01CE591D"/>
    <w:rsid w:val="01D932CB"/>
    <w:rsid w:val="01DD2721"/>
    <w:rsid w:val="01ED0EB7"/>
    <w:rsid w:val="01ED2AF4"/>
    <w:rsid w:val="01F82A14"/>
    <w:rsid w:val="01FF4655"/>
    <w:rsid w:val="021A2C80"/>
    <w:rsid w:val="021B0702"/>
    <w:rsid w:val="02266DF0"/>
    <w:rsid w:val="022B421F"/>
    <w:rsid w:val="022F6438"/>
    <w:rsid w:val="024177B2"/>
    <w:rsid w:val="024263C3"/>
    <w:rsid w:val="024D6952"/>
    <w:rsid w:val="02535CBD"/>
    <w:rsid w:val="02550D2B"/>
    <w:rsid w:val="026155F3"/>
    <w:rsid w:val="026305F6"/>
    <w:rsid w:val="0263311F"/>
    <w:rsid w:val="02696A6A"/>
    <w:rsid w:val="026D0AA6"/>
    <w:rsid w:val="028C2B2E"/>
    <w:rsid w:val="02AF54A1"/>
    <w:rsid w:val="02B11EFA"/>
    <w:rsid w:val="02E1776D"/>
    <w:rsid w:val="02F403E5"/>
    <w:rsid w:val="02FB471C"/>
    <w:rsid w:val="03043F03"/>
    <w:rsid w:val="030F4492"/>
    <w:rsid w:val="030F6492"/>
    <w:rsid w:val="03206546"/>
    <w:rsid w:val="03257024"/>
    <w:rsid w:val="032E6D82"/>
    <w:rsid w:val="0333594B"/>
    <w:rsid w:val="03337881"/>
    <w:rsid w:val="0352128A"/>
    <w:rsid w:val="03597EA0"/>
    <w:rsid w:val="036A3574"/>
    <w:rsid w:val="036E30C9"/>
    <w:rsid w:val="037A1943"/>
    <w:rsid w:val="03805A4B"/>
    <w:rsid w:val="039926A4"/>
    <w:rsid w:val="039F750E"/>
    <w:rsid w:val="03A03D81"/>
    <w:rsid w:val="03B96EA9"/>
    <w:rsid w:val="03CB7B24"/>
    <w:rsid w:val="03D500D6"/>
    <w:rsid w:val="03E76962"/>
    <w:rsid w:val="03EB6C47"/>
    <w:rsid w:val="03F85F4D"/>
    <w:rsid w:val="040C3A87"/>
    <w:rsid w:val="041A62EB"/>
    <w:rsid w:val="04330D71"/>
    <w:rsid w:val="04403C00"/>
    <w:rsid w:val="04426534"/>
    <w:rsid w:val="044269AC"/>
    <w:rsid w:val="0446690D"/>
    <w:rsid w:val="044F06A2"/>
    <w:rsid w:val="045B6010"/>
    <w:rsid w:val="045D6511"/>
    <w:rsid w:val="04622D3C"/>
    <w:rsid w:val="046318C1"/>
    <w:rsid w:val="04674F32"/>
    <w:rsid w:val="046940E6"/>
    <w:rsid w:val="046B1391"/>
    <w:rsid w:val="046C7C2E"/>
    <w:rsid w:val="046D7C52"/>
    <w:rsid w:val="04787C5D"/>
    <w:rsid w:val="047C6BE6"/>
    <w:rsid w:val="04910D1F"/>
    <w:rsid w:val="04B0613C"/>
    <w:rsid w:val="04B327A2"/>
    <w:rsid w:val="04B8380C"/>
    <w:rsid w:val="04C553BE"/>
    <w:rsid w:val="04C837E3"/>
    <w:rsid w:val="04CA4768"/>
    <w:rsid w:val="04D07A99"/>
    <w:rsid w:val="04E17B43"/>
    <w:rsid w:val="04E23328"/>
    <w:rsid w:val="04EF3542"/>
    <w:rsid w:val="04F74332"/>
    <w:rsid w:val="04F85637"/>
    <w:rsid w:val="04FB5E3E"/>
    <w:rsid w:val="05110A20"/>
    <w:rsid w:val="05145E61"/>
    <w:rsid w:val="05195B6C"/>
    <w:rsid w:val="052C7382"/>
    <w:rsid w:val="05353DA0"/>
    <w:rsid w:val="055A4A0C"/>
    <w:rsid w:val="055E6F4B"/>
    <w:rsid w:val="056239E2"/>
    <w:rsid w:val="056606E4"/>
    <w:rsid w:val="05766DA3"/>
    <w:rsid w:val="057C458C"/>
    <w:rsid w:val="057D200D"/>
    <w:rsid w:val="05864F0B"/>
    <w:rsid w:val="058F57AB"/>
    <w:rsid w:val="05926A98"/>
    <w:rsid w:val="059B683F"/>
    <w:rsid w:val="059B778A"/>
    <w:rsid w:val="059F6E54"/>
    <w:rsid w:val="05B25B0D"/>
    <w:rsid w:val="05C86C09"/>
    <w:rsid w:val="05C9468B"/>
    <w:rsid w:val="05CF4E25"/>
    <w:rsid w:val="05D4049D"/>
    <w:rsid w:val="05EA06E6"/>
    <w:rsid w:val="05F571C5"/>
    <w:rsid w:val="05F734B4"/>
    <w:rsid w:val="05FB5625"/>
    <w:rsid w:val="06025AE9"/>
    <w:rsid w:val="06040BAD"/>
    <w:rsid w:val="060C3E7B"/>
    <w:rsid w:val="061743D6"/>
    <w:rsid w:val="061E1B96"/>
    <w:rsid w:val="063240BA"/>
    <w:rsid w:val="06330542"/>
    <w:rsid w:val="063C6689"/>
    <w:rsid w:val="06496D2B"/>
    <w:rsid w:val="064E51C3"/>
    <w:rsid w:val="064F1156"/>
    <w:rsid w:val="066A66A3"/>
    <w:rsid w:val="066E495F"/>
    <w:rsid w:val="06796A2D"/>
    <w:rsid w:val="067D5CB5"/>
    <w:rsid w:val="068F5C4D"/>
    <w:rsid w:val="068F69D2"/>
    <w:rsid w:val="069872E2"/>
    <w:rsid w:val="06A36EB0"/>
    <w:rsid w:val="06AD2353"/>
    <w:rsid w:val="06BA242D"/>
    <w:rsid w:val="06C737E5"/>
    <w:rsid w:val="06CC3D8C"/>
    <w:rsid w:val="06D643D5"/>
    <w:rsid w:val="06DB37AF"/>
    <w:rsid w:val="06E36247"/>
    <w:rsid w:val="06E9041C"/>
    <w:rsid w:val="06F25F81"/>
    <w:rsid w:val="06F351E6"/>
    <w:rsid w:val="07056611"/>
    <w:rsid w:val="07197184"/>
    <w:rsid w:val="072551DF"/>
    <w:rsid w:val="0729554C"/>
    <w:rsid w:val="072D27EF"/>
    <w:rsid w:val="07304979"/>
    <w:rsid w:val="07446D52"/>
    <w:rsid w:val="074633D1"/>
    <w:rsid w:val="074958E1"/>
    <w:rsid w:val="0753194F"/>
    <w:rsid w:val="076C2B3D"/>
    <w:rsid w:val="076E018C"/>
    <w:rsid w:val="0782788D"/>
    <w:rsid w:val="0792470C"/>
    <w:rsid w:val="079A2DF7"/>
    <w:rsid w:val="079F32C0"/>
    <w:rsid w:val="07A1492C"/>
    <w:rsid w:val="07A35307"/>
    <w:rsid w:val="07B851BB"/>
    <w:rsid w:val="07B973B9"/>
    <w:rsid w:val="07BC58BA"/>
    <w:rsid w:val="07BF27A9"/>
    <w:rsid w:val="07C43E3D"/>
    <w:rsid w:val="07CD444F"/>
    <w:rsid w:val="07F84783"/>
    <w:rsid w:val="07FE2BE0"/>
    <w:rsid w:val="08011E52"/>
    <w:rsid w:val="08317307"/>
    <w:rsid w:val="084A44A7"/>
    <w:rsid w:val="0856053C"/>
    <w:rsid w:val="0857273B"/>
    <w:rsid w:val="08613354"/>
    <w:rsid w:val="08AD3853"/>
    <w:rsid w:val="08B275D1"/>
    <w:rsid w:val="08B95A7F"/>
    <w:rsid w:val="08C13441"/>
    <w:rsid w:val="08E909C6"/>
    <w:rsid w:val="08EE19B4"/>
    <w:rsid w:val="08EF184E"/>
    <w:rsid w:val="08F14785"/>
    <w:rsid w:val="08F6322A"/>
    <w:rsid w:val="090146C5"/>
    <w:rsid w:val="090B6852"/>
    <w:rsid w:val="0911455C"/>
    <w:rsid w:val="091567A6"/>
    <w:rsid w:val="0930780B"/>
    <w:rsid w:val="093C7535"/>
    <w:rsid w:val="0942143F"/>
    <w:rsid w:val="095C020E"/>
    <w:rsid w:val="09675654"/>
    <w:rsid w:val="098D13E9"/>
    <w:rsid w:val="099263AF"/>
    <w:rsid w:val="099F3D57"/>
    <w:rsid w:val="09AB15D8"/>
    <w:rsid w:val="09AD1D19"/>
    <w:rsid w:val="09C63E6E"/>
    <w:rsid w:val="09C70303"/>
    <w:rsid w:val="09CE679B"/>
    <w:rsid w:val="09DF6D3E"/>
    <w:rsid w:val="09EE1557"/>
    <w:rsid w:val="09FC1744"/>
    <w:rsid w:val="09FF2E55"/>
    <w:rsid w:val="0A0A3406"/>
    <w:rsid w:val="0A236257"/>
    <w:rsid w:val="0A3C54E3"/>
    <w:rsid w:val="0A3D3E2F"/>
    <w:rsid w:val="0A4F3B8A"/>
    <w:rsid w:val="0A515D78"/>
    <w:rsid w:val="0A5518C3"/>
    <w:rsid w:val="0A5D2E90"/>
    <w:rsid w:val="0A607B57"/>
    <w:rsid w:val="0A681221"/>
    <w:rsid w:val="0A720890"/>
    <w:rsid w:val="0A817E64"/>
    <w:rsid w:val="0A8607D1"/>
    <w:rsid w:val="0A945568"/>
    <w:rsid w:val="0A9538D2"/>
    <w:rsid w:val="0A992FE8"/>
    <w:rsid w:val="0AA60D06"/>
    <w:rsid w:val="0AAA550E"/>
    <w:rsid w:val="0AAC0A11"/>
    <w:rsid w:val="0ABD092B"/>
    <w:rsid w:val="0AC3375C"/>
    <w:rsid w:val="0AD01220"/>
    <w:rsid w:val="0AEC5465"/>
    <w:rsid w:val="0AF0679F"/>
    <w:rsid w:val="0B156206"/>
    <w:rsid w:val="0B156DBB"/>
    <w:rsid w:val="0B1D155E"/>
    <w:rsid w:val="0B295801"/>
    <w:rsid w:val="0B5C733F"/>
    <w:rsid w:val="0B7E75E1"/>
    <w:rsid w:val="0B872F1E"/>
    <w:rsid w:val="0B8A6D7A"/>
    <w:rsid w:val="0B937689"/>
    <w:rsid w:val="0BBE5C30"/>
    <w:rsid w:val="0BBE75D4"/>
    <w:rsid w:val="0BBF5056"/>
    <w:rsid w:val="0BC45C5A"/>
    <w:rsid w:val="0BCA33E7"/>
    <w:rsid w:val="0BCB0E68"/>
    <w:rsid w:val="0BCB2D68"/>
    <w:rsid w:val="0BD074EE"/>
    <w:rsid w:val="0BDE3169"/>
    <w:rsid w:val="0BE15D12"/>
    <w:rsid w:val="0BE74F15"/>
    <w:rsid w:val="0BEF4520"/>
    <w:rsid w:val="0BF10631"/>
    <w:rsid w:val="0C0444C5"/>
    <w:rsid w:val="0C065407"/>
    <w:rsid w:val="0C146CDE"/>
    <w:rsid w:val="0C1B1EEC"/>
    <w:rsid w:val="0C3E25F6"/>
    <w:rsid w:val="0C4641CD"/>
    <w:rsid w:val="0C4D233B"/>
    <w:rsid w:val="0C4F3640"/>
    <w:rsid w:val="0C5267C3"/>
    <w:rsid w:val="0C7F7AE3"/>
    <w:rsid w:val="0C805A53"/>
    <w:rsid w:val="0C853B1A"/>
    <w:rsid w:val="0C973A34"/>
    <w:rsid w:val="0C984D39"/>
    <w:rsid w:val="0CCC6A28"/>
    <w:rsid w:val="0CE666CA"/>
    <w:rsid w:val="0CE7131A"/>
    <w:rsid w:val="0CEE13D7"/>
    <w:rsid w:val="0D020A0B"/>
    <w:rsid w:val="0D020B65"/>
    <w:rsid w:val="0D0230E3"/>
    <w:rsid w:val="0D0B7276"/>
    <w:rsid w:val="0D0D6730"/>
    <w:rsid w:val="0D163109"/>
    <w:rsid w:val="0D215336"/>
    <w:rsid w:val="0D25459D"/>
    <w:rsid w:val="0D267913"/>
    <w:rsid w:val="0D2E2CAE"/>
    <w:rsid w:val="0D2F5047"/>
    <w:rsid w:val="0D3A6391"/>
    <w:rsid w:val="0D455FB6"/>
    <w:rsid w:val="0D4940E8"/>
    <w:rsid w:val="0D5D4073"/>
    <w:rsid w:val="0D625321"/>
    <w:rsid w:val="0D750EA4"/>
    <w:rsid w:val="0D7978AA"/>
    <w:rsid w:val="0D946F71"/>
    <w:rsid w:val="0DA455CC"/>
    <w:rsid w:val="0DAF4501"/>
    <w:rsid w:val="0DB20D09"/>
    <w:rsid w:val="0DC44488"/>
    <w:rsid w:val="0DC67C8B"/>
    <w:rsid w:val="0DCA63AF"/>
    <w:rsid w:val="0DEF52EA"/>
    <w:rsid w:val="0DF2046D"/>
    <w:rsid w:val="0DF33CF1"/>
    <w:rsid w:val="0DF77E44"/>
    <w:rsid w:val="0E032F86"/>
    <w:rsid w:val="0E0C489A"/>
    <w:rsid w:val="0E110D22"/>
    <w:rsid w:val="0E284150"/>
    <w:rsid w:val="0E297BEF"/>
    <w:rsid w:val="0E3403E5"/>
    <w:rsid w:val="0E390BE2"/>
    <w:rsid w:val="0E4833FA"/>
    <w:rsid w:val="0E511B0C"/>
    <w:rsid w:val="0E51629B"/>
    <w:rsid w:val="0E53178C"/>
    <w:rsid w:val="0E595CAB"/>
    <w:rsid w:val="0E5A03D3"/>
    <w:rsid w:val="0E642882"/>
    <w:rsid w:val="0E741495"/>
    <w:rsid w:val="0E7B6462"/>
    <w:rsid w:val="0E9B5022"/>
    <w:rsid w:val="0E9E6F19"/>
    <w:rsid w:val="0EA55D13"/>
    <w:rsid w:val="0EB74D33"/>
    <w:rsid w:val="0EBA4057"/>
    <w:rsid w:val="0EC01DBF"/>
    <w:rsid w:val="0ED223ED"/>
    <w:rsid w:val="0EE7636E"/>
    <w:rsid w:val="0EE919F9"/>
    <w:rsid w:val="0EFE5203"/>
    <w:rsid w:val="0F0D1D1A"/>
    <w:rsid w:val="0F0F4080"/>
    <w:rsid w:val="0F154ACC"/>
    <w:rsid w:val="0F2C23CD"/>
    <w:rsid w:val="0F2D1E4B"/>
    <w:rsid w:val="0F2E4B40"/>
    <w:rsid w:val="0F403993"/>
    <w:rsid w:val="0F405079"/>
    <w:rsid w:val="0F5B3DCD"/>
    <w:rsid w:val="0F880146"/>
    <w:rsid w:val="0F8B058F"/>
    <w:rsid w:val="0FC56B68"/>
    <w:rsid w:val="0FD64855"/>
    <w:rsid w:val="0FDA030E"/>
    <w:rsid w:val="0FE03806"/>
    <w:rsid w:val="0FF07438"/>
    <w:rsid w:val="10006D15"/>
    <w:rsid w:val="1002449F"/>
    <w:rsid w:val="10060790"/>
    <w:rsid w:val="1007595A"/>
    <w:rsid w:val="100968CB"/>
    <w:rsid w:val="10142324"/>
    <w:rsid w:val="10183676"/>
    <w:rsid w:val="101C7F08"/>
    <w:rsid w:val="102148DB"/>
    <w:rsid w:val="102160FD"/>
    <w:rsid w:val="10227809"/>
    <w:rsid w:val="102F109D"/>
    <w:rsid w:val="10441F3B"/>
    <w:rsid w:val="104F60BB"/>
    <w:rsid w:val="105F4BB4"/>
    <w:rsid w:val="106A5268"/>
    <w:rsid w:val="10702130"/>
    <w:rsid w:val="10755FC5"/>
    <w:rsid w:val="108230A5"/>
    <w:rsid w:val="10C02B8A"/>
    <w:rsid w:val="10C430FC"/>
    <w:rsid w:val="10D768C3"/>
    <w:rsid w:val="10E114AE"/>
    <w:rsid w:val="10E31183"/>
    <w:rsid w:val="10E35FE3"/>
    <w:rsid w:val="10E647AE"/>
    <w:rsid w:val="10EC4CD3"/>
    <w:rsid w:val="10ED4953"/>
    <w:rsid w:val="10F939F8"/>
    <w:rsid w:val="10FE0470"/>
    <w:rsid w:val="11032B0D"/>
    <w:rsid w:val="11114067"/>
    <w:rsid w:val="11196324"/>
    <w:rsid w:val="111A451D"/>
    <w:rsid w:val="111D768A"/>
    <w:rsid w:val="112A47B8"/>
    <w:rsid w:val="11304D0A"/>
    <w:rsid w:val="11421D1E"/>
    <w:rsid w:val="11431917"/>
    <w:rsid w:val="1143528B"/>
    <w:rsid w:val="11444E28"/>
    <w:rsid w:val="11567578"/>
    <w:rsid w:val="11574382"/>
    <w:rsid w:val="1161489E"/>
    <w:rsid w:val="11797DBA"/>
    <w:rsid w:val="11AC2776"/>
    <w:rsid w:val="11AD189D"/>
    <w:rsid w:val="11B36C9A"/>
    <w:rsid w:val="11B61DC5"/>
    <w:rsid w:val="11BA4FBB"/>
    <w:rsid w:val="11BB0823"/>
    <w:rsid w:val="11CD26F5"/>
    <w:rsid w:val="11D40A3E"/>
    <w:rsid w:val="11E164E5"/>
    <w:rsid w:val="11F36756"/>
    <w:rsid w:val="11F70688"/>
    <w:rsid w:val="120236A5"/>
    <w:rsid w:val="120C1683"/>
    <w:rsid w:val="12126ACF"/>
    <w:rsid w:val="121E7AAE"/>
    <w:rsid w:val="122B630F"/>
    <w:rsid w:val="122E6ED0"/>
    <w:rsid w:val="12552C20"/>
    <w:rsid w:val="1262100E"/>
    <w:rsid w:val="127A31CB"/>
    <w:rsid w:val="127C0494"/>
    <w:rsid w:val="128227EB"/>
    <w:rsid w:val="128724F6"/>
    <w:rsid w:val="12A771A7"/>
    <w:rsid w:val="12AA1F56"/>
    <w:rsid w:val="12AE23B5"/>
    <w:rsid w:val="12B32FBA"/>
    <w:rsid w:val="12B80D06"/>
    <w:rsid w:val="12C94371"/>
    <w:rsid w:val="12EB221A"/>
    <w:rsid w:val="130265BC"/>
    <w:rsid w:val="130E23CF"/>
    <w:rsid w:val="131036C6"/>
    <w:rsid w:val="131C39BF"/>
    <w:rsid w:val="133A104C"/>
    <w:rsid w:val="13727EBE"/>
    <w:rsid w:val="13856B95"/>
    <w:rsid w:val="138806EB"/>
    <w:rsid w:val="138F74A5"/>
    <w:rsid w:val="13904DFD"/>
    <w:rsid w:val="13946F4F"/>
    <w:rsid w:val="13A73456"/>
    <w:rsid w:val="13B07057"/>
    <w:rsid w:val="13B30CB1"/>
    <w:rsid w:val="13BD743A"/>
    <w:rsid w:val="13C24A51"/>
    <w:rsid w:val="13C30BF9"/>
    <w:rsid w:val="13C50D5B"/>
    <w:rsid w:val="13C5797F"/>
    <w:rsid w:val="13CE4A0B"/>
    <w:rsid w:val="13D800CD"/>
    <w:rsid w:val="13FB78D7"/>
    <w:rsid w:val="13FE555A"/>
    <w:rsid w:val="14132899"/>
    <w:rsid w:val="141F1312"/>
    <w:rsid w:val="142179C9"/>
    <w:rsid w:val="143A4C54"/>
    <w:rsid w:val="14403A45"/>
    <w:rsid w:val="144E07DC"/>
    <w:rsid w:val="14512758"/>
    <w:rsid w:val="14574AE4"/>
    <w:rsid w:val="146A7B1A"/>
    <w:rsid w:val="146F7A5B"/>
    <w:rsid w:val="147677A3"/>
    <w:rsid w:val="147B03A7"/>
    <w:rsid w:val="148D3B44"/>
    <w:rsid w:val="1492384F"/>
    <w:rsid w:val="149746D5"/>
    <w:rsid w:val="14A02B65"/>
    <w:rsid w:val="14A81E98"/>
    <w:rsid w:val="14AA16A4"/>
    <w:rsid w:val="14AA5673"/>
    <w:rsid w:val="14AB30F5"/>
    <w:rsid w:val="14AC0F5C"/>
    <w:rsid w:val="14B61353"/>
    <w:rsid w:val="14BC34EF"/>
    <w:rsid w:val="14BD6892"/>
    <w:rsid w:val="14CB2A2E"/>
    <w:rsid w:val="14D013EF"/>
    <w:rsid w:val="14E47105"/>
    <w:rsid w:val="14FC21E4"/>
    <w:rsid w:val="14FD066A"/>
    <w:rsid w:val="15031585"/>
    <w:rsid w:val="15090F10"/>
    <w:rsid w:val="151A4A2D"/>
    <w:rsid w:val="151E6A48"/>
    <w:rsid w:val="1523130E"/>
    <w:rsid w:val="15266F1D"/>
    <w:rsid w:val="15442DF3"/>
    <w:rsid w:val="15504F07"/>
    <w:rsid w:val="155C2F18"/>
    <w:rsid w:val="156A24B2"/>
    <w:rsid w:val="157304D3"/>
    <w:rsid w:val="15771C40"/>
    <w:rsid w:val="157E0ECE"/>
    <w:rsid w:val="15910CA5"/>
    <w:rsid w:val="159C3D02"/>
    <w:rsid w:val="159D2A82"/>
    <w:rsid w:val="15BA6B35"/>
    <w:rsid w:val="15C25F5A"/>
    <w:rsid w:val="15CF2643"/>
    <w:rsid w:val="15D060DE"/>
    <w:rsid w:val="15DB706A"/>
    <w:rsid w:val="15E7036D"/>
    <w:rsid w:val="15ED7F6B"/>
    <w:rsid w:val="15F506F5"/>
    <w:rsid w:val="16080E33"/>
    <w:rsid w:val="160E09FB"/>
    <w:rsid w:val="162401E0"/>
    <w:rsid w:val="1624694C"/>
    <w:rsid w:val="162A6E0D"/>
    <w:rsid w:val="16414490"/>
    <w:rsid w:val="16456719"/>
    <w:rsid w:val="16460917"/>
    <w:rsid w:val="164D3B25"/>
    <w:rsid w:val="165B0337"/>
    <w:rsid w:val="165E23DB"/>
    <w:rsid w:val="166F24EC"/>
    <w:rsid w:val="16714FDF"/>
    <w:rsid w:val="167328FC"/>
    <w:rsid w:val="1679500E"/>
    <w:rsid w:val="167B1172"/>
    <w:rsid w:val="167D5E99"/>
    <w:rsid w:val="1681654F"/>
    <w:rsid w:val="1682515E"/>
    <w:rsid w:val="1696521E"/>
    <w:rsid w:val="16AE72C3"/>
    <w:rsid w:val="16B212CB"/>
    <w:rsid w:val="16B40F4B"/>
    <w:rsid w:val="16B67CD2"/>
    <w:rsid w:val="16CF2928"/>
    <w:rsid w:val="16D23D7F"/>
    <w:rsid w:val="16EF09DF"/>
    <w:rsid w:val="16F93C3E"/>
    <w:rsid w:val="17055CDE"/>
    <w:rsid w:val="17082AD3"/>
    <w:rsid w:val="170A288D"/>
    <w:rsid w:val="170C65C6"/>
    <w:rsid w:val="170F4061"/>
    <w:rsid w:val="1716356E"/>
    <w:rsid w:val="171819A0"/>
    <w:rsid w:val="171F475F"/>
    <w:rsid w:val="173C56DA"/>
    <w:rsid w:val="1740420E"/>
    <w:rsid w:val="17461B3F"/>
    <w:rsid w:val="17516817"/>
    <w:rsid w:val="17606A5A"/>
    <w:rsid w:val="17632565"/>
    <w:rsid w:val="17651519"/>
    <w:rsid w:val="177B311A"/>
    <w:rsid w:val="178D5376"/>
    <w:rsid w:val="17B1097B"/>
    <w:rsid w:val="17C816EE"/>
    <w:rsid w:val="17E928D3"/>
    <w:rsid w:val="17EE3251"/>
    <w:rsid w:val="17EE3962"/>
    <w:rsid w:val="17FF34EC"/>
    <w:rsid w:val="18083DFB"/>
    <w:rsid w:val="18163987"/>
    <w:rsid w:val="18191B17"/>
    <w:rsid w:val="18224BD2"/>
    <w:rsid w:val="18277578"/>
    <w:rsid w:val="182868AE"/>
    <w:rsid w:val="182D701A"/>
    <w:rsid w:val="183464BD"/>
    <w:rsid w:val="18356139"/>
    <w:rsid w:val="183C1FBD"/>
    <w:rsid w:val="183D0B4A"/>
    <w:rsid w:val="184119D7"/>
    <w:rsid w:val="18423E44"/>
    <w:rsid w:val="184579BC"/>
    <w:rsid w:val="185261BA"/>
    <w:rsid w:val="18652415"/>
    <w:rsid w:val="18673BD3"/>
    <w:rsid w:val="1870672B"/>
    <w:rsid w:val="18717FA7"/>
    <w:rsid w:val="187B08C2"/>
    <w:rsid w:val="188233B1"/>
    <w:rsid w:val="18AF200B"/>
    <w:rsid w:val="18C41C1F"/>
    <w:rsid w:val="18C505E0"/>
    <w:rsid w:val="18CC7884"/>
    <w:rsid w:val="18DD50D8"/>
    <w:rsid w:val="18DE0E37"/>
    <w:rsid w:val="18E22FD6"/>
    <w:rsid w:val="18E549E2"/>
    <w:rsid w:val="18F36B91"/>
    <w:rsid w:val="18FE29CF"/>
    <w:rsid w:val="190B1CA6"/>
    <w:rsid w:val="190C397D"/>
    <w:rsid w:val="190D15D6"/>
    <w:rsid w:val="19117D98"/>
    <w:rsid w:val="19176815"/>
    <w:rsid w:val="191D00C0"/>
    <w:rsid w:val="192B484C"/>
    <w:rsid w:val="193006AE"/>
    <w:rsid w:val="193342C6"/>
    <w:rsid w:val="193F76FB"/>
    <w:rsid w:val="194F011A"/>
    <w:rsid w:val="1959051F"/>
    <w:rsid w:val="19645EC7"/>
    <w:rsid w:val="19676079"/>
    <w:rsid w:val="197046CD"/>
    <w:rsid w:val="19767855"/>
    <w:rsid w:val="197738F5"/>
    <w:rsid w:val="199B67F9"/>
    <w:rsid w:val="199E7715"/>
    <w:rsid w:val="19A14E1A"/>
    <w:rsid w:val="19AA6FC3"/>
    <w:rsid w:val="19AE67A2"/>
    <w:rsid w:val="19B915C3"/>
    <w:rsid w:val="19C558AF"/>
    <w:rsid w:val="19CE0BF6"/>
    <w:rsid w:val="19D51DED"/>
    <w:rsid w:val="19DB757A"/>
    <w:rsid w:val="19E26226"/>
    <w:rsid w:val="19EF0419"/>
    <w:rsid w:val="19F60B5B"/>
    <w:rsid w:val="1A0B6166"/>
    <w:rsid w:val="1A10072D"/>
    <w:rsid w:val="1A1201EB"/>
    <w:rsid w:val="1A23721F"/>
    <w:rsid w:val="1A371E92"/>
    <w:rsid w:val="1A4340CD"/>
    <w:rsid w:val="1A5171B8"/>
    <w:rsid w:val="1A5B74ED"/>
    <w:rsid w:val="1A6F49FA"/>
    <w:rsid w:val="1A7C3D64"/>
    <w:rsid w:val="1A8F0427"/>
    <w:rsid w:val="1ABF08C1"/>
    <w:rsid w:val="1AC00AF1"/>
    <w:rsid w:val="1AC2066A"/>
    <w:rsid w:val="1AC54F79"/>
    <w:rsid w:val="1AC812DE"/>
    <w:rsid w:val="1AC953B6"/>
    <w:rsid w:val="1AD66518"/>
    <w:rsid w:val="1ADD6F99"/>
    <w:rsid w:val="1AE756EA"/>
    <w:rsid w:val="1AF20B4F"/>
    <w:rsid w:val="1AF9414E"/>
    <w:rsid w:val="1B0955B8"/>
    <w:rsid w:val="1B373F76"/>
    <w:rsid w:val="1B3B3CBE"/>
    <w:rsid w:val="1B3F311A"/>
    <w:rsid w:val="1B3F71AC"/>
    <w:rsid w:val="1B487F31"/>
    <w:rsid w:val="1B4B437D"/>
    <w:rsid w:val="1B4E167E"/>
    <w:rsid w:val="1B514A96"/>
    <w:rsid w:val="1B563362"/>
    <w:rsid w:val="1B5B44BA"/>
    <w:rsid w:val="1B5B5D37"/>
    <w:rsid w:val="1B5C436E"/>
    <w:rsid w:val="1B657081"/>
    <w:rsid w:val="1B74326F"/>
    <w:rsid w:val="1B746F78"/>
    <w:rsid w:val="1B764D9C"/>
    <w:rsid w:val="1B810BAF"/>
    <w:rsid w:val="1B895CC6"/>
    <w:rsid w:val="1B917B2A"/>
    <w:rsid w:val="1B9312A5"/>
    <w:rsid w:val="1B944F25"/>
    <w:rsid w:val="1B951DCE"/>
    <w:rsid w:val="1B9D4C5C"/>
    <w:rsid w:val="1BAC31D8"/>
    <w:rsid w:val="1BB42E2F"/>
    <w:rsid w:val="1BBE5191"/>
    <w:rsid w:val="1BD163B0"/>
    <w:rsid w:val="1BD50639"/>
    <w:rsid w:val="1BD90378"/>
    <w:rsid w:val="1BF01D80"/>
    <w:rsid w:val="1BF84F82"/>
    <w:rsid w:val="1C186B24"/>
    <w:rsid w:val="1C225A0B"/>
    <w:rsid w:val="1C3E47E5"/>
    <w:rsid w:val="1C5172BA"/>
    <w:rsid w:val="1C5F51C6"/>
    <w:rsid w:val="1C756EBE"/>
    <w:rsid w:val="1C791B8C"/>
    <w:rsid w:val="1C8B6E63"/>
    <w:rsid w:val="1C912F6B"/>
    <w:rsid w:val="1C9C3268"/>
    <w:rsid w:val="1CA10875"/>
    <w:rsid w:val="1CAC587A"/>
    <w:rsid w:val="1CB112A1"/>
    <w:rsid w:val="1CB30F21"/>
    <w:rsid w:val="1CBD5C89"/>
    <w:rsid w:val="1CC73445"/>
    <w:rsid w:val="1CCB0548"/>
    <w:rsid w:val="1CCE194B"/>
    <w:rsid w:val="1CCE3163"/>
    <w:rsid w:val="1CEC296A"/>
    <w:rsid w:val="1CED3A7F"/>
    <w:rsid w:val="1CFA7A77"/>
    <w:rsid w:val="1CFB54CE"/>
    <w:rsid w:val="1D1866C7"/>
    <w:rsid w:val="1D1951A4"/>
    <w:rsid w:val="1D1C2B4F"/>
    <w:rsid w:val="1D2201EA"/>
    <w:rsid w:val="1D2D5F16"/>
    <w:rsid w:val="1D316C0E"/>
    <w:rsid w:val="1D392605"/>
    <w:rsid w:val="1D436612"/>
    <w:rsid w:val="1D457596"/>
    <w:rsid w:val="1D4911D0"/>
    <w:rsid w:val="1D51561E"/>
    <w:rsid w:val="1D575FE9"/>
    <w:rsid w:val="1D7E18EE"/>
    <w:rsid w:val="1D8611E5"/>
    <w:rsid w:val="1D8F0499"/>
    <w:rsid w:val="1D9B1AEC"/>
    <w:rsid w:val="1DA84CB7"/>
    <w:rsid w:val="1DAB7009"/>
    <w:rsid w:val="1DBC2A58"/>
    <w:rsid w:val="1DC647E4"/>
    <w:rsid w:val="1DCF66E8"/>
    <w:rsid w:val="1DD63602"/>
    <w:rsid w:val="1DE303E5"/>
    <w:rsid w:val="1DEF228F"/>
    <w:rsid w:val="1E0A04BD"/>
    <w:rsid w:val="1E0B7421"/>
    <w:rsid w:val="1E2058B1"/>
    <w:rsid w:val="1E271344"/>
    <w:rsid w:val="1E3320AC"/>
    <w:rsid w:val="1E51151F"/>
    <w:rsid w:val="1E5356BF"/>
    <w:rsid w:val="1E7E1EBC"/>
    <w:rsid w:val="1E9F4240"/>
    <w:rsid w:val="1EAA6E5D"/>
    <w:rsid w:val="1EAE7675"/>
    <w:rsid w:val="1ED16B53"/>
    <w:rsid w:val="1ED45CE7"/>
    <w:rsid w:val="1EE37563"/>
    <w:rsid w:val="1EE45D3E"/>
    <w:rsid w:val="1EF34658"/>
    <w:rsid w:val="1EF51BCA"/>
    <w:rsid w:val="1EF816BF"/>
    <w:rsid w:val="1EFB7B61"/>
    <w:rsid w:val="1EFE37A7"/>
    <w:rsid w:val="1EFF007D"/>
    <w:rsid w:val="1F094B93"/>
    <w:rsid w:val="1F0B5BFD"/>
    <w:rsid w:val="1F14549A"/>
    <w:rsid w:val="1F153467"/>
    <w:rsid w:val="1F1E141F"/>
    <w:rsid w:val="1F1E3599"/>
    <w:rsid w:val="1F20258D"/>
    <w:rsid w:val="1F311F20"/>
    <w:rsid w:val="1F461A48"/>
    <w:rsid w:val="1F4B69E7"/>
    <w:rsid w:val="1F4D1EEA"/>
    <w:rsid w:val="1F5D2184"/>
    <w:rsid w:val="1F645556"/>
    <w:rsid w:val="1F680515"/>
    <w:rsid w:val="1F6D141C"/>
    <w:rsid w:val="1F725310"/>
    <w:rsid w:val="1F7F013A"/>
    <w:rsid w:val="1F8553CD"/>
    <w:rsid w:val="1FA34505"/>
    <w:rsid w:val="1FAA6204"/>
    <w:rsid w:val="1FB5190D"/>
    <w:rsid w:val="1FBC4A4A"/>
    <w:rsid w:val="1FC153CA"/>
    <w:rsid w:val="1FCC74F7"/>
    <w:rsid w:val="1FCD5CBB"/>
    <w:rsid w:val="1FD85D70"/>
    <w:rsid w:val="1FE47BCE"/>
    <w:rsid w:val="1FF300F9"/>
    <w:rsid w:val="1FFB5E43"/>
    <w:rsid w:val="200C1C69"/>
    <w:rsid w:val="200C77F2"/>
    <w:rsid w:val="201C198C"/>
    <w:rsid w:val="203046DB"/>
    <w:rsid w:val="20480391"/>
    <w:rsid w:val="204A0B08"/>
    <w:rsid w:val="20533996"/>
    <w:rsid w:val="20541126"/>
    <w:rsid w:val="20553A98"/>
    <w:rsid w:val="20556386"/>
    <w:rsid w:val="20635BEC"/>
    <w:rsid w:val="20670E5A"/>
    <w:rsid w:val="2068332E"/>
    <w:rsid w:val="206D3F96"/>
    <w:rsid w:val="20733737"/>
    <w:rsid w:val="20777EB6"/>
    <w:rsid w:val="207868BB"/>
    <w:rsid w:val="207D60F5"/>
    <w:rsid w:val="20862797"/>
    <w:rsid w:val="209778BA"/>
    <w:rsid w:val="20B921CA"/>
    <w:rsid w:val="20C11A4B"/>
    <w:rsid w:val="20CA6089"/>
    <w:rsid w:val="20E25ABD"/>
    <w:rsid w:val="20E56788"/>
    <w:rsid w:val="20EB7358"/>
    <w:rsid w:val="20F743E3"/>
    <w:rsid w:val="210250E3"/>
    <w:rsid w:val="211C030F"/>
    <w:rsid w:val="211F45FD"/>
    <w:rsid w:val="212343F7"/>
    <w:rsid w:val="21283700"/>
    <w:rsid w:val="212E7D0B"/>
    <w:rsid w:val="213C3913"/>
    <w:rsid w:val="21417D89"/>
    <w:rsid w:val="21577120"/>
    <w:rsid w:val="215B41C8"/>
    <w:rsid w:val="215C2E2B"/>
    <w:rsid w:val="2167402A"/>
    <w:rsid w:val="21902E8C"/>
    <w:rsid w:val="21922322"/>
    <w:rsid w:val="2196282F"/>
    <w:rsid w:val="21A202FF"/>
    <w:rsid w:val="21A221B3"/>
    <w:rsid w:val="21AC2CCE"/>
    <w:rsid w:val="21AF2685"/>
    <w:rsid w:val="21D818E3"/>
    <w:rsid w:val="21DA4716"/>
    <w:rsid w:val="21DB40AC"/>
    <w:rsid w:val="21E27CA5"/>
    <w:rsid w:val="21E30CAA"/>
    <w:rsid w:val="21EF401A"/>
    <w:rsid w:val="21F046BC"/>
    <w:rsid w:val="21F96078"/>
    <w:rsid w:val="21FA13EE"/>
    <w:rsid w:val="220D5A31"/>
    <w:rsid w:val="22151DA2"/>
    <w:rsid w:val="221F520B"/>
    <w:rsid w:val="22226190"/>
    <w:rsid w:val="22257114"/>
    <w:rsid w:val="222645E6"/>
    <w:rsid w:val="22353B2B"/>
    <w:rsid w:val="223805A6"/>
    <w:rsid w:val="22461847"/>
    <w:rsid w:val="224750CA"/>
    <w:rsid w:val="22514358"/>
    <w:rsid w:val="225F6D87"/>
    <w:rsid w:val="22603DB2"/>
    <w:rsid w:val="226F4462"/>
    <w:rsid w:val="227710FC"/>
    <w:rsid w:val="227D77A3"/>
    <w:rsid w:val="22967034"/>
    <w:rsid w:val="22A72B65"/>
    <w:rsid w:val="22BF3BB7"/>
    <w:rsid w:val="22D00B5A"/>
    <w:rsid w:val="22D0502F"/>
    <w:rsid w:val="22D32730"/>
    <w:rsid w:val="22D35427"/>
    <w:rsid w:val="22F727A3"/>
    <w:rsid w:val="22FA21AD"/>
    <w:rsid w:val="22FF7345"/>
    <w:rsid w:val="23112215"/>
    <w:rsid w:val="23256680"/>
    <w:rsid w:val="232B17F3"/>
    <w:rsid w:val="232C3B4B"/>
    <w:rsid w:val="23304627"/>
    <w:rsid w:val="233378E5"/>
    <w:rsid w:val="233465ED"/>
    <w:rsid w:val="233A77E1"/>
    <w:rsid w:val="233C215F"/>
    <w:rsid w:val="234B6EF7"/>
    <w:rsid w:val="23554EAA"/>
    <w:rsid w:val="23582989"/>
    <w:rsid w:val="235E4892"/>
    <w:rsid w:val="23615817"/>
    <w:rsid w:val="23662A17"/>
    <w:rsid w:val="23730DBC"/>
    <w:rsid w:val="23796741"/>
    <w:rsid w:val="237B1A2C"/>
    <w:rsid w:val="237C165B"/>
    <w:rsid w:val="23876A22"/>
    <w:rsid w:val="238B1EDE"/>
    <w:rsid w:val="238C7960"/>
    <w:rsid w:val="2398304B"/>
    <w:rsid w:val="23986BA8"/>
    <w:rsid w:val="239D347E"/>
    <w:rsid w:val="23AA1199"/>
    <w:rsid w:val="23AC5C96"/>
    <w:rsid w:val="23AE661B"/>
    <w:rsid w:val="23D83E1C"/>
    <w:rsid w:val="23EF3E0C"/>
    <w:rsid w:val="23F30C56"/>
    <w:rsid w:val="23FD601D"/>
    <w:rsid w:val="23FD7C10"/>
    <w:rsid w:val="23FE69EB"/>
    <w:rsid w:val="24092928"/>
    <w:rsid w:val="241C5E0A"/>
    <w:rsid w:val="241E233B"/>
    <w:rsid w:val="24207978"/>
    <w:rsid w:val="242258D5"/>
    <w:rsid w:val="24327310"/>
    <w:rsid w:val="24340FC8"/>
    <w:rsid w:val="2434792A"/>
    <w:rsid w:val="244F54A0"/>
    <w:rsid w:val="24554E2A"/>
    <w:rsid w:val="24652F46"/>
    <w:rsid w:val="247321DC"/>
    <w:rsid w:val="24784E09"/>
    <w:rsid w:val="247D5127"/>
    <w:rsid w:val="248531E6"/>
    <w:rsid w:val="248C5D34"/>
    <w:rsid w:val="24A36F83"/>
    <w:rsid w:val="24A5262B"/>
    <w:rsid w:val="24AD793F"/>
    <w:rsid w:val="24B72FB5"/>
    <w:rsid w:val="24E13E23"/>
    <w:rsid w:val="24F12AAA"/>
    <w:rsid w:val="24F22BF7"/>
    <w:rsid w:val="24F25900"/>
    <w:rsid w:val="24F25DC2"/>
    <w:rsid w:val="24F8351C"/>
    <w:rsid w:val="250207C6"/>
    <w:rsid w:val="25097DAA"/>
    <w:rsid w:val="250F2781"/>
    <w:rsid w:val="251B0672"/>
    <w:rsid w:val="252A782C"/>
    <w:rsid w:val="25402911"/>
    <w:rsid w:val="2581676F"/>
    <w:rsid w:val="258B40CC"/>
    <w:rsid w:val="258C50C0"/>
    <w:rsid w:val="258E05B5"/>
    <w:rsid w:val="259322B4"/>
    <w:rsid w:val="25A03B48"/>
    <w:rsid w:val="25AB575C"/>
    <w:rsid w:val="25AC31DE"/>
    <w:rsid w:val="25B1585D"/>
    <w:rsid w:val="25BC7BF5"/>
    <w:rsid w:val="25C720F3"/>
    <w:rsid w:val="25D1584C"/>
    <w:rsid w:val="25D34CA0"/>
    <w:rsid w:val="25F969F8"/>
    <w:rsid w:val="260015EC"/>
    <w:rsid w:val="26016A14"/>
    <w:rsid w:val="260E4400"/>
    <w:rsid w:val="2610750B"/>
    <w:rsid w:val="261147BA"/>
    <w:rsid w:val="261809AB"/>
    <w:rsid w:val="261A5E58"/>
    <w:rsid w:val="261C1BB2"/>
    <w:rsid w:val="26272B27"/>
    <w:rsid w:val="26320878"/>
    <w:rsid w:val="263230B7"/>
    <w:rsid w:val="2635403B"/>
    <w:rsid w:val="263634A1"/>
    <w:rsid w:val="26405376"/>
    <w:rsid w:val="26436BD4"/>
    <w:rsid w:val="26655E3B"/>
    <w:rsid w:val="266F157B"/>
    <w:rsid w:val="26742C26"/>
    <w:rsid w:val="2678413E"/>
    <w:rsid w:val="267B266D"/>
    <w:rsid w:val="26852537"/>
    <w:rsid w:val="26901355"/>
    <w:rsid w:val="269D398F"/>
    <w:rsid w:val="26AB668C"/>
    <w:rsid w:val="26AD1C0B"/>
    <w:rsid w:val="26B02AF9"/>
    <w:rsid w:val="26C37768"/>
    <w:rsid w:val="26C42E48"/>
    <w:rsid w:val="26CF165B"/>
    <w:rsid w:val="26D22498"/>
    <w:rsid w:val="26E2325A"/>
    <w:rsid w:val="2700280A"/>
    <w:rsid w:val="27062195"/>
    <w:rsid w:val="27090EBD"/>
    <w:rsid w:val="27195933"/>
    <w:rsid w:val="271A7116"/>
    <w:rsid w:val="27260F9D"/>
    <w:rsid w:val="272A364F"/>
    <w:rsid w:val="272D7147"/>
    <w:rsid w:val="273242DE"/>
    <w:rsid w:val="2738348F"/>
    <w:rsid w:val="2742409C"/>
    <w:rsid w:val="274E4B21"/>
    <w:rsid w:val="274F5E0D"/>
    <w:rsid w:val="27546DAC"/>
    <w:rsid w:val="276A0AC0"/>
    <w:rsid w:val="276A5F64"/>
    <w:rsid w:val="278D0E41"/>
    <w:rsid w:val="278D12FE"/>
    <w:rsid w:val="27A45340"/>
    <w:rsid w:val="27AC20A1"/>
    <w:rsid w:val="27BF3B42"/>
    <w:rsid w:val="27C0670F"/>
    <w:rsid w:val="27C3371C"/>
    <w:rsid w:val="27C37C91"/>
    <w:rsid w:val="27D35027"/>
    <w:rsid w:val="27E84D06"/>
    <w:rsid w:val="27F53C05"/>
    <w:rsid w:val="27F6324E"/>
    <w:rsid w:val="27F8133D"/>
    <w:rsid w:val="280259BE"/>
    <w:rsid w:val="28030DB3"/>
    <w:rsid w:val="280900C8"/>
    <w:rsid w:val="280D19AC"/>
    <w:rsid w:val="282C1F78"/>
    <w:rsid w:val="283050FB"/>
    <w:rsid w:val="283A05C6"/>
    <w:rsid w:val="283F016C"/>
    <w:rsid w:val="284E0490"/>
    <w:rsid w:val="285A17C2"/>
    <w:rsid w:val="286533D6"/>
    <w:rsid w:val="28745BEF"/>
    <w:rsid w:val="287B08D6"/>
    <w:rsid w:val="28A02CC8"/>
    <w:rsid w:val="28B314C0"/>
    <w:rsid w:val="28B81B5C"/>
    <w:rsid w:val="28BB2AE0"/>
    <w:rsid w:val="28BE14E7"/>
    <w:rsid w:val="28E8615D"/>
    <w:rsid w:val="28F15BC1"/>
    <w:rsid w:val="28F46C6A"/>
    <w:rsid w:val="28FA0689"/>
    <w:rsid w:val="28FA5751"/>
    <w:rsid w:val="290473B8"/>
    <w:rsid w:val="292601B7"/>
    <w:rsid w:val="292C2C40"/>
    <w:rsid w:val="292D456F"/>
    <w:rsid w:val="2954525D"/>
    <w:rsid w:val="2964701D"/>
    <w:rsid w:val="29667955"/>
    <w:rsid w:val="296C1188"/>
    <w:rsid w:val="296D7F0F"/>
    <w:rsid w:val="29710F8A"/>
    <w:rsid w:val="29824AA8"/>
    <w:rsid w:val="298A64CA"/>
    <w:rsid w:val="299C5F72"/>
    <w:rsid w:val="29A77266"/>
    <w:rsid w:val="29B07B75"/>
    <w:rsid w:val="29B55BD2"/>
    <w:rsid w:val="29CD16A4"/>
    <w:rsid w:val="29D02628"/>
    <w:rsid w:val="29D4102F"/>
    <w:rsid w:val="29D457AB"/>
    <w:rsid w:val="29D5322D"/>
    <w:rsid w:val="29DF15BE"/>
    <w:rsid w:val="29E647CC"/>
    <w:rsid w:val="29E85357"/>
    <w:rsid w:val="29EA22AE"/>
    <w:rsid w:val="29F049F0"/>
    <w:rsid w:val="2A004862"/>
    <w:rsid w:val="2A01261A"/>
    <w:rsid w:val="2A105610"/>
    <w:rsid w:val="2A113A92"/>
    <w:rsid w:val="2A3F0751"/>
    <w:rsid w:val="2A475EF5"/>
    <w:rsid w:val="2A496A6F"/>
    <w:rsid w:val="2A5F0DF4"/>
    <w:rsid w:val="2A6308E4"/>
    <w:rsid w:val="2A6C567E"/>
    <w:rsid w:val="2A6E1636"/>
    <w:rsid w:val="2A82464A"/>
    <w:rsid w:val="2A83594F"/>
    <w:rsid w:val="2A874355"/>
    <w:rsid w:val="2A892B32"/>
    <w:rsid w:val="2A945BEA"/>
    <w:rsid w:val="2A994270"/>
    <w:rsid w:val="2AA0747E"/>
    <w:rsid w:val="2AB53BA0"/>
    <w:rsid w:val="2AB61621"/>
    <w:rsid w:val="2AB61894"/>
    <w:rsid w:val="2AB640A1"/>
    <w:rsid w:val="2AB7295F"/>
    <w:rsid w:val="2AC01F31"/>
    <w:rsid w:val="2AC718BC"/>
    <w:rsid w:val="2AC86BFE"/>
    <w:rsid w:val="2ADA635E"/>
    <w:rsid w:val="2ADF23E8"/>
    <w:rsid w:val="2AE36D8C"/>
    <w:rsid w:val="2AEC59F4"/>
    <w:rsid w:val="2AEE177B"/>
    <w:rsid w:val="2AEE6D08"/>
    <w:rsid w:val="2AF37282"/>
    <w:rsid w:val="2AF8590E"/>
    <w:rsid w:val="2AFC4314"/>
    <w:rsid w:val="2B061074"/>
    <w:rsid w:val="2B0C45AE"/>
    <w:rsid w:val="2B2F5CED"/>
    <w:rsid w:val="2B3418DB"/>
    <w:rsid w:val="2B37533B"/>
    <w:rsid w:val="2B3B3677"/>
    <w:rsid w:val="2B442A1B"/>
    <w:rsid w:val="2B452538"/>
    <w:rsid w:val="2B48310F"/>
    <w:rsid w:val="2B552424"/>
    <w:rsid w:val="2B562D75"/>
    <w:rsid w:val="2B671232"/>
    <w:rsid w:val="2B6A4948"/>
    <w:rsid w:val="2B6B45C8"/>
    <w:rsid w:val="2B720385"/>
    <w:rsid w:val="2B747456"/>
    <w:rsid w:val="2B7724A7"/>
    <w:rsid w:val="2B8925CC"/>
    <w:rsid w:val="2BB31411"/>
    <w:rsid w:val="2BBF78D5"/>
    <w:rsid w:val="2BC21E63"/>
    <w:rsid w:val="2BD2786C"/>
    <w:rsid w:val="2BD36D43"/>
    <w:rsid w:val="2BD43FF7"/>
    <w:rsid w:val="2BD561F6"/>
    <w:rsid w:val="2BF0264B"/>
    <w:rsid w:val="2BF139F2"/>
    <w:rsid w:val="2BF31029"/>
    <w:rsid w:val="2BFD52AB"/>
    <w:rsid w:val="2C020275"/>
    <w:rsid w:val="2C0A0C4E"/>
    <w:rsid w:val="2C0A3A72"/>
    <w:rsid w:val="2C1A1E8E"/>
    <w:rsid w:val="2C1E56F0"/>
    <w:rsid w:val="2C202432"/>
    <w:rsid w:val="2C216675"/>
    <w:rsid w:val="2C2D725D"/>
    <w:rsid w:val="2C326632"/>
    <w:rsid w:val="2C3449D3"/>
    <w:rsid w:val="2C3839FB"/>
    <w:rsid w:val="2C3C2B50"/>
    <w:rsid w:val="2C456557"/>
    <w:rsid w:val="2C48316B"/>
    <w:rsid w:val="2C583D4C"/>
    <w:rsid w:val="2C664DE2"/>
    <w:rsid w:val="2C735407"/>
    <w:rsid w:val="2C74067E"/>
    <w:rsid w:val="2C7448CB"/>
    <w:rsid w:val="2C934AB1"/>
    <w:rsid w:val="2C9B0EA5"/>
    <w:rsid w:val="2C9D5C03"/>
    <w:rsid w:val="2CA10C14"/>
    <w:rsid w:val="2CA1389A"/>
    <w:rsid w:val="2CA204EC"/>
    <w:rsid w:val="2CAD18DF"/>
    <w:rsid w:val="2CAD2BFF"/>
    <w:rsid w:val="2CAF38ED"/>
    <w:rsid w:val="2CB76337"/>
    <w:rsid w:val="2CBA6005"/>
    <w:rsid w:val="2CD17175"/>
    <w:rsid w:val="2CF34D78"/>
    <w:rsid w:val="2CF808D7"/>
    <w:rsid w:val="2CFC72DD"/>
    <w:rsid w:val="2CFF0262"/>
    <w:rsid w:val="2D002B75"/>
    <w:rsid w:val="2D025963"/>
    <w:rsid w:val="2D0F6337"/>
    <w:rsid w:val="2D136F02"/>
    <w:rsid w:val="2D1D2D3B"/>
    <w:rsid w:val="2D2458FE"/>
    <w:rsid w:val="2D35073C"/>
    <w:rsid w:val="2D37317A"/>
    <w:rsid w:val="2D3D5B48"/>
    <w:rsid w:val="2D400CCB"/>
    <w:rsid w:val="2D4454D3"/>
    <w:rsid w:val="2D4476D1"/>
    <w:rsid w:val="2D492F93"/>
    <w:rsid w:val="2D4973DC"/>
    <w:rsid w:val="2D546C0A"/>
    <w:rsid w:val="2D5C61B5"/>
    <w:rsid w:val="2D5E027B"/>
    <w:rsid w:val="2D601B0F"/>
    <w:rsid w:val="2D641E2D"/>
    <w:rsid w:val="2D695B92"/>
    <w:rsid w:val="2D7707D2"/>
    <w:rsid w:val="2DA17EB3"/>
    <w:rsid w:val="2DA36280"/>
    <w:rsid w:val="2DB016CE"/>
    <w:rsid w:val="2DB61F8F"/>
    <w:rsid w:val="2DC031F7"/>
    <w:rsid w:val="2DC47E44"/>
    <w:rsid w:val="2DC87F69"/>
    <w:rsid w:val="2DD061B1"/>
    <w:rsid w:val="2DD9486E"/>
    <w:rsid w:val="2DD95015"/>
    <w:rsid w:val="2DEA57B6"/>
    <w:rsid w:val="2DED4667"/>
    <w:rsid w:val="2DF674F5"/>
    <w:rsid w:val="2DF857E7"/>
    <w:rsid w:val="2E082C92"/>
    <w:rsid w:val="2E0A5836"/>
    <w:rsid w:val="2E0C3A22"/>
    <w:rsid w:val="2E151FA8"/>
    <w:rsid w:val="2E1D11F5"/>
    <w:rsid w:val="2E21163E"/>
    <w:rsid w:val="2E3D56EB"/>
    <w:rsid w:val="2E4162EF"/>
    <w:rsid w:val="2E41718E"/>
    <w:rsid w:val="2E5D4818"/>
    <w:rsid w:val="2E6079D2"/>
    <w:rsid w:val="2E6461E8"/>
    <w:rsid w:val="2E7F3BD6"/>
    <w:rsid w:val="2E8D4900"/>
    <w:rsid w:val="2E8E54F4"/>
    <w:rsid w:val="2E937A99"/>
    <w:rsid w:val="2E953036"/>
    <w:rsid w:val="2E984B00"/>
    <w:rsid w:val="2E9F0D46"/>
    <w:rsid w:val="2ED95569"/>
    <w:rsid w:val="2EEB126E"/>
    <w:rsid w:val="2EF405CF"/>
    <w:rsid w:val="2EF47418"/>
    <w:rsid w:val="2EFA043F"/>
    <w:rsid w:val="2F0625CE"/>
    <w:rsid w:val="2F18580E"/>
    <w:rsid w:val="2F1D461A"/>
    <w:rsid w:val="2F1E74CF"/>
    <w:rsid w:val="2F211B9B"/>
    <w:rsid w:val="2F3F4014"/>
    <w:rsid w:val="2F45562F"/>
    <w:rsid w:val="2F530A64"/>
    <w:rsid w:val="2F5C36EE"/>
    <w:rsid w:val="2F5E1045"/>
    <w:rsid w:val="2F6E3D66"/>
    <w:rsid w:val="2F6E3E99"/>
    <w:rsid w:val="2F724F9D"/>
    <w:rsid w:val="2F7928EE"/>
    <w:rsid w:val="2F7F157A"/>
    <w:rsid w:val="2F827AAC"/>
    <w:rsid w:val="2FAE551B"/>
    <w:rsid w:val="2FB32CCE"/>
    <w:rsid w:val="2FB51A54"/>
    <w:rsid w:val="2FBC7ACB"/>
    <w:rsid w:val="2FC17A65"/>
    <w:rsid w:val="2FC81654"/>
    <w:rsid w:val="2FCB565C"/>
    <w:rsid w:val="2FD56706"/>
    <w:rsid w:val="2FE11C34"/>
    <w:rsid w:val="2FE157C7"/>
    <w:rsid w:val="2FE8003B"/>
    <w:rsid w:val="2FEA3851"/>
    <w:rsid w:val="2FF700B2"/>
    <w:rsid w:val="30107441"/>
    <w:rsid w:val="301A3977"/>
    <w:rsid w:val="301A6A81"/>
    <w:rsid w:val="30210D83"/>
    <w:rsid w:val="302573F7"/>
    <w:rsid w:val="3043348E"/>
    <w:rsid w:val="304E62E2"/>
    <w:rsid w:val="305E6FC6"/>
    <w:rsid w:val="30640F12"/>
    <w:rsid w:val="30650573"/>
    <w:rsid w:val="30684D7B"/>
    <w:rsid w:val="3069073D"/>
    <w:rsid w:val="307E6F1F"/>
    <w:rsid w:val="308128F6"/>
    <w:rsid w:val="30882593"/>
    <w:rsid w:val="30AD56DB"/>
    <w:rsid w:val="30B12BF1"/>
    <w:rsid w:val="30B40A71"/>
    <w:rsid w:val="30BD1DEA"/>
    <w:rsid w:val="30BF0FBB"/>
    <w:rsid w:val="30CC52EF"/>
    <w:rsid w:val="30D76501"/>
    <w:rsid w:val="30DE27BB"/>
    <w:rsid w:val="30F67F41"/>
    <w:rsid w:val="31077D7C"/>
    <w:rsid w:val="310B168D"/>
    <w:rsid w:val="310D429C"/>
    <w:rsid w:val="3122284E"/>
    <w:rsid w:val="314E04CA"/>
    <w:rsid w:val="316B72D8"/>
    <w:rsid w:val="316E73F5"/>
    <w:rsid w:val="316F0A25"/>
    <w:rsid w:val="31740730"/>
    <w:rsid w:val="31753AD0"/>
    <w:rsid w:val="31774BEB"/>
    <w:rsid w:val="317F5B05"/>
    <w:rsid w:val="3185644C"/>
    <w:rsid w:val="318F2A8D"/>
    <w:rsid w:val="31954F30"/>
    <w:rsid w:val="3198766B"/>
    <w:rsid w:val="319F6FF6"/>
    <w:rsid w:val="31AD4B3A"/>
    <w:rsid w:val="31B16017"/>
    <w:rsid w:val="31BC6E82"/>
    <w:rsid w:val="31C35F31"/>
    <w:rsid w:val="31D616CE"/>
    <w:rsid w:val="31DA34A9"/>
    <w:rsid w:val="31DA7836"/>
    <w:rsid w:val="31DD1110"/>
    <w:rsid w:val="31E52E77"/>
    <w:rsid w:val="321005AF"/>
    <w:rsid w:val="32110BE3"/>
    <w:rsid w:val="32186CC0"/>
    <w:rsid w:val="321E0BC9"/>
    <w:rsid w:val="32285F76"/>
    <w:rsid w:val="322A5D0E"/>
    <w:rsid w:val="323735BF"/>
    <w:rsid w:val="32470EB5"/>
    <w:rsid w:val="324A749F"/>
    <w:rsid w:val="324F1398"/>
    <w:rsid w:val="32527E0C"/>
    <w:rsid w:val="32703683"/>
    <w:rsid w:val="327310C6"/>
    <w:rsid w:val="328C597A"/>
    <w:rsid w:val="328C7202"/>
    <w:rsid w:val="329121E2"/>
    <w:rsid w:val="329C1497"/>
    <w:rsid w:val="329D3696"/>
    <w:rsid w:val="32A0461A"/>
    <w:rsid w:val="32AB622F"/>
    <w:rsid w:val="32B124B4"/>
    <w:rsid w:val="32E202CD"/>
    <w:rsid w:val="32E225C2"/>
    <w:rsid w:val="32E5532C"/>
    <w:rsid w:val="32E7076E"/>
    <w:rsid w:val="32EF2A5B"/>
    <w:rsid w:val="32F34F25"/>
    <w:rsid w:val="32F82AAB"/>
    <w:rsid w:val="32FD156B"/>
    <w:rsid w:val="3318172A"/>
    <w:rsid w:val="332F2697"/>
    <w:rsid w:val="33301D0B"/>
    <w:rsid w:val="334B4AB3"/>
    <w:rsid w:val="334E4A3F"/>
    <w:rsid w:val="33586C76"/>
    <w:rsid w:val="337323F4"/>
    <w:rsid w:val="33835934"/>
    <w:rsid w:val="33903029"/>
    <w:rsid w:val="33993841"/>
    <w:rsid w:val="33A42DD4"/>
    <w:rsid w:val="33A6194A"/>
    <w:rsid w:val="33AB60F0"/>
    <w:rsid w:val="33AD2BD0"/>
    <w:rsid w:val="33BA63EC"/>
    <w:rsid w:val="33BF2AAC"/>
    <w:rsid w:val="33C0343A"/>
    <w:rsid w:val="33CF61C1"/>
    <w:rsid w:val="33CF6FEA"/>
    <w:rsid w:val="33ED12F5"/>
    <w:rsid w:val="33F17DA7"/>
    <w:rsid w:val="33F474CA"/>
    <w:rsid w:val="33F87681"/>
    <w:rsid w:val="33FD6E49"/>
    <w:rsid w:val="34052FE8"/>
    <w:rsid w:val="340C4F6D"/>
    <w:rsid w:val="3411487C"/>
    <w:rsid w:val="341E2BF5"/>
    <w:rsid w:val="34392414"/>
    <w:rsid w:val="343B7C38"/>
    <w:rsid w:val="344D4E62"/>
    <w:rsid w:val="345307C7"/>
    <w:rsid w:val="34654306"/>
    <w:rsid w:val="346978A7"/>
    <w:rsid w:val="3477250D"/>
    <w:rsid w:val="34884A07"/>
    <w:rsid w:val="349205C5"/>
    <w:rsid w:val="34950A59"/>
    <w:rsid w:val="34A25616"/>
    <w:rsid w:val="34A5477C"/>
    <w:rsid w:val="34A94599"/>
    <w:rsid w:val="34B673C4"/>
    <w:rsid w:val="34BE137B"/>
    <w:rsid w:val="34BE4995"/>
    <w:rsid w:val="34CE27C7"/>
    <w:rsid w:val="34E31AD2"/>
    <w:rsid w:val="35041886"/>
    <w:rsid w:val="350477DA"/>
    <w:rsid w:val="350F4D9F"/>
    <w:rsid w:val="35216444"/>
    <w:rsid w:val="35251B94"/>
    <w:rsid w:val="352A3FA1"/>
    <w:rsid w:val="35322AD7"/>
    <w:rsid w:val="35476E77"/>
    <w:rsid w:val="354D2F7F"/>
    <w:rsid w:val="355B5B18"/>
    <w:rsid w:val="3574522F"/>
    <w:rsid w:val="35817F56"/>
    <w:rsid w:val="358D4A67"/>
    <w:rsid w:val="35A5247F"/>
    <w:rsid w:val="35A646D1"/>
    <w:rsid w:val="35A87141"/>
    <w:rsid w:val="35B54FC1"/>
    <w:rsid w:val="35B82DF1"/>
    <w:rsid w:val="35BE2F3C"/>
    <w:rsid w:val="35C36CBC"/>
    <w:rsid w:val="35C479BE"/>
    <w:rsid w:val="35D231D8"/>
    <w:rsid w:val="35D72EE3"/>
    <w:rsid w:val="35D92B63"/>
    <w:rsid w:val="35E523E8"/>
    <w:rsid w:val="35E72CCA"/>
    <w:rsid w:val="35F837D7"/>
    <w:rsid w:val="35FE7713"/>
    <w:rsid w:val="36041A17"/>
    <w:rsid w:val="3604474D"/>
    <w:rsid w:val="360C5C5F"/>
    <w:rsid w:val="362E6389"/>
    <w:rsid w:val="363D7320"/>
    <w:rsid w:val="36532A69"/>
    <w:rsid w:val="365921B8"/>
    <w:rsid w:val="365E1EC3"/>
    <w:rsid w:val="3671041F"/>
    <w:rsid w:val="36840A7D"/>
    <w:rsid w:val="3685485E"/>
    <w:rsid w:val="368B7F6F"/>
    <w:rsid w:val="36923681"/>
    <w:rsid w:val="369C5CFD"/>
    <w:rsid w:val="36B443C8"/>
    <w:rsid w:val="36B55BD0"/>
    <w:rsid w:val="36BE795E"/>
    <w:rsid w:val="36CE7BF8"/>
    <w:rsid w:val="36CF5D5D"/>
    <w:rsid w:val="36D34080"/>
    <w:rsid w:val="36D46207"/>
    <w:rsid w:val="36DE5C94"/>
    <w:rsid w:val="36E1747D"/>
    <w:rsid w:val="36EE5F2E"/>
    <w:rsid w:val="36EF6323"/>
    <w:rsid w:val="372238D5"/>
    <w:rsid w:val="372C52C1"/>
    <w:rsid w:val="37330906"/>
    <w:rsid w:val="37413267"/>
    <w:rsid w:val="374146B4"/>
    <w:rsid w:val="3743343A"/>
    <w:rsid w:val="374A7542"/>
    <w:rsid w:val="37576857"/>
    <w:rsid w:val="37600755"/>
    <w:rsid w:val="376F117F"/>
    <w:rsid w:val="37702D1F"/>
    <w:rsid w:val="37800BE3"/>
    <w:rsid w:val="3781549D"/>
    <w:rsid w:val="379540A7"/>
    <w:rsid w:val="37981B9B"/>
    <w:rsid w:val="37A47217"/>
    <w:rsid w:val="37BF08C9"/>
    <w:rsid w:val="37C04C73"/>
    <w:rsid w:val="37D913AF"/>
    <w:rsid w:val="37E03329"/>
    <w:rsid w:val="380F1889"/>
    <w:rsid w:val="38274186"/>
    <w:rsid w:val="38373947"/>
    <w:rsid w:val="3839146D"/>
    <w:rsid w:val="38392C84"/>
    <w:rsid w:val="38417DD5"/>
    <w:rsid w:val="384C7F78"/>
    <w:rsid w:val="38502D25"/>
    <w:rsid w:val="385C6105"/>
    <w:rsid w:val="3861062B"/>
    <w:rsid w:val="386453DA"/>
    <w:rsid w:val="386C091E"/>
    <w:rsid w:val="387626A6"/>
    <w:rsid w:val="38841B62"/>
    <w:rsid w:val="389528A3"/>
    <w:rsid w:val="389D3378"/>
    <w:rsid w:val="38A36879"/>
    <w:rsid w:val="38AD4C0A"/>
    <w:rsid w:val="38AF056D"/>
    <w:rsid w:val="38B273B5"/>
    <w:rsid w:val="38BE4EA5"/>
    <w:rsid w:val="38BF6454"/>
    <w:rsid w:val="38BF6E4D"/>
    <w:rsid w:val="39010E11"/>
    <w:rsid w:val="390549ED"/>
    <w:rsid w:val="39120CAE"/>
    <w:rsid w:val="39231886"/>
    <w:rsid w:val="39404179"/>
    <w:rsid w:val="39456836"/>
    <w:rsid w:val="39470667"/>
    <w:rsid w:val="395F063B"/>
    <w:rsid w:val="39646937"/>
    <w:rsid w:val="396A4FBD"/>
    <w:rsid w:val="396C11BE"/>
    <w:rsid w:val="3970274A"/>
    <w:rsid w:val="397720D5"/>
    <w:rsid w:val="39836BEC"/>
    <w:rsid w:val="398A32F4"/>
    <w:rsid w:val="39931A05"/>
    <w:rsid w:val="39954F08"/>
    <w:rsid w:val="3995635C"/>
    <w:rsid w:val="39B06F76"/>
    <w:rsid w:val="39B75867"/>
    <w:rsid w:val="39F33F01"/>
    <w:rsid w:val="39FB306D"/>
    <w:rsid w:val="39FD62D1"/>
    <w:rsid w:val="39FF3DC6"/>
    <w:rsid w:val="3A0177D1"/>
    <w:rsid w:val="3A0E134F"/>
    <w:rsid w:val="3A107229"/>
    <w:rsid w:val="3A126E31"/>
    <w:rsid w:val="3A17204C"/>
    <w:rsid w:val="3A1D6A20"/>
    <w:rsid w:val="3A2B2937"/>
    <w:rsid w:val="3A2C4452"/>
    <w:rsid w:val="3A3A61E8"/>
    <w:rsid w:val="3A484134"/>
    <w:rsid w:val="3A682CE2"/>
    <w:rsid w:val="3A741692"/>
    <w:rsid w:val="3A777018"/>
    <w:rsid w:val="3A7908DF"/>
    <w:rsid w:val="3A791A5E"/>
    <w:rsid w:val="3A815B98"/>
    <w:rsid w:val="3A8B351F"/>
    <w:rsid w:val="3A960861"/>
    <w:rsid w:val="3A996727"/>
    <w:rsid w:val="3AA5706A"/>
    <w:rsid w:val="3AAC7D58"/>
    <w:rsid w:val="3AC460A6"/>
    <w:rsid w:val="3ACB4F85"/>
    <w:rsid w:val="3ACC7CDD"/>
    <w:rsid w:val="3AD1189A"/>
    <w:rsid w:val="3AE01ADD"/>
    <w:rsid w:val="3AE174AA"/>
    <w:rsid w:val="3AE50E1D"/>
    <w:rsid w:val="3AED5139"/>
    <w:rsid w:val="3AF060BE"/>
    <w:rsid w:val="3AF410E4"/>
    <w:rsid w:val="3AF55DC9"/>
    <w:rsid w:val="3AF969D5"/>
    <w:rsid w:val="3AFC5754"/>
    <w:rsid w:val="3B345743"/>
    <w:rsid w:val="3B43394A"/>
    <w:rsid w:val="3B45098F"/>
    <w:rsid w:val="3B615F60"/>
    <w:rsid w:val="3B6B7EB6"/>
    <w:rsid w:val="3B7206A8"/>
    <w:rsid w:val="3B721137"/>
    <w:rsid w:val="3B906228"/>
    <w:rsid w:val="3B9D74DC"/>
    <w:rsid w:val="3BA07298"/>
    <w:rsid w:val="3BA22893"/>
    <w:rsid w:val="3BA244B9"/>
    <w:rsid w:val="3BA90615"/>
    <w:rsid w:val="3BAE4FCF"/>
    <w:rsid w:val="3BBE3294"/>
    <w:rsid w:val="3BC06797"/>
    <w:rsid w:val="3BCC25A9"/>
    <w:rsid w:val="3BD17E78"/>
    <w:rsid w:val="3BE62C64"/>
    <w:rsid w:val="3BF638C7"/>
    <w:rsid w:val="3C007580"/>
    <w:rsid w:val="3C0331DD"/>
    <w:rsid w:val="3C127E4B"/>
    <w:rsid w:val="3C1A2F09"/>
    <w:rsid w:val="3C1D36D4"/>
    <w:rsid w:val="3C2213C5"/>
    <w:rsid w:val="3C2A50E0"/>
    <w:rsid w:val="3C2B0E50"/>
    <w:rsid w:val="3C2E6DCB"/>
    <w:rsid w:val="3C3C60E0"/>
    <w:rsid w:val="3C4542ED"/>
    <w:rsid w:val="3C487939"/>
    <w:rsid w:val="3C7265BA"/>
    <w:rsid w:val="3C76590C"/>
    <w:rsid w:val="3C78089F"/>
    <w:rsid w:val="3C8D6DE4"/>
    <w:rsid w:val="3C94725C"/>
    <w:rsid w:val="3C9550E5"/>
    <w:rsid w:val="3C985175"/>
    <w:rsid w:val="3C9E1F28"/>
    <w:rsid w:val="3CA135F1"/>
    <w:rsid w:val="3CA26A9B"/>
    <w:rsid w:val="3CA64660"/>
    <w:rsid w:val="3CA65F7E"/>
    <w:rsid w:val="3CA800AB"/>
    <w:rsid w:val="3CC44270"/>
    <w:rsid w:val="3CCA23FD"/>
    <w:rsid w:val="3CD40042"/>
    <w:rsid w:val="3CD55F24"/>
    <w:rsid w:val="3CD74A7D"/>
    <w:rsid w:val="3CDA4CE5"/>
    <w:rsid w:val="3CE50291"/>
    <w:rsid w:val="3CFB7507"/>
    <w:rsid w:val="3CFC24D2"/>
    <w:rsid w:val="3D06164F"/>
    <w:rsid w:val="3D0A4004"/>
    <w:rsid w:val="3D0D78DE"/>
    <w:rsid w:val="3D232B5B"/>
    <w:rsid w:val="3D296AB4"/>
    <w:rsid w:val="3D2F4655"/>
    <w:rsid w:val="3D3D3705"/>
    <w:rsid w:val="3D4A69A7"/>
    <w:rsid w:val="3D4B049C"/>
    <w:rsid w:val="3D4D399F"/>
    <w:rsid w:val="3D680C43"/>
    <w:rsid w:val="3D6878EE"/>
    <w:rsid w:val="3D70352D"/>
    <w:rsid w:val="3D7663D6"/>
    <w:rsid w:val="3D7E4F52"/>
    <w:rsid w:val="3D9A7321"/>
    <w:rsid w:val="3DA3488C"/>
    <w:rsid w:val="3DA976C1"/>
    <w:rsid w:val="3DAB17BA"/>
    <w:rsid w:val="3DB56E7F"/>
    <w:rsid w:val="3DB73F02"/>
    <w:rsid w:val="3DBF625C"/>
    <w:rsid w:val="3DDA48F7"/>
    <w:rsid w:val="3DDC6643"/>
    <w:rsid w:val="3DFE3ED6"/>
    <w:rsid w:val="3E0B0755"/>
    <w:rsid w:val="3E0D3DDD"/>
    <w:rsid w:val="3E2042B8"/>
    <w:rsid w:val="3E2D0A8E"/>
    <w:rsid w:val="3E3A2B26"/>
    <w:rsid w:val="3E3C09BD"/>
    <w:rsid w:val="3E4C1343"/>
    <w:rsid w:val="3E526CF8"/>
    <w:rsid w:val="3E6831F2"/>
    <w:rsid w:val="3E6A0CA7"/>
    <w:rsid w:val="3E79568B"/>
    <w:rsid w:val="3E7F2E17"/>
    <w:rsid w:val="3E810519"/>
    <w:rsid w:val="3E886F69"/>
    <w:rsid w:val="3E9055C8"/>
    <w:rsid w:val="3E9277B8"/>
    <w:rsid w:val="3EAB0576"/>
    <w:rsid w:val="3EB47508"/>
    <w:rsid w:val="3EBD6FA8"/>
    <w:rsid w:val="3EBD7C91"/>
    <w:rsid w:val="3EBE7E93"/>
    <w:rsid w:val="3EC80C8D"/>
    <w:rsid w:val="3EC97025"/>
    <w:rsid w:val="3ED4389F"/>
    <w:rsid w:val="3ED45DA4"/>
    <w:rsid w:val="3EDB1EAC"/>
    <w:rsid w:val="3EE07785"/>
    <w:rsid w:val="3EEA0EF0"/>
    <w:rsid w:val="3EF01E51"/>
    <w:rsid w:val="3EF44FD4"/>
    <w:rsid w:val="3F1023C2"/>
    <w:rsid w:val="3F1374DF"/>
    <w:rsid w:val="3F2F3033"/>
    <w:rsid w:val="3F3F2A9F"/>
    <w:rsid w:val="3F515C9A"/>
    <w:rsid w:val="3F551B76"/>
    <w:rsid w:val="3F5A3A7F"/>
    <w:rsid w:val="3F61480E"/>
    <w:rsid w:val="3F684F93"/>
    <w:rsid w:val="3F724C46"/>
    <w:rsid w:val="3F731171"/>
    <w:rsid w:val="3F756364"/>
    <w:rsid w:val="3F791FEB"/>
    <w:rsid w:val="3F7A6532"/>
    <w:rsid w:val="3F8D1C71"/>
    <w:rsid w:val="3F991855"/>
    <w:rsid w:val="3F9A23C1"/>
    <w:rsid w:val="3FA163F2"/>
    <w:rsid w:val="3FB17F8B"/>
    <w:rsid w:val="3FBA2C8E"/>
    <w:rsid w:val="3FC865C2"/>
    <w:rsid w:val="3FCB4D51"/>
    <w:rsid w:val="3FD22A25"/>
    <w:rsid w:val="3FD95FF6"/>
    <w:rsid w:val="3FE030D9"/>
    <w:rsid w:val="3FEF3BDE"/>
    <w:rsid w:val="3FF05903"/>
    <w:rsid w:val="4019602A"/>
    <w:rsid w:val="4028745E"/>
    <w:rsid w:val="405812BE"/>
    <w:rsid w:val="40626188"/>
    <w:rsid w:val="4073188F"/>
    <w:rsid w:val="407A02DD"/>
    <w:rsid w:val="40825B6E"/>
    <w:rsid w:val="40862E1F"/>
    <w:rsid w:val="409024AC"/>
    <w:rsid w:val="409D7956"/>
    <w:rsid w:val="409E5ACC"/>
    <w:rsid w:val="40A75C9F"/>
    <w:rsid w:val="40AB081F"/>
    <w:rsid w:val="40C63F6B"/>
    <w:rsid w:val="40CA164E"/>
    <w:rsid w:val="40D50D6D"/>
    <w:rsid w:val="40DD4E28"/>
    <w:rsid w:val="40DE4BD4"/>
    <w:rsid w:val="40E32281"/>
    <w:rsid w:val="40E92D9D"/>
    <w:rsid w:val="40F2056F"/>
    <w:rsid w:val="40F612A2"/>
    <w:rsid w:val="40FB1417"/>
    <w:rsid w:val="40FC104E"/>
    <w:rsid w:val="41174FC6"/>
    <w:rsid w:val="4125091B"/>
    <w:rsid w:val="41536B25"/>
    <w:rsid w:val="415470BD"/>
    <w:rsid w:val="415D2BD3"/>
    <w:rsid w:val="41741B70"/>
    <w:rsid w:val="41820F87"/>
    <w:rsid w:val="418A4550"/>
    <w:rsid w:val="41B3295A"/>
    <w:rsid w:val="41BD2ECC"/>
    <w:rsid w:val="41C64829"/>
    <w:rsid w:val="41CA318E"/>
    <w:rsid w:val="41DB1250"/>
    <w:rsid w:val="41E37814"/>
    <w:rsid w:val="41E73751"/>
    <w:rsid w:val="420240D8"/>
    <w:rsid w:val="42064962"/>
    <w:rsid w:val="42082BBD"/>
    <w:rsid w:val="420A7AE5"/>
    <w:rsid w:val="420C2FE8"/>
    <w:rsid w:val="421D3616"/>
    <w:rsid w:val="42244A63"/>
    <w:rsid w:val="42274443"/>
    <w:rsid w:val="4233672B"/>
    <w:rsid w:val="424B0423"/>
    <w:rsid w:val="425A0B69"/>
    <w:rsid w:val="425D2D6A"/>
    <w:rsid w:val="425F4FF1"/>
    <w:rsid w:val="4263727A"/>
    <w:rsid w:val="4269170C"/>
    <w:rsid w:val="428D00BE"/>
    <w:rsid w:val="42941C47"/>
    <w:rsid w:val="429834FC"/>
    <w:rsid w:val="4299097D"/>
    <w:rsid w:val="429B3481"/>
    <w:rsid w:val="429C28D7"/>
    <w:rsid w:val="42B26FF9"/>
    <w:rsid w:val="42B75D83"/>
    <w:rsid w:val="42CD2946"/>
    <w:rsid w:val="42D67602"/>
    <w:rsid w:val="42E40A97"/>
    <w:rsid w:val="42E917B7"/>
    <w:rsid w:val="42ED2FE9"/>
    <w:rsid w:val="42F6304F"/>
    <w:rsid w:val="42F94111"/>
    <w:rsid w:val="4309548A"/>
    <w:rsid w:val="430A6AA3"/>
    <w:rsid w:val="4315129C"/>
    <w:rsid w:val="43163732"/>
    <w:rsid w:val="43166D1E"/>
    <w:rsid w:val="431B472C"/>
    <w:rsid w:val="431D08CD"/>
    <w:rsid w:val="43314988"/>
    <w:rsid w:val="433A6151"/>
    <w:rsid w:val="433C1524"/>
    <w:rsid w:val="433C67E1"/>
    <w:rsid w:val="4342672E"/>
    <w:rsid w:val="43482915"/>
    <w:rsid w:val="43635ED1"/>
    <w:rsid w:val="43672D9B"/>
    <w:rsid w:val="43680F12"/>
    <w:rsid w:val="43682B9F"/>
    <w:rsid w:val="43711B83"/>
    <w:rsid w:val="437C790D"/>
    <w:rsid w:val="43862855"/>
    <w:rsid w:val="439F1E33"/>
    <w:rsid w:val="43BA0533"/>
    <w:rsid w:val="43BC7E36"/>
    <w:rsid w:val="43C4246B"/>
    <w:rsid w:val="43C916AD"/>
    <w:rsid w:val="43CE64CC"/>
    <w:rsid w:val="43D55E57"/>
    <w:rsid w:val="43F35BFB"/>
    <w:rsid w:val="43F67691"/>
    <w:rsid w:val="44011FBE"/>
    <w:rsid w:val="44013BD3"/>
    <w:rsid w:val="440832C9"/>
    <w:rsid w:val="44184BBB"/>
    <w:rsid w:val="441D1ACF"/>
    <w:rsid w:val="441E742D"/>
    <w:rsid w:val="44284DC2"/>
    <w:rsid w:val="44286E9F"/>
    <w:rsid w:val="4430281C"/>
    <w:rsid w:val="443D6CAC"/>
    <w:rsid w:val="44442E1F"/>
    <w:rsid w:val="444B446B"/>
    <w:rsid w:val="44576F5B"/>
    <w:rsid w:val="44641089"/>
    <w:rsid w:val="4469669F"/>
    <w:rsid w:val="447C536B"/>
    <w:rsid w:val="447D2DED"/>
    <w:rsid w:val="44A44C7C"/>
    <w:rsid w:val="44AC79F8"/>
    <w:rsid w:val="44B70D48"/>
    <w:rsid w:val="44B921FC"/>
    <w:rsid w:val="44BF2763"/>
    <w:rsid w:val="44CF7545"/>
    <w:rsid w:val="44D07056"/>
    <w:rsid w:val="44DA017E"/>
    <w:rsid w:val="44FD5749"/>
    <w:rsid w:val="451231DA"/>
    <w:rsid w:val="45236DFE"/>
    <w:rsid w:val="452810B2"/>
    <w:rsid w:val="4530159D"/>
    <w:rsid w:val="4535259B"/>
    <w:rsid w:val="4537221B"/>
    <w:rsid w:val="45384E44"/>
    <w:rsid w:val="453918D3"/>
    <w:rsid w:val="453E074E"/>
    <w:rsid w:val="454C6311"/>
    <w:rsid w:val="454D3BBD"/>
    <w:rsid w:val="45570552"/>
    <w:rsid w:val="457C2402"/>
    <w:rsid w:val="45917432"/>
    <w:rsid w:val="45A32BCF"/>
    <w:rsid w:val="45A5284F"/>
    <w:rsid w:val="45B2637C"/>
    <w:rsid w:val="45B30F4F"/>
    <w:rsid w:val="45B51A86"/>
    <w:rsid w:val="45BC2474"/>
    <w:rsid w:val="45C879D7"/>
    <w:rsid w:val="45CA20F5"/>
    <w:rsid w:val="45E8203F"/>
    <w:rsid w:val="45F33C53"/>
    <w:rsid w:val="45FA1497"/>
    <w:rsid w:val="46016800"/>
    <w:rsid w:val="46053B6D"/>
    <w:rsid w:val="460A5C60"/>
    <w:rsid w:val="460A62C8"/>
    <w:rsid w:val="46130905"/>
    <w:rsid w:val="4615155D"/>
    <w:rsid w:val="461F4F92"/>
    <w:rsid w:val="462B052A"/>
    <w:rsid w:val="46316363"/>
    <w:rsid w:val="463729AE"/>
    <w:rsid w:val="46375641"/>
    <w:rsid w:val="4638265A"/>
    <w:rsid w:val="463A24EF"/>
    <w:rsid w:val="463B467A"/>
    <w:rsid w:val="463D6035"/>
    <w:rsid w:val="4641001C"/>
    <w:rsid w:val="464C522E"/>
    <w:rsid w:val="46623F23"/>
    <w:rsid w:val="466C4816"/>
    <w:rsid w:val="466F6C5E"/>
    <w:rsid w:val="4679285C"/>
    <w:rsid w:val="467C1BD9"/>
    <w:rsid w:val="46825A7C"/>
    <w:rsid w:val="4683223D"/>
    <w:rsid w:val="46901258"/>
    <w:rsid w:val="46954C03"/>
    <w:rsid w:val="46C2696D"/>
    <w:rsid w:val="46C61A2D"/>
    <w:rsid w:val="46C80301"/>
    <w:rsid w:val="46CD1095"/>
    <w:rsid w:val="46D354BF"/>
    <w:rsid w:val="46DB6CE2"/>
    <w:rsid w:val="46EE2057"/>
    <w:rsid w:val="46F06FEE"/>
    <w:rsid w:val="46F843FA"/>
    <w:rsid w:val="46F872F6"/>
    <w:rsid w:val="4707583F"/>
    <w:rsid w:val="47081AFF"/>
    <w:rsid w:val="470D6FA5"/>
    <w:rsid w:val="472A1FDC"/>
    <w:rsid w:val="473B30F3"/>
    <w:rsid w:val="473B3BEA"/>
    <w:rsid w:val="47562A90"/>
    <w:rsid w:val="47595C32"/>
    <w:rsid w:val="475E7622"/>
    <w:rsid w:val="476E313F"/>
    <w:rsid w:val="476E56BE"/>
    <w:rsid w:val="476F0BC1"/>
    <w:rsid w:val="477D24F0"/>
    <w:rsid w:val="47862A37"/>
    <w:rsid w:val="479C4F08"/>
    <w:rsid w:val="47A45B98"/>
    <w:rsid w:val="47B00BDD"/>
    <w:rsid w:val="47B97FF9"/>
    <w:rsid w:val="47BB36B5"/>
    <w:rsid w:val="47BE64A1"/>
    <w:rsid w:val="47BE6742"/>
    <w:rsid w:val="47C00965"/>
    <w:rsid w:val="47CE0C09"/>
    <w:rsid w:val="47D2108D"/>
    <w:rsid w:val="47DE6C76"/>
    <w:rsid w:val="47F6211F"/>
    <w:rsid w:val="47F75622"/>
    <w:rsid w:val="47FB07A5"/>
    <w:rsid w:val="47FB2F37"/>
    <w:rsid w:val="47FC112A"/>
    <w:rsid w:val="47FE317F"/>
    <w:rsid w:val="48031B77"/>
    <w:rsid w:val="4809333E"/>
    <w:rsid w:val="480A0DBF"/>
    <w:rsid w:val="4842699B"/>
    <w:rsid w:val="484A7484"/>
    <w:rsid w:val="48561790"/>
    <w:rsid w:val="4877310B"/>
    <w:rsid w:val="487D7A79"/>
    <w:rsid w:val="488F1019"/>
    <w:rsid w:val="48A147B6"/>
    <w:rsid w:val="48B66A6F"/>
    <w:rsid w:val="48B9165E"/>
    <w:rsid w:val="48BC2DE1"/>
    <w:rsid w:val="48C35FF0"/>
    <w:rsid w:val="48C73083"/>
    <w:rsid w:val="48C82477"/>
    <w:rsid w:val="48CF4000"/>
    <w:rsid w:val="48D82712"/>
    <w:rsid w:val="48DF52F0"/>
    <w:rsid w:val="48E07B1E"/>
    <w:rsid w:val="48E41CE0"/>
    <w:rsid w:val="48F00B6F"/>
    <w:rsid w:val="48F47CB4"/>
    <w:rsid w:val="48F63EC0"/>
    <w:rsid w:val="49030FD7"/>
    <w:rsid w:val="49083987"/>
    <w:rsid w:val="491323BE"/>
    <w:rsid w:val="491856F9"/>
    <w:rsid w:val="491C711D"/>
    <w:rsid w:val="49206389"/>
    <w:rsid w:val="492178D9"/>
    <w:rsid w:val="493A4C1F"/>
    <w:rsid w:val="49415E3C"/>
    <w:rsid w:val="49464B68"/>
    <w:rsid w:val="494F2E95"/>
    <w:rsid w:val="495C4EE9"/>
    <w:rsid w:val="49624874"/>
    <w:rsid w:val="49686509"/>
    <w:rsid w:val="49695393"/>
    <w:rsid w:val="4990663D"/>
    <w:rsid w:val="499A1736"/>
    <w:rsid w:val="49A031A7"/>
    <w:rsid w:val="49A219D6"/>
    <w:rsid w:val="49AB26EA"/>
    <w:rsid w:val="49B358F8"/>
    <w:rsid w:val="49C43614"/>
    <w:rsid w:val="49C97A9C"/>
    <w:rsid w:val="49D1292A"/>
    <w:rsid w:val="49E5659F"/>
    <w:rsid w:val="49EE5181"/>
    <w:rsid w:val="49F66C27"/>
    <w:rsid w:val="49F71D5A"/>
    <w:rsid w:val="4A010FF2"/>
    <w:rsid w:val="4A035B72"/>
    <w:rsid w:val="4A05407D"/>
    <w:rsid w:val="4A0D4D0D"/>
    <w:rsid w:val="4A113713"/>
    <w:rsid w:val="4A2C3F3D"/>
    <w:rsid w:val="4A530DE2"/>
    <w:rsid w:val="4A542F03"/>
    <w:rsid w:val="4A590F28"/>
    <w:rsid w:val="4A5B65BB"/>
    <w:rsid w:val="4A6A1823"/>
    <w:rsid w:val="4A7C5382"/>
    <w:rsid w:val="4A854F91"/>
    <w:rsid w:val="4A8A7B5A"/>
    <w:rsid w:val="4A9F2BEE"/>
    <w:rsid w:val="4AAC2663"/>
    <w:rsid w:val="4AB7359F"/>
    <w:rsid w:val="4ABB08D3"/>
    <w:rsid w:val="4AC04E7B"/>
    <w:rsid w:val="4AC35735"/>
    <w:rsid w:val="4AC63E98"/>
    <w:rsid w:val="4ACE7349"/>
    <w:rsid w:val="4AEA6060"/>
    <w:rsid w:val="4AEA7D6C"/>
    <w:rsid w:val="4AF10803"/>
    <w:rsid w:val="4AFF7071"/>
    <w:rsid w:val="4B0C287C"/>
    <w:rsid w:val="4B1751BF"/>
    <w:rsid w:val="4B1C641A"/>
    <w:rsid w:val="4B2E622C"/>
    <w:rsid w:val="4B321D06"/>
    <w:rsid w:val="4B3B0FA9"/>
    <w:rsid w:val="4B415161"/>
    <w:rsid w:val="4B4C1538"/>
    <w:rsid w:val="4B4C60EB"/>
    <w:rsid w:val="4B5512B1"/>
    <w:rsid w:val="4B5B19AA"/>
    <w:rsid w:val="4B691746"/>
    <w:rsid w:val="4B825A06"/>
    <w:rsid w:val="4B851076"/>
    <w:rsid w:val="4B8D0368"/>
    <w:rsid w:val="4B9348D6"/>
    <w:rsid w:val="4BAC4DC9"/>
    <w:rsid w:val="4BB42635"/>
    <w:rsid w:val="4BBF68D2"/>
    <w:rsid w:val="4BD40B48"/>
    <w:rsid w:val="4BDD439B"/>
    <w:rsid w:val="4BE60F1D"/>
    <w:rsid w:val="4BE72014"/>
    <w:rsid w:val="4BE8259F"/>
    <w:rsid w:val="4BF1348D"/>
    <w:rsid w:val="4BF161A7"/>
    <w:rsid w:val="4BF8001B"/>
    <w:rsid w:val="4C0473C6"/>
    <w:rsid w:val="4C187E5D"/>
    <w:rsid w:val="4C2B35F7"/>
    <w:rsid w:val="4C2F3C8A"/>
    <w:rsid w:val="4C505FA5"/>
    <w:rsid w:val="4C6B006F"/>
    <w:rsid w:val="4C7940C6"/>
    <w:rsid w:val="4C7C5D8B"/>
    <w:rsid w:val="4C7D440B"/>
    <w:rsid w:val="4C8307D7"/>
    <w:rsid w:val="4C855396"/>
    <w:rsid w:val="4C8C2CDD"/>
    <w:rsid w:val="4C8E1C0D"/>
    <w:rsid w:val="4C93212D"/>
    <w:rsid w:val="4CB229E2"/>
    <w:rsid w:val="4CBB2759"/>
    <w:rsid w:val="4CCC79AC"/>
    <w:rsid w:val="4CCF4C65"/>
    <w:rsid w:val="4CF0519F"/>
    <w:rsid w:val="4D0D2BB5"/>
    <w:rsid w:val="4D283CA5"/>
    <w:rsid w:val="4D3D03C8"/>
    <w:rsid w:val="4D447CA9"/>
    <w:rsid w:val="4D506997"/>
    <w:rsid w:val="4D6D483B"/>
    <w:rsid w:val="4D973F59"/>
    <w:rsid w:val="4DAE6D61"/>
    <w:rsid w:val="4DB20386"/>
    <w:rsid w:val="4DB34E2F"/>
    <w:rsid w:val="4DB6503A"/>
    <w:rsid w:val="4DBC2E94"/>
    <w:rsid w:val="4DC41814"/>
    <w:rsid w:val="4DCD4433"/>
    <w:rsid w:val="4DD43DBE"/>
    <w:rsid w:val="4DD6777A"/>
    <w:rsid w:val="4DEF23EA"/>
    <w:rsid w:val="4DF57B76"/>
    <w:rsid w:val="4E0F31F8"/>
    <w:rsid w:val="4E160FB6"/>
    <w:rsid w:val="4E192EE4"/>
    <w:rsid w:val="4E257040"/>
    <w:rsid w:val="4E34315E"/>
    <w:rsid w:val="4E5466E1"/>
    <w:rsid w:val="4E5A5AE5"/>
    <w:rsid w:val="4E5D2A1D"/>
    <w:rsid w:val="4E6A0142"/>
    <w:rsid w:val="4E6B55B6"/>
    <w:rsid w:val="4E6B70AE"/>
    <w:rsid w:val="4E6F6FA8"/>
    <w:rsid w:val="4E7353CC"/>
    <w:rsid w:val="4E7735C7"/>
    <w:rsid w:val="4E896A2B"/>
    <w:rsid w:val="4E92242C"/>
    <w:rsid w:val="4EA64116"/>
    <w:rsid w:val="4EA8461D"/>
    <w:rsid w:val="4EC24D34"/>
    <w:rsid w:val="4ECA0E53"/>
    <w:rsid w:val="4EDA586A"/>
    <w:rsid w:val="4EE22C77"/>
    <w:rsid w:val="4EEB47DF"/>
    <w:rsid w:val="4EEC6EA1"/>
    <w:rsid w:val="4EEE3B82"/>
    <w:rsid w:val="4EFE20DA"/>
    <w:rsid w:val="4EFE3334"/>
    <w:rsid w:val="4EFF636F"/>
    <w:rsid w:val="4F036A2F"/>
    <w:rsid w:val="4F052750"/>
    <w:rsid w:val="4F084D79"/>
    <w:rsid w:val="4F0F20C3"/>
    <w:rsid w:val="4F1137C6"/>
    <w:rsid w:val="4F145401"/>
    <w:rsid w:val="4F1822E5"/>
    <w:rsid w:val="4F383685"/>
    <w:rsid w:val="4F3F6893"/>
    <w:rsid w:val="4F427227"/>
    <w:rsid w:val="4F454F19"/>
    <w:rsid w:val="4F473CA0"/>
    <w:rsid w:val="4F5C03C2"/>
    <w:rsid w:val="4F7937C5"/>
    <w:rsid w:val="4F7E5557"/>
    <w:rsid w:val="4F812FA9"/>
    <w:rsid w:val="4F814362"/>
    <w:rsid w:val="4F8D49A4"/>
    <w:rsid w:val="4FA80C84"/>
    <w:rsid w:val="4FAC4ADC"/>
    <w:rsid w:val="4FCA09F6"/>
    <w:rsid w:val="4FF64042"/>
    <w:rsid w:val="4FFD07ED"/>
    <w:rsid w:val="500159C8"/>
    <w:rsid w:val="500243D3"/>
    <w:rsid w:val="50064076"/>
    <w:rsid w:val="50070A15"/>
    <w:rsid w:val="501650F8"/>
    <w:rsid w:val="50213559"/>
    <w:rsid w:val="504B134F"/>
    <w:rsid w:val="505B4793"/>
    <w:rsid w:val="505D0643"/>
    <w:rsid w:val="506259B3"/>
    <w:rsid w:val="508023F2"/>
    <w:rsid w:val="50876C24"/>
    <w:rsid w:val="5092571F"/>
    <w:rsid w:val="509D3C30"/>
    <w:rsid w:val="50A021C6"/>
    <w:rsid w:val="50B029CE"/>
    <w:rsid w:val="50B67110"/>
    <w:rsid w:val="50BB2978"/>
    <w:rsid w:val="50C75416"/>
    <w:rsid w:val="50C82E97"/>
    <w:rsid w:val="50E44B3A"/>
    <w:rsid w:val="50E62B31"/>
    <w:rsid w:val="50EA249D"/>
    <w:rsid w:val="50F74257"/>
    <w:rsid w:val="5113264E"/>
    <w:rsid w:val="51155AAA"/>
    <w:rsid w:val="512926DD"/>
    <w:rsid w:val="513C3B1B"/>
    <w:rsid w:val="51524FFA"/>
    <w:rsid w:val="515526FB"/>
    <w:rsid w:val="515C7B07"/>
    <w:rsid w:val="515E0E0C"/>
    <w:rsid w:val="5175004F"/>
    <w:rsid w:val="517D435A"/>
    <w:rsid w:val="51877A52"/>
    <w:rsid w:val="518A09D7"/>
    <w:rsid w:val="519412E6"/>
    <w:rsid w:val="519951C8"/>
    <w:rsid w:val="51A92185"/>
    <w:rsid w:val="51BC1053"/>
    <w:rsid w:val="51CF53DD"/>
    <w:rsid w:val="51E2423F"/>
    <w:rsid w:val="51E4236A"/>
    <w:rsid w:val="51FC1190"/>
    <w:rsid w:val="51FD424B"/>
    <w:rsid w:val="51FF0996"/>
    <w:rsid w:val="520C1498"/>
    <w:rsid w:val="520F746F"/>
    <w:rsid w:val="5210609A"/>
    <w:rsid w:val="52122693"/>
    <w:rsid w:val="52133DB3"/>
    <w:rsid w:val="52137636"/>
    <w:rsid w:val="52152831"/>
    <w:rsid w:val="52170E48"/>
    <w:rsid w:val="52252DD4"/>
    <w:rsid w:val="52257A4C"/>
    <w:rsid w:val="522A1D0E"/>
    <w:rsid w:val="522B7A8D"/>
    <w:rsid w:val="52310B17"/>
    <w:rsid w:val="52394FB3"/>
    <w:rsid w:val="523E3EE4"/>
    <w:rsid w:val="52524B9C"/>
    <w:rsid w:val="525B609D"/>
    <w:rsid w:val="525E7A5F"/>
    <w:rsid w:val="52602B6B"/>
    <w:rsid w:val="52612974"/>
    <w:rsid w:val="52616036"/>
    <w:rsid w:val="526409BE"/>
    <w:rsid w:val="527F6965"/>
    <w:rsid w:val="528021E8"/>
    <w:rsid w:val="528B1C95"/>
    <w:rsid w:val="529B1B97"/>
    <w:rsid w:val="529F1945"/>
    <w:rsid w:val="52AA302D"/>
    <w:rsid w:val="52B365CB"/>
    <w:rsid w:val="52BD6D13"/>
    <w:rsid w:val="52C54EDB"/>
    <w:rsid w:val="52D2676F"/>
    <w:rsid w:val="52E4668A"/>
    <w:rsid w:val="52E86D5F"/>
    <w:rsid w:val="530733C6"/>
    <w:rsid w:val="53094679"/>
    <w:rsid w:val="530A543A"/>
    <w:rsid w:val="530C1BE9"/>
    <w:rsid w:val="53185E60"/>
    <w:rsid w:val="532042F0"/>
    <w:rsid w:val="532D69F7"/>
    <w:rsid w:val="532E5683"/>
    <w:rsid w:val="532F3457"/>
    <w:rsid w:val="53357614"/>
    <w:rsid w:val="53377341"/>
    <w:rsid w:val="533F2817"/>
    <w:rsid w:val="534C0638"/>
    <w:rsid w:val="53540A14"/>
    <w:rsid w:val="535B2E50"/>
    <w:rsid w:val="535D2285"/>
    <w:rsid w:val="535D652D"/>
    <w:rsid w:val="53871F3C"/>
    <w:rsid w:val="538C705C"/>
    <w:rsid w:val="538E3BE9"/>
    <w:rsid w:val="5397171F"/>
    <w:rsid w:val="53982CB5"/>
    <w:rsid w:val="53982F51"/>
    <w:rsid w:val="539A2D09"/>
    <w:rsid w:val="53A06120"/>
    <w:rsid w:val="53A41791"/>
    <w:rsid w:val="53AE15D6"/>
    <w:rsid w:val="53BB00D2"/>
    <w:rsid w:val="53BB08EB"/>
    <w:rsid w:val="53C15593"/>
    <w:rsid w:val="53C427C3"/>
    <w:rsid w:val="53CB416A"/>
    <w:rsid w:val="53D2383D"/>
    <w:rsid w:val="53DC24A5"/>
    <w:rsid w:val="53EC273F"/>
    <w:rsid w:val="54080556"/>
    <w:rsid w:val="54124EDC"/>
    <w:rsid w:val="54213B13"/>
    <w:rsid w:val="542E4F3C"/>
    <w:rsid w:val="5430412D"/>
    <w:rsid w:val="54323F3A"/>
    <w:rsid w:val="543A2F9B"/>
    <w:rsid w:val="543B4E46"/>
    <w:rsid w:val="543D59C1"/>
    <w:rsid w:val="544D38E7"/>
    <w:rsid w:val="54505837"/>
    <w:rsid w:val="545830F6"/>
    <w:rsid w:val="54621774"/>
    <w:rsid w:val="546F6FC7"/>
    <w:rsid w:val="54722618"/>
    <w:rsid w:val="5486114B"/>
    <w:rsid w:val="5486329D"/>
    <w:rsid w:val="54A12F3B"/>
    <w:rsid w:val="54A75353"/>
    <w:rsid w:val="54C904E0"/>
    <w:rsid w:val="54CC782F"/>
    <w:rsid w:val="54CE2BAC"/>
    <w:rsid w:val="54D33936"/>
    <w:rsid w:val="54E2127F"/>
    <w:rsid w:val="54E70933"/>
    <w:rsid w:val="54F309DA"/>
    <w:rsid w:val="54F31C6C"/>
    <w:rsid w:val="54F6351D"/>
    <w:rsid w:val="54F9201C"/>
    <w:rsid w:val="54FB4AFB"/>
    <w:rsid w:val="55271DE0"/>
    <w:rsid w:val="55407D8E"/>
    <w:rsid w:val="555B0188"/>
    <w:rsid w:val="556A0A50"/>
    <w:rsid w:val="55785804"/>
    <w:rsid w:val="55791063"/>
    <w:rsid w:val="557B4484"/>
    <w:rsid w:val="558F179A"/>
    <w:rsid w:val="55941463"/>
    <w:rsid w:val="55952E51"/>
    <w:rsid w:val="5597576B"/>
    <w:rsid w:val="55984C2B"/>
    <w:rsid w:val="55A45CFD"/>
    <w:rsid w:val="55A70333"/>
    <w:rsid w:val="55AC0AE1"/>
    <w:rsid w:val="55AD39BB"/>
    <w:rsid w:val="55B809C9"/>
    <w:rsid w:val="55E31099"/>
    <w:rsid w:val="55EB04ED"/>
    <w:rsid w:val="55F85209"/>
    <w:rsid w:val="55FA1E2A"/>
    <w:rsid w:val="55FB6C1C"/>
    <w:rsid w:val="56024028"/>
    <w:rsid w:val="56045FCA"/>
    <w:rsid w:val="5621105A"/>
    <w:rsid w:val="562529E0"/>
    <w:rsid w:val="564C383A"/>
    <w:rsid w:val="5663087F"/>
    <w:rsid w:val="5683367D"/>
    <w:rsid w:val="56866800"/>
    <w:rsid w:val="569815FF"/>
    <w:rsid w:val="56A76DE5"/>
    <w:rsid w:val="56A80039"/>
    <w:rsid w:val="56B62BD2"/>
    <w:rsid w:val="56B86B24"/>
    <w:rsid w:val="56C7506B"/>
    <w:rsid w:val="56C767D2"/>
    <w:rsid w:val="56E33DB4"/>
    <w:rsid w:val="56EF3D98"/>
    <w:rsid w:val="56F3186E"/>
    <w:rsid w:val="56F93036"/>
    <w:rsid w:val="570064CA"/>
    <w:rsid w:val="570C1F0A"/>
    <w:rsid w:val="57113D76"/>
    <w:rsid w:val="571339AC"/>
    <w:rsid w:val="57467DC2"/>
    <w:rsid w:val="5750754E"/>
    <w:rsid w:val="57525925"/>
    <w:rsid w:val="575710D7"/>
    <w:rsid w:val="575B27BF"/>
    <w:rsid w:val="576A2A02"/>
    <w:rsid w:val="57761184"/>
    <w:rsid w:val="577C7543"/>
    <w:rsid w:val="57817D1D"/>
    <w:rsid w:val="57945CD1"/>
    <w:rsid w:val="579A42CD"/>
    <w:rsid w:val="57C16588"/>
    <w:rsid w:val="57C32112"/>
    <w:rsid w:val="57CD239A"/>
    <w:rsid w:val="57D47ECA"/>
    <w:rsid w:val="57D72CAA"/>
    <w:rsid w:val="57EC73CC"/>
    <w:rsid w:val="57F75D57"/>
    <w:rsid w:val="57F91F65"/>
    <w:rsid w:val="57FC2EEA"/>
    <w:rsid w:val="58066AE3"/>
    <w:rsid w:val="581140E7"/>
    <w:rsid w:val="58264F86"/>
    <w:rsid w:val="582A2734"/>
    <w:rsid w:val="58366D88"/>
    <w:rsid w:val="583A4F4D"/>
    <w:rsid w:val="58507062"/>
    <w:rsid w:val="585724C5"/>
    <w:rsid w:val="587518AF"/>
    <w:rsid w:val="58773747"/>
    <w:rsid w:val="58925D23"/>
    <w:rsid w:val="58B43D3F"/>
    <w:rsid w:val="58C064AB"/>
    <w:rsid w:val="58C75E36"/>
    <w:rsid w:val="58D0005E"/>
    <w:rsid w:val="58D802CE"/>
    <w:rsid w:val="58EB705E"/>
    <w:rsid w:val="58EC600B"/>
    <w:rsid w:val="58F05975"/>
    <w:rsid w:val="58F45AE9"/>
    <w:rsid w:val="58F54693"/>
    <w:rsid w:val="59117857"/>
    <w:rsid w:val="59273171"/>
    <w:rsid w:val="592A5E97"/>
    <w:rsid w:val="593C3876"/>
    <w:rsid w:val="59417AFD"/>
    <w:rsid w:val="594C5D63"/>
    <w:rsid w:val="5952755C"/>
    <w:rsid w:val="59554A4A"/>
    <w:rsid w:val="595A2E61"/>
    <w:rsid w:val="595B4248"/>
    <w:rsid w:val="595F4EF3"/>
    <w:rsid w:val="5969563F"/>
    <w:rsid w:val="596E391A"/>
    <w:rsid w:val="59814722"/>
    <w:rsid w:val="59973856"/>
    <w:rsid w:val="599D2616"/>
    <w:rsid w:val="59A044B9"/>
    <w:rsid w:val="59A21DE3"/>
    <w:rsid w:val="59B52151"/>
    <w:rsid w:val="59C51FC9"/>
    <w:rsid w:val="59DE75BA"/>
    <w:rsid w:val="59E5080C"/>
    <w:rsid w:val="59F94D9E"/>
    <w:rsid w:val="5A1B240E"/>
    <w:rsid w:val="5A1D2B64"/>
    <w:rsid w:val="5A285BD3"/>
    <w:rsid w:val="5A2D7EDB"/>
    <w:rsid w:val="5A315A59"/>
    <w:rsid w:val="5A440A6B"/>
    <w:rsid w:val="5A4540EE"/>
    <w:rsid w:val="5A517B3B"/>
    <w:rsid w:val="5A582494"/>
    <w:rsid w:val="5A6B3F26"/>
    <w:rsid w:val="5A7F5187"/>
    <w:rsid w:val="5A870015"/>
    <w:rsid w:val="5A89218B"/>
    <w:rsid w:val="5A902E07"/>
    <w:rsid w:val="5A946E95"/>
    <w:rsid w:val="5AAA777F"/>
    <w:rsid w:val="5AAC022C"/>
    <w:rsid w:val="5AAD32C1"/>
    <w:rsid w:val="5AAD39D0"/>
    <w:rsid w:val="5AB03927"/>
    <w:rsid w:val="5AB151B0"/>
    <w:rsid w:val="5AB26C2F"/>
    <w:rsid w:val="5AB3215E"/>
    <w:rsid w:val="5AB51DDE"/>
    <w:rsid w:val="5ABF016F"/>
    <w:rsid w:val="5AD004B8"/>
    <w:rsid w:val="5AE230E8"/>
    <w:rsid w:val="5AEE0889"/>
    <w:rsid w:val="5AF11C42"/>
    <w:rsid w:val="5B0A1509"/>
    <w:rsid w:val="5B141E84"/>
    <w:rsid w:val="5B195385"/>
    <w:rsid w:val="5B23585B"/>
    <w:rsid w:val="5B2D0E83"/>
    <w:rsid w:val="5B2E1AA7"/>
    <w:rsid w:val="5B3911C0"/>
    <w:rsid w:val="5B3E6F3B"/>
    <w:rsid w:val="5B3F3F40"/>
    <w:rsid w:val="5B461090"/>
    <w:rsid w:val="5B4C6606"/>
    <w:rsid w:val="5B661CA9"/>
    <w:rsid w:val="5B6E4C19"/>
    <w:rsid w:val="5B8219A2"/>
    <w:rsid w:val="5B834092"/>
    <w:rsid w:val="5B945DFF"/>
    <w:rsid w:val="5B955B74"/>
    <w:rsid w:val="5B9B47A8"/>
    <w:rsid w:val="5B9E55DE"/>
    <w:rsid w:val="5BA104BC"/>
    <w:rsid w:val="5BAA10C2"/>
    <w:rsid w:val="5BCF05C7"/>
    <w:rsid w:val="5BD6544C"/>
    <w:rsid w:val="5BDA223B"/>
    <w:rsid w:val="5BDB3ECE"/>
    <w:rsid w:val="5BE46C9C"/>
    <w:rsid w:val="5BF22FC6"/>
    <w:rsid w:val="5BFA4096"/>
    <w:rsid w:val="5C00347E"/>
    <w:rsid w:val="5C2F30A8"/>
    <w:rsid w:val="5C337973"/>
    <w:rsid w:val="5C3C76B3"/>
    <w:rsid w:val="5C3F7662"/>
    <w:rsid w:val="5C4364E0"/>
    <w:rsid w:val="5C4C26D6"/>
    <w:rsid w:val="5C4E40FD"/>
    <w:rsid w:val="5C5E466D"/>
    <w:rsid w:val="5C665027"/>
    <w:rsid w:val="5C6A7000"/>
    <w:rsid w:val="5C6D272C"/>
    <w:rsid w:val="5C7368BB"/>
    <w:rsid w:val="5C7B3A6A"/>
    <w:rsid w:val="5C7F62CB"/>
    <w:rsid w:val="5C904EE3"/>
    <w:rsid w:val="5C905461"/>
    <w:rsid w:val="5C964D39"/>
    <w:rsid w:val="5C9B0A20"/>
    <w:rsid w:val="5CB47325"/>
    <w:rsid w:val="5CB70498"/>
    <w:rsid w:val="5CC404E8"/>
    <w:rsid w:val="5CC42095"/>
    <w:rsid w:val="5CE306C6"/>
    <w:rsid w:val="5CE546B0"/>
    <w:rsid w:val="5CFA2018"/>
    <w:rsid w:val="5D03123E"/>
    <w:rsid w:val="5D066D29"/>
    <w:rsid w:val="5D277664"/>
    <w:rsid w:val="5D3652D2"/>
    <w:rsid w:val="5D3839AA"/>
    <w:rsid w:val="5D5E6BE7"/>
    <w:rsid w:val="5D620742"/>
    <w:rsid w:val="5D751961"/>
    <w:rsid w:val="5D8F3358"/>
    <w:rsid w:val="5D9A0CA6"/>
    <w:rsid w:val="5DAE0FF2"/>
    <w:rsid w:val="5DAF6641"/>
    <w:rsid w:val="5DC603E5"/>
    <w:rsid w:val="5DD451FE"/>
    <w:rsid w:val="5DD56503"/>
    <w:rsid w:val="5DDE6106"/>
    <w:rsid w:val="5DDF3F77"/>
    <w:rsid w:val="5DDF4651"/>
    <w:rsid w:val="5DE05449"/>
    <w:rsid w:val="5DE1211B"/>
    <w:rsid w:val="5DE96E5E"/>
    <w:rsid w:val="5DEA664B"/>
    <w:rsid w:val="5DEC23C3"/>
    <w:rsid w:val="5DEF4B0D"/>
    <w:rsid w:val="5DFE633F"/>
    <w:rsid w:val="5E012871"/>
    <w:rsid w:val="5E077E24"/>
    <w:rsid w:val="5E0F1B60"/>
    <w:rsid w:val="5E19246F"/>
    <w:rsid w:val="5E2A6139"/>
    <w:rsid w:val="5E35651C"/>
    <w:rsid w:val="5E4F4700"/>
    <w:rsid w:val="5E6C7060"/>
    <w:rsid w:val="5E7E7C15"/>
    <w:rsid w:val="5E893A28"/>
    <w:rsid w:val="5E8C034F"/>
    <w:rsid w:val="5E8E38C7"/>
    <w:rsid w:val="5E912F6A"/>
    <w:rsid w:val="5E977124"/>
    <w:rsid w:val="5EB0434F"/>
    <w:rsid w:val="5EB7681C"/>
    <w:rsid w:val="5EBA41F7"/>
    <w:rsid w:val="5EBB7FE7"/>
    <w:rsid w:val="5EBF067F"/>
    <w:rsid w:val="5ECC288B"/>
    <w:rsid w:val="5ECE51E0"/>
    <w:rsid w:val="5ED11DCA"/>
    <w:rsid w:val="5ED11E11"/>
    <w:rsid w:val="5F0223ED"/>
    <w:rsid w:val="5F096992"/>
    <w:rsid w:val="5F0A0DD8"/>
    <w:rsid w:val="5F0A3DE3"/>
    <w:rsid w:val="5F0D0693"/>
    <w:rsid w:val="5F150A10"/>
    <w:rsid w:val="5F220495"/>
    <w:rsid w:val="5F2A71F1"/>
    <w:rsid w:val="5F2C67EF"/>
    <w:rsid w:val="5F531144"/>
    <w:rsid w:val="5F5C12F3"/>
    <w:rsid w:val="5F637743"/>
    <w:rsid w:val="5F6661A5"/>
    <w:rsid w:val="5F7A0DB2"/>
    <w:rsid w:val="5F864151"/>
    <w:rsid w:val="5F8C493B"/>
    <w:rsid w:val="5F8D7EF3"/>
    <w:rsid w:val="5F9142A5"/>
    <w:rsid w:val="5F93775D"/>
    <w:rsid w:val="5FA91901"/>
    <w:rsid w:val="5FB613CC"/>
    <w:rsid w:val="5FCC0CC9"/>
    <w:rsid w:val="5FD76DF7"/>
    <w:rsid w:val="5FE1785D"/>
    <w:rsid w:val="5FE3622F"/>
    <w:rsid w:val="5FE409AC"/>
    <w:rsid w:val="5FF06563"/>
    <w:rsid w:val="5FF24CD3"/>
    <w:rsid w:val="5FFA36A6"/>
    <w:rsid w:val="600D11B5"/>
    <w:rsid w:val="60166DF9"/>
    <w:rsid w:val="60352807"/>
    <w:rsid w:val="60367925"/>
    <w:rsid w:val="603A5341"/>
    <w:rsid w:val="603F36C8"/>
    <w:rsid w:val="603F3F2B"/>
    <w:rsid w:val="604307FB"/>
    <w:rsid w:val="604638DA"/>
    <w:rsid w:val="604F208F"/>
    <w:rsid w:val="6056359F"/>
    <w:rsid w:val="60605BAC"/>
    <w:rsid w:val="60665537"/>
    <w:rsid w:val="60672FB9"/>
    <w:rsid w:val="606873CC"/>
    <w:rsid w:val="60717AB4"/>
    <w:rsid w:val="60774BEE"/>
    <w:rsid w:val="60787F3E"/>
    <w:rsid w:val="6080285E"/>
    <w:rsid w:val="608A69F1"/>
    <w:rsid w:val="60A5089F"/>
    <w:rsid w:val="60AD11A4"/>
    <w:rsid w:val="60AE372D"/>
    <w:rsid w:val="60DA3764"/>
    <w:rsid w:val="60DD09F9"/>
    <w:rsid w:val="60E008A9"/>
    <w:rsid w:val="60F1769A"/>
    <w:rsid w:val="60F33B12"/>
    <w:rsid w:val="610C2594"/>
    <w:rsid w:val="610D6DD9"/>
    <w:rsid w:val="611520E4"/>
    <w:rsid w:val="611C3D82"/>
    <w:rsid w:val="611F485D"/>
    <w:rsid w:val="611F6EE4"/>
    <w:rsid w:val="61472627"/>
    <w:rsid w:val="61502F36"/>
    <w:rsid w:val="61520727"/>
    <w:rsid w:val="616C4DE5"/>
    <w:rsid w:val="619268F7"/>
    <w:rsid w:val="61930E81"/>
    <w:rsid w:val="619B5505"/>
    <w:rsid w:val="61B73134"/>
    <w:rsid w:val="61BA4962"/>
    <w:rsid w:val="61BD5AE9"/>
    <w:rsid w:val="61C93EFB"/>
    <w:rsid w:val="61CD059E"/>
    <w:rsid w:val="61DC639E"/>
    <w:rsid w:val="61E265C9"/>
    <w:rsid w:val="61E5122B"/>
    <w:rsid w:val="61E7692D"/>
    <w:rsid w:val="62076A0F"/>
    <w:rsid w:val="62277BE3"/>
    <w:rsid w:val="622B611D"/>
    <w:rsid w:val="622C0019"/>
    <w:rsid w:val="62362237"/>
    <w:rsid w:val="62390CB6"/>
    <w:rsid w:val="62397BA1"/>
    <w:rsid w:val="623F2BBF"/>
    <w:rsid w:val="624956CD"/>
    <w:rsid w:val="6251055B"/>
    <w:rsid w:val="625743DC"/>
    <w:rsid w:val="626C3960"/>
    <w:rsid w:val="6270048D"/>
    <w:rsid w:val="6273799D"/>
    <w:rsid w:val="62804BC6"/>
    <w:rsid w:val="628632D9"/>
    <w:rsid w:val="628762B4"/>
    <w:rsid w:val="629234EC"/>
    <w:rsid w:val="62B6027F"/>
    <w:rsid w:val="62B9186A"/>
    <w:rsid w:val="62BE0F0F"/>
    <w:rsid w:val="62C12B14"/>
    <w:rsid w:val="62CA038C"/>
    <w:rsid w:val="62CC5762"/>
    <w:rsid w:val="62D608E6"/>
    <w:rsid w:val="62DB06A2"/>
    <w:rsid w:val="62F34922"/>
    <w:rsid w:val="62F81FED"/>
    <w:rsid w:val="63100901"/>
    <w:rsid w:val="63124A13"/>
    <w:rsid w:val="6323052D"/>
    <w:rsid w:val="63343EC4"/>
    <w:rsid w:val="63386B45"/>
    <w:rsid w:val="634560D1"/>
    <w:rsid w:val="634A283E"/>
    <w:rsid w:val="635007F3"/>
    <w:rsid w:val="63554905"/>
    <w:rsid w:val="636A1027"/>
    <w:rsid w:val="636D1A17"/>
    <w:rsid w:val="636F0D32"/>
    <w:rsid w:val="637D586B"/>
    <w:rsid w:val="63857653"/>
    <w:rsid w:val="639E277B"/>
    <w:rsid w:val="63A23524"/>
    <w:rsid w:val="63A80FD0"/>
    <w:rsid w:val="63A9755E"/>
    <w:rsid w:val="63AA1E11"/>
    <w:rsid w:val="63BD3030"/>
    <w:rsid w:val="63C02B06"/>
    <w:rsid w:val="63C47F06"/>
    <w:rsid w:val="63C713C1"/>
    <w:rsid w:val="63CB140E"/>
    <w:rsid w:val="63D77B42"/>
    <w:rsid w:val="63DB73C2"/>
    <w:rsid w:val="63DD6901"/>
    <w:rsid w:val="63E9088B"/>
    <w:rsid w:val="640B0EC0"/>
    <w:rsid w:val="642E1E8A"/>
    <w:rsid w:val="6440286A"/>
    <w:rsid w:val="64536426"/>
    <w:rsid w:val="64545337"/>
    <w:rsid w:val="645B398F"/>
    <w:rsid w:val="6476532A"/>
    <w:rsid w:val="647824CC"/>
    <w:rsid w:val="64793590"/>
    <w:rsid w:val="648072B3"/>
    <w:rsid w:val="64875F7C"/>
    <w:rsid w:val="648B1C7C"/>
    <w:rsid w:val="648C29A9"/>
    <w:rsid w:val="648D0BAF"/>
    <w:rsid w:val="64B302F6"/>
    <w:rsid w:val="64B35797"/>
    <w:rsid w:val="64BC5151"/>
    <w:rsid w:val="64BD6288"/>
    <w:rsid w:val="64BE2BA0"/>
    <w:rsid w:val="64CA0F84"/>
    <w:rsid w:val="64CE650D"/>
    <w:rsid w:val="64D4607B"/>
    <w:rsid w:val="64D77000"/>
    <w:rsid w:val="64DA7F84"/>
    <w:rsid w:val="64E73A17"/>
    <w:rsid w:val="64ED641E"/>
    <w:rsid w:val="65073DBE"/>
    <w:rsid w:val="65094B29"/>
    <w:rsid w:val="650D1EAF"/>
    <w:rsid w:val="650E7EF7"/>
    <w:rsid w:val="651954EB"/>
    <w:rsid w:val="651E1818"/>
    <w:rsid w:val="652F7DDE"/>
    <w:rsid w:val="65346599"/>
    <w:rsid w:val="653F07A9"/>
    <w:rsid w:val="65410C2D"/>
    <w:rsid w:val="65434131"/>
    <w:rsid w:val="654F5549"/>
    <w:rsid w:val="65505624"/>
    <w:rsid w:val="655277F0"/>
    <w:rsid w:val="65670E6D"/>
    <w:rsid w:val="656A567A"/>
    <w:rsid w:val="656B66C6"/>
    <w:rsid w:val="656E627A"/>
    <w:rsid w:val="657B6CF9"/>
    <w:rsid w:val="658253BB"/>
    <w:rsid w:val="65900082"/>
    <w:rsid w:val="65912D43"/>
    <w:rsid w:val="65A27E70"/>
    <w:rsid w:val="65A672FB"/>
    <w:rsid w:val="65A86160"/>
    <w:rsid w:val="65AE2D3C"/>
    <w:rsid w:val="65AE6DF1"/>
    <w:rsid w:val="65C31D06"/>
    <w:rsid w:val="65C57731"/>
    <w:rsid w:val="65D52E0A"/>
    <w:rsid w:val="65DF3FAF"/>
    <w:rsid w:val="65E5173B"/>
    <w:rsid w:val="65E676F8"/>
    <w:rsid w:val="65F02456"/>
    <w:rsid w:val="65F06A33"/>
    <w:rsid w:val="65F251CE"/>
    <w:rsid w:val="65FD3F67"/>
    <w:rsid w:val="66007D67"/>
    <w:rsid w:val="66127C81"/>
    <w:rsid w:val="66167816"/>
    <w:rsid w:val="661A48C7"/>
    <w:rsid w:val="662E0864"/>
    <w:rsid w:val="663237D5"/>
    <w:rsid w:val="66383CCB"/>
    <w:rsid w:val="665141DA"/>
    <w:rsid w:val="66524D8D"/>
    <w:rsid w:val="665515CB"/>
    <w:rsid w:val="665A07F6"/>
    <w:rsid w:val="665A717C"/>
    <w:rsid w:val="665E6D0C"/>
    <w:rsid w:val="66620D05"/>
    <w:rsid w:val="6667518D"/>
    <w:rsid w:val="668B6423"/>
    <w:rsid w:val="669261E1"/>
    <w:rsid w:val="66A81479"/>
    <w:rsid w:val="66D37D3F"/>
    <w:rsid w:val="66D51044"/>
    <w:rsid w:val="66D6691A"/>
    <w:rsid w:val="66D75B6D"/>
    <w:rsid w:val="66D94FE8"/>
    <w:rsid w:val="66DB09CF"/>
    <w:rsid w:val="66FC7BBF"/>
    <w:rsid w:val="66FD571E"/>
    <w:rsid w:val="6701444E"/>
    <w:rsid w:val="67070D01"/>
    <w:rsid w:val="670D4D52"/>
    <w:rsid w:val="671465AA"/>
    <w:rsid w:val="671A04B3"/>
    <w:rsid w:val="671D4CBB"/>
    <w:rsid w:val="6724205C"/>
    <w:rsid w:val="6728304C"/>
    <w:rsid w:val="6731055B"/>
    <w:rsid w:val="67345C59"/>
    <w:rsid w:val="67374196"/>
    <w:rsid w:val="673A578F"/>
    <w:rsid w:val="675F0FAA"/>
    <w:rsid w:val="67685F80"/>
    <w:rsid w:val="6775534A"/>
    <w:rsid w:val="678A585D"/>
    <w:rsid w:val="67901777"/>
    <w:rsid w:val="679B558A"/>
    <w:rsid w:val="67B2213E"/>
    <w:rsid w:val="67B47392"/>
    <w:rsid w:val="67C43F40"/>
    <w:rsid w:val="67C966FF"/>
    <w:rsid w:val="67CA3ACC"/>
    <w:rsid w:val="67D065F0"/>
    <w:rsid w:val="67DD5581"/>
    <w:rsid w:val="67E21549"/>
    <w:rsid w:val="67E653BA"/>
    <w:rsid w:val="67EE3D0F"/>
    <w:rsid w:val="67EF5446"/>
    <w:rsid w:val="680C2A44"/>
    <w:rsid w:val="68131FEA"/>
    <w:rsid w:val="682A3A97"/>
    <w:rsid w:val="682B37F2"/>
    <w:rsid w:val="68314CAF"/>
    <w:rsid w:val="68320F80"/>
    <w:rsid w:val="68321246"/>
    <w:rsid w:val="68336A02"/>
    <w:rsid w:val="683A1C10"/>
    <w:rsid w:val="683A638D"/>
    <w:rsid w:val="68500530"/>
    <w:rsid w:val="685069F3"/>
    <w:rsid w:val="685B1EB3"/>
    <w:rsid w:val="686755C6"/>
    <w:rsid w:val="68680898"/>
    <w:rsid w:val="686D72DD"/>
    <w:rsid w:val="686E3DB1"/>
    <w:rsid w:val="68756DC9"/>
    <w:rsid w:val="688E57DB"/>
    <w:rsid w:val="68B64986"/>
    <w:rsid w:val="68B96C5F"/>
    <w:rsid w:val="68B97F60"/>
    <w:rsid w:val="68BB40DD"/>
    <w:rsid w:val="68C048E2"/>
    <w:rsid w:val="68C1536C"/>
    <w:rsid w:val="68C672BE"/>
    <w:rsid w:val="68C94A6C"/>
    <w:rsid w:val="68DD0B4C"/>
    <w:rsid w:val="690F2EED"/>
    <w:rsid w:val="69377B5D"/>
    <w:rsid w:val="693C3FBA"/>
    <w:rsid w:val="693D2737"/>
    <w:rsid w:val="694677C3"/>
    <w:rsid w:val="69763B96"/>
    <w:rsid w:val="6977345C"/>
    <w:rsid w:val="69844236"/>
    <w:rsid w:val="699B2AD1"/>
    <w:rsid w:val="69B648F2"/>
    <w:rsid w:val="69B745FF"/>
    <w:rsid w:val="69D306AC"/>
    <w:rsid w:val="69D376F3"/>
    <w:rsid w:val="6A1D1F7E"/>
    <w:rsid w:val="6A20120C"/>
    <w:rsid w:val="6A215399"/>
    <w:rsid w:val="6A22716C"/>
    <w:rsid w:val="6A254C2E"/>
    <w:rsid w:val="6A2B692B"/>
    <w:rsid w:val="6A304F81"/>
    <w:rsid w:val="6A310A46"/>
    <w:rsid w:val="6A314BE1"/>
    <w:rsid w:val="6A330B7E"/>
    <w:rsid w:val="6A360485"/>
    <w:rsid w:val="6A385C9B"/>
    <w:rsid w:val="6A3A6264"/>
    <w:rsid w:val="6A3E2465"/>
    <w:rsid w:val="6A4610AD"/>
    <w:rsid w:val="6A4C7946"/>
    <w:rsid w:val="6A540709"/>
    <w:rsid w:val="6A5617F2"/>
    <w:rsid w:val="6A595AFA"/>
    <w:rsid w:val="6A5C7933"/>
    <w:rsid w:val="6A605D12"/>
    <w:rsid w:val="6A66349E"/>
    <w:rsid w:val="6A6E2AA9"/>
    <w:rsid w:val="6A725A57"/>
    <w:rsid w:val="6A7449B2"/>
    <w:rsid w:val="6A7B73DD"/>
    <w:rsid w:val="6A9334C2"/>
    <w:rsid w:val="6A937EB8"/>
    <w:rsid w:val="6A9B2674"/>
    <w:rsid w:val="6AC210B9"/>
    <w:rsid w:val="6ACA73E5"/>
    <w:rsid w:val="6ACE2EE6"/>
    <w:rsid w:val="6AD43361"/>
    <w:rsid w:val="6AED5B32"/>
    <w:rsid w:val="6AF44007"/>
    <w:rsid w:val="6AF75AD5"/>
    <w:rsid w:val="6B141E8F"/>
    <w:rsid w:val="6B14233D"/>
    <w:rsid w:val="6B1E1457"/>
    <w:rsid w:val="6B2028CD"/>
    <w:rsid w:val="6B2F471C"/>
    <w:rsid w:val="6B35699A"/>
    <w:rsid w:val="6B43383E"/>
    <w:rsid w:val="6B4F341C"/>
    <w:rsid w:val="6B5466CF"/>
    <w:rsid w:val="6B6157B2"/>
    <w:rsid w:val="6B616BB9"/>
    <w:rsid w:val="6B6C4F4A"/>
    <w:rsid w:val="6B83719E"/>
    <w:rsid w:val="6B8F4205"/>
    <w:rsid w:val="6B8F4CBE"/>
    <w:rsid w:val="6B8F7BC7"/>
    <w:rsid w:val="6B973810"/>
    <w:rsid w:val="6B9A3C33"/>
    <w:rsid w:val="6BA170E5"/>
    <w:rsid w:val="6BA70A67"/>
    <w:rsid w:val="6BC958C5"/>
    <w:rsid w:val="6BCA72BD"/>
    <w:rsid w:val="6BE26C4B"/>
    <w:rsid w:val="6BE35DD2"/>
    <w:rsid w:val="6BE9361A"/>
    <w:rsid w:val="6BF31994"/>
    <w:rsid w:val="6BFA5AB3"/>
    <w:rsid w:val="6BFE7D3C"/>
    <w:rsid w:val="6C003C37"/>
    <w:rsid w:val="6C037DF4"/>
    <w:rsid w:val="6C053C5C"/>
    <w:rsid w:val="6C053E44"/>
    <w:rsid w:val="6C4E363D"/>
    <w:rsid w:val="6C4F64C7"/>
    <w:rsid w:val="6C511D45"/>
    <w:rsid w:val="6C513BE2"/>
    <w:rsid w:val="6C543325"/>
    <w:rsid w:val="6C5E57D7"/>
    <w:rsid w:val="6C62299E"/>
    <w:rsid w:val="6C6731E2"/>
    <w:rsid w:val="6C6B007F"/>
    <w:rsid w:val="6C6C7379"/>
    <w:rsid w:val="6C845A17"/>
    <w:rsid w:val="6C9172AB"/>
    <w:rsid w:val="6CB322FE"/>
    <w:rsid w:val="6CDA5121"/>
    <w:rsid w:val="6CDD53CB"/>
    <w:rsid w:val="6CEA4BD6"/>
    <w:rsid w:val="6CED05BD"/>
    <w:rsid w:val="6CEF1CC7"/>
    <w:rsid w:val="6D1D51DE"/>
    <w:rsid w:val="6D200AC6"/>
    <w:rsid w:val="6D367A39"/>
    <w:rsid w:val="6D3E2515"/>
    <w:rsid w:val="6D403BCC"/>
    <w:rsid w:val="6D4103DC"/>
    <w:rsid w:val="6D44177C"/>
    <w:rsid w:val="6D4C7BEA"/>
    <w:rsid w:val="6D5758E8"/>
    <w:rsid w:val="6D621B82"/>
    <w:rsid w:val="6D6A61FA"/>
    <w:rsid w:val="6D750E7E"/>
    <w:rsid w:val="6D7D3A31"/>
    <w:rsid w:val="6D7D3FA5"/>
    <w:rsid w:val="6D8723A3"/>
    <w:rsid w:val="6D932351"/>
    <w:rsid w:val="6D997ADE"/>
    <w:rsid w:val="6DB07703"/>
    <w:rsid w:val="6DBC51E2"/>
    <w:rsid w:val="6DCA1912"/>
    <w:rsid w:val="6DCC4F60"/>
    <w:rsid w:val="6DCC7041"/>
    <w:rsid w:val="6DCF2368"/>
    <w:rsid w:val="6DD26D64"/>
    <w:rsid w:val="6E11551F"/>
    <w:rsid w:val="6E3343C1"/>
    <w:rsid w:val="6E46524E"/>
    <w:rsid w:val="6E4D2C74"/>
    <w:rsid w:val="6E4F0506"/>
    <w:rsid w:val="6E504EA6"/>
    <w:rsid w:val="6E55175F"/>
    <w:rsid w:val="6E56618D"/>
    <w:rsid w:val="6E5A44CA"/>
    <w:rsid w:val="6E711D3F"/>
    <w:rsid w:val="6E735475"/>
    <w:rsid w:val="6E842F5E"/>
    <w:rsid w:val="6E8C3890"/>
    <w:rsid w:val="6E9047F2"/>
    <w:rsid w:val="6E9666FC"/>
    <w:rsid w:val="6E981EC4"/>
    <w:rsid w:val="6E992F04"/>
    <w:rsid w:val="6EBA38F4"/>
    <w:rsid w:val="6EC246A0"/>
    <w:rsid w:val="6EC93758"/>
    <w:rsid w:val="6ED20ADF"/>
    <w:rsid w:val="6ED35D11"/>
    <w:rsid w:val="6ED43FE2"/>
    <w:rsid w:val="6EDF4E10"/>
    <w:rsid w:val="6EF47A45"/>
    <w:rsid w:val="6EF80A35"/>
    <w:rsid w:val="6EFB3EA2"/>
    <w:rsid w:val="6EFF1468"/>
    <w:rsid w:val="6F003BAD"/>
    <w:rsid w:val="6F0B413C"/>
    <w:rsid w:val="6F1218C9"/>
    <w:rsid w:val="6F1B2B08"/>
    <w:rsid w:val="6F254CE6"/>
    <w:rsid w:val="6F295FCC"/>
    <w:rsid w:val="6F3A0AB4"/>
    <w:rsid w:val="6F4C0591"/>
    <w:rsid w:val="6F4C45CE"/>
    <w:rsid w:val="6F5C1426"/>
    <w:rsid w:val="6F5D4AE8"/>
    <w:rsid w:val="6F6845AB"/>
    <w:rsid w:val="6F6A3147"/>
    <w:rsid w:val="6F6D76D3"/>
    <w:rsid w:val="6F714D12"/>
    <w:rsid w:val="6F7A230B"/>
    <w:rsid w:val="6F803800"/>
    <w:rsid w:val="6F8A7B72"/>
    <w:rsid w:val="6F9F49B0"/>
    <w:rsid w:val="6FB978D4"/>
    <w:rsid w:val="6FBC64DE"/>
    <w:rsid w:val="6FC214FE"/>
    <w:rsid w:val="6FC44357"/>
    <w:rsid w:val="6FD40906"/>
    <w:rsid w:val="6FE45726"/>
    <w:rsid w:val="6FE46622"/>
    <w:rsid w:val="6FEA4288"/>
    <w:rsid w:val="6FF375E1"/>
    <w:rsid w:val="700852D9"/>
    <w:rsid w:val="70092D5A"/>
    <w:rsid w:val="701411CC"/>
    <w:rsid w:val="70195574"/>
    <w:rsid w:val="701B28B0"/>
    <w:rsid w:val="70263E9E"/>
    <w:rsid w:val="70284DBF"/>
    <w:rsid w:val="702F4B63"/>
    <w:rsid w:val="70357069"/>
    <w:rsid w:val="703A33AE"/>
    <w:rsid w:val="70483B44"/>
    <w:rsid w:val="70640519"/>
    <w:rsid w:val="7068724F"/>
    <w:rsid w:val="706C1141"/>
    <w:rsid w:val="70770E10"/>
    <w:rsid w:val="707A3F6A"/>
    <w:rsid w:val="70995FB2"/>
    <w:rsid w:val="709B709D"/>
    <w:rsid w:val="709F1F00"/>
    <w:rsid w:val="70B00070"/>
    <w:rsid w:val="70B40C75"/>
    <w:rsid w:val="70BF2889"/>
    <w:rsid w:val="70C50229"/>
    <w:rsid w:val="70DC0B34"/>
    <w:rsid w:val="70E5253F"/>
    <w:rsid w:val="70EA46C8"/>
    <w:rsid w:val="70EB1E55"/>
    <w:rsid w:val="70F03058"/>
    <w:rsid w:val="710E764E"/>
    <w:rsid w:val="711C739F"/>
    <w:rsid w:val="711E28A2"/>
    <w:rsid w:val="712A7CBA"/>
    <w:rsid w:val="7130239D"/>
    <w:rsid w:val="71313D8A"/>
    <w:rsid w:val="713524C7"/>
    <w:rsid w:val="71473A67"/>
    <w:rsid w:val="71633397"/>
    <w:rsid w:val="717557DA"/>
    <w:rsid w:val="717F1FD4"/>
    <w:rsid w:val="717F3BC0"/>
    <w:rsid w:val="71924DDF"/>
    <w:rsid w:val="719315E1"/>
    <w:rsid w:val="71CD5C10"/>
    <w:rsid w:val="71E37168"/>
    <w:rsid w:val="71E44989"/>
    <w:rsid w:val="71E70249"/>
    <w:rsid w:val="71EC078C"/>
    <w:rsid w:val="71F260FE"/>
    <w:rsid w:val="71F41601"/>
    <w:rsid w:val="72070621"/>
    <w:rsid w:val="72072820"/>
    <w:rsid w:val="720A7028"/>
    <w:rsid w:val="72204208"/>
    <w:rsid w:val="722234FF"/>
    <w:rsid w:val="72295D41"/>
    <w:rsid w:val="723D0AFC"/>
    <w:rsid w:val="7240236A"/>
    <w:rsid w:val="72463278"/>
    <w:rsid w:val="724A3704"/>
    <w:rsid w:val="7251779C"/>
    <w:rsid w:val="72594BA8"/>
    <w:rsid w:val="72607451"/>
    <w:rsid w:val="728F3335"/>
    <w:rsid w:val="7293150A"/>
    <w:rsid w:val="72935967"/>
    <w:rsid w:val="72BE1EBE"/>
    <w:rsid w:val="72C26316"/>
    <w:rsid w:val="72C651DC"/>
    <w:rsid w:val="72E70F53"/>
    <w:rsid w:val="72F0059F"/>
    <w:rsid w:val="73011D82"/>
    <w:rsid w:val="73025A28"/>
    <w:rsid w:val="730C20CE"/>
    <w:rsid w:val="73125BFA"/>
    <w:rsid w:val="731C016A"/>
    <w:rsid w:val="731E366D"/>
    <w:rsid w:val="7329156C"/>
    <w:rsid w:val="732A7851"/>
    <w:rsid w:val="73477DD5"/>
    <w:rsid w:val="73541347"/>
    <w:rsid w:val="73550FA9"/>
    <w:rsid w:val="73654698"/>
    <w:rsid w:val="736B4175"/>
    <w:rsid w:val="73785000"/>
    <w:rsid w:val="737B7E13"/>
    <w:rsid w:val="737E54AB"/>
    <w:rsid w:val="737F0F58"/>
    <w:rsid w:val="7389572A"/>
    <w:rsid w:val="7390485B"/>
    <w:rsid w:val="73910128"/>
    <w:rsid w:val="739F5F82"/>
    <w:rsid w:val="73A225C1"/>
    <w:rsid w:val="741B09CE"/>
    <w:rsid w:val="741E320F"/>
    <w:rsid w:val="74237697"/>
    <w:rsid w:val="74250436"/>
    <w:rsid w:val="742A3E19"/>
    <w:rsid w:val="743044D6"/>
    <w:rsid w:val="74371BBB"/>
    <w:rsid w:val="744011C6"/>
    <w:rsid w:val="74441B65"/>
    <w:rsid w:val="74597B71"/>
    <w:rsid w:val="745B77F1"/>
    <w:rsid w:val="745F1A7B"/>
    <w:rsid w:val="746825B4"/>
    <w:rsid w:val="74780262"/>
    <w:rsid w:val="74A643ED"/>
    <w:rsid w:val="74A957C0"/>
    <w:rsid w:val="74B915D8"/>
    <w:rsid w:val="74C66EA0"/>
    <w:rsid w:val="74CB1CEA"/>
    <w:rsid w:val="74D53759"/>
    <w:rsid w:val="74D900BF"/>
    <w:rsid w:val="74DF0306"/>
    <w:rsid w:val="74E27C24"/>
    <w:rsid w:val="74EE3490"/>
    <w:rsid w:val="74F00420"/>
    <w:rsid w:val="75057C8A"/>
    <w:rsid w:val="75111A5A"/>
    <w:rsid w:val="751342A3"/>
    <w:rsid w:val="751524A3"/>
    <w:rsid w:val="751A7C2E"/>
    <w:rsid w:val="752836C2"/>
    <w:rsid w:val="75292941"/>
    <w:rsid w:val="752B7ECA"/>
    <w:rsid w:val="7539250F"/>
    <w:rsid w:val="75394C61"/>
    <w:rsid w:val="754769AB"/>
    <w:rsid w:val="756278D6"/>
    <w:rsid w:val="75670771"/>
    <w:rsid w:val="75823730"/>
    <w:rsid w:val="758B2F36"/>
    <w:rsid w:val="758B3CF4"/>
    <w:rsid w:val="75923928"/>
    <w:rsid w:val="75B710B1"/>
    <w:rsid w:val="75BC19B7"/>
    <w:rsid w:val="75C31342"/>
    <w:rsid w:val="75C44616"/>
    <w:rsid w:val="75DB0892"/>
    <w:rsid w:val="75E204E2"/>
    <w:rsid w:val="75E572F8"/>
    <w:rsid w:val="7603212B"/>
    <w:rsid w:val="761B4496"/>
    <w:rsid w:val="76361681"/>
    <w:rsid w:val="763B5B08"/>
    <w:rsid w:val="76430996"/>
    <w:rsid w:val="7646191B"/>
    <w:rsid w:val="764D19B8"/>
    <w:rsid w:val="765A4D38"/>
    <w:rsid w:val="765F4A43"/>
    <w:rsid w:val="76707C43"/>
    <w:rsid w:val="7676297A"/>
    <w:rsid w:val="76785049"/>
    <w:rsid w:val="76824509"/>
    <w:rsid w:val="76A0373F"/>
    <w:rsid w:val="76A220CB"/>
    <w:rsid w:val="76A43EB3"/>
    <w:rsid w:val="76A651B8"/>
    <w:rsid w:val="76BD6FDB"/>
    <w:rsid w:val="76C66E9E"/>
    <w:rsid w:val="76D101FA"/>
    <w:rsid w:val="76D7173C"/>
    <w:rsid w:val="76DB2892"/>
    <w:rsid w:val="76E45FA2"/>
    <w:rsid w:val="76ED52B9"/>
    <w:rsid w:val="76F75EBB"/>
    <w:rsid w:val="76FF686B"/>
    <w:rsid w:val="77082FEA"/>
    <w:rsid w:val="770F611E"/>
    <w:rsid w:val="771E2940"/>
    <w:rsid w:val="7731489F"/>
    <w:rsid w:val="773C3BD5"/>
    <w:rsid w:val="77411EE4"/>
    <w:rsid w:val="775F56D5"/>
    <w:rsid w:val="77611954"/>
    <w:rsid w:val="77687474"/>
    <w:rsid w:val="77690779"/>
    <w:rsid w:val="77714659"/>
    <w:rsid w:val="777B4EA0"/>
    <w:rsid w:val="77817AC6"/>
    <w:rsid w:val="778979A9"/>
    <w:rsid w:val="77902BB7"/>
    <w:rsid w:val="77A33DD6"/>
    <w:rsid w:val="77A64D5A"/>
    <w:rsid w:val="77AE7444"/>
    <w:rsid w:val="77C27558"/>
    <w:rsid w:val="77E14499"/>
    <w:rsid w:val="77E8486C"/>
    <w:rsid w:val="77F5271F"/>
    <w:rsid w:val="780417A8"/>
    <w:rsid w:val="78136871"/>
    <w:rsid w:val="781C0323"/>
    <w:rsid w:val="781D63F2"/>
    <w:rsid w:val="78285DA5"/>
    <w:rsid w:val="783B710F"/>
    <w:rsid w:val="78536178"/>
    <w:rsid w:val="78563879"/>
    <w:rsid w:val="785A4663"/>
    <w:rsid w:val="786F7A21"/>
    <w:rsid w:val="78753987"/>
    <w:rsid w:val="787D153B"/>
    <w:rsid w:val="7880578A"/>
    <w:rsid w:val="789F2A47"/>
    <w:rsid w:val="78A972CB"/>
    <w:rsid w:val="78B02C8E"/>
    <w:rsid w:val="78DA5FE9"/>
    <w:rsid w:val="78F73403"/>
    <w:rsid w:val="791D71FD"/>
    <w:rsid w:val="791E3CAD"/>
    <w:rsid w:val="79202048"/>
    <w:rsid w:val="792451CB"/>
    <w:rsid w:val="79273E57"/>
    <w:rsid w:val="792C5912"/>
    <w:rsid w:val="79374857"/>
    <w:rsid w:val="793D7EBD"/>
    <w:rsid w:val="794A7B05"/>
    <w:rsid w:val="79512818"/>
    <w:rsid w:val="798A7806"/>
    <w:rsid w:val="798B16F8"/>
    <w:rsid w:val="79903580"/>
    <w:rsid w:val="79936B04"/>
    <w:rsid w:val="79A56375"/>
    <w:rsid w:val="79AB1D81"/>
    <w:rsid w:val="79AF1E6E"/>
    <w:rsid w:val="79BB29AC"/>
    <w:rsid w:val="79C36276"/>
    <w:rsid w:val="7A0425E1"/>
    <w:rsid w:val="7A052110"/>
    <w:rsid w:val="7A0B4BCC"/>
    <w:rsid w:val="7A2443F8"/>
    <w:rsid w:val="7A2468E4"/>
    <w:rsid w:val="7A4E5EFE"/>
    <w:rsid w:val="7A5221FB"/>
    <w:rsid w:val="7A642850"/>
    <w:rsid w:val="7A6B4BBA"/>
    <w:rsid w:val="7A795AFD"/>
    <w:rsid w:val="7A993E33"/>
    <w:rsid w:val="7AA979D0"/>
    <w:rsid w:val="7AAF1A11"/>
    <w:rsid w:val="7AB80E65"/>
    <w:rsid w:val="7ABC1A6A"/>
    <w:rsid w:val="7ABF75F4"/>
    <w:rsid w:val="7AD3168F"/>
    <w:rsid w:val="7ADE30D6"/>
    <w:rsid w:val="7AE46E60"/>
    <w:rsid w:val="7AE57625"/>
    <w:rsid w:val="7AEC31BB"/>
    <w:rsid w:val="7AFB1A3F"/>
    <w:rsid w:val="7B1371B2"/>
    <w:rsid w:val="7B140447"/>
    <w:rsid w:val="7B24775D"/>
    <w:rsid w:val="7B253A17"/>
    <w:rsid w:val="7B2D3022"/>
    <w:rsid w:val="7B3E3F95"/>
    <w:rsid w:val="7B3F550F"/>
    <w:rsid w:val="7B4E1210"/>
    <w:rsid w:val="7B5B066E"/>
    <w:rsid w:val="7B5B2745"/>
    <w:rsid w:val="7B5E34A6"/>
    <w:rsid w:val="7B6949B6"/>
    <w:rsid w:val="7B7C2A51"/>
    <w:rsid w:val="7B870E2F"/>
    <w:rsid w:val="7B9930CD"/>
    <w:rsid w:val="7BAE4631"/>
    <w:rsid w:val="7BB75966"/>
    <w:rsid w:val="7BFB2711"/>
    <w:rsid w:val="7BFD36FB"/>
    <w:rsid w:val="7BFE0B3F"/>
    <w:rsid w:val="7C07400A"/>
    <w:rsid w:val="7C1173AB"/>
    <w:rsid w:val="7C2C2F45"/>
    <w:rsid w:val="7C3670D8"/>
    <w:rsid w:val="7C404E67"/>
    <w:rsid w:val="7C51350F"/>
    <w:rsid w:val="7C525383"/>
    <w:rsid w:val="7C58126E"/>
    <w:rsid w:val="7C61474D"/>
    <w:rsid w:val="7C6443AA"/>
    <w:rsid w:val="7C72188D"/>
    <w:rsid w:val="7C7514A2"/>
    <w:rsid w:val="7C816851"/>
    <w:rsid w:val="7C927A1B"/>
    <w:rsid w:val="7C933753"/>
    <w:rsid w:val="7C935AF6"/>
    <w:rsid w:val="7C952974"/>
    <w:rsid w:val="7CA2669A"/>
    <w:rsid w:val="7CA33E88"/>
    <w:rsid w:val="7CA51C63"/>
    <w:rsid w:val="7CB805AB"/>
    <w:rsid w:val="7CC3033B"/>
    <w:rsid w:val="7CCD33EB"/>
    <w:rsid w:val="7CD16458"/>
    <w:rsid w:val="7CDE3AEB"/>
    <w:rsid w:val="7CFE799C"/>
    <w:rsid w:val="7D0D1339"/>
    <w:rsid w:val="7D1144BC"/>
    <w:rsid w:val="7D142B81"/>
    <w:rsid w:val="7D2428A3"/>
    <w:rsid w:val="7D276660"/>
    <w:rsid w:val="7D2B75E2"/>
    <w:rsid w:val="7D3714C5"/>
    <w:rsid w:val="7D4C0E5D"/>
    <w:rsid w:val="7D5D653A"/>
    <w:rsid w:val="7D67744A"/>
    <w:rsid w:val="7D817FF3"/>
    <w:rsid w:val="7D8349B7"/>
    <w:rsid w:val="7D9677FD"/>
    <w:rsid w:val="7DA03BB5"/>
    <w:rsid w:val="7DA50C9A"/>
    <w:rsid w:val="7DB23532"/>
    <w:rsid w:val="7DC37F9A"/>
    <w:rsid w:val="7DE317A9"/>
    <w:rsid w:val="7DE84520"/>
    <w:rsid w:val="7DF32D96"/>
    <w:rsid w:val="7DFD162B"/>
    <w:rsid w:val="7DFE66C3"/>
    <w:rsid w:val="7E1B6997"/>
    <w:rsid w:val="7E2B3692"/>
    <w:rsid w:val="7E315C19"/>
    <w:rsid w:val="7E353820"/>
    <w:rsid w:val="7E3B0BC5"/>
    <w:rsid w:val="7E3D6B4D"/>
    <w:rsid w:val="7E465DFC"/>
    <w:rsid w:val="7E4C09C1"/>
    <w:rsid w:val="7E5A45E1"/>
    <w:rsid w:val="7E683C04"/>
    <w:rsid w:val="7E685E14"/>
    <w:rsid w:val="7E7421B1"/>
    <w:rsid w:val="7E757607"/>
    <w:rsid w:val="7E8050D6"/>
    <w:rsid w:val="7E97382D"/>
    <w:rsid w:val="7E995935"/>
    <w:rsid w:val="7EA14D54"/>
    <w:rsid w:val="7EA159B7"/>
    <w:rsid w:val="7EA87F32"/>
    <w:rsid w:val="7EA90D5A"/>
    <w:rsid w:val="7EB51F3D"/>
    <w:rsid w:val="7EBA4878"/>
    <w:rsid w:val="7EC62445"/>
    <w:rsid w:val="7EC9380E"/>
    <w:rsid w:val="7ECA3C03"/>
    <w:rsid w:val="7ECE2FD2"/>
    <w:rsid w:val="7EF35CD7"/>
    <w:rsid w:val="7EF742CC"/>
    <w:rsid w:val="7EF8215F"/>
    <w:rsid w:val="7EFA508F"/>
    <w:rsid w:val="7F04683A"/>
    <w:rsid w:val="7F0E6208"/>
    <w:rsid w:val="7F2E447F"/>
    <w:rsid w:val="7F2F0C31"/>
    <w:rsid w:val="7F395076"/>
    <w:rsid w:val="7F3F7E1D"/>
    <w:rsid w:val="7F4C0855"/>
    <w:rsid w:val="7F524A36"/>
    <w:rsid w:val="7F5711BF"/>
    <w:rsid w:val="7F612B50"/>
    <w:rsid w:val="7F83165B"/>
    <w:rsid w:val="7F834067"/>
    <w:rsid w:val="7F8C1899"/>
    <w:rsid w:val="7F912C1F"/>
    <w:rsid w:val="7F9A1968"/>
    <w:rsid w:val="7FAC48C0"/>
    <w:rsid w:val="7FC25D5F"/>
    <w:rsid w:val="7FCA1698"/>
    <w:rsid w:val="7FCE15A0"/>
    <w:rsid w:val="7FD87D2F"/>
    <w:rsid w:val="7FE7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61"/>
    <w:qFormat/>
    <w:uiPriority w:val="99"/>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link w:val="74"/>
    <w:qFormat/>
    <w:uiPriority w:val="99"/>
    <w:pPr>
      <w:keepNext/>
      <w:keepLines/>
      <w:spacing w:before="260" w:after="260" w:line="413" w:lineRule="auto"/>
      <w:outlineLvl w:val="2"/>
    </w:pPr>
    <w:rPr>
      <w:rFonts w:eastAsia="楷体_GB2312"/>
      <w:b/>
      <w:bCs/>
      <w:sz w:val="30"/>
      <w:szCs w:val="30"/>
    </w:rPr>
  </w:style>
  <w:style w:type="paragraph" w:styleId="6">
    <w:name w:val="heading 4"/>
    <w:basedOn w:val="1"/>
    <w:next w:val="1"/>
    <w:link w:val="64"/>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7">
    <w:name w:val="heading 5"/>
    <w:basedOn w:val="1"/>
    <w:next w:val="1"/>
    <w:link w:val="73"/>
    <w:qFormat/>
    <w:uiPriority w:val="99"/>
    <w:pPr>
      <w:keepNext/>
      <w:keepLines/>
      <w:spacing w:before="280" w:after="290" w:line="376" w:lineRule="auto"/>
      <w:outlineLvl w:val="4"/>
    </w:pPr>
    <w:rPr>
      <w:b/>
      <w:bCs/>
      <w:kern w:val="0"/>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paragraph" w:styleId="9">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szCs w:val="20"/>
    </w:rPr>
  </w:style>
  <w:style w:type="paragraph" w:styleId="10">
    <w:name w:val="toc 7"/>
    <w:basedOn w:val="1"/>
    <w:next w:val="1"/>
    <w:qFormat/>
    <w:uiPriority w:val="0"/>
    <w:pPr>
      <w:ind w:left="2520" w:leftChars="1200"/>
    </w:pPr>
  </w:style>
  <w:style w:type="paragraph" w:styleId="11">
    <w:name w:val="Normal Indent"/>
    <w:basedOn w:val="1"/>
    <w:next w:val="12"/>
    <w:link w:val="54"/>
    <w:qFormat/>
    <w:uiPriority w:val="99"/>
    <w:pPr>
      <w:ind w:firstLine="420" w:firstLineChars="200"/>
    </w:pPr>
  </w:style>
  <w:style w:type="paragraph" w:styleId="12">
    <w:name w:val="toc 4"/>
    <w:basedOn w:val="1"/>
    <w:next w:val="1"/>
    <w:qFormat/>
    <w:uiPriority w:val="0"/>
    <w:pPr>
      <w:ind w:left="1260" w:leftChars="600"/>
    </w:pPr>
  </w:style>
  <w:style w:type="paragraph" w:styleId="13">
    <w:name w:val="Document Map"/>
    <w:basedOn w:val="1"/>
    <w:qFormat/>
    <w:uiPriority w:val="0"/>
    <w:pPr>
      <w:shd w:val="clear" w:color="auto" w:fill="000080"/>
    </w:pPr>
  </w:style>
  <w:style w:type="paragraph" w:styleId="14">
    <w:name w:val="Body Text 3"/>
    <w:basedOn w:val="1"/>
    <w:qFormat/>
    <w:uiPriority w:val="0"/>
    <w:pPr>
      <w:spacing w:after="120"/>
    </w:pPr>
    <w:rPr>
      <w:sz w:val="16"/>
      <w:szCs w:val="16"/>
    </w:rPr>
  </w:style>
  <w:style w:type="paragraph" w:styleId="15">
    <w:name w:val="Body Text"/>
    <w:basedOn w:val="1"/>
    <w:next w:val="1"/>
    <w:link w:val="53"/>
    <w:unhideWhenUsed/>
    <w:qFormat/>
    <w:uiPriority w:val="99"/>
    <w:pPr>
      <w:spacing w:after="120"/>
    </w:pPr>
    <w:rPr>
      <w:rFonts w:eastAsia="Times New Roman"/>
    </w:rPr>
  </w:style>
  <w:style w:type="paragraph" w:styleId="16">
    <w:name w:val="Body Text Indent"/>
    <w:basedOn w:val="1"/>
    <w:qFormat/>
    <w:uiPriority w:val="0"/>
    <w:pPr>
      <w:spacing w:after="120"/>
      <w:ind w:left="420" w:leftChars="200"/>
    </w:pPr>
  </w:style>
  <w:style w:type="paragraph" w:styleId="17">
    <w:name w:val="List 2"/>
    <w:basedOn w:val="1"/>
    <w:qFormat/>
    <w:uiPriority w:val="0"/>
    <w:pPr>
      <w:ind w:left="100" w:leftChars="200" w:hanging="200" w:hangingChars="200"/>
    </w:pPr>
  </w:style>
  <w:style w:type="paragraph" w:styleId="18">
    <w:name w:val="Block Text"/>
    <w:basedOn w:val="1"/>
    <w:next w:val="19"/>
    <w:qFormat/>
    <w:uiPriority w:val="0"/>
    <w:pPr>
      <w:ind w:left="420" w:leftChars="200" w:right="-70" w:rightChars="-70" w:firstLine="560" w:firstLineChars="200"/>
    </w:pPr>
    <w:rPr>
      <w:rFonts w:ascii="楷体_GB2312" w:eastAsia="楷体_GB2312"/>
      <w:sz w:val="28"/>
      <w:szCs w:val="20"/>
    </w:rPr>
  </w:style>
  <w:style w:type="paragraph" w:styleId="19">
    <w:name w:val="Plain Text"/>
    <w:basedOn w:val="1"/>
    <w:link w:val="60"/>
    <w:qFormat/>
    <w:uiPriority w:val="0"/>
    <w:rPr>
      <w:rFonts w:ascii="宋体" w:hAnsi="Courier New"/>
      <w:szCs w:val="20"/>
    </w:r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toc 8"/>
    <w:basedOn w:val="1"/>
    <w:next w:val="1"/>
    <w:qFormat/>
    <w:uiPriority w:val="0"/>
    <w:pPr>
      <w:ind w:left="2940" w:leftChars="1400"/>
    </w:pPr>
  </w:style>
  <w:style w:type="paragraph" w:styleId="23">
    <w:name w:val="Date"/>
    <w:basedOn w:val="1"/>
    <w:next w:val="1"/>
    <w:link w:val="65"/>
    <w:qFormat/>
    <w:uiPriority w:val="99"/>
    <w:pPr>
      <w:ind w:left="100" w:leftChars="2500"/>
    </w:pPr>
  </w:style>
  <w:style w:type="paragraph" w:styleId="24">
    <w:name w:val="Body Text Indent 2"/>
    <w:basedOn w:val="1"/>
    <w:qFormat/>
    <w:uiPriority w:val="0"/>
    <w:pPr>
      <w:tabs>
        <w:tab w:val="left" w:pos="360"/>
      </w:tabs>
      <w:spacing w:line="360" w:lineRule="auto"/>
      <w:ind w:firstLine="480" w:firstLineChars="200"/>
    </w:pPr>
    <w:rPr>
      <w:sz w:val="24"/>
    </w:rPr>
  </w:style>
  <w:style w:type="paragraph" w:styleId="25">
    <w:name w:val="Balloon Text"/>
    <w:basedOn w:val="1"/>
    <w:link w:val="56"/>
    <w:qFormat/>
    <w:uiPriority w:val="99"/>
    <w:rPr>
      <w:sz w:val="18"/>
      <w:szCs w:val="18"/>
    </w:rPr>
  </w:style>
  <w:style w:type="paragraph" w:styleId="26">
    <w:name w:val="footer"/>
    <w:basedOn w:val="1"/>
    <w:next w:val="22"/>
    <w:link w:val="51"/>
    <w:qFormat/>
    <w:uiPriority w:val="99"/>
    <w:pPr>
      <w:tabs>
        <w:tab w:val="center" w:pos="4153"/>
        <w:tab w:val="right" w:pos="8306"/>
      </w:tabs>
      <w:snapToGrid w:val="0"/>
      <w:jc w:val="left"/>
    </w:pPr>
    <w:rPr>
      <w:sz w:val="18"/>
      <w:szCs w:val="18"/>
    </w:rPr>
  </w:style>
  <w:style w:type="paragraph" w:styleId="27">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style>
  <w:style w:type="paragraph" w:styleId="29">
    <w:name w:val="toc 6"/>
    <w:basedOn w:val="1"/>
    <w:next w:val="1"/>
    <w:qFormat/>
    <w:uiPriority w:val="0"/>
    <w:pPr>
      <w:ind w:left="2100" w:leftChars="1000"/>
    </w:pPr>
  </w:style>
  <w:style w:type="paragraph" w:styleId="30">
    <w:name w:val="Body Text Indent 3"/>
    <w:basedOn w:val="1"/>
    <w:link w:val="71"/>
    <w:qFormat/>
    <w:uiPriority w:val="99"/>
    <w:pPr>
      <w:ind w:firstLine="645"/>
    </w:pPr>
    <w:rPr>
      <w:rFonts w:ascii="宋体" w:hAnsi="Copperplate Gothic Bold"/>
      <w:kern w:val="0"/>
      <w:sz w:val="20"/>
      <w:szCs w:val="20"/>
    </w:rPr>
  </w:style>
  <w:style w:type="paragraph" w:styleId="31">
    <w:name w:val="toc 2"/>
    <w:basedOn w:val="1"/>
    <w:next w:val="1"/>
    <w:qFormat/>
    <w:uiPriority w:val="0"/>
    <w:pPr>
      <w:ind w:left="420" w:leftChars="200"/>
    </w:pPr>
  </w:style>
  <w:style w:type="paragraph" w:styleId="32">
    <w:name w:val="toc 9"/>
    <w:basedOn w:val="1"/>
    <w:next w:val="1"/>
    <w:qFormat/>
    <w:uiPriority w:val="0"/>
    <w:pPr>
      <w:ind w:left="3360" w:leftChars="1600"/>
    </w:pPr>
  </w:style>
  <w:style w:type="paragraph" w:styleId="33">
    <w:name w:val="Body Text 2"/>
    <w:basedOn w:val="1"/>
    <w:link w:val="93"/>
    <w:qFormat/>
    <w:uiPriority w:val="0"/>
    <w:pPr>
      <w:spacing w:after="120" w:line="480" w:lineRule="auto"/>
    </w:pPr>
  </w:style>
  <w:style w:type="paragraph" w:styleId="34">
    <w:name w:val="HTML Preformatted"/>
    <w:basedOn w:val="1"/>
    <w:link w:val="5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sz w:val="24"/>
    </w:rPr>
  </w:style>
  <w:style w:type="paragraph" w:styleId="36">
    <w:name w:val="Body Text First Indent"/>
    <w:basedOn w:val="15"/>
    <w:qFormat/>
    <w:uiPriority w:val="99"/>
    <w:pPr>
      <w:widowControl w:val="0"/>
      <w:spacing w:line="312" w:lineRule="auto"/>
      <w:ind w:firstLine="420"/>
      <w:jc w:val="both"/>
    </w:pPr>
    <w:rPr>
      <w:rFonts w:ascii="宋体" w:hAnsi="Calibri"/>
      <w:sz w:val="22"/>
      <w:lang w:val="zh-CN"/>
    </w:rPr>
  </w:style>
  <w:style w:type="paragraph" w:styleId="37">
    <w:name w:val="Body Text First Indent 2"/>
    <w:basedOn w:val="16"/>
    <w:qFormat/>
    <w:uiPriority w:val="0"/>
    <w:pPr>
      <w:tabs>
        <w:tab w:val="left" w:pos="4900"/>
      </w:tabs>
      <w:ind w:firstLine="420" w:firstLineChars="200"/>
    </w:pPr>
  </w:style>
  <w:style w:type="table" w:styleId="39">
    <w:name w:val="Table Grid"/>
    <w:basedOn w:val="3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basedOn w:val="40"/>
    <w:qFormat/>
    <w:uiPriority w:val="0"/>
    <w:rPr>
      <w:rFonts w:hint="eastAsia" w:ascii="宋体" w:hAnsi="宋体" w:eastAsia="宋体" w:cs="宋体"/>
      <w:color w:val="000000"/>
      <w:sz w:val="18"/>
      <w:szCs w:val="18"/>
      <w:u w:val="none"/>
    </w:rPr>
  </w:style>
  <w:style w:type="character" w:styleId="44">
    <w:name w:val="Hyperlink"/>
    <w:basedOn w:val="40"/>
    <w:qFormat/>
    <w:uiPriority w:val="99"/>
    <w:rPr>
      <w:rFonts w:hint="eastAsia" w:ascii="宋体" w:hAnsi="宋体" w:eastAsia="宋体" w:cs="宋体"/>
      <w:color w:val="000000"/>
      <w:sz w:val="18"/>
      <w:szCs w:val="18"/>
      <w:u w:val="none"/>
    </w:rPr>
  </w:style>
  <w:style w:type="paragraph" w:customStyle="1" w:styleId="45">
    <w:name w:val="Heading4"/>
    <w:basedOn w:val="1"/>
    <w:next w:val="1"/>
    <w:qFormat/>
    <w:uiPriority w:val="0"/>
    <w:pPr>
      <w:keepNext/>
      <w:textAlignment w:val="baseline"/>
    </w:pPr>
    <w:rPr>
      <w:color w:val="FF0000"/>
      <w:sz w:val="28"/>
      <w:u w:val="single"/>
    </w:rPr>
  </w:style>
  <w:style w:type="paragraph" w:customStyle="1" w:styleId="46">
    <w:name w:val="UserStyle_0"/>
    <w:basedOn w:val="1"/>
    <w:qFormat/>
    <w:uiPriority w:val="0"/>
    <w:pPr>
      <w:ind w:firstLine="420" w:firstLineChars="200"/>
      <w:jc w:val="both"/>
      <w:textAlignment w:val="baseline"/>
    </w:pPr>
    <w:rPr>
      <w:rFonts w:ascii="Times New Roman" w:hAnsi="Times New Roman" w:eastAsia="宋体"/>
      <w:kern w:val="2"/>
      <w:sz w:val="21"/>
      <w:szCs w:val="20"/>
      <w:lang w:val="en-US" w:eastAsia="zh-CN" w:bidi="ar-SA"/>
    </w:rPr>
  </w:style>
  <w:style w:type="paragraph" w:customStyle="1" w:styleId="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Char"/>
    <w:basedOn w:val="1"/>
    <w:qFormat/>
    <w:uiPriority w:val="0"/>
    <w:rPr>
      <w:rFonts w:ascii="Tahoma" w:hAnsi="Tahoma"/>
      <w:sz w:val="24"/>
      <w:szCs w:val="20"/>
    </w:rPr>
  </w:style>
  <w:style w:type="paragraph" w:customStyle="1" w:styleId="49">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50">
    <w:name w:val="ca-2"/>
    <w:basedOn w:val="40"/>
    <w:qFormat/>
    <w:uiPriority w:val="0"/>
  </w:style>
  <w:style w:type="character" w:customStyle="1" w:styleId="51">
    <w:name w:val="页脚 Char1"/>
    <w:basedOn w:val="40"/>
    <w:link w:val="26"/>
    <w:qFormat/>
    <w:locked/>
    <w:uiPriority w:val="99"/>
    <w:rPr>
      <w:kern w:val="2"/>
      <w:sz w:val="18"/>
      <w:szCs w:val="18"/>
    </w:rPr>
  </w:style>
  <w:style w:type="character" w:customStyle="1" w:styleId="52">
    <w:name w:val="页脚 Char"/>
    <w:qFormat/>
    <w:uiPriority w:val="99"/>
    <w:rPr>
      <w:rFonts w:ascii="Times New Roman" w:hAnsi="Times New Roman" w:eastAsia="宋体"/>
      <w:sz w:val="18"/>
    </w:rPr>
  </w:style>
  <w:style w:type="character" w:customStyle="1" w:styleId="53">
    <w:name w:val="正文文本 Char"/>
    <w:basedOn w:val="40"/>
    <w:link w:val="15"/>
    <w:qFormat/>
    <w:uiPriority w:val="99"/>
    <w:rPr>
      <w:rFonts w:eastAsia="Times New Roman"/>
      <w:kern w:val="2"/>
      <w:sz w:val="21"/>
      <w:szCs w:val="24"/>
      <w:lang w:val="en-US" w:eastAsia="zh-CN"/>
    </w:rPr>
  </w:style>
  <w:style w:type="character" w:customStyle="1" w:styleId="54">
    <w:name w:val="正文缩进 Char"/>
    <w:link w:val="11"/>
    <w:qFormat/>
    <w:locked/>
    <w:uiPriority w:val="99"/>
    <w:rPr>
      <w:kern w:val="2"/>
      <w:sz w:val="21"/>
      <w:szCs w:val="24"/>
    </w:rPr>
  </w:style>
  <w:style w:type="character" w:customStyle="1" w:styleId="55">
    <w:name w:val="标题 1 Char"/>
    <w:basedOn w:val="40"/>
    <w:link w:val="3"/>
    <w:qFormat/>
    <w:locked/>
    <w:uiPriority w:val="99"/>
    <w:rPr>
      <w:b/>
      <w:bCs/>
      <w:kern w:val="44"/>
      <w:sz w:val="44"/>
      <w:szCs w:val="44"/>
    </w:rPr>
  </w:style>
  <w:style w:type="character" w:customStyle="1" w:styleId="56">
    <w:name w:val="批注框文本 Char"/>
    <w:basedOn w:val="40"/>
    <w:link w:val="25"/>
    <w:qFormat/>
    <w:locked/>
    <w:uiPriority w:val="99"/>
    <w:rPr>
      <w:kern w:val="2"/>
      <w:sz w:val="18"/>
      <w:szCs w:val="18"/>
    </w:rPr>
  </w:style>
  <w:style w:type="character" w:customStyle="1" w:styleId="57">
    <w:name w:val="ca-3"/>
    <w:basedOn w:val="40"/>
    <w:qFormat/>
    <w:uiPriority w:val="0"/>
  </w:style>
  <w:style w:type="character" w:customStyle="1" w:styleId="58">
    <w:name w:val="paramname3"/>
    <w:basedOn w:val="40"/>
    <w:qFormat/>
    <w:uiPriority w:val="0"/>
    <w:rPr>
      <w:color w:val="999999"/>
    </w:rPr>
  </w:style>
  <w:style w:type="character" w:customStyle="1" w:styleId="59">
    <w:name w:val="HTML 预设格式 Char"/>
    <w:basedOn w:val="40"/>
    <w:link w:val="34"/>
    <w:qFormat/>
    <w:uiPriority w:val="99"/>
    <w:rPr>
      <w:rFonts w:ascii="宋体" w:hAnsi="宋体"/>
      <w:sz w:val="24"/>
      <w:szCs w:val="24"/>
    </w:rPr>
  </w:style>
  <w:style w:type="character" w:customStyle="1" w:styleId="60">
    <w:name w:val="纯文本 Char"/>
    <w:basedOn w:val="40"/>
    <w:link w:val="19"/>
    <w:qFormat/>
    <w:uiPriority w:val="0"/>
    <w:rPr>
      <w:rFonts w:ascii="宋体" w:hAnsi="Courier New"/>
      <w:kern w:val="2"/>
      <w:sz w:val="21"/>
    </w:rPr>
  </w:style>
  <w:style w:type="character" w:customStyle="1" w:styleId="61">
    <w:name w:val="标题 2 Char"/>
    <w:basedOn w:val="40"/>
    <w:link w:val="4"/>
    <w:qFormat/>
    <w:locked/>
    <w:uiPriority w:val="99"/>
    <w:rPr>
      <w:rFonts w:ascii="Arial" w:hAnsi="Arial" w:eastAsia="黑体" w:cs="Arial"/>
      <w:b/>
      <w:bCs/>
      <w:kern w:val="2"/>
      <w:sz w:val="32"/>
      <w:szCs w:val="32"/>
    </w:rPr>
  </w:style>
  <w:style w:type="character" w:customStyle="1" w:styleId="62">
    <w:name w:val="headline-content2"/>
    <w:basedOn w:val="40"/>
    <w:qFormat/>
    <w:uiPriority w:val="0"/>
  </w:style>
  <w:style w:type="character" w:customStyle="1" w:styleId="63">
    <w:name w:val="ca-0"/>
    <w:basedOn w:val="40"/>
    <w:qFormat/>
    <w:uiPriority w:val="0"/>
  </w:style>
  <w:style w:type="character" w:customStyle="1" w:styleId="64">
    <w:name w:val="标题 4 Char"/>
    <w:basedOn w:val="40"/>
    <w:link w:val="6"/>
    <w:qFormat/>
    <w:uiPriority w:val="99"/>
    <w:rPr>
      <w:rFonts w:ascii="Arial" w:hAnsi="Arial" w:eastAsia="宋体"/>
      <w:b/>
      <w:spacing w:val="20"/>
      <w:kern w:val="2"/>
      <w:sz w:val="28"/>
      <w:lang w:val="en-US" w:eastAsia="zh-CN" w:bidi="ar-SA"/>
    </w:rPr>
  </w:style>
  <w:style w:type="character" w:customStyle="1" w:styleId="65">
    <w:name w:val="日期 Char"/>
    <w:basedOn w:val="40"/>
    <w:link w:val="23"/>
    <w:qFormat/>
    <w:locked/>
    <w:uiPriority w:val="99"/>
    <w:rPr>
      <w:kern w:val="2"/>
      <w:sz w:val="21"/>
      <w:szCs w:val="24"/>
    </w:rPr>
  </w:style>
  <w:style w:type="character" w:customStyle="1" w:styleId="66">
    <w:name w:val="正文缩进 Char1"/>
    <w:qFormat/>
    <w:uiPriority w:val="99"/>
    <w:rPr>
      <w:rFonts w:ascii="Times New Roman" w:hAnsi="Times New Roman"/>
      <w:kern w:val="2"/>
      <w:sz w:val="24"/>
    </w:rPr>
  </w:style>
  <w:style w:type="character" w:customStyle="1" w:styleId="67">
    <w:name w:val="ca-4"/>
    <w:basedOn w:val="40"/>
    <w:qFormat/>
    <w:uiPriority w:val="0"/>
  </w:style>
  <w:style w:type="character" w:customStyle="1" w:styleId="68">
    <w:name w:val="ca-1"/>
    <w:basedOn w:val="40"/>
    <w:qFormat/>
    <w:uiPriority w:val="0"/>
  </w:style>
  <w:style w:type="character" w:customStyle="1" w:styleId="69">
    <w:name w:val="页眉 Char1"/>
    <w:basedOn w:val="40"/>
    <w:link w:val="27"/>
    <w:qFormat/>
    <w:locked/>
    <w:uiPriority w:val="99"/>
    <w:rPr>
      <w:kern w:val="2"/>
      <w:sz w:val="18"/>
      <w:szCs w:val="18"/>
    </w:rPr>
  </w:style>
  <w:style w:type="character" w:customStyle="1" w:styleId="70">
    <w:name w:val="ca-5"/>
    <w:basedOn w:val="40"/>
    <w:qFormat/>
    <w:uiPriority w:val="0"/>
  </w:style>
  <w:style w:type="character" w:customStyle="1" w:styleId="71">
    <w:name w:val="正文文本缩进 3 Char"/>
    <w:basedOn w:val="40"/>
    <w:link w:val="30"/>
    <w:qFormat/>
    <w:uiPriority w:val="99"/>
    <w:rPr>
      <w:rFonts w:ascii="宋体" w:hAnsi="Copperplate Gothic Bold"/>
    </w:rPr>
  </w:style>
  <w:style w:type="character" w:customStyle="1" w:styleId="72">
    <w:name w:val="页眉 Char"/>
    <w:qFormat/>
    <w:uiPriority w:val="99"/>
    <w:rPr>
      <w:rFonts w:ascii="Times New Roman" w:hAnsi="Times New Roman" w:eastAsia="宋体"/>
      <w:sz w:val="18"/>
    </w:rPr>
  </w:style>
  <w:style w:type="character" w:customStyle="1" w:styleId="73">
    <w:name w:val="标题 5 Char"/>
    <w:basedOn w:val="40"/>
    <w:link w:val="7"/>
    <w:qFormat/>
    <w:uiPriority w:val="99"/>
    <w:rPr>
      <w:b/>
      <w:bCs/>
      <w:sz w:val="28"/>
      <w:szCs w:val="28"/>
    </w:rPr>
  </w:style>
  <w:style w:type="character" w:customStyle="1" w:styleId="74">
    <w:name w:val="标题 3 Char"/>
    <w:basedOn w:val="40"/>
    <w:link w:val="5"/>
    <w:qFormat/>
    <w:locked/>
    <w:uiPriority w:val="99"/>
    <w:rPr>
      <w:rFonts w:eastAsia="楷体_GB2312"/>
      <w:b/>
      <w:bCs/>
      <w:kern w:val="2"/>
      <w:sz w:val="30"/>
      <w:szCs w:val="30"/>
    </w:rPr>
  </w:style>
  <w:style w:type="paragraph" w:customStyle="1" w:styleId="75">
    <w:name w:val="Char1"/>
    <w:basedOn w:val="1"/>
    <w:qFormat/>
    <w:uiPriority w:val="99"/>
    <w:rPr>
      <w:rFonts w:ascii="仿宋_GB2312" w:eastAsia="仿宋_GB2312"/>
      <w:b/>
      <w:sz w:val="32"/>
      <w:szCs w:val="32"/>
    </w:rPr>
  </w:style>
  <w:style w:type="paragraph" w:customStyle="1" w:styleId="76">
    <w:name w:val="font14"/>
    <w:basedOn w:val="1"/>
    <w:qFormat/>
    <w:uiPriority w:val="0"/>
    <w:pPr>
      <w:widowControl/>
      <w:spacing w:before="100" w:beforeAutospacing="1" w:after="100" w:afterAutospacing="1" w:line="288" w:lineRule="auto"/>
      <w:jc w:val="left"/>
    </w:pPr>
    <w:rPr>
      <w:rFonts w:ascii="ˎ̥" w:hAnsi="ˎ̥" w:cs="宋体"/>
      <w:color w:val="000000"/>
      <w:kern w:val="0"/>
      <w:sz w:val="22"/>
      <w:szCs w:val="22"/>
    </w:rPr>
  </w:style>
  <w:style w:type="paragraph" w:customStyle="1" w:styleId="77">
    <w:name w:val="Char Char Char Char Char Char Char"/>
    <w:basedOn w:val="13"/>
    <w:qFormat/>
    <w:uiPriority w:val="0"/>
    <w:rPr>
      <w:rFonts w:ascii="Tahoma" w:hAnsi="Tahoma"/>
      <w:sz w:val="24"/>
    </w:rPr>
  </w:style>
  <w:style w:type="paragraph" w:customStyle="1" w:styleId="7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Char Char Char Char"/>
    <w:basedOn w:val="1"/>
    <w:qFormat/>
    <w:uiPriority w:val="0"/>
    <w:rPr>
      <w:rFonts w:ascii="Tahoma" w:hAnsi="Tahoma"/>
      <w:sz w:val="24"/>
      <w:szCs w:val="20"/>
    </w:rPr>
  </w:style>
  <w:style w:type="paragraph" w:customStyle="1" w:styleId="82">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83">
    <w:name w:val="样式2"/>
    <w:basedOn w:val="1"/>
    <w:qFormat/>
    <w:uiPriority w:val="0"/>
    <w:pPr>
      <w:tabs>
        <w:tab w:val="left" w:pos="425"/>
      </w:tabs>
      <w:ind w:left="425" w:hanging="425"/>
    </w:pPr>
    <w:rPr>
      <w:szCs w:val="20"/>
    </w:rPr>
  </w:style>
  <w:style w:type="paragraph" w:customStyle="1" w:styleId="84">
    <w:name w:val="四号"/>
    <w:basedOn w:val="1"/>
    <w:next w:val="11"/>
    <w:qFormat/>
    <w:uiPriority w:val="0"/>
    <w:pPr>
      <w:spacing w:line="360" w:lineRule="auto"/>
      <w:ind w:left="1134"/>
    </w:pPr>
    <w:rPr>
      <w:sz w:val="24"/>
    </w:rPr>
  </w:style>
  <w:style w:type="paragraph" w:customStyle="1" w:styleId="85">
    <w:name w:val="Char11"/>
    <w:basedOn w:val="1"/>
    <w:qFormat/>
    <w:uiPriority w:val="0"/>
    <w:pPr>
      <w:spacing w:line="440" w:lineRule="atLeast"/>
      <w:ind w:firstLine="482" w:firstLineChars="200"/>
    </w:pPr>
    <w:rPr>
      <w:rFonts w:ascii="宋体" w:hAnsi="宋体"/>
      <w:b/>
      <w:color w:val="000000"/>
      <w:sz w:val="24"/>
    </w:rPr>
  </w:style>
  <w:style w:type="paragraph" w:customStyle="1" w:styleId="86">
    <w:name w:val="1 Char Char Char Char"/>
    <w:basedOn w:val="1"/>
    <w:qFormat/>
    <w:uiPriority w:val="0"/>
    <w:pPr>
      <w:spacing w:line="360" w:lineRule="auto"/>
      <w:jc w:val="center"/>
    </w:pPr>
    <w:rPr>
      <w:rFonts w:ascii="Tahoma" w:hAnsi="Tahoma"/>
      <w:sz w:val="24"/>
      <w:szCs w:val="20"/>
    </w:rPr>
  </w:style>
  <w:style w:type="paragraph" w:customStyle="1" w:styleId="87">
    <w:name w:val="Char Char Char"/>
    <w:basedOn w:val="1"/>
    <w:qFormat/>
    <w:uiPriority w:val="0"/>
    <w:rPr>
      <w:rFonts w:ascii="Copperplate Gothic Bold" w:hAnsi="Copperplate Gothic Bold"/>
      <w:kern w:val="0"/>
      <w:sz w:val="28"/>
      <w:szCs w:val="28"/>
    </w:rPr>
  </w:style>
  <w:style w:type="paragraph" w:customStyle="1" w:styleId="88">
    <w:name w:val="列出段落2"/>
    <w:basedOn w:val="1"/>
    <w:qFormat/>
    <w:uiPriority w:val="34"/>
    <w:pPr>
      <w:ind w:firstLine="420" w:firstLineChars="200"/>
    </w:pPr>
  </w:style>
  <w:style w:type="paragraph" w:customStyle="1" w:styleId="89">
    <w:name w:val="List Paragraph1"/>
    <w:basedOn w:val="1"/>
    <w:qFormat/>
    <w:uiPriority w:val="0"/>
    <w:pPr>
      <w:ind w:left="720"/>
    </w:pPr>
    <w:rPr>
      <w:szCs w:val="20"/>
    </w:rPr>
  </w:style>
  <w:style w:type="paragraph" w:customStyle="1" w:styleId="90">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91">
    <w:name w:val="列出段落3"/>
    <w:basedOn w:val="1"/>
    <w:unhideWhenUsed/>
    <w:qFormat/>
    <w:uiPriority w:val="99"/>
    <w:pPr>
      <w:ind w:firstLine="420" w:firstLineChars="200"/>
    </w:pPr>
  </w:style>
  <w:style w:type="paragraph" w:customStyle="1" w:styleId="92">
    <w:name w:val="列出段落4"/>
    <w:basedOn w:val="1"/>
    <w:unhideWhenUsed/>
    <w:qFormat/>
    <w:uiPriority w:val="99"/>
    <w:pPr>
      <w:ind w:firstLine="420" w:firstLineChars="200"/>
    </w:pPr>
  </w:style>
  <w:style w:type="character" w:customStyle="1" w:styleId="93">
    <w:name w:val="正文文本 2 Char"/>
    <w:basedOn w:val="40"/>
    <w:link w:val="33"/>
    <w:qFormat/>
    <w:uiPriority w:val="0"/>
    <w:rPr>
      <w:kern w:val="2"/>
      <w:sz w:val="21"/>
      <w:szCs w:val="24"/>
    </w:rPr>
  </w:style>
  <w:style w:type="character" w:customStyle="1" w:styleId="94">
    <w:name w:val="font11"/>
    <w:basedOn w:val="40"/>
    <w:qFormat/>
    <w:uiPriority w:val="0"/>
    <w:rPr>
      <w:rFonts w:hint="eastAsia" w:ascii="宋体" w:hAnsi="宋体" w:eastAsia="宋体" w:cs="宋体"/>
      <w:color w:val="000000"/>
      <w:sz w:val="24"/>
      <w:szCs w:val="24"/>
      <w:u w:val="none"/>
    </w:rPr>
  </w:style>
  <w:style w:type="character" w:customStyle="1" w:styleId="95">
    <w:name w:val="font01"/>
    <w:basedOn w:val="40"/>
    <w:qFormat/>
    <w:uiPriority w:val="0"/>
    <w:rPr>
      <w:rFonts w:hint="eastAsia" w:ascii="宋体" w:hAnsi="宋体" w:eastAsia="宋体" w:cs="宋体"/>
      <w:color w:val="000000"/>
      <w:sz w:val="24"/>
      <w:szCs w:val="24"/>
      <w:u w:val="none"/>
      <w:vertAlign w:val="superscript"/>
    </w:rPr>
  </w:style>
  <w:style w:type="paragraph" w:customStyle="1" w:styleId="96">
    <w:name w:val="列出段落5"/>
    <w:basedOn w:val="1"/>
    <w:qFormat/>
    <w:uiPriority w:val="34"/>
    <w:pPr>
      <w:ind w:firstLine="420" w:firstLineChars="200"/>
    </w:pPr>
  </w:style>
  <w:style w:type="paragraph" w:customStyle="1" w:styleId="97">
    <w:name w:val="_Style 2"/>
    <w:basedOn w:val="1"/>
    <w:qFormat/>
    <w:uiPriority w:val="0"/>
    <w:pPr>
      <w:ind w:firstLine="420" w:firstLineChars="200"/>
    </w:pPr>
  </w:style>
  <w:style w:type="paragraph" w:customStyle="1" w:styleId="98">
    <w:name w:val="_Style 1"/>
    <w:basedOn w:val="1"/>
    <w:qFormat/>
    <w:uiPriority w:val="0"/>
    <w:pPr>
      <w:ind w:firstLine="420" w:firstLineChars="200"/>
    </w:pPr>
    <w:rPr>
      <w:rFonts w:ascii="Calibri" w:hAnsi="Calibri"/>
      <w:szCs w:val="22"/>
    </w:rPr>
  </w:style>
  <w:style w:type="paragraph" w:customStyle="1" w:styleId="9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00">
    <w:name w:val="表格文字中"/>
    <w:basedOn w:val="1"/>
    <w:qFormat/>
    <w:uiPriority w:val="0"/>
    <w:pPr>
      <w:adjustRightInd w:val="0"/>
      <w:snapToGrid w:val="0"/>
      <w:ind w:left="22" w:leftChars="8"/>
      <w:jc w:val="center"/>
    </w:pPr>
    <w:rPr>
      <w:kern w:val="0"/>
    </w:rPr>
  </w:style>
  <w:style w:type="paragraph" w:customStyle="1" w:styleId="101">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102">
    <w:name w:val="目录"/>
    <w:basedOn w:val="1"/>
    <w:qFormat/>
    <w:uiPriority w:val="0"/>
    <w:pPr>
      <w:widowControl/>
      <w:jc w:val="center"/>
    </w:pPr>
    <w:rPr>
      <w:rFonts w:ascii="宋体"/>
      <w:b/>
      <w:kern w:val="0"/>
      <w:sz w:val="36"/>
      <w:szCs w:val="20"/>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04">
    <w:name w:val="List Paragraph"/>
    <w:basedOn w:val="1"/>
    <w:unhideWhenUsed/>
    <w:qFormat/>
    <w:uiPriority w:val="99"/>
    <w:pPr>
      <w:ind w:firstLine="420" w:firstLineChars="200"/>
    </w:pPr>
  </w:style>
  <w:style w:type="paragraph" w:customStyle="1" w:styleId="105">
    <w:name w:val="xiao b"/>
    <w:basedOn w:val="1"/>
    <w:qFormat/>
    <w:uiPriority w:val="0"/>
    <w:pPr>
      <w:spacing w:line="240" w:lineRule="auto"/>
      <w:jc w:val="center"/>
    </w:pPr>
    <w:rPr>
      <w:rFonts w:eastAsia="黑体"/>
      <w:sz w:val="24"/>
      <w:szCs w:val="20"/>
    </w:rPr>
  </w:style>
  <w:style w:type="paragraph" w:styleId="106">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7">
    <w:name w:val="Definition Term"/>
    <w:basedOn w:val="1"/>
    <w:next w:val="1"/>
    <w:qFormat/>
    <w:uiPriority w:val="0"/>
  </w:style>
  <w:style w:type="character" w:customStyle="1" w:styleId="108">
    <w:name w:val="HTML Markup"/>
    <w:qFormat/>
    <w:uiPriority w:val="0"/>
    <w:rPr>
      <w:vanish/>
      <w:color w:val="FF0000"/>
    </w:rPr>
  </w:style>
  <w:style w:type="paragraph" w:customStyle="1" w:styleId="109">
    <w:name w:val="Definition List"/>
    <w:basedOn w:val="1"/>
    <w:next w:val="107"/>
    <w:qFormat/>
    <w:uiPriority w:val="0"/>
    <w:pPr>
      <w:ind w:left="360"/>
    </w:pPr>
  </w:style>
  <w:style w:type="paragraph" w:customStyle="1" w:styleId="110">
    <w:name w:val="WPSOffice手动目录 1"/>
    <w:qFormat/>
    <w:uiPriority w:val="0"/>
    <w:pPr>
      <w:ind w:leftChars="0"/>
    </w:pPr>
    <w:rPr>
      <w:rFonts w:ascii="Times New Roman" w:hAnsi="Times New Roman" w:eastAsia="宋体" w:cs="Times New Roman"/>
      <w:sz w:val="20"/>
      <w:szCs w:val="20"/>
    </w:rPr>
  </w:style>
  <w:style w:type="paragraph" w:customStyle="1" w:styleId="111">
    <w:name w:val="NormalParagraphStyle"/>
    <w:basedOn w:val="1"/>
    <w:qFormat/>
    <w:uiPriority w:val="0"/>
    <w:pPr>
      <w:autoSpaceDE w:val="0"/>
      <w:autoSpaceDN w:val="0"/>
      <w:adjustRightInd w:val="0"/>
      <w:spacing w:line="288" w:lineRule="auto"/>
    </w:pPr>
    <w:rPr>
      <w:rFonts w:hint="eastAsia" w:ascii="宋体" w:hAnsi="Calibri"/>
      <w:color w:val="000000"/>
      <w:kern w:val="0"/>
    </w:rPr>
  </w:style>
  <w:style w:type="paragraph" w:customStyle="1" w:styleId="112">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cs="宋体"/>
      <w:b w:val="0"/>
      <w:bCs w:val="0"/>
      <w:sz w:val="28"/>
      <w:szCs w:val="20"/>
    </w:rPr>
  </w:style>
  <w:style w:type="paragraph" w:customStyle="1" w:styleId="113">
    <w:name w:val="纯文本2"/>
    <w:basedOn w:val="1"/>
    <w:qFormat/>
    <w:uiPriority w:val="0"/>
    <w:pPr>
      <w:spacing w:line="324" w:lineRule="auto"/>
    </w:pPr>
    <w:rPr>
      <w:rFonts w:ascii="宋体" w:hAnsi="Courier New" w:cs="Courier New"/>
      <w:szCs w:val="21"/>
    </w:rPr>
  </w:style>
  <w:style w:type="paragraph" w:customStyle="1" w:styleId="114">
    <w:name w:val="首行缩进"/>
    <w:basedOn w:val="1"/>
    <w:qFormat/>
    <w:uiPriority w:val="99"/>
    <w:pPr>
      <w:ind w:firstLine="480"/>
    </w:pPr>
    <w:rPr>
      <w:rFonts w:ascii="Calibri" w:hAnsi="Calibri"/>
      <w:lang w:val="zh-CN"/>
    </w:rPr>
  </w:style>
  <w:style w:type="paragraph" w:customStyle="1" w:styleId="11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24" w:lineRule="auto"/>
      <w:jc w:val="both"/>
    </w:pPr>
    <w:rPr>
      <w:rFonts w:ascii="Times New Roman" w:hAnsi="Times New Roman" w:eastAsia="Times New Roman" w:cs="Times New Roman"/>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68</Pages>
  <Words>30595</Words>
  <Characters>31528</Characters>
  <Lines>172</Lines>
  <Paragraphs>48</Paragraphs>
  <TotalTime>5</TotalTime>
  <ScaleCrop>false</ScaleCrop>
  <LinksUpToDate>false</LinksUpToDate>
  <CharactersWithSpaces>33652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2015-11-25T00:56:00Z</dcterms:created>
  <dc:creator>YlmF</dc:creator>
  <cp:lastModifiedBy>A   ☆彡……丶猫猫er</cp:lastModifiedBy>
  <cp:lastPrinted>2022-12-02T01:12:33Z</cp:lastPrinted>
  <dcterms:modified xsi:type="dcterms:W3CDTF">2022-12-02T01:12:53Z</dcterms:modified>
  <dc:title>目     录</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4A1E53505A554C2ABCF03E8E7276C1F2</vt:lpwstr>
  </property>
</Properties>
</file>