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24" w:lineRule="auto"/>
        <w:ind w:left="3585"/>
        <w:rPr>
          <w:rFonts w:hint="eastAsia" w:ascii="宋体" w:hAnsi="宋体" w:eastAsia="宋体" w:cs="宋体"/>
          <w:sz w:val="31"/>
          <w:szCs w:val="31"/>
          <w:highlight w:val="none"/>
        </w:rPr>
      </w:pPr>
      <w:r>
        <w:rPr>
          <w:rFonts w:hint="eastAsia" w:ascii="宋体" w:hAnsi="宋体" w:eastAsia="宋体" w:cs="宋体"/>
          <w:spacing w:val="6"/>
          <w:sz w:val="31"/>
          <w:szCs w:val="31"/>
          <w:highlight w:val="none"/>
        </w:rPr>
        <w:t>第一章  谈判公</w:t>
      </w:r>
      <w:r>
        <w:rPr>
          <w:rFonts w:hint="eastAsia" w:ascii="宋体" w:hAnsi="宋体" w:eastAsia="宋体" w:cs="宋体"/>
          <w:spacing w:val="4"/>
          <w:sz w:val="31"/>
          <w:szCs w:val="31"/>
          <w:highlight w:val="none"/>
        </w:rPr>
        <w:t>告</w:t>
      </w:r>
    </w:p>
    <w:p>
      <w:pPr>
        <w:spacing w:before="314" w:line="360" w:lineRule="auto"/>
        <w:ind w:left="30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项</w:t>
      </w:r>
      <w:r>
        <w:rPr>
          <w:rFonts w:hint="eastAsia" w:ascii="宋体" w:hAnsi="宋体" w:eastAsia="宋体" w:cs="宋体"/>
          <w:spacing w:val="-3"/>
          <w:sz w:val="24"/>
          <w:szCs w:val="24"/>
          <w:highlight w:val="none"/>
        </w:rPr>
        <w:t>目概况</w:t>
      </w:r>
    </w:p>
    <w:p>
      <w:pPr>
        <w:spacing w:before="115" w:line="360" w:lineRule="auto"/>
        <w:ind w:left="311" w:right="146" w:firstLine="507"/>
        <w:rPr>
          <w:rFonts w:hint="eastAsia" w:ascii="宋体" w:hAnsi="宋体" w:eastAsia="宋体" w:cs="宋体"/>
          <w:sz w:val="24"/>
          <w:szCs w:val="24"/>
          <w:highlight w:val="none"/>
        </w:rPr>
      </w:pPr>
      <w:r>
        <w:rPr>
          <w:rFonts w:hint="eastAsia" w:ascii="宋体" w:hAnsi="宋体" w:eastAsia="宋体" w:cs="宋体"/>
          <w:spacing w:val="-3"/>
          <w:sz w:val="24"/>
          <w:szCs w:val="24"/>
          <w:highlight w:val="none"/>
          <w:lang w:eastAsia="zh-CN"/>
        </w:rPr>
        <w:t>铜川市王益区中医医院办公家具采购项目的潜在供应商应在陕西省西安市</w:t>
      </w:r>
      <w:r>
        <w:rPr>
          <w:rFonts w:hint="eastAsia" w:ascii="宋体" w:hAnsi="宋体" w:eastAsia="宋体" w:cs="宋体"/>
          <w:spacing w:val="-3"/>
          <w:sz w:val="24"/>
          <w:szCs w:val="24"/>
          <w:highlight w:val="none"/>
          <w:lang w:val="en-US" w:eastAsia="zh-CN"/>
        </w:rPr>
        <w:t>雁塔区太白南路139号荣禾中心1113室</w:t>
      </w:r>
      <w:r>
        <w:rPr>
          <w:rFonts w:hint="eastAsia" w:ascii="宋体" w:hAnsi="宋体" w:eastAsia="宋体" w:cs="宋体"/>
          <w:spacing w:val="-3"/>
          <w:sz w:val="24"/>
          <w:szCs w:val="24"/>
          <w:highlight w:val="none"/>
          <w:lang w:eastAsia="zh-CN"/>
        </w:rPr>
        <w:t>获取采购文件，并于 2023年0</w:t>
      </w:r>
      <w:r>
        <w:rPr>
          <w:rFonts w:hint="eastAsia" w:ascii="宋体" w:hAnsi="宋体" w:eastAsia="宋体" w:cs="宋体"/>
          <w:spacing w:val="-3"/>
          <w:sz w:val="24"/>
          <w:szCs w:val="24"/>
          <w:highlight w:val="none"/>
          <w:lang w:val="en-US" w:eastAsia="zh-CN"/>
        </w:rPr>
        <w:t>2</w:t>
      </w:r>
      <w:r>
        <w:rPr>
          <w:rFonts w:hint="eastAsia" w:ascii="宋体" w:hAnsi="宋体" w:eastAsia="宋体" w:cs="宋体"/>
          <w:spacing w:val="-3"/>
          <w:sz w:val="24"/>
          <w:szCs w:val="24"/>
          <w:highlight w:val="none"/>
          <w:lang w:eastAsia="zh-CN"/>
        </w:rPr>
        <w:t>月</w:t>
      </w:r>
      <w:r>
        <w:rPr>
          <w:rFonts w:hint="eastAsia" w:ascii="宋体" w:hAnsi="宋体" w:eastAsia="宋体" w:cs="宋体"/>
          <w:spacing w:val="-3"/>
          <w:sz w:val="24"/>
          <w:szCs w:val="24"/>
          <w:highlight w:val="none"/>
          <w:lang w:val="en-US" w:eastAsia="zh-CN"/>
        </w:rPr>
        <w:t>21</w:t>
      </w:r>
      <w:r>
        <w:rPr>
          <w:rFonts w:hint="eastAsia" w:ascii="宋体" w:hAnsi="宋体" w:eastAsia="宋体" w:cs="宋体"/>
          <w:spacing w:val="-3"/>
          <w:sz w:val="24"/>
          <w:szCs w:val="24"/>
          <w:highlight w:val="none"/>
          <w:lang w:eastAsia="zh-CN"/>
        </w:rPr>
        <w:t>日</w:t>
      </w:r>
      <w:r>
        <w:rPr>
          <w:rFonts w:hint="eastAsia" w:ascii="宋体" w:hAnsi="宋体" w:eastAsia="宋体" w:cs="宋体"/>
          <w:spacing w:val="-3"/>
          <w:sz w:val="24"/>
          <w:szCs w:val="24"/>
          <w:highlight w:val="none"/>
          <w:lang w:val="en-US" w:eastAsia="zh-CN"/>
        </w:rPr>
        <w:t>14</w:t>
      </w:r>
      <w:r>
        <w:rPr>
          <w:rFonts w:hint="eastAsia" w:ascii="宋体" w:hAnsi="宋体" w:eastAsia="宋体" w:cs="宋体"/>
          <w:spacing w:val="-3"/>
          <w:sz w:val="24"/>
          <w:szCs w:val="24"/>
          <w:highlight w:val="none"/>
          <w:lang w:eastAsia="zh-CN"/>
        </w:rPr>
        <w:t>时</w:t>
      </w:r>
      <w:r>
        <w:rPr>
          <w:rFonts w:hint="eastAsia" w:ascii="宋体" w:hAnsi="宋体" w:eastAsia="宋体" w:cs="宋体"/>
          <w:spacing w:val="-3"/>
          <w:sz w:val="24"/>
          <w:szCs w:val="24"/>
          <w:highlight w:val="none"/>
          <w:lang w:val="en-US" w:eastAsia="zh-CN"/>
        </w:rPr>
        <w:t>00</w:t>
      </w:r>
      <w:r>
        <w:rPr>
          <w:rFonts w:hint="eastAsia" w:ascii="宋体" w:hAnsi="宋体" w:eastAsia="宋体" w:cs="宋体"/>
          <w:spacing w:val="-3"/>
          <w:sz w:val="24"/>
          <w:szCs w:val="24"/>
          <w:highlight w:val="none"/>
          <w:lang w:eastAsia="zh-CN"/>
        </w:rPr>
        <w:t>分 （北京时间）前</w:t>
      </w:r>
      <w:r>
        <w:rPr>
          <w:rFonts w:hint="eastAsia" w:ascii="宋体" w:hAnsi="宋体" w:eastAsia="宋体" w:cs="宋体"/>
          <w:spacing w:val="-3"/>
          <w:sz w:val="24"/>
          <w:szCs w:val="24"/>
          <w:highlight w:val="none"/>
          <w:lang w:val="en-US" w:eastAsia="zh-CN"/>
        </w:rPr>
        <w:t>在西安市高新区唐延南路8号泰维智链中心一期A座一层大会议室</w:t>
      </w:r>
      <w:r>
        <w:rPr>
          <w:rFonts w:hint="eastAsia" w:ascii="宋体" w:hAnsi="宋体" w:eastAsia="宋体" w:cs="宋体"/>
          <w:spacing w:val="-3"/>
          <w:sz w:val="24"/>
          <w:szCs w:val="24"/>
          <w:highlight w:val="none"/>
          <w:lang w:eastAsia="zh-CN"/>
        </w:rPr>
        <w:t>提交响应文件。</w:t>
      </w:r>
      <w:r>
        <w:rPr>
          <w:rFonts w:hint="eastAsia" w:ascii="宋体" w:hAnsi="宋体" w:eastAsia="宋体" w:cs="宋体"/>
          <w:spacing w:val="-8"/>
          <w:sz w:val="24"/>
          <w:szCs w:val="24"/>
          <w:highlight w:val="none"/>
        </w:rPr>
        <w:t>(北京时间)前提交响应文件。</w:t>
      </w:r>
    </w:p>
    <w:p>
      <w:pPr>
        <w:spacing w:line="360" w:lineRule="auto"/>
        <w:ind w:left="310"/>
        <w:outlineLvl w:val="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一、项目基本</w:t>
      </w:r>
      <w:r>
        <w:rPr>
          <w:rFonts w:hint="eastAsia" w:ascii="宋体" w:hAnsi="宋体" w:eastAsia="宋体" w:cs="宋体"/>
          <w:spacing w:val="-1"/>
          <w:sz w:val="24"/>
          <w:szCs w:val="24"/>
          <w:highlight w:val="none"/>
        </w:rPr>
        <w:t>情况</w:t>
      </w:r>
    </w:p>
    <w:p>
      <w:pPr>
        <w:spacing w:before="114" w:line="360" w:lineRule="auto"/>
        <w:ind w:left="787"/>
        <w:rPr>
          <w:rFonts w:hint="eastAsia" w:ascii="宋体" w:hAnsi="宋体" w:eastAsia="宋体" w:cs="宋体"/>
          <w:spacing w:val="-10"/>
          <w:position w:val="11"/>
          <w:sz w:val="24"/>
          <w:szCs w:val="24"/>
          <w:highlight w:val="none"/>
        </w:rPr>
      </w:pPr>
      <w:r>
        <w:rPr>
          <w:rFonts w:hint="eastAsia" w:ascii="宋体" w:hAnsi="宋体" w:eastAsia="宋体" w:cs="宋体"/>
          <w:spacing w:val="-10"/>
          <w:position w:val="11"/>
          <w:sz w:val="24"/>
          <w:szCs w:val="24"/>
          <w:highlight w:val="none"/>
        </w:rPr>
        <w:t>项</w:t>
      </w:r>
      <w:r>
        <w:rPr>
          <w:rFonts w:hint="eastAsia" w:ascii="宋体" w:hAnsi="宋体" w:eastAsia="宋体" w:cs="宋体"/>
          <w:spacing w:val="-7"/>
          <w:position w:val="11"/>
          <w:sz w:val="24"/>
          <w:szCs w:val="24"/>
          <w:highlight w:val="none"/>
        </w:rPr>
        <w:t>目</w:t>
      </w:r>
      <w:r>
        <w:rPr>
          <w:rFonts w:hint="eastAsia" w:ascii="宋体" w:hAnsi="宋体" w:eastAsia="宋体" w:cs="宋体"/>
          <w:spacing w:val="-5"/>
          <w:position w:val="11"/>
          <w:sz w:val="24"/>
          <w:szCs w:val="24"/>
          <w:highlight w:val="none"/>
        </w:rPr>
        <w:t>编号：</w:t>
      </w:r>
      <w:r>
        <w:rPr>
          <w:rFonts w:hint="eastAsia" w:ascii="宋体" w:hAnsi="宋体" w:eastAsia="宋体" w:cs="宋体"/>
          <w:spacing w:val="-10"/>
          <w:position w:val="11"/>
          <w:sz w:val="24"/>
          <w:szCs w:val="24"/>
          <w:highlight w:val="none"/>
          <w:lang w:eastAsia="zh-CN"/>
        </w:rPr>
        <w:t>DL2023ZFCG-101</w:t>
      </w:r>
    </w:p>
    <w:p>
      <w:pPr>
        <w:spacing w:before="1" w:line="360" w:lineRule="auto"/>
        <w:ind w:left="787"/>
        <w:rPr>
          <w:rFonts w:hint="eastAsia" w:ascii="宋体" w:hAnsi="宋体" w:eastAsia="宋体" w:cs="宋体"/>
          <w:sz w:val="24"/>
          <w:szCs w:val="24"/>
          <w:highlight w:val="none"/>
          <w:lang w:eastAsia="zh-CN"/>
        </w:rPr>
      </w:pPr>
      <w:r>
        <w:rPr>
          <w:rFonts w:hint="eastAsia" w:ascii="宋体" w:hAnsi="宋体" w:eastAsia="宋体" w:cs="宋体"/>
          <w:spacing w:val="-16"/>
          <w:sz w:val="24"/>
          <w:szCs w:val="24"/>
          <w:highlight w:val="none"/>
        </w:rPr>
        <w:t>项</w:t>
      </w:r>
      <w:r>
        <w:rPr>
          <w:rFonts w:hint="eastAsia" w:ascii="宋体" w:hAnsi="宋体" w:eastAsia="宋体" w:cs="宋体"/>
          <w:spacing w:val="-12"/>
          <w:sz w:val="24"/>
          <w:szCs w:val="24"/>
          <w:highlight w:val="none"/>
        </w:rPr>
        <w:t>目</w:t>
      </w:r>
      <w:r>
        <w:rPr>
          <w:rFonts w:hint="eastAsia" w:ascii="宋体" w:hAnsi="宋体" w:eastAsia="宋体" w:cs="宋体"/>
          <w:spacing w:val="-8"/>
          <w:sz w:val="24"/>
          <w:szCs w:val="24"/>
          <w:highlight w:val="none"/>
        </w:rPr>
        <w:t>名称：</w:t>
      </w:r>
      <w:r>
        <w:rPr>
          <w:rFonts w:hint="eastAsia" w:ascii="宋体" w:hAnsi="宋体" w:eastAsia="宋体" w:cs="宋体"/>
          <w:spacing w:val="-8"/>
          <w:sz w:val="24"/>
          <w:szCs w:val="24"/>
          <w:highlight w:val="none"/>
          <w:lang w:eastAsia="zh-CN"/>
        </w:rPr>
        <w:t>铜川市王益区中医医院办公家具采购项目</w:t>
      </w:r>
    </w:p>
    <w:p>
      <w:pPr>
        <w:spacing w:before="120" w:line="360" w:lineRule="auto"/>
        <w:ind w:left="788"/>
        <w:rPr>
          <w:rFonts w:hint="eastAsia" w:ascii="宋体" w:hAnsi="宋体" w:eastAsia="宋体" w:cs="宋体"/>
          <w:sz w:val="24"/>
          <w:szCs w:val="24"/>
          <w:highlight w:val="none"/>
        </w:rPr>
      </w:pPr>
      <w:r>
        <w:rPr>
          <w:rFonts w:hint="eastAsia" w:ascii="宋体" w:hAnsi="宋体" w:eastAsia="宋体" w:cs="宋体"/>
          <w:spacing w:val="-2"/>
          <w:position w:val="11"/>
          <w:sz w:val="24"/>
          <w:szCs w:val="24"/>
          <w:highlight w:val="none"/>
        </w:rPr>
        <w:t>采购方式：竞</w:t>
      </w:r>
      <w:r>
        <w:rPr>
          <w:rFonts w:hint="eastAsia" w:ascii="宋体" w:hAnsi="宋体" w:eastAsia="宋体" w:cs="宋体"/>
          <w:spacing w:val="-1"/>
          <w:position w:val="11"/>
          <w:sz w:val="24"/>
          <w:szCs w:val="24"/>
          <w:highlight w:val="none"/>
        </w:rPr>
        <w:t>争性谈判</w:t>
      </w:r>
    </w:p>
    <w:p>
      <w:pPr>
        <w:spacing w:line="360" w:lineRule="auto"/>
        <w:ind w:left="788"/>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 xml:space="preserve">预算金额： </w:t>
      </w:r>
      <w:r>
        <w:rPr>
          <w:rFonts w:hint="eastAsia" w:ascii="宋体" w:hAnsi="宋体" w:eastAsia="宋体" w:cs="宋体"/>
          <w:spacing w:val="-10"/>
          <w:sz w:val="24"/>
          <w:szCs w:val="24"/>
          <w:highlight w:val="none"/>
          <w:lang w:eastAsia="zh-CN"/>
        </w:rPr>
        <w:t>1,200,000.00</w:t>
      </w:r>
      <w:r>
        <w:rPr>
          <w:rFonts w:hint="eastAsia" w:ascii="宋体" w:hAnsi="宋体" w:eastAsia="宋体" w:cs="宋体"/>
          <w:spacing w:val="-10"/>
          <w:sz w:val="24"/>
          <w:szCs w:val="24"/>
          <w:highlight w:val="none"/>
        </w:rPr>
        <w:t xml:space="preserve"> </w:t>
      </w:r>
      <w:r>
        <w:rPr>
          <w:rFonts w:hint="eastAsia" w:ascii="宋体" w:hAnsi="宋体" w:eastAsia="宋体" w:cs="宋体"/>
          <w:spacing w:val="-8"/>
          <w:sz w:val="24"/>
          <w:szCs w:val="24"/>
          <w:highlight w:val="none"/>
        </w:rPr>
        <w:t>元</w:t>
      </w:r>
    </w:p>
    <w:p>
      <w:pPr>
        <w:spacing w:before="119" w:line="360" w:lineRule="auto"/>
        <w:ind w:left="788"/>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采</w:t>
      </w:r>
      <w:r>
        <w:rPr>
          <w:rFonts w:hint="eastAsia" w:ascii="宋体" w:hAnsi="宋体" w:eastAsia="宋体" w:cs="宋体"/>
          <w:spacing w:val="-11"/>
          <w:sz w:val="24"/>
          <w:szCs w:val="24"/>
          <w:highlight w:val="none"/>
        </w:rPr>
        <w:t>购需求：</w:t>
      </w:r>
    </w:p>
    <w:p>
      <w:pPr>
        <w:spacing w:before="117" w:line="360" w:lineRule="auto"/>
        <w:ind w:left="1273"/>
        <w:rPr>
          <w:rFonts w:hint="eastAsia" w:ascii="宋体" w:hAnsi="宋体" w:eastAsia="宋体" w:cs="宋体"/>
          <w:sz w:val="24"/>
          <w:szCs w:val="24"/>
          <w:highlight w:val="none"/>
        </w:rPr>
      </w:pPr>
      <w:r>
        <w:rPr>
          <w:rFonts w:hint="eastAsia" w:ascii="宋体" w:hAnsi="宋体" w:eastAsia="宋体" w:cs="宋体"/>
          <w:spacing w:val="-3"/>
          <w:position w:val="11"/>
          <w:sz w:val="24"/>
          <w:szCs w:val="24"/>
          <w:highlight w:val="none"/>
        </w:rPr>
        <w:t>合同包 1 (</w:t>
      </w:r>
      <w:r>
        <w:rPr>
          <w:rFonts w:hint="eastAsia" w:ascii="宋体" w:hAnsi="宋体" w:eastAsia="宋体" w:cs="宋体"/>
          <w:spacing w:val="-3"/>
          <w:position w:val="11"/>
          <w:sz w:val="24"/>
          <w:szCs w:val="24"/>
          <w:highlight w:val="none"/>
          <w:lang w:eastAsia="zh-CN"/>
        </w:rPr>
        <w:t>铜川市王益区中医医院办公家具采购项目</w:t>
      </w:r>
      <w:r>
        <w:rPr>
          <w:rFonts w:hint="eastAsia" w:ascii="宋体" w:hAnsi="宋体" w:eastAsia="宋体" w:cs="宋体"/>
          <w:spacing w:val="-2"/>
          <w:position w:val="11"/>
          <w:sz w:val="24"/>
          <w:szCs w:val="24"/>
          <w:highlight w:val="none"/>
        </w:rPr>
        <w:t>)</w:t>
      </w:r>
    </w:p>
    <w:p>
      <w:pPr>
        <w:spacing w:line="360" w:lineRule="auto"/>
        <w:ind w:left="1273"/>
        <w:rPr>
          <w:rFonts w:hint="eastAsia" w:ascii="宋体" w:hAnsi="宋体" w:eastAsia="宋体" w:cs="宋体"/>
          <w:sz w:val="24"/>
          <w:szCs w:val="24"/>
          <w:highlight w:val="none"/>
        </w:rPr>
      </w:pPr>
      <w:r>
        <w:rPr>
          <w:rFonts w:hint="eastAsia" w:ascii="宋体" w:hAnsi="宋体" w:eastAsia="宋体" w:cs="宋体"/>
          <w:spacing w:val="-16"/>
          <w:sz w:val="24"/>
          <w:szCs w:val="24"/>
          <w:highlight w:val="none"/>
        </w:rPr>
        <w:t>合</w:t>
      </w:r>
      <w:r>
        <w:rPr>
          <w:rFonts w:hint="eastAsia" w:ascii="宋体" w:hAnsi="宋体" w:eastAsia="宋体" w:cs="宋体"/>
          <w:spacing w:val="-15"/>
          <w:sz w:val="24"/>
          <w:szCs w:val="24"/>
          <w:highlight w:val="none"/>
        </w:rPr>
        <w:t>同</w:t>
      </w:r>
      <w:r>
        <w:rPr>
          <w:rFonts w:hint="eastAsia" w:ascii="宋体" w:hAnsi="宋体" w:eastAsia="宋体" w:cs="宋体"/>
          <w:spacing w:val="-8"/>
          <w:sz w:val="24"/>
          <w:szCs w:val="24"/>
          <w:highlight w:val="none"/>
        </w:rPr>
        <w:t xml:space="preserve">包预算金额： </w:t>
      </w:r>
      <w:r>
        <w:rPr>
          <w:rFonts w:hint="eastAsia" w:ascii="宋体" w:hAnsi="宋体" w:eastAsia="宋体" w:cs="宋体"/>
          <w:spacing w:val="-8"/>
          <w:sz w:val="24"/>
          <w:szCs w:val="24"/>
          <w:highlight w:val="none"/>
          <w:lang w:eastAsia="zh-CN"/>
        </w:rPr>
        <w:t>1,200,000.00</w:t>
      </w:r>
      <w:r>
        <w:rPr>
          <w:rFonts w:hint="eastAsia" w:ascii="宋体" w:hAnsi="宋体" w:eastAsia="宋体" w:cs="宋体"/>
          <w:spacing w:val="-8"/>
          <w:sz w:val="24"/>
          <w:szCs w:val="24"/>
          <w:highlight w:val="none"/>
        </w:rPr>
        <w:t xml:space="preserve"> 元</w:t>
      </w:r>
    </w:p>
    <w:p>
      <w:pPr>
        <w:spacing w:line="59" w:lineRule="auto"/>
        <w:rPr>
          <w:rFonts w:hint="eastAsia" w:ascii="宋体" w:hAnsi="宋体" w:eastAsia="宋体" w:cs="宋体"/>
          <w:sz w:val="2"/>
          <w:highlight w:val="none"/>
        </w:rPr>
      </w:pPr>
    </w:p>
    <w:tbl>
      <w:tblPr>
        <w:tblStyle w:val="8"/>
        <w:tblW w:w="9491"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998"/>
        <w:gridCol w:w="1443"/>
        <w:gridCol w:w="1159"/>
        <w:gridCol w:w="1473"/>
        <w:gridCol w:w="982"/>
        <w:gridCol w:w="1677"/>
        <w:gridCol w:w="1759"/>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764" w:hRule="atLeast"/>
        </w:trPr>
        <w:tc>
          <w:tcPr>
            <w:tcW w:w="998" w:type="dxa"/>
            <w:tcBorders>
              <w:top w:val="single" w:color="333333" w:sz="2" w:space="0"/>
              <w:bottom w:val="single" w:color="333333" w:sz="2" w:space="0"/>
            </w:tcBorders>
            <w:noWrap w:val="0"/>
            <w:vAlign w:val="top"/>
          </w:tcPr>
          <w:p>
            <w:pPr>
              <w:spacing w:line="358" w:lineRule="auto"/>
              <w:rPr>
                <w:rFonts w:hint="eastAsia" w:ascii="宋体" w:hAnsi="宋体" w:eastAsia="宋体" w:cs="宋体"/>
                <w:sz w:val="21"/>
                <w:highlight w:val="none"/>
              </w:rPr>
            </w:pPr>
          </w:p>
          <w:p>
            <w:pPr>
              <w:spacing w:line="358" w:lineRule="auto"/>
              <w:rPr>
                <w:rFonts w:hint="eastAsia" w:ascii="宋体" w:hAnsi="宋体" w:eastAsia="宋体" w:cs="宋体"/>
                <w:sz w:val="21"/>
                <w:highlight w:val="none"/>
              </w:rPr>
            </w:pPr>
          </w:p>
          <w:p>
            <w:pPr>
              <w:spacing w:before="78" w:line="220" w:lineRule="auto"/>
              <w:ind w:left="174"/>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品</w:t>
            </w:r>
            <w:r>
              <w:rPr>
                <w:rFonts w:hint="eastAsia" w:ascii="宋体" w:hAnsi="宋体" w:eastAsia="宋体" w:cs="宋体"/>
                <w:spacing w:val="-9"/>
                <w:sz w:val="24"/>
                <w:szCs w:val="24"/>
                <w:highlight w:val="none"/>
              </w:rPr>
              <w:t>目号</w:t>
            </w:r>
          </w:p>
        </w:tc>
        <w:tc>
          <w:tcPr>
            <w:tcW w:w="1443" w:type="dxa"/>
            <w:tcBorders>
              <w:top w:val="single" w:color="333333" w:sz="2" w:space="0"/>
              <w:bottom w:val="single" w:color="333333" w:sz="2" w:space="0"/>
            </w:tcBorders>
            <w:noWrap w:val="0"/>
            <w:vAlign w:val="top"/>
          </w:tcPr>
          <w:p>
            <w:pPr>
              <w:spacing w:line="358" w:lineRule="auto"/>
              <w:rPr>
                <w:rFonts w:hint="eastAsia" w:ascii="宋体" w:hAnsi="宋体" w:eastAsia="宋体" w:cs="宋体"/>
                <w:sz w:val="21"/>
                <w:highlight w:val="none"/>
              </w:rPr>
            </w:pPr>
          </w:p>
          <w:p>
            <w:pPr>
              <w:spacing w:line="358" w:lineRule="auto"/>
              <w:rPr>
                <w:rFonts w:hint="eastAsia" w:ascii="宋体" w:hAnsi="宋体" w:eastAsia="宋体" w:cs="宋体"/>
                <w:sz w:val="21"/>
                <w:highlight w:val="none"/>
              </w:rPr>
            </w:pPr>
          </w:p>
          <w:p>
            <w:pPr>
              <w:spacing w:before="78" w:line="217" w:lineRule="auto"/>
              <w:ind w:left="441"/>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品目名称</w:t>
            </w:r>
          </w:p>
        </w:tc>
        <w:tc>
          <w:tcPr>
            <w:tcW w:w="1159" w:type="dxa"/>
            <w:tcBorders>
              <w:top w:val="single" w:color="333333" w:sz="2" w:space="0"/>
              <w:bottom w:val="single" w:color="333333" w:sz="2" w:space="0"/>
            </w:tcBorders>
            <w:noWrap w:val="0"/>
            <w:vAlign w:val="top"/>
          </w:tcPr>
          <w:p>
            <w:pPr>
              <w:spacing w:line="358" w:lineRule="auto"/>
              <w:rPr>
                <w:rFonts w:hint="eastAsia" w:ascii="宋体" w:hAnsi="宋体" w:eastAsia="宋体" w:cs="宋体"/>
                <w:sz w:val="21"/>
                <w:highlight w:val="none"/>
              </w:rPr>
            </w:pPr>
          </w:p>
          <w:p>
            <w:pPr>
              <w:spacing w:line="358" w:lineRule="auto"/>
              <w:rPr>
                <w:rFonts w:hint="eastAsia" w:ascii="宋体" w:hAnsi="宋体" w:eastAsia="宋体" w:cs="宋体"/>
                <w:sz w:val="21"/>
                <w:highlight w:val="none"/>
              </w:rPr>
            </w:pPr>
          </w:p>
          <w:p>
            <w:pPr>
              <w:spacing w:before="78" w:line="218" w:lineRule="auto"/>
              <w:ind w:left="163"/>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采</w:t>
            </w:r>
            <w:r>
              <w:rPr>
                <w:rFonts w:hint="eastAsia" w:ascii="宋体" w:hAnsi="宋体" w:eastAsia="宋体" w:cs="宋体"/>
                <w:spacing w:val="-3"/>
                <w:sz w:val="24"/>
                <w:szCs w:val="24"/>
                <w:highlight w:val="none"/>
              </w:rPr>
              <w:t>购标的</w:t>
            </w:r>
          </w:p>
        </w:tc>
        <w:tc>
          <w:tcPr>
            <w:tcW w:w="1473" w:type="dxa"/>
            <w:tcBorders>
              <w:top w:val="single" w:color="333333" w:sz="2" w:space="0"/>
              <w:bottom w:val="single" w:color="333333" w:sz="2" w:space="0"/>
            </w:tcBorders>
            <w:noWrap w:val="0"/>
            <w:vAlign w:val="top"/>
          </w:tcPr>
          <w:p>
            <w:pPr>
              <w:spacing w:line="358" w:lineRule="auto"/>
              <w:rPr>
                <w:rFonts w:hint="eastAsia" w:ascii="宋体" w:hAnsi="宋体" w:eastAsia="宋体" w:cs="宋体"/>
                <w:sz w:val="21"/>
                <w:highlight w:val="none"/>
              </w:rPr>
            </w:pPr>
          </w:p>
          <w:p>
            <w:pPr>
              <w:spacing w:line="358" w:lineRule="auto"/>
              <w:rPr>
                <w:rFonts w:hint="eastAsia" w:ascii="宋体" w:hAnsi="宋体" w:eastAsia="宋体" w:cs="宋体"/>
                <w:sz w:val="21"/>
                <w:highlight w:val="none"/>
              </w:rPr>
            </w:pPr>
          </w:p>
          <w:p>
            <w:pPr>
              <w:spacing w:before="78" w:line="217" w:lineRule="auto"/>
              <w:ind w:left="128"/>
              <w:rPr>
                <w:rFonts w:hint="eastAsia" w:ascii="宋体" w:hAnsi="宋体" w:eastAsia="宋体" w:cs="宋体"/>
                <w:sz w:val="24"/>
                <w:szCs w:val="24"/>
                <w:highlight w:val="none"/>
              </w:rPr>
            </w:pPr>
            <w:r>
              <w:rPr>
                <w:rFonts w:hint="eastAsia" w:ascii="宋体" w:hAnsi="宋体" w:eastAsia="宋体" w:cs="宋体"/>
                <w:spacing w:val="15"/>
                <w:sz w:val="24"/>
                <w:szCs w:val="24"/>
                <w:highlight w:val="none"/>
              </w:rPr>
              <w:t>数量(单位</w:t>
            </w:r>
            <w:r>
              <w:rPr>
                <w:rFonts w:hint="eastAsia" w:ascii="宋体" w:hAnsi="宋体" w:eastAsia="宋体" w:cs="宋体"/>
                <w:spacing w:val="14"/>
                <w:sz w:val="24"/>
                <w:szCs w:val="24"/>
                <w:highlight w:val="none"/>
              </w:rPr>
              <w:t>)</w:t>
            </w:r>
          </w:p>
        </w:tc>
        <w:tc>
          <w:tcPr>
            <w:tcW w:w="982" w:type="dxa"/>
            <w:tcBorders>
              <w:top w:val="single" w:color="333333" w:sz="2" w:space="0"/>
              <w:bottom w:val="single" w:color="333333" w:sz="2" w:space="0"/>
            </w:tcBorders>
            <w:noWrap w:val="0"/>
            <w:vAlign w:val="top"/>
          </w:tcPr>
          <w:p>
            <w:pPr>
              <w:spacing w:before="199" w:line="218" w:lineRule="auto"/>
              <w:ind w:left="163"/>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技</w:t>
            </w:r>
            <w:r>
              <w:rPr>
                <w:rFonts w:hint="eastAsia" w:ascii="宋体" w:hAnsi="宋体" w:eastAsia="宋体" w:cs="宋体"/>
                <w:spacing w:val="-3"/>
                <w:sz w:val="24"/>
                <w:szCs w:val="24"/>
                <w:highlight w:val="none"/>
              </w:rPr>
              <w:t>术规</w:t>
            </w:r>
          </w:p>
          <w:p>
            <w:pPr>
              <w:spacing w:before="115" w:line="218" w:lineRule="auto"/>
              <w:ind w:left="16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格</w:t>
            </w:r>
            <w:r>
              <w:rPr>
                <w:rFonts w:hint="eastAsia" w:ascii="宋体" w:hAnsi="宋体" w:eastAsia="宋体" w:cs="宋体"/>
                <w:spacing w:val="-3"/>
                <w:sz w:val="24"/>
                <w:szCs w:val="24"/>
                <w:highlight w:val="none"/>
              </w:rPr>
              <w:t>、参</w:t>
            </w:r>
          </w:p>
          <w:p>
            <w:pPr>
              <w:spacing w:before="117" w:line="219" w:lineRule="auto"/>
              <w:ind w:left="16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数</w:t>
            </w:r>
            <w:r>
              <w:rPr>
                <w:rFonts w:hint="eastAsia" w:ascii="宋体" w:hAnsi="宋体" w:eastAsia="宋体" w:cs="宋体"/>
                <w:spacing w:val="-3"/>
                <w:sz w:val="24"/>
                <w:szCs w:val="24"/>
                <w:highlight w:val="none"/>
              </w:rPr>
              <w:t>及要</w:t>
            </w:r>
          </w:p>
          <w:p>
            <w:pPr>
              <w:spacing w:before="116" w:line="218" w:lineRule="auto"/>
              <w:ind w:left="408"/>
              <w:rPr>
                <w:rFonts w:hint="eastAsia" w:ascii="宋体" w:hAnsi="宋体" w:eastAsia="宋体" w:cs="宋体"/>
                <w:sz w:val="24"/>
                <w:szCs w:val="24"/>
                <w:highlight w:val="none"/>
              </w:rPr>
            </w:pPr>
            <w:r>
              <w:rPr>
                <w:rFonts w:hint="eastAsia" w:ascii="宋体" w:hAnsi="宋体" w:eastAsia="宋体" w:cs="宋体"/>
                <w:sz w:val="24"/>
                <w:szCs w:val="24"/>
                <w:highlight w:val="none"/>
              </w:rPr>
              <w:t>求</w:t>
            </w:r>
          </w:p>
        </w:tc>
        <w:tc>
          <w:tcPr>
            <w:tcW w:w="1677" w:type="dxa"/>
            <w:tcBorders>
              <w:top w:val="single" w:color="333333" w:sz="2" w:space="0"/>
              <w:bottom w:val="single" w:color="333333" w:sz="2" w:space="0"/>
            </w:tcBorders>
            <w:noWrap w:val="0"/>
            <w:vAlign w:val="top"/>
          </w:tcPr>
          <w:p>
            <w:pPr>
              <w:spacing w:line="258" w:lineRule="auto"/>
              <w:rPr>
                <w:rFonts w:hint="eastAsia" w:ascii="宋体" w:hAnsi="宋体" w:eastAsia="宋体" w:cs="宋体"/>
                <w:sz w:val="21"/>
                <w:highlight w:val="none"/>
              </w:rPr>
            </w:pPr>
          </w:p>
          <w:p>
            <w:pPr>
              <w:spacing w:line="258" w:lineRule="auto"/>
              <w:rPr>
                <w:rFonts w:hint="eastAsia" w:ascii="宋体" w:hAnsi="宋体" w:eastAsia="宋体" w:cs="宋体"/>
                <w:sz w:val="21"/>
                <w:highlight w:val="none"/>
              </w:rPr>
            </w:pPr>
          </w:p>
          <w:p>
            <w:pPr>
              <w:spacing w:before="78" w:line="217" w:lineRule="auto"/>
              <w:ind w:left="252"/>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品</w:t>
            </w:r>
            <w:r>
              <w:rPr>
                <w:rFonts w:hint="eastAsia" w:ascii="宋体" w:hAnsi="宋体" w:eastAsia="宋体" w:cs="宋体"/>
                <w:spacing w:val="-10"/>
                <w:sz w:val="24"/>
                <w:szCs w:val="24"/>
                <w:highlight w:val="none"/>
              </w:rPr>
              <w:t>目预算</w:t>
            </w:r>
          </w:p>
          <w:p>
            <w:pPr>
              <w:spacing w:before="117" w:line="220" w:lineRule="auto"/>
              <w:ind w:left="500"/>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(元)</w:t>
            </w:r>
          </w:p>
        </w:tc>
        <w:tc>
          <w:tcPr>
            <w:tcW w:w="1759" w:type="dxa"/>
            <w:tcBorders>
              <w:top w:val="single" w:color="333333" w:sz="2" w:space="0"/>
              <w:bottom w:val="single" w:color="333333" w:sz="2" w:space="0"/>
            </w:tcBorders>
            <w:noWrap w:val="0"/>
            <w:vAlign w:val="top"/>
          </w:tcPr>
          <w:p>
            <w:pPr>
              <w:spacing w:line="258" w:lineRule="auto"/>
              <w:rPr>
                <w:rFonts w:hint="eastAsia" w:ascii="宋体" w:hAnsi="宋体" w:eastAsia="宋体" w:cs="宋体"/>
                <w:sz w:val="21"/>
                <w:highlight w:val="none"/>
              </w:rPr>
            </w:pPr>
          </w:p>
          <w:p>
            <w:pPr>
              <w:spacing w:line="258" w:lineRule="auto"/>
              <w:rPr>
                <w:rFonts w:hint="eastAsia" w:ascii="宋体" w:hAnsi="宋体" w:eastAsia="宋体" w:cs="宋体"/>
                <w:sz w:val="21"/>
                <w:highlight w:val="none"/>
              </w:rPr>
            </w:pPr>
          </w:p>
          <w:p>
            <w:pPr>
              <w:spacing w:before="78" w:line="218" w:lineRule="auto"/>
              <w:ind w:left="234"/>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最</w:t>
            </w:r>
            <w:r>
              <w:rPr>
                <w:rFonts w:hint="eastAsia" w:ascii="宋体" w:hAnsi="宋体" w:eastAsia="宋体" w:cs="宋体"/>
                <w:spacing w:val="-4"/>
                <w:sz w:val="24"/>
                <w:szCs w:val="24"/>
                <w:highlight w:val="none"/>
              </w:rPr>
              <w:t>高限价</w:t>
            </w:r>
          </w:p>
          <w:p>
            <w:pPr>
              <w:spacing w:before="116" w:line="220" w:lineRule="auto"/>
              <w:ind w:left="502"/>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(元)</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PrEx>
        <w:trPr>
          <w:trHeight w:val="1725" w:hRule="atLeast"/>
        </w:trPr>
        <w:tc>
          <w:tcPr>
            <w:tcW w:w="998" w:type="dxa"/>
            <w:tcBorders>
              <w:top w:val="single" w:color="333333" w:sz="2" w:space="0"/>
              <w:bottom w:val="single" w:color="333333" w:sz="2" w:space="0"/>
            </w:tcBorders>
            <w:noWrap w:val="0"/>
            <w:vAlign w:val="top"/>
          </w:tcPr>
          <w:p>
            <w:pPr>
              <w:spacing w:before="78" w:line="218" w:lineRule="auto"/>
              <w:ind w:left="163"/>
              <w:jc w:val="center"/>
              <w:rPr>
                <w:rFonts w:hint="eastAsia" w:ascii="宋体" w:hAnsi="宋体" w:eastAsia="宋体" w:cs="宋体"/>
                <w:spacing w:val="-5"/>
                <w:sz w:val="24"/>
                <w:szCs w:val="24"/>
                <w:highlight w:val="none"/>
              </w:rPr>
            </w:pPr>
          </w:p>
          <w:p>
            <w:pPr>
              <w:spacing w:before="78" w:line="218" w:lineRule="auto"/>
              <w:ind w:left="163"/>
              <w:jc w:val="center"/>
              <w:rPr>
                <w:rFonts w:hint="eastAsia" w:ascii="宋体" w:hAnsi="宋体" w:eastAsia="宋体" w:cs="宋体"/>
                <w:spacing w:val="-5"/>
                <w:sz w:val="24"/>
                <w:szCs w:val="24"/>
                <w:highlight w:val="none"/>
              </w:rPr>
            </w:pPr>
          </w:p>
          <w:p>
            <w:pPr>
              <w:spacing w:before="78" w:line="218" w:lineRule="auto"/>
              <w:jc w:val="center"/>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1-1</w:t>
            </w:r>
          </w:p>
        </w:tc>
        <w:tc>
          <w:tcPr>
            <w:tcW w:w="1443" w:type="dxa"/>
            <w:tcBorders>
              <w:top w:val="single" w:color="333333" w:sz="2" w:space="0"/>
              <w:bottom w:val="single" w:color="333333" w:sz="2" w:space="0"/>
            </w:tcBorders>
            <w:noWrap w:val="0"/>
            <w:vAlign w:val="top"/>
          </w:tcPr>
          <w:p>
            <w:pPr>
              <w:spacing w:before="78" w:line="218" w:lineRule="auto"/>
              <w:jc w:val="center"/>
              <w:rPr>
                <w:rFonts w:hint="eastAsia" w:ascii="宋体" w:hAnsi="宋体" w:eastAsia="宋体" w:cs="宋体"/>
                <w:spacing w:val="-5"/>
                <w:sz w:val="24"/>
                <w:szCs w:val="24"/>
                <w:highlight w:val="none"/>
                <w:lang w:eastAsia="zh-CN"/>
              </w:rPr>
            </w:pPr>
          </w:p>
          <w:p>
            <w:pPr>
              <w:spacing w:before="78" w:line="218" w:lineRule="auto"/>
              <w:jc w:val="center"/>
              <w:rPr>
                <w:rFonts w:hint="eastAsia" w:ascii="宋体" w:hAnsi="宋体" w:eastAsia="宋体" w:cs="宋体"/>
                <w:spacing w:val="-5"/>
                <w:sz w:val="24"/>
                <w:szCs w:val="24"/>
                <w:highlight w:val="none"/>
                <w:lang w:eastAsia="zh-CN"/>
              </w:rPr>
            </w:pPr>
          </w:p>
          <w:p>
            <w:pPr>
              <w:spacing w:before="78" w:line="218" w:lineRule="auto"/>
              <w:jc w:val="center"/>
              <w:rPr>
                <w:rFonts w:hint="eastAsia" w:ascii="宋体" w:hAnsi="宋体" w:eastAsia="宋体" w:cs="宋体"/>
                <w:spacing w:val="-5"/>
                <w:sz w:val="24"/>
                <w:szCs w:val="24"/>
                <w:highlight w:val="none"/>
                <w:lang w:eastAsia="zh-CN"/>
              </w:rPr>
            </w:pPr>
            <w:r>
              <w:rPr>
                <w:rFonts w:hint="eastAsia" w:ascii="宋体" w:hAnsi="宋体" w:eastAsia="宋体" w:cs="宋体"/>
                <w:spacing w:val="-5"/>
                <w:sz w:val="24"/>
                <w:szCs w:val="24"/>
                <w:highlight w:val="none"/>
                <w:lang w:eastAsia="zh-CN"/>
              </w:rPr>
              <w:t>其他用品</w:t>
            </w:r>
          </w:p>
        </w:tc>
        <w:tc>
          <w:tcPr>
            <w:tcW w:w="1159" w:type="dxa"/>
            <w:tcBorders>
              <w:top w:val="single" w:color="333333" w:sz="2" w:space="0"/>
              <w:bottom w:val="single" w:color="333333" w:sz="2" w:space="0"/>
            </w:tcBorders>
            <w:noWrap w:val="0"/>
            <w:vAlign w:val="top"/>
          </w:tcPr>
          <w:p>
            <w:pPr>
              <w:spacing w:before="78" w:line="218" w:lineRule="auto"/>
              <w:ind w:left="163"/>
              <w:jc w:val="center"/>
              <w:rPr>
                <w:rFonts w:hint="eastAsia" w:ascii="宋体" w:hAnsi="宋体" w:eastAsia="宋体" w:cs="宋体"/>
                <w:spacing w:val="-5"/>
                <w:sz w:val="24"/>
                <w:szCs w:val="24"/>
                <w:highlight w:val="none"/>
              </w:rPr>
            </w:pPr>
          </w:p>
          <w:p>
            <w:pPr>
              <w:spacing w:before="78" w:line="218" w:lineRule="auto"/>
              <w:ind w:left="163"/>
              <w:jc w:val="center"/>
              <w:rPr>
                <w:rFonts w:hint="eastAsia" w:ascii="宋体" w:hAnsi="宋体" w:eastAsia="宋体" w:cs="宋体"/>
                <w:spacing w:val="-5"/>
                <w:sz w:val="24"/>
                <w:szCs w:val="24"/>
                <w:highlight w:val="none"/>
              </w:rPr>
            </w:pPr>
          </w:p>
          <w:p>
            <w:pPr>
              <w:spacing w:before="78" w:line="218" w:lineRule="auto"/>
              <w:ind w:left="163"/>
              <w:jc w:val="center"/>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lang w:val="en-US" w:eastAsia="zh-CN"/>
              </w:rPr>
              <w:t>办公用品</w:t>
            </w:r>
          </w:p>
        </w:tc>
        <w:tc>
          <w:tcPr>
            <w:tcW w:w="1473" w:type="dxa"/>
            <w:tcBorders>
              <w:top w:val="single" w:color="333333" w:sz="2" w:space="0"/>
              <w:bottom w:val="single" w:color="333333" w:sz="2" w:space="0"/>
            </w:tcBorders>
            <w:noWrap w:val="0"/>
            <w:vAlign w:val="top"/>
          </w:tcPr>
          <w:p>
            <w:pPr>
              <w:spacing w:before="78" w:line="218" w:lineRule="auto"/>
              <w:ind w:left="163"/>
              <w:jc w:val="center"/>
              <w:rPr>
                <w:rFonts w:hint="eastAsia" w:ascii="宋体" w:hAnsi="宋体" w:eastAsia="宋体" w:cs="宋体"/>
                <w:spacing w:val="-5"/>
                <w:sz w:val="24"/>
                <w:szCs w:val="24"/>
                <w:highlight w:val="none"/>
              </w:rPr>
            </w:pPr>
          </w:p>
          <w:p>
            <w:pPr>
              <w:spacing w:before="78" w:line="218" w:lineRule="auto"/>
              <w:ind w:left="163"/>
              <w:jc w:val="center"/>
              <w:rPr>
                <w:rFonts w:hint="eastAsia" w:ascii="宋体" w:hAnsi="宋体" w:eastAsia="宋体" w:cs="宋体"/>
                <w:spacing w:val="-5"/>
                <w:sz w:val="24"/>
                <w:szCs w:val="24"/>
                <w:highlight w:val="none"/>
              </w:rPr>
            </w:pPr>
          </w:p>
          <w:p>
            <w:pPr>
              <w:spacing w:before="78" w:line="218" w:lineRule="auto"/>
              <w:ind w:left="163"/>
              <w:jc w:val="center"/>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lang w:val="en-US" w:eastAsia="zh-CN"/>
              </w:rPr>
              <w:t>1(批)</w:t>
            </w:r>
          </w:p>
        </w:tc>
        <w:tc>
          <w:tcPr>
            <w:tcW w:w="982" w:type="dxa"/>
            <w:tcBorders>
              <w:top w:val="single" w:color="333333" w:sz="2" w:space="0"/>
              <w:bottom w:val="single" w:color="333333" w:sz="2" w:space="0"/>
            </w:tcBorders>
            <w:noWrap w:val="0"/>
            <w:vAlign w:val="top"/>
          </w:tcPr>
          <w:p>
            <w:pPr>
              <w:spacing w:before="78" w:line="218" w:lineRule="auto"/>
              <w:ind w:left="163"/>
              <w:jc w:val="center"/>
              <w:rPr>
                <w:rFonts w:hint="eastAsia" w:ascii="宋体" w:hAnsi="宋体" w:eastAsia="宋体" w:cs="宋体"/>
                <w:spacing w:val="-5"/>
                <w:sz w:val="24"/>
                <w:szCs w:val="24"/>
                <w:highlight w:val="none"/>
              </w:rPr>
            </w:pPr>
          </w:p>
          <w:p>
            <w:pPr>
              <w:spacing w:before="78" w:line="218" w:lineRule="auto"/>
              <w:ind w:left="163"/>
              <w:jc w:val="center"/>
              <w:rPr>
                <w:rFonts w:hint="eastAsia" w:ascii="宋体" w:hAnsi="宋体" w:eastAsia="宋体" w:cs="宋体"/>
                <w:spacing w:val="-5"/>
                <w:sz w:val="24"/>
                <w:szCs w:val="24"/>
                <w:highlight w:val="none"/>
              </w:rPr>
            </w:pPr>
          </w:p>
          <w:p>
            <w:pPr>
              <w:spacing w:before="78" w:line="218" w:lineRule="auto"/>
              <w:ind w:left="163"/>
              <w:jc w:val="center"/>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详见采 购文件</w:t>
            </w:r>
          </w:p>
        </w:tc>
        <w:tc>
          <w:tcPr>
            <w:tcW w:w="1677" w:type="dxa"/>
            <w:tcBorders>
              <w:top w:val="single" w:color="333333" w:sz="2" w:space="0"/>
              <w:bottom w:val="single" w:color="333333" w:sz="2" w:space="0"/>
            </w:tcBorders>
            <w:noWrap w:val="0"/>
            <w:vAlign w:val="top"/>
          </w:tcPr>
          <w:p>
            <w:pPr>
              <w:spacing w:before="78" w:line="218" w:lineRule="auto"/>
              <w:ind w:left="163"/>
              <w:jc w:val="center"/>
              <w:rPr>
                <w:rFonts w:hint="eastAsia" w:ascii="宋体" w:hAnsi="宋体" w:eastAsia="宋体" w:cs="宋体"/>
                <w:spacing w:val="-5"/>
                <w:sz w:val="24"/>
                <w:szCs w:val="24"/>
                <w:highlight w:val="none"/>
              </w:rPr>
            </w:pPr>
          </w:p>
          <w:p>
            <w:pPr>
              <w:spacing w:before="78" w:line="218" w:lineRule="auto"/>
              <w:ind w:left="163"/>
              <w:jc w:val="center"/>
              <w:rPr>
                <w:rFonts w:hint="eastAsia" w:ascii="宋体" w:hAnsi="宋体" w:eastAsia="宋体" w:cs="宋体"/>
                <w:spacing w:val="-5"/>
                <w:sz w:val="24"/>
                <w:szCs w:val="24"/>
                <w:highlight w:val="none"/>
              </w:rPr>
            </w:pPr>
          </w:p>
          <w:p>
            <w:pPr>
              <w:spacing w:before="78" w:line="218" w:lineRule="auto"/>
              <w:ind w:left="163"/>
              <w:jc w:val="center"/>
              <w:rPr>
                <w:rFonts w:hint="eastAsia" w:ascii="宋体" w:hAnsi="宋体" w:eastAsia="宋体" w:cs="宋体"/>
                <w:spacing w:val="-5"/>
                <w:sz w:val="24"/>
                <w:szCs w:val="24"/>
                <w:highlight w:val="none"/>
                <w:lang w:eastAsia="zh-CN"/>
              </w:rPr>
            </w:pPr>
            <w:r>
              <w:rPr>
                <w:rFonts w:hint="eastAsia" w:ascii="宋体" w:hAnsi="宋体" w:eastAsia="宋体" w:cs="宋体"/>
                <w:spacing w:val="-5"/>
                <w:sz w:val="24"/>
                <w:szCs w:val="24"/>
                <w:highlight w:val="none"/>
                <w:lang w:eastAsia="zh-CN"/>
              </w:rPr>
              <w:t>1,200,000.00</w:t>
            </w:r>
          </w:p>
        </w:tc>
        <w:tc>
          <w:tcPr>
            <w:tcW w:w="1759" w:type="dxa"/>
            <w:tcBorders>
              <w:top w:val="single" w:color="333333" w:sz="2" w:space="0"/>
              <w:bottom w:val="single" w:color="333333" w:sz="2" w:space="0"/>
            </w:tcBorders>
            <w:noWrap w:val="0"/>
            <w:vAlign w:val="top"/>
          </w:tcPr>
          <w:p>
            <w:pPr>
              <w:spacing w:before="78" w:line="218" w:lineRule="auto"/>
              <w:jc w:val="center"/>
              <w:rPr>
                <w:rFonts w:hint="eastAsia" w:ascii="宋体" w:hAnsi="宋体" w:eastAsia="宋体" w:cs="宋体"/>
                <w:spacing w:val="-5"/>
                <w:sz w:val="24"/>
                <w:szCs w:val="24"/>
                <w:highlight w:val="none"/>
                <w:lang w:eastAsia="zh-CN"/>
              </w:rPr>
            </w:pPr>
          </w:p>
          <w:p>
            <w:pPr>
              <w:spacing w:before="78" w:line="218" w:lineRule="auto"/>
              <w:jc w:val="center"/>
              <w:rPr>
                <w:rFonts w:hint="eastAsia" w:ascii="宋体" w:hAnsi="宋体" w:eastAsia="宋体" w:cs="宋体"/>
                <w:spacing w:val="-5"/>
                <w:sz w:val="24"/>
                <w:szCs w:val="24"/>
                <w:highlight w:val="none"/>
                <w:lang w:eastAsia="zh-CN"/>
              </w:rPr>
            </w:pPr>
          </w:p>
          <w:p>
            <w:pPr>
              <w:spacing w:before="78" w:line="218" w:lineRule="auto"/>
              <w:jc w:val="center"/>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lang w:eastAsia="zh-CN"/>
              </w:rPr>
              <w:t>1,200,000.00</w:t>
            </w:r>
          </w:p>
          <w:p>
            <w:pPr>
              <w:spacing w:before="78" w:line="218" w:lineRule="auto"/>
              <w:ind w:left="163"/>
              <w:jc w:val="center"/>
              <w:rPr>
                <w:rFonts w:hint="eastAsia" w:ascii="宋体" w:hAnsi="宋体" w:eastAsia="宋体" w:cs="宋体"/>
                <w:spacing w:val="-5"/>
                <w:sz w:val="24"/>
                <w:szCs w:val="24"/>
                <w:highlight w:val="none"/>
              </w:rPr>
            </w:pPr>
          </w:p>
          <w:p>
            <w:pPr>
              <w:spacing w:before="78" w:line="218" w:lineRule="auto"/>
              <w:ind w:left="163"/>
              <w:jc w:val="center"/>
              <w:rPr>
                <w:rFonts w:hint="eastAsia" w:ascii="宋体" w:hAnsi="宋体" w:eastAsia="宋体" w:cs="宋体"/>
                <w:spacing w:val="-5"/>
                <w:sz w:val="24"/>
                <w:szCs w:val="24"/>
                <w:highlight w:val="none"/>
              </w:rPr>
            </w:pPr>
          </w:p>
        </w:tc>
      </w:tr>
    </w:tbl>
    <w:p>
      <w:pPr>
        <w:spacing w:before="113" w:line="360" w:lineRule="auto"/>
        <w:ind w:left="787"/>
        <w:rPr>
          <w:rFonts w:hint="eastAsia" w:ascii="宋体" w:hAnsi="宋体" w:eastAsia="宋体" w:cs="宋体"/>
          <w:sz w:val="24"/>
          <w:szCs w:val="24"/>
          <w:highlight w:val="none"/>
          <w:lang w:val="en-US" w:eastAsia="zh-CN"/>
        </w:rPr>
      </w:pPr>
      <w:r>
        <w:rPr>
          <w:rFonts w:hint="eastAsia" w:ascii="宋体" w:hAnsi="宋体" w:eastAsia="宋体" w:cs="宋体"/>
          <w:spacing w:val="-2"/>
          <w:sz w:val="24"/>
          <w:szCs w:val="24"/>
          <w:highlight w:val="none"/>
        </w:rPr>
        <w:t>本合同包</w:t>
      </w:r>
      <w:r>
        <w:rPr>
          <w:rFonts w:hint="eastAsia" w:ascii="宋体" w:hAnsi="宋体" w:eastAsia="宋体" w:cs="宋体"/>
          <w:spacing w:val="-1"/>
          <w:sz w:val="24"/>
          <w:szCs w:val="24"/>
          <w:highlight w:val="none"/>
        </w:rPr>
        <w:t>不接受联合体</w:t>
      </w:r>
      <w:r>
        <w:rPr>
          <w:rFonts w:hint="eastAsia" w:ascii="宋体" w:hAnsi="宋体" w:eastAsia="宋体" w:cs="宋体"/>
          <w:spacing w:val="-1"/>
          <w:sz w:val="24"/>
          <w:szCs w:val="24"/>
          <w:highlight w:val="none"/>
          <w:lang w:val="en-US" w:eastAsia="zh-CN"/>
        </w:rPr>
        <w:t>谈判</w:t>
      </w:r>
    </w:p>
    <w:p>
      <w:pPr>
        <w:spacing w:before="116" w:line="360" w:lineRule="auto"/>
        <w:ind w:left="793"/>
        <w:rPr>
          <w:rFonts w:hint="eastAsia" w:ascii="宋体" w:hAnsi="宋体" w:eastAsia="宋体" w:cs="宋体"/>
          <w:sz w:val="24"/>
          <w:szCs w:val="24"/>
          <w:highlight w:val="none"/>
        </w:rPr>
      </w:pPr>
      <w:r>
        <w:rPr>
          <w:rFonts w:hint="eastAsia" w:ascii="宋体" w:hAnsi="宋体" w:eastAsia="宋体" w:cs="宋体"/>
          <w:spacing w:val="-22"/>
          <w:sz w:val="24"/>
          <w:szCs w:val="24"/>
          <w:highlight w:val="none"/>
        </w:rPr>
        <w:t>合</w:t>
      </w:r>
      <w:r>
        <w:rPr>
          <w:rFonts w:hint="eastAsia" w:ascii="宋体" w:hAnsi="宋体" w:eastAsia="宋体" w:cs="宋体"/>
          <w:spacing w:val="-11"/>
          <w:sz w:val="24"/>
          <w:szCs w:val="24"/>
          <w:highlight w:val="none"/>
        </w:rPr>
        <w:t>同履行期限：合同签订后</w:t>
      </w:r>
      <w:r>
        <w:rPr>
          <w:rFonts w:hint="eastAsia" w:ascii="宋体" w:hAnsi="宋体" w:eastAsia="宋体" w:cs="宋体"/>
          <w:spacing w:val="-11"/>
          <w:sz w:val="24"/>
          <w:szCs w:val="24"/>
          <w:highlight w:val="none"/>
          <w:lang w:val="en-US" w:eastAsia="zh-CN"/>
        </w:rPr>
        <w:t>60</w:t>
      </w:r>
      <w:r>
        <w:rPr>
          <w:rFonts w:hint="eastAsia" w:ascii="宋体" w:hAnsi="宋体" w:eastAsia="宋体" w:cs="宋体"/>
          <w:spacing w:val="-11"/>
          <w:sz w:val="24"/>
          <w:szCs w:val="24"/>
          <w:highlight w:val="none"/>
        </w:rPr>
        <w:t>日历日内。</w:t>
      </w:r>
    </w:p>
    <w:p>
      <w:pPr>
        <w:spacing w:before="120" w:line="360" w:lineRule="auto"/>
        <w:ind w:left="314"/>
        <w:outlineLvl w:val="0"/>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二、</w:t>
      </w:r>
      <w:r>
        <w:rPr>
          <w:rFonts w:hint="eastAsia" w:ascii="宋体" w:hAnsi="宋体" w:eastAsia="宋体" w:cs="宋体"/>
          <w:spacing w:val="-4"/>
          <w:sz w:val="24"/>
          <w:szCs w:val="24"/>
          <w:highlight w:val="none"/>
        </w:rPr>
        <w:t>申请人的资格要求：</w:t>
      </w:r>
    </w:p>
    <w:p>
      <w:pPr>
        <w:spacing w:before="118" w:line="360" w:lineRule="auto"/>
        <w:ind w:left="797"/>
        <w:rPr>
          <w:rFonts w:hint="eastAsia" w:ascii="宋体" w:hAnsi="宋体" w:eastAsia="宋体" w:cs="宋体"/>
          <w:sz w:val="24"/>
          <w:szCs w:val="24"/>
          <w:highlight w:val="none"/>
        </w:rPr>
      </w:pPr>
      <w:r>
        <w:rPr>
          <w:rFonts w:hint="eastAsia" w:ascii="宋体" w:hAnsi="宋体" w:eastAsia="宋体" w:cs="宋体"/>
          <w:spacing w:val="1"/>
          <w:position w:val="12"/>
          <w:sz w:val="24"/>
          <w:szCs w:val="24"/>
          <w:highlight w:val="none"/>
        </w:rPr>
        <w:t>1.满足《中华</w:t>
      </w:r>
      <w:r>
        <w:rPr>
          <w:rFonts w:hint="eastAsia" w:ascii="宋体" w:hAnsi="宋体" w:eastAsia="宋体" w:cs="宋体"/>
          <w:position w:val="12"/>
          <w:sz w:val="24"/>
          <w:szCs w:val="24"/>
          <w:highlight w:val="none"/>
        </w:rPr>
        <w:t>人民共和国政府采购法》第二十二条规定;</w:t>
      </w:r>
    </w:p>
    <w:p>
      <w:pPr>
        <w:spacing w:line="360" w:lineRule="auto"/>
        <w:ind w:left="782"/>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2</w:t>
      </w:r>
      <w:r>
        <w:rPr>
          <w:rFonts w:hint="eastAsia" w:ascii="宋体" w:hAnsi="宋体" w:eastAsia="宋体" w:cs="宋体"/>
          <w:spacing w:val="-4"/>
          <w:sz w:val="24"/>
          <w:szCs w:val="24"/>
          <w:highlight w:val="none"/>
        </w:rPr>
        <w:t>.</w:t>
      </w:r>
      <w:r>
        <w:rPr>
          <w:rFonts w:hint="eastAsia" w:ascii="宋体" w:hAnsi="宋体" w:eastAsia="宋体" w:cs="宋体"/>
          <w:spacing w:val="-3"/>
          <w:sz w:val="24"/>
          <w:szCs w:val="24"/>
          <w:highlight w:val="none"/>
        </w:rPr>
        <w:t>落实政府采购政策需满足的资格要求：</w:t>
      </w:r>
    </w:p>
    <w:p>
      <w:pPr>
        <w:tabs>
          <w:tab w:val="left" w:pos="9040"/>
        </w:tabs>
        <w:spacing w:before="95" w:line="360" w:lineRule="auto"/>
        <w:ind w:left="787" w:right="101" w:rightChars="0" w:firstLine="5"/>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合同包 1(</w:t>
      </w:r>
      <w:r>
        <w:rPr>
          <w:rFonts w:hint="eastAsia" w:ascii="宋体" w:hAnsi="宋体" w:eastAsia="宋体" w:cs="宋体"/>
          <w:spacing w:val="-2"/>
          <w:sz w:val="24"/>
          <w:szCs w:val="24"/>
          <w:highlight w:val="none"/>
          <w:lang w:eastAsia="zh-CN"/>
        </w:rPr>
        <w:t>铜川市王益区中医医院办公家具采购项目</w:t>
      </w:r>
      <w:r>
        <w:rPr>
          <w:rFonts w:hint="eastAsia" w:ascii="宋体" w:hAnsi="宋体" w:eastAsia="宋体" w:cs="宋体"/>
          <w:spacing w:val="-2"/>
          <w:sz w:val="24"/>
          <w:szCs w:val="24"/>
          <w:highlight w:val="none"/>
        </w:rPr>
        <w:t>)落实政府采购政策需满足的资格要求如下:</w:t>
      </w:r>
      <w:r>
        <w:rPr>
          <w:rFonts w:hint="eastAsia" w:ascii="宋体" w:hAnsi="宋体" w:eastAsia="宋体" w:cs="宋体"/>
          <w:sz w:val="24"/>
          <w:szCs w:val="24"/>
          <w:highlight w:val="none"/>
        </w:rPr>
        <w:t xml:space="preserve"> </w:t>
      </w:r>
      <w:r>
        <w:rPr>
          <w:rFonts w:hint="eastAsia" w:ascii="宋体" w:hAnsi="宋体" w:eastAsia="宋体" w:cs="宋体"/>
          <w:spacing w:val="-6"/>
          <w:sz w:val="24"/>
          <w:szCs w:val="24"/>
          <w:highlight w:val="none"/>
        </w:rPr>
        <w:t>本项</w:t>
      </w:r>
      <w:r>
        <w:rPr>
          <w:rFonts w:hint="eastAsia" w:ascii="宋体" w:hAnsi="宋体" w:eastAsia="宋体" w:cs="宋体"/>
          <w:spacing w:val="-3"/>
          <w:sz w:val="24"/>
          <w:szCs w:val="24"/>
          <w:highlight w:val="none"/>
        </w:rPr>
        <w:t>目为专门面向中小企业。</w:t>
      </w:r>
    </w:p>
    <w:p>
      <w:pPr>
        <w:spacing w:line="360" w:lineRule="auto"/>
        <w:ind w:left="784"/>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3.</w:t>
      </w:r>
      <w:r>
        <w:rPr>
          <w:rFonts w:hint="eastAsia" w:ascii="宋体" w:hAnsi="宋体" w:eastAsia="宋体" w:cs="宋体"/>
          <w:spacing w:val="-5"/>
          <w:sz w:val="24"/>
          <w:szCs w:val="24"/>
          <w:highlight w:val="none"/>
        </w:rPr>
        <w:t>本</w:t>
      </w:r>
      <w:r>
        <w:rPr>
          <w:rFonts w:hint="eastAsia" w:ascii="宋体" w:hAnsi="宋体" w:eastAsia="宋体" w:cs="宋体"/>
          <w:spacing w:val="-4"/>
          <w:sz w:val="24"/>
          <w:szCs w:val="24"/>
          <w:highlight w:val="none"/>
        </w:rPr>
        <w:t>项目的特定资格要求：</w:t>
      </w:r>
    </w:p>
    <w:p>
      <w:pPr>
        <w:keepNext w:val="0"/>
        <w:keepLines w:val="0"/>
        <w:pageBreakBefore w:val="0"/>
        <w:widowControl/>
        <w:wordWrap/>
        <w:overflowPunct/>
        <w:topLinePunct w:val="0"/>
        <w:bidi w:val="0"/>
        <w:adjustRightInd/>
        <w:snapToGrid/>
        <w:spacing w:line="360" w:lineRule="auto"/>
        <w:ind w:left="7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合同</w:t>
      </w:r>
      <w:r>
        <w:rPr>
          <w:rFonts w:hint="eastAsia" w:ascii="宋体" w:hAnsi="宋体" w:eastAsia="宋体" w:cs="宋体"/>
          <w:color w:val="auto"/>
          <w:spacing w:val="-4"/>
          <w:sz w:val="24"/>
          <w:szCs w:val="24"/>
          <w:highlight w:val="none"/>
        </w:rPr>
        <w:t>包</w:t>
      </w:r>
      <w:r>
        <w:rPr>
          <w:rFonts w:hint="eastAsia" w:ascii="宋体" w:hAnsi="宋体" w:eastAsia="宋体" w:cs="宋体"/>
          <w:color w:val="auto"/>
          <w:spacing w:val="-3"/>
          <w:sz w:val="24"/>
          <w:szCs w:val="24"/>
          <w:highlight w:val="none"/>
        </w:rPr>
        <w:t xml:space="preserve"> 1(</w:t>
      </w:r>
      <w:r>
        <w:rPr>
          <w:rFonts w:hint="eastAsia" w:ascii="宋体" w:hAnsi="宋体" w:eastAsia="宋体" w:cs="宋体"/>
          <w:color w:val="auto"/>
          <w:spacing w:val="-3"/>
          <w:sz w:val="24"/>
          <w:szCs w:val="24"/>
          <w:highlight w:val="none"/>
          <w:lang w:eastAsia="zh-CN"/>
        </w:rPr>
        <w:t>铜川市王益区中医医院办公家具采购项目</w:t>
      </w:r>
      <w:r>
        <w:rPr>
          <w:rFonts w:hint="eastAsia" w:ascii="宋体" w:hAnsi="宋体" w:eastAsia="宋体" w:cs="宋体"/>
          <w:color w:val="auto"/>
          <w:spacing w:val="-3"/>
          <w:sz w:val="24"/>
          <w:szCs w:val="24"/>
          <w:highlight w:val="none"/>
        </w:rPr>
        <w:t>)特定资格要求如下:</w:t>
      </w:r>
    </w:p>
    <w:p>
      <w:pPr>
        <w:keepNext w:val="0"/>
        <w:keepLines w:val="0"/>
        <w:pageBreakBefore w:val="0"/>
        <w:widowControl/>
        <w:wordWrap/>
        <w:overflowPunct/>
        <w:topLinePunct w:val="0"/>
        <w:bidi w:val="0"/>
        <w:adjustRightInd/>
        <w:snapToGrid/>
        <w:spacing w:line="360" w:lineRule="auto"/>
        <w:ind w:left="304" w:right="141" w:firstLine="480"/>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2"/>
          <w:sz w:val="24"/>
          <w:szCs w:val="24"/>
          <w:highlight w:val="none"/>
        </w:rPr>
        <w:t>3.1、供应商在递交谈判响应文件截止</w:t>
      </w:r>
      <w:r>
        <w:rPr>
          <w:rFonts w:hint="eastAsia" w:ascii="宋体" w:hAnsi="宋体" w:eastAsia="宋体" w:cs="宋体"/>
          <w:color w:val="auto"/>
          <w:spacing w:val="1"/>
          <w:sz w:val="24"/>
          <w:szCs w:val="24"/>
          <w:highlight w:val="none"/>
        </w:rPr>
        <w:t>时间前被“信用中国”网站和“中国政府采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购网”上</w:t>
      </w:r>
      <w:r>
        <w:rPr>
          <w:rFonts w:hint="eastAsia" w:ascii="宋体" w:hAnsi="宋体" w:eastAsia="宋体" w:cs="宋体"/>
          <w:color w:val="auto"/>
          <w:spacing w:val="5"/>
          <w:sz w:val="24"/>
          <w:szCs w:val="24"/>
          <w:highlight w:val="none"/>
        </w:rPr>
        <w:t>被</w:t>
      </w:r>
      <w:r>
        <w:rPr>
          <w:rFonts w:hint="eastAsia" w:ascii="宋体" w:hAnsi="宋体" w:eastAsia="宋体" w:cs="宋体"/>
          <w:color w:val="auto"/>
          <w:spacing w:val="4"/>
          <w:sz w:val="24"/>
          <w:szCs w:val="24"/>
          <w:highlight w:val="none"/>
        </w:rPr>
        <w:t>列入失信被执行人、重大税收违法失信主体、政府采购严重违法失信行为</w:t>
      </w:r>
      <w:r>
        <w:rPr>
          <w:rFonts w:hint="eastAsia" w:ascii="宋体" w:hAnsi="宋体" w:eastAsia="宋体" w:cs="宋体"/>
          <w:color w:val="auto"/>
          <w:spacing w:val="-8"/>
          <w:sz w:val="24"/>
          <w:szCs w:val="24"/>
          <w:highlight w:val="none"/>
        </w:rPr>
        <w:t>记录</w:t>
      </w:r>
      <w:r>
        <w:rPr>
          <w:rFonts w:hint="eastAsia" w:ascii="宋体" w:hAnsi="宋体" w:eastAsia="宋体" w:cs="宋体"/>
          <w:color w:val="auto"/>
          <w:spacing w:val="-5"/>
          <w:sz w:val="24"/>
          <w:szCs w:val="24"/>
          <w:highlight w:val="none"/>
        </w:rPr>
        <w:t>名</w:t>
      </w:r>
      <w:r>
        <w:rPr>
          <w:rFonts w:hint="eastAsia" w:ascii="宋体" w:hAnsi="宋体" w:eastAsia="宋体" w:cs="宋体"/>
          <w:color w:val="auto"/>
          <w:spacing w:val="-4"/>
          <w:sz w:val="24"/>
          <w:szCs w:val="24"/>
          <w:highlight w:val="none"/>
        </w:rPr>
        <w:t>单的，不得参加谈判</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提供相关网站截图）</w:t>
      </w:r>
      <w:r>
        <w:rPr>
          <w:rFonts w:hint="eastAsia" w:ascii="宋体" w:hAnsi="宋体" w:eastAsia="宋体" w:cs="宋体"/>
          <w:color w:val="auto"/>
          <w:spacing w:val="-4"/>
          <w:sz w:val="24"/>
          <w:szCs w:val="24"/>
          <w:highlight w:val="none"/>
        </w:rPr>
        <w:t>；</w:t>
      </w:r>
    </w:p>
    <w:p>
      <w:pPr>
        <w:keepNext w:val="0"/>
        <w:keepLines w:val="0"/>
        <w:pageBreakBefore w:val="0"/>
        <w:widowControl/>
        <w:wordWrap/>
        <w:overflowPunct/>
        <w:topLinePunct w:val="0"/>
        <w:bidi w:val="0"/>
        <w:adjustRightInd/>
        <w:snapToGrid/>
        <w:spacing w:line="360" w:lineRule="auto"/>
        <w:ind w:left="304" w:right="141" w:firstLine="48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4"/>
          <w:sz w:val="24"/>
          <w:szCs w:val="24"/>
          <w:highlight w:val="none"/>
        </w:rPr>
        <w:t>3.2、供应</w:t>
      </w:r>
      <w:r>
        <w:rPr>
          <w:rFonts w:hint="eastAsia" w:ascii="宋体" w:hAnsi="宋体" w:eastAsia="宋体" w:cs="宋体"/>
          <w:color w:val="auto"/>
          <w:spacing w:val="-2"/>
          <w:sz w:val="24"/>
          <w:szCs w:val="24"/>
          <w:highlight w:val="none"/>
        </w:rPr>
        <w:t>商</w:t>
      </w:r>
      <w:r>
        <w:rPr>
          <w:rFonts w:hint="eastAsia" w:ascii="宋体" w:hAnsi="宋体" w:eastAsia="宋体" w:cs="宋体"/>
          <w:color w:val="auto"/>
          <w:sz w:val="24"/>
          <w:szCs w:val="24"/>
          <w:highlight w:val="none"/>
        </w:rPr>
        <w:t>法定代表人参加</w:t>
      </w:r>
      <w:r>
        <w:rPr>
          <w:rFonts w:hint="eastAsia" w:ascii="宋体" w:hAnsi="宋体" w:eastAsia="宋体" w:cs="宋体"/>
          <w:color w:val="auto"/>
          <w:sz w:val="24"/>
          <w:szCs w:val="24"/>
          <w:highlight w:val="none"/>
          <w:lang w:val="en-US" w:eastAsia="zh-CN"/>
        </w:rPr>
        <w:t>竞争性谈判</w:t>
      </w:r>
      <w:r>
        <w:rPr>
          <w:rFonts w:hint="eastAsia" w:ascii="宋体" w:hAnsi="宋体" w:eastAsia="宋体" w:cs="宋体"/>
          <w:color w:val="auto"/>
          <w:sz w:val="24"/>
          <w:szCs w:val="24"/>
          <w:highlight w:val="none"/>
        </w:rPr>
        <w:t>的，须提供本人身份证复印件(附在资格证明文件中) ；法定代表人授权他人参加</w:t>
      </w:r>
      <w:r>
        <w:rPr>
          <w:rFonts w:hint="eastAsia" w:ascii="宋体" w:hAnsi="宋体" w:eastAsia="宋体" w:cs="宋体"/>
          <w:color w:val="auto"/>
          <w:sz w:val="24"/>
          <w:szCs w:val="24"/>
          <w:highlight w:val="none"/>
          <w:lang w:val="en-US" w:eastAsia="zh-CN"/>
        </w:rPr>
        <w:t>竞争性谈判</w:t>
      </w:r>
      <w:r>
        <w:rPr>
          <w:rFonts w:hint="eastAsia" w:ascii="宋体" w:hAnsi="宋体" w:eastAsia="宋体" w:cs="宋体"/>
          <w:color w:val="auto"/>
          <w:sz w:val="24"/>
          <w:szCs w:val="24"/>
          <w:highlight w:val="none"/>
        </w:rPr>
        <w:t>的，须提供法定代表人授权委托书</w:t>
      </w:r>
      <w:r>
        <w:rPr>
          <w:rFonts w:hint="eastAsia" w:ascii="宋体" w:hAnsi="宋体" w:eastAsia="宋体" w:cs="宋体"/>
          <w:color w:val="auto"/>
          <w:sz w:val="24"/>
          <w:szCs w:val="24"/>
          <w:highlight w:val="none"/>
          <w:lang w:val="en-US" w:eastAsia="zh-CN"/>
        </w:rPr>
        <w:t>及身份证复印件</w:t>
      </w:r>
      <w:r>
        <w:rPr>
          <w:rFonts w:hint="eastAsia" w:ascii="宋体" w:hAnsi="宋体" w:eastAsia="宋体" w:cs="宋体"/>
          <w:color w:val="auto"/>
          <w:spacing w:val="-2"/>
          <w:sz w:val="24"/>
          <w:szCs w:val="24"/>
          <w:highlight w:val="none"/>
        </w:rPr>
        <w:t>；</w:t>
      </w:r>
    </w:p>
    <w:p>
      <w:pPr>
        <w:keepNext w:val="0"/>
        <w:keepLines w:val="0"/>
        <w:pageBreakBefore w:val="0"/>
        <w:widowControl/>
        <w:wordWrap/>
        <w:overflowPunct/>
        <w:topLinePunct w:val="0"/>
        <w:bidi w:val="0"/>
        <w:adjustRightInd/>
        <w:snapToGrid/>
        <w:spacing w:line="360" w:lineRule="auto"/>
        <w:ind w:left="304" w:right="141" w:firstLine="48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val="en-US" w:eastAsia="zh-CN"/>
        </w:rPr>
        <w:t>3.3、</w:t>
      </w:r>
      <w:r>
        <w:rPr>
          <w:rFonts w:hint="eastAsia" w:ascii="宋体" w:hAnsi="宋体" w:eastAsia="宋体" w:cs="宋体"/>
          <w:color w:val="auto"/>
          <w:sz w:val="24"/>
          <w:szCs w:val="24"/>
          <w:highlight w:val="none"/>
        </w:rPr>
        <w:t>提供有效存续的企业营业执照 (副本)/事业单位法人证书/专业服务机构执业许可证/民办非企业单位登记证书</w:t>
      </w:r>
      <w:r>
        <w:rPr>
          <w:rFonts w:hint="eastAsia" w:ascii="宋体" w:hAnsi="宋体" w:eastAsia="宋体" w:cs="宋体"/>
          <w:color w:val="auto"/>
          <w:sz w:val="24"/>
          <w:szCs w:val="24"/>
          <w:highlight w:val="none"/>
          <w:lang w:eastAsia="zh-CN"/>
        </w:rPr>
        <w:t>；</w:t>
      </w:r>
    </w:p>
    <w:p>
      <w:pPr>
        <w:keepNext w:val="0"/>
        <w:keepLines w:val="0"/>
        <w:pageBreakBefore w:val="0"/>
        <w:widowControl/>
        <w:wordWrap/>
        <w:overflowPunct/>
        <w:topLinePunct w:val="0"/>
        <w:bidi w:val="0"/>
        <w:adjustRightInd/>
        <w:snapToGrid/>
        <w:spacing w:line="360" w:lineRule="auto"/>
        <w:ind w:left="304" w:right="141" w:firstLine="48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2021年度经审计的财务会计报告(包括审计报告、资产负债表、利润表、现金流量表、所有者权益变动表及其附注，成立时间至提交投标文件截止时间不足一年的可提供成立后任意时段的资产负债表) ，或其开标前三个月内基本开户银行出具的资信证明，或信用担保机构出具的投标担保函 (以上三种形式的资料提供任何一种即可)</w:t>
      </w:r>
      <w:r>
        <w:rPr>
          <w:rFonts w:hint="eastAsia" w:ascii="宋体" w:hAnsi="宋体" w:eastAsia="宋体" w:cs="宋体"/>
          <w:color w:val="auto"/>
          <w:sz w:val="24"/>
          <w:szCs w:val="24"/>
          <w:highlight w:val="none"/>
          <w:lang w:eastAsia="zh-CN"/>
        </w:rPr>
        <w:t>；</w:t>
      </w:r>
    </w:p>
    <w:p>
      <w:pPr>
        <w:keepNext w:val="0"/>
        <w:keepLines w:val="0"/>
        <w:pageBreakBefore w:val="0"/>
        <w:widowControl/>
        <w:wordWrap/>
        <w:overflowPunct/>
        <w:topLinePunct w:val="0"/>
        <w:bidi w:val="0"/>
        <w:adjustRightInd/>
        <w:snapToGrid/>
        <w:spacing w:line="360" w:lineRule="auto"/>
        <w:ind w:left="304" w:right="141" w:firstLine="48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3.5、提供投标前三个月内任意一个月已缴纳的纳税证明或完税证明，依法免税的单位应提供相关证明材料；</w:t>
      </w:r>
    </w:p>
    <w:p>
      <w:pPr>
        <w:keepNext w:val="0"/>
        <w:keepLines w:val="0"/>
        <w:pageBreakBefore w:val="0"/>
        <w:widowControl/>
        <w:wordWrap/>
        <w:overflowPunct/>
        <w:topLinePunct w:val="0"/>
        <w:bidi w:val="0"/>
        <w:adjustRightInd/>
        <w:snapToGrid/>
        <w:spacing w:line="360" w:lineRule="auto"/>
        <w:ind w:left="304" w:right="141" w:firstLine="48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3.6、提供投标前三个月内任意一个月已缴纳的社会保障资金缴存单据或社保机构开具的社会保险参保缴费情况证明，依法不需要缴纳社会保障资金的单位应提供相关证明材料；</w:t>
      </w:r>
    </w:p>
    <w:p>
      <w:pPr>
        <w:keepNext w:val="0"/>
        <w:keepLines w:val="0"/>
        <w:pageBreakBefore w:val="0"/>
        <w:widowControl/>
        <w:wordWrap/>
        <w:overflowPunct/>
        <w:topLinePunct w:val="0"/>
        <w:bidi w:val="0"/>
        <w:adjustRightInd/>
        <w:snapToGrid/>
        <w:spacing w:line="360" w:lineRule="auto"/>
        <w:ind w:left="304" w:right="141" w:firstLine="48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w:t>
      </w:r>
      <w:r>
        <w:rPr>
          <w:rFonts w:hint="eastAsia" w:ascii="宋体" w:hAnsi="宋体" w:eastAsia="宋体" w:cs="宋体"/>
          <w:color w:val="auto"/>
          <w:sz w:val="24"/>
          <w:szCs w:val="24"/>
          <w:highlight w:val="none"/>
        </w:rPr>
        <w:t>具有履行合同所必需的设备和专业技术能力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承诺书格式自拟）；</w:t>
      </w:r>
    </w:p>
    <w:p>
      <w:pPr>
        <w:keepNext w:val="0"/>
        <w:keepLines w:val="0"/>
        <w:pageBreakBefore w:val="0"/>
        <w:widowControl/>
        <w:wordWrap/>
        <w:overflowPunct/>
        <w:topLinePunct w:val="0"/>
        <w:bidi w:val="0"/>
        <w:adjustRightInd/>
        <w:snapToGrid/>
        <w:spacing w:line="360" w:lineRule="auto"/>
        <w:ind w:left="304" w:right="141" w:firstLine="48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rPr>
        <w:t>参加政府采购活动前三年内，在经营活动中没有重大违法违规记录</w:t>
      </w:r>
      <w:r>
        <w:rPr>
          <w:rFonts w:hint="eastAsia" w:ascii="宋体" w:hAnsi="宋体" w:eastAsia="宋体" w:cs="宋体"/>
          <w:color w:val="auto"/>
          <w:sz w:val="24"/>
          <w:szCs w:val="24"/>
          <w:highlight w:val="none"/>
          <w:lang w:val="en-US" w:eastAsia="zh-CN"/>
        </w:rPr>
        <w:t>的书面声明</w:t>
      </w:r>
      <w:r>
        <w:rPr>
          <w:rFonts w:hint="eastAsia" w:ascii="宋体" w:hAnsi="宋体" w:eastAsia="宋体" w:cs="宋体"/>
          <w:color w:val="auto"/>
          <w:sz w:val="24"/>
          <w:szCs w:val="24"/>
          <w:highlight w:val="none"/>
          <w:lang w:eastAsia="zh-CN"/>
        </w:rPr>
        <w:t>；</w:t>
      </w:r>
    </w:p>
    <w:p>
      <w:pPr>
        <w:keepNext w:val="0"/>
        <w:keepLines w:val="0"/>
        <w:pageBreakBefore w:val="0"/>
        <w:widowControl/>
        <w:wordWrap/>
        <w:overflowPunct/>
        <w:topLinePunct w:val="0"/>
        <w:bidi w:val="0"/>
        <w:adjustRightInd/>
        <w:snapToGrid/>
        <w:spacing w:line="360" w:lineRule="auto"/>
        <w:ind w:left="304" w:right="141" w:firstLine="48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本项目不接受联合体</w:t>
      </w:r>
      <w:r>
        <w:rPr>
          <w:rFonts w:hint="eastAsia" w:ascii="宋体" w:hAnsi="宋体" w:eastAsia="宋体" w:cs="宋体"/>
          <w:color w:val="auto"/>
          <w:sz w:val="24"/>
          <w:szCs w:val="24"/>
          <w:highlight w:val="none"/>
          <w:lang w:val="en-US" w:eastAsia="zh-CN"/>
        </w:rPr>
        <w:t>竞争性谈判</w:t>
      </w:r>
      <w:r>
        <w:rPr>
          <w:rFonts w:hint="eastAsia" w:ascii="宋体" w:hAnsi="宋体" w:eastAsia="宋体" w:cs="宋体"/>
          <w:color w:val="auto"/>
          <w:sz w:val="24"/>
          <w:szCs w:val="24"/>
          <w:highlight w:val="none"/>
        </w:rPr>
        <w:t>，不允许分包。</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应提供《非联合体不分包</w:t>
      </w:r>
      <w:r>
        <w:rPr>
          <w:rFonts w:hint="eastAsia" w:ascii="宋体" w:hAnsi="宋体" w:eastAsia="宋体" w:cs="宋体"/>
          <w:color w:val="auto"/>
          <w:sz w:val="24"/>
          <w:szCs w:val="24"/>
          <w:highlight w:val="none"/>
          <w:lang w:val="en-US" w:eastAsia="zh-CN"/>
        </w:rPr>
        <w:t>竞争性谈判</w:t>
      </w:r>
      <w:r>
        <w:rPr>
          <w:rFonts w:hint="eastAsia" w:ascii="宋体" w:hAnsi="宋体" w:eastAsia="宋体" w:cs="宋体"/>
          <w:color w:val="auto"/>
          <w:sz w:val="24"/>
          <w:szCs w:val="24"/>
          <w:highlight w:val="none"/>
        </w:rPr>
        <w:t>声明》，视为独立</w:t>
      </w:r>
      <w:r>
        <w:rPr>
          <w:rFonts w:hint="eastAsia" w:ascii="宋体" w:hAnsi="宋体" w:eastAsia="宋体" w:cs="宋体"/>
          <w:color w:val="auto"/>
          <w:sz w:val="24"/>
          <w:szCs w:val="24"/>
          <w:highlight w:val="none"/>
          <w:lang w:val="en-US" w:eastAsia="zh-CN"/>
        </w:rPr>
        <w:t>竞争性谈判</w:t>
      </w:r>
      <w:r>
        <w:rPr>
          <w:rFonts w:hint="eastAsia" w:ascii="宋体" w:hAnsi="宋体" w:eastAsia="宋体" w:cs="宋体"/>
          <w:color w:val="auto"/>
          <w:sz w:val="24"/>
          <w:szCs w:val="24"/>
          <w:highlight w:val="none"/>
        </w:rPr>
        <w:t>，不分包。</w:t>
      </w:r>
    </w:p>
    <w:p>
      <w:pPr>
        <w:keepNext w:val="0"/>
        <w:keepLines w:val="0"/>
        <w:pageBreakBefore w:val="0"/>
        <w:widowControl/>
        <w:wordWrap/>
        <w:overflowPunct/>
        <w:topLinePunct w:val="0"/>
        <w:bidi w:val="0"/>
        <w:adjustRightInd/>
        <w:snapToGrid/>
        <w:spacing w:line="360" w:lineRule="auto"/>
        <w:ind w:left="12"/>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三</w:t>
      </w:r>
      <w:r>
        <w:rPr>
          <w:rFonts w:hint="eastAsia" w:ascii="宋体" w:hAnsi="宋体" w:eastAsia="宋体" w:cs="宋体"/>
          <w:color w:val="auto"/>
          <w:spacing w:val="-2"/>
          <w:sz w:val="24"/>
          <w:szCs w:val="24"/>
          <w:highlight w:val="none"/>
        </w:rPr>
        <w:t>、获取采购文件</w:t>
      </w:r>
    </w:p>
    <w:p>
      <w:pPr>
        <w:keepNext w:val="0"/>
        <w:keepLines w:val="0"/>
        <w:pageBreakBefore w:val="0"/>
        <w:widowControl/>
        <w:wordWrap/>
        <w:overflowPunct/>
        <w:topLinePunct w:val="0"/>
        <w:bidi w:val="0"/>
        <w:adjustRightInd/>
        <w:snapToGrid/>
        <w:spacing w:line="360" w:lineRule="auto"/>
        <w:ind w:left="5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时</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3"/>
          <w:sz w:val="24"/>
          <w:szCs w:val="24"/>
          <w:highlight w:val="none"/>
        </w:rPr>
        <w:t>间 ：2023年0</w:t>
      </w:r>
      <w:r>
        <w:rPr>
          <w:rFonts w:hint="eastAsia" w:ascii="宋体" w:hAnsi="宋体" w:eastAsia="宋体" w:cs="宋体"/>
          <w:color w:val="auto"/>
          <w:spacing w:val="-3"/>
          <w:sz w:val="24"/>
          <w:szCs w:val="24"/>
          <w:highlight w:val="none"/>
          <w:lang w:val="en-US" w:eastAsia="zh-CN"/>
        </w:rPr>
        <w:t>2</w:t>
      </w:r>
      <w:r>
        <w:rPr>
          <w:rFonts w:hint="eastAsia" w:ascii="宋体" w:hAnsi="宋体" w:eastAsia="宋体" w:cs="宋体"/>
          <w:color w:val="auto"/>
          <w:spacing w:val="-3"/>
          <w:sz w:val="24"/>
          <w:szCs w:val="24"/>
          <w:highlight w:val="none"/>
        </w:rPr>
        <w:t>月</w:t>
      </w:r>
      <w:r>
        <w:rPr>
          <w:rFonts w:hint="eastAsia" w:ascii="宋体" w:hAnsi="宋体" w:eastAsia="宋体" w:cs="宋体"/>
          <w:color w:val="auto"/>
          <w:spacing w:val="-3"/>
          <w:sz w:val="24"/>
          <w:szCs w:val="24"/>
          <w:highlight w:val="none"/>
          <w:lang w:val="en-US" w:eastAsia="zh-CN"/>
        </w:rPr>
        <w:t>15</w:t>
      </w:r>
      <w:r>
        <w:rPr>
          <w:rFonts w:hint="eastAsia" w:ascii="宋体" w:hAnsi="宋体" w:eastAsia="宋体" w:cs="宋体"/>
          <w:color w:val="auto"/>
          <w:spacing w:val="-3"/>
          <w:sz w:val="24"/>
          <w:szCs w:val="24"/>
          <w:highlight w:val="none"/>
        </w:rPr>
        <w:t>日至2023年</w:t>
      </w:r>
      <w:r>
        <w:rPr>
          <w:rFonts w:hint="eastAsia" w:ascii="宋体" w:hAnsi="宋体" w:eastAsia="宋体" w:cs="宋体"/>
          <w:color w:val="auto"/>
          <w:spacing w:val="-3"/>
          <w:sz w:val="24"/>
          <w:szCs w:val="24"/>
          <w:highlight w:val="none"/>
          <w:lang w:val="en-US" w:eastAsia="zh-CN"/>
        </w:rPr>
        <w:t>02</w:t>
      </w:r>
      <w:r>
        <w:rPr>
          <w:rFonts w:hint="eastAsia" w:ascii="宋体" w:hAnsi="宋体" w:eastAsia="宋体" w:cs="宋体"/>
          <w:color w:val="auto"/>
          <w:spacing w:val="-3"/>
          <w:sz w:val="24"/>
          <w:szCs w:val="24"/>
          <w:highlight w:val="none"/>
        </w:rPr>
        <w:t>月</w:t>
      </w:r>
      <w:r>
        <w:rPr>
          <w:rFonts w:hint="eastAsia" w:ascii="宋体" w:hAnsi="宋体" w:eastAsia="宋体" w:cs="宋体"/>
          <w:color w:val="auto"/>
          <w:spacing w:val="-3"/>
          <w:sz w:val="24"/>
          <w:szCs w:val="24"/>
          <w:highlight w:val="none"/>
          <w:lang w:val="en-US" w:eastAsia="zh-CN"/>
        </w:rPr>
        <w:t>17</w:t>
      </w:r>
      <w:r>
        <w:rPr>
          <w:rFonts w:hint="eastAsia" w:ascii="宋体" w:hAnsi="宋体" w:eastAsia="宋体" w:cs="宋体"/>
          <w:color w:val="auto"/>
          <w:spacing w:val="-3"/>
          <w:sz w:val="24"/>
          <w:szCs w:val="24"/>
          <w:highlight w:val="none"/>
        </w:rPr>
        <w:t>日 ，每天上</w:t>
      </w:r>
      <w:r>
        <w:rPr>
          <w:rFonts w:hint="eastAsia" w:ascii="宋体" w:hAnsi="宋体" w:eastAsia="宋体" w:cs="宋体"/>
          <w:color w:val="auto"/>
          <w:spacing w:val="-1"/>
          <w:sz w:val="24"/>
          <w:szCs w:val="24"/>
          <w:highlight w:val="none"/>
        </w:rPr>
        <w:t>午0</w:t>
      </w:r>
      <w:r>
        <w:rPr>
          <w:rFonts w:hint="eastAsia" w:ascii="宋体" w:hAnsi="宋体" w:eastAsia="宋体" w:cs="宋体"/>
          <w:color w:val="auto"/>
          <w:spacing w:val="-1"/>
          <w:sz w:val="24"/>
          <w:szCs w:val="24"/>
          <w:highlight w:val="none"/>
          <w:lang w:val="en-US" w:eastAsia="zh-CN"/>
        </w:rPr>
        <w:t>9</w:t>
      </w:r>
      <w:r>
        <w:rPr>
          <w:rFonts w:hint="eastAsia" w:ascii="宋体" w:hAnsi="宋体" w:eastAsia="宋体" w:cs="宋体"/>
          <w:color w:val="auto"/>
          <w:spacing w:val="-1"/>
          <w:sz w:val="24"/>
          <w:szCs w:val="24"/>
          <w:highlight w:val="none"/>
        </w:rPr>
        <w:t>:00:00 至 12:00:00，下午14:00:00 至1</w:t>
      </w:r>
      <w:r>
        <w:rPr>
          <w:rFonts w:hint="eastAsia" w:ascii="宋体" w:hAnsi="宋体" w:eastAsia="宋体" w:cs="宋体"/>
          <w:color w:val="auto"/>
          <w:spacing w:val="-1"/>
          <w:sz w:val="24"/>
          <w:szCs w:val="24"/>
          <w:highlight w:val="none"/>
          <w:lang w:val="en-US" w:eastAsia="zh-CN"/>
        </w:rPr>
        <w:t>7</w:t>
      </w:r>
      <w:r>
        <w:rPr>
          <w:rFonts w:hint="eastAsia" w:ascii="宋体" w:hAnsi="宋体" w:eastAsia="宋体" w:cs="宋体"/>
          <w:color w:val="auto"/>
          <w:spacing w:val="-1"/>
          <w:sz w:val="24"/>
          <w:szCs w:val="24"/>
          <w:highlight w:val="none"/>
        </w:rPr>
        <w:t>:00:00 (</w:t>
      </w:r>
      <w:r>
        <w:rPr>
          <w:rFonts w:hint="eastAsia" w:ascii="宋体" w:hAnsi="宋体" w:eastAsia="宋体" w:cs="宋体"/>
          <w:color w:val="auto"/>
          <w:sz w:val="24"/>
          <w:szCs w:val="24"/>
          <w:highlight w:val="none"/>
        </w:rPr>
        <w:t>北京时间 ,法定</w:t>
      </w:r>
      <w:r>
        <w:rPr>
          <w:rFonts w:hint="eastAsia" w:ascii="宋体" w:hAnsi="宋体" w:eastAsia="宋体" w:cs="宋体"/>
          <w:color w:val="auto"/>
          <w:spacing w:val="-10"/>
          <w:sz w:val="24"/>
          <w:szCs w:val="24"/>
          <w:highlight w:val="none"/>
        </w:rPr>
        <w:t>节</w:t>
      </w:r>
      <w:r>
        <w:rPr>
          <w:rFonts w:hint="eastAsia" w:ascii="宋体" w:hAnsi="宋体" w:eastAsia="宋体" w:cs="宋体"/>
          <w:color w:val="auto"/>
          <w:spacing w:val="-5"/>
          <w:sz w:val="24"/>
          <w:szCs w:val="24"/>
          <w:highlight w:val="none"/>
        </w:rPr>
        <w:t>假日除外)</w:t>
      </w:r>
    </w:p>
    <w:p>
      <w:pPr>
        <w:keepNext w:val="0"/>
        <w:keepLines w:val="0"/>
        <w:pageBreakBefore w:val="0"/>
        <w:widowControl/>
        <w:wordWrap/>
        <w:overflowPunct/>
        <w:topLinePunct w:val="0"/>
        <w:bidi w:val="0"/>
        <w:adjustRightInd/>
        <w:snapToGrid/>
        <w:spacing w:line="360" w:lineRule="auto"/>
        <w:ind w:left="486"/>
        <w:textAlignment w:val="baseline"/>
        <w:rPr>
          <w:rFonts w:hint="eastAsia" w:ascii="宋体" w:hAnsi="宋体" w:eastAsia="宋体" w:cs="宋体"/>
          <w:color w:val="auto"/>
          <w:spacing w:val="-16"/>
          <w:position w:val="11"/>
          <w:sz w:val="24"/>
          <w:szCs w:val="24"/>
          <w:highlight w:val="none"/>
        </w:rPr>
      </w:pPr>
      <w:r>
        <w:rPr>
          <w:rFonts w:hint="eastAsia" w:ascii="宋体" w:hAnsi="宋体" w:eastAsia="宋体" w:cs="宋体"/>
          <w:color w:val="auto"/>
          <w:spacing w:val="-16"/>
          <w:position w:val="11"/>
          <w:sz w:val="24"/>
          <w:szCs w:val="24"/>
          <w:highlight w:val="none"/>
        </w:rPr>
        <w:t>地</w:t>
      </w:r>
      <w:r>
        <w:rPr>
          <w:rFonts w:hint="eastAsia" w:ascii="宋体" w:hAnsi="宋体" w:eastAsia="宋体" w:cs="宋体"/>
          <w:color w:val="auto"/>
          <w:spacing w:val="-9"/>
          <w:position w:val="11"/>
          <w:sz w:val="24"/>
          <w:szCs w:val="24"/>
          <w:highlight w:val="none"/>
        </w:rPr>
        <w:t>点：</w:t>
      </w:r>
      <w:r>
        <w:rPr>
          <w:rFonts w:hint="eastAsia" w:ascii="宋体" w:hAnsi="宋体" w:eastAsia="宋体" w:cs="宋体"/>
          <w:color w:val="auto"/>
          <w:spacing w:val="-16"/>
          <w:position w:val="11"/>
          <w:sz w:val="24"/>
          <w:szCs w:val="24"/>
          <w:highlight w:val="none"/>
          <w:lang w:eastAsia="zh-CN"/>
        </w:rPr>
        <w:t>陕西省西安市</w:t>
      </w:r>
      <w:r>
        <w:rPr>
          <w:rFonts w:hint="eastAsia" w:ascii="宋体" w:hAnsi="宋体" w:eastAsia="宋体" w:cs="宋体"/>
          <w:color w:val="auto"/>
          <w:spacing w:val="-16"/>
          <w:position w:val="11"/>
          <w:sz w:val="24"/>
          <w:szCs w:val="24"/>
          <w:highlight w:val="none"/>
          <w:lang w:val="en-US" w:eastAsia="zh-CN"/>
        </w:rPr>
        <w:t>雁塔区太白南路139号荣禾中心1113室</w:t>
      </w:r>
      <w:r>
        <w:rPr>
          <w:rFonts w:hint="eastAsia" w:ascii="宋体" w:hAnsi="宋体" w:eastAsia="宋体" w:cs="宋体"/>
          <w:color w:val="auto"/>
          <w:spacing w:val="-16"/>
          <w:position w:val="11"/>
          <w:sz w:val="24"/>
          <w:szCs w:val="24"/>
          <w:highlight w:val="none"/>
        </w:rPr>
        <w:t xml:space="preserve"> </w:t>
      </w:r>
    </w:p>
    <w:p>
      <w:pPr>
        <w:keepNext w:val="0"/>
        <w:keepLines w:val="0"/>
        <w:pageBreakBefore w:val="0"/>
        <w:widowControl/>
        <w:wordWrap/>
        <w:overflowPunct/>
        <w:topLinePunct w:val="0"/>
        <w:bidi w:val="0"/>
        <w:adjustRightInd/>
        <w:snapToGrid/>
        <w:spacing w:line="360" w:lineRule="auto"/>
        <w:ind w:left="491"/>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4"/>
          <w:sz w:val="24"/>
          <w:szCs w:val="24"/>
          <w:highlight w:val="none"/>
        </w:rPr>
        <w:t>方式</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
          <w:sz w:val="24"/>
          <w:szCs w:val="24"/>
          <w:highlight w:val="none"/>
          <w:lang w:val="en-US" w:eastAsia="zh-CN"/>
        </w:rPr>
        <w:t>免费获取</w:t>
      </w:r>
    </w:p>
    <w:p>
      <w:pPr>
        <w:keepNext w:val="0"/>
        <w:keepLines w:val="0"/>
        <w:pageBreakBefore w:val="0"/>
        <w:widowControl/>
        <w:wordWrap/>
        <w:overflowPunct/>
        <w:topLinePunct w:val="0"/>
        <w:bidi w:val="0"/>
        <w:adjustRightInd/>
        <w:snapToGrid/>
        <w:spacing w:line="360" w:lineRule="auto"/>
        <w:ind w:left="498"/>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2"/>
          <w:sz w:val="24"/>
          <w:szCs w:val="24"/>
          <w:highlight w:val="none"/>
        </w:rPr>
        <w:t>售</w:t>
      </w:r>
      <w:r>
        <w:rPr>
          <w:rFonts w:hint="eastAsia" w:ascii="宋体" w:hAnsi="宋体" w:eastAsia="宋体" w:cs="宋体"/>
          <w:color w:val="auto"/>
          <w:spacing w:val="-21"/>
          <w:sz w:val="24"/>
          <w:szCs w:val="24"/>
          <w:highlight w:val="none"/>
        </w:rPr>
        <w:t>价：</w:t>
      </w:r>
      <w:r>
        <w:rPr>
          <w:rFonts w:hint="eastAsia" w:ascii="宋体" w:hAnsi="宋体" w:eastAsia="宋体" w:cs="宋体"/>
          <w:color w:val="auto"/>
          <w:spacing w:val="-21"/>
          <w:sz w:val="24"/>
          <w:szCs w:val="24"/>
          <w:highlight w:val="none"/>
          <w:lang w:val="en-US" w:eastAsia="zh-CN"/>
        </w:rPr>
        <w:t>免费赠送</w:t>
      </w:r>
    </w:p>
    <w:p>
      <w:pPr>
        <w:keepNext w:val="0"/>
        <w:keepLines w:val="0"/>
        <w:pageBreakBefore w:val="0"/>
        <w:widowControl/>
        <w:wordWrap/>
        <w:overflowPunct/>
        <w:topLinePunct w:val="0"/>
        <w:bidi w:val="0"/>
        <w:adjustRightInd/>
        <w:snapToGrid/>
        <w:spacing w:line="360" w:lineRule="auto"/>
        <w:ind w:left="33"/>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四</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4"/>
          <w:sz w:val="24"/>
          <w:szCs w:val="24"/>
          <w:highlight w:val="none"/>
        </w:rPr>
        <w:t>响应文件提交</w:t>
      </w:r>
    </w:p>
    <w:p>
      <w:pPr>
        <w:keepNext w:val="0"/>
        <w:keepLines w:val="0"/>
        <w:pageBreakBefore w:val="0"/>
        <w:widowControl/>
        <w:wordWrap/>
        <w:overflowPunct/>
        <w:topLinePunct w:val="0"/>
        <w:bidi w:val="0"/>
        <w:adjustRightInd/>
        <w:snapToGrid/>
        <w:spacing w:line="360" w:lineRule="auto"/>
        <w:ind w:left="48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6"/>
          <w:sz w:val="24"/>
          <w:szCs w:val="24"/>
          <w:highlight w:val="none"/>
        </w:rPr>
        <w:t>截</w:t>
      </w:r>
      <w:r>
        <w:rPr>
          <w:rFonts w:hint="eastAsia" w:ascii="宋体" w:hAnsi="宋体" w:eastAsia="宋体" w:cs="宋体"/>
          <w:color w:val="auto"/>
          <w:spacing w:val="-25"/>
          <w:sz w:val="24"/>
          <w:szCs w:val="24"/>
          <w:highlight w:val="none"/>
        </w:rPr>
        <w:t>止</w:t>
      </w:r>
      <w:r>
        <w:rPr>
          <w:rFonts w:hint="eastAsia" w:ascii="宋体" w:hAnsi="宋体" w:eastAsia="宋体" w:cs="宋体"/>
          <w:color w:val="auto"/>
          <w:spacing w:val="-13"/>
          <w:sz w:val="24"/>
          <w:szCs w:val="24"/>
          <w:highlight w:val="none"/>
        </w:rPr>
        <w:t>时间:2023年</w:t>
      </w:r>
      <w:r>
        <w:rPr>
          <w:rFonts w:hint="eastAsia" w:ascii="宋体" w:hAnsi="宋体" w:eastAsia="宋体" w:cs="宋体"/>
          <w:color w:val="auto"/>
          <w:spacing w:val="-13"/>
          <w:sz w:val="24"/>
          <w:szCs w:val="24"/>
          <w:highlight w:val="none"/>
          <w:lang w:val="en-US" w:eastAsia="zh-CN"/>
        </w:rPr>
        <w:t>02</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3"/>
          <w:sz w:val="24"/>
          <w:szCs w:val="24"/>
          <w:highlight w:val="none"/>
          <w:lang w:val="en-US" w:eastAsia="zh-CN"/>
        </w:rPr>
        <w:t>21</w:t>
      </w:r>
      <w:r>
        <w:rPr>
          <w:rFonts w:hint="eastAsia" w:ascii="宋体" w:hAnsi="宋体" w:eastAsia="宋体" w:cs="宋体"/>
          <w:color w:val="auto"/>
          <w:spacing w:val="-13"/>
          <w:sz w:val="24"/>
          <w:szCs w:val="24"/>
          <w:highlight w:val="none"/>
        </w:rPr>
        <w:t>日1</w:t>
      </w:r>
      <w:r>
        <w:rPr>
          <w:rFonts w:hint="eastAsia" w:ascii="宋体" w:hAnsi="宋体" w:eastAsia="宋体" w:cs="宋体"/>
          <w:color w:val="auto"/>
          <w:spacing w:val="-13"/>
          <w:sz w:val="24"/>
          <w:szCs w:val="24"/>
          <w:highlight w:val="none"/>
          <w:lang w:val="en-US" w:eastAsia="zh-CN"/>
        </w:rPr>
        <w:t>4</w:t>
      </w:r>
      <w:r>
        <w:rPr>
          <w:rFonts w:hint="eastAsia" w:ascii="宋体" w:hAnsi="宋体" w:eastAsia="宋体" w:cs="宋体"/>
          <w:color w:val="auto"/>
          <w:spacing w:val="-13"/>
          <w:sz w:val="24"/>
          <w:szCs w:val="24"/>
          <w:highlight w:val="none"/>
        </w:rPr>
        <w:t>时</w:t>
      </w:r>
      <w:r>
        <w:rPr>
          <w:rFonts w:hint="eastAsia" w:ascii="宋体" w:hAnsi="宋体" w:eastAsia="宋体" w:cs="宋体"/>
          <w:color w:val="auto"/>
          <w:spacing w:val="-13"/>
          <w:sz w:val="24"/>
          <w:szCs w:val="24"/>
          <w:highlight w:val="none"/>
          <w:lang w:val="en-US" w:eastAsia="zh-CN"/>
        </w:rPr>
        <w:t>00</w:t>
      </w:r>
      <w:r>
        <w:rPr>
          <w:rFonts w:hint="eastAsia" w:ascii="宋体" w:hAnsi="宋体" w:eastAsia="宋体" w:cs="宋体"/>
          <w:color w:val="auto"/>
          <w:spacing w:val="-13"/>
          <w:sz w:val="24"/>
          <w:szCs w:val="24"/>
          <w:highlight w:val="none"/>
        </w:rPr>
        <w:t>分00秒(北京时间)</w:t>
      </w:r>
    </w:p>
    <w:p>
      <w:pPr>
        <w:keepNext w:val="0"/>
        <w:keepLines w:val="0"/>
        <w:pageBreakBefore w:val="0"/>
        <w:widowControl/>
        <w:wordWrap/>
        <w:overflowPunct/>
        <w:topLinePunct w:val="0"/>
        <w:bidi w:val="0"/>
        <w:adjustRightInd/>
        <w:snapToGrid/>
        <w:spacing w:line="360" w:lineRule="auto"/>
        <w:ind w:left="48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8"/>
          <w:sz w:val="24"/>
          <w:szCs w:val="24"/>
          <w:highlight w:val="none"/>
        </w:rPr>
        <w:t>地</w:t>
      </w:r>
      <w:r>
        <w:rPr>
          <w:rFonts w:hint="eastAsia" w:ascii="宋体" w:hAnsi="宋体" w:eastAsia="宋体" w:cs="宋体"/>
          <w:color w:val="auto"/>
          <w:spacing w:val="-27"/>
          <w:sz w:val="24"/>
          <w:szCs w:val="24"/>
          <w:highlight w:val="none"/>
        </w:rPr>
        <w:t>点</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3"/>
          <w:sz w:val="24"/>
          <w:szCs w:val="24"/>
          <w:highlight w:val="none"/>
          <w:lang w:val="en-US" w:eastAsia="zh-CN"/>
        </w:rPr>
        <w:t>西安市高新区唐延南路8号泰维智链中心一期A座一层大会议室</w:t>
      </w:r>
      <w:r>
        <w:rPr>
          <w:rFonts w:hint="eastAsia" w:ascii="宋体" w:hAnsi="宋体" w:eastAsia="宋体" w:cs="宋体"/>
          <w:color w:val="auto"/>
          <w:spacing w:val="-14"/>
          <w:sz w:val="24"/>
          <w:szCs w:val="24"/>
          <w:highlight w:val="none"/>
        </w:rPr>
        <w:t xml:space="preserve"> </w:t>
      </w:r>
    </w:p>
    <w:p>
      <w:pPr>
        <w:keepNext w:val="0"/>
        <w:keepLines w:val="0"/>
        <w:pageBreakBefore w:val="0"/>
        <w:widowControl/>
        <w:wordWrap/>
        <w:overflowPunct/>
        <w:topLinePunct w:val="0"/>
        <w:bidi w:val="0"/>
        <w:adjustRightInd/>
        <w:snapToGrid/>
        <w:spacing w:line="360" w:lineRule="auto"/>
        <w:ind w:left="9"/>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五、开启</w:t>
      </w:r>
    </w:p>
    <w:p>
      <w:pPr>
        <w:keepNext w:val="0"/>
        <w:keepLines w:val="0"/>
        <w:pageBreakBefore w:val="0"/>
        <w:widowControl/>
        <w:wordWrap/>
        <w:overflowPunct/>
        <w:topLinePunct w:val="0"/>
        <w:bidi w:val="0"/>
        <w:adjustRightInd/>
        <w:snapToGrid/>
        <w:spacing w:line="360" w:lineRule="auto"/>
        <w:ind w:left="48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6"/>
          <w:sz w:val="24"/>
          <w:szCs w:val="24"/>
          <w:highlight w:val="none"/>
        </w:rPr>
        <w:t>截</w:t>
      </w:r>
      <w:r>
        <w:rPr>
          <w:rFonts w:hint="eastAsia" w:ascii="宋体" w:hAnsi="宋体" w:eastAsia="宋体" w:cs="宋体"/>
          <w:color w:val="auto"/>
          <w:spacing w:val="-25"/>
          <w:sz w:val="24"/>
          <w:szCs w:val="24"/>
          <w:highlight w:val="none"/>
        </w:rPr>
        <w:t>止</w:t>
      </w:r>
      <w:r>
        <w:rPr>
          <w:rFonts w:hint="eastAsia" w:ascii="宋体" w:hAnsi="宋体" w:eastAsia="宋体" w:cs="宋体"/>
          <w:color w:val="auto"/>
          <w:spacing w:val="-13"/>
          <w:sz w:val="24"/>
          <w:szCs w:val="24"/>
          <w:highlight w:val="none"/>
        </w:rPr>
        <w:t>时间:2023年</w:t>
      </w:r>
      <w:r>
        <w:rPr>
          <w:rFonts w:hint="eastAsia" w:ascii="宋体" w:hAnsi="宋体" w:eastAsia="宋体" w:cs="宋体"/>
          <w:color w:val="auto"/>
          <w:spacing w:val="-13"/>
          <w:sz w:val="24"/>
          <w:szCs w:val="24"/>
          <w:highlight w:val="none"/>
          <w:lang w:val="en-US" w:eastAsia="zh-CN"/>
        </w:rPr>
        <w:t>02</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3"/>
          <w:sz w:val="24"/>
          <w:szCs w:val="24"/>
          <w:highlight w:val="none"/>
          <w:lang w:val="en-US" w:eastAsia="zh-CN"/>
        </w:rPr>
        <w:t>21</w:t>
      </w:r>
      <w:r>
        <w:rPr>
          <w:rFonts w:hint="eastAsia" w:ascii="宋体" w:hAnsi="宋体" w:eastAsia="宋体" w:cs="宋体"/>
          <w:color w:val="auto"/>
          <w:spacing w:val="-13"/>
          <w:sz w:val="24"/>
          <w:szCs w:val="24"/>
          <w:highlight w:val="none"/>
        </w:rPr>
        <w:t>日14时</w:t>
      </w:r>
      <w:r>
        <w:rPr>
          <w:rFonts w:hint="eastAsia" w:ascii="宋体" w:hAnsi="宋体" w:eastAsia="宋体" w:cs="宋体"/>
          <w:color w:val="auto"/>
          <w:spacing w:val="-13"/>
          <w:sz w:val="24"/>
          <w:szCs w:val="24"/>
          <w:highlight w:val="none"/>
          <w:lang w:val="en-US" w:eastAsia="zh-CN"/>
        </w:rPr>
        <w:t>00</w:t>
      </w:r>
      <w:r>
        <w:rPr>
          <w:rFonts w:hint="eastAsia" w:ascii="宋体" w:hAnsi="宋体" w:eastAsia="宋体" w:cs="宋体"/>
          <w:color w:val="auto"/>
          <w:spacing w:val="-13"/>
          <w:sz w:val="24"/>
          <w:szCs w:val="24"/>
          <w:highlight w:val="none"/>
        </w:rPr>
        <w:t>分00秒(北京时间)</w:t>
      </w:r>
    </w:p>
    <w:p>
      <w:pPr>
        <w:keepNext w:val="0"/>
        <w:keepLines w:val="0"/>
        <w:pageBreakBefore w:val="0"/>
        <w:widowControl/>
        <w:wordWrap/>
        <w:overflowPunct/>
        <w:topLinePunct w:val="0"/>
        <w:bidi w:val="0"/>
        <w:adjustRightInd/>
        <w:snapToGrid/>
        <w:spacing w:line="360" w:lineRule="auto"/>
        <w:ind w:left="48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8"/>
          <w:sz w:val="24"/>
          <w:szCs w:val="24"/>
          <w:highlight w:val="none"/>
        </w:rPr>
        <w:t>地</w:t>
      </w:r>
      <w:r>
        <w:rPr>
          <w:rFonts w:hint="eastAsia" w:ascii="宋体" w:hAnsi="宋体" w:eastAsia="宋体" w:cs="宋体"/>
          <w:color w:val="auto"/>
          <w:spacing w:val="-27"/>
          <w:sz w:val="24"/>
          <w:szCs w:val="24"/>
          <w:highlight w:val="none"/>
        </w:rPr>
        <w:t>点</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3"/>
          <w:sz w:val="24"/>
          <w:szCs w:val="24"/>
          <w:highlight w:val="none"/>
          <w:lang w:val="en-US" w:eastAsia="zh-CN"/>
        </w:rPr>
        <w:t>西安市高新区唐延南路8号泰维智链中心一期A座一层大会议室</w:t>
      </w:r>
      <w:r>
        <w:rPr>
          <w:rFonts w:hint="eastAsia" w:ascii="宋体" w:hAnsi="宋体" w:eastAsia="宋体" w:cs="宋体"/>
          <w:color w:val="auto"/>
          <w:spacing w:val="-14"/>
          <w:sz w:val="24"/>
          <w:szCs w:val="24"/>
          <w:highlight w:val="none"/>
        </w:rPr>
        <w:t xml:space="preserve"> </w:t>
      </w:r>
    </w:p>
    <w:p>
      <w:pPr>
        <w:keepNext w:val="0"/>
        <w:keepLines w:val="0"/>
        <w:pageBreakBefore w:val="0"/>
        <w:widowControl/>
        <w:wordWrap/>
        <w:overflowPunct/>
        <w:topLinePunct w:val="0"/>
        <w:bidi w:val="0"/>
        <w:adjustRightInd/>
        <w:snapToGrid/>
        <w:spacing w:line="360" w:lineRule="auto"/>
        <w:ind w:left="7"/>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六</w:t>
      </w:r>
      <w:r>
        <w:rPr>
          <w:rFonts w:hint="eastAsia" w:ascii="宋体" w:hAnsi="宋体" w:eastAsia="宋体" w:cs="宋体"/>
          <w:color w:val="auto"/>
          <w:spacing w:val="-2"/>
          <w:sz w:val="24"/>
          <w:szCs w:val="24"/>
          <w:highlight w:val="none"/>
        </w:rPr>
        <w:t>、公告期限</w:t>
      </w:r>
    </w:p>
    <w:p>
      <w:pPr>
        <w:keepNext w:val="0"/>
        <w:keepLines w:val="0"/>
        <w:pageBreakBefore w:val="0"/>
        <w:widowControl/>
        <w:wordWrap/>
        <w:overflowPunct/>
        <w:topLinePunct w:val="0"/>
        <w:bidi w:val="0"/>
        <w:adjustRightInd/>
        <w:snapToGrid/>
        <w:spacing w:line="360" w:lineRule="auto"/>
        <w:ind w:left="53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自本公告发布之日起 3 个工作日</w:t>
      </w:r>
      <w:r>
        <w:rPr>
          <w:rFonts w:hint="eastAsia" w:ascii="宋体" w:hAnsi="宋体" w:eastAsia="宋体" w:cs="宋体"/>
          <w:color w:val="auto"/>
          <w:spacing w:val="-11"/>
          <w:sz w:val="24"/>
          <w:szCs w:val="24"/>
          <w:highlight w:val="none"/>
        </w:rPr>
        <w:t>。</w:t>
      </w:r>
    </w:p>
    <w:p>
      <w:pPr>
        <w:keepNext w:val="0"/>
        <w:keepLines w:val="0"/>
        <w:pageBreakBefore w:val="0"/>
        <w:widowControl/>
        <w:wordWrap/>
        <w:overflowPunct/>
        <w:topLinePunct w:val="0"/>
        <w:bidi w:val="0"/>
        <w:adjustRightInd/>
        <w:snapToGrid/>
        <w:spacing w:line="360" w:lineRule="auto"/>
        <w:ind w:left="10"/>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七、其他补充事</w:t>
      </w:r>
      <w:r>
        <w:rPr>
          <w:rFonts w:hint="eastAsia" w:ascii="宋体" w:hAnsi="宋体" w:eastAsia="宋体" w:cs="宋体"/>
          <w:color w:val="auto"/>
          <w:spacing w:val="-1"/>
          <w:sz w:val="24"/>
          <w:szCs w:val="24"/>
          <w:highlight w:val="none"/>
        </w:rPr>
        <w:t>宜</w:t>
      </w:r>
    </w:p>
    <w:p>
      <w:pPr>
        <w:keepNext w:val="0"/>
        <w:keepLines w:val="0"/>
        <w:pageBreakBefore w:val="0"/>
        <w:widowControl/>
        <w:wordWrap/>
        <w:overflowPunct/>
        <w:topLinePunct w:val="0"/>
        <w:bidi w:val="0"/>
        <w:adjustRightInd/>
        <w:snapToGrid/>
        <w:spacing w:line="360" w:lineRule="auto"/>
        <w:ind w:left="49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1</w:t>
      </w:r>
      <w:r>
        <w:rPr>
          <w:rFonts w:hint="eastAsia" w:ascii="宋体" w:hAnsi="宋体" w:eastAsia="宋体" w:cs="宋体"/>
          <w:color w:val="auto"/>
          <w:spacing w:val="-6"/>
          <w:sz w:val="24"/>
          <w:szCs w:val="24"/>
          <w:highlight w:val="none"/>
        </w:rPr>
        <w:t>、落实政府采购政策：</w:t>
      </w:r>
    </w:p>
    <w:p>
      <w:pPr>
        <w:keepNext w:val="0"/>
        <w:keepLines w:val="0"/>
        <w:pageBreakBefore w:val="0"/>
        <w:widowControl/>
        <w:wordWrap/>
        <w:overflowPunct/>
        <w:topLinePunct w:val="0"/>
        <w:bidi w:val="0"/>
        <w:adjustRightInd/>
        <w:snapToGrid/>
        <w:spacing w:line="360" w:lineRule="auto"/>
        <w:ind w:firstLine="49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1.1 《关于进一步加大政府采购支持中小企业力度的通知》(财库〔2022〕19 号) </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《政府采</w:t>
      </w:r>
      <w:r>
        <w:rPr>
          <w:rFonts w:hint="eastAsia" w:ascii="宋体" w:hAnsi="宋体" w:eastAsia="宋体" w:cs="宋体"/>
          <w:color w:val="auto"/>
          <w:spacing w:val="10"/>
          <w:sz w:val="24"/>
          <w:szCs w:val="24"/>
          <w:highlight w:val="none"/>
        </w:rPr>
        <w:t>购</w:t>
      </w:r>
      <w:r>
        <w:rPr>
          <w:rFonts w:hint="eastAsia" w:ascii="宋体" w:hAnsi="宋体" w:eastAsia="宋体" w:cs="宋体"/>
          <w:color w:val="auto"/>
          <w:spacing w:val="6"/>
          <w:sz w:val="24"/>
          <w:szCs w:val="24"/>
          <w:highlight w:val="none"/>
        </w:rPr>
        <w:t>促进中小企业发展管理办法》(财库〔2020〕46 号)、《关于政府采购支</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持监狱企业</w:t>
      </w:r>
      <w:r>
        <w:rPr>
          <w:rFonts w:hint="eastAsia" w:ascii="宋体" w:hAnsi="宋体" w:eastAsia="宋体" w:cs="宋体"/>
          <w:color w:val="auto"/>
          <w:spacing w:val="6"/>
          <w:sz w:val="24"/>
          <w:szCs w:val="24"/>
          <w:highlight w:val="none"/>
        </w:rPr>
        <w:t>发展有关问题的通知》(财库〔2014〕68 号)、《关于促进残疾人就业政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府采</w:t>
      </w:r>
      <w:r>
        <w:rPr>
          <w:rFonts w:hint="eastAsia" w:ascii="宋体" w:hAnsi="宋体" w:eastAsia="宋体" w:cs="宋体"/>
          <w:color w:val="auto"/>
          <w:spacing w:val="8"/>
          <w:sz w:val="24"/>
          <w:szCs w:val="24"/>
          <w:highlight w:val="none"/>
        </w:rPr>
        <w:t>购</w:t>
      </w:r>
      <w:r>
        <w:rPr>
          <w:rFonts w:hint="eastAsia" w:ascii="宋体" w:hAnsi="宋体" w:eastAsia="宋体" w:cs="宋体"/>
          <w:color w:val="auto"/>
          <w:spacing w:val="5"/>
          <w:sz w:val="24"/>
          <w:szCs w:val="24"/>
          <w:highlight w:val="none"/>
        </w:rPr>
        <w:t>政策的通知》(财库〔2017〕141 号)。</w:t>
      </w:r>
    </w:p>
    <w:p>
      <w:pPr>
        <w:keepNext w:val="0"/>
        <w:keepLines w:val="0"/>
        <w:pageBreakBefore w:val="0"/>
        <w:widowControl/>
        <w:wordWrap/>
        <w:overflowPunct/>
        <w:topLinePunct w:val="0"/>
        <w:bidi w:val="0"/>
        <w:adjustRightInd/>
        <w:snapToGrid/>
        <w:spacing w:line="360" w:lineRule="auto"/>
        <w:ind w:left="5" w:right="15" w:firstLine="49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 财政部、国家发展改革委《关于印发〈节能产品政府采购实施意见〉的通</w:t>
      </w:r>
      <w:r>
        <w:rPr>
          <w:rFonts w:hint="eastAsia" w:ascii="宋体" w:hAnsi="宋体" w:eastAsia="宋体" w:cs="宋体"/>
          <w:color w:val="auto"/>
          <w:sz w:val="24"/>
          <w:szCs w:val="24"/>
          <w:highlight w:val="none"/>
        </w:rPr>
        <w:t xml:space="preserve">知》 </w:t>
      </w:r>
      <w:r>
        <w:rPr>
          <w:rFonts w:hint="eastAsia" w:ascii="宋体" w:hAnsi="宋体" w:eastAsia="宋体" w:cs="宋体"/>
          <w:color w:val="auto"/>
          <w:spacing w:val="1"/>
          <w:sz w:val="24"/>
          <w:szCs w:val="24"/>
          <w:highlight w:val="none"/>
        </w:rPr>
        <w:t>(财库〔2004〕</w:t>
      </w:r>
      <w:r>
        <w:rPr>
          <w:rFonts w:hint="eastAsia" w:ascii="宋体" w:hAnsi="宋体" w:eastAsia="宋体" w:cs="宋体"/>
          <w:color w:val="auto"/>
          <w:sz w:val="24"/>
          <w:szCs w:val="24"/>
          <w:highlight w:val="none"/>
        </w:rPr>
        <w:t xml:space="preserve">185 号) 、财政部、国家环保总局联合印发《关于环境标志产品政府采 </w:t>
      </w:r>
      <w:r>
        <w:rPr>
          <w:rFonts w:hint="eastAsia" w:ascii="宋体" w:hAnsi="宋体" w:eastAsia="宋体" w:cs="宋体"/>
          <w:color w:val="auto"/>
          <w:spacing w:val="6"/>
          <w:sz w:val="24"/>
          <w:szCs w:val="24"/>
          <w:highlight w:val="none"/>
        </w:rPr>
        <w:t>购实施的意见》</w:t>
      </w:r>
      <w:r>
        <w:rPr>
          <w:rFonts w:hint="eastAsia" w:ascii="宋体" w:hAnsi="宋体" w:eastAsia="宋体" w:cs="宋体"/>
          <w:color w:val="auto"/>
          <w:spacing w:val="3"/>
          <w:sz w:val="24"/>
          <w:szCs w:val="24"/>
          <w:highlight w:val="none"/>
        </w:rPr>
        <w:t>(财库〔2006〕90 号) 、国务院办公厅《关于建立政府强制采购节能</w:t>
      </w:r>
    </w:p>
    <w:p>
      <w:pPr>
        <w:keepNext w:val="0"/>
        <w:keepLines w:val="0"/>
        <w:pageBreakBefore w:val="0"/>
        <w:widowControl/>
        <w:wordWrap/>
        <w:overflowPunct/>
        <w:topLinePunct w:val="0"/>
        <w:bidi w:val="0"/>
        <w:adjustRightInd/>
        <w:snapToGrid/>
        <w:spacing w:line="360" w:lineRule="auto"/>
        <w:ind w:firstLine="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产品制</w:t>
      </w:r>
      <w:r>
        <w:rPr>
          <w:rFonts w:hint="eastAsia" w:ascii="宋体" w:hAnsi="宋体" w:eastAsia="宋体" w:cs="宋体"/>
          <w:color w:val="auto"/>
          <w:spacing w:val="7"/>
          <w:sz w:val="24"/>
          <w:szCs w:val="24"/>
          <w:highlight w:val="none"/>
        </w:rPr>
        <w:t>度</w:t>
      </w:r>
      <w:r>
        <w:rPr>
          <w:rFonts w:hint="eastAsia" w:ascii="宋体" w:hAnsi="宋体" w:eastAsia="宋体" w:cs="宋体"/>
          <w:color w:val="auto"/>
          <w:spacing w:val="6"/>
          <w:sz w:val="24"/>
          <w:szCs w:val="24"/>
          <w:highlight w:val="none"/>
        </w:rPr>
        <w:t>的通知》(国办发〔2007〕51 号)、财政部、国家发改委、生态环境部、市</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场监督总局</w:t>
      </w:r>
      <w:r>
        <w:rPr>
          <w:rFonts w:hint="eastAsia" w:ascii="宋体" w:hAnsi="宋体" w:eastAsia="宋体" w:cs="宋体"/>
          <w:color w:val="auto"/>
          <w:spacing w:val="-8"/>
          <w:sz w:val="24"/>
          <w:szCs w:val="24"/>
          <w:highlight w:val="none"/>
        </w:rPr>
        <w:t>联</w:t>
      </w:r>
      <w:r>
        <w:rPr>
          <w:rFonts w:hint="eastAsia" w:ascii="宋体" w:hAnsi="宋体" w:eastAsia="宋体" w:cs="宋体"/>
          <w:color w:val="auto"/>
          <w:spacing w:val="-5"/>
          <w:sz w:val="24"/>
          <w:szCs w:val="24"/>
          <w:highlight w:val="none"/>
        </w:rPr>
        <w:t>合印发《关于调整优化节能产品、环境标志产品政府采购执行机制的通知》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4"/>
          <w:sz w:val="24"/>
          <w:szCs w:val="24"/>
          <w:highlight w:val="none"/>
        </w:rPr>
        <w:t>(财库</w:t>
      </w:r>
      <w:r>
        <w:rPr>
          <w:rFonts w:hint="eastAsia" w:ascii="宋体" w:hAnsi="宋体" w:eastAsia="宋体" w:cs="宋体"/>
          <w:color w:val="auto"/>
          <w:spacing w:val="-7"/>
          <w:sz w:val="24"/>
          <w:szCs w:val="24"/>
          <w:highlight w:val="none"/>
        </w:rPr>
        <w:t>〔2019〕9 号)、《关于印发环境标志产品政府采购品目清单的通知》(财库〔2019〕</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18 号)、</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关于印发节能产品政府采购品目清单的通知》(财库〔2019〕19 号)。</w:t>
      </w:r>
    </w:p>
    <w:p>
      <w:pPr>
        <w:keepNext w:val="0"/>
        <w:keepLines w:val="0"/>
        <w:pageBreakBefore w:val="0"/>
        <w:widowControl/>
        <w:wordWrap/>
        <w:overflowPunct/>
        <w:topLinePunct w:val="0"/>
        <w:bidi w:val="0"/>
        <w:adjustRightInd/>
        <w:snapToGrid/>
        <w:spacing w:line="360" w:lineRule="auto"/>
        <w:ind w:left="5" w:right="106" w:firstLine="48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3"/>
          <w:sz w:val="24"/>
          <w:szCs w:val="24"/>
          <w:highlight w:val="none"/>
        </w:rPr>
        <w:t xml:space="preserve"> 《财政部农业农村部国家乡村振兴局关于运用政府采购政策支持乡村产业振兴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的通知》(财库〔2021〕19 号) 、《财政部农业</w:t>
      </w:r>
      <w:r>
        <w:rPr>
          <w:rFonts w:hint="eastAsia" w:ascii="宋体" w:hAnsi="宋体" w:eastAsia="宋体" w:cs="宋体"/>
          <w:color w:val="auto"/>
          <w:sz w:val="24"/>
          <w:szCs w:val="24"/>
          <w:highlight w:val="none"/>
        </w:rPr>
        <w:t xml:space="preserve">农村部国家乡村振兴局 中华全国供销 </w:t>
      </w:r>
      <w:r>
        <w:rPr>
          <w:rFonts w:hint="eastAsia" w:ascii="宋体" w:hAnsi="宋体" w:eastAsia="宋体" w:cs="宋体"/>
          <w:color w:val="auto"/>
          <w:spacing w:val="1"/>
          <w:sz w:val="24"/>
          <w:szCs w:val="24"/>
          <w:highlight w:val="none"/>
        </w:rPr>
        <w:t>合作总社关于印发&lt;关于深入开展政府采购</w:t>
      </w:r>
      <w:r>
        <w:rPr>
          <w:rFonts w:hint="eastAsia" w:ascii="宋体" w:hAnsi="宋体" w:eastAsia="宋体" w:cs="宋体"/>
          <w:color w:val="auto"/>
          <w:sz w:val="24"/>
          <w:szCs w:val="24"/>
          <w:highlight w:val="none"/>
        </w:rPr>
        <w:t xml:space="preserve">脱贫地区农副产品工作推进乡村产业振兴的 </w:t>
      </w:r>
      <w:r>
        <w:rPr>
          <w:rFonts w:hint="eastAsia" w:ascii="宋体" w:hAnsi="宋体" w:eastAsia="宋体" w:cs="宋体"/>
          <w:color w:val="auto"/>
          <w:spacing w:val="8"/>
          <w:sz w:val="24"/>
          <w:szCs w:val="24"/>
          <w:highlight w:val="none"/>
        </w:rPr>
        <w:t>实施意见&gt;的通知》(财库〔2021〕20 号)</w:t>
      </w:r>
      <w:r>
        <w:rPr>
          <w:rFonts w:hint="eastAsia" w:ascii="宋体" w:hAnsi="宋体" w:eastAsia="宋体" w:cs="宋体"/>
          <w:color w:val="auto"/>
          <w:spacing w:val="3"/>
          <w:sz w:val="24"/>
          <w:szCs w:val="24"/>
          <w:highlight w:val="none"/>
        </w:rPr>
        <w:t>。</w:t>
      </w:r>
    </w:p>
    <w:p>
      <w:pPr>
        <w:keepNext w:val="0"/>
        <w:keepLines w:val="0"/>
        <w:pageBreakBefore w:val="0"/>
        <w:widowControl/>
        <w:wordWrap/>
        <w:overflowPunct/>
        <w:topLinePunct w:val="0"/>
        <w:bidi w:val="0"/>
        <w:adjustRightInd/>
        <w:snapToGrid/>
        <w:spacing w:line="360" w:lineRule="auto"/>
        <w:ind w:left="3" w:right="111" w:firstLine="48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1</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4 《陕西省财政厅关于加快推进我省中小企业政府采购信用融资工作的通知》(陕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财办采〔2020〕15 号) 、陕西省财政厅关</w:t>
      </w:r>
      <w:r>
        <w:rPr>
          <w:rFonts w:hint="eastAsia" w:ascii="宋体" w:hAnsi="宋体" w:eastAsia="宋体" w:cs="宋体"/>
          <w:color w:val="auto"/>
          <w:sz w:val="24"/>
          <w:szCs w:val="24"/>
          <w:highlight w:val="none"/>
        </w:rPr>
        <w:t xml:space="preserve">于印发《陕西省中小企业政府采购信用融资 </w:t>
      </w:r>
      <w:r>
        <w:rPr>
          <w:rFonts w:hint="eastAsia" w:ascii="宋体" w:hAnsi="宋体" w:eastAsia="宋体" w:cs="宋体"/>
          <w:color w:val="auto"/>
          <w:spacing w:val="18"/>
          <w:sz w:val="24"/>
          <w:szCs w:val="24"/>
          <w:highlight w:val="none"/>
        </w:rPr>
        <w:t>办</w:t>
      </w:r>
      <w:r>
        <w:rPr>
          <w:rFonts w:hint="eastAsia" w:ascii="宋体" w:hAnsi="宋体" w:eastAsia="宋体" w:cs="宋体"/>
          <w:color w:val="auto"/>
          <w:spacing w:val="9"/>
          <w:sz w:val="24"/>
          <w:szCs w:val="24"/>
          <w:highlight w:val="none"/>
        </w:rPr>
        <w:t>法》(陕财办采〔2018〕23 号)。</w:t>
      </w:r>
    </w:p>
    <w:p>
      <w:pPr>
        <w:keepNext w:val="0"/>
        <w:keepLines w:val="0"/>
        <w:pageBreakBefore w:val="0"/>
        <w:widowControl/>
        <w:wordWrap/>
        <w:overflowPunct/>
        <w:topLinePunct w:val="0"/>
        <w:bidi w:val="0"/>
        <w:adjustRightInd/>
        <w:snapToGrid/>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若享受以上政策优惠</w:t>
      </w:r>
      <w:r>
        <w:rPr>
          <w:rFonts w:hint="eastAsia" w:ascii="宋体" w:hAnsi="宋体" w:eastAsia="宋体" w:cs="宋体"/>
          <w:color w:val="auto"/>
          <w:spacing w:val="-1"/>
          <w:sz w:val="24"/>
          <w:szCs w:val="24"/>
          <w:highlight w:val="none"/>
        </w:rPr>
        <w:t>的企业，提供相应声明函或品目清单范围内产品的有效认证证书。</w:t>
      </w:r>
    </w:p>
    <w:p>
      <w:pPr>
        <w:keepNext w:val="0"/>
        <w:keepLines w:val="0"/>
        <w:pageBreakBefore w:val="0"/>
        <w:widowControl/>
        <w:numPr>
          <w:ilvl w:val="0"/>
          <w:numId w:val="1"/>
        </w:numPr>
        <w:wordWrap/>
        <w:overflowPunct/>
        <w:topLinePunct w:val="0"/>
        <w:bidi w:val="0"/>
        <w:adjustRightInd/>
        <w:snapToGrid/>
        <w:spacing w:line="360" w:lineRule="auto"/>
        <w:ind w:right="25" w:firstLine="4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获取谈判文件</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2"/>
          <w:sz w:val="24"/>
          <w:szCs w:val="24"/>
          <w:highlight w:val="none"/>
        </w:rPr>
        <w:t>潜在</w:t>
      </w:r>
      <w:r>
        <w:rPr>
          <w:rFonts w:hint="eastAsia" w:ascii="宋体" w:hAnsi="宋体" w:eastAsia="宋体" w:cs="宋体"/>
          <w:color w:val="auto"/>
          <w:spacing w:val="-2"/>
          <w:sz w:val="24"/>
          <w:szCs w:val="24"/>
          <w:highlight w:val="none"/>
          <w:lang w:val="en-US" w:eastAsia="zh-CN"/>
        </w:rPr>
        <w:t>供应商</w:t>
      </w:r>
      <w:r>
        <w:rPr>
          <w:rFonts w:hint="eastAsia" w:ascii="宋体" w:hAnsi="宋体" w:eastAsia="宋体" w:cs="宋体"/>
          <w:color w:val="auto"/>
          <w:spacing w:val="-2"/>
          <w:sz w:val="24"/>
          <w:szCs w:val="24"/>
          <w:highlight w:val="none"/>
        </w:rPr>
        <w:t>请在</w:t>
      </w:r>
      <w:r>
        <w:rPr>
          <w:rFonts w:hint="eastAsia" w:ascii="宋体" w:hAnsi="宋体" w:eastAsia="宋体" w:cs="宋体"/>
          <w:color w:val="auto"/>
          <w:spacing w:val="-2"/>
          <w:sz w:val="24"/>
          <w:szCs w:val="24"/>
          <w:highlight w:val="none"/>
          <w:lang w:val="en-US" w:eastAsia="zh-CN"/>
        </w:rPr>
        <w:t>谈判文件</w:t>
      </w:r>
      <w:r>
        <w:rPr>
          <w:rFonts w:hint="eastAsia" w:ascii="宋体" w:hAnsi="宋体" w:eastAsia="宋体" w:cs="宋体"/>
          <w:color w:val="auto"/>
          <w:spacing w:val="-2"/>
          <w:sz w:val="24"/>
          <w:szCs w:val="24"/>
          <w:highlight w:val="none"/>
        </w:rPr>
        <w:t>获取截止时间前</w:t>
      </w:r>
      <w:r>
        <w:rPr>
          <w:rFonts w:hint="eastAsia" w:ascii="宋体" w:hAnsi="宋体" w:eastAsia="宋体" w:cs="宋体"/>
          <w:color w:val="auto"/>
          <w:spacing w:val="-2"/>
          <w:sz w:val="24"/>
          <w:szCs w:val="24"/>
          <w:highlight w:val="none"/>
          <w:lang w:val="en-US" w:eastAsia="zh-CN"/>
        </w:rPr>
        <w:t>前往</w:t>
      </w:r>
      <w:r>
        <w:rPr>
          <w:rFonts w:hint="eastAsia" w:ascii="宋体" w:hAnsi="宋体" w:eastAsia="宋体" w:cs="宋体"/>
          <w:color w:val="auto"/>
          <w:spacing w:val="-3"/>
          <w:sz w:val="24"/>
          <w:szCs w:val="24"/>
          <w:highlight w:val="none"/>
          <w:lang w:eastAsia="zh-CN"/>
        </w:rPr>
        <w:t>陕西省西安市</w:t>
      </w:r>
      <w:r>
        <w:rPr>
          <w:rFonts w:hint="eastAsia" w:ascii="宋体" w:hAnsi="宋体" w:eastAsia="宋体" w:cs="宋体"/>
          <w:color w:val="auto"/>
          <w:spacing w:val="-3"/>
          <w:sz w:val="24"/>
          <w:szCs w:val="24"/>
          <w:highlight w:val="none"/>
          <w:lang w:val="en-US" w:eastAsia="zh-CN"/>
        </w:rPr>
        <w:t>雁塔区太白南路139号荣禾中心1113室</w:t>
      </w:r>
      <w:r>
        <w:rPr>
          <w:rFonts w:hint="eastAsia" w:ascii="宋体" w:hAnsi="宋体" w:eastAsia="宋体" w:cs="宋体"/>
          <w:color w:val="auto"/>
          <w:spacing w:val="-5"/>
          <w:sz w:val="24"/>
          <w:szCs w:val="24"/>
          <w:highlight w:val="none"/>
        </w:rPr>
        <w:t>。获取谈判</w:t>
      </w:r>
      <w:r>
        <w:rPr>
          <w:rFonts w:hint="eastAsia" w:ascii="宋体" w:hAnsi="宋体" w:eastAsia="宋体" w:cs="宋体"/>
          <w:color w:val="auto"/>
          <w:spacing w:val="-1"/>
          <w:sz w:val="24"/>
          <w:szCs w:val="24"/>
          <w:highlight w:val="none"/>
        </w:rPr>
        <w:t>文件时</w:t>
      </w:r>
      <w:r>
        <w:rPr>
          <w:rFonts w:hint="eastAsia" w:ascii="宋体" w:hAnsi="宋体" w:eastAsia="宋体" w:cs="宋体"/>
          <w:color w:val="auto"/>
          <w:spacing w:val="2"/>
          <w:sz w:val="24"/>
          <w:szCs w:val="24"/>
          <w:highlight w:val="none"/>
        </w:rPr>
        <w:t>，请持单位介绍信</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原件加盖公章）</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委托书</w:t>
      </w:r>
      <w:r>
        <w:rPr>
          <w:rFonts w:hint="eastAsia" w:ascii="宋体" w:hAnsi="宋体" w:eastAsia="宋体" w:cs="宋体"/>
          <w:color w:val="auto"/>
          <w:spacing w:val="2"/>
          <w:sz w:val="24"/>
          <w:szCs w:val="24"/>
          <w:highlight w:val="none"/>
        </w:rPr>
        <w:t>及法人身份证复印件（盖公章）和办理人员身份证原件及复印件（盖公章）</w:t>
      </w:r>
      <w:r>
        <w:rPr>
          <w:rFonts w:hint="eastAsia" w:ascii="宋体" w:hAnsi="宋体" w:eastAsia="宋体" w:cs="宋体"/>
          <w:color w:val="auto"/>
          <w:sz w:val="24"/>
          <w:szCs w:val="24"/>
          <w:highlight w:val="none"/>
        </w:rPr>
        <w:t>否则不予受理。</w:t>
      </w:r>
    </w:p>
    <w:p>
      <w:pPr>
        <w:keepNext w:val="0"/>
        <w:keepLines w:val="0"/>
        <w:pageBreakBefore w:val="0"/>
        <w:widowControl/>
        <w:numPr>
          <w:ilvl w:val="0"/>
          <w:numId w:val="0"/>
        </w:numPr>
        <w:wordWrap/>
        <w:overflowPunct/>
        <w:topLinePunct w:val="0"/>
        <w:bidi w:val="0"/>
        <w:adjustRightInd/>
        <w:snapToGrid/>
        <w:spacing w:line="360" w:lineRule="auto"/>
        <w:ind w:right="25" w:rightChars="0" w:firstLine="488" w:firstLineChars="20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rPr>
        <w:t>、供应商不得存在下列情形之一：</w:t>
      </w:r>
    </w:p>
    <w:p>
      <w:pPr>
        <w:keepNext w:val="0"/>
        <w:keepLines w:val="0"/>
        <w:pageBreakBefore w:val="0"/>
        <w:widowControl/>
        <w:numPr>
          <w:ilvl w:val="0"/>
          <w:numId w:val="0"/>
        </w:numPr>
        <w:wordWrap/>
        <w:overflowPunct/>
        <w:topLinePunct w:val="0"/>
        <w:bidi w:val="0"/>
        <w:adjustRightInd/>
        <w:snapToGrid/>
        <w:spacing w:line="360" w:lineRule="auto"/>
        <w:ind w:right="25" w:rightChars="0" w:firstLine="488" w:firstLineChars="20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 xml:space="preserve">3.1 </w:t>
      </w:r>
      <w:r>
        <w:rPr>
          <w:rFonts w:hint="eastAsia" w:ascii="宋体" w:hAnsi="宋体" w:eastAsia="宋体" w:cs="宋体"/>
          <w:color w:val="auto"/>
          <w:spacing w:val="2"/>
          <w:sz w:val="24"/>
          <w:szCs w:val="24"/>
          <w:highlight w:val="none"/>
        </w:rPr>
        <w:t>单位负责人为同一人或者存在直接控股、管理关系的不同供应商，不得参加本次采购活动；</w:t>
      </w:r>
    </w:p>
    <w:p>
      <w:pPr>
        <w:keepNext w:val="0"/>
        <w:keepLines w:val="0"/>
        <w:pageBreakBefore w:val="0"/>
        <w:widowControl/>
        <w:numPr>
          <w:ilvl w:val="0"/>
          <w:numId w:val="0"/>
        </w:numPr>
        <w:wordWrap/>
        <w:overflowPunct/>
        <w:topLinePunct w:val="0"/>
        <w:bidi w:val="0"/>
        <w:adjustRightInd/>
        <w:snapToGrid/>
        <w:spacing w:line="360" w:lineRule="auto"/>
        <w:ind w:right="25" w:rightChars="0" w:firstLine="488"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3.2 </w:t>
      </w:r>
      <w:r>
        <w:rPr>
          <w:rFonts w:hint="eastAsia" w:ascii="宋体" w:hAnsi="宋体" w:eastAsia="宋体" w:cs="宋体"/>
          <w:color w:val="auto"/>
          <w:spacing w:val="2"/>
          <w:sz w:val="24"/>
          <w:szCs w:val="24"/>
          <w:highlight w:val="none"/>
        </w:rPr>
        <w:t>为本项目提供整体设计、规范编制或者项目管理、监理、检测等服务的供应商，不得再参加本项目的采购活动</w:t>
      </w:r>
      <w:r>
        <w:rPr>
          <w:rFonts w:hint="eastAsia" w:ascii="宋体" w:hAnsi="宋体" w:eastAsia="宋体" w:cs="宋体"/>
          <w:color w:val="auto"/>
          <w:spacing w:val="2"/>
          <w:sz w:val="24"/>
          <w:szCs w:val="24"/>
          <w:highlight w:val="none"/>
          <w:lang w:eastAsia="zh-CN"/>
        </w:rPr>
        <w:t>。</w:t>
      </w:r>
    </w:p>
    <w:p>
      <w:pPr>
        <w:pStyle w:val="2"/>
        <w:numPr>
          <w:ilvl w:val="0"/>
          <w:numId w:val="0"/>
        </w:numPr>
        <w:rPr>
          <w:rFonts w:hint="eastAsia" w:ascii="宋体" w:hAnsi="宋体" w:eastAsia="宋体" w:cs="宋体"/>
        </w:rPr>
      </w:pPr>
    </w:p>
    <w:p>
      <w:pPr>
        <w:keepNext w:val="0"/>
        <w:keepLines w:val="0"/>
        <w:pageBreakBefore w:val="0"/>
        <w:widowControl/>
        <w:wordWrap/>
        <w:overflowPunct/>
        <w:topLinePunct w:val="0"/>
        <w:bidi w:val="0"/>
        <w:adjustRightInd/>
        <w:snapToGrid/>
        <w:spacing w:line="360" w:lineRule="auto"/>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八、对本次招标提出询问，请按以下方式联</w:t>
      </w:r>
      <w:r>
        <w:rPr>
          <w:rFonts w:hint="eastAsia" w:ascii="宋体" w:hAnsi="宋体" w:eastAsia="宋体" w:cs="宋体"/>
          <w:color w:val="auto"/>
          <w:sz w:val="24"/>
          <w:szCs w:val="24"/>
          <w:highlight w:val="none"/>
        </w:rPr>
        <w:t>系。</w:t>
      </w:r>
    </w:p>
    <w:p>
      <w:pPr>
        <w:keepNext w:val="0"/>
        <w:keepLines w:val="0"/>
        <w:pageBreakBefore w:val="0"/>
        <w:widowControl/>
        <w:kinsoku w:val="0"/>
        <w:wordWrap/>
        <w:overflowPunct/>
        <w:topLinePunct w:val="0"/>
        <w:autoSpaceDE w:val="0"/>
        <w:autoSpaceDN w:val="0"/>
        <w:bidi w:val="0"/>
        <w:adjustRightInd/>
        <w:snapToGrid/>
        <w:spacing w:line="360" w:lineRule="auto"/>
        <w:ind w:left="49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position w:val="21"/>
          <w:sz w:val="24"/>
          <w:szCs w:val="24"/>
          <w:highlight w:val="none"/>
        </w:rPr>
        <w:t>1、采</w:t>
      </w:r>
      <w:r>
        <w:rPr>
          <w:rFonts w:hint="eastAsia" w:ascii="宋体" w:hAnsi="宋体" w:eastAsia="宋体" w:cs="宋体"/>
          <w:color w:val="auto"/>
          <w:spacing w:val="-3"/>
          <w:position w:val="21"/>
          <w:sz w:val="24"/>
          <w:szCs w:val="24"/>
          <w:highlight w:val="none"/>
        </w:rPr>
        <w:t>购</w:t>
      </w:r>
      <w:r>
        <w:rPr>
          <w:rFonts w:hint="eastAsia" w:ascii="宋体" w:hAnsi="宋体" w:eastAsia="宋体" w:cs="宋体"/>
          <w:color w:val="auto"/>
          <w:spacing w:val="-2"/>
          <w:position w:val="21"/>
          <w:sz w:val="24"/>
          <w:szCs w:val="24"/>
          <w:highlight w:val="none"/>
        </w:rPr>
        <w:t>人信息：</w:t>
      </w:r>
    </w:p>
    <w:p>
      <w:pPr>
        <w:keepNext w:val="0"/>
        <w:keepLines w:val="0"/>
        <w:pageBreakBefore w:val="0"/>
        <w:widowControl/>
        <w:kinsoku w:val="0"/>
        <w:wordWrap/>
        <w:overflowPunct/>
        <w:topLinePunct w:val="0"/>
        <w:autoSpaceDE w:val="0"/>
        <w:autoSpaceDN w:val="0"/>
        <w:bidi w:val="0"/>
        <w:adjustRightInd/>
        <w:snapToGrid/>
        <w:spacing w:line="360" w:lineRule="auto"/>
        <w:ind w:left="478"/>
        <w:textAlignment w:val="baseline"/>
        <w:rPr>
          <w:rFonts w:hint="eastAsia" w:ascii="宋体" w:hAnsi="宋体" w:eastAsia="宋体" w:cs="宋体"/>
          <w:color w:val="auto"/>
          <w:spacing w:val="-1"/>
          <w:position w:val="21"/>
          <w:sz w:val="24"/>
          <w:szCs w:val="24"/>
          <w:highlight w:val="none"/>
        </w:rPr>
      </w:pPr>
      <w:r>
        <w:rPr>
          <w:rFonts w:hint="eastAsia" w:ascii="宋体" w:hAnsi="宋体" w:eastAsia="宋体" w:cs="宋体"/>
          <w:color w:val="auto"/>
          <w:spacing w:val="-1"/>
          <w:position w:val="21"/>
          <w:sz w:val="24"/>
          <w:szCs w:val="24"/>
          <w:highlight w:val="none"/>
        </w:rPr>
        <w:t>地址：陕西省铜川市王益区红旗街9号</w:t>
      </w:r>
    </w:p>
    <w:p>
      <w:pPr>
        <w:keepNext w:val="0"/>
        <w:keepLines w:val="0"/>
        <w:pageBreakBefore w:val="0"/>
        <w:widowControl/>
        <w:kinsoku w:val="0"/>
        <w:wordWrap/>
        <w:overflowPunct/>
        <w:topLinePunct w:val="0"/>
        <w:autoSpaceDE w:val="0"/>
        <w:autoSpaceDN w:val="0"/>
        <w:bidi w:val="0"/>
        <w:adjustRightInd/>
        <w:snapToGrid/>
        <w:spacing w:line="360" w:lineRule="auto"/>
        <w:ind w:left="478"/>
        <w:textAlignment w:val="baseline"/>
        <w:rPr>
          <w:rFonts w:hint="eastAsia" w:ascii="宋体" w:hAnsi="宋体" w:eastAsia="宋体" w:cs="宋体"/>
          <w:color w:val="auto"/>
          <w:spacing w:val="-1"/>
          <w:position w:val="21"/>
          <w:sz w:val="24"/>
          <w:szCs w:val="24"/>
          <w:highlight w:val="none"/>
          <w:lang w:val="en-US" w:eastAsia="zh-CN"/>
        </w:rPr>
      </w:pPr>
      <w:r>
        <w:rPr>
          <w:rFonts w:hint="eastAsia" w:ascii="宋体" w:hAnsi="宋体" w:eastAsia="宋体" w:cs="宋体"/>
          <w:color w:val="auto"/>
          <w:spacing w:val="-1"/>
          <w:position w:val="21"/>
          <w:sz w:val="24"/>
          <w:szCs w:val="24"/>
          <w:highlight w:val="none"/>
        </w:rPr>
        <w:t>联系人：</w:t>
      </w:r>
      <w:r>
        <w:rPr>
          <w:rFonts w:hint="eastAsia" w:ascii="宋体" w:hAnsi="宋体" w:eastAsia="宋体" w:cs="宋体"/>
          <w:color w:val="auto"/>
          <w:spacing w:val="-1"/>
          <w:position w:val="21"/>
          <w:sz w:val="24"/>
          <w:szCs w:val="24"/>
          <w:highlight w:val="none"/>
          <w:lang w:val="en-US" w:eastAsia="zh-CN"/>
        </w:rPr>
        <w:t>李老师</w:t>
      </w:r>
    </w:p>
    <w:p>
      <w:pPr>
        <w:keepNext w:val="0"/>
        <w:keepLines w:val="0"/>
        <w:pageBreakBefore w:val="0"/>
        <w:widowControl/>
        <w:kinsoku w:val="0"/>
        <w:wordWrap/>
        <w:overflowPunct/>
        <w:topLinePunct w:val="0"/>
        <w:autoSpaceDE w:val="0"/>
        <w:autoSpaceDN w:val="0"/>
        <w:bidi w:val="0"/>
        <w:adjustRightInd/>
        <w:snapToGrid/>
        <w:spacing w:line="360" w:lineRule="auto"/>
        <w:ind w:left="478"/>
        <w:textAlignment w:val="baseline"/>
        <w:rPr>
          <w:rFonts w:hint="eastAsia" w:ascii="宋体" w:hAnsi="宋体" w:eastAsia="宋体" w:cs="宋体"/>
          <w:color w:val="auto"/>
          <w:spacing w:val="-1"/>
          <w:position w:val="21"/>
          <w:sz w:val="24"/>
          <w:szCs w:val="24"/>
          <w:highlight w:val="none"/>
        </w:rPr>
      </w:pPr>
      <w:r>
        <w:rPr>
          <w:rFonts w:hint="eastAsia" w:ascii="宋体" w:hAnsi="宋体" w:eastAsia="宋体" w:cs="宋体"/>
          <w:color w:val="auto"/>
          <w:spacing w:val="-1"/>
          <w:position w:val="21"/>
          <w:sz w:val="24"/>
          <w:szCs w:val="24"/>
          <w:highlight w:val="none"/>
        </w:rPr>
        <w:t>电话：0919-2188181</w:t>
      </w:r>
    </w:p>
    <w:p>
      <w:pPr>
        <w:keepNext w:val="0"/>
        <w:keepLines w:val="0"/>
        <w:pageBreakBefore w:val="0"/>
        <w:widowControl/>
        <w:kinsoku w:val="0"/>
        <w:wordWrap/>
        <w:overflowPunct/>
        <w:topLinePunct w:val="0"/>
        <w:autoSpaceDE w:val="0"/>
        <w:autoSpaceDN w:val="0"/>
        <w:bidi w:val="0"/>
        <w:adjustRightInd/>
        <w:snapToGrid/>
        <w:spacing w:line="360" w:lineRule="auto"/>
        <w:ind w:left="47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采购代理机构信息</w:t>
      </w:r>
    </w:p>
    <w:p>
      <w:pPr>
        <w:keepNext w:val="0"/>
        <w:keepLines w:val="0"/>
        <w:pageBreakBefore w:val="0"/>
        <w:widowControl/>
        <w:kinsoku w:val="0"/>
        <w:wordWrap/>
        <w:overflowPunct/>
        <w:topLinePunct w:val="0"/>
        <w:autoSpaceDE w:val="0"/>
        <w:autoSpaceDN w:val="0"/>
        <w:bidi w:val="0"/>
        <w:adjustRightInd/>
        <w:snapToGrid/>
        <w:spacing w:line="360" w:lineRule="auto"/>
        <w:ind w:left="481"/>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名称：</w:t>
      </w:r>
      <w:r>
        <w:rPr>
          <w:rFonts w:hint="eastAsia" w:ascii="宋体" w:hAnsi="宋体" w:eastAsia="宋体" w:cs="宋体"/>
          <w:color w:val="auto"/>
          <w:spacing w:val="-1"/>
          <w:sz w:val="24"/>
          <w:szCs w:val="24"/>
          <w:highlight w:val="none"/>
          <w:lang w:eastAsia="zh-CN"/>
        </w:rPr>
        <w:t>陕西鼎立融创工程项目管理有限公司</w:t>
      </w:r>
    </w:p>
    <w:p>
      <w:pPr>
        <w:keepNext w:val="0"/>
        <w:keepLines w:val="0"/>
        <w:pageBreakBefore w:val="0"/>
        <w:widowControl/>
        <w:kinsoku w:val="0"/>
        <w:wordWrap/>
        <w:overflowPunct/>
        <w:topLinePunct w:val="0"/>
        <w:autoSpaceDE w:val="0"/>
        <w:autoSpaceDN w:val="0"/>
        <w:bidi w:val="0"/>
        <w:adjustRightInd/>
        <w:snapToGrid/>
        <w:spacing w:line="360"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position w:val="21"/>
          <w:sz w:val="24"/>
          <w:szCs w:val="24"/>
          <w:highlight w:val="none"/>
        </w:rPr>
        <w:t>联</w:t>
      </w:r>
      <w:r>
        <w:rPr>
          <w:rFonts w:hint="eastAsia" w:ascii="宋体" w:hAnsi="宋体" w:eastAsia="宋体" w:cs="宋体"/>
          <w:color w:val="auto"/>
          <w:spacing w:val="-8"/>
          <w:position w:val="21"/>
          <w:sz w:val="24"/>
          <w:szCs w:val="24"/>
          <w:highlight w:val="none"/>
        </w:rPr>
        <w:t>系</w:t>
      </w:r>
      <w:r>
        <w:rPr>
          <w:rFonts w:hint="eastAsia" w:ascii="宋体" w:hAnsi="宋体" w:eastAsia="宋体" w:cs="宋体"/>
          <w:color w:val="auto"/>
          <w:spacing w:val="-5"/>
          <w:position w:val="21"/>
          <w:sz w:val="24"/>
          <w:szCs w:val="24"/>
          <w:highlight w:val="none"/>
        </w:rPr>
        <w:t>地址</w:t>
      </w:r>
      <w:r>
        <w:rPr>
          <w:rFonts w:hint="eastAsia" w:ascii="宋体" w:hAnsi="宋体" w:eastAsia="宋体" w:cs="宋体"/>
          <w:color w:val="auto"/>
          <w:spacing w:val="-10"/>
          <w:position w:val="21"/>
          <w:sz w:val="24"/>
          <w:szCs w:val="24"/>
          <w:highlight w:val="none"/>
        </w:rPr>
        <w:t>：</w:t>
      </w:r>
      <w:r>
        <w:rPr>
          <w:rFonts w:hint="eastAsia" w:ascii="宋体" w:hAnsi="宋体" w:eastAsia="宋体" w:cs="宋体"/>
          <w:color w:val="auto"/>
          <w:spacing w:val="-10"/>
          <w:position w:val="21"/>
          <w:sz w:val="24"/>
          <w:szCs w:val="24"/>
          <w:highlight w:val="none"/>
          <w:lang w:eastAsia="zh-CN"/>
        </w:rPr>
        <w:t>陕西省西安市</w:t>
      </w:r>
      <w:r>
        <w:rPr>
          <w:rFonts w:hint="eastAsia" w:ascii="宋体" w:hAnsi="宋体" w:eastAsia="宋体" w:cs="宋体"/>
          <w:color w:val="auto"/>
          <w:spacing w:val="-10"/>
          <w:position w:val="21"/>
          <w:sz w:val="24"/>
          <w:szCs w:val="24"/>
          <w:highlight w:val="none"/>
          <w:lang w:val="en-US" w:eastAsia="zh-CN"/>
        </w:rPr>
        <w:t>雁塔区太白南路139号荣禾中心1113室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联</w:t>
      </w:r>
      <w:r>
        <w:rPr>
          <w:rFonts w:hint="eastAsia" w:ascii="宋体" w:hAnsi="宋体" w:eastAsia="宋体" w:cs="宋体"/>
          <w:color w:val="auto"/>
          <w:spacing w:val="-8"/>
          <w:sz w:val="24"/>
          <w:szCs w:val="24"/>
          <w:highlight w:val="none"/>
        </w:rPr>
        <w:t>系</w:t>
      </w:r>
      <w:r>
        <w:rPr>
          <w:rFonts w:hint="eastAsia" w:ascii="宋体" w:hAnsi="宋体" w:eastAsia="宋体" w:cs="宋体"/>
          <w:color w:val="auto"/>
          <w:spacing w:val="-7"/>
          <w:sz w:val="24"/>
          <w:szCs w:val="24"/>
          <w:highlight w:val="none"/>
        </w:rPr>
        <w:t>方式：</w:t>
      </w:r>
      <w:r>
        <w:rPr>
          <w:rFonts w:hint="eastAsia" w:ascii="宋体" w:hAnsi="宋体" w:eastAsia="宋体" w:cs="宋体"/>
          <w:color w:val="auto"/>
          <w:spacing w:val="-10"/>
          <w:sz w:val="24"/>
          <w:szCs w:val="24"/>
          <w:highlight w:val="none"/>
          <w:lang w:val="en-US" w:eastAsia="zh-CN"/>
        </w:rPr>
        <w:t>17629193279</w:t>
      </w:r>
    </w:p>
    <w:p>
      <w:pPr>
        <w:keepNext w:val="0"/>
        <w:keepLines w:val="0"/>
        <w:pageBreakBefore w:val="0"/>
        <w:widowControl/>
        <w:kinsoku w:val="0"/>
        <w:wordWrap/>
        <w:overflowPunct/>
        <w:topLinePunct w:val="0"/>
        <w:autoSpaceDE w:val="0"/>
        <w:autoSpaceDN w:val="0"/>
        <w:bidi w:val="0"/>
        <w:adjustRightInd/>
        <w:snapToGrid/>
        <w:spacing w:line="360"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position w:val="22"/>
          <w:sz w:val="24"/>
          <w:szCs w:val="24"/>
          <w:highlight w:val="none"/>
        </w:rPr>
        <w:t>3</w:t>
      </w:r>
      <w:r>
        <w:rPr>
          <w:rFonts w:hint="eastAsia" w:ascii="宋体" w:hAnsi="宋体" w:eastAsia="宋体" w:cs="宋体"/>
          <w:color w:val="auto"/>
          <w:spacing w:val="-6"/>
          <w:position w:val="22"/>
          <w:sz w:val="24"/>
          <w:szCs w:val="24"/>
          <w:highlight w:val="none"/>
        </w:rPr>
        <w:t>、项目联系方式：</w:t>
      </w:r>
    </w:p>
    <w:p>
      <w:pPr>
        <w:keepNext w:val="0"/>
        <w:keepLines w:val="0"/>
        <w:pageBreakBefore w:val="0"/>
        <w:widowControl/>
        <w:kinsoku w:val="0"/>
        <w:wordWrap/>
        <w:overflowPunct/>
        <w:topLinePunct w:val="0"/>
        <w:autoSpaceDE w:val="0"/>
        <w:autoSpaceDN w:val="0"/>
        <w:bidi w:val="0"/>
        <w:adjustRightInd/>
        <w:snapToGrid/>
        <w:spacing w:line="360" w:lineRule="auto"/>
        <w:ind w:left="481"/>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项目联系人：</w:t>
      </w:r>
      <w:r>
        <w:rPr>
          <w:rFonts w:hint="eastAsia" w:ascii="宋体" w:hAnsi="宋体" w:eastAsia="宋体" w:cs="宋体"/>
          <w:color w:val="auto"/>
          <w:spacing w:val="-2"/>
          <w:sz w:val="24"/>
          <w:szCs w:val="24"/>
          <w:highlight w:val="none"/>
          <w:lang w:val="en-US" w:eastAsia="zh-CN"/>
        </w:rPr>
        <w:t>李工</w:t>
      </w:r>
    </w:p>
    <w:p>
      <w:pPr>
        <w:keepNext w:val="0"/>
        <w:keepLines w:val="0"/>
        <w:pageBreakBefore w:val="0"/>
        <w:widowControl/>
        <w:kinsoku w:val="0"/>
        <w:wordWrap/>
        <w:overflowPunct/>
        <w:topLinePunct w:val="0"/>
        <w:autoSpaceDE w:val="0"/>
        <w:autoSpaceDN w:val="0"/>
        <w:bidi w:val="0"/>
        <w:adjustRightInd/>
        <w:snapToGrid/>
        <w:spacing w:line="360" w:lineRule="auto"/>
        <w:ind w:left="50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3"/>
          <w:sz w:val="24"/>
          <w:szCs w:val="24"/>
          <w:highlight w:val="none"/>
        </w:rPr>
        <w:t>电</w:t>
      </w:r>
      <w:r>
        <w:rPr>
          <w:rFonts w:hint="eastAsia" w:ascii="宋体" w:hAnsi="宋体" w:eastAsia="宋体" w:cs="宋体"/>
          <w:color w:val="auto"/>
          <w:spacing w:val="-10"/>
          <w:sz w:val="24"/>
          <w:szCs w:val="24"/>
          <w:highlight w:val="none"/>
        </w:rPr>
        <w:t>话：</w:t>
      </w:r>
      <w:r>
        <w:rPr>
          <w:rFonts w:hint="eastAsia" w:ascii="宋体" w:hAnsi="宋体" w:eastAsia="宋体" w:cs="宋体"/>
          <w:color w:val="auto"/>
          <w:spacing w:val="-10"/>
          <w:sz w:val="24"/>
          <w:szCs w:val="24"/>
          <w:highlight w:val="none"/>
          <w:lang w:val="en-US" w:eastAsia="zh-CN"/>
        </w:rPr>
        <w:t>17629193279</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F09F62"/>
    <w:multiLevelType w:val="singleLevel"/>
    <w:tmpl w:val="0EF09F6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4OWVmYjBmM2NkNjA3Mzk2YjI0NGQzY2JjNGEwNDgifQ=="/>
  </w:docVars>
  <w:rsids>
    <w:rsidRoot w:val="5F972C6C"/>
    <w:rsid w:val="5F972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rPr>
  </w:style>
  <w:style w:type="paragraph" w:styleId="3">
    <w:name w:val="Body Text"/>
    <w:basedOn w:val="1"/>
    <w:next w:val="1"/>
    <w:qFormat/>
    <w:uiPriority w:val="0"/>
    <w:pPr>
      <w:jc w:val="center"/>
    </w:pPr>
    <w:rPr>
      <w:szCs w:val="20"/>
    </w:rPr>
  </w:style>
  <w:style w:type="paragraph" w:styleId="4">
    <w:name w:val="envelope return"/>
    <w:basedOn w:val="1"/>
    <w:unhideWhenUsed/>
    <w:qFormat/>
    <w:uiPriority w:val="99"/>
    <w:pPr>
      <w:snapToGrid w:val="0"/>
    </w:pPr>
    <w:rPr>
      <w:rFonts w:ascii="Cambria" w:hAnsi="Cambria" w:eastAsia="宋体" w:cs="Times New Roman"/>
    </w:rPr>
  </w:style>
  <w:style w:type="paragraph" w:styleId="5">
    <w:name w:val="Normal (Web)"/>
    <w:basedOn w:val="1"/>
    <w:next w:val="4"/>
    <w:qFormat/>
    <w:uiPriority w:val="0"/>
    <w:pPr>
      <w:jc w:val="left"/>
    </w:pPr>
    <w:rPr>
      <w:kern w:val="0"/>
      <w:sz w:val="24"/>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2023-02-14T03:28:00Z</dcterms:created>
  <dc:creator>无留念</dc:creator>
  <cp:lastModifiedBy>无留念</cp:lastModifiedBy>
  <dcterms:modified xsi:type="dcterms:W3CDTF">2023-02-14T03:28:50Z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44F51732B95949C08F0F4C069061C41E</vt:lpwstr>
  </property>
</Properties>
</file>